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12" w:rsidRPr="00B22412" w:rsidRDefault="00B22412" w:rsidP="00B22412">
      <w:pPr>
        <w:spacing w:after="120" w:line="270" w:lineRule="atLeast"/>
        <w:jc w:val="center"/>
        <w:rPr>
          <w:rFonts w:ascii="Arial" w:hAnsi="Arial" w:cs="Arial"/>
          <w:b/>
          <w:sz w:val="20"/>
          <w:szCs w:val="20"/>
        </w:rPr>
      </w:pPr>
      <w:r w:rsidRPr="00B22412">
        <w:rPr>
          <w:rFonts w:ascii="Arial" w:hAnsi="Arial" w:cs="Arial"/>
          <w:b/>
          <w:sz w:val="20"/>
          <w:szCs w:val="20"/>
        </w:rPr>
        <w:t>Victoria Government Gazette</w:t>
      </w:r>
    </w:p>
    <w:p w:rsidR="00B22412" w:rsidRPr="00B22412" w:rsidRDefault="00B22412" w:rsidP="00B22412">
      <w:pPr>
        <w:spacing w:after="120" w:line="270" w:lineRule="atLeast"/>
        <w:jc w:val="center"/>
        <w:rPr>
          <w:rFonts w:ascii="Arial" w:hAnsi="Arial" w:cs="Arial"/>
          <w:b/>
          <w:sz w:val="20"/>
          <w:szCs w:val="20"/>
        </w:rPr>
      </w:pPr>
      <w:r w:rsidRPr="00B22412">
        <w:rPr>
          <w:rFonts w:ascii="Arial" w:hAnsi="Arial" w:cs="Arial"/>
          <w:b/>
          <w:sz w:val="20"/>
          <w:szCs w:val="20"/>
        </w:rPr>
        <w:t>No. S 229 Friday 18 May 2018</w:t>
      </w:r>
    </w:p>
    <w:p w:rsidR="00B22412" w:rsidRPr="00B22412" w:rsidRDefault="00B22412" w:rsidP="00B22412">
      <w:pPr>
        <w:spacing w:after="120" w:line="270" w:lineRule="atLeast"/>
        <w:jc w:val="center"/>
        <w:rPr>
          <w:rFonts w:ascii="Arial" w:hAnsi="Arial" w:cs="Arial"/>
          <w:sz w:val="20"/>
          <w:szCs w:val="20"/>
        </w:rPr>
      </w:pPr>
      <w:r w:rsidRPr="00B22412">
        <w:rPr>
          <w:rFonts w:ascii="Arial" w:hAnsi="Arial" w:cs="Arial"/>
          <w:sz w:val="20"/>
          <w:szCs w:val="20"/>
        </w:rPr>
        <w:t>By Authority of Victorian Government Printer</w:t>
      </w:r>
    </w:p>
    <w:p w:rsidR="00B22412" w:rsidRPr="005567DA" w:rsidRDefault="00B22412" w:rsidP="00B22412">
      <w:pPr>
        <w:spacing w:line="240" w:lineRule="auto"/>
        <w:jc w:val="center"/>
        <w:rPr>
          <w:rFonts w:ascii="Arial" w:hAnsi="Arial" w:cs="Arial"/>
          <w:b/>
          <w:sz w:val="20"/>
          <w:szCs w:val="20"/>
        </w:rPr>
      </w:pPr>
      <w:r w:rsidRPr="005567DA">
        <w:rPr>
          <w:rFonts w:ascii="Arial" w:hAnsi="Arial" w:cs="Arial"/>
          <w:b/>
          <w:sz w:val="20"/>
          <w:szCs w:val="20"/>
        </w:rPr>
        <w:t>___________________________________________________</w:t>
      </w:r>
    </w:p>
    <w:p w:rsidR="00E05D3E" w:rsidRPr="005567DA" w:rsidRDefault="00E05D3E" w:rsidP="00537337">
      <w:pPr>
        <w:spacing w:after="120" w:line="270" w:lineRule="atLeast"/>
        <w:jc w:val="center"/>
        <w:rPr>
          <w:rFonts w:ascii="Arial" w:hAnsi="Arial" w:cs="Arial"/>
          <w:b/>
          <w:sz w:val="20"/>
          <w:szCs w:val="20"/>
        </w:rPr>
      </w:pPr>
      <w:r w:rsidRPr="005567DA">
        <w:rPr>
          <w:rFonts w:ascii="Arial" w:hAnsi="Arial" w:cs="Arial"/>
          <w:b/>
          <w:sz w:val="20"/>
          <w:szCs w:val="20"/>
        </w:rPr>
        <w:t>Housing Act 1983</w:t>
      </w:r>
    </w:p>
    <w:p w:rsidR="00E05D3E" w:rsidRPr="005567DA" w:rsidRDefault="00E05D3E" w:rsidP="00537337">
      <w:pPr>
        <w:spacing w:after="120" w:line="270" w:lineRule="atLeast"/>
        <w:jc w:val="center"/>
        <w:rPr>
          <w:rFonts w:ascii="Arial" w:hAnsi="Arial" w:cs="Arial"/>
          <w:b/>
          <w:sz w:val="20"/>
          <w:szCs w:val="20"/>
        </w:rPr>
      </w:pPr>
      <w:r w:rsidRPr="005567DA">
        <w:rPr>
          <w:rFonts w:ascii="Arial" w:hAnsi="Arial" w:cs="Arial"/>
          <w:b/>
          <w:sz w:val="20"/>
          <w:szCs w:val="20"/>
        </w:rPr>
        <w:t>Victorian Housing Register – Determination</w:t>
      </w:r>
      <w:r w:rsidR="00CB2F8A" w:rsidRPr="005567DA">
        <w:rPr>
          <w:rFonts w:ascii="Arial" w:hAnsi="Arial" w:cs="Arial"/>
          <w:b/>
          <w:sz w:val="20"/>
          <w:szCs w:val="20"/>
        </w:rPr>
        <w:t>s</w:t>
      </w:r>
      <w:r w:rsidRPr="005567DA">
        <w:rPr>
          <w:rFonts w:ascii="Arial" w:hAnsi="Arial" w:cs="Arial"/>
          <w:b/>
          <w:sz w:val="20"/>
          <w:szCs w:val="20"/>
        </w:rPr>
        <w:t xml:space="preserve"> of eligibility criteria, priority categories and priority criteria for applicants for social housing </w:t>
      </w:r>
    </w:p>
    <w:p w:rsidR="00E05D3E" w:rsidRPr="005567DA" w:rsidRDefault="00E05D3E" w:rsidP="00537337">
      <w:pPr>
        <w:spacing w:after="120" w:line="270" w:lineRule="atLeast"/>
        <w:rPr>
          <w:rFonts w:ascii="Arial" w:hAnsi="Arial" w:cs="Arial"/>
          <w:color w:val="000000"/>
          <w:sz w:val="20"/>
          <w:szCs w:val="20"/>
        </w:rPr>
      </w:pPr>
      <w:r w:rsidRPr="005567DA">
        <w:rPr>
          <w:rFonts w:ascii="Arial" w:hAnsi="Arial" w:cs="Arial"/>
          <w:color w:val="000000"/>
          <w:sz w:val="20"/>
          <w:szCs w:val="20"/>
        </w:rPr>
        <w:t xml:space="preserve">I, Nick </w:t>
      </w:r>
      <w:proofErr w:type="spellStart"/>
      <w:r w:rsidRPr="005567DA">
        <w:rPr>
          <w:rFonts w:ascii="Arial" w:hAnsi="Arial" w:cs="Arial"/>
          <w:color w:val="000000"/>
          <w:sz w:val="20"/>
          <w:szCs w:val="20"/>
        </w:rPr>
        <w:t>Foa</w:t>
      </w:r>
      <w:proofErr w:type="spellEnd"/>
      <w:r w:rsidRPr="005567DA">
        <w:rPr>
          <w:rFonts w:ascii="Arial" w:hAnsi="Arial" w:cs="Arial"/>
          <w:color w:val="000000"/>
          <w:sz w:val="20"/>
          <w:szCs w:val="20"/>
        </w:rPr>
        <w:t xml:space="preserve">, Director of Housing, </w:t>
      </w:r>
      <w:r w:rsidR="00E50753">
        <w:rPr>
          <w:rFonts w:ascii="Arial" w:hAnsi="Arial" w:cs="Arial"/>
          <w:color w:val="000000"/>
          <w:sz w:val="20"/>
          <w:szCs w:val="20"/>
        </w:rPr>
        <w:t>revoke the</w:t>
      </w:r>
      <w:r w:rsidR="00E752B0">
        <w:rPr>
          <w:rFonts w:ascii="Arial" w:hAnsi="Arial" w:cs="Arial"/>
          <w:color w:val="000000"/>
          <w:sz w:val="20"/>
          <w:szCs w:val="20"/>
        </w:rPr>
        <w:t xml:space="preserve"> </w:t>
      </w:r>
      <w:r w:rsidR="006C4A83">
        <w:rPr>
          <w:rFonts w:ascii="Arial" w:hAnsi="Arial" w:cs="Arial"/>
          <w:color w:val="000000"/>
          <w:sz w:val="20"/>
          <w:szCs w:val="20"/>
        </w:rPr>
        <w:t xml:space="preserve">determinations </w:t>
      </w:r>
      <w:r w:rsidR="00E50753">
        <w:rPr>
          <w:rFonts w:ascii="Arial" w:hAnsi="Arial" w:cs="Arial"/>
          <w:color w:val="000000"/>
          <w:sz w:val="20"/>
          <w:szCs w:val="20"/>
        </w:rPr>
        <w:t>published in the Government Gazette on</w:t>
      </w:r>
      <w:r w:rsidR="006C4A83">
        <w:rPr>
          <w:rFonts w:ascii="Arial" w:hAnsi="Arial" w:cs="Arial"/>
          <w:color w:val="000000"/>
          <w:sz w:val="20"/>
          <w:szCs w:val="20"/>
        </w:rPr>
        <w:t xml:space="preserve"> 23 May 2017 and </w:t>
      </w:r>
      <w:r w:rsidRPr="005567DA">
        <w:rPr>
          <w:rFonts w:ascii="Arial" w:hAnsi="Arial" w:cs="Arial"/>
          <w:bCs/>
          <w:color w:val="000000"/>
          <w:sz w:val="20"/>
          <w:szCs w:val="20"/>
        </w:rPr>
        <w:t xml:space="preserve">make the following </w:t>
      </w:r>
      <w:r w:rsidRPr="005567DA">
        <w:rPr>
          <w:rFonts w:ascii="Arial" w:hAnsi="Arial" w:cs="Arial"/>
          <w:color w:val="000000"/>
          <w:sz w:val="20"/>
          <w:szCs w:val="20"/>
        </w:rPr>
        <w:t xml:space="preserve">determinations </w:t>
      </w:r>
      <w:r w:rsidR="00CB2F8A" w:rsidRPr="005567DA">
        <w:rPr>
          <w:rFonts w:ascii="Arial" w:hAnsi="Arial" w:cs="Arial"/>
          <w:color w:val="000000"/>
          <w:sz w:val="20"/>
          <w:szCs w:val="20"/>
        </w:rPr>
        <w:t xml:space="preserve">pursuant to section 142E(1) of the </w:t>
      </w:r>
      <w:r w:rsidR="00CB2F8A" w:rsidRPr="005567DA">
        <w:rPr>
          <w:rFonts w:ascii="Arial" w:hAnsi="Arial" w:cs="Arial"/>
          <w:b/>
          <w:bCs/>
          <w:color w:val="000000"/>
          <w:sz w:val="20"/>
          <w:szCs w:val="20"/>
        </w:rPr>
        <w:t>Housing Act 1983</w:t>
      </w:r>
      <w:r w:rsidR="00CB2F8A" w:rsidRPr="005567DA">
        <w:rPr>
          <w:rFonts w:ascii="Arial" w:hAnsi="Arial" w:cs="Arial"/>
          <w:bCs/>
          <w:color w:val="000000"/>
          <w:sz w:val="20"/>
          <w:szCs w:val="20"/>
        </w:rPr>
        <w:t xml:space="preserve"> </w:t>
      </w:r>
      <w:r w:rsidRPr="005567DA">
        <w:rPr>
          <w:rFonts w:ascii="Arial" w:hAnsi="Arial" w:cs="Arial"/>
          <w:color w:val="000000"/>
          <w:sz w:val="20"/>
          <w:szCs w:val="20"/>
        </w:rPr>
        <w:t>for the purposes of allocating tenancies in social housing to applicants on the Victorian Housing Register.</w:t>
      </w:r>
    </w:p>
    <w:p w:rsidR="00E05D3E" w:rsidRPr="005567DA" w:rsidRDefault="00E05D3E" w:rsidP="00537337">
      <w:pPr>
        <w:spacing w:after="120" w:line="270" w:lineRule="atLeast"/>
        <w:rPr>
          <w:rFonts w:ascii="Arial" w:hAnsi="Arial" w:cs="Arial"/>
          <w:color w:val="000000"/>
          <w:sz w:val="20"/>
          <w:szCs w:val="20"/>
        </w:rPr>
      </w:pPr>
      <w:r w:rsidRPr="005567DA">
        <w:rPr>
          <w:rFonts w:ascii="Arial" w:hAnsi="Arial" w:cs="Arial"/>
          <w:color w:val="000000"/>
          <w:sz w:val="20"/>
          <w:szCs w:val="20"/>
        </w:rPr>
        <w:t xml:space="preserve">These determinations take effect </w:t>
      </w:r>
      <w:r w:rsidR="00CB2F8A" w:rsidRPr="005567DA">
        <w:rPr>
          <w:rFonts w:ascii="Arial" w:hAnsi="Arial" w:cs="Arial"/>
          <w:color w:val="000000"/>
          <w:sz w:val="20"/>
          <w:szCs w:val="20"/>
        </w:rPr>
        <w:t>on the date they are published in the Government Gazette</w:t>
      </w:r>
      <w:r w:rsidRPr="005567DA">
        <w:rPr>
          <w:rFonts w:ascii="Arial" w:hAnsi="Arial" w:cs="Arial"/>
          <w:color w:val="000000"/>
          <w:sz w:val="20"/>
          <w:szCs w:val="20"/>
        </w:rPr>
        <w:t>.</w:t>
      </w:r>
    </w:p>
    <w:p w:rsidR="00E05D3E" w:rsidRPr="005567DA" w:rsidRDefault="00E05D3E" w:rsidP="00537337">
      <w:pPr>
        <w:pStyle w:val="Pa5"/>
        <w:spacing w:after="120" w:line="270" w:lineRule="atLeast"/>
        <w:jc w:val="both"/>
        <w:rPr>
          <w:rFonts w:ascii="Arial" w:hAnsi="Arial" w:cs="Arial"/>
          <w:color w:val="000000"/>
          <w:sz w:val="20"/>
          <w:szCs w:val="20"/>
        </w:rPr>
      </w:pPr>
      <w:r w:rsidRPr="005567DA">
        <w:rPr>
          <w:rFonts w:ascii="Arial" w:hAnsi="Arial" w:cs="Arial"/>
          <w:color w:val="000000"/>
          <w:sz w:val="20"/>
          <w:szCs w:val="20"/>
        </w:rPr>
        <w:t xml:space="preserve">Dated </w:t>
      </w:r>
      <w:r w:rsidR="00E05F1E">
        <w:rPr>
          <w:rFonts w:ascii="Arial" w:hAnsi="Arial" w:cs="Arial"/>
          <w:color w:val="000000"/>
          <w:sz w:val="20"/>
          <w:szCs w:val="20"/>
        </w:rPr>
        <w:t>18 May</w:t>
      </w:r>
      <w:r w:rsidR="00FE4121">
        <w:rPr>
          <w:rFonts w:ascii="Arial" w:hAnsi="Arial" w:cs="Arial"/>
          <w:color w:val="000000"/>
          <w:sz w:val="20"/>
          <w:szCs w:val="20"/>
        </w:rPr>
        <w:t xml:space="preserve"> 2018</w:t>
      </w:r>
    </w:p>
    <w:p w:rsidR="00E05D3E" w:rsidRPr="005567DA" w:rsidRDefault="00E05D3E" w:rsidP="00E05D3E">
      <w:pPr>
        <w:pStyle w:val="Default"/>
        <w:ind w:left="357"/>
        <w:jc w:val="right"/>
        <w:rPr>
          <w:rFonts w:ascii="Arial" w:hAnsi="Arial" w:cs="Arial"/>
          <w:sz w:val="20"/>
          <w:szCs w:val="20"/>
        </w:rPr>
      </w:pPr>
      <w:r w:rsidRPr="005567DA">
        <w:rPr>
          <w:rFonts w:ascii="Arial" w:hAnsi="Arial" w:cs="Arial"/>
          <w:sz w:val="20"/>
          <w:szCs w:val="20"/>
        </w:rPr>
        <w:t>NICK FOA</w:t>
      </w:r>
    </w:p>
    <w:p w:rsidR="00E05D3E" w:rsidRPr="005567DA" w:rsidRDefault="00E05D3E" w:rsidP="00E05D3E">
      <w:pPr>
        <w:pStyle w:val="Default"/>
        <w:ind w:left="357"/>
        <w:jc w:val="right"/>
        <w:rPr>
          <w:rFonts w:ascii="Arial" w:hAnsi="Arial" w:cs="Arial"/>
          <w:sz w:val="20"/>
          <w:szCs w:val="20"/>
        </w:rPr>
      </w:pPr>
      <w:r w:rsidRPr="005567DA">
        <w:rPr>
          <w:rFonts w:ascii="Arial" w:hAnsi="Arial" w:cs="Arial"/>
          <w:sz w:val="20"/>
          <w:szCs w:val="20"/>
        </w:rPr>
        <w:t xml:space="preserve">Director of Housing </w:t>
      </w:r>
    </w:p>
    <w:p w:rsidR="00E05D3E" w:rsidRPr="005567DA" w:rsidRDefault="00E05D3E" w:rsidP="00E05D3E">
      <w:pPr>
        <w:spacing w:line="240" w:lineRule="auto"/>
        <w:jc w:val="center"/>
        <w:rPr>
          <w:rFonts w:ascii="Arial" w:hAnsi="Arial" w:cs="Arial"/>
          <w:b/>
          <w:sz w:val="20"/>
          <w:szCs w:val="20"/>
        </w:rPr>
      </w:pPr>
      <w:r w:rsidRPr="005567DA">
        <w:rPr>
          <w:rFonts w:ascii="Arial" w:hAnsi="Arial" w:cs="Arial"/>
          <w:b/>
          <w:sz w:val="20"/>
          <w:szCs w:val="20"/>
        </w:rPr>
        <w:t>___________________________________________________</w:t>
      </w:r>
    </w:p>
    <w:p w:rsidR="00E05D3E" w:rsidRPr="005567DA" w:rsidRDefault="00E05D3E" w:rsidP="00E05D3E">
      <w:pPr>
        <w:jc w:val="center"/>
        <w:rPr>
          <w:rFonts w:ascii="Arial" w:hAnsi="Arial" w:cs="Arial"/>
          <w:b/>
          <w:caps/>
          <w:sz w:val="20"/>
          <w:szCs w:val="20"/>
        </w:rPr>
      </w:pPr>
      <w:r w:rsidRPr="005567DA">
        <w:rPr>
          <w:rFonts w:ascii="Arial" w:hAnsi="Arial" w:cs="Arial"/>
          <w:b/>
          <w:caps/>
          <w:sz w:val="20"/>
          <w:szCs w:val="20"/>
        </w:rPr>
        <w:t xml:space="preserve">Director </w:t>
      </w:r>
      <w:r w:rsidR="00037967" w:rsidRPr="005567DA">
        <w:rPr>
          <w:rFonts w:ascii="Arial" w:hAnsi="Arial" w:cs="Arial"/>
          <w:b/>
          <w:caps/>
          <w:sz w:val="20"/>
          <w:szCs w:val="20"/>
        </w:rPr>
        <w:t xml:space="preserve">of housing </w:t>
      </w:r>
      <w:r w:rsidRPr="005567DA">
        <w:rPr>
          <w:rFonts w:ascii="Arial" w:hAnsi="Arial" w:cs="Arial"/>
          <w:b/>
          <w:caps/>
          <w:sz w:val="20"/>
          <w:szCs w:val="20"/>
        </w:rPr>
        <w:t>Determinations</w:t>
      </w:r>
    </w:p>
    <w:p w:rsidR="005567DA" w:rsidRPr="005567DA" w:rsidRDefault="005567DA" w:rsidP="00D171AA">
      <w:pPr>
        <w:pStyle w:val="ListParagraph"/>
        <w:keepNext/>
        <w:keepLines/>
        <w:numPr>
          <w:ilvl w:val="0"/>
          <w:numId w:val="26"/>
        </w:numPr>
        <w:spacing w:before="120" w:after="120" w:line="270" w:lineRule="atLeast"/>
        <w:ind w:left="357" w:hanging="357"/>
        <w:outlineLvl w:val="0"/>
        <w:rPr>
          <w:rFonts w:ascii="Arial" w:hAnsi="Arial" w:cs="Arial"/>
          <w:b/>
          <w:sz w:val="20"/>
          <w:szCs w:val="20"/>
        </w:rPr>
      </w:pPr>
      <w:r>
        <w:rPr>
          <w:rFonts w:ascii="Arial" w:hAnsi="Arial" w:cs="Arial"/>
          <w:b/>
          <w:sz w:val="20"/>
          <w:szCs w:val="20"/>
        </w:rPr>
        <w:t>PURPOSE</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The purpose of </w:t>
      </w:r>
      <w:r w:rsidR="00CB2F8A" w:rsidRPr="005567DA">
        <w:rPr>
          <w:rFonts w:ascii="Arial" w:hAnsi="Arial" w:cs="Arial"/>
          <w:sz w:val="20"/>
          <w:szCs w:val="20"/>
        </w:rPr>
        <w:t>these determinations</w:t>
      </w:r>
      <w:r w:rsidRPr="005567DA">
        <w:rPr>
          <w:rFonts w:ascii="Arial" w:hAnsi="Arial" w:cs="Arial"/>
          <w:sz w:val="20"/>
          <w:szCs w:val="20"/>
        </w:rPr>
        <w:t xml:space="preserve"> is for the Director of Housing to determine the:</w:t>
      </w:r>
    </w:p>
    <w:p w:rsidR="00E05D3E" w:rsidRPr="005567DA" w:rsidRDefault="00E05D3E" w:rsidP="00D171AA">
      <w:pPr>
        <w:pStyle w:val="ListParagraph"/>
        <w:numPr>
          <w:ilvl w:val="0"/>
          <w:numId w:val="2"/>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 xml:space="preserve">eligibility criteria that must be met by </w:t>
      </w:r>
      <w:r w:rsidR="00514E9C" w:rsidRPr="005567DA">
        <w:rPr>
          <w:rFonts w:ascii="Arial" w:hAnsi="Arial" w:cs="Arial"/>
          <w:sz w:val="20"/>
          <w:szCs w:val="20"/>
        </w:rPr>
        <w:t xml:space="preserve">an </w:t>
      </w:r>
      <w:r w:rsidRPr="005567DA">
        <w:rPr>
          <w:rFonts w:ascii="Arial" w:hAnsi="Arial" w:cs="Arial"/>
          <w:sz w:val="20"/>
          <w:szCs w:val="20"/>
        </w:rPr>
        <w:t>applicant to be eligible for a tenancy in social housing;</w:t>
      </w:r>
    </w:p>
    <w:p w:rsidR="00E05D3E" w:rsidRPr="005567DA" w:rsidRDefault="00E05D3E" w:rsidP="00D171AA">
      <w:pPr>
        <w:pStyle w:val="ListParagraph"/>
        <w:numPr>
          <w:ilvl w:val="0"/>
          <w:numId w:val="2"/>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 xml:space="preserve">priority categories for identifying the relative needs of eligible applicants for social housing; and </w:t>
      </w:r>
    </w:p>
    <w:p w:rsidR="00E05D3E" w:rsidRPr="005567DA" w:rsidRDefault="00E05D3E" w:rsidP="00D171AA">
      <w:pPr>
        <w:pStyle w:val="ListParagraph"/>
        <w:numPr>
          <w:ilvl w:val="0"/>
          <w:numId w:val="2"/>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criteria that must be met by an eligible applicant for a particular priority category to apply to that eligible applicant</w:t>
      </w:r>
      <w:r w:rsidR="00CB2F8A" w:rsidRPr="005567DA">
        <w:rPr>
          <w:rFonts w:ascii="Arial" w:hAnsi="Arial" w:cs="Arial"/>
          <w:sz w:val="20"/>
          <w:szCs w:val="20"/>
        </w:rPr>
        <w:t>,</w:t>
      </w:r>
    </w:p>
    <w:p w:rsidR="003B5B3B"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for the purposes of </w:t>
      </w:r>
      <w:r w:rsidR="00514E9C" w:rsidRPr="005567DA">
        <w:rPr>
          <w:rFonts w:ascii="Arial" w:hAnsi="Arial" w:cs="Arial"/>
          <w:sz w:val="20"/>
          <w:szCs w:val="20"/>
        </w:rPr>
        <w:t>allocating</w:t>
      </w:r>
      <w:r w:rsidRPr="005567DA">
        <w:rPr>
          <w:rFonts w:ascii="Arial" w:hAnsi="Arial" w:cs="Arial"/>
          <w:sz w:val="20"/>
          <w:szCs w:val="20"/>
        </w:rPr>
        <w:t xml:space="preserve"> tenancies in social housing to applicants on the Victorian Housing Register</w:t>
      </w:r>
      <w:r w:rsidR="00CE6509" w:rsidRPr="005567DA">
        <w:rPr>
          <w:rFonts w:ascii="Arial" w:hAnsi="Arial" w:cs="Arial"/>
          <w:sz w:val="20"/>
          <w:szCs w:val="20"/>
        </w:rPr>
        <w:t xml:space="preserve"> (Register)</w:t>
      </w:r>
      <w:r w:rsidRPr="005567DA">
        <w:rPr>
          <w:rFonts w:ascii="Arial" w:hAnsi="Arial" w:cs="Arial"/>
          <w:sz w:val="20"/>
          <w:szCs w:val="20"/>
        </w:rPr>
        <w:t xml:space="preserve">. </w:t>
      </w:r>
    </w:p>
    <w:p w:rsidR="00F64639" w:rsidRPr="005567DA" w:rsidRDefault="00F64639" w:rsidP="00D171AA">
      <w:pPr>
        <w:pStyle w:val="ListParagraph"/>
        <w:keepNext/>
        <w:keepLines/>
        <w:numPr>
          <w:ilvl w:val="0"/>
          <w:numId w:val="26"/>
        </w:numPr>
        <w:spacing w:before="240" w:after="120" w:line="270" w:lineRule="atLeast"/>
        <w:ind w:left="357" w:hanging="357"/>
        <w:outlineLvl w:val="0"/>
        <w:rPr>
          <w:rFonts w:ascii="Arial" w:hAnsi="Arial" w:cs="Arial"/>
          <w:b/>
          <w:sz w:val="20"/>
          <w:szCs w:val="20"/>
        </w:rPr>
      </w:pPr>
      <w:r>
        <w:rPr>
          <w:rFonts w:ascii="Arial" w:hAnsi="Arial" w:cs="Arial"/>
          <w:b/>
          <w:sz w:val="20"/>
          <w:szCs w:val="20"/>
        </w:rPr>
        <w:t>ELIGIBILITY CRITERIA</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There are five criteria an applicant must meet to be eligible for </w:t>
      </w:r>
      <w:r w:rsidR="00F609EE" w:rsidRPr="005567DA">
        <w:rPr>
          <w:rFonts w:ascii="Arial" w:hAnsi="Arial" w:cs="Arial"/>
          <w:sz w:val="20"/>
          <w:szCs w:val="20"/>
        </w:rPr>
        <w:t xml:space="preserve">an allocation of </w:t>
      </w:r>
      <w:r w:rsidR="00514E9C" w:rsidRPr="005567DA">
        <w:rPr>
          <w:rFonts w:ascii="Arial" w:hAnsi="Arial" w:cs="Arial"/>
          <w:sz w:val="20"/>
          <w:szCs w:val="20"/>
        </w:rPr>
        <w:t xml:space="preserve">a tenancy in </w:t>
      </w:r>
      <w:r w:rsidR="00F609EE" w:rsidRPr="005567DA">
        <w:rPr>
          <w:rFonts w:ascii="Arial" w:hAnsi="Arial" w:cs="Arial"/>
          <w:sz w:val="20"/>
          <w:szCs w:val="20"/>
        </w:rPr>
        <w:t xml:space="preserve">social housing from </w:t>
      </w:r>
      <w:r w:rsidRPr="005567DA">
        <w:rPr>
          <w:rFonts w:ascii="Arial" w:hAnsi="Arial" w:cs="Arial"/>
          <w:sz w:val="20"/>
          <w:szCs w:val="20"/>
        </w:rPr>
        <w:t xml:space="preserve">the </w:t>
      </w:r>
      <w:r w:rsidR="00F609EE" w:rsidRPr="005567DA">
        <w:rPr>
          <w:rFonts w:ascii="Arial" w:hAnsi="Arial" w:cs="Arial"/>
          <w:sz w:val="20"/>
          <w:szCs w:val="20"/>
        </w:rPr>
        <w:t>R</w:t>
      </w:r>
      <w:r w:rsidRPr="005567DA">
        <w:rPr>
          <w:rFonts w:ascii="Arial" w:hAnsi="Arial" w:cs="Arial"/>
          <w:sz w:val="20"/>
          <w:szCs w:val="20"/>
        </w:rPr>
        <w:t>egister:</w:t>
      </w:r>
    </w:p>
    <w:p w:rsidR="00E05D3E" w:rsidRPr="005567DA" w:rsidRDefault="004C4A87" w:rsidP="00D171AA">
      <w:pPr>
        <w:numPr>
          <w:ilvl w:val="0"/>
          <w:numId w:val="3"/>
        </w:numPr>
        <w:spacing w:after="120" w:line="270" w:lineRule="atLeast"/>
        <w:ind w:left="567" w:hanging="567"/>
        <w:rPr>
          <w:rFonts w:ascii="Arial" w:hAnsi="Arial" w:cs="Arial"/>
          <w:sz w:val="20"/>
          <w:szCs w:val="20"/>
        </w:rPr>
      </w:pPr>
      <w:r w:rsidRPr="005567DA">
        <w:rPr>
          <w:rFonts w:ascii="Arial" w:hAnsi="Arial" w:cs="Arial"/>
          <w:sz w:val="20"/>
          <w:szCs w:val="20"/>
        </w:rPr>
        <w:t xml:space="preserve">proof of </w:t>
      </w:r>
      <w:r w:rsidR="00E05D3E" w:rsidRPr="005567DA">
        <w:rPr>
          <w:rFonts w:ascii="Arial" w:hAnsi="Arial" w:cs="Arial"/>
          <w:sz w:val="20"/>
          <w:szCs w:val="20"/>
        </w:rPr>
        <w:t>identity</w:t>
      </w:r>
    </w:p>
    <w:p w:rsidR="00E05D3E" w:rsidRPr="005567DA" w:rsidRDefault="00E05D3E" w:rsidP="00D171AA">
      <w:pPr>
        <w:numPr>
          <w:ilvl w:val="0"/>
          <w:numId w:val="3"/>
        </w:numPr>
        <w:spacing w:after="120" w:line="270" w:lineRule="atLeast"/>
        <w:ind w:left="567" w:hanging="567"/>
        <w:rPr>
          <w:rFonts w:ascii="Arial" w:hAnsi="Arial" w:cs="Arial"/>
          <w:sz w:val="20"/>
          <w:szCs w:val="20"/>
        </w:rPr>
      </w:pPr>
      <w:r w:rsidRPr="005567DA">
        <w:rPr>
          <w:rFonts w:ascii="Arial" w:hAnsi="Arial" w:cs="Arial"/>
          <w:sz w:val="20"/>
          <w:szCs w:val="20"/>
        </w:rPr>
        <w:t xml:space="preserve">Australian </w:t>
      </w:r>
      <w:r w:rsidR="00D05401" w:rsidRPr="005567DA">
        <w:rPr>
          <w:rFonts w:ascii="Arial" w:hAnsi="Arial" w:cs="Arial"/>
          <w:sz w:val="20"/>
          <w:szCs w:val="20"/>
        </w:rPr>
        <w:t>c</w:t>
      </w:r>
      <w:r w:rsidRPr="005567DA">
        <w:rPr>
          <w:rFonts w:ascii="Arial" w:hAnsi="Arial" w:cs="Arial"/>
          <w:sz w:val="20"/>
          <w:szCs w:val="20"/>
        </w:rPr>
        <w:t>itizenship or residency</w:t>
      </w:r>
    </w:p>
    <w:p w:rsidR="00E05D3E" w:rsidRPr="005567DA" w:rsidRDefault="00E05D3E" w:rsidP="00D171AA">
      <w:pPr>
        <w:numPr>
          <w:ilvl w:val="0"/>
          <w:numId w:val="3"/>
        </w:numPr>
        <w:spacing w:after="120" w:line="270" w:lineRule="atLeast"/>
        <w:ind w:left="567" w:hanging="567"/>
        <w:rPr>
          <w:rFonts w:ascii="Arial" w:hAnsi="Arial" w:cs="Arial"/>
          <w:sz w:val="20"/>
          <w:szCs w:val="20"/>
        </w:rPr>
      </w:pPr>
      <w:r w:rsidRPr="005567DA">
        <w:rPr>
          <w:rFonts w:ascii="Arial" w:hAnsi="Arial" w:cs="Arial"/>
          <w:sz w:val="20"/>
          <w:szCs w:val="20"/>
        </w:rPr>
        <w:t>Victorian residency</w:t>
      </w:r>
    </w:p>
    <w:p w:rsidR="00E05D3E" w:rsidRPr="005567DA" w:rsidRDefault="00E05D3E" w:rsidP="00D171AA">
      <w:pPr>
        <w:numPr>
          <w:ilvl w:val="0"/>
          <w:numId w:val="3"/>
        </w:numPr>
        <w:spacing w:after="120" w:line="270" w:lineRule="atLeast"/>
        <w:ind w:left="567" w:hanging="567"/>
        <w:rPr>
          <w:rFonts w:ascii="Arial" w:hAnsi="Arial" w:cs="Arial"/>
          <w:sz w:val="20"/>
          <w:szCs w:val="20"/>
        </w:rPr>
      </w:pPr>
      <w:r w:rsidRPr="005567DA">
        <w:rPr>
          <w:rFonts w:ascii="Arial" w:hAnsi="Arial" w:cs="Arial"/>
          <w:sz w:val="20"/>
          <w:szCs w:val="20"/>
        </w:rPr>
        <w:t xml:space="preserve">income </w:t>
      </w:r>
      <w:bookmarkStart w:id="0" w:name="_Toc466022766"/>
      <w:r w:rsidRPr="005567DA">
        <w:rPr>
          <w:rFonts w:ascii="Arial" w:hAnsi="Arial" w:cs="Arial"/>
          <w:sz w:val="20"/>
          <w:szCs w:val="20"/>
        </w:rPr>
        <w:t>eligibility</w:t>
      </w:r>
      <w:bookmarkEnd w:id="0"/>
    </w:p>
    <w:p w:rsidR="00E05D3E" w:rsidRPr="005567DA" w:rsidRDefault="00E05D3E" w:rsidP="00D171AA">
      <w:pPr>
        <w:numPr>
          <w:ilvl w:val="0"/>
          <w:numId w:val="3"/>
        </w:numPr>
        <w:spacing w:after="120" w:line="270" w:lineRule="atLeast"/>
        <w:ind w:left="567" w:hanging="567"/>
        <w:rPr>
          <w:rFonts w:ascii="Arial" w:hAnsi="Arial" w:cs="Arial"/>
          <w:sz w:val="20"/>
          <w:szCs w:val="20"/>
        </w:rPr>
      </w:pPr>
      <w:r w:rsidRPr="005567DA">
        <w:rPr>
          <w:rFonts w:ascii="Arial" w:hAnsi="Arial" w:cs="Arial"/>
          <w:sz w:val="20"/>
          <w:szCs w:val="20"/>
        </w:rPr>
        <w:t>asset eligibility</w:t>
      </w:r>
      <w:r w:rsidR="00C569A6">
        <w:rPr>
          <w:rFonts w:ascii="Arial" w:hAnsi="Arial" w:cs="Arial"/>
          <w:sz w:val="20"/>
          <w:szCs w:val="20"/>
        </w:rPr>
        <w:t>.</w:t>
      </w:r>
    </w:p>
    <w:p w:rsidR="00E05D3E" w:rsidRPr="005567DA" w:rsidRDefault="00DD23AA" w:rsidP="00D171AA">
      <w:pPr>
        <w:pStyle w:val="ListParagraph"/>
        <w:keepNext/>
        <w:keepLines/>
        <w:numPr>
          <w:ilvl w:val="0"/>
          <w:numId w:val="26"/>
        </w:numPr>
        <w:spacing w:before="240" w:after="120" w:line="270" w:lineRule="atLeast"/>
        <w:ind w:left="357" w:hanging="357"/>
        <w:outlineLvl w:val="0"/>
        <w:rPr>
          <w:rFonts w:ascii="Arial" w:hAnsi="Arial" w:cs="Arial"/>
          <w:b/>
          <w:sz w:val="20"/>
          <w:szCs w:val="20"/>
        </w:rPr>
      </w:pPr>
      <w:r w:rsidRPr="005567DA">
        <w:rPr>
          <w:rFonts w:ascii="Arial" w:hAnsi="Arial" w:cs="Arial"/>
          <w:b/>
          <w:sz w:val="20"/>
          <w:szCs w:val="20"/>
        </w:rPr>
        <w:t>INCOME ELIGIBILITY</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Primary applicants must have an independent income to be eligible for social housing. An independent income is an income paid directly to the person for their use and is not subject to a Centrelink parental income or assets test.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A household income should be within the income eligibility limits</w:t>
      </w:r>
      <w:r w:rsidR="00C47C87" w:rsidRPr="005567DA">
        <w:rPr>
          <w:rFonts w:ascii="Arial" w:hAnsi="Arial" w:cs="Arial"/>
          <w:sz w:val="20"/>
          <w:szCs w:val="20"/>
        </w:rPr>
        <w:t xml:space="preserve"> specified in these determinations</w:t>
      </w:r>
      <w:r w:rsidRPr="005567DA">
        <w:rPr>
          <w:rFonts w:ascii="Arial" w:hAnsi="Arial" w:cs="Arial"/>
          <w:sz w:val="20"/>
          <w:szCs w:val="20"/>
        </w:rPr>
        <w:t xml:space="preserve">. Income limits are based on household type and there are different limits for Priority Access applications and for Register of Interest and Transfer applications. </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lastRenderedPageBreak/>
        <w:t>To determine total household income, assessable incomes are added together.</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If a household exceeds the income limit for the category they are applying for, they are not considered eligible for that category.</w:t>
      </w:r>
    </w:p>
    <w:p w:rsidR="00E05D3E" w:rsidRPr="00041620"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The Priority Access income limit is based on income eligibility limits for a Commonwealth </w:t>
      </w:r>
      <w:r w:rsidRPr="00041620">
        <w:rPr>
          <w:rFonts w:ascii="Arial" w:hAnsi="Arial" w:cs="Arial"/>
          <w:sz w:val="20"/>
          <w:szCs w:val="20"/>
        </w:rPr>
        <w:t>Low Income Health Care Card.</w:t>
      </w:r>
    </w:p>
    <w:p w:rsidR="002D1CA2" w:rsidRPr="005567DA" w:rsidRDefault="00E05D3E" w:rsidP="00D171AA">
      <w:pPr>
        <w:spacing w:after="120" w:line="270" w:lineRule="atLeast"/>
        <w:rPr>
          <w:rFonts w:ascii="Arial" w:eastAsia="Times New Roman" w:hAnsi="Arial" w:cs="Arial"/>
          <w:b/>
          <w:sz w:val="20"/>
          <w:szCs w:val="20"/>
          <w:lang w:val="en" w:eastAsia="en-AU"/>
        </w:rPr>
      </w:pPr>
      <w:r w:rsidRPr="00041620">
        <w:rPr>
          <w:rFonts w:ascii="Arial" w:hAnsi="Arial" w:cs="Arial"/>
          <w:sz w:val="20"/>
          <w:szCs w:val="20"/>
        </w:rPr>
        <w:t xml:space="preserve">The Register of Interest and Transfer income limit is based on income eligibility limits for Commonwealth Rent Assistance and is set out </w:t>
      </w:r>
      <w:bookmarkStart w:id="1" w:name="limits-for-register-of-interest-housing"/>
      <w:bookmarkEnd w:id="1"/>
      <w:r w:rsidR="002D1CA2" w:rsidRPr="00041620">
        <w:rPr>
          <w:rFonts w:ascii="Arial" w:hAnsi="Arial" w:cs="Arial"/>
          <w:sz w:val="20"/>
          <w:szCs w:val="20"/>
        </w:rPr>
        <w:t>as follows:</w:t>
      </w:r>
    </w:p>
    <w:p w:rsidR="00613B82" w:rsidRPr="00537337" w:rsidRDefault="00F64639" w:rsidP="00613B82">
      <w:pPr>
        <w:pStyle w:val="Heading3"/>
        <w:spacing w:before="240" w:after="24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Income l</w:t>
      </w:r>
      <w:r w:rsidR="00C47C87" w:rsidRPr="00F64639">
        <w:rPr>
          <w:rFonts w:ascii="Arial" w:eastAsia="Times New Roman" w:hAnsi="Arial" w:cs="Arial"/>
          <w:color w:val="auto"/>
          <w:sz w:val="20"/>
          <w:szCs w:val="20"/>
          <w:lang w:val="en" w:eastAsia="en-AU"/>
        </w:rPr>
        <w:t xml:space="preserve">imits for Register of Interest </w:t>
      </w:r>
      <w:r w:rsidR="00D05401" w:rsidRPr="00F64639">
        <w:rPr>
          <w:rFonts w:ascii="Arial" w:eastAsia="Times New Roman" w:hAnsi="Arial" w:cs="Arial"/>
          <w:color w:val="auto"/>
          <w:sz w:val="20"/>
          <w:szCs w:val="20"/>
          <w:lang w:val="en" w:eastAsia="en-AU"/>
        </w:rPr>
        <w:t>applicants</w:t>
      </w:r>
      <w:bookmarkStart w:id="2" w:name="limits-for-priority-access-housing"/>
      <w:bookmarkEnd w:id="2"/>
    </w:p>
    <w:tbl>
      <w:tblPr>
        <w:tblStyle w:val="TableGrid"/>
        <w:tblW w:w="0" w:type="auto"/>
        <w:tblInd w:w="108" w:type="dxa"/>
        <w:tblLook w:val="04A0" w:firstRow="1" w:lastRow="0" w:firstColumn="1" w:lastColumn="0" w:noHBand="0" w:noVBand="1"/>
      </w:tblPr>
      <w:tblGrid>
        <w:gridCol w:w="4111"/>
        <w:gridCol w:w="2330"/>
      </w:tblGrid>
      <w:tr w:rsidR="00C33FC8" w:rsidRPr="005567DA" w:rsidTr="00023689">
        <w:tc>
          <w:tcPr>
            <w:tcW w:w="4111" w:type="dxa"/>
          </w:tcPr>
          <w:p w:rsidR="00C33FC8" w:rsidRPr="00181045" w:rsidRDefault="00C33FC8" w:rsidP="00023689">
            <w:pPr>
              <w:keepNext/>
              <w:shd w:val="clear" w:color="auto" w:fill="FFFFFF"/>
              <w:spacing w:after="120" w:line="270" w:lineRule="atLeast"/>
              <w:outlineLvl w:val="3"/>
              <w:rPr>
                <w:rFonts w:ascii="Arial" w:eastAsia="Times New Roman" w:hAnsi="Arial" w:cs="Arial"/>
                <w:b/>
                <w:sz w:val="20"/>
                <w:szCs w:val="20"/>
                <w:lang w:val="en" w:eastAsia="en-AU"/>
              </w:rPr>
            </w:pPr>
            <w:r w:rsidRPr="00181045">
              <w:rPr>
                <w:rFonts w:ascii="Arial" w:eastAsia="Times New Roman" w:hAnsi="Arial" w:cs="Arial"/>
                <w:b/>
                <w:sz w:val="20"/>
                <w:szCs w:val="20"/>
                <w:lang w:eastAsia="en-AU"/>
              </w:rPr>
              <w:t>Household</w:t>
            </w:r>
          </w:p>
        </w:tc>
        <w:tc>
          <w:tcPr>
            <w:tcW w:w="2330" w:type="dxa"/>
          </w:tcPr>
          <w:p w:rsidR="00C33FC8" w:rsidRDefault="00C33FC8" w:rsidP="00023689">
            <w:pPr>
              <w:spacing w:after="120" w:line="270" w:lineRule="atLeast"/>
              <w:outlineLvl w:val="3"/>
              <w:rPr>
                <w:rFonts w:ascii="Arial" w:eastAsia="Times New Roman" w:hAnsi="Arial" w:cs="Arial"/>
                <w:b/>
                <w:sz w:val="20"/>
                <w:szCs w:val="20"/>
                <w:lang w:eastAsia="en-AU"/>
              </w:rPr>
            </w:pPr>
            <w:r w:rsidRPr="00181045">
              <w:rPr>
                <w:rFonts w:ascii="Arial" w:eastAsia="Times New Roman" w:hAnsi="Arial" w:cs="Arial"/>
                <w:b/>
                <w:sz w:val="20"/>
                <w:szCs w:val="20"/>
                <w:lang w:eastAsia="en-AU"/>
              </w:rPr>
              <w:t>Weekly income</w:t>
            </w:r>
          </w:p>
          <w:p w:rsidR="00C33FC8" w:rsidRPr="00181045" w:rsidRDefault="00C33FC8" w:rsidP="00023689">
            <w:pPr>
              <w:keepNext/>
              <w:spacing w:after="120" w:line="270" w:lineRule="atLeast"/>
              <w:outlineLvl w:val="3"/>
              <w:rPr>
                <w:rFonts w:ascii="Arial" w:eastAsia="Times New Roman" w:hAnsi="Arial" w:cs="Arial"/>
                <w:b/>
                <w:sz w:val="20"/>
                <w:szCs w:val="20"/>
                <w:lang w:val="en" w:eastAsia="en-AU"/>
              </w:rPr>
            </w:pPr>
            <w:r w:rsidRPr="00890110">
              <w:rPr>
                <w:rFonts w:ascii="Arial" w:eastAsia="Times New Roman" w:hAnsi="Arial" w:cs="Arial"/>
                <w:sz w:val="20"/>
                <w:szCs w:val="20"/>
                <w:lang w:eastAsia="en-AU"/>
              </w:rPr>
              <w:t>(Effective 1 April 2018)</w:t>
            </w:r>
          </w:p>
        </w:tc>
      </w:tr>
      <w:tr w:rsidR="00C33FC8" w:rsidRPr="005567DA" w:rsidTr="00023689">
        <w:tc>
          <w:tcPr>
            <w:tcW w:w="4111" w:type="dxa"/>
          </w:tcPr>
          <w:p w:rsidR="00C33FC8" w:rsidRPr="005567DA" w:rsidRDefault="00C33FC8" w:rsidP="00023689">
            <w:pPr>
              <w:keepNext/>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Single person</w:t>
            </w:r>
          </w:p>
        </w:tc>
        <w:tc>
          <w:tcPr>
            <w:tcW w:w="2330" w:type="dxa"/>
          </w:tcPr>
          <w:p w:rsidR="00C33FC8" w:rsidRPr="005567DA" w:rsidRDefault="00C33FC8" w:rsidP="00023689">
            <w:pPr>
              <w:keepNext/>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$9</w:t>
            </w:r>
            <w:r>
              <w:rPr>
                <w:rFonts w:ascii="Arial" w:eastAsia="Times New Roman" w:hAnsi="Arial" w:cs="Arial"/>
                <w:sz w:val="20"/>
                <w:szCs w:val="20"/>
                <w:lang w:eastAsia="en-AU"/>
              </w:rPr>
              <w:t>92</w:t>
            </w:r>
          </w:p>
        </w:tc>
      </w:tr>
      <w:tr w:rsidR="00C33FC8" w:rsidRPr="005567DA" w:rsidTr="00023689">
        <w:tc>
          <w:tcPr>
            <w:tcW w:w="4111" w:type="dxa"/>
          </w:tcPr>
          <w:p w:rsidR="00C33FC8" w:rsidRPr="005567DA" w:rsidRDefault="00C33FC8" w:rsidP="00023689">
            <w:pPr>
              <w:keepNext/>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Couple, no dependants</w:t>
            </w:r>
          </w:p>
        </w:tc>
        <w:tc>
          <w:tcPr>
            <w:tcW w:w="2330" w:type="dxa"/>
          </w:tcPr>
          <w:p w:rsidR="00C33FC8" w:rsidRPr="005567DA" w:rsidRDefault="00C33FC8" w:rsidP="00023689">
            <w:pPr>
              <w:keepNext/>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$1,5</w:t>
            </w:r>
            <w:r>
              <w:rPr>
                <w:rFonts w:ascii="Arial" w:eastAsia="Times New Roman" w:hAnsi="Arial" w:cs="Arial"/>
                <w:sz w:val="20"/>
                <w:szCs w:val="20"/>
                <w:lang w:eastAsia="en-AU"/>
              </w:rPr>
              <w:t>18</w:t>
            </w:r>
          </w:p>
        </w:tc>
      </w:tr>
      <w:tr w:rsidR="00C33FC8" w:rsidRPr="005567DA" w:rsidTr="00023689">
        <w:tc>
          <w:tcPr>
            <w:tcW w:w="4111" w:type="dxa"/>
          </w:tcPr>
          <w:p w:rsidR="00C33FC8" w:rsidRPr="005567DA" w:rsidRDefault="00C33FC8" w:rsidP="00023689">
            <w:pPr>
              <w:spacing w:after="120" w:line="270" w:lineRule="atLeast"/>
              <w:outlineLvl w:val="3"/>
              <w:rPr>
                <w:rFonts w:ascii="Arial" w:eastAsia="Times New Roman" w:hAnsi="Arial" w:cs="Arial"/>
                <w:sz w:val="20"/>
                <w:szCs w:val="20"/>
                <w:lang w:eastAsia="en-AU"/>
              </w:rPr>
            </w:pPr>
            <w:r w:rsidRPr="005567DA">
              <w:rPr>
                <w:rFonts w:ascii="Arial" w:eastAsia="Times New Roman" w:hAnsi="Arial" w:cs="Arial"/>
                <w:sz w:val="20"/>
                <w:szCs w:val="20"/>
                <w:lang w:eastAsia="en-AU"/>
              </w:rPr>
              <w:t xml:space="preserve">Family (one or two parents) with </w:t>
            </w:r>
            <w:r>
              <w:rPr>
                <w:rFonts w:ascii="Arial" w:eastAsia="Times New Roman" w:hAnsi="Arial" w:cs="Arial"/>
                <w:sz w:val="20"/>
                <w:szCs w:val="20"/>
                <w:lang w:eastAsia="en-AU"/>
              </w:rPr>
              <w:t xml:space="preserve">one or two </w:t>
            </w:r>
            <w:r w:rsidRPr="005567DA">
              <w:rPr>
                <w:rFonts w:ascii="Arial" w:eastAsia="Times New Roman" w:hAnsi="Arial" w:cs="Arial"/>
                <w:sz w:val="20"/>
                <w:szCs w:val="20"/>
                <w:lang w:eastAsia="en-AU"/>
              </w:rPr>
              <w:t>dependent children</w:t>
            </w:r>
          </w:p>
        </w:tc>
        <w:tc>
          <w:tcPr>
            <w:tcW w:w="2330" w:type="dxa"/>
          </w:tcPr>
          <w:p w:rsidR="00C33FC8" w:rsidRPr="005567DA" w:rsidRDefault="00C33FC8" w:rsidP="00023689">
            <w:pPr>
              <w:spacing w:after="120" w:line="270" w:lineRule="atLeast"/>
              <w:outlineLvl w:val="3"/>
              <w:rPr>
                <w:rFonts w:ascii="Arial" w:eastAsia="Times New Roman" w:hAnsi="Arial" w:cs="Arial"/>
                <w:sz w:val="20"/>
                <w:szCs w:val="20"/>
                <w:lang w:eastAsia="en-AU"/>
              </w:rPr>
            </w:pPr>
            <w:r>
              <w:rPr>
                <w:rFonts w:ascii="Arial" w:eastAsia="Times New Roman" w:hAnsi="Arial" w:cs="Arial"/>
                <w:sz w:val="20"/>
                <w:szCs w:val="20"/>
                <w:lang w:eastAsia="en-AU"/>
              </w:rPr>
              <w:t>$</w:t>
            </w:r>
            <w:r w:rsidRPr="005567DA">
              <w:rPr>
                <w:rFonts w:ascii="Arial" w:eastAsia="Times New Roman" w:hAnsi="Arial" w:cs="Arial"/>
                <w:sz w:val="20"/>
                <w:szCs w:val="20"/>
                <w:lang w:eastAsia="en-AU"/>
              </w:rPr>
              <w:t>2,0</w:t>
            </w:r>
            <w:r>
              <w:rPr>
                <w:rFonts w:ascii="Arial" w:eastAsia="Times New Roman" w:hAnsi="Arial" w:cs="Arial"/>
                <w:sz w:val="20"/>
                <w:szCs w:val="20"/>
                <w:lang w:eastAsia="en-AU"/>
              </w:rPr>
              <w:t>47</w:t>
            </w:r>
          </w:p>
        </w:tc>
      </w:tr>
      <w:tr w:rsidR="00C33FC8" w:rsidRPr="005567DA" w:rsidTr="00023689">
        <w:tc>
          <w:tcPr>
            <w:tcW w:w="4111" w:type="dxa"/>
          </w:tcPr>
          <w:p w:rsidR="00C33FC8" w:rsidRPr="005567DA" w:rsidRDefault="00C33FC8" w:rsidP="00023689">
            <w:pPr>
              <w:spacing w:after="120" w:line="270" w:lineRule="atLeast"/>
              <w:outlineLvl w:val="3"/>
              <w:rPr>
                <w:rFonts w:ascii="Arial" w:eastAsia="Times New Roman" w:hAnsi="Arial" w:cs="Arial"/>
                <w:sz w:val="20"/>
                <w:szCs w:val="20"/>
                <w:lang w:eastAsia="en-AU"/>
              </w:rPr>
            </w:pPr>
            <w:r w:rsidRPr="003601D1">
              <w:rPr>
                <w:rFonts w:ascii="Arial" w:eastAsia="Times New Roman" w:hAnsi="Arial" w:cs="Arial"/>
                <w:sz w:val="20"/>
                <w:szCs w:val="20"/>
                <w:lang w:eastAsia="en-AU"/>
              </w:rPr>
              <w:t>Each additional depend</w:t>
            </w:r>
            <w:r>
              <w:rPr>
                <w:rFonts w:ascii="Arial" w:eastAsia="Times New Roman" w:hAnsi="Arial" w:cs="Arial"/>
                <w:sz w:val="20"/>
                <w:szCs w:val="20"/>
                <w:lang w:eastAsia="en-AU"/>
              </w:rPr>
              <w:t>e</w:t>
            </w:r>
            <w:r w:rsidRPr="003601D1">
              <w:rPr>
                <w:rFonts w:ascii="Arial" w:eastAsia="Times New Roman" w:hAnsi="Arial" w:cs="Arial"/>
                <w:sz w:val="20"/>
                <w:szCs w:val="20"/>
                <w:lang w:eastAsia="en-AU"/>
              </w:rPr>
              <w:t>nt</w:t>
            </w:r>
            <w:r>
              <w:rPr>
                <w:rFonts w:ascii="Arial" w:eastAsia="Times New Roman" w:hAnsi="Arial" w:cs="Arial"/>
                <w:sz w:val="20"/>
                <w:szCs w:val="20"/>
                <w:lang w:eastAsia="en-AU"/>
              </w:rPr>
              <w:t xml:space="preserve"> child</w:t>
            </w:r>
          </w:p>
        </w:tc>
        <w:tc>
          <w:tcPr>
            <w:tcW w:w="2330" w:type="dxa"/>
          </w:tcPr>
          <w:p w:rsidR="00C33FC8" w:rsidRPr="005567DA" w:rsidRDefault="00C33FC8" w:rsidP="00023689">
            <w:pPr>
              <w:spacing w:after="120" w:line="270" w:lineRule="atLeast"/>
              <w:outlineLvl w:val="3"/>
              <w:rPr>
                <w:rFonts w:ascii="Arial" w:eastAsia="Times New Roman" w:hAnsi="Arial" w:cs="Arial"/>
                <w:sz w:val="20"/>
                <w:szCs w:val="20"/>
                <w:lang w:eastAsia="en-AU"/>
              </w:rPr>
            </w:pPr>
            <w:r>
              <w:rPr>
                <w:rFonts w:ascii="Arial" w:eastAsia="Times New Roman" w:hAnsi="Arial" w:cs="Arial"/>
                <w:sz w:val="20"/>
                <w:szCs w:val="20"/>
                <w:lang w:eastAsia="en-AU"/>
              </w:rPr>
              <w:t>$332</w:t>
            </w:r>
          </w:p>
        </w:tc>
      </w:tr>
    </w:tbl>
    <w:p w:rsidR="0034505B" w:rsidRPr="00F64639" w:rsidRDefault="0034505B" w:rsidP="00D171AA">
      <w:pPr>
        <w:spacing w:before="240" w:after="120" w:line="270" w:lineRule="atLeast"/>
        <w:rPr>
          <w:rFonts w:ascii="Arial" w:hAnsi="Arial" w:cs="Arial"/>
          <w:sz w:val="20"/>
          <w:szCs w:val="20"/>
        </w:rPr>
      </w:pPr>
      <w:r w:rsidRPr="00F64639">
        <w:rPr>
          <w:rFonts w:ascii="Arial" w:hAnsi="Arial" w:cs="Arial"/>
          <w:sz w:val="20"/>
          <w:szCs w:val="20"/>
        </w:rPr>
        <w:t xml:space="preserve">Every six months, on the 1st of April and 1st of October, the income limits above </w:t>
      </w:r>
      <w:r w:rsidR="006B750D" w:rsidRPr="00F64639">
        <w:rPr>
          <w:rFonts w:ascii="Arial" w:hAnsi="Arial" w:cs="Arial"/>
          <w:sz w:val="20"/>
          <w:szCs w:val="20"/>
        </w:rPr>
        <w:t>will be</w:t>
      </w:r>
      <w:r w:rsidRPr="00F64639">
        <w:rPr>
          <w:rFonts w:ascii="Arial" w:hAnsi="Arial" w:cs="Arial"/>
          <w:sz w:val="20"/>
          <w:szCs w:val="20"/>
        </w:rPr>
        <w:t xml:space="preserve"> increased by 1.1 per cent to reflect increases in the general cost of living.</w:t>
      </w:r>
    </w:p>
    <w:p w:rsidR="00C47C87" w:rsidRPr="00F64639" w:rsidRDefault="00F64639" w:rsidP="00D171AA">
      <w:pPr>
        <w:pStyle w:val="Heading3"/>
        <w:spacing w:before="240" w:after="24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Income l</w:t>
      </w:r>
      <w:r w:rsidRPr="00F64639">
        <w:rPr>
          <w:rFonts w:ascii="Arial" w:eastAsia="Times New Roman" w:hAnsi="Arial" w:cs="Arial"/>
          <w:color w:val="auto"/>
          <w:sz w:val="20"/>
          <w:szCs w:val="20"/>
          <w:lang w:val="en" w:eastAsia="en-AU"/>
        </w:rPr>
        <w:t xml:space="preserve">imits for </w:t>
      </w:r>
      <w:r>
        <w:rPr>
          <w:rFonts w:ascii="Arial" w:eastAsia="Times New Roman" w:hAnsi="Arial" w:cs="Arial"/>
          <w:color w:val="auto"/>
          <w:sz w:val="20"/>
          <w:szCs w:val="20"/>
          <w:lang w:val="en" w:eastAsia="en-AU"/>
        </w:rPr>
        <w:t>Priority Access</w:t>
      </w:r>
      <w:r w:rsidRPr="00F64639">
        <w:rPr>
          <w:rFonts w:ascii="Arial" w:eastAsia="Times New Roman" w:hAnsi="Arial" w:cs="Arial"/>
          <w:color w:val="auto"/>
          <w:sz w:val="20"/>
          <w:szCs w:val="20"/>
          <w:lang w:val="en" w:eastAsia="en-AU"/>
        </w:rPr>
        <w:t xml:space="preserve"> applicants</w:t>
      </w:r>
    </w:p>
    <w:tbl>
      <w:tblPr>
        <w:tblStyle w:val="TableGrid"/>
        <w:tblW w:w="0" w:type="auto"/>
        <w:tblInd w:w="108" w:type="dxa"/>
        <w:tblLook w:val="04A0" w:firstRow="1" w:lastRow="0" w:firstColumn="1" w:lastColumn="0" w:noHBand="0" w:noVBand="1"/>
      </w:tblPr>
      <w:tblGrid>
        <w:gridCol w:w="4111"/>
        <w:gridCol w:w="2330"/>
      </w:tblGrid>
      <w:tr w:rsidR="00C33FC8" w:rsidRPr="005567DA" w:rsidTr="00023689">
        <w:tc>
          <w:tcPr>
            <w:tcW w:w="4111" w:type="dxa"/>
          </w:tcPr>
          <w:p w:rsidR="00C33FC8" w:rsidRPr="00181045" w:rsidRDefault="00C33FC8" w:rsidP="00023689">
            <w:pPr>
              <w:shd w:val="clear" w:color="auto" w:fill="FFFFFF"/>
              <w:spacing w:after="120" w:line="270" w:lineRule="atLeast"/>
              <w:outlineLvl w:val="3"/>
              <w:rPr>
                <w:rFonts w:ascii="Arial" w:eastAsia="Times New Roman" w:hAnsi="Arial" w:cs="Arial"/>
                <w:b/>
                <w:sz w:val="20"/>
                <w:szCs w:val="20"/>
                <w:lang w:val="en" w:eastAsia="en-AU"/>
              </w:rPr>
            </w:pPr>
            <w:r w:rsidRPr="00181045">
              <w:rPr>
                <w:rFonts w:ascii="Arial" w:eastAsia="Times New Roman" w:hAnsi="Arial" w:cs="Arial"/>
                <w:b/>
                <w:sz w:val="20"/>
                <w:szCs w:val="20"/>
                <w:lang w:eastAsia="en-AU"/>
              </w:rPr>
              <w:t>Household</w:t>
            </w:r>
          </w:p>
        </w:tc>
        <w:tc>
          <w:tcPr>
            <w:tcW w:w="2330" w:type="dxa"/>
          </w:tcPr>
          <w:p w:rsidR="00C33FC8" w:rsidRDefault="00C33FC8" w:rsidP="00023689">
            <w:pPr>
              <w:spacing w:after="120" w:line="270" w:lineRule="atLeast"/>
              <w:outlineLvl w:val="3"/>
              <w:rPr>
                <w:rFonts w:ascii="Arial" w:eastAsia="Times New Roman" w:hAnsi="Arial" w:cs="Arial"/>
                <w:b/>
                <w:sz w:val="20"/>
                <w:szCs w:val="20"/>
                <w:lang w:eastAsia="en-AU"/>
              </w:rPr>
            </w:pPr>
            <w:r w:rsidRPr="00181045">
              <w:rPr>
                <w:rFonts w:ascii="Arial" w:eastAsia="Times New Roman" w:hAnsi="Arial" w:cs="Arial"/>
                <w:b/>
                <w:sz w:val="20"/>
                <w:szCs w:val="20"/>
                <w:lang w:eastAsia="en-AU"/>
              </w:rPr>
              <w:t>Weekly income</w:t>
            </w:r>
          </w:p>
          <w:p w:rsidR="00C33FC8" w:rsidRPr="00046B60" w:rsidRDefault="00C33FC8" w:rsidP="00023689">
            <w:pPr>
              <w:spacing w:after="120" w:line="270" w:lineRule="atLeast"/>
              <w:outlineLvl w:val="3"/>
              <w:rPr>
                <w:rFonts w:ascii="Arial" w:eastAsia="Times New Roman" w:hAnsi="Arial" w:cs="Arial"/>
                <w:sz w:val="20"/>
                <w:szCs w:val="20"/>
                <w:lang w:val="en" w:eastAsia="en-AU"/>
              </w:rPr>
            </w:pPr>
            <w:r w:rsidRPr="00046B60">
              <w:rPr>
                <w:rFonts w:ascii="Arial" w:eastAsia="Times New Roman" w:hAnsi="Arial" w:cs="Arial"/>
                <w:sz w:val="20"/>
                <w:szCs w:val="20"/>
                <w:lang w:eastAsia="en-AU"/>
              </w:rPr>
              <w:t>(Effective 1 April 2018)</w:t>
            </w:r>
          </w:p>
        </w:tc>
      </w:tr>
      <w:tr w:rsidR="00C33FC8" w:rsidRPr="005567DA" w:rsidTr="00023689">
        <w:tc>
          <w:tcPr>
            <w:tcW w:w="4111" w:type="dxa"/>
          </w:tcPr>
          <w:p w:rsidR="00C33FC8" w:rsidRPr="005567DA" w:rsidRDefault="00C33FC8" w:rsidP="00023689">
            <w:pPr>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Single person</w:t>
            </w:r>
          </w:p>
        </w:tc>
        <w:tc>
          <w:tcPr>
            <w:tcW w:w="2330" w:type="dxa"/>
          </w:tcPr>
          <w:p w:rsidR="00C33FC8" w:rsidRPr="005567DA" w:rsidRDefault="00C33FC8" w:rsidP="00023689">
            <w:pPr>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$5</w:t>
            </w:r>
            <w:r>
              <w:rPr>
                <w:rFonts w:ascii="Arial" w:eastAsia="Times New Roman" w:hAnsi="Arial" w:cs="Arial"/>
                <w:sz w:val="20"/>
                <w:szCs w:val="20"/>
                <w:lang w:eastAsia="en-AU"/>
              </w:rPr>
              <w:t>55</w:t>
            </w:r>
          </w:p>
        </w:tc>
      </w:tr>
      <w:tr w:rsidR="00C33FC8" w:rsidRPr="005567DA" w:rsidTr="00023689">
        <w:tc>
          <w:tcPr>
            <w:tcW w:w="4111" w:type="dxa"/>
          </w:tcPr>
          <w:p w:rsidR="00C33FC8" w:rsidRPr="005567DA" w:rsidRDefault="00C33FC8" w:rsidP="00023689">
            <w:pPr>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Couple, no dependants</w:t>
            </w:r>
          </w:p>
        </w:tc>
        <w:tc>
          <w:tcPr>
            <w:tcW w:w="2330" w:type="dxa"/>
          </w:tcPr>
          <w:p w:rsidR="00C33FC8" w:rsidRPr="005567DA" w:rsidRDefault="00C33FC8" w:rsidP="00023689">
            <w:pPr>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w:t>
            </w:r>
            <w:r>
              <w:rPr>
                <w:rFonts w:ascii="Arial" w:eastAsia="Times New Roman" w:hAnsi="Arial" w:cs="Arial"/>
                <w:sz w:val="20"/>
                <w:szCs w:val="20"/>
                <w:lang w:eastAsia="en-AU"/>
              </w:rPr>
              <w:t>95</w:t>
            </w:r>
            <w:r w:rsidRPr="005567DA">
              <w:rPr>
                <w:rFonts w:ascii="Arial" w:eastAsia="Times New Roman" w:hAnsi="Arial" w:cs="Arial"/>
                <w:sz w:val="20"/>
                <w:szCs w:val="20"/>
                <w:lang w:eastAsia="en-AU"/>
              </w:rPr>
              <w:t>9</w:t>
            </w:r>
          </w:p>
        </w:tc>
      </w:tr>
      <w:tr w:rsidR="00C33FC8" w:rsidRPr="005567DA" w:rsidTr="00023689">
        <w:tc>
          <w:tcPr>
            <w:tcW w:w="4111" w:type="dxa"/>
          </w:tcPr>
          <w:p w:rsidR="00C33FC8" w:rsidRPr="005567DA" w:rsidRDefault="00C33FC8" w:rsidP="00023689">
            <w:pPr>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Family (one or two parents) with one dependent child</w:t>
            </w:r>
          </w:p>
        </w:tc>
        <w:tc>
          <w:tcPr>
            <w:tcW w:w="2330" w:type="dxa"/>
          </w:tcPr>
          <w:p w:rsidR="00C33FC8" w:rsidRPr="005567DA" w:rsidRDefault="00C33FC8" w:rsidP="00023689">
            <w:pPr>
              <w:spacing w:after="120" w:line="270" w:lineRule="atLeast"/>
              <w:outlineLvl w:val="3"/>
              <w:rPr>
                <w:rFonts w:ascii="Arial" w:eastAsia="Times New Roman" w:hAnsi="Arial" w:cs="Arial"/>
                <w:sz w:val="20"/>
                <w:szCs w:val="20"/>
                <w:lang w:val="en" w:eastAsia="en-AU"/>
              </w:rPr>
            </w:pPr>
            <w:r w:rsidRPr="005567DA">
              <w:rPr>
                <w:rFonts w:ascii="Arial" w:eastAsia="Times New Roman" w:hAnsi="Arial" w:cs="Arial"/>
                <w:sz w:val="20"/>
                <w:szCs w:val="20"/>
                <w:lang w:eastAsia="en-AU"/>
              </w:rPr>
              <w:t>$9</w:t>
            </w:r>
            <w:r>
              <w:rPr>
                <w:rFonts w:ascii="Arial" w:eastAsia="Times New Roman" w:hAnsi="Arial" w:cs="Arial"/>
                <w:sz w:val="20"/>
                <w:szCs w:val="20"/>
                <w:lang w:eastAsia="en-AU"/>
              </w:rPr>
              <w:t>95</w:t>
            </w:r>
          </w:p>
        </w:tc>
      </w:tr>
      <w:tr w:rsidR="00C33FC8" w:rsidRPr="005567DA" w:rsidTr="00023689">
        <w:tc>
          <w:tcPr>
            <w:tcW w:w="4111" w:type="dxa"/>
          </w:tcPr>
          <w:p w:rsidR="00C33FC8" w:rsidRPr="005567DA" w:rsidRDefault="00C33FC8" w:rsidP="00023689">
            <w:pPr>
              <w:spacing w:after="120" w:line="270" w:lineRule="atLeast"/>
              <w:outlineLvl w:val="3"/>
              <w:rPr>
                <w:rFonts w:ascii="Arial" w:eastAsia="Times New Roman" w:hAnsi="Arial" w:cs="Arial"/>
                <w:sz w:val="20"/>
                <w:szCs w:val="20"/>
                <w:lang w:eastAsia="en-AU"/>
              </w:rPr>
            </w:pPr>
            <w:r w:rsidRPr="005567DA">
              <w:rPr>
                <w:rFonts w:ascii="Arial" w:eastAsia="Times New Roman" w:hAnsi="Arial" w:cs="Arial"/>
                <w:sz w:val="20"/>
                <w:szCs w:val="20"/>
                <w:lang w:eastAsia="en-AU"/>
              </w:rPr>
              <w:t>Each additional depend</w:t>
            </w:r>
            <w:r>
              <w:rPr>
                <w:rFonts w:ascii="Arial" w:eastAsia="Times New Roman" w:hAnsi="Arial" w:cs="Arial"/>
                <w:sz w:val="20"/>
                <w:szCs w:val="20"/>
                <w:lang w:eastAsia="en-AU"/>
              </w:rPr>
              <w:t>e</w:t>
            </w:r>
            <w:r w:rsidRPr="005567DA">
              <w:rPr>
                <w:rFonts w:ascii="Arial" w:eastAsia="Times New Roman" w:hAnsi="Arial" w:cs="Arial"/>
                <w:sz w:val="20"/>
                <w:szCs w:val="20"/>
                <w:lang w:eastAsia="en-AU"/>
              </w:rPr>
              <w:t>nt</w:t>
            </w:r>
            <w:r>
              <w:rPr>
                <w:rFonts w:ascii="Arial" w:eastAsia="Times New Roman" w:hAnsi="Arial" w:cs="Arial"/>
                <w:sz w:val="20"/>
                <w:szCs w:val="20"/>
                <w:lang w:eastAsia="en-AU"/>
              </w:rPr>
              <w:t xml:space="preserve"> child</w:t>
            </w:r>
          </w:p>
        </w:tc>
        <w:tc>
          <w:tcPr>
            <w:tcW w:w="2330" w:type="dxa"/>
          </w:tcPr>
          <w:p w:rsidR="00C33FC8" w:rsidRPr="005567DA" w:rsidRDefault="00C33FC8" w:rsidP="00023689">
            <w:pPr>
              <w:spacing w:after="120" w:line="270" w:lineRule="atLeast"/>
              <w:outlineLvl w:val="3"/>
              <w:rPr>
                <w:rFonts w:ascii="Arial" w:eastAsia="Times New Roman" w:hAnsi="Arial" w:cs="Arial"/>
                <w:sz w:val="20"/>
                <w:szCs w:val="20"/>
                <w:lang w:eastAsia="en-AU"/>
              </w:rPr>
            </w:pPr>
            <w:r w:rsidRPr="005567DA">
              <w:rPr>
                <w:rFonts w:ascii="Arial" w:eastAsia="Times New Roman" w:hAnsi="Arial" w:cs="Arial"/>
                <w:sz w:val="20"/>
                <w:szCs w:val="20"/>
                <w:lang w:eastAsia="en-AU"/>
              </w:rPr>
              <w:t>$</w:t>
            </w:r>
            <w:r>
              <w:rPr>
                <w:rFonts w:ascii="Arial" w:eastAsia="Times New Roman" w:hAnsi="Arial" w:cs="Arial"/>
                <w:sz w:val="20"/>
                <w:szCs w:val="20"/>
                <w:lang w:eastAsia="en-AU"/>
              </w:rPr>
              <w:t>35</w:t>
            </w:r>
          </w:p>
        </w:tc>
      </w:tr>
    </w:tbl>
    <w:p w:rsidR="0034505B" w:rsidRPr="005567DA" w:rsidRDefault="0034505B" w:rsidP="00D171AA">
      <w:pPr>
        <w:spacing w:before="240" w:after="120" w:line="270" w:lineRule="atLeast"/>
        <w:rPr>
          <w:rFonts w:ascii="Arial" w:hAnsi="Arial" w:cs="Arial"/>
          <w:sz w:val="20"/>
          <w:szCs w:val="20"/>
        </w:rPr>
      </w:pPr>
      <w:r w:rsidRPr="005567DA">
        <w:rPr>
          <w:rFonts w:ascii="Arial" w:hAnsi="Arial" w:cs="Arial"/>
          <w:sz w:val="20"/>
          <w:szCs w:val="20"/>
        </w:rPr>
        <w:t xml:space="preserve">Every six months, on 1 April and 1 October, the income limits above </w:t>
      </w:r>
      <w:r w:rsidR="006B750D" w:rsidRPr="005567DA">
        <w:rPr>
          <w:rFonts w:ascii="Arial" w:hAnsi="Arial" w:cs="Arial"/>
          <w:sz w:val="20"/>
          <w:szCs w:val="20"/>
        </w:rPr>
        <w:t>will be</w:t>
      </w:r>
      <w:r w:rsidRPr="005567DA">
        <w:rPr>
          <w:rFonts w:ascii="Arial" w:hAnsi="Arial" w:cs="Arial"/>
          <w:sz w:val="20"/>
          <w:szCs w:val="20"/>
        </w:rPr>
        <w:t xml:space="preserve"> increased by 1.1 per cent to reflect increases in the general cost of living.</w:t>
      </w:r>
    </w:p>
    <w:p w:rsidR="00F64639"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Considerations</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Eligibility for group households or extended families is determined by the income of each family unit within the household. </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If Centrelink income is the only income received by each household member, the household is considered eligible even though their total income amount may be over the household income limit.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lastRenderedPageBreak/>
        <w:t>Where an applicant’s Centrelink income is temporarily reduced due to an activity test or administrative breach, their income eligibility assessment is still made on the applicant’s full Centrelink entitlement.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Where a non-custodial parent has regular access visits from their children, the income limit used for determining eligibility is based on the household including those children. Every second weekend and half school holidays </w:t>
      </w:r>
      <w:r w:rsidR="008465FE" w:rsidRPr="005567DA">
        <w:rPr>
          <w:rFonts w:ascii="Arial" w:hAnsi="Arial" w:cs="Arial"/>
          <w:sz w:val="20"/>
          <w:szCs w:val="20"/>
        </w:rPr>
        <w:t xml:space="preserve">or more </w:t>
      </w:r>
      <w:r w:rsidRPr="005567DA">
        <w:rPr>
          <w:rFonts w:ascii="Arial" w:hAnsi="Arial" w:cs="Arial"/>
          <w:sz w:val="20"/>
          <w:szCs w:val="20"/>
        </w:rPr>
        <w:t xml:space="preserve">constitutes </w:t>
      </w:r>
      <w:r w:rsidR="008465FE" w:rsidRPr="005567DA">
        <w:rPr>
          <w:rFonts w:ascii="Arial" w:hAnsi="Arial" w:cs="Arial"/>
          <w:sz w:val="20"/>
          <w:szCs w:val="20"/>
        </w:rPr>
        <w:t>regular access</w:t>
      </w:r>
      <w:r w:rsidRPr="005567DA">
        <w:rPr>
          <w:rFonts w:ascii="Arial" w:hAnsi="Arial" w:cs="Arial"/>
          <w:sz w:val="20"/>
          <w:szCs w:val="20"/>
        </w:rPr>
        <w: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Where an applicant subject to the Centrelink two year waiting period is receiving income from wages, </w:t>
      </w:r>
      <w:r w:rsidRPr="005567DA">
        <w:rPr>
          <w:rFonts w:ascii="Arial" w:hAnsi="Arial" w:cs="Arial"/>
          <w:sz w:val="20"/>
          <w:szCs w:val="20"/>
        </w:rPr>
        <w:br/>
        <w:t>self-employment or child related payments, they are not considered to have an independent income for social housing eligibility purposes.</w:t>
      </w:r>
    </w:p>
    <w:p w:rsidR="00A70CB1" w:rsidRPr="005567DA" w:rsidRDefault="00A70CB1" w:rsidP="00D171AA">
      <w:pPr>
        <w:spacing w:after="120" w:line="270" w:lineRule="atLeast"/>
        <w:rPr>
          <w:rFonts w:ascii="Arial" w:hAnsi="Arial" w:cs="Arial"/>
          <w:sz w:val="20"/>
          <w:szCs w:val="20"/>
        </w:rPr>
      </w:pPr>
      <w:r w:rsidRPr="005567DA">
        <w:rPr>
          <w:rFonts w:ascii="Arial" w:hAnsi="Arial" w:cs="Arial"/>
          <w:sz w:val="20"/>
          <w:szCs w:val="20"/>
        </w:rPr>
        <w:t>Where a partnered couple apply for social housing but one partner is ineligible because they hold a temporary spouse visa or they are permanent residents but subject to the Centrelink two year waiting period, the relevant couple income limit is applied when determining income eligibility.</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Applicants or household members that include people who are in prison are not required to provide income documentation for that person until they are released from prison. Income eligibility can be assessed once the applicant is released from prison.</w:t>
      </w:r>
    </w:p>
    <w:p w:rsidR="00F3056F"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If a top-up Veterans Affairs payment in addition to a Centrelink payment makes an application ineligible</w:t>
      </w:r>
      <w:r w:rsidR="003D46EB" w:rsidRPr="005567DA">
        <w:rPr>
          <w:rFonts w:ascii="Arial" w:hAnsi="Arial" w:cs="Arial"/>
          <w:sz w:val="20"/>
          <w:szCs w:val="20"/>
        </w:rPr>
        <w:t>,</w:t>
      </w:r>
      <w:r w:rsidRPr="005567DA">
        <w:rPr>
          <w:rFonts w:ascii="Arial" w:hAnsi="Arial" w:cs="Arial"/>
          <w:sz w:val="20"/>
          <w:szCs w:val="20"/>
        </w:rPr>
        <w:t xml:space="preserve"> the </w:t>
      </w:r>
      <w:r w:rsidR="00C64A00" w:rsidRPr="005567DA">
        <w:rPr>
          <w:rFonts w:ascii="Arial" w:hAnsi="Arial" w:cs="Arial"/>
          <w:sz w:val="20"/>
          <w:szCs w:val="20"/>
        </w:rPr>
        <w:t xml:space="preserve">designated service </w:t>
      </w:r>
      <w:r w:rsidRPr="005567DA">
        <w:rPr>
          <w:rFonts w:ascii="Arial" w:hAnsi="Arial" w:cs="Arial"/>
          <w:sz w:val="20"/>
          <w:szCs w:val="20"/>
        </w:rPr>
        <w:t>provider may use discretion to still approve the application.</w:t>
      </w:r>
    </w:p>
    <w:p w:rsidR="00F64639"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Assessable and non-assessable incomes</w:t>
      </w:r>
    </w:p>
    <w:p w:rsidR="003B5B3B" w:rsidRPr="005567DA" w:rsidRDefault="003B5B3B" w:rsidP="00D171AA">
      <w:pPr>
        <w:spacing w:after="120" w:line="270" w:lineRule="atLeast"/>
        <w:rPr>
          <w:rFonts w:ascii="Arial" w:hAnsi="Arial" w:cs="Arial"/>
          <w:sz w:val="20"/>
          <w:szCs w:val="20"/>
        </w:rPr>
      </w:pPr>
      <w:r w:rsidRPr="005567DA">
        <w:rPr>
          <w:rFonts w:ascii="Arial" w:hAnsi="Arial" w:cs="Arial"/>
          <w:sz w:val="20"/>
          <w:szCs w:val="20"/>
        </w:rPr>
        <w:t>Assessable income is any income that is not deemed non-assessable income.</w:t>
      </w:r>
    </w:p>
    <w:p w:rsidR="003B5B3B" w:rsidRPr="005567DA" w:rsidRDefault="003B5B3B" w:rsidP="00D171AA">
      <w:pPr>
        <w:spacing w:after="120" w:line="270" w:lineRule="atLeast"/>
        <w:rPr>
          <w:rFonts w:ascii="Arial" w:hAnsi="Arial" w:cs="Arial"/>
          <w:sz w:val="20"/>
          <w:szCs w:val="20"/>
        </w:rPr>
      </w:pPr>
      <w:r w:rsidRPr="005567DA">
        <w:rPr>
          <w:rFonts w:ascii="Arial" w:hAnsi="Arial" w:cs="Arial"/>
          <w:sz w:val="20"/>
          <w:szCs w:val="20"/>
        </w:rPr>
        <w:t>Non-assessable incomes are usually payments that are provided for a specific purpose such as the Pharmaceutical Allowance, Large Family Supplement, Caregiver allowances and other financial support for families involved in caring for foster children, or payments that are to facilitate employment or training such as the Education Entry Payment.</w:t>
      </w:r>
    </w:p>
    <w:p w:rsidR="003B5B3B" w:rsidRPr="005567DA" w:rsidRDefault="003B5B3B" w:rsidP="00D171AA">
      <w:pPr>
        <w:spacing w:after="120" w:line="270" w:lineRule="atLeast"/>
        <w:rPr>
          <w:rFonts w:ascii="Arial" w:hAnsi="Arial" w:cs="Arial"/>
          <w:sz w:val="20"/>
          <w:szCs w:val="20"/>
        </w:rPr>
      </w:pPr>
      <w:r w:rsidRPr="005567DA">
        <w:rPr>
          <w:rFonts w:ascii="Arial" w:hAnsi="Arial" w:cs="Arial"/>
          <w:sz w:val="20"/>
          <w:szCs w:val="20"/>
        </w:rPr>
        <w:t xml:space="preserve">Incomes specifically excluded from assessment are the Bereavement Payment, Book Allowance, Carers Allowance, Care </w:t>
      </w:r>
      <w:r w:rsidR="00D05401" w:rsidRPr="005567DA">
        <w:rPr>
          <w:rFonts w:ascii="Arial" w:hAnsi="Arial" w:cs="Arial"/>
          <w:sz w:val="20"/>
          <w:szCs w:val="20"/>
        </w:rPr>
        <w:t>A</w:t>
      </w:r>
      <w:r w:rsidRPr="005567DA">
        <w:rPr>
          <w:rFonts w:ascii="Arial" w:hAnsi="Arial" w:cs="Arial"/>
          <w:sz w:val="20"/>
          <w:szCs w:val="20"/>
        </w:rPr>
        <w:t xml:space="preserve">llowance,  Child Care Benefit, Double Orphan Pension, Large Family Supplement, Family Tax Benefits for 6th and subsequent child, Fares Assistance, GST Components of Allowances, Language, Literacy &amp; Numeracy Supplement, Large Family Supplement, Mobility Allowance, Orphan Pension, Path Internships Incentive, Pharmaceutical Allowance, Pension Supplement, Pension Education Supplement, Restitution </w:t>
      </w:r>
      <w:r w:rsidR="00D05401" w:rsidRPr="005567DA">
        <w:rPr>
          <w:rFonts w:ascii="Arial" w:hAnsi="Arial" w:cs="Arial"/>
          <w:sz w:val="20"/>
          <w:szCs w:val="20"/>
        </w:rPr>
        <w:t>P</w:t>
      </w:r>
      <w:r w:rsidRPr="005567DA">
        <w:rPr>
          <w:rFonts w:ascii="Arial" w:hAnsi="Arial" w:cs="Arial"/>
          <w:sz w:val="20"/>
          <w:szCs w:val="20"/>
        </w:rPr>
        <w:t>ayment from Foreign Governments, TAC Impairment Annuity Benefit, Telephone Allowance, Travel, Meals, Laundry and Accommodation Allo</w:t>
      </w:r>
      <w:r w:rsidR="00D05401" w:rsidRPr="005567DA">
        <w:rPr>
          <w:rFonts w:ascii="Arial" w:hAnsi="Arial" w:cs="Arial"/>
          <w:sz w:val="20"/>
          <w:szCs w:val="20"/>
        </w:rPr>
        <w:t xml:space="preserve">wances, War Disability Pension and </w:t>
      </w:r>
      <w:r w:rsidRPr="005567DA">
        <w:rPr>
          <w:rFonts w:ascii="Arial" w:hAnsi="Arial" w:cs="Arial"/>
          <w:sz w:val="20"/>
          <w:szCs w:val="20"/>
        </w:rPr>
        <w:t>Youth Disability Allowance</w:t>
      </w:r>
    </w:p>
    <w:p w:rsidR="00F64639"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No income</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In limited circumstances, applications listing independent household members who do not receive any income can be approved and placed on the </w:t>
      </w:r>
      <w:r w:rsidR="00D05401" w:rsidRPr="005567DA">
        <w:rPr>
          <w:rFonts w:ascii="Arial" w:hAnsi="Arial" w:cs="Arial"/>
          <w:sz w:val="20"/>
          <w:szCs w:val="20"/>
        </w:rPr>
        <w:t>R</w:t>
      </w:r>
      <w:r w:rsidRPr="005567DA">
        <w:rPr>
          <w:rFonts w:ascii="Arial" w:hAnsi="Arial" w:cs="Arial"/>
          <w:sz w:val="20"/>
          <w:szCs w:val="20"/>
        </w:rPr>
        <w:t>egister, provided they meet all other eligibility criteria. However, applicants are required to provide documentation from Centrelink stating either:</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why they are not entitled to or in receipt of an income</w:t>
      </w:r>
      <w:r w:rsidR="002E65B9" w:rsidRPr="005567DA">
        <w:rPr>
          <w:rFonts w:ascii="Arial" w:hAnsi="Arial" w:cs="Arial"/>
          <w:sz w:val="20"/>
          <w:szCs w:val="20"/>
        </w:rPr>
        <w:t xml:space="preserve"> (</w:t>
      </w:r>
      <w:r w:rsidRPr="005567DA">
        <w:rPr>
          <w:rFonts w:ascii="Arial" w:hAnsi="Arial" w:cs="Arial"/>
          <w:sz w:val="20"/>
          <w:szCs w:val="20"/>
        </w:rPr>
        <w:t>for example they have temporary residency status or are on a two year waiting period, or they have received a compensation payout or an employment termination payout</w:t>
      </w:r>
      <w:r w:rsidR="002E65B9" w:rsidRPr="005567DA">
        <w:rPr>
          <w:rFonts w:ascii="Arial" w:hAnsi="Arial" w:cs="Arial"/>
          <w:sz w:val="20"/>
          <w:szCs w:val="20"/>
        </w:rPr>
        <w:t>); or</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they are entitled to an income but are not claiming it.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Applicants </w:t>
      </w:r>
      <w:r w:rsidR="00041D32" w:rsidRPr="005567DA">
        <w:rPr>
          <w:rFonts w:ascii="Arial" w:hAnsi="Arial" w:cs="Arial"/>
          <w:sz w:val="20"/>
          <w:szCs w:val="20"/>
        </w:rPr>
        <w:t xml:space="preserve">who do not </w:t>
      </w:r>
      <w:r w:rsidRPr="005567DA">
        <w:rPr>
          <w:rFonts w:ascii="Arial" w:hAnsi="Arial" w:cs="Arial"/>
          <w:sz w:val="20"/>
          <w:szCs w:val="20"/>
        </w:rPr>
        <w:t>recei</w:t>
      </w:r>
      <w:r w:rsidR="00041D32" w:rsidRPr="005567DA">
        <w:rPr>
          <w:rFonts w:ascii="Arial" w:hAnsi="Arial" w:cs="Arial"/>
          <w:sz w:val="20"/>
          <w:szCs w:val="20"/>
        </w:rPr>
        <w:t>ve any</w:t>
      </w:r>
      <w:r w:rsidRPr="005567DA">
        <w:rPr>
          <w:rFonts w:ascii="Arial" w:hAnsi="Arial" w:cs="Arial"/>
          <w:sz w:val="20"/>
          <w:szCs w:val="20"/>
        </w:rPr>
        <w:t xml:space="preserve"> income may be referred to a support organisation, to assist them with their housing application and any other needs.</w:t>
      </w:r>
    </w:p>
    <w:p w:rsidR="00923D2E" w:rsidRPr="005567DA" w:rsidRDefault="00E05D3E" w:rsidP="00D171AA">
      <w:pPr>
        <w:pStyle w:val="ListParagraph"/>
        <w:keepNext/>
        <w:keepLines/>
        <w:numPr>
          <w:ilvl w:val="0"/>
          <w:numId w:val="26"/>
        </w:numPr>
        <w:spacing w:before="240" w:after="120" w:line="270" w:lineRule="atLeast"/>
        <w:ind w:left="363" w:hanging="720"/>
        <w:outlineLvl w:val="0"/>
        <w:rPr>
          <w:rFonts w:ascii="Arial" w:eastAsia="MS Gothic" w:hAnsi="Arial" w:cs="Arial"/>
          <w:b/>
          <w:bCs/>
          <w:color w:val="201547"/>
          <w:kern w:val="32"/>
          <w:sz w:val="20"/>
          <w:szCs w:val="20"/>
        </w:rPr>
      </w:pPr>
      <w:bookmarkStart w:id="3" w:name="_PictureBullets"/>
      <w:bookmarkStart w:id="4" w:name="_Toc462145784"/>
      <w:bookmarkStart w:id="5" w:name="_Toc456019852"/>
      <w:bookmarkEnd w:id="3"/>
      <w:r w:rsidRPr="005567DA">
        <w:rPr>
          <w:rFonts w:ascii="Arial" w:hAnsi="Arial" w:cs="Arial"/>
          <w:b/>
          <w:sz w:val="20"/>
          <w:szCs w:val="20"/>
        </w:rPr>
        <w:t>A</w:t>
      </w:r>
      <w:bookmarkEnd w:id="4"/>
      <w:bookmarkEnd w:id="5"/>
      <w:r w:rsidR="00DD23AA" w:rsidRPr="005567DA">
        <w:rPr>
          <w:rFonts w:ascii="Arial" w:hAnsi="Arial" w:cs="Arial"/>
          <w:b/>
          <w:sz w:val="20"/>
          <w:szCs w:val="20"/>
        </w:rPr>
        <w:t>SSET ELIGIBILITY</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The value of the assets for an applicant’s entire household is calculated to determine if they are eligible for social housing. If households have assets that would mean they can afford other forms of long term housing, they are not eligible for social housing.</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lastRenderedPageBreak/>
        <w:t xml:space="preserve">The value of the assets of a household should be within the specified asset eligibility limits set out </w:t>
      </w:r>
      <w:r w:rsidR="0072638D" w:rsidRPr="005567DA">
        <w:rPr>
          <w:rFonts w:ascii="Arial" w:hAnsi="Arial" w:cs="Arial"/>
          <w:sz w:val="20"/>
          <w:szCs w:val="20"/>
        </w:rPr>
        <w:t>below</w:t>
      </w:r>
      <w:r w:rsidRPr="005567DA">
        <w:rPr>
          <w:rFonts w:ascii="Arial" w:hAnsi="Arial" w:cs="Arial"/>
          <w:sz w:val="20"/>
          <w:szCs w:val="20"/>
        </w:rPr>
        <w:t xml:space="preserve">. Asset limits are different for Priority Access, Register of Interest and for people requiring disability modifications. </w:t>
      </w:r>
    </w:p>
    <w:p w:rsidR="00E05D3E"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If a household exceeds the asset limit for the category they are applying for, they are not considered eligible for that category.  </w:t>
      </w:r>
    </w:p>
    <w:p w:rsidR="00F64639" w:rsidRPr="00E84504" w:rsidRDefault="00F64639" w:rsidP="00D171AA">
      <w:pPr>
        <w:pStyle w:val="Heading3"/>
        <w:spacing w:before="240" w:after="120" w:line="270" w:lineRule="atLeast"/>
        <w:rPr>
          <w:rFonts w:ascii="Arial" w:eastAsia="Times New Roman" w:hAnsi="Arial" w:cs="Arial"/>
          <w:color w:val="auto"/>
          <w:sz w:val="20"/>
          <w:szCs w:val="20"/>
          <w:lang w:val="en" w:eastAsia="en-AU"/>
        </w:rPr>
      </w:pPr>
      <w:r w:rsidRPr="00E84504">
        <w:rPr>
          <w:rFonts w:ascii="Arial" w:eastAsia="Times New Roman" w:hAnsi="Arial" w:cs="Arial"/>
          <w:color w:val="auto"/>
          <w:sz w:val="20"/>
          <w:szCs w:val="20"/>
          <w:lang w:val="en" w:eastAsia="en-AU"/>
        </w:rPr>
        <w:t>Considerations</w:t>
      </w:r>
    </w:p>
    <w:p w:rsidR="00215959" w:rsidRPr="00537337" w:rsidRDefault="00EA550D" w:rsidP="00D171AA">
      <w:pPr>
        <w:spacing w:after="120" w:line="270" w:lineRule="atLeast"/>
        <w:rPr>
          <w:rFonts w:ascii="Arial" w:eastAsia="Times New Roman" w:hAnsi="Arial" w:cs="Arial"/>
          <w:sz w:val="20"/>
          <w:szCs w:val="20"/>
        </w:rPr>
      </w:pPr>
      <w:r w:rsidRPr="005567DA">
        <w:rPr>
          <w:rFonts w:ascii="Arial" w:hAnsi="Arial" w:cs="Arial"/>
          <w:sz w:val="20"/>
          <w:szCs w:val="20"/>
        </w:rPr>
        <w:t>Applicants or household members that include people who are in prison are not required to provide asset documentation until they are released from prison. Asset eligibility can be assessed once the applicant is released from prison.</w:t>
      </w:r>
    </w:p>
    <w:p w:rsidR="00F64639" w:rsidRPr="00F64639" w:rsidRDefault="00F64639" w:rsidP="00D171AA">
      <w:pPr>
        <w:pStyle w:val="Heading3"/>
        <w:spacing w:before="240" w:after="24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Asset limits</w:t>
      </w:r>
    </w:p>
    <w:tbl>
      <w:tblPr>
        <w:tblW w:w="6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1"/>
        <w:gridCol w:w="2364"/>
      </w:tblGrid>
      <w:tr w:rsidR="00C33FC8" w:rsidRPr="005567DA" w:rsidTr="00C33FC8">
        <w:trPr>
          <w:trHeight w:val="351"/>
        </w:trPr>
        <w:tc>
          <w:tcPr>
            <w:tcW w:w="4281" w:type="dxa"/>
            <w:vAlign w:val="center"/>
          </w:tcPr>
          <w:p w:rsidR="00C33FC8" w:rsidRPr="005567DA" w:rsidRDefault="00C33FC8" w:rsidP="00D171AA">
            <w:pPr>
              <w:spacing w:after="120" w:line="270" w:lineRule="atLeast"/>
              <w:rPr>
                <w:rFonts w:ascii="Arial" w:hAnsi="Arial" w:cs="Arial"/>
                <w:b/>
                <w:sz w:val="20"/>
                <w:szCs w:val="20"/>
              </w:rPr>
            </w:pPr>
            <w:r w:rsidRPr="005567DA">
              <w:rPr>
                <w:rFonts w:ascii="Arial" w:hAnsi="Arial" w:cs="Arial"/>
                <w:b/>
                <w:sz w:val="20"/>
                <w:szCs w:val="20"/>
              </w:rPr>
              <w:t xml:space="preserve">Register application type </w:t>
            </w:r>
          </w:p>
        </w:tc>
        <w:tc>
          <w:tcPr>
            <w:tcW w:w="2364" w:type="dxa"/>
          </w:tcPr>
          <w:p w:rsidR="00C33FC8" w:rsidRDefault="00C33FC8" w:rsidP="00D171AA">
            <w:pPr>
              <w:spacing w:after="120" w:line="270" w:lineRule="atLeast"/>
              <w:rPr>
                <w:rFonts w:ascii="Arial" w:hAnsi="Arial" w:cs="Arial"/>
                <w:b/>
                <w:sz w:val="20"/>
                <w:szCs w:val="20"/>
              </w:rPr>
            </w:pPr>
            <w:r>
              <w:rPr>
                <w:rFonts w:ascii="Arial" w:hAnsi="Arial" w:cs="Arial"/>
                <w:b/>
                <w:sz w:val="20"/>
                <w:szCs w:val="20"/>
              </w:rPr>
              <w:t>Asset limit</w:t>
            </w:r>
          </w:p>
          <w:p w:rsidR="00C33FC8" w:rsidRPr="005567DA" w:rsidRDefault="00C33FC8" w:rsidP="00D171AA">
            <w:pPr>
              <w:spacing w:after="120" w:line="270" w:lineRule="atLeast"/>
              <w:rPr>
                <w:rFonts w:ascii="Arial" w:hAnsi="Arial" w:cs="Arial"/>
                <w:b/>
                <w:sz w:val="20"/>
                <w:szCs w:val="20"/>
              </w:rPr>
            </w:pPr>
            <w:r w:rsidRPr="00890110">
              <w:rPr>
                <w:rFonts w:ascii="Arial" w:eastAsia="Times New Roman" w:hAnsi="Arial" w:cs="Arial"/>
                <w:sz w:val="20"/>
                <w:szCs w:val="20"/>
                <w:lang w:eastAsia="en-AU"/>
              </w:rPr>
              <w:t>(Effective 1 April 2018)</w:t>
            </w:r>
          </w:p>
        </w:tc>
      </w:tr>
      <w:tr w:rsidR="00C33FC8" w:rsidRPr="005567DA" w:rsidTr="00C33FC8">
        <w:trPr>
          <w:trHeight w:val="364"/>
        </w:trPr>
        <w:tc>
          <w:tcPr>
            <w:tcW w:w="4281" w:type="dxa"/>
            <w:vAlign w:val="bottom"/>
          </w:tcPr>
          <w:p w:rsidR="00C33FC8" w:rsidRPr="005567DA" w:rsidRDefault="00C33FC8" w:rsidP="00D171AA">
            <w:pPr>
              <w:spacing w:after="120" w:line="270" w:lineRule="atLeast"/>
              <w:rPr>
                <w:rFonts w:ascii="Arial" w:hAnsi="Arial" w:cs="Arial"/>
                <w:sz w:val="20"/>
                <w:szCs w:val="20"/>
              </w:rPr>
            </w:pPr>
            <w:r w:rsidRPr="005567DA">
              <w:rPr>
                <w:rFonts w:ascii="Arial" w:hAnsi="Arial" w:cs="Arial"/>
                <w:sz w:val="20"/>
                <w:szCs w:val="20"/>
              </w:rPr>
              <w:t>Priority Access</w:t>
            </w:r>
          </w:p>
        </w:tc>
        <w:tc>
          <w:tcPr>
            <w:tcW w:w="2364" w:type="dxa"/>
            <w:vAlign w:val="bottom"/>
          </w:tcPr>
          <w:p w:rsidR="00C33FC8" w:rsidRPr="005567DA" w:rsidRDefault="00C33FC8" w:rsidP="00372C44">
            <w:pPr>
              <w:spacing w:after="120" w:line="270" w:lineRule="atLeast"/>
              <w:rPr>
                <w:rFonts w:ascii="Arial" w:hAnsi="Arial" w:cs="Arial"/>
                <w:sz w:val="20"/>
                <w:szCs w:val="20"/>
              </w:rPr>
            </w:pPr>
            <w:r w:rsidRPr="005567DA">
              <w:rPr>
                <w:rFonts w:ascii="Arial" w:hAnsi="Arial" w:cs="Arial"/>
                <w:sz w:val="20"/>
                <w:szCs w:val="20"/>
              </w:rPr>
              <w:t>$</w:t>
            </w:r>
            <w:r>
              <w:rPr>
                <w:rFonts w:ascii="Arial" w:hAnsi="Arial" w:cs="Arial"/>
                <w:sz w:val="20"/>
                <w:szCs w:val="20"/>
              </w:rPr>
              <w:t>12,</w:t>
            </w:r>
            <w:r w:rsidR="00372C44">
              <w:rPr>
                <w:rFonts w:ascii="Arial" w:hAnsi="Arial" w:cs="Arial"/>
                <w:sz w:val="20"/>
                <w:szCs w:val="20"/>
              </w:rPr>
              <w:t>758</w:t>
            </w:r>
          </w:p>
        </w:tc>
      </w:tr>
      <w:tr w:rsidR="00C33FC8" w:rsidRPr="005567DA" w:rsidTr="00C33FC8">
        <w:trPr>
          <w:trHeight w:val="351"/>
        </w:trPr>
        <w:tc>
          <w:tcPr>
            <w:tcW w:w="4281" w:type="dxa"/>
            <w:vAlign w:val="bottom"/>
          </w:tcPr>
          <w:p w:rsidR="00C33FC8" w:rsidRPr="005567DA" w:rsidRDefault="00C33FC8" w:rsidP="00D171AA">
            <w:pPr>
              <w:spacing w:after="120" w:line="270" w:lineRule="atLeast"/>
              <w:rPr>
                <w:rFonts w:ascii="Arial" w:hAnsi="Arial" w:cs="Arial"/>
                <w:sz w:val="20"/>
                <w:szCs w:val="20"/>
              </w:rPr>
            </w:pPr>
            <w:r w:rsidRPr="005567DA">
              <w:rPr>
                <w:rFonts w:ascii="Arial" w:hAnsi="Arial" w:cs="Arial"/>
                <w:sz w:val="20"/>
                <w:szCs w:val="20"/>
              </w:rPr>
              <w:t>Register of Interest and Priority Transfers</w:t>
            </w:r>
          </w:p>
        </w:tc>
        <w:tc>
          <w:tcPr>
            <w:tcW w:w="2364" w:type="dxa"/>
            <w:vAlign w:val="bottom"/>
          </w:tcPr>
          <w:p w:rsidR="00C33FC8" w:rsidRPr="005567DA" w:rsidRDefault="00C33FC8" w:rsidP="003601D1">
            <w:pPr>
              <w:spacing w:after="120" w:line="270" w:lineRule="atLeast"/>
              <w:rPr>
                <w:rFonts w:ascii="Arial" w:hAnsi="Arial" w:cs="Arial"/>
                <w:sz w:val="20"/>
                <w:szCs w:val="20"/>
              </w:rPr>
            </w:pPr>
            <w:r w:rsidRPr="005567DA">
              <w:rPr>
                <w:rFonts w:ascii="Arial" w:hAnsi="Arial" w:cs="Arial"/>
                <w:sz w:val="20"/>
                <w:szCs w:val="20"/>
              </w:rPr>
              <w:t>$</w:t>
            </w:r>
            <w:r>
              <w:rPr>
                <w:rFonts w:ascii="Arial" w:hAnsi="Arial" w:cs="Arial"/>
                <w:sz w:val="20"/>
                <w:szCs w:val="20"/>
              </w:rPr>
              <w:t>32,276</w:t>
            </w:r>
          </w:p>
        </w:tc>
      </w:tr>
      <w:tr w:rsidR="00C33FC8" w:rsidRPr="005567DA" w:rsidTr="00C33FC8">
        <w:trPr>
          <w:trHeight w:val="378"/>
        </w:trPr>
        <w:tc>
          <w:tcPr>
            <w:tcW w:w="4281" w:type="dxa"/>
            <w:vAlign w:val="bottom"/>
          </w:tcPr>
          <w:p w:rsidR="00C33FC8" w:rsidRPr="005567DA" w:rsidRDefault="00C33FC8" w:rsidP="00D171AA">
            <w:pPr>
              <w:spacing w:after="120" w:line="270" w:lineRule="atLeast"/>
              <w:rPr>
                <w:rFonts w:ascii="Arial" w:hAnsi="Arial" w:cs="Arial"/>
                <w:sz w:val="20"/>
                <w:szCs w:val="20"/>
              </w:rPr>
            </w:pPr>
            <w:r w:rsidRPr="005567DA">
              <w:rPr>
                <w:rFonts w:ascii="Arial" w:hAnsi="Arial" w:cs="Arial"/>
                <w:sz w:val="20"/>
                <w:szCs w:val="20"/>
              </w:rPr>
              <w:t>Disability modifications</w:t>
            </w:r>
          </w:p>
        </w:tc>
        <w:tc>
          <w:tcPr>
            <w:tcW w:w="2364" w:type="dxa"/>
            <w:vAlign w:val="bottom"/>
          </w:tcPr>
          <w:p w:rsidR="00C33FC8" w:rsidRPr="005567DA" w:rsidRDefault="00C33FC8" w:rsidP="003601D1">
            <w:pPr>
              <w:spacing w:after="120" w:line="270" w:lineRule="atLeast"/>
              <w:rPr>
                <w:rFonts w:ascii="Arial" w:hAnsi="Arial" w:cs="Arial"/>
                <w:sz w:val="20"/>
                <w:szCs w:val="20"/>
              </w:rPr>
            </w:pPr>
            <w:r w:rsidRPr="005567DA">
              <w:rPr>
                <w:rFonts w:ascii="Arial" w:hAnsi="Arial" w:cs="Arial"/>
                <w:sz w:val="20"/>
                <w:szCs w:val="20"/>
              </w:rPr>
              <w:t>$</w:t>
            </w:r>
            <w:r>
              <w:rPr>
                <w:rFonts w:ascii="Arial" w:hAnsi="Arial" w:cs="Arial"/>
                <w:sz w:val="20"/>
                <w:szCs w:val="20"/>
              </w:rPr>
              <w:t>107,588</w:t>
            </w:r>
          </w:p>
        </w:tc>
      </w:tr>
    </w:tbl>
    <w:p w:rsidR="0034505B" w:rsidRPr="00F64639" w:rsidRDefault="0034505B" w:rsidP="00D171AA">
      <w:pPr>
        <w:spacing w:before="240" w:after="120" w:line="270" w:lineRule="atLeast"/>
        <w:rPr>
          <w:rFonts w:ascii="Arial" w:hAnsi="Arial" w:cs="Arial"/>
          <w:sz w:val="20"/>
          <w:szCs w:val="20"/>
        </w:rPr>
      </w:pPr>
      <w:bookmarkStart w:id="6" w:name="_Toc248559671"/>
      <w:bookmarkStart w:id="7" w:name="_Toc271638653"/>
      <w:bookmarkStart w:id="8" w:name="SubSect_LINK15"/>
      <w:r w:rsidRPr="00F64639">
        <w:rPr>
          <w:rFonts w:ascii="Arial" w:hAnsi="Arial" w:cs="Arial"/>
          <w:sz w:val="20"/>
          <w:szCs w:val="20"/>
        </w:rPr>
        <w:t xml:space="preserve">On 1 April every year asset limits </w:t>
      </w:r>
      <w:r w:rsidR="006B750D" w:rsidRPr="00F64639">
        <w:rPr>
          <w:rFonts w:ascii="Arial" w:hAnsi="Arial" w:cs="Arial"/>
          <w:sz w:val="20"/>
          <w:szCs w:val="20"/>
        </w:rPr>
        <w:t xml:space="preserve">above </w:t>
      </w:r>
      <w:r w:rsidRPr="00F64639">
        <w:rPr>
          <w:rFonts w:ascii="Arial" w:hAnsi="Arial" w:cs="Arial"/>
          <w:sz w:val="20"/>
          <w:szCs w:val="20"/>
        </w:rPr>
        <w:t xml:space="preserve">will </w:t>
      </w:r>
      <w:r w:rsidR="006B750D" w:rsidRPr="00F64639">
        <w:rPr>
          <w:rFonts w:ascii="Arial" w:hAnsi="Arial" w:cs="Arial"/>
          <w:sz w:val="20"/>
          <w:szCs w:val="20"/>
        </w:rPr>
        <w:t xml:space="preserve">be </w:t>
      </w:r>
      <w:r w:rsidRPr="00F64639">
        <w:rPr>
          <w:rFonts w:ascii="Arial" w:hAnsi="Arial" w:cs="Arial"/>
          <w:sz w:val="20"/>
          <w:szCs w:val="20"/>
        </w:rPr>
        <w:t>increase</w:t>
      </w:r>
      <w:r w:rsidR="006B750D" w:rsidRPr="00F64639">
        <w:rPr>
          <w:rFonts w:ascii="Arial" w:hAnsi="Arial" w:cs="Arial"/>
          <w:sz w:val="20"/>
          <w:szCs w:val="20"/>
        </w:rPr>
        <w:t>d</w:t>
      </w:r>
      <w:r w:rsidRPr="00F64639">
        <w:rPr>
          <w:rFonts w:ascii="Arial" w:hAnsi="Arial" w:cs="Arial"/>
          <w:sz w:val="20"/>
          <w:szCs w:val="20"/>
        </w:rPr>
        <w:t xml:space="preserve"> by 2.4 per cent to reflect </w:t>
      </w:r>
      <w:r w:rsidR="006B750D" w:rsidRPr="00F64639">
        <w:rPr>
          <w:rFonts w:ascii="Arial" w:hAnsi="Arial" w:cs="Arial"/>
          <w:sz w:val="20"/>
          <w:szCs w:val="20"/>
        </w:rPr>
        <w:t>increases</w:t>
      </w:r>
      <w:r w:rsidRPr="00F64639">
        <w:rPr>
          <w:rFonts w:ascii="Arial" w:hAnsi="Arial" w:cs="Arial"/>
          <w:sz w:val="20"/>
          <w:szCs w:val="20"/>
        </w:rPr>
        <w:t xml:space="preserve"> in </w:t>
      </w:r>
      <w:r w:rsidR="006B750D" w:rsidRPr="00F64639">
        <w:rPr>
          <w:rFonts w:ascii="Arial" w:hAnsi="Arial" w:cs="Arial"/>
          <w:sz w:val="20"/>
          <w:szCs w:val="20"/>
        </w:rPr>
        <w:t>the cost of private rental</w:t>
      </w:r>
      <w:r w:rsidRPr="00F64639">
        <w:rPr>
          <w:rFonts w:ascii="Arial" w:hAnsi="Arial" w:cs="Arial"/>
          <w:sz w:val="20"/>
          <w:szCs w:val="20"/>
        </w:rPr>
        <w:t>.</w:t>
      </w:r>
    </w:p>
    <w:bookmarkEnd w:id="6"/>
    <w:bookmarkEnd w:id="7"/>
    <w:bookmarkEnd w:id="8"/>
    <w:p w:rsidR="00F64639"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Assets included in assessing eligibility</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The dollar value of each household member’s share in any of the following assets are added together to determine eligibility for social housing:</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Baby Bonus (formerly known as maternity payment)</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cash holdings and other investments, such as shares and realisable superannuation funds</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Family Tax Benefit Lump Sum Supplement – annual lump sum increase to the rate of Family Tax Benefit Part A and Family Tax Benefit Part B paid to families following reconciliation of entitlement at end of financial year</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mobile homes and recreational vehicles such as caravans and boats</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net fixed assets of a business</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shares in estates</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land</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Older Australian’s Bonus</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Pension Bonus scheme</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funds managed by a court appointed administrator</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loss of wages component of victims of crime lump sum compensation payment.</w:t>
      </w:r>
    </w:p>
    <w:p w:rsidR="00D150D2" w:rsidRPr="005567DA" w:rsidRDefault="00D150D2" w:rsidP="00D171AA">
      <w:pPr>
        <w:pStyle w:val="DHHSbullet1"/>
        <w:numPr>
          <w:ilvl w:val="0"/>
          <w:numId w:val="0"/>
        </w:numPr>
        <w:spacing w:after="120"/>
        <w:rPr>
          <w:rFonts w:cs="Arial"/>
        </w:rPr>
      </w:pPr>
    </w:p>
    <w:p w:rsidR="00F64639"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Ownership of real estate</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An applicant or household member who owns or has an interest in real estate (excluding land) is ineligible for social housing unless they cannot make ‘effective use’ of the property because:</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lastRenderedPageBreak/>
        <w:t>they are unable to reside in the property or continue to reside in the property</w:t>
      </w:r>
      <w:r w:rsidR="00D05401" w:rsidRPr="005567DA">
        <w:rPr>
          <w:rFonts w:ascii="Arial" w:hAnsi="Arial" w:cs="Arial"/>
          <w:sz w:val="20"/>
          <w:szCs w:val="20"/>
        </w:rPr>
        <w:t>; or</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it is ‘unrealisable’, that is, they are unable to sell their equity in the real estate</w:t>
      </w:r>
      <w:r w:rsidR="00D05401" w:rsidRPr="005567DA">
        <w:rPr>
          <w:rFonts w:ascii="Arial" w:hAnsi="Arial" w:cs="Arial"/>
          <w:sz w:val="20"/>
          <w:szCs w:val="20"/>
        </w:rPr>
        <w: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Examples of circumstances where the property cannot be put to ‘effective use’ are:</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family violence - documentation confirming this is required from a support worker who is providing support to person(s) experiencing family violence</w:t>
      </w:r>
      <w:r w:rsidR="00F4293C" w:rsidRPr="005567DA">
        <w:rPr>
          <w:rFonts w:ascii="Arial" w:hAnsi="Arial" w:cs="Arial"/>
          <w:sz w:val="20"/>
          <w:szCs w:val="20"/>
        </w:rPr>
        <w:t>;</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person cannot or should not occupy the property for medical or health and safety reasons and they are experiencing difficulty selling the property. For example, the person is a police witness and at risk if they remain in the property or the property is unsuitable for a person with mobility difficulties</w:t>
      </w:r>
      <w:r w:rsidR="00F4293C" w:rsidRPr="005567DA">
        <w:rPr>
          <w:rFonts w:ascii="Arial" w:hAnsi="Arial" w:cs="Arial"/>
          <w:sz w:val="20"/>
          <w:szCs w:val="20"/>
        </w:rPr>
        <w:t>; or</w:t>
      </w:r>
    </w:p>
    <w:p w:rsidR="00E05D3E" w:rsidRPr="005567DA" w:rsidRDefault="00E05D3E"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property is part of a contested property settlement and the household member cannot occupy it or sell their equity</w:t>
      </w:r>
      <w:r w:rsidR="00F4293C" w:rsidRPr="005567DA">
        <w:rPr>
          <w:rFonts w:ascii="Arial" w:hAnsi="Arial" w:cs="Arial"/>
          <w:sz w:val="20"/>
          <w:szCs w:val="20"/>
        </w:rPr>
        <w:t>.</w:t>
      </w:r>
    </w:p>
    <w:p w:rsidR="00E05D3E" w:rsidRPr="005567DA" w:rsidRDefault="00E05D3E" w:rsidP="00D171AA">
      <w:pPr>
        <w:spacing w:after="120" w:line="270" w:lineRule="atLeast"/>
        <w:rPr>
          <w:rFonts w:ascii="Arial" w:hAnsi="Arial" w:cs="Arial"/>
          <w:sz w:val="20"/>
          <w:szCs w:val="20"/>
        </w:rPr>
      </w:pPr>
      <w:r w:rsidRPr="005567DA">
        <w:rPr>
          <w:rFonts w:ascii="Arial" w:hAnsi="Arial" w:cs="Arial"/>
          <w:sz w:val="20"/>
          <w:szCs w:val="20"/>
        </w:rPr>
        <w:t xml:space="preserve">Where an applicant or household member is unable to make ‘effective use’ of the property and is unable to realise their equity, the property is exempted from assessment as an asset. However, if the applicant receives their interest or share in the real estate prior to being offered </w:t>
      </w:r>
      <w:r w:rsidR="00B65B04" w:rsidRPr="005567DA">
        <w:rPr>
          <w:rFonts w:ascii="Arial" w:hAnsi="Arial" w:cs="Arial"/>
          <w:sz w:val="20"/>
          <w:szCs w:val="20"/>
        </w:rPr>
        <w:t xml:space="preserve">social </w:t>
      </w:r>
      <w:r w:rsidRPr="005567DA">
        <w:rPr>
          <w:rFonts w:ascii="Arial" w:hAnsi="Arial" w:cs="Arial"/>
          <w:sz w:val="20"/>
          <w:szCs w:val="20"/>
        </w:rPr>
        <w:t>housing and their assets are over the asset eligibility limits, the applica</w:t>
      </w:r>
      <w:r w:rsidR="00B65B04" w:rsidRPr="005567DA">
        <w:rPr>
          <w:rFonts w:ascii="Arial" w:hAnsi="Arial" w:cs="Arial"/>
          <w:sz w:val="20"/>
          <w:szCs w:val="20"/>
        </w:rPr>
        <w:t>nt is not eligible to be allocated a tenancy</w:t>
      </w:r>
      <w:r w:rsidRPr="005567DA">
        <w:rPr>
          <w:rFonts w:ascii="Arial" w:hAnsi="Arial" w:cs="Arial"/>
          <w:sz w:val="20"/>
          <w:szCs w:val="20"/>
        </w:rPr>
        <w:t xml:space="preserve"> from the </w:t>
      </w:r>
      <w:r w:rsidR="00B65B04" w:rsidRPr="005567DA">
        <w:rPr>
          <w:rFonts w:ascii="Arial" w:hAnsi="Arial" w:cs="Arial"/>
          <w:sz w:val="20"/>
          <w:szCs w:val="20"/>
        </w:rPr>
        <w:t>R</w:t>
      </w:r>
      <w:r w:rsidRPr="005567DA">
        <w:rPr>
          <w:rFonts w:ascii="Arial" w:hAnsi="Arial" w:cs="Arial"/>
          <w:sz w:val="20"/>
          <w:szCs w:val="20"/>
        </w:rPr>
        <w:t>egister.</w:t>
      </w:r>
    </w:p>
    <w:p w:rsidR="00E05D3E" w:rsidRPr="005567DA" w:rsidRDefault="00E05D3E" w:rsidP="00D171AA">
      <w:pPr>
        <w:spacing w:after="120" w:line="270" w:lineRule="atLeast"/>
        <w:rPr>
          <w:rFonts w:ascii="Arial" w:hAnsi="Arial" w:cs="Arial"/>
          <w:sz w:val="20"/>
          <w:szCs w:val="20"/>
        </w:rPr>
      </w:pPr>
    </w:p>
    <w:p w:rsidR="00F64639" w:rsidRPr="005567DA" w:rsidRDefault="00F64639" w:rsidP="00D171AA">
      <w:pPr>
        <w:pStyle w:val="ListParagraph"/>
        <w:keepNext/>
        <w:keepLines/>
        <w:numPr>
          <w:ilvl w:val="0"/>
          <w:numId w:val="26"/>
        </w:numPr>
        <w:spacing w:before="240" w:after="120" w:line="270" w:lineRule="atLeast"/>
        <w:ind w:left="357" w:hanging="357"/>
        <w:outlineLvl w:val="0"/>
        <w:rPr>
          <w:rFonts w:ascii="Arial" w:eastAsia="MS Gothic" w:hAnsi="Arial" w:cs="Arial"/>
          <w:b/>
          <w:bCs/>
          <w:color w:val="201547"/>
          <w:kern w:val="32"/>
          <w:sz w:val="20"/>
          <w:szCs w:val="20"/>
        </w:rPr>
      </w:pPr>
      <w:r>
        <w:rPr>
          <w:rFonts w:ascii="Arial" w:hAnsi="Arial" w:cs="Arial"/>
          <w:b/>
          <w:sz w:val="20"/>
          <w:szCs w:val="20"/>
        </w:rPr>
        <w:t>PRIORITY CATEGORIES</w:t>
      </w:r>
    </w:p>
    <w:p w:rsidR="00F64639"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Sections of the Register</w:t>
      </w:r>
    </w:p>
    <w:p w:rsidR="008745CA" w:rsidRPr="005567DA" w:rsidRDefault="008745CA" w:rsidP="00D171AA">
      <w:pPr>
        <w:spacing w:after="120" w:line="270" w:lineRule="atLeast"/>
        <w:rPr>
          <w:rFonts w:ascii="Arial" w:hAnsi="Arial" w:cs="Arial"/>
          <w:sz w:val="20"/>
          <w:szCs w:val="20"/>
        </w:rPr>
      </w:pPr>
      <w:r w:rsidRPr="005567DA">
        <w:rPr>
          <w:rFonts w:ascii="Arial" w:hAnsi="Arial" w:cs="Arial"/>
          <w:sz w:val="20"/>
          <w:szCs w:val="20"/>
        </w:rPr>
        <w:t xml:space="preserve">Applicants for social housing who meet the eligibility criteria are placed on the Register according to their housing need. The Register consists of two application types: </w:t>
      </w:r>
    </w:p>
    <w:p w:rsidR="008745CA" w:rsidRPr="005567DA" w:rsidRDefault="008745CA"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Priority Access – for people most in need of housing</w:t>
      </w:r>
      <w:r w:rsidR="00D05401" w:rsidRPr="005567DA">
        <w:rPr>
          <w:rFonts w:ascii="Arial" w:hAnsi="Arial" w:cs="Arial"/>
          <w:sz w:val="20"/>
          <w:szCs w:val="20"/>
        </w:rPr>
        <w:t>; and</w:t>
      </w:r>
    </w:p>
    <w:p w:rsidR="008745CA" w:rsidRPr="005567DA" w:rsidRDefault="008745CA"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Register of Interest – for people who do not have an urgent housing need but are seeking to live in social housing</w:t>
      </w:r>
      <w:r w:rsidR="00D05401" w:rsidRPr="005567DA">
        <w:rPr>
          <w:rFonts w:ascii="Arial" w:hAnsi="Arial" w:cs="Arial"/>
          <w:sz w:val="20"/>
          <w:szCs w:val="20"/>
        </w:rPr>
        <w:t>.</w:t>
      </w:r>
      <w:r w:rsidRPr="005567DA">
        <w:rPr>
          <w:rFonts w:ascii="Arial" w:hAnsi="Arial" w:cs="Arial"/>
          <w:sz w:val="20"/>
          <w:szCs w:val="20"/>
        </w:rPr>
        <w:t xml:space="preserve"> </w:t>
      </w:r>
    </w:p>
    <w:p w:rsidR="008745CA" w:rsidRPr="00F64639" w:rsidRDefault="00F64639" w:rsidP="00D171AA">
      <w:pPr>
        <w:pStyle w:val="Heading3"/>
        <w:spacing w:before="240" w:after="120" w:line="270" w:lineRule="atLeast"/>
        <w:rPr>
          <w:rFonts w:ascii="Arial" w:eastAsia="Times New Roman" w:hAnsi="Arial" w:cs="Arial"/>
          <w:color w:val="auto"/>
          <w:sz w:val="20"/>
          <w:szCs w:val="20"/>
          <w:lang w:val="en" w:eastAsia="en-AU"/>
        </w:rPr>
      </w:pPr>
      <w:r>
        <w:rPr>
          <w:rFonts w:ascii="Arial" w:eastAsia="Times New Roman" w:hAnsi="Arial" w:cs="Arial"/>
          <w:color w:val="auto"/>
          <w:sz w:val="20"/>
          <w:szCs w:val="20"/>
          <w:lang w:val="en" w:eastAsia="en-AU"/>
        </w:rPr>
        <w:t>Priority categories for identifying the relative housing needs of applicants</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People who are in urgent housing need are prioritised for social housing. In broad terms, this might mean:</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applicant is homeless</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applicant is experiencing or ha</w:t>
      </w:r>
      <w:r w:rsidR="00E913A3" w:rsidRPr="005567DA">
        <w:rPr>
          <w:rFonts w:ascii="Arial" w:hAnsi="Arial" w:cs="Arial"/>
          <w:sz w:val="20"/>
          <w:szCs w:val="20"/>
        </w:rPr>
        <w:t>s</w:t>
      </w:r>
      <w:r w:rsidRPr="005567DA">
        <w:rPr>
          <w:rFonts w:ascii="Arial" w:hAnsi="Arial" w:cs="Arial"/>
          <w:sz w:val="20"/>
          <w:szCs w:val="20"/>
        </w:rPr>
        <w:t xml:space="preserve"> experienced family violence in their home</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applicant needs to move for health reasons</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applicant’s home is too small for everyone in their household</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 xml:space="preserve">the applicant is living in emergency, crisis or transitional housing </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applicant’s social housing property is to be sold or redeveloped</w:t>
      </w:r>
    </w:p>
    <w:p w:rsidR="00655A1B"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the applicant is staying with someone temporarily while they look for a home or</w:t>
      </w:r>
    </w:p>
    <w:p w:rsidR="00655A1B" w:rsidRPr="00D171A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 xml:space="preserve">the applicant is aged 55 years and over and is unable to sustain any other housing options on the basis of affordability. </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The table below outlines the categories of the Register in order of priority and includes:</w:t>
      </w:r>
    </w:p>
    <w:p w:rsidR="00655A1B" w:rsidRPr="005567DA" w:rsidRDefault="003B5B3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t>p</w:t>
      </w:r>
      <w:r w:rsidR="00655A1B" w:rsidRPr="005567DA">
        <w:rPr>
          <w:rFonts w:ascii="Arial" w:hAnsi="Arial" w:cs="Arial"/>
          <w:sz w:val="20"/>
          <w:szCs w:val="20"/>
        </w:rPr>
        <w:t xml:space="preserve">riority categories for the purposes of identifying the relative needs of eligible applicants for social housing, and </w:t>
      </w:r>
    </w:p>
    <w:p w:rsidR="00207D61" w:rsidRPr="005567DA" w:rsidRDefault="00655A1B" w:rsidP="00D171AA">
      <w:pPr>
        <w:numPr>
          <w:ilvl w:val="1"/>
          <w:numId w:val="3"/>
        </w:numPr>
        <w:spacing w:after="120" w:line="270" w:lineRule="atLeast"/>
        <w:ind w:left="567" w:hanging="567"/>
        <w:rPr>
          <w:rFonts w:ascii="Arial" w:hAnsi="Arial" w:cs="Arial"/>
          <w:sz w:val="20"/>
          <w:szCs w:val="20"/>
        </w:rPr>
      </w:pPr>
      <w:r w:rsidRPr="005567DA">
        <w:rPr>
          <w:rFonts w:ascii="Arial" w:hAnsi="Arial" w:cs="Arial"/>
          <w:sz w:val="20"/>
          <w:szCs w:val="20"/>
        </w:rPr>
        <w:lastRenderedPageBreak/>
        <w:t>the priority criteria that must be met by an eligible applicant for a particular priority category to apply to that eligible applicant (with further detail provided in the sections below the table).</w:t>
      </w:r>
    </w:p>
    <w:p w:rsidR="00207D61" w:rsidRDefault="00207D61" w:rsidP="00D171AA">
      <w:pPr>
        <w:spacing w:after="120" w:line="270" w:lineRule="atLeast"/>
        <w:ind w:left="567"/>
        <w:rPr>
          <w:rFonts w:ascii="Arial" w:hAnsi="Arial" w:cs="Arial"/>
          <w:sz w:val="20"/>
          <w:szCs w:val="20"/>
        </w:rPr>
      </w:pPr>
    </w:p>
    <w:p w:rsidR="00C33FC8" w:rsidRPr="005567DA" w:rsidRDefault="00C33FC8" w:rsidP="00D171AA">
      <w:pPr>
        <w:spacing w:after="120" w:line="270" w:lineRule="atLeast"/>
        <w:ind w:left="567"/>
        <w:rPr>
          <w:rFonts w:ascii="Arial" w:hAnsi="Arial" w:cs="Arial"/>
          <w:sz w:val="20"/>
          <w:szCs w:val="20"/>
        </w:rPr>
      </w:pPr>
    </w:p>
    <w:tbl>
      <w:tblPr>
        <w:tblW w:w="9214" w:type="dxa"/>
        <w:tblInd w:w="108" w:type="dxa"/>
        <w:tblLayout w:type="fixed"/>
        <w:tblLook w:val="00A0" w:firstRow="1" w:lastRow="0" w:firstColumn="1" w:lastColumn="0" w:noHBand="0" w:noVBand="0"/>
      </w:tblPr>
      <w:tblGrid>
        <w:gridCol w:w="567"/>
        <w:gridCol w:w="3686"/>
        <w:gridCol w:w="1701"/>
        <w:gridCol w:w="3260"/>
      </w:tblGrid>
      <w:tr w:rsidR="000F0FF0" w:rsidRPr="005567DA" w:rsidTr="00C33FC8">
        <w:trPr>
          <w:tblHeader/>
        </w:trPr>
        <w:tc>
          <w:tcPr>
            <w:tcW w:w="567"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sz w:val="20"/>
                <w:szCs w:val="20"/>
              </w:rPr>
            </w:pPr>
          </w:p>
        </w:tc>
        <w:tc>
          <w:tcPr>
            <w:tcW w:w="3686"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color w:val="1F497D" w:themeColor="text2"/>
                <w:sz w:val="20"/>
                <w:szCs w:val="20"/>
              </w:rPr>
            </w:pPr>
            <w:r w:rsidRPr="008C68CC">
              <w:rPr>
                <w:rFonts w:ascii="Arial" w:hAnsi="Arial" w:cs="Arial"/>
                <w:b/>
                <w:bCs/>
                <w:color w:val="1F497D" w:themeColor="text2"/>
                <w:sz w:val="20"/>
                <w:szCs w:val="20"/>
              </w:rPr>
              <w:t>Category</w:t>
            </w: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color w:val="1F497D" w:themeColor="text2"/>
                <w:sz w:val="20"/>
                <w:szCs w:val="20"/>
              </w:rPr>
            </w:pPr>
            <w:r w:rsidRPr="008C68CC">
              <w:rPr>
                <w:rFonts w:ascii="Arial" w:hAnsi="Arial" w:cs="Arial"/>
                <w:b/>
                <w:bCs/>
                <w:color w:val="1F497D" w:themeColor="text2"/>
                <w:sz w:val="20"/>
                <w:szCs w:val="20"/>
              </w:rPr>
              <w:t>New or Transfer</w:t>
            </w:r>
            <w:r w:rsidR="00D05401" w:rsidRPr="008C68CC">
              <w:rPr>
                <w:rFonts w:ascii="Arial" w:hAnsi="Arial" w:cs="Arial"/>
                <w:b/>
                <w:bCs/>
                <w:color w:val="1F497D" w:themeColor="text2"/>
                <w:sz w:val="20"/>
                <w:szCs w:val="20"/>
              </w:rPr>
              <w:t xml:space="preserve"> applicants</w:t>
            </w:r>
          </w:p>
        </w:tc>
        <w:tc>
          <w:tcPr>
            <w:tcW w:w="3260"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color w:val="1F497D" w:themeColor="text2"/>
                <w:sz w:val="20"/>
                <w:szCs w:val="20"/>
              </w:rPr>
            </w:pPr>
            <w:r w:rsidRPr="008C68CC">
              <w:rPr>
                <w:rFonts w:ascii="Arial" w:hAnsi="Arial" w:cs="Arial"/>
                <w:b/>
                <w:bCs/>
                <w:color w:val="1F497D" w:themeColor="text2"/>
                <w:sz w:val="20"/>
                <w:szCs w:val="20"/>
              </w:rPr>
              <w:t>Income limit / Asset limit</w:t>
            </w:r>
          </w:p>
        </w:tc>
      </w:tr>
      <w:tr w:rsidR="000F0FF0" w:rsidRPr="005567DA" w:rsidTr="009D03CB">
        <w:tc>
          <w:tcPr>
            <w:tcW w:w="567" w:type="dxa"/>
            <w:vMerge w:val="restart"/>
            <w:tcBorders>
              <w:top w:val="single" w:sz="6" w:space="0" w:color="000000"/>
              <w:left w:val="single" w:sz="6" w:space="0" w:color="000000"/>
              <w:bottom w:val="single" w:sz="6" w:space="0" w:color="000000"/>
              <w:right w:val="single" w:sz="6" w:space="0" w:color="000000"/>
            </w:tcBorders>
            <w:textDirection w:val="btLr"/>
          </w:tcPr>
          <w:p w:rsidR="000F0FF0" w:rsidRPr="005567DA" w:rsidRDefault="000F0FF0" w:rsidP="00D171AA">
            <w:pPr>
              <w:autoSpaceDE w:val="0"/>
              <w:autoSpaceDN w:val="0"/>
              <w:adjustRightInd w:val="0"/>
              <w:spacing w:after="120" w:line="270" w:lineRule="atLeast"/>
              <w:ind w:left="113" w:right="113"/>
              <w:rPr>
                <w:rFonts w:ascii="Arial" w:hAnsi="Arial" w:cs="Arial"/>
                <w:b/>
                <w:bCs/>
                <w:color w:val="000000"/>
                <w:sz w:val="20"/>
                <w:szCs w:val="20"/>
              </w:rPr>
            </w:pPr>
            <w:r w:rsidRPr="005567DA">
              <w:rPr>
                <w:rFonts w:ascii="Arial" w:hAnsi="Arial" w:cs="Arial"/>
                <w:b/>
                <w:bCs/>
                <w:color w:val="000000"/>
                <w:sz w:val="20"/>
                <w:szCs w:val="20"/>
              </w:rPr>
              <w:t>Priority Access</w:t>
            </w:r>
          </w:p>
        </w:tc>
        <w:tc>
          <w:tcPr>
            <w:tcW w:w="3686"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r w:rsidRPr="008C68CC">
              <w:rPr>
                <w:rFonts w:ascii="Arial" w:hAnsi="Arial" w:cs="Arial"/>
                <w:b/>
                <w:bCs/>
                <w:iCs/>
                <w:color w:val="000000"/>
                <w:sz w:val="20"/>
                <w:szCs w:val="20"/>
              </w:rPr>
              <w:t>Emergency Management Housing</w:t>
            </w:r>
            <w:r w:rsidRPr="008C68CC">
              <w:rPr>
                <w:rFonts w:ascii="Arial" w:hAnsi="Arial" w:cs="Arial"/>
                <w:color w:val="000000"/>
                <w:sz w:val="20"/>
                <w:szCs w:val="20"/>
              </w:rPr>
              <w:t xml:space="preserve"> – </w:t>
            </w:r>
            <w:r w:rsidRPr="005567DA">
              <w:rPr>
                <w:rFonts w:ascii="Arial" w:hAnsi="Arial" w:cs="Arial"/>
                <w:color w:val="000000"/>
                <w:sz w:val="20"/>
                <w:szCs w:val="20"/>
              </w:rPr>
              <w:t xml:space="preserve">for people whose housing is no longer safe or habitable, due to an emergency, for example, a bushfire, flood or storm.  </w:t>
            </w: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New and Transfer</w:t>
            </w:r>
          </w:p>
        </w:tc>
        <w:tc>
          <w:tcPr>
            <w:tcW w:w="3260"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color w:val="000000"/>
                <w:sz w:val="20"/>
                <w:szCs w:val="20"/>
              </w:rPr>
            </w:pPr>
            <w:r w:rsidRPr="005567DA">
              <w:rPr>
                <w:rFonts w:ascii="Arial" w:hAnsi="Arial" w:cs="Arial"/>
                <w:b/>
                <w:bCs/>
                <w:i/>
                <w:iCs/>
                <w:color w:val="000000"/>
                <w:sz w:val="20"/>
                <w:szCs w:val="20"/>
              </w:rPr>
              <w:t>Register of Interest</w:t>
            </w:r>
          </w:p>
        </w:tc>
      </w:tr>
      <w:tr w:rsidR="000F0FF0" w:rsidRPr="005567DA" w:rsidTr="009D03CB">
        <w:tc>
          <w:tcPr>
            <w:tcW w:w="567" w:type="dxa"/>
            <w:vMerge/>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color w:val="000000"/>
                <w:sz w:val="20"/>
                <w:szCs w:val="20"/>
              </w:rPr>
            </w:pPr>
          </w:p>
        </w:tc>
        <w:tc>
          <w:tcPr>
            <w:tcW w:w="3686"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r w:rsidRPr="008C68CC">
              <w:rPr>
                <w:rFonts w:ascii="Arial" w:hAnsi="Arial" w:cs="Arial"/>
                <w:b/>
                <w:bCs/>
                <w:iCs/>
                <w:color w:val="000000"/>
                <w:sz w:val="20"/>
                <w:szCs w:val="20"/>
              </w:rPr>
              <w:t>Priority Transfers</w:t>
            </w:r>
            <w:r w:rsidRPr="005567DA">
              <w:rPr>
                <w:rFonts w:ascii="Arial" w:hAnsi="Arial" w:cs="Arial"/>
                <w:color w:val="000000"/>
                <w:sz w:val="20"/>
                <w:szCs w:val="20"/>
              </w:rPr>
              <w:t xml:space="preserve"> – for people who are social housing tenants and require urgent relocation to another social housing property as their current property is unsafe; is to be sold; redeveloped or better utilised.</w:t>
            </w: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Transfer</w:t>
            </w:r>
          </w:p>
        </w:tc>
        <w:tc>
          <w:tcPr>
            <w:tcW w:w="3260"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sz w:val="20"/>
                <w:szCs w:val="20"/>
              </w:rPr>
            </w:pPr>
            <w:r w:rsidRPr="005567DA">
              <w:rPr>
                <w:rFonts w:ascii="Arial" w:hAnsi="Arial" w:cs="Arial"/>
                <w:b/>
                <w:bCs/>
                <w:i/>
                <w:iCs/>
                <w:sz w:val="20"/>
                <w:szCs w:val="20"/>
              </w:rPr>
              <w:t>Register of Interest</w:t>
            </w:r>
          </w:p>
          <w:p w:rsidR="000F0FF0" w:rsidRPr="005567DA" w:rsidRDefault="000F0FF0" w:rsidP="00D171AA">
            <w:pPr>
              <w:autoSpaceDE w:val="0"/>
              <w:autoSpaceDN w:val="0"/>
              <w:adjustRightInd w:val="0"/>
              <w:spacing w:after="120" w:line="270" w:lineRule="atLeast"/>
              <w:rPr>
                <w:rFonts w:ascii="Arial" w:hAnsi="Arial" w:cs="Arial"/>
                <w:bCs/>
                <w:i/>
                <w:iCs/>
                <w:sz w:val="20"/>
                <w:szCs w:val="20"/>
              </w:rPr>
            </w:pPr>
            <w:r w:rsidRPr="005567DA">
              <w:rPr>
                <w:rFonts w:ascii="Arial" w:hAnsi="Arial" w:cs="Arial"/>
                <w:bCs/>
                <w:i/>
                <w:iCs/>
                <w:sz w:val="20"/>
                <w:szCs w:val="20"/>
              </w:rPr>
              <w:t xml:space="preserve">For </w:t>
            </w:r>
            <w:r w:rsidR="00D05401" w:rsidRPr="005567DA">
              <w:rPr>
                <w:rFonts w:ascii="Arial" w:hAnsi="Arial" w:cs="Arial"/>
                <w:bCs/>
                <w:i/>
                <w:iCs/>
                <w:sz w:val="20"/>
                <w:szCs w:val="20"/>
              </w:rPr>
              <w:t>a</w:t>
            </w:r>
            <w:r w:rsidRPr="005567DA">
              <w:rPr>
                <w:rFonts w:ascii="Arial" w:hAnsi="Arial" w:cs="Arial"/>
                <w:bCs/>
                <w:i/>
                <w:iCs/>
                <w:sz w:val="20"/>
                <w:szCs w:val="20"/>
              </w:rPr>
              <w:t>sset limit: Register of Interest unless a household member requires full or major modifications then the asset limit is the disability modification asset limit</w:t>
            </w:r>
          </w:p>
        </w:tc>
      </w:tr>
      <w:tr w:rsidR="000F0FF0" w:rsidRPr="005567DA" w:rsidTr="009D03CB">
        <w:tc>
          <w:tcPr>
            <w:tcW w:w="567" w:type="dxa"/>
            <w:vMerge/>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color w:val="000000"/>
                <w:sz w:val="20"/>
                <w:szCs w:val="20"/>
              </w:rPr>
            </w:pPr>
          </w:p>
        </w:tc>
        <w:tc>
          <w:tcPr>
            <w:tcW w:w="3686"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r w:rsidRPr="008C68CC">
              <w:rPr>
                <w:rFonts w:ascii="Arial" w:hAnsi="Arial" w:cs="Arial"/>
                <w:b/>
                <w:bCs/>
                <w:iCs/>
                <w:color w:val="000000"/>
                <w:sz w:val="20"/>
                <w:szCs w:val="20"/>
              </w:rPr>
              <w:t>Homeless with Support</w:t>
            </w:r>
            <w:r w:rsidRPr="005567DA">
              <w:rPr>
                <w:rFonts w:ascii="Arial" w:hAnsi="Arial" w:cs="Arial"/>
                <w:color w:val="000000"/>
                <w:sz w:val="20"/>
                <w:szCs w:val="20"/>
              </w:rPr>
              <w:t xml:space="preserve"> – for people who are homeless or experiencing family violence and need support to obtain and establish appropriate, long term housing.</w:t>
            </w: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New</w:t>
            </w:r>
          </w:p>
        </w:tc>
        <w:tc>
          <w:tcPr>
            <w:tcW w:w="3260"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sz w:val="20"/>
                <w:szCs w:val="20"/>
              </w:rPr>
            </w:pPr>
            <w:r w:rsidRPr="008C68CC">
              <w:rPr>
                <w:rFonts w:ascii="Arial" w:hAnsi="Arial" w:cs="Arial"/>
                <w:b/>
                <w:bCs/>
                <w:iCs/>
                <w:sz w:val="20"/>
                <w:szCs w:val="20"/>
              </w:rPr>
              <w:t>Priority Access</w:t>
            </w:r>
          </w:p>
          <w:p w:rsidR="00207D61" w:rsidRPr="005567DA" w:rsidRDefault="00207D61" w:rsidP="00D171AA">
            <w:pPr>
              <w:autoSpaceDE w:val="0"/>
              <w:autoSpaceDN w:val="0"/>
              <w:adjustRightInd w:val="0"/>
              <w:spacing w:after="120" w:line="270" w:lineRule="atLeast"/>
              <w:rPr>
                <w:rFonts w:ascii="Arial" w:hAnsi="Arial" w:cs="Arial"/>
                <w:bCs/>
                <w:i/>
                <w:iCs/>
                <w:sz w:val="20"/>
                <w:szCs w:val="20"/>
              </w:rPr>
            </w:pPr>
          </w:p>
        </w:tc>
      </w:tr>
      <w:tr w:rsidR="000F0FF0" w:rsidRPr="005567DA" w:rsidTr="009D03CB">
        <w:tc>
          <w:tcPr>
            <w:tcW w:w="567" w:type="dxa"/>
            <w:vMerge/>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color w:val="000000"/>
                <w:sz w:val="20"/>
                <w:szCs w:val="20"/>
              </w:rPr>
            </w:pPr>
          </w:p>
        </w:tc>
        <w:tc>
          <w:tcPr>
            <w:tcW w:w="3686"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r w:rsidRPr="008C68CC">
              <w:rPr>
                <w:rFonts w:ascii="Arial" w:hAnsi="Arial" w:cs="Arial"/>
                <w:b/>
                <w:bCs/>
                <w:iCs/>
                <w:color w:val="000000"/>
                <w:sz w:val="20"/>
                <w:szCs w:val="20"/>
              </w:rPr>
              <w:t>Supported Housing</w:t>
            </w:r>
            <w:r w:rsidRPr="008C68CC">
              <w:rPr>
                <w:rFonts w:ascii="Arial" w:hAnsi="Arial" w:cs="Arial"/>
                <w:color w:val="000000"/>
                <w:sz w:val="20"/>
                <w:szCs w:val="20"/>
              </w:rPr>
              <w:t xml:space="preserve"> –</w:t>
            </w:r>
            <w:r w:rsidRPr="005567DA">
              <w:rPr>
                <w:rFonts w:ascii="Arial" w:hAnsi="Arial" w:cs="Arial"/>
                <w:color w:val="000000"/>
                <w:sz w:val="20"/>
                <w:szCs w:val="20"/>
              </w:rPr>
              <w:t xml:space="preserve"> for people who live in unsuitable housing and have a disability or long-term health problem requiring major structural modifications and/or personal support to live independently.</w:t>
            </w: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CB1045">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 xml:space="preserve">New </w:t>
            </w:r>
          </w:p>
        </w:tc>
        <w:tc>
          <w:tcPr>
            <w:tcW w:w="3260"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sz w:val="20"/>
                <w:szCs w:val="20"/>
              </w:rPr>
            </w:pPr>
            <w:r w:rsidRPr="008C68CC">
              <w:rPr>
                <w:rFonts w:ascii="Arial" w:hAnsi="Arial" w:cs="Arial"/>
                <w:b/>
                <w:bCs/>
                <w:iCs/>
                <w:sz w:val="20"/>
                <w:szCs w:val="20"/>
              </w:rPr>
              <w:t>Priority Access (new)</w:t>
            </w:r>
          </w:p>
          <w:p w:rsidR="000F0FF0" w:rsidRPr="005567DA" w:rsidRDefault="000F0FF0" w:rsidP="00D171AA">
            <w:pPr>
              <w:autoSpaceDE w:val="0"/>
              <w:autoSpaceDN w:val="0"/>
              <w:adjustRightInd w:val="0"/>
              <w:spacing w:after="120" w:line="270" w:lineRule="atLeast"/>
              <w:rPr>
                <w:rFonts w:ascii="Arial" w:hAnsi="Arial" w:cs="Arial"/>
                <w:bCs/>
                <w:i/>
                <w:iCs/>
                <w:sz w:val="20"/>
                <w:szCs w:val="20"/>
              </w:rPr>
            </w:pPr>
            <w:r w:rsidRPr="005567DA">
              <w:rPr>
                <w:rFonts w:ascii="Arial" w:hAnsi="Arial" w:cs="Arial"/>
                <w:bCs/>
                <w:i/>
                <w:iCs/>
                <w:sz w:val="20"/>
                <w:szCs w:val="20"/>
              </w:rPr>
              <w:t xml:space="preserve">For </w:t>
            </w:r>
            <w:r w:rsidR="00D05401" w:rsidRPr="005567DA">
              <w:rPr>
                <w:rFonts w:ascii="Arial" w:hAnsi="Arial" w:cs="Arial"/>
                <w:bCs/>
                <w:i/>
                <w:iCs/>
                <w:sz w:val="20"/>
                <w:szCs w:val="20"/>
              </w:rPr>
              <w:t>a</w:t>
            </w:r>
            <w:r w:rsidRPr="005567DA">
              <w:rPr>
                <w:rFonts w:ascii="Arial" w:hAnsi="Arial" w:cs="Arial"/>
                <w:bCs/>
                <w:i/>
                <w:iCs/>
                <w:sz w:val="20"/>
                <w:szCs w:val="20"/>
              </w:rPr>
              <w:t>sset limit:  Priority Access unless a household member requires full or major modifications then the asset limit is the disability modification asset limit</w:t>
            </w:r>
          </w:p>
          <w:p w:rsidR="000F0FF0" w:rsidRPr="005567DA" w:rsidRDefault="000F0FF0" w:rsidP="00D171AA">
            <w:pPr>
              <w:autoSpaceDE w:val="0"/>
              <w:autoSpaceDN w:val="0"/>
              <w:adjustRightInd w:val="0"/>
              <w:spacing w:after="120" w:line="270" w:lineRule="atLeast"/>
              <w:rPr>
                <w:rFonts w:ascii="Arial" w:hAnsi="Arial" w:cs="Arial"/>
                <w:bCs/>
                <w:i/>
                <w:iCs/>
                <w:sz w:val="20"/>
                <w:szCs w:val="20"/>
              </w:rPr>
            </w:pPr>
            <w:r w:rsidRPr="005567DA">
              <w:rPr>
                <w:rFonts w:ascii="Arial" w:hAnsi="Arial" w:cs="Arial"/>
                <w:bCs/>
                <w:i/>
                <w:iCs/>
                <w:sz w:val="20"/>
                <w:szCs w:val="20"/>
              </w:rPr>
              <w:t>OR</w:t>
            </w:r>
          </w:p>
          <w:p w:rsidR="000F0FF0" w:rsidRPr="005567DA" w:rsidRDefault="000F0FF0" w:rsidP="00D171AA">
            <w:pPr>
              <w:autoSpaceDE w:val="0"/>
              <w:autoSpaceDN w:val="0"/>
              <w:adjustRightInd w:val="0"/>
              <w:spacing w:after="120" w:line="270" w:lineRule="atLeast"/>
              <w:rPr>
                <w:rFonts w:ascii="Arial" w:hAnsi="Arial" w:cs="Arial"/>
                <w:bCs/>
                <w:i/>
                <w:iCs/>
                <w:sz w:val="20"/>
                <w:szCs w:val="20"/>
              </w:rPr>
            </w:pPr>
            <w:r w:rsidRPr="005567DA">
              <w:rPr>
                <w:rFonts w:ascii="Arial" w:hAnsi="Arial" w:cs="Arial"/>
                <w:i/>
                <w:sz w:val="20"/>
                <w:szCs w:val="20"/>
              </w:rPr>
              <w:t>policy consideration can be applied to exempt households with significant p</w:t>
            </w:r>
            <w:r w:rsidR="00D05401" w:rsidRPr="005567DA">
              <w:rPr>
                <w:rFonts w:ascii="Arial" w:hAnsi="Arial" w:cs="Arial"/>
                <w:i/>
                <w:sz w:val="20"/>
                <w:szCs w:val="20"/>
              </w:rPr>
              <w:t>ersonal support needs from the Priority A</w:t>
            </w:r>
            <w:r w:rsidRPr="005567DA">
              <w:rPr>
                <w:rFonts w:ascii="Arial" w:hAnsi="Arial" w:cs="Arial"/>
                <w:i/>
                <w:sz w:val="20"/>
                <w:szCs w:val="20"/>
              </w:rPr>
              <w:t xml:space="preserve">ccess limit, and instead assess them against the </w:t>
            </w:r>
            <w:r w:rsidR="00D05401" w:rsidRPr="005567DA">
              <w:rPr>
                <w:rFonts w:ascii="Arial" w:hAnsi="Arial" w:cs="Arial"/>
                <w:i/>
                <w:sz w:val="20"/>
                <w:szCs w:val="20"/>
              </w:rPr>
              <w:t>R</w:t>
            </w:r>
            <w:r w:rsidRPr="005567DA">
              <w:rPr>
                <w:rFonts w:ascii="Arial" w:hAnsi="Arial" w:cs="Arial"/>
                <w:i/>
                <w:sz w:val="20"/>
                <w:szCs w:val="20"/>
              </w:rPr>
              <w:t xml:space="preserve">egister </w:t>
            </w:r>
            <w:r w:rsidR="00D05401" w:rsidRPr="005567DA">
              <w:rPr>
                <w:rFonts w:ascii="Arial" w:hAnsi="Arial" w:cs="Arial"/>
                <w:i/>
                <w:sz w:val="20"/>
                <w:szCs w:val="20"/>
              </w:rPr>
              <w:t>of I</w:t>
            </w:r>
            <w:r w:rsidRPr="005567DA">
              <w:rPr>
                <w:rFonts w:ascii="Arial" w:hAnsi="Arial" w:cs="Arial"/>
                <w:i/>
                <w:sz w:val="20"/>
                <w:szCs w:val="20"/>
              </w:rPr>
              <w:t>nterest asset limit</w:t>
            </w:r>
          </w:p>
        </w:tc>
      </w:tr>
      <w:tr w:rsidR="000F0FF0" w:rsidRPr="005567DA" w:rsidTr="009D03CB">
        <w:tc>
          <w:tcPr>
            <w:tcW w:w="567" w:type="dxa"/>
            <w:vMerge/>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color w:val="000000"/>
                <w:sz w:val="20"/>
                <w:szCs w:val="20"/>
              </w:rPr>
            </w:pPr>
          </w:p>
        </w:tc>
        <w:tc>
          <w:tcPr>
            <w:tcW w:w="3686" w:type="dxa"/>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r w:rsidRPr="008C68CC">
              <w:rPr>
                <w:rFonts w:ascii="Arial" w:hAnsi="Arial" w:cs="Arial"/>
                <w:b/>
                <w:bCs/>
                <w:iCs/>
                <w:color w:val="000000"/>
                <w:sz w:val="20"/>
                <w:szCs w:val="20"/>
              </w:rPr>
              <w:t>Special Housing Needs</w:t>
            </w:r>
            <w:r w:rsidRPr="008C68CC">
              <w:rPr>
                <w:rFonts w:ascii="Arial" w:hAnsi="Arial" w:cs="Arial"/>
                <w:color w:val="000000"/>
                <w:sz w:val="20"/>
                <w:szCs w:val="20"/>
              </w:rPr>
              <w:t xml:space="preserve"> –</w:t>
            </w:r>
            <w:r w:rsidRPr="005567DA">
              <w:rPr>
                <w:rFonts w:ascii="Arial" w:hAnsi="Arial" w:cs="Arial"/>
                <w:color w:val="000000"/>
                <w:sz w:val="20"/>
                <w:szCs w:val="20"/>
              </w:rPr>
              <w:t xml:space="preserve"> for people who are living in housing that has become unsuitable and who have no alternative housing options.</w:t>
            </w: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New and Transfer</w:t>
            </w:r>
          </w:p>
        </w:tc>
        <w:tc>
          <w:tcPr>
            <w:tcW w:w="3260"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sz w:val="20"/>
                <w:szCs w:val="20"/>
              </w:rPr>
            </w:pPr>
            <w:r w:rsidRPr="008C68CC">
              <w:rPr>
                <w:rFonts w:ascii="Arial" w:hAnsi="Arial" w:cs="Arial"/>
                <w:b/>
                <w:bCs/>
                <w:iCs/>
                <w:sz w:val="20"/>
                <w:szCs w:val="20"/>
              </w:rPr>
              <w:t>Priority Access (new)</w:t>
            </w:r>
          </w:p>
          <w:p w:rsidR="000F0FF0" w:rsidRPr="008C68CC" w:rsidRDefault="000F0FF0" w:rsidP="00D171AA">
            <w:pPr>
              <w:autoSpaceDE w:val="0"/>
              <w:autoSpaceDN w:val="0"/>
              <w:adjustRightInd w:val="0"/>
              <w:spacing w:after="120" w:line="270" w:lineRule="atLeast"/>
              <w:rPr>
                <w:rFonts w:ascii="Arial" w:hAnsi="Arial" w:cs="Arial"/>
                <w:b/>
                <w:bCs/>
                <w:iCs/>
                <w:sz w:val="20"/>
                <w:szCs w:val="20"/>
              </w:rPr>
            </w:pPr>
            <w:r w:rsidRPr="008C68CC">
              <w:rPr>
                <w:rFonts w:ascii="Arial" w:hAnsi="Arial" w:cs="Arial"/>
                <w:b/>
                <w:bCs/>
                <w:iCs/>
                <w:sz w:val="20"/>
                <w:szCs w:val="20"/>
              </w:rPr>
              <w:t>Register of Interest (transfer)</w:t>
            </w:r>
          </w:p>
          <w:p w:rsidR="000F0FF0" w:rsidRPr="005567DA" w:rsidRDefault="000F0FF0" w:rsidP="00D171AA">
            <w:pPr>
              <w:autoSpaceDE w:val="0"/>
              <w:autoSpaceDN w:val="0"/>
              <w:adjustRightInd w:val="0"/>
              <w:spacing w:after="120" w:line="270" w:lineRule="atLeast"/>
              <w:rPr>
                <w:rFonts w:ascii="Arial" w:hAnsi="Arial" w:cs="Arial"/>
                <w:bCs/>
                <w:i/>
                <w:iCs/>
                <w:sz w:val="20"/>
                <w:szCs w:val="20"/>
              </w:rPr>
            </w:pPr>
            <w:r w:rsidRPr="005567DA">
              <w:rPr>
                <w:rFonts w:ascii="Arial" w:hAnsi="Arial" w:cs="Arial"/>
                <w:bCs/>
                <w:i/>
                <w:iCs/>
                <w:sz w:val="20"/>
                <w:szCs w:val="20"/>
              </w:rPr>
              <w:t xml:space="preserve">For </w:t>
            </w:r>
            <w:r w:rsidR="00D05401" w:rsidRPr="005567DA">
              <w:rPr>
                <w:rFonts w:ascii="Arial" w:hAnsi="Arial" w:cs="Arial"/>
                <w:bCs/>
                <w:i/>
                <w:iCs/>
                <w:sz w:val="20"/>
                <w:szCs w:val="20"/>
              </w:rPr>
              <w:t>a</w:t>
            </w:r>
            <w:r w:rsidRPr="005567DA">
              <w:rPr>
                <w:rFonts w:ascii="Arial" w:hAnsi="Arial" w:cs="Arial"/>
                <w:bCs/>
                <w:i/>
                <w:iCs/>
                <w:sz w:val="20"/>
                <w:szCs w:val="20"/>
              </w:rPr>
              <w:t xml:space="preserve">sset limit: Register of Interest (transfer) unless a household member requires full or major modifications then the asset limit is the </w:t>
            </w:r>
            <w:r w:rsidR="00147A31" w:rsidRPr="005567DA">
              <w:rPr>
                <w:rFonts w:ascii="Arial" w:hAnsi="Arial" w:cs="Arial"/>
                <w:bCs/>
                <w:i/>
                <w:iCs/>
                <w:sz w:val="20"/>
                <w:szCs w:val="20"/>
              </w:rPr>
              <w:t>d</w:t>
            </w:r>
            <w:r w:rsidRPr="005567DA">
              <w:rPr>
                <w:rFonts w:ascii="Arial" w:hAnsi="Arial" w:cs="Arial"/>
                <w:bCs/>
                <w:i/>
                <w:iCs/>
                <w:sz w:val="20"/>
                <w:szCs w:val="20"/>
              </w:rPr>
              <w:t xml:space="preserve">isability </w:t>
            </w:r>
            <w:r w:rsidR="00147A31" w:rsidRPr="005567DA">
              <w:rPr>
                <w:rFonts w:ascii="Arial" w:hAnsi="Arial" w:cs="Arial"/>
                <w:bCs/>
                <w:i/>
                <w:iCs/>
                <w:sz w:val="20"/>
                <w:szCs w:val="20"/>
              </w:rPr>
              <w:t>m</w:t>
            </w:r>
            <w:r w:rsidRPr="005567DA">
              <w:rPr>
                <w:rFonts w:ascii="Arial" w:hAnsi="Arial" w:cs="Arial"/>
                <w:bCs/>
                <w:i/>
                <w:iCs/>
                <w:sz w:val="20"/>
                <w:szCs w:val="20"/>
              </w:rPr>
              <w:t xml:space="preserve">odification </w:t>
            </w:r>
            <w:r w:rsidRPr="005567DA">
              <w:rPr>
                <w:rFonts w:ascii="Arial" w:hAnsi="Arial" w:cs="Arial"/>
                <w:bCs/>
                <w:i/>
                <w:iCs/>
                <w:sz w:val="20"/>
                <w:szCs w:val="20"/>
              </w:rPr>
              <w:lastRenderedPageBreak/>
              <w:t>asset limit</w:t>
            </w:r>
          </w:p>
        </w:tc>
      </w:tr>
      <w:tr w:rsidR="000F0FF0" w:rsidRPr="005567DA" w:rsidTr="009D03CB">
        <w:tc>
          <w:tcPr>
            <w:tcW w:w="567" w:type="dxa"/>
            <w:vMerge/>
            <w:tcBorders>
              <w:top w:val="single" w:sz="6" w:space="0" w:color="000000"/>
              <w:left w:val="single" w:sz="6" w:space="0" w:color="000000"/>
              <w:bottom w:val="single" w:sz="6"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b/>
                <w:bCs/>
                <w:i/>
                <w:iCs/>
                <w:color w:val="000000"/>
                <w:sz w:val="20"/>
                <w:szCs w:val="20"/>
              </w:rPr>
            </w:pPr>
          </w:p>
        </w:tc>
        <w:tc>
          <w:tcPr>
            <w:tcW w:w="3686"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Special Housin</w:t>
            </w:r>
            <w:r w:rsidR="008C68CC">
              <w:rPr>
                <w:rFonts w:ascii="Arial" w:hAnsi="Arial" w:cs="Arial"/>
                <w:b/>
                <w:bCs/>
                <w:iCs/>
                <w:color w:val="000000"/>
                <w:sz w:val="20"/>
                <w:szCs w:val="20"/>
              </w:rPr>
              <w:t>g Needs aged 55 years and over</w:t>
            </w:r>
            <w:r w:rsidR="008C68CC" w:rsidRPr="008C68CC">
              <w:rPr>
                <w:rFonts w:ascii="Arial" w:hAnsi="Arial" w:cs="Arial"/>
                <w:bCs/>
                <w:iCs/>
                <w:color w:val="000000"/>
                <w:sz w:val="20"/>
                <w:szCs w:val="20"/>
              </w:rPr>
              <w:t xml:space="preserve"> –</w:t>
            </w:r>
            <w:r w:rsidRPr="008C68CC">
              <w:rPr>
                <w:rFonts w:ascii="Arial" w:hAnsi="Arial" w:cs="Arial"/>
                <w:color w:val="000000"/>
                <w:sz w:val="20"/>
                <w:szCs w:val="20"/>
              </w:rPr>
              <w:t xml:space="preserve"> </w:t>
            </w:r>
            <w:r w:rsidRPr="005567DA">
              <w:rPr>
                <w:rFonts w:ascii="Arial" w:hAnsi="Arial" w:cs="Arial"/>
                <w:color w:val="000000"/>
                <w:sz w:val="20"/>
                <w:szCs w:val="20"/>
              </w:rPr>
              <w:t>for people who are eligible for social housing who are aged 55 years and over, and are not eligible for another priority category.</w:t>
            </w:r>
          </w:p>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New</w:t>
            </w:r>
          </w:p>
        </w:tc>
        <w:tc>
          <w:tcPr>
            <w:tcW w:w="3260" w:type="dxa"/>
            <w:tcBorders>
              <w:top w:val="single" w:sz="6" w:space="0" w:color="000000"/>
              <w:left w:val="single" w:sz="6" w:space="0" w:color="000000"/>
              <w:bottom w:val="single" w:sz="6"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Priority Access</w:t>
            </w:r>
          </w:p>
        </w:tc>
      </w:tr>
      <w:tr w:rsidR="000F0FF0" w:rsidRPr="005567DA" w:rsidTr="009D03CB">
        <w:trPr>
          <w:cantSplit/>
          <w:trHeight w:val="2959"/>
        </w:trPr>
        <w:tc>
          <w:tcPr>
            <w:tcW w:w="567" w:type="dxa"/>
            <w:tcBorders>
              <w:top w:val="single" w:sz="6" w:space="0" w:color="000000"/>
              <w:left w:val="single" w:sz="6" w:space="0" w:color="000000"/>
              <w:bottom w:val="single" w:sz="4" w:space="0" w:color="000000"/>
              <w:right w:val="single" w:sz="6" w:space="0" w:color="000000"/>
            </w:tcBorders>
            <w:textDirection w:val="btLr"/>
          </w:tcPr>
          <w:p w:rsidR="000F0FF0" w:rsidRPr="005567DA" w:rsidRDefault="000F0FF0" w:rsidP="00D171AA">
            <w:pPr>
              <w:autoSpaceDE w:val="0"/>
              <w:autoSpaceDN w:val="0"/>
              <w:adjustRightInd w:val="0"/>
              <w:spacing w:after="120" w:line="270" w:lineRule="atLeast"/>
              <w:ind w:left="113" w:right="5"/>
              <w:rPr>
                <w:rFonts w:ascii="Arial" w:hAnsi="Arial" w:cs="Arial"/>
                <w:b/>
                <w:bCs/>
                <w:color w:val="000000"/>
                <w:sz w:val="20"/>
                <w:szCs w:val="20"/>
              </w:rPr>
            </w:pPr>
            <w:r w:rsidRPr="005567DA">
              <w:rPr>
                <w:rFonts w:ascii="Arial" w:hAnsi="Arial" w:cs="Arial"/>
                <w:b/>
                <w:bCs/>
                <w:color w:val="000000"/>
                <w:sz w:val="20"/>
                <w:szCs w:val="20"/>
              </w:rPr>
              <w:t>Register of Interest</w:t>
            </w:r>
          </w:p>
        </w:tc>
        <w:tc>
          <w:tcPr>
            <w:tcW w:w="3686" w:type="dxa"/>
            <w:tcBorders>
              <w:top w:val="single" w:sz="6" w:space="0" w:color="000000"/>
              <w:left w:val="single" w:sz="6" w:space="0" w:color="000000"/>
              <w:bottom w:val="single" w:sz="4" w:space="0" w:color="000000"/>
              <w:right w:val="single" w:sz="6" w:space="0" w:color="000000"/>
            </w:tcBorders>
          </w:tcPr>
          <w:p w:rsidR="000F0FF0" w:rsidRPr="005567DA" w:rsidRDefault="000F0FF0" w:rsidP="00D171AA">
            <w:pPr>
              <w:autoSpaceDE w:val="0"/>
              <w:autoSpaceDN w:val="0"/>
              <w:adjustRightInd w:val="0"/>
              <w:spacing w:after="120" w:line="270" w:lineRule="atLeast"/>
              <w:rPr>
                <w:rFonts w:ascii="Arial" w:hAnsi="Arial" w:cs="Arial"/>
                <w:color w:val="000000"/>
                <w:sz w:val="20"/>
                <w:szCs w:val="20"/>
              </w:rPr>
            </w:pPr>
            <w:r w:rsidRPr="008C68CC">
              <w:rPr>
                <w:rFonts w:ascii="Arial" w:hAnsi="Arial" w:cs="Arial"/>
                <w:b/>
                <w:bCs/>
                <w:iCs/>
                <w:color w:val="000000"/>
                <w:sz w:val="20"/>
                <w:szCs w:val="20"/>
              </w:rPr>
              <w:t>Register of Interest</w:t>
            </w:r>
            <w:r w:rsidRPr="008C68CC">
              <w:rPr>
                <w:rFonts w:ascii="Arial" w:hAnsi="Arial" w:cs="Arial"/>
                <w:color w:val="000000"/>
                <w:sz w:val="20"/>
                <w:szCs w:val="20"/>
              </w:rPr>
              <w:t xml:space="preserve"> –</w:t>
            </w:r>
            <w:r w:rsidRPr="005567DA">
              <w:rPr>
                <w:rFonts w:ascii="Arial" w:hAnsi="Arial" w:cs="Arial"/>
                <w:color w:val="000000"/>
                <w:sz w:val="20"/>
                <w:szCs w:val="20"/>
              </w:rPr>
              <w:t xml:space="preserve"> no additional criteria apply.  </w:t>
            </w:r>
          </w:p>
        </w:tc>
        <w:tc>
          <w:tcPr>
            <w:tcW w:w="1701" w:type="dxa"/>
            <w:tcBorders>
              <w:top w:val="single" w:sz="6" w:space="0" w:color="000000"/>
              <w:left w:val="single" w:sz="6" w:space="0" w:color="000000"/>
              <w:bottom w:val="single" w:sz="4"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New and Transfer</w:t>
            </w:r>
          </w:p>
        </w:tc>
        <w:tc>
          <w:tcPr>
            <w:tcW w:w="3260" w:type="dxa"/>
            <w:tcBorders>
              <w:top w:val="single" w:sz="6" w:space="0" w:color="000000"/>
              <w:left w:val="single" w:sz="6" w:space="0" w:color="000000"/>
              <w:bottom w:val="single" w:sz="4" w:space="0" w:color="000000"/>
              <w:right w:val="single" w:sz="6" w:space="0" w:color="000000"/>
            </w:tcBorders>
          </w:tcPr>
          <w:p w:rsidR="000F0FF0" w:rsidRPr="008C68CC" w:rsidRDefault="000F0FF0" w:rsidP="00D171AA">
            <w:pPr>
              <w:autoSpaceDE w:val="0"/>
              <w:autoSpaceDN w:val="0"/>
              <w:adjustRightInd w:val="0"/>
              <w:spacing w:after="120" w:line="270" w:lineRule="atLeast"/>
              <w:rPr>
                <w:rFonts w:ascii="Arial" w:hAnsi="Arial" w:cs="Arial"/>
                <w:b/>
                <w:bCs/>
                <w:iCs/>
                <w:color w:val="000000"/>
                <w:sz w:val="20"/>
                <w:szCs w:val="20"/>
              </w:rPr>
            </w:pPr>
            <w:r w:rsidRPr="008C68CC">
              <w:rPr>
                <w:rFonts w:ascii="Arial" w:hAnsi="Arial" w:cs="Arial"/>
                <w:b/>
                <w:bCs/>
                <w:iCs/>
                <w:color w:val="000000"/>
                <w:sz w:val="20"/>
                <w:szCs w:val="20"/>
              </w:rPr>
              <w:t>Register of Interest</w:t>
            </w:r>
          </w:p>
          <w:p w:rsidR="000F0FF0" w:rsidRPr="005567DA" w:rsidRDefault="000F0FF0" w:rsidP="00D171AA">
            <w:pPr>
              <w:autoSpaceDE w:val="0"/>
              <w:autoSpaceDN w:val="0"/>
              <w:adjustRightInd w:val="0"/>
              <w:spacing w:after="120" w:line="270" w:lineRule="atLeast"/>
              <w:rPr>
                <w:rFonts w:ascii="Arial" w:hAnsi="Arial" w:cs="Arial"/>
                <w:bCs/>
                <w:i/>
                <w:iCs/>
                <w:color w:val="000000"/>
                <w:sz w:val="20"/>
                <w:szCs w:val="20"/>
              </w:rPr>
            </w:pPr>
            <w:r w:rsidRPr="005567DA">
              <w:rPr>
                <w:rFonts w:ascii="Arial" w:hAnsi="Arial" w:cs="Arial"/>
                <w:bCs/>
                <w:i/>
                <w:iCs/>
                <w:sz w:val="20"/>
                <w:szCs w:val="20"/>
              </w:rPr>
              <w:t>For asset limit: Register of Interest unless a household member requires full or major modifications then the asset limit is the disability modification asset limit</w:t>
            </w:r>
          </w:p>
        </w:tc>
      </w:tr>
    </w:tbl>
    <w:p w:rsidR="00D05401" w:rsidRPr="005567DA" w:rsidRDefault="00D05401" w:rsidP="00D171AA">
      <w:pPr>
        <w:pStyle w:val="ListParagraph"/>
        <w:keepNext/>
        <w:spacing w:after="120" w:line="270" w:lineRule="atLeast"/>
        <w:ind w:left="425"/>
        <w:rPr>
          <w:rFonts w:ascii="Arial" w:hAnsi="Arial" w:cs="Arial"/>
          <w:b/>
          <w:sz w:val="20"/>
          <w:szCs w:val="20"/>
        </w:rPr>
      </w:pPr>
    </w:p>
    <w:p w:rsidR="00F64639" w:rsidRPr="005567DA" w:rsidRDefault="00F64639" w:rsidP="00D171AA">
      <w:pPr>
        <w:pStyle w:val="ListParagraph"/>
        <w:keepNext/>
        <w:keepLines/>
        <w:numPr>
          <w:ilvl w:val="0"/>
          <w:numId w:val="26"/>
        </w:numPr>
        <w:spacing w:before="240" w:after="120" w:line="270" w:lineRule="atLeast"/>
        <w:ind w:left="357" w:hanging="357"/>
        <w:outlineLvl w:val="0"/>
        <w:rPr>
          <w:rFonts w:ascii="Arial" w:eastAsia="MS Gothic" w:hAnsi="Arial" w:cs="Arial"/>
          <w:b/>
          <w:bCs/>
          <w:color w:val="201547"/>
          <w:kern w:val="32"/>
          <w:sz w:val="20"/>
          <w:szCs w:val="20"/>
        </w:rPr>
      </w:pPr>
      <w:r w:rsidRPr="005567DA">
        <w:rPr>
          <w:rFonts w:ascii="Arial" w:hAnsi="Arial" w:cs="Arial"/>
          <w:b/>
          <w:sz w:val="20"/>
          <w:szCs w:val="20"/>
        </w:rPr>
        <w:t>ELIGIBILITY</w:t>
      </w:r>
      <w:r>
        <w:rPr>
          <w:rFonts w:ascii="Arial" w:hAnsi="Arial" w:cs="Arial"/>
          <w:b/>
          <w:sz w:val="20"/>
          <w:szCs w:val="20"/>
        </w:rPr>
        <w:t xml:space="preserve"> CRITERIA FOR PRIORITY CATEGORIES</w:t>
      </w:r>
    </w:p>
    <w:p w:rsidR="00655A1B" w:rsidRPr="005567DA" w:rsidRDefault="00655A1B" w:rsidP="00D171AA">
      <w:pPr>
        <w:spacing w:after="120" w:line="270" w:lineRule="atLeast"/>
        <w:contextualSpacing/>
        <w:rPr>
          <w:rFonts w:ascii="Arial" w:hAnsi="Arial" w:cs="Arial"/>
          <w:b/>
          <w:sz w:val="20"/>
          <w:szCs w:val="20"/>
        </w:rPr>
      </w:pPr>
      <w:r w:rsidRPr="005567DA">
        <w:rPr>
          <w:rFonts w:ascii="Arial" w:hAnsi="Arial" w:cs="Arial"/>
          <w:sz w:val="20"/>
          <w:szCs w:val="20"/>
        </w:rPr>
        <w:t xml:space="preserve">To be eligible for one of the priority access categories the applicant must meet the general eligibility criteria for the </w:t>
      </w:r>
      <w:r w:rsidR="00D90AC9" w:rsidRPr="005567DA">
        <w:rPr>
          <w:rFonts w:ascii="Arial" w:hAnsi="Arial" w:cs="Arial"/>
          <w:sz w:val="20"/>
          <w:szCs w:val="20"/>
        </w:rPr>
        <w:t>R</w:t>
      </w:r>
      <w:r w:rsidRPr="005567DA">
        <w:rPr>
          <w:rFonts w:ascii="Arial" w:hAnsi="Arial" w:cs="Arial"/>
          <w:sz w:val="20"/>
          <w:szCs w:val="20"/>
        </w:rPr>
        <w:t xml:space="preserve">egister </w:t>
      </w:r>
      <w:r w:rsidR="00D90AC9" w:rsidRPr="005567DA">
        <w:rPr>
          <w:rFonts w:ascii="Arial" w:hAnsi="Arial" w:cs="Arial"/>
          <w:sz w:val="20"/>
          <w:szCs w:val="20"/>
        </w:rPr>
        <w:t xml:space="preserve">outlined </w:t>
      </w:r>
      <w:r w:rsidRPr="005567DA">
        <w:rPr>
          <w:rFonts w:ascii="Arial" w:hAnsi="Arial" w:cs="Arial"/>
          <w:sz w:val="20"/>
          <w:szCs w:val="20"/>
        </w:rPr>
        <w:t xml:space="preserve">in Section </w:t>
      </w:r>
      <w:r w:rsidR="00D90AC9" w:rsidRPr="005567DA">
        <w:rPr>
          <w:rFonts w:ascii="Arial" w:hAnsi="Arial" w:cs="Arial"/>
          <w:sz w:val="20"/>
          <w:szCs w:val="20"/>
        </w:rPr>
        <w:t>2</w:t>
      </w:r>
      <w:r w:rsidRPr="005567DA">
        <w:rPr>
          <w:rFonts w:ascii="Arial" w:hAnsi="Arial" w:cs="Arial"/>
          <w:sz w:val="20"/>
          <w:szCs w:val="20"/>
        </w:rPr>
        <w:t xml:space="preserve"> </w:t>
      </w:r>
      <w:r w:rsidR="00D90AC9" w:rsidRPr="005567DA">
        <w:rPr>
          <w:rFonts w:ascii="Arial" w:hAnsi="Arial" w:cs="Arial"/>
          <w:sz w:val="20"/>
          <w:szCs w:val="20"/>
        </w:rPr>
        <w:t>above</w:t>
      </w:r>
      <w:r w:rsidRPr="005567DA">
        <w:rPr>
          <w:rFonts w:ascii="Arial" w:hAnsi="Arial" w:cs="Arial"/>
          <w:sz w:val="20"/>
          <w:szCs w:val="20"/>
        </w:rPr>
        <w:t xml:space="preserve"> and also be able to demonstrate eligibility for one or more priority categories.</w:t>
      </w:r>
    </w:p>
    <w:p w:rsidR="00655A1B" w:rsidRPr="00365CD3" w:rsidRDefault="00655A1B" w:rsidP="00D171AA">
      <w:pPr>
        <w:pStyle w:val="Heading3"/>
        <w:numPr>
          <w:ilvl w:val="1"/>
          <w:numId w:val="26"/>
        </w:numPr>
        <w:spacing w:before="240" w:after="120" w:line="270" w:lineRule="atLeast"/>
        <w:ind w:left="425" w:hanging="357"/>
        <w:rPr>
          <w:rFonts w:ascii="Arial" w:hAnsi="Arial" w:cs="Arial"/>
          <w:color w:val="auto"/>
          <w:sz w:val="20"/>
          <w:szCs w:val="20"/>
        </w:rPr>
      </w:pPr>
      <w:r w:rsidRPr="00365CD3">
        <w:rPr>
          <w:rFonts w:ascii="Arial" w:hAnsi="Arial" w:cs="Arial"/>
          <w:color w:val="auto"/>
          <w:sz w:val="20"/>
          <w:szCs w:val="20"/>
        </w:rPr>
        <w:t>Emergency Management Housing</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 xml:space="preserve">The Emergency Management Housing category is for people whose housing is no longer safe or habitable, due to an emergency, for example a bushfire, flood or storm. </w:t>
      </w:r>
    </w:p>
    <w:p w:rsidR="00655A1B" w:rsidRDefault="00655A1B" w:rsidP="00D171AA">
      <w:pPr>
        <w:spacing w:after="120" w:line="270" w:lineRule="atLeast"/>
        <w:rPr>
          <w:rFonts w:ascii="Arial" w:hAnsi="Arial" w:cs="Arial"/>
          <w:sz w:val="20"/>
          <w:szCs w:val="20"/>
        </w:rPr>
      </w:pPr>
      <w:r w:rsidRPr="005567DA">
        <w:rPr>
          <w:rFonts w:ascii="Arial" w:hAnsi="Arial" w:cs="Arial"/>
          <w:sz w:val="20"/>
          <w:szCs w:val="20"/>
        </w:rPr>
        <w:t xml:space="preserve">To confirm eligibility, an applicant’s support organisation, a recovery agency such as the municipal council, or a tenancy manager must confirm their housing is no longer safe or habitable, due to an emergency.  </w:t>
      </w:r>
    </w:p>
    <w:p w:rsidR="00365CD3" w:rsidRPr="00365CD3" w:rsidRDefault="00365CD3" w:rsidP="00D171AA">
      <w:pPr>
        <w:pStyle w:val="Heading3"/>
        <w:numPr>
          <w:ilvl w:val="1"/>
          <w:numId w:val="26"/>
        </w:numPr>
        <w:spacing w:before="240" w:after="120" w:line="270" w:lineRule="atLeast"/>
        <w:ind w:left="425" w:hanging="357"/>
        <w:rPr>
          <w:rFonts w:ascii="Arial" w:hAnsi="Arial" w:cs="Arial"/>
          <w:color w:val="auto"/>
          <w:sz w:val="20"/>
          <w:szCs w:val="20"/>
        </w:rPr>
      </w:pPr>
      <w:r>
        <w:rPr>
          <w:rFonts w:ascii="Arial" w:hAnsi="Arial" w:cs="Arial"/>
          <w:color w:val="auto"/>
          <w:sz w:val="20"/>
          <w:szCs w:val="20"/>
        </w:rPr>
        <w:t>Priority Transfers</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 xml:space="preserve">The Priority Transfers category is for existing social housing tenants that require urgent relocation to another social housing property because their current property is unsafe or unsuitable, is to be sold, redeveloped or better utilised. </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To be considered eligible, the type of circumstances that must be demonstrated include:</w:t>
      </w:r>
    </w:p>
    <w:p w:rsidR="00655A1B" w:rsidRPr="005567DA" w:rsidRDefault="00655A1B" w:rsidP="00D171AA">
      <w:pPr>
        <w:spacing w:after="120" w:line="270" w:lineRule="atLeast"/>
        <w:rPr>
          <w:rFonts w:ascii="Arial" w:hAnsi="Arial" w:cs="Arial"/>
          <w:sz w:val="20"/>
          <w:szCs w:val="20"/>
        </w:rPr>
      </w:pPr>
      <w:r w:rsidRPr="005567DA">
        <w:rPr>
          <w:rFonts w:ascii="Arial" w:hAnsi="Arial" w:cs="Arial"/>
          <w:b/>
          <w:sz w:val="20"/>
          <w:szCs w:val="20"/>
        </w:rPr>
        <w:t>Safety issues:</w:t>
      </w:r>
      <w:r w:rsidRPr="005567DA">
        <w:rPr>
          <w:rFonts w:ascii="Arial" w:hAnsi="Arial" w:cs="Arial"/>
          <w:sz w:val="20"/>
          <w:szCs w:val="20"/>
        </w:rPr>
        <w:t xml:space="preserve"> there are safety issues, for example, due to family violence, anti-social behaviour, threats to safety in a rooming house, risk of ex-prisoner tenant re-offending etc.</w:t>
      </w:r>
    </w:p>
    <w:p w:rsidR="00655A1B" w:rsidRPr="005567DA" w:rsidRDefault="00655A1B" w:rsidP="00D171AA">
      <w:pPr>
        <w:spacing w:after="120" w:line="270" w:lineRule="atLeast"/>
        <w:rPr>
          <w:rFonts w:ascii="Arial" w:hAnsi="Arial" w:cs="Arial"/>
          <w:sz w:val="20"/>
          <w:szCs w:val="20"/>
        </w:rPr>
      </w:pPr>
      <w:r w:rsidRPr="005567DA">
        <w:rPr>
          <w:rFonts w:ascii="Arial" w:hAnsi="Arial" w:cs="Arial"/>
          <w:b/>
          <w:sz w:val="20"/>
          <w:szCs w:val="20"/>
        </w:rPr>
        <w:t>Manifestly unsuitable housing:</w:t>
      </w:r>
      <w:r w:rsidRPr="005567DA">
        <w:rPr>
          <w:rFonts w:ascii="Arial" w:hAnsi="Arial" w:cs="Arial"/>
          <w:sz w:val="20"/>
          <w:szCs w:val="20"/>
        </w:rPr>
        <w:t xml:space="preserve"> the existing housing is manifestly unsuitable resulting in a situation where a person cannot continue to live there independently, for </w:t>
      </w:r>
      <w:r w:rsidR="00BD664E" w:rsidRPr="005567DA">
        <w:rPr>
          <w:rFonts w:ascii="Arial" w:hAnsi="Arial" w:cs="Arial"/>
          <w:sz w:val="20"/>
          <w:szCs w:val="20"/>
        </w:rPr>
        <w:t>example</w:t>
      </w:r>
      <w:r w:rsidRPr="005567DA">
        <w:rPr>
          <w:rFonts w:ascii="Arial" w:hAnsi="Arial" w:cs="Arial"/>
          <w:sz w:val="20"/>
          <w:szCs w:val="20"/>
        </w:rPr>
        <w:t>, they need major disability modifications or level access</w:t>
      </w:r>
      <w:r w:rsidR="006B0641" w:rsidRPr="005567DA">
        <w:rPr>
          <w:rFonts w:ascii="Arial" w:hAnsi="Arial" w:cs="Arial"/>
          <w:sz w:val="20"/>
          <w:szCs w:val="20"/>
        </w:rPr>
        <w:t>,</w:t>
      </w:r>
      <w:r w:rsidRPr="005567DA">
        <w:rPr>
          <w:rFonts w:ascii="Arial" w:hAnsi="Arial" w:cs="Arial"/>
          <w:sz w:val="20"/>
          <w:szCs w:val="20"/>
        </w:rPr>
        <w:t xml:space="preserve"> they cannot accom</w:t>
      </w:r>
      <w:r w:rsidR="00297B04" w:rsidRPr="005567DA">
        <w:rPr>
          <w:rFonts w:ascii="Arial" w:hAnsi="Arial" w:cs="Arial"/>
          <w:sz w:val="20"/>
          <w:szCs w:val="20"/>
        </w:rPr>
        <w:t xml:space="preserve">modate a live-in carer, </w:t>
      </w:r>
    </w:p>
    <w:p w:rsidR="00655A1B" w:rsidRPr="005567DA" w:rsidRDefault="00655A1B" w:rsidP="00D171AA">
      <w:pPr>
        <w:spacing w:after="120" w:line="270" w:lineRule="atLeast"/>
        <w:rPr>
          <w:rFonts w:ascii="Arial" w:hAnsi="Arial" w:cs="Arial"/>
          <w:sz w:val="20"/>
          <w:szCs w:val="20"/>
        </w:rPr>
      </w:pPr>
      <w:r w:rsidRPr="005567DA">
        <w:rPr>
          <w:rFonts w:ascii="Arial" w:hAnsi="Arial" w:cs="Arial"/>
          <w:b/>
          <w:sz w:val="20"/>
          <w:szCs w:val="20"/>
        </w:rPr>
        <w:t>Uninhabitable housing:</w:t>
      </w:r>
      <w:r w:rsidRPr="005567DA">
        <w:rPr>
          <w:rFonts w:ascii="Arial" w:hAnsi="Arial" w:cs="Arial"/>
          <w:sz w:val="20"/>
          <w:szCs w:val="20"/>
        </w:rPr>
        <w:t xml:space="preserve"> the property is uninhabitable, for example, because there has been a fire, flood</w:t>
      </w:r>
      <w:r w:rsidR="005A673B" w:rsidRPr="005567DA">
        <w:rPr>
          <w:rFonts w:ascii="Arial" w:hAnsi="Arial" w:cs="Arial"/>
          <w:sz w:val="20"/>
          <w:szCs w:val="20"/>
        </w:rPr>
        <w:t xml:space="preserve">, vandalism </w:t>
      </w:r>
    </w:p>
    <w:p w:rsidR="00655A1B" w:rsidRPr="005567DA" w:rsidRDefault="00655A1B" w:rsidP="00D171AA">
      <w:pPr>
        <w:spacing w:after="120" w:line="270" w:lineRule="atLeast"/>
        <w:rPr>
          <w:rFonts w:ascii="Arial" w:hAnsi="Arial" w:cs="Arial"/>
          <w:sz w:val="20"/>
          <w:szCs w:val="20"/>
        </w:rPr>
      </w:pPr>
      <w:r w:rsidRPr="005567DA">
        <w:rPr>
          <w:rFonts w:ascii="Arial" w:hAnsi="Arial" w:cs="Arial"/>
          <w:b/>
          <w:sz w:val="20"/>
          <w:szCs w:val="20"/>
        </w:rPr>
        <w:lastRenderedPageBreak/>
        <w:t>Family re-unification:</w:t>
      </w:r>
      <w:r w:rsidRPr="005567DA">
        <w:rPr>
          <w:rFonts w:ascii="Arial" w:hAnsi="Arial" w:cs="Arial"/>
          <w:sz w:val="20"/>
          <w:szCs w:val="20"/>
        </w:rPr>
        <w:t xml:space="preserve"> a need to re-unify a family, for example, if a court has ordered that a child should stay with their parent three nights a week and there is not enough bedrooms to accommodate the child.</w:t>
      </w:r>
    </w:p>
    <w:p w:rsidR="00655A1B" w:rsidRPr="005567DA" w:rsidRDefault="00655A1B" w:rsidP="00D171AA">
      <w:pPr>
        <w:spacing w:after="120" w:line="270" w:lineRule="atLeast"/>
        <w:rPr>
          <w:rFonts w:ascii="Arial" w:hAnsi="Arial" w:cs="Arial"/>
          <w:sz w:val="20"/>
          <w:szCs w:val="20"/>
        </w:rPr>
      </w:pPr>
      <w:r w:rsidRPr="005567DA">
        <w:rPr>
          <w:rFonts w:ascii="Arial" w:hAnsi="Arial" w:cs="Arial"/>
          <w:b/>
          <w:sz w:val="20"/>
          <w:szCs w:val="20"/>
        </w:rPr>
        <w:t>Stock utilisation:</w:t>
      </w:r>
      <w:r w:rsidRPr="005567DA">
        <w:rPr>
          <w:rFonts w:ascii="Arial" w:hAnsi="Arial" w:cs="Arial"/>
          <w:sz w:val="20"/>
          <w:szCs w:val="20"/>
        </w:rPr>
        <w:t xml:space="preserve"> a need to better match tenants to properties that improves stock utilisation. For example</w:t>
      </w:r>
      <w:r w:rsidR="00D05401" w:rsidRPr="005567DA">
        <w:rPr>
          <w:rFonts w:ascii="Arial" w:hAnsi="Arial" w:cs="Arial"/>
          <w:sz w:val="20"/>
          <w:szCs w:val="20"/>
        </w:rPr>
        <w:t>,</w:t>
      </w:r>
      <w:r w:rsidRPr="005567DA">
        <w:rPr>
          <w:rFonts w:ascii="Arial" w:hAnsi="Arial" w:cs="Arial"/>
          <w:sz w:val="20"/>
          <w:szCs w:val="20"/>
        </w:rPr>
        <w:t xml:space="preserve"> where a tenant wishes to downsize from a four bedroom house to a two bedroom house as their children have grown up and moved out of the family home.</w:t>
      </w:r>
    </w:p>
    <w:p w:rsidR="00655A1B" w:rsidRPr="005567DA" w:rsidRDefault="00655A1B" w:rsidP="00D171AA">
      <w:pPr>
        <w:spacing w:after="120" w:line="270" w:lineRule="atLeast"/>
        <w:rPr>
          <w:rFonts w:ascii="Arial" w:hAnsi="Arial" w:cs="Arial"/>
          <w:sz w:val="20"/>
          <w:szCs w:val="20"/>
        </w:rPr>
      </w:pPr>
      <w:r w:rsidRPr="005567DA">
        <w:rPr>
          <w:rFonts w:ascii="Arial" w:hAnsi="Arial" w:cs="Arial"/>
          <w:b/>
          <w:sz w:val="20"/>
          <w:szCs w:val="20"/>
        </w:rPr>
        <w:t>Move out of a property</w:t>
      </w:r>
      <w:r w:rsidR="00AE1DE0" w:rsidRPr="005567DA">
        <w:rPr>
          <w:rFonts w:ascii="Arial" w:hAnsi="Arial" w:cs="Arial"/>
          <w:b/>
          <w:sz w:val="20"/>
          <w:szCs w:val="20"/>
        </w:rPr>
        <w:t xml:space="preserve"> </w:t>
      </w:r>
      <w:r w:rsidRPr="005567DA">
        <w:rPr>
          <w:rFonts w:ascii="Arial" w:hAnsi="Arial" w:cs="Arial"/>
          <w:b/>
          <w:sz w:val="20"/>
          <w:szCs w:val="20"/>
        </w:rPr>
        <w:t>:</w:t>
      </w:r>
      <w:r w:rsidRPr="005567DA">
        <w:rPr>
          <w:rFonts w:ascii="Arial" w:hAnsi="Arial" w:cs="Arial"/>
          <w:sz w:val="20"/>
          <w:szCs w:val="20"/>
        </w:rPr>
        <w:t xml:space="preserve"> a need to move a tenant due to an expiry of a head-lease or to enable redevelopment or upgrade of the property.</w:t>
      </w:r>
    </w:p>
    <w:p w:rsidR="00365CD3" w:rsidRPr="00365CD3" w:rsidRDefault="00365CD3" w:rsidP="00D171AA">
      <w:pPr>
        <w:pStyle w:val="Heading3"/>
        <w:numPr>
          <w:ilvl w:val="1"/>
          <w:numId w:val="26"/>
        </w:numPr>
        <w:spacing w:before="240" w:after="120" w:line="270" w:lineRule="atLeast"/>
        <w:ind w:left="425" w:hanging="357"/>
        <w:rPr>
          <w:rFonts w:ascii="Arial" w:hAnsi="Arial" w:cs="Arial"/>
          <w:color w:val="auto"/>
          <w:sz w:val="20"/>
          <w:szCs w:val="20"/>
        </w:rPr>
      </w:pPr>
      <w:r>
        <w:rPr>
          <w:rFonts w:ascii="Arial" w:hAnsi="Arial" w:cs="Arial"/>
          <w:color w:val="auto"/>
          <w:sz w:val="20"/>
          <w:szCs w:val="20"/>
        </w:rPr>
        <w:t>Homeless with Support</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The Homeless with Support category is for individuals or families who are homeless, at risk of homelessness or experiencing family violence who:</w:t>
      </w:r>
    </w:p>
    <w:p w:rsidR="00655A1B" w:rsidRPr="005567DA" w:rsidRDefault="00655A1B" w:rsidP="00D171AA">
      <w:pPr>
        <w:pStyle w:val="ListParagraph"/>
        <w:numPr>
          <w:ilvl w:val="0"/>
          <w:numId w:val="14"/>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have no alternative housing options</w:t>
      </w:r>
      <w:r w:rsidR="007037AF" w:rsidRPr="005567DA">
        <w:rPr>
          <w:rFonts w:ascii="Arial" w:eastAsia="Times New Roman" w:hAnsi="Arial" w:cs="Arial"/>
          <w:sz w:val="20"/>
          <w:szCs w:val="20"/>
        </w:rPr>
        <w:t>;</w:t>
      </w:r>
    </w:p>
    <w:p w:rsidR="00655A1B" w:rsidRPr="005567DA" w:rsidRDefault="00655A1B" w:rsidP="00D171AA">
      <w:pPr>
        <w:pStyle w:val="ListParagraph"/>
        <w:numPr>
          <w:ilvl w:val="0"/>
          <w:numId w:val="14"/>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are receiving support through a government-funded support program</w:t>
      </w:r>
      <w:r w:rsidR="007037AF" w:rsidRPr="005567DA">
        <w:rPr>
          <w:rFonts w:ascii="Arial" w:eastAsia="Times New Roman" w:hAnsi="Arial" w:cs="Arial"/>
          <w:sz w:val="20"/>
          <w:szCs w:val="20"/>
        </w:rPr>
        <w:t>;</w:t>
      </w:r>
      <w:r w:rsidRPr="005567DA">
        <w:rPr>
          <w:rFonts w:ascii="Arial" w:hAnsi="Arial" w:cs="Arial"/>
          <w:sz w:val="20"/>
          <w:szCs w:val="20"/>
        </w:rPr>
        <w:t xml:space="preserve"> or </w:t>
      </w:r>
    </w:p>
    <w:p w:rsidR="00655A1B" w:rsidRDefault="00655A1B" w:rsidP="00D171AA">
      <w:pPr>
        <w:pStyle w:val="ListParagraph"/>
        <w:numPr>
          <w:ilvl w:val="0"/>
          <w:numId w:val="14"/>
        </w:numPr>
        <w:spacing w:after="120" w:line="270" w:lineRule="atLeast"/>
        <w:ind w:left="567" w:hanging="567"/>
        <w:rPr>
          <w:rFonts w:ascii="Arial" w:hAnsi="Arial" w:cs="Arial"/>
          <w:sz w:val="20"/>
          <w:szCs w:val="20"/>
        </w:rPr>
      </w:pPr>
      <w:r w:rsidRPr="005567DA">
        <w:rPr>
          <w:rFonts w:ascii="Arial" w:hAnsi="Arial" w:cs="Arial"/>
          <w:sz w:val="20"/>
          <w:szCs w:val="20"/>
        </w:rPr>
        <w:t>who are exiting care or custody under health, child protection or justice arrangements.</w:t>
      </w:r>
    </w:p>
    <w:p w:rsidR="00365CD3" w:rsidRPr="00365CD3" w:rsidRDefault="00365CD3" w:rsidP="00D171AA">
      <w:pPr>
        <w:pStyle w:val="Heading3"/>
        <w:numPr>
          <w:ilvl w:val="1"/>
          <w:numId w:val="26"/>
        </w:numPr>
        <w:spacing w:before="240" w:after="120" w:line="270" w:lineRule="atLeast"/>
        <w:ind w:left="425" w:hanging="357"/>
        <w:rPr>
          <w:rFonts w:ascii="Arial" w:hAnsi="Arial" w:cs="Arial"/>
          <w:color w:val="auto"/>
          <w:sz w:val="20"/>
          <w:szCs w:val="20"/>
        </w:rPr>
      </w:pPr>
      <w:r>
        <w:rPr>
          <w:rFonts w:ascii="Arial" w:hAnsi="Arial" w:cs="Arial"/>
          <w:color w:val="auto"/>
          <w:sz w:val="20"/>
          <w:szCs w:val="20"/>
        </w:rPr>
        <w:t>Supported Housing</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The Supported Housing category is for people or families whose existing housing is highly unsuitable because:</w:t>
      </w:r>
    </w:p>
    <w:p w:rsidR="00E47159" w:rsidRPr="009D03CB" w:rsidRDefault="007D0DE8" w:rsidP="00D171AA">
      <w:pPr>
        <w:pStyle w:val="ListParagraph"/>
        <w:numPr>
          <w:ilvl w:val="0"/>
          <w:numId w:val="14"/>
        </w:numPr>
        <w:spacing w:before="120" w:after="120" w:line="270" w:lineRule="atLeast"/>
        <w:ind w:left="567" w:hanging="567"/>
        <w:contextualSpacing w:val="0"/>
        <w:rPr>
          <w:rFonts w:ascii="Arial" w:hAnsi="Arial" w:cs="Arial"/>
          <w:sz w:val="20"/>
          <w:szCs w:val="20"/>
        </w:rPr>
      </w:pPr>
      <w:r w:rsidRPr="005567DA">
        <w:rPr>
          <w:rFonts w:ascii="Arial" w:hAnsi="Arial" w:cs="Arial"/>
          <w:sz w:val="20"/>
          <w:szCs w:val="20"/>
        </w:rPr>
        <w:t xml:space="preserve">major </w:t>
      </w:r>
      <w:r w:rsidR="00655A1B" w:rsidRPr="005567DA">
        <w:rPr>
          <w:rFonts w:ascii="Arial" w:hAnsi="Arial" w:cs="Arial"/>
          <w:sz w:val="20"/>
          <w:szCs w:val="20"/>
        </w:rPr>
        <w:t>structural modification is required of their existing housing due to a household member’s disability or health condition, but such modification cannot be made</w:t>
      </w:r>
      <w:r w:rsidRPr="005567DA">
        <w:rPr>
          <w:rFonts w:ascii="Arial" w:hAnsi="Arial" w:cs="Arial"/>
          <w:sz w:val="20"/>
          <w:szCs w:val="20"/>
        </w:rPr>
        <w:t xml:space="preserve">; </w:t>
      </w:r>
      <w:r w:rsidR="00655A1B" w:rsidRPr="005567DA">
        <w:rPr>
          <w:rFonts w:ascii="Arial" w:hAnsi="Arial" w:cs="Arial"/>
          <w:sz w:val="20"/>
          <w:szCs w:val="20"/>
        </w:rPr>
        <w:t>or</w:t>
      </w:r>
    </w:p>
    <w:p w:rsidR="00AE1DE0" w:rsidRPr="005567DA" w:rsidRDefault="007D0DE8" w:rsidP="00D171AA">
      <w:pPr>
        <w:pStyle w:val="ListParagraph"/>
        <w:numPr>
          <w:ilvl w:val="0"/>
          <w:numId w:val="14"/>
        </w:numPr>
        <w:spacing w:before="120" w:after="120" w:line="270" w:lineRule="atLeast"/>
        <w:ind w:left="567" w:hanging="567"/>
        <w:contextualSpacing w:val="0"/>
        <w:rPr>
          <w:rFonts w:ascii="Arial" w:hAnsi="Arial" w:cs="Arial"/>
          <w:sz w:val="20"/>
          <w:szCs w:val="20"/>
        </w:rPr>
      </w:pPr>
      <w:r w:rsidRPr="005567DA">
        <w:rPr>
          <w:rFonts w:ascii="Arial" w:hAnsi="Arial" w:cs="Arial"/>
          <w:sz w:val="20"/>
          <w:szCs w:val="20"/>
        </w:rPr>
        <w:t>t</w:t>
      </w:r>
      <w:r w:rsidR="00655A1B" w:rsidRPr="005567DA">
        <w:rPr>
          <w:rFonts w:ascii="Arial" w:hAnsi="Arial" w:cs="Arial"/>
          <w:sz w:val="20"/>
          <w:szCs w:val="20"/>
        </w:rPr>
        <w:t>hey are unable to access required assistance of personal support through an approved support provider to be able to live independently or their housing is significantly detrimental to, or exacerbates, their physical or mental health condition.</w:t>
      </w:r>
    </w:p>
    <w:p w:rsidR="00365CD3" w:rsidRPr="00365CD3" w:rsidRDefault="00365CD3" w:rsidP="00D171AA">
      <w:pPr>
        <w:pStyle w:val="Heading3"/>
        <w:numPr>
          <w:ilvl w:val="1"/>
          <w:numId w:val="26"/>
        </w:numPr>
        <w:spacing w:before="240" w:after="120" w:line="270" w:lineRule="atLeast"/>
        <w:ind w:left="425" w:hanging="357"/>
        <w:rPr>
          <w:rFonts w:ascii="Arial" w:hAnsi="Arial" w:cs="Arial"/>
          <w:color w:val="auto"/>
          <w:sz w:val="20"/>
          <w:szCs w:val="20"/>
        </w:rPr>
      </w:pPr>
      <w:r>
        <w:rPr>
          <w:rFonts w:ascii="Arial" w:hAnsi="Arial" w:cs="Arial"/>
          <w:color w:val="auto"/>
          <w:sz w:val="20"/>
          <w:szCs w:val="20"/>
        </w:rPr>
        <w:t>Special Housing Needs</w:t>
      </w:r>
    </w:p>
    <w:p w:rsidR="00655A1B" w:rsidRPr="00365CD3" w:rsidRDefault="00655A1B" w:rsidP="00D171AA">
      <w:pPr>
        <w:spacing w:after="120" w:line="270" w:lineRule="atLeast"/>
        <w:rPr>
          <w:rFonts w:ascii="Arial" w:hAnsi="Arial" w:cs="Arial"/>
          <w:sz w:val="20"/>
          <w:szCs w:val="20"/>
        </w:rPr>
      </w:pPr>
      <w:r w:rsidRPr="00365CD3">
        <w:rPr>
          <w:rFonts w:ascii="Arial" w:hAnsi="Arial" w:cs="Arial"/>
          <w:sz w:val="20"/>
          <w:szCs w:val="20"/>
        </w:rPr>
        <w:t xml:space="preserve">The Special Housing Needs category is for people who are living in housing that has become unsuitable and have no alternative housing options. </w:t>
      </w:r>
    </w:p>
    <w:p w:rsidR="00655A1B" w:rsidRPr="005567DA" w:rsidRDefault="00655A1B" w:rsidP="00D171AA">
      <w:pPr>
        <w:spacing w:after="120" w:line="270" w:lineRule="atLeast"/>
        <w:rPr>
          <w:rFonts w:ascii="Arial" w:hAnsi="Arial" w:cs="Arial"/>
          <w:sz w:val="20"/>
          <w:szCs w:val="20"/>
        </w:rPr>
      </w:pPr>
      <w:r w:rsidRPr="005567DA">
        <w:rPr>
          <w:rFonts w:ascii="Arial" w:hAnsi="Arial" w:cs="Arial"/>
          <w:sz w:val="20"/>
          <w:szCs w:val="20"/>
        </w:rPr>
        <w:t>There are four priority reasons that a person can be considered eligible for the Special Housing Needs category.  The type of circumstances that an applicant must demonstrate to be eligible for this category include:</w:t>
      </w:r>
    </w:p>
    <w:p w:rsidR="00E47159" w:rsidRPr="009D03CB" w:rsidRDefault="00655A1B" w:rsidP="00D171AA">
      <w:pPr>
        <w:pStyle w:val="ListParagraph"/>
        <w:numPr>
          <w:ilvl w:val="0"/>
          <w:numId w:val="14"/>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Insecure Housing</w:t>
      </w:r>
      <w:r w:rsidR="00274E7A" w:rsidRPr="005567DA">
        <w:rPr>
          <w:rFonts w:ascii="Arial" w:hAnsi="Arial" w:cs="Arial"/>
          <w:sz w:val="20"/>
          <w:szCs w:val="20"/>
        </w:rPr>
        <w:t xml:space="preserve">, that is, </w:t>
      </w:r>
      <w:r w:rsidRPr="005567DA">
        <w:rPr>
          <w:rFonts w:ascii="Arial" w:hAnsi="Arial" w:cs="Arial"/>
          <w:sz w:val="20"/>
          <w:szCs w:val="20"/>
        </w:rPr>
        <w:t>living in temporary, emergency or crisis housing or with friends or relatives</w:t>
      </w:r>
      <w:r w:rsidR="00AE1DE0" w:rsidRPr="005567DA">
        <w:rPr>
          <w:rFonts w:ascii="Arial" w:hAnsi="Arial" w:cs="Arial"/>
          <w:sz w:val="20"/>
          <w:szCs w:val="20"/>
        </w:rPr>
        <w:t xml:space="preserve"> </w:t>
      </w:r>
      <w:r w:rsidR="00E47159" w:rsidRPr="005567DA">
        <w:rPr>
          <w:rFonts w:ascii="Arial" w:hAnsi="Arial" w:cs="Arial"/>
          <w:sz w:val="20"/>
          <w:szCs w:val="20"/>
        </w:rPr>
        <w:t>;</w:t>
      </w:r>
    </w:p>
    <w:p w:rsidR="00E47159" w:rsidRPr="009D03CB" w:rsidRDefault="00655A1B" w:rsidP="00D171AA">
      <w:pPr>
        <w:pStyle w:val="ListParagraph"/>
        <w:numPr>
          <w:ilvl w:val="0"/>
          <w:numId w:val="14"/>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Inappropriate housing, comprising severe overcrowding, unsuitable housing and family reunification</w:t>
      </w:r>
      <w:r w:rsidR="007D0DE8" w:rsidRPr="005567DA">
        <w:rPr>
          <w:rFonts w:ascii="Arial" w:hAnsi="Arial" w:cs="Arial"/>
          <w:sz w:val="20"/>
          <w:szCs w:val="20"/>
        </w:rPr>
        <w:t>;</w:t>
      </w:r>
    </w:p>
    <w:p w:rsidR="00E47159" w:rsidRPr="009D03CB" w:rsidRDefault="00655A1B" w:rsidP="00D171AA">
      <w:pPr>
        <w:pStyle w:val="ListParagraph"/>
        <w:numPr>
          <w:ilvl w:val="0"/>
          <w:numId w:val="14"/>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Unsafe housing, comprising of family violence and serious threat of physical danger</w:t>
      </w:r>
      <w:r w:rsidR="00E47159" w:rsidRPr="005567DA">
        <w:rPr>
          <w:rFonts w:ascii="Arial" w:hAnsi="Arial" w:cs="Arial"/>
          <w:sz w:val="20"/>
          <w:szCs w:val="20"/>
        </w:rPr>
        <w:t>; or</w:t>
      </w:r>
    </w:p>
    <w:p w:rsidR="00655A1B" w:rsidRPr="005567DA" w:rsidRDefault="00655A1B" w:rsidP="00D171AA">
      <w:pPr>
        <w:pStyle w:val="ListParagraph"/>
        <w:numPr>
          <w:ilvl w:val="0"/>
          <w:numId w:val="14"/>
        </w:numPr>
        <w:spacing w:after="120" w:line="270" w:lineRule="atLeast"/>
        <w:ind w:left="567" w:hanging="567"/>
        <w:contextualSpacing w:val="0"/>
        <w:rPr>
          <w:rFonts w:ascii="Arial" w:hAnsi="Arial" w:cs="Arial"/>
          <w:sz w:val="20"/>
          <w:szCs w:val="20"/>
        </w:rPr>
      </w:pPr>
      <w:r w:rsidRPr="005567DA">
        <w:rPr>
          <w:rFonts w:ascii="Arial" w:hAnsi="Arial" w:cs="Arial"/>
          <w:sz w:val="20"/>
          <w:szCs w:val="20"/>
        </w:rPr>
        <w:t>Urgent Medical Needs, with a serious medical condition, where the person urgently requires alternative housing.</w:t>
      </w:r>
    </w:p>
    <w:p w:rsidR="00365CD3" w:rsidRPr="00365CD3" w:rsidRDefault="00365CD3" w:rsidP="00D171AA">
      <w:pPr>
        <w:pStyle w:val="Heading3"/>
        <w:numPr>
          <w:ilvl w:val="1"/>
          <w:numId w:val="26"/>
        </w:numPr>
        <w:spacing w:before="240" w:after="120" w:line="270" w:lineRule="atLeast"/>
        <w:ind w:left="425" w:hanging="357"/>
        <w:rPr>
          <w:rFonts w:ascii="Arial" w:hAnsi="Arial" w:cs="Arial"/>
          <w:color w:val="auto"/>
          <w:sz w:val="20"/>
          <w:szCs w:val="20"/>
        </w:rPr>
      </w:pPr>
      <w:r>
        <w:rPr>
          <w:rFonts w:ascii="Arial" w:hAnsi="Arial" w:cs="Arial"/>
          <w:color w:val="auto"/>
          <w:sz w:val="20"/>
          <w:szCs w:val="20"/>
        </w:rPr>
        <w:t>Special Housing Needs aged 55 years and over</w:t>
      </w:r>
    </w:p>
    <w:p w:rsidR="00655A1B" w:rsidRDefault="00655A1B" w:rsidP="00D171AA">
      <w:pPr>
        <w:spacing w:after="120" w:line="270" w:lineRule="atLeast"/>
        <w:rPr>
          <w:rFonts w:ascii="Arial" w:hAnsi="Arial" w:cs="Arial"/>
          <w:sz w:val="20"/>
          <w:szCs w:val="20"/>
        </w:rPr>
      </w:pPr>
      <w:r w:rsidRPr="005567DA">
        <w:rPr>
          <w:rFonts w:ascii="Arial" w:hAnsi="Arial" w:cs="Arial"/>
          <w:sz w:val="20"/>
          <w:szCs w:val="20"/>
        </w:rPr>
        <w:t>This category is for people aged 55 years and over who wish to be considered for social housing who are not eligible for any other priority access category. This category only applies to single people or couples (</w:t>
      </w:r>
      <w:r w:rsidR="00274E7A" w:rsidRPr="005567DA">
        <w:rPr>
          <w:rFonts w:ascii="Arial" w:hAnsi="Arial" w:cs="Arial"/>
          <w:sz w:val="20"/>
          <w:szCs w:val="20"/>
        </w:rPr>
        <w:t>that is,</w:t>
      </w:r>
      <w:r w:rsidRPr="005567DA">
        <w:rPr>
          <w:rFonts w:ascii="Arial" w:hAnsi="Arial" w:cs="Arial"/>
          <w:sz w:val="20"/>
          <w:szCs w:val="20"/>
        </w:rPr>
        <w:t xml:space="preserve"> both applicants will need to be aged 55 </w:t>
      </w:r>
      <w:r w:rsidR="00274E7A" w:rsidRPr="005567DA">
        <w:rPr>
          <w:rFonts w:ascii="Arial" w:hAnsi="Arial" w:cs="Arial"/>
          <w:sz w:val="20"/>
          <w:szCs w:val="20"/>
        </w:rPr>
        <w:t xml:space="preserve">years </w:t>
      </w:r>
      <w:r w:rsidRPr="005567DA">
        <w:rPr>
          <w:rFonts w:ascii="Arial" w:hAnsi="Arial" w:cs="Arial"/>
          <w:sz w:val="20"/>
          <w:szCs w:val="20"/>
        </w:rPr>
        <w:t>or above</w:t>
      </w:r>
      <w:bookmarkStart w:id="9" w:name="_Toc466038740"/>
      <w:r w:rsidRPr="005567DA">
        <w:rPr>
          <w:rFonts w:ascii="Arial" w:hAnsi="Arial" w:cs="Arial"/>
          <w:sz w:val="20"/>
          <w:szCs w:val="20"/>
        </w:rPr>
        <w:t>).</w:t>
      </w:r>
      <w:bookmarkEnd w:id="9"/>
    </w:p>
    <w:tbl>
      <w:tblPr>
        <w:tblW w:w="4800" w:type="pct"/>
        <w:tblInd w:w="113" w:type="dxa"/>
        <w:tblCellMar>
          <w:top w:w="113" w:type="dxa"/>
          <w:bottom w:w="57" w:type="dxa"/>
        </w:tblCellMar>
        <w:tblLook w:val="00A0" w:firstRow="1" w:lastRow="0" w:firstColumn="1" w:lastColumn="0" w:noHBand="0" w:noVBand="0"/>
      </w:tblPr>
      <w:tblGrid>
        <w:gridCol w:w="8872"/>
      </w:tblGrid>
      <w:tr w:rsidR="00267274" w:rsidRPr="002802E3" w:rsidTr="0008475C">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67274" w:rsidRPr="005B1DE2" w:rsidRDefault="00267274" w:rsidP="0008475C">
            <w:pPr>
              <w:pStyle w:val="DHHSaccessibilitypara"/>
            </w:pPr>
            <w:r w:rsidRPr="005B1DE2">
              <w:lastRenderedPageBreak/>
              <w:t xml:space="preserve">To receive this publication in an accessible format phone </w:t>
            </w:r>
            <w:r w:rsidRPr="005B1DE2">
              <w:t>1800 128 496</w:t>
            </w:r>
            <w:r w:rsidRPr="005B1DE2">
              <w:t xml:space="preserve">, using the National Relay Service 13 36 77 if required, or email </w:t>
            </w:r>
            <w:r w:rsidRPr="005B1DE2">
              <w:t xml:space="preserve">victorianhousingregister@dhhs.vic.gov.au </w:t>
            </w:r>
          </w:p>
          <w:p w:rsidR="00267274" w:rsidRPr="005B1DE2" w:rsidRDefault="00267274" w:rsidP="0008475C">
            <w:pPr>
              <w:pStyle w:val="DHHSbody"/>
            </w:pPr>
            <w:r w:rsidRPr="005B1DE2">
              <w:t>Authorised and published by the Victorian Government, 1 Treasury Place, Melbourne.</w:t>
            </w:r>
          </w:p>
          <w:p w:rsidR="00267274" w:rsidRPr="005B1DE2" w:rsidRDefault="00267274" w:rsidP="0008475C">
            <w:pPr>
              <w:pStyle w:val="DHHSbody"/>
            </w:pPr>
            <w:r w:rsidRPr="005B1DE2">
              <w:t xml:space="preserve">© State of Victoria, Department of Health and Human Services </w:t>
            </w:r>
            <w:r w:rsidRPr="005B1DE2">
              <w:t>July, 2018</w:t>
            </w:r>
            <w:r w:rsidRPr="005B1DE2">
              <w:t>.</w:t>
            </w:r>
          </w:p>
          <w:p w:rsidR="00267274" w:rsidRPr="005B1DE2" w:rsidRDefault="00267274" w:rsidP="0008475C">
            <w:pPr>
              <w:pStyle w:val="DHHSbody"/>
              <w:rPr>
                <w:szCs w:val="19"/>
              </w:rPr>
            </w:pPr>
            <w:r w:rsidRPr="005B1DE2">
              <w:rPr>
                <w:szCs w:val="19"/>
              </w:rPr>
              <w:t xml:space="preserve">Available at </w:t>
            </w:r>
            <w:r w:rsidR="005B1DE2" w:rsidRPr="005B1DE2">
              <w:t>https://dhhs.vic.gov.au/publications/regulatory-impact-statement-director-housing-determinations-2018</w:t>
            </w:r>
          </w:p>
        </w:tc>
      </w:tr>
    </w:tbl>
    <w:p w:rsidR="00267274" w:rsidRPr="005567DA" w:rsidRDefault="00267274" w:rsidP="00D171AA">
      <w:pPr>
        <w:spacing w:after="120" w:line="270" w:lineRule="atLeast"/>
        <w:rPr>
          <w:rFonts w:ascii="Arial" w:hAnsi="Arial" w:cs="Arial"/>
          <w:sz w:val="20"/>
          <w:szCs w:val="20"/>
        </w:rPr>
      </w:pPr>
      <w:bookmarkStart w:id="10" w:name="_GoBack"/>
      <w:bookmarkEnd w:id="10"/>
    </w:p>
    <w:sectPr w:rsidR="00267274" w:rsidRPr="005567DA" w:rsidSect="00C33FC8">
      <w:headerReference w:type="even" r:id="rId9"/>
      <w:headerReference w:type="default" r:id="rId10"/>
      <w:headerReference w:type="firs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42" w:rsidRDefault="00716E42" w:rsidP="00E05D3E">
      <w:pPr>
        <w:spacing w:after="0" w:line="240" w:lineRule="auto"/>
      </w:pPr>
      <w:r>
        <w:separator/>
      </w:r>
    </w:p>
  </w:endnote>
  <w:endnote w:type="continuationSeparator" w:id="0">
    <w:p w:rsidR="00716E42" w:rsidRDefault="00716E42" w:rsidP="00E05D3E">
      <w:pPr>
        <w:spacing w:after="0" w:line="240" w:lineRule="auto"/>
      </w:pPr>
      <w:r>
        <w:continuationSeparator/>
      </w:r>
    </w:p>
  </w:endnote>
  <w:endnote w:type="continuationNotice" w:id="1">
    <w:p w:rsidR="00716E42" w:rsidRDefault="00716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42" w:rsidRDefault="00716E42" w:rsidP="00E05D3E">
      <w:pPr>
        <w:spacing w:after="0" w:line="240" w:lineRule="auto"/>
      </w:pPr>
      <w:r>
        <w:separator/>
      </w:r>
    </w:p>
  </w:footnote>
  <w:footnote w:type="continuationSeparator" w:id="0">
    <w:p w:rsidR="00716E42" w:rsidRDefault="00716E42" w:rsidP="00E05D3E">
      <w:pPr>
        <w:spacing w:after="0" w:line="240" w:lineRule="auto"/>
      </w:pPr>
      <w:r>
        <w:continuationSeparator/>
      </w:r>
    </w:p>
  </w:footnote>
  <w:footnote w:type="continuationNotice" w:id="1">
    <w:p w:rsidR="00716E42" w:rsidRDefault="00716E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45" w:rsidRDefault="005B1D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89782" o:spid="_x0000_s4098"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POST 31 Marc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9B6" w:rsidRPr="005671D3" w:rsidRDefault="00E539B6" w:rsidP="005671D3">
    <w:pPr>
      <w:spacing w:after="12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045" w:rsidRDefault="005B1D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89781" o:spid="_x0000_s4097"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POST 31 Marc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nsid w:val="0AE94A19"/>
    <w:multiLevelType w:val="hybridMultilevel"/>
    <w:tmpl w:val="C00AC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2C403C"/>
    <w:multiLevelType w:val="hybridMultilevel"/>
    <w:tmpl w:val="D92C1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551C00"/>
    <w:multiLevelType w:val="hybridMultilevel"/>
    <w:tmpl w:val="AD5AC8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4F2FE7"/>
    <w:multiLevelType w:val="hybridMultilevel"/>
    <w:tmpl w:val="EC3EC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146ABA"/>
    <w:multiLevelType w:val="hybridMultilevel"/>
    <w:tmpl w:val="6E10E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5A30CA"/>
    <w:multiLevelType w:val="hybridMultilevel"/>
    <w:tmpl w:val="CDE0B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FA5C2D"/>
    <w:multiLevelType w:val="hybridMultilevel"/>
    <w:tmpl w:val="EBE8A662"/>
    <w:lvl w:ilvl="0" w:tplc="A482A1B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E965AE"/>
    <w:multiLevelType w:val="hybridMultilevel"/>
    <w:tmpl w:val="05EA6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AA2FC2"/>
    <w:multiLevelType w:val="hybridMultilevel"/>
    <w:tmpl w:val="90C2FE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A1B1BD1"/>
    <w:multiLevelType w:val="hybridMultilevel"/>
    <w:tmpl w:val="DE5ACF6E"/>
    <w:lvl w:ilvl="0" w:tplc="BC22DA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17C1ADE"/>
    <w:multiLevelType w:val="hybridMultilevel"/>
    <w:tmpl w:val="2996B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836082"/>
    <w:multiLevelType w:val="hybridMultilevel"/>
    <w:tmpl w:val="5A50109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3AA464FC"/>
    <w:multiLevelType w:val="hybridMultilevel"/>
    <w:tmpl w:val="C660DDE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5">
    <w:nsid w:val="3F0A1FCC"/>
    <w:multiLevelType w:val="hybridMultilevel"/>
    <w:tmpl w:val="8886E8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0A07744"/>
    <w:multiLevelType w:val="hybridMultilevel"/>
    <w:tmpl w:val="98907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292206"/>
    <w:multiLevelType w:val="multilevel"/>
    <w:tmpl w:val="E0A6C8B8"/>
    <w:lvl w:ilvl="0">
      <w:start w:val="1"/>
      <w:numFmt w:val="lowerRoman"/>
      <w:lvlText w:val="%1."/>
      <w:lvlJc w:val="righ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8">
    <w:nsid w:val="48C16277"/>
    <w:multiLevelType w:val="hybridMultilevel"/>
    <w:tmpl w:val="78C46F7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FA4D04"/>
    <w:multiLevelType w:val="hybridMultilevel"/>
    <w:tmpl w:val="8848A110"/>
    <w:lvl w:ilvl="0" w:tplc="5FDA830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nsid w:val="52A83697"/>
    <w:multiLevelType w:val="hybridMultilevel"/>
    <w:tmpl w:val="01C6754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36106B"/>
    <w:multiLevelType w:val="hybridMultilevel"/>
    <w:tmpl w:val="F926E6D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541442BA"/>
    <w:multiLevelType w:val="hybridMultilevel"/>
    <w:tmpl w:val="8394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BA1E5A"/>
    <w:multiLevelType w:val="multilevel"/>
    <w:tmpl w:val="83C238FA"/>
    <w:styleLink w:val="ZZBullets"/>
    <w:lvl w:ilvl="0">
      <w:start w:val="1"/>
      <w:numFmt w:val="bullet"/>
      <w:pStyle w:val="DHHSbullet1"/>
      <w:lvlText w:val="•"/>
      <w:lvlJc w:val="left"/>
      <w:pPr>
        <w:ind w:left="-4828" w:hanging="284"/>
      </w:pPr>
      <w:rPr>
        <w:rFonts w:ascii="Calibri" w:hAnsi="Calibri" w:hint="default"/>
      </w:rPr>
    </w:lvl>
    <w:lvl w:ilvl="1">
      <w:start w:val="1"/>
      <w:numFmt w:val="bullet"/>
      <w:lvlRestart w:val="0"/>
      <w:pStyle w:val="DHHSbullet1lastline"/>
      <w:lvlText w:val="•"/>
      <w:lvlJc w:val="left"/>
      <w:pPr>
        <w:ind w:left="-4828" w:hanging="284"/>
      </w:pPr>
      <w:rPr>
        <w:rFonts w:ascii="Calibri" w:hAnsi="Calibri" w:hint="default"/>
      </w:rPr>
    </w:lvl>
    <w:lvl w:ilvl="2">
      <w:start w:val="1"/>
      <w:numFmt w:val="bullet"/>
      <w:lvlRestart w:val="0"/>
      <w:pStyle w:val="DHHSbullet2"/>
      <w:lvlText w:val="–"/>
      <w:lvlJc w:val="left"/>
      <w:pPr>
        <w:ind w:left="-4545" w:hanging="283"/>
      </w:pPr>
      <w:rPr>
        <w:rFonts w:ascii="Arial" w:hAnsi="Arial" w:hint="default"/>
      </w:rPr>
    </w:lvl>
    <w:lvl w:ilvl="3">
      <w:start w:val="1"/>
      <w:numFmt w:val="bullet"/>
      <w:lvlRestart w:val="0"/>
      <w:pStyle w:val="DHHSbullet2lastline"/>
      <w:lvlText w:val="–"/>
      <w:lvlJc w:val="left"/>
      <w:pPr>
        <w:ind w:left="-4545" w:hanging="283"/>
      </w:pPr>
      <w:rPr>
        <w:rFonts w:ascii="Arial" w:hAnsi="Arial" w:hint="default"/>
      </w:rPr>
    </w:lvl>
    <w:lvl w:ilvl="4">
      <w:start w:val="1"/>
      <w:numFmt w:val="bullet"/>
      <w:lvlRestart w:val="0"/>
      <w:pStyle w:val="DHHSbulletindent"/>
      <w:lvlText w:val="•"/>
      <w:lvlJc w:val="left"/>
      <w:pPr>
        <w:ind w:left="-4432" w:hanging="283"/>
      </w:pPr>
      <w:rPr>
        <w:rFonts w:ascii="Calibri" w:hAnsi="Calibri" w:hint="default"/>
      </w:rPr>
    </w:lvl>
    <w:lvl w:ilvl="5">
      <w:start w:val="1"/>
      <w:numFmt w:val="bullet"/>
      <w:lvlRestart w:val="0"/>
      <w:pStyle w:val="DHHSbulletindentlastline"/>
      <w:lvlText w:val="•"/>
      <w:lvlJc w:val="left"/>
      <w:pPr>
        <w:ind w:left="-4432" w:hanging="283"/>
      </w:pPr>
      <w:rPr>
        <w:rFonts w:ascii="Calibri" w:hAnsi="Calibri" w:hint="default"/>
      </w:rPr>
    </w:lvl>
    <w:lvl w:ilvl="6">
      <w:start w:val="1"/>
      <w:numFmt w:val="bullet"/>
      <w:lvlRestart w:val="0"/>
      <w:pStyle w:val="DHHStablebullet"/>
      <w:lvlText w:val="•"/>
      <w:lvlJc w:val="left"/>
      <w:pPr>
        <w:ind w:left="-4885"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5">
    <w:nsid w:val="721D07FB"/>
    <w:multiLevelType w:val="hybridMultilevel"/>
    <w:tmpl w:val="CD222A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4EC448C"/>
    <w:multiLevelType w:val="hybridMultilevel"/>
    <w:tmpl w:val="F11C7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4"/>
    <w:lvlOverride w:ilvl="0">
      <w:lvl w:ilvl="0">
        <w:start w:val="1"/>
        <w:numFmt w:val="bullet"/>
        <w:pStyle w:val="DHHSbullet1"/>
        <w:lvlText w:val="•"/>
        <w:lvlJc w:val="left"/>
        <w:pPr>
          <w:ind w:left="-4828" w:hanging="284"/>
        </w:pPr>
        <w:rPr>
          <w:rFonts w:ascii="Calibri" w:hAnsi="Calibri" w:hint="default"/>
        </w:rPr>
      </w:lvl>
    </w:lvlOverride>
  </w:num>
  <w:num w:numId="4">
    <w:abstractNumId w:val="16"/>
  </w:num>
  <w:num w:numId="5">
    <w:abstractNumId w:val="24"/>
  </w:num>
  <w:num w:numId="6">
    <w:abstractNumId w:val="9"/>
  </w:num>
  <w:num w:numId="7">
    <w:abstractNumId w:val="3"/>
  </w:num>
  <w:num w:numId="8">
    <w:abstractNumId w:val="6"/>
  </w:num>
  <w:num w:numId="9">
    <w:abstractNumId w:val="10"/>
  </w:num>
  <w:num w:numId="10">
    <w:abstractNumId w:val="0"/>
  </w:num>
  <w:num w:numId="11">
    <w:abstractNumId w:val="25"/>
  </w:num>
  <w:num w:numId="12">
    <w:abstractNumId w:val="17"/>
  </w:num>
  <w:num w:numId="13">
    <w:abstractNumId w:val="13"/>
  </w:num>
  <w:num w:numId="14">
    <w:abstractNumId w:val="11"/>
  </w:num>
  <w:num w:numId="15">
    <w:abstractNumId w:val="4"/>
  </w:num>
  <w:num w:numId="16">
    <w:abstractNumId w:val="26"/>
  </w:num>
  <w:num w:numId="17">
    <w:abstractNumId w:val="2"/>
  </w:num>
  <w:num w:numId="18">
    <w:abstractNumId w:val="23"/>
  </w:num>
  <w:num w:numId="19">
    <w:abstractNumId w:val="1"/>
  </w:num>
  <w:num w:numId="20">
    <w:abstractNumId w:val="8"/>
  </w:num>
  <w:num w:numId="21">
    <w:abstractNumId w:val="18"/>
  </w:num>
  <w:num w:numId="22">
    <w:abstractNumId w:val="20"/>
  </w:num>
  <w:num w:numId="23">
    <w:abstractNumId w:val="19"/>
  </w:num>
  <w:num w:numId="24">
    <w:abstractNumId w:val="14"/>
  </w:num>
  <w:num w:numId="25">
    <w:abstractNumId w:val="7"/>
  </w:num>
  <w:num w:numId="26">
    <w:abstractNumId w:val="15"/>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3E"/>
    <w:rsid w:val="00000784"/>
    <w:rsid w:val="0000192D"/>
    <w:rsid w:val="00032006"/>
    <w:rsid w:val="00037967"/>
    <w:rsid w:val="00041620"/>
    <w:rsid w:val="00041D32"/>
    <w:rsid w:val="00046B60"/>
    <w:rsid w:val="00046E39"/>
    <w:rsid w:val="00050FBA"/>
    <w:rsid w:val="00097F59"/>
    <w:rsid w:val="000F0FF0"/>
    <w:rsid w:val="00141081"/>
    <w:rsid w:val="00147A31"/>
    <w:rsid w:val="001610DB"/>
    <w:rsid w:val="00162699"/>
    <w:rsid w:val="001708A5"/>
    <w:rsid w:val="00181045"/>
    <w:rsid w:val="00182903"/>
    <w:rsid w:val="001A25AC"/>
    <w:rsid w:val="001B0CD4"/>
    <w:rsid w:val="001E628C"/>
    <w:rsid w:val="001F7402"/>
    <w:rsid w:val="00207D61"/>
    <w:rsid w:val="00215959"/>
    <w:rsid w:val="00224502"/>
    <w:rsid w:val="0022490C"/>
    <w:rsid w:val="00240C1D"/>
    <w:rsid w:val="002563D7"/>
    <w:rsid w:val="00267274"/>
    <w:rsid w:val="00274E7A"/>
    <w:rsid w:val="00282F70"/>
    <w:rsid w:val="00285392"/>
    <w:rsid w:val="002900FE"/>
    <w:rsid w:val="00297B04"/>
    <w:rsid w:val="002A7605"/>
    <w:rsid w:val="002B2E03"/>
    <w:rsid w:val="002C063D"/>
    <w:rsid w:val="002D16D9"/>
    <w:rsid w:val="002D1CA2"/>
    <w:rsid w:val="002E65B9"/>
    <w:rsid w:val="002F7B19"/>
    <w:rsid w:val="00317278"/>
    <w:rsid w:val="003300AD"/>
    <w:rsid w:val="003415A5"/>
    <w:rsid w:val="0034505B"/>
    <w:rsid w:val="003601D1"/>
    <w:rsid w:val="00365CD3"/>
    <w:rsid w:val="00372C44"/>
    <w:rsid w:val="003B5B3B"/>
    <w:rsid w:val="003D0D2C"/>
    <w:rsid w:val="003D46EB"/>
    <w:rsid w:val="003E328B"/>
    <w:rsid w:val="003F1BA8"/>
    <w:rsid w:val="00414AA2"/>
    <w:rsid w:val="00454B96"/>
    <w:rsid w:val="004812AA"/>
    <w:rsid w:val="00481588"/>
    <w:rsid w:val="004842B8"/>
    <w:rsid w:val="004B1B9A"/>
    <w:rsid w:val="004C0F51"/>
    <w:rsid w:val="004C4A87"/>
    <w:rsid w:val="00502A25"/>
    <w:rsid w:val="00514E9C"/>
    <w:rsid w:val="00514F20"/>
    <w:rsid w:val="00537337"/>
    <w:rsid w:val="005567DA"/>
    <w:rsid w:val="005671D3"/>
    <w:rsid w:val="00570D92"/>
    <w:rsid w:val="005A673B"/>
    <w:rsid w:val="005B1DE2"/>
    <w:rsid w:val="005B32CE"/>
    <w:rsid w:val="005B64AD"/>
    <w:rsid w:val="005D4390"/>
    <w:rsid w:val="005F0ED9"/>
    <w:rsid w:val="005F4EAB"/>
    <w:rsid w:val="00601960"/>
    <w:rsid w:val="0061310F"/>
    <w:rsid w:val="00613B82"/>
    <w:rsid w:val="00614E05"/>
    <w:rsid w:val="00624187"/>
    <w:rsid w:val="00655A1B"/>
    <w:rsid w:val="00662C48"/>
    <w:rsid w:val="006A0E24"/>
    <w:rsid w:val="006B0641"/>
    <w:rsid w:val="006B2C44"/>
    <w:rsid w:val="006B750D"/>
    <w:rsid w:val="006C4A83"/>
    <w:rsid w:val="006F5EF1"/>
    <w:rsid w:val="007037AF"/>
    <w:rsid w:val="00716E42"/>
    <w:rsid w:val="0072638D"/>
    <w:rsid w:val="00732140"/>
    <w:rsid w:val="007640F4"/>
    <w:rsid w:val="00764BC2"/>
    <w:rsid w:val="00784792"/>
    <w:rsid w:val="007955AC"/>
    <w:rsid w:val="007C36CC"/>
    <w:rsid w:val="007D0DE8"/>
    <w:rsid w:val="007D263D"/>
    <w:rsid w:val="007D3D2C"/>
    <w:rsid w:val="0080468C"/>
    <w:rsid w:val="0082428C"/>
    <w:rsid w:val="008325C5"/>
    <w:rsid w:val="008465FE"/>
    <w:rsid w:val="0085311C"/>
    <w:rsid w:val="008633EC"/>
    <w:rsid w:val="0086765F"/>
    <w:rsid w:val="008745CA"/>
    <w:rsid w:val="008A4F1E"/>
    <w:rsid w:val="008C4536"/>
    <w:rsid w:val="008C68CC"/>
    <w:rsid w:val="008D168B"/>
    <w:rsid w:val="008E423F"/>
    <w:rsid w:val="00911DA3"/>
    <w:rsid w:val="00923D2E"/>
    <w:rsid w:val="009305A7"/>
    <w:rsid w:val="00940660"/>
    <w:rsid w:val="00943F80"/>
    <w:rsid w:val="00986326"/>
    <w:rsid w:val="00991124"/>
    <w:rsid w:val="00993114"/>
    <w:rsid w:val="009A157E"/>
    <w:rsid w:val="009C38CC"/>
    <w:rsid w:val="009D03CB"/>
    <w:rsid w:val="00A00800"/>
    <w:rsid w:val="00A0415E"/>
    <w:rsid w:val="00A43219"/>
    <w:rsid w:val="00A47CF3"/>
    <w:rsid w:val="00A51953"/>
    <w:rsid w:val="00A70CB1"/>
    <w:rsid w:val="00A731BF"/>
    <w:rsid w:val="00A84B3C"/>
    <w:rsid w:val="00AB27DD"/>
    <w:rsid w:val="00AD28AE"/>
    <w:rsid w:val="00AE1DE0"/>
    <w:rsid w:val="00AE6854"/>
    <w:rsid w:val="00B13593"/>
    <w:rsid w:val="00B217FD"/>
    <w:rsid w:val="00B22412"/>
    <w:rsid w:val="00B27436"/>
    <w:rsid w:val="00B65B04"/>
    <w:rsid w:val="00BB108E"/>
    <w:rsid w:val="00BD6308"/>
    <w:rsid w:val="00BD664E"/>
    <w:rsid w:val="00C0720E"/>
    <w:rsid w:val="00C1646D"/>
    <w:rsid w:val="00C2229B"/>
    <w:rsid w:val="00C33FC8"/>
    <w:rsid w:val="00C41666"/>
    <w:rsid w:val="00C47C87"/>
    <w:rsid w:val="00C569A6"/>
    <w:rsid w:val="00C64A00"/>
    <w:rsid w:val="00C671EA"/>
    <w:rsid w:val="00C824B4"/>
    <w:rsid w:val="00CA57FA"/>
    <w:rsid w:val="00CB1045"/>
    <w:rsid w:val="00CB2F8A"/>
    <w:rsid w:val="00CD0D6D"/>
    <w:rsid w:val="00CD4C07"/>
    <w:rsid w:val="00CE6509"/>
    <w:rsid w:val="00D05401"/>
    <w:rsid w:val="00D150D2"/>
    <w:rsid w:val="00D171AA"/>
    <w:rsid w:val="00D17D20"/>
    <w:rsid w:val="00D3265A"/>
    <w:rsid w:val="00D34DC9"/>
    <w:rsid w:val="00D353A1"/>
    <w:rsid w:val="00D37E31"/>
    <w:rsid w:val="00D4341C"/>
    <w:rsid w:val="00D67486"/>
    <w:rsid w:val="00D77307"/>
    <w:rsid w:val="00D80336"/>
    <w:rsid w:val="00D90AC9"/>
    <w:rsid w:val="00DA1EAB"/>
    <w:rsid w:val="00DA6C54"/>
    <w:rsid w:val="00DA7CA5"/>
    <w:rsid w:val="00DC7851"/>
    <w:rsid w:val="00DD23AA"/>
    <w:rsid w:val="00E05D3E"/>
    <w:rsid w:val="00E05F1E"/>
    <w:rsid w:val="00E2341E"/>
    <w:rsid w:val="00E311F8"/>
    <w:rsid w:val="00E363F3"/>
    <w:rsid w:val="00E445AB"/>
    <w:rsid w:val="00E47159"/>
    <w:rsid w:val="00E50753"/>
    <w:rsid w:val="00E539B6"/>
    <w:rsid w:val="00E752B0"/>
    <w:rsid w:val="00E84504"/>
    <w:rsid w:val="00E913A3"/>
    <w:rsid w:val="00EA550D"/>
    <w:rsid w:val="00EB2E04"/>
    <w:rsid w:val="00EC1F4A"/>
    <w:rsid w:val="00EC2FD9"/>
    <w:rsid w:val="00EE0E4A"/>
    <w:rsid w:val="00EE476D"/>
    <w:rsid w:val="00F3056F"/>
    <w:rsid w:val="00F361B6"/>
    <w:rsid w:val="00F4293C"/>
    <w:rsid w:val="00F5249F"/>
    <w:rsid w:val="00F609EE"/>
    <w:rsid w:val="00F64639"/>
    <w:rsid w:val="00F76017"/>
    <w:rsid w:val="00F76EA4"/>
    <w:rsid w:val="00F8569B"/>
    <w:rsid w:val="00FD0CD7"/>
    <w:rsid w:val="00FE17EE"/>
    <w:rsid w:val="00FE4121"/>
    <w:rsid w:val="00FE5B47"/>
    <w:rsid w:val="00FE6469"/>
    <w:rsid w:val="00FE747B"/>
    <w:rsid w:val="00FF2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3E"/>
  </w:style>
  <w:style w:type="paragraph" w:styleId="Heading1">
    <w:name w:val="heading 1"/>
    <w:basedOn w:val="Normal"/>
    <w:next w:val="DHHSbody"/>
    <w:link w:val="Heading1Char"/>
    <w:uiPriority w:val="9"/>
    <w:qFormat/>
    <w:rsid w:val="00E539B6"/>
    <w:pPr>
      <w:keepNext/>
      <w:keepLines/>
      <w:spacing w:before="320" w:line="440" w:lineRule="atLeast"/>
      <w:outlineLvl w:val="0"/>
    </w:pPr>
    <w:rPr>
      <w:rFonts w:ascii="Arial" w:eastAsia="MS Gothic" w:hAnsi="Arial" w:cs="Times New Roman"/>
      <w:bCs/>
      <w:color w:val="201547"/>
      <w:kern w:val="32"/>
      <w:sz w:val="36"/>
      <w:szCs w:val="40"/>
    </w:rPr>
  </w:style>
  <w:style w:type="paragraph" w:styleId="Heading2">
    <w:name w:val="heading 2"/>
    <w:basedOn w:val="Normal"/>
    <w:next w:val="Normal"/>
    <w:link w:val="Heading2Char"/>
    <w:uiPriority w:val="99"/>
    <w:unhideWhenUsed/>
    <w:qFormat/>
    <w:rsid w:val="00E539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5D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5D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3E"/>
    <w:pPr>
      <w:ind w:left="720"/>
      <w:contextualSpacing/>
    </w:pPr>
  </w:style>
  <w:style w:type="paragraph" w:customStyle="1" w:styleId="Default">
    <w:name w:val="Default"/>
    <w:rsid w:val="00E05D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E05D3E"/>
    <w:pPr>
      <w:spacing w:line="201" w:lineRule="atLeast"/>
    </w:pPr>
    <w:rPr>
      <w:color w:val="auto"/>
    </w:rPr>
  </w:style>
  <w:style w:type="character" w:customStyle="1" w:styleId="Heading1Char">
    <w:name w:val="Heading 1 Char"/>
    <w:basedOn w:val="DefaultParagraphFont"/>
    <w:link w:val="Heading1"/>
    <w:uiPriority w:val="9"/>
    <w:rsid w:val="00E05D3E"/>
    <w:rPr>
      <w:rFonts w:ascii="Arial" w:eastAsia="MS Gothic" w:hAnsi="Arial" w:cs="Times New Roman"/>
      <w:bCs/>
      <w:color w:val="201547"/>
      <w:kern w:val="32"/>
      <w:sz w:val="36"/>
      <w:szCs w:val="40"/>
    </w:rPr>
  </w:style>
  <w:style w:type="paragraph" w:customStyle="1" w:styleId="DHHSbody">
    <w:name w:val="DHHS body"/>
    <w:link w:val="DHHSbodyChar"/>
    <w:qFormat/>
    <w:rsid w:val="00E539B6"/>
    <w:pPr>
      <w:spacing w:after="120" w:line="270" w:lineRule="atLeast"/>
    </w:pPr>
    <w:rPr>
      <w:rFonts w:ascii="Arial" w:eastAsia="Times New Roman" w:hAnsi="Arial" w:cs="Times New Roman"/>
      <w:sz w:val="20"/>
      <w:szCs w:val="20"/>
    </w:rPr>
  </w:style>
  <w:style w:type="character" w:customStyle="1" w:styleId="DHHSbodyChar">
    <w:name w:val="DHHS body Char"/>
    <w:link w:val="DHHSbody"/>
    <w:uiPriority w:val="99"/>
    <w:locked/>
    <w:rsid w:val="00E05D3E"/>
    <w:rPr>
      <w:rFonts w:ascii="Arial" w:eastAsia="Times New Roman" w:hAnsi="Arial" w:cs="Times New Roman"/>
      <w:sz w:val="20"/>
      <w:szCs w:val="20"/>
    </w:rPr>
  </w:style>
  <w:style w:type="character" w:customStyle="1" w:styleId="Heading2Char">
    <w:name w:val="Heading 2 Char"/>
    <w:basedOn w:val="DefaultParagraphFont"/>
    <w:link w:val="Heading2"/>
    <w:uiPriority w:val="99"/>
    <w:rsid w:val="00E05D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5D3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5D3E"/>
    <w:rPr>
      <w:rFonts w:asciiTheme="majorHAnsi" w:eastAsiaTheme="majorEastAsia" w:hAnsiTheme="majorHAnsi" w:cstheme="majorBidi"/>
      <w:b/>
      <w:bCs/>
      <w:i/>
      <w:iCs/>
      <w:color w:val="4F81BD" w:themeColor="accent1"/>
    </w:rPr>
  </w:style>
  <w:style w:type="paragraph" w:customStyle="1" w:styleId="DHHSbullet1">
    <w:name w:val="DHHS bullet 1"/>
    <w:basedOn w:val="DHHSbody"/>
    <w:qFormat/>
    <w:rsid w:val="00E539B6"/>
    <w:pPr>
      <w:numPr>
        <w:numId w:val="3"/>
      </w:numPr>
      <w:spacing w:after="40"/>
      <w:ind w:left="284"/>
    </w:pPr>
  </w:style>
  <w:style w:type="character" w:styleId="FootnoteReference">
    <w:name w:val="footnote reference"/>
    <w:uiPriority w:val="99"/>
    <w:rsid w:val="00E05D3E"/>
    <w:rPr>
      <w:rFonts w:cs="Times New Roman"/>
      <w:vertAlign w:val="superscript"/>
    </w:rPr>
  </w:style>
  <w:style w:type="paragraph" w:customStyle="1" w:styleId="DHHSbullet2">
    <w:name w:val="DHHS bullet 2"/>
    <w:basedOn w:val="DHHSbody"/>
    <w:uiPriority w:val="2"/>
    <w:qFormat/>
    <w:rsid w:val="00E539B6"/>
    <w:pPr>
      <w:numPr>
        <w:ilvl w:val="2"/>
        <w:numId w:val="3"/>
      </w:numPr>
      <w:spacing w:after="40"/>
    </w:pPr>
  </w:style>
  <w:style w:type="paragraph" w:customStyle="1" w:styleId="DHHStablebullet">
    <w:name w:val="DHHS table bullet"/>
    <w:basedOn w:val="Normal"/>
    <w:uiPriority w:val="3"/>
    <w:qFormat/>
    <w:rsid w:val="00E539B6"/>
    <w:pPr>
      <w:numPr>
        <w:ilvl w:val="6"/>
        <w:numId w:val="3"/>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E539B6"/>
    <w:pPr>
      <w:numPr>
        <w:ilvl w:val="4"/>
        <w:numId w:val="3"/>
      </w:numPr>
      <w:spacing w:after="40"/>
    </w:pPr>
  </w:style>
  <w:style w:type="character" w:styleId="Hyperlink">
    <w:name w:val="Hyperlink"/>
    <w:uiPriority w:val="99"/>
    <w:rsid w:val="00E05D3E"/>
    <w:rPr>
      <w:rFonts w:cs="Times New Roman"/>
      <w:color w:val="3366FF"/>
      <w:u w:val="dotted"/>
    </w:rPr>
  </w:style>
  <w:style w:type="paragraph" w:customStyle="1" w:styleId="DHHSbullet1lastline">
    <w:name w:val="DHHS bullet 1 last line"/>
    <w:basedOn w:val="DHHSbullet1"/>
    <w:qFormat/>
    <w:rsid w:val="00E539B6"/>
    <w:pPr>
      <w:numPr>
        <w:ilvl w:val="1"/>
      </w:numPr>
      <w:spacing w:after="120"/>
      <w:ind w:left="284"/>
    </w:pPr>
  </w:style>
  <w:style w:type="paragraph" w:customStyle="1" w:styleId="DHHSbullet2lastline">
    <w:name w:val="DHHS bullet 2 last line"/>
    <w:basedOn w:val="DHHSbullet2"/>
    <w:uiPriority w:val="2"/>
    <w:qFormat/>
    <w:rsid w:val="00E539B6"/>
    <w:pPr>
      <w:numPr>
        <w:ilvl w:val="3"/>
      </w:numPr>
      <w:spacing w:after="120"/>
    </w:pPr>
  </w:style>
  <w:style w:type="paragraph" w:customStyle="1" w:styleId="DHHSbulletindentlastline">
    <w:name w:val="DHHS bullet indent last line"/>
    <w:basedOn w:val="DHHSbody"/>
    <w:uiPriority w:val="4"/>
    <w:rsid w:val="00E539B6"/>
    <w:pPr>
      <w:numPr>
        <w:ilvl w:val="5"/>
        <w:numId w:val="3"/>
      </w:numPr>
    </w:pPr>
  </w:style>
  <w:style w:type="numbering" w:customStyle="1" w:styleId="ZZBullets">
    <w:name w:val="ZZ Bullets"/>
    <w:rsid w:val="00E05D3E"/>
    <w:pPr>
      <w:numPr>
        <w:numId w:val="5"/>
      </w:numPr>
    </w:pPr>
  </w:style>
  <w:style w:type="paragraph" w:styleId="BalloonText">
    <w:name w:val="Balloon Text"/>
    <w:basedOn w:val="Normal"/>
    <w:link w:val="BalloonTextChar"/>
    <w:uiPriority w:val="99"/>
    <w:semiHidden/>
    <w:unhideWhenUsed/>
    <w:rsid w:val="00E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3E"/>
    <w:rPr>
      <w:rFonts w:ascii="Tahoma" w:hAnsi="Tahoma" w:cs="Tahoma"/>
      <w:sz w:val="16"/>
      <w:szCs w:val="16"/>
    </w:rPr>
  </w:style>
  <w:style w:type="character" w:styleId="CommentReference">
    <w:name w:val="annotation reference"/>
    <w:basedOn w:val="DefaultParagraphFont"/>
    <w:uiPriority w:val="99"/>
    <w:semiHidden/>
    <w:unhideWhenUsed/>
    <w:rsid w:val="00F609EE"/>
    <w:rPr>
      <w:sz w:val="16"/>
      <w:szCs w:val="16"/>
    </w:rPr>
  </w:style>
  <w:style w:type="paragraph" w:styleId="CommentText">
    <w:name w:val="annotation text"/>
    <w:basedOn w:val="Normal"/>
    <w:link w:val="CommentTextChar"/>
    <w:uiPriority w:val="99"/>
    <w:semiHidden/>
    <w:unhideWhenUsed/>
    <w:rsid w:val="00F609EE"/>
    <w:pPr>
      <w:spacing w:line="240" w:lineRule="auto"/>
    </w:pPr>
    <w:rPr>
      <w:sz w:val="20"/>
      <w:szCs w:val="20"/>
    </w:rPr>
  </w:style>
  <w:style w:type="character" w:customStyle="1" w:styleId="CommentTextChar">
    <w:name w:val="Comment Text Char"/>
    <w:basedOn w:val="DefaultParagraphFont"/>
    <w:link w:val="CommentText"/>
    <w:uiPriority w:val="99"/>
    <w:semiHidden/>
    <w:rsid w:val="00F609EE"/>
    <w:rPr>
      <w:sz w:val="20"/>
      <w:szCs w:val="20"/>
    </w:rPr>
  </w:style>
  <w:style w:type="paragraph" w:styleId="CommentSubject">
    <w:name w:val="annotation subject"/>
    <w:basedOn w:val="CommentText"/>
    <w:next w:val="CommentText"/>
    <w:link w:val="CommentSubjectChar"/>
    <w:uiPriority w:val="99"/>
    <w:semiHidden/>
    <w:unhideWhenUsed/>
    <w:rsid w:val="00F609EE"/>
    <w:rPr>
      <w:b/>
      <w:bCs/>
    </w:rPr>
  </w:style>
  <w:style w:type="character" w:customStyle="1" w:styleId="CommentSubjectChar">
    <w:name w:val="Comment Subject Char"/>
    <w:basedOn w:val="CommentTextChar"/>
    <w:link w:val="CommentSubject"/>
    <w:uiPriority w:val="99"/>
    <w:semiHidden/>
    <w:rsid w:val="00F609EE"/>
    <w:rPr>
      <w:b/>
      <w:bCs/>
      <w:sz w:val="20"/>
      <w:szCs w:val="20"/>
    </w:rPr>
  </w:style>
  <w:style w:type="character" w:styleId="FollowedHyperlink">
    <w:name w:val="FollowedHyperlink"/>
    <w:basedOn w:val="DefaultParagraphFont"/>
    <w:uiPriority w:val="99"/>
    <w:semiHidden/>
    <w:unhideWhenUsed/>
    <w:rsid w:val="00C47C87"/>
    <w:rPr>
      <w:color w:val="800080" w:themeColor="followedHyperlink"/>
      <w:u w:val="single"/>
    </w:rPr>
  </w:style>
  <w:style w:type="table" w:styleId="TableGrid">
    <w:name w:val="Table Grid"/>
    <w:basedOn w:val="TableNormal"/>
    <w:uiPriority w:val="59"/>
    <w:rsid w:val="00C4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476D"/>
    <w:pPr>
      <w:spacing w:after="0" w:line="240" w:lineRule="auto"/>
    </w:pPr>
  </w:style>
  <w:style w:type="paragraph" w:customStyle="1" w:styleId="DHHStabletext">
    <w:name w:val="DHHS table text"/>
    <w:uiPriority w:val="3"/>
    <w:qFormat/>
    <w:rsid w:val="00E539B6"/>
    <w:pPr>
      <w:spacing w:before="80" w:after="60" w:line="240" w:lineRule="auto"/>
    </w:pPr>
    <w:rPr>
      <w:rFonts w:ascii="Arial" w:eastAsia="Times New Roman" w:hAnsi="Arial" w:cs="Times New Roman"/>
      <w:sz w:val="20"/>
      <w:szCs w:val="20"/>
    </w:rPr>
  </w:style>
  <w:style w:type="paragraph" w:customStyle="1" w:styleId="DHHStablecolhead">
    <w:name w:val="DHHS table col head"/>
    <w:uiPriority w:val="3"/>
    <w:qFormat/>
    <w:rsid w:val="00E539B6"/>
    <w:pPr>
      <w:spacing w:before="80" w:after="60" w:line="240" w:lineRule="auto"/>
    </w:pPr>
    <w:rPr>
      <w:rFonts w:ascii="Arial" w:eastAsia="Times New Roman" w:hAnsi="Arial" w:cs="Times New Roman"/>
      <w:b/>
      <w:color w:val="201547"/>
      <w:sz w:val="20"/>
      <w:szCs w:val="20"/>
    </w:rPr>
  </w:style>
  <w:style w:type="paragraph" w:styleId="Header">
    <w:name w:val="header"/>
    <w:basedOn w:val="Normal"/>
    <w:link w:val="HeaderChar"/>
    <w:uiPriority w:val="99"/>
    <w:unhideWhenUsed/>
    <w:rsid w:val="00E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B6"/>
  </w:style>
  <w:style w:type="paragraph" w:styleId="Footer">
    <w:name w:val="footer"/>
    <w:basedOn w:val="Normal"/>
    <w:link w:val="FooterChar"/>
    <w:uiPriority w:val="99"/>
    <w:unhideWhenUsed/>
    <w:rsid w:val="00E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B6"/>
  </w:style>
  <w:style w:type="numbering" w:customStyle="1" w:styleId="Bullets">
    <w:name w:val="Bullets"/>
    <w:rsid w:val="00E539B6"/>
    <w:pPr>
      <w:numPr>
        <w:numId w:val="22"/>
      </w:numPr>
    </w:pPr>
  </w:style>
  <w:style w:type="paragraph" w:customStyle="1" w:styleId="DHHSnumberdigit">
    <w:name w:val="DHHS number digit"/>
    <w:basedOn w:val="DHHSbody"/>
    <w:uiPriority w:val="2"/>
    <w:rsid w:val="00E539B6"/>
    <w:pPr>
      <w:numPr>
        <w:numId w:val="24"/>
      </w:numPr>
    </w:pPr>
    <w:rPr>
      <w:sz w:val="22"/>
      <w:szCs w:val="22"/>
    </w:rPr>
  </w:style>
  <w:style w:type="paragraph" w:customStyle="1" w:styleId="DHHSnumberloweralphaindent">
    <w:name w:val="DHHS number lower alpha indent"/>
    <w:basedOn w:val="DHHSbody"/>
    <w:uiPriority w:val="3"/>
    <w:rsid w:val="00E539B6"/>
    <w:pPr>
      <w:numPr>
        <w:ilvl w:val="3"/>
        <w:numId w:val="24"/>
      </w:numPr>
    </w:pPr>
    <w:rPr>
      <w:sz w:val="22"/>
      <w:szCs w:val="22"/>
    </w:rPr>
  </w:style>
  <w:style w:type="paragraph" w:customStyle="1" w:styleId="DHHSnumberdigitindent">
    <w:name w:val="DHHS number digit indent"/>
    <w:basedOn w:val="DHHSnumberloweralphaindent"/>
    <w:uiPriority w:val="3"/>
    <w:rsid w:val="00E539B6"/>
    <w:pPr>
      <w:numPr>
        <w:ilvl w:val="1"/>
      </w:numPr>
    </w:pPr>
  </w:style>
  <w:style w:type="paragraph" w:customStyle="1" w:styleId="DHHSnumberloweralpha">
    <w:name w:val="DHHS number lower alpha"/>
    <w:basedOn w:val="DHHSbody"/>
    <w:uiPriority w:val="3"/>
    <w:rsid w:val="00E539B6"/>
    <w:pPr>
      <w:numPr>
        <w:ilvl w:val="2"/>
        <w:numId w:val="24"/>
      </w:numPr>
    </w:pPr>
    <w:rPr>
      <w:sz w:val="22"/>
      <w:szCs w:val="22"/>
    </w:rPr>
  </w:style>
  <w:style w:type="paragraph" w:customStyle="1" w:styleId="DHHSnumberlowerroman">
    <w:name w:val="DHHS number lower roman"/>
    <w:basedOn w:val="DHHSbody"/>
    <w:uiPriority w:val="3"/>
    <w:rsid w:val="00E539B6"/>
    <w:pPr>
      <w:numPr>
        <w:ilvl w:val="4"/>
        <w:numId w:val="24"/>
      </w:numPr>
    </w:pPr>
    <w:rPr>
      <w:sz w:val="22"/>
      <w:szCs w:val="22"/>
    </w:rPr>
  </w:style>
  <w:style w:type="paragraph" w:customStyle="1" w:styleId="DHHSnumberlowerromanindent">
    <w:name w:val="DHHS number lower roman indent"/>
    <w:basedOn w:val="DHHSbody"/>
    <w:uiPriority w:val="3"/>
    <w:rsid w:val="00E539B6"/>
    <w:pPr>
      <w:numPr>
        <w:ilvl w:val="5"/>
        <w:numId w:val="24"/>
      </w:numPr>
    </w:pPr>
    <w:rPr>
      <w:sz w:val="22"/>
      <w:szCs w:val="22"/>
    </w:rPr>
  </w:style>
  <w:style w:type="numbering" w:customStyle="1" w:styleId="ZZNumbers">
    <w:name w:val="ZZ Numbers"/>
    <w:rsid w:val="00E539B6"/>
    <w:pPr>
      <w:numPr>
        <w:numId w:val="24"/>
      </w:numPr>
    </w:pPr>
  </w:style>
  <w:style w:type="paragraph" w:customStyle="1" w:styleId="DHHSaccessibilitypara">
    <w:name w:val="DHHS accessibility para"/>
    <w:uiPriority w:val="8"/>
    <w:rsid w:val="00267274"/>
    <w:pPr>
      <w:spacing w:line="300" w:lineRule="atLeast"/>
    </w:pPr>
    <w:rPr>
      <w:rFonts w:ascii="Arial" w:eastAsia="Times" w:hAnsi="Arial" w:cs="Times New Roman"/>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3E"/>
  </w:style>
  <w:style w:type="paragraph" w:styleId="Heading1">
    <w:name w:val="heading 1"/>
    <w:basedOn w:val="Normal"/>
    <w:next w:val="DHHSbody"/>
    <w:link w:val="Heading1Char"/>
    <w:uiPriority w:val="9"/>
    <w:qFormat/>
    <w:rsid w:val="00E539B6"/>
    <w:pPr>
      <w:keepNext/>
      <w:keepLines/>
      <w:spacing w:before="320" w:line="440" w:lineRule="atLeast"/>
      <w:outlineLvl w:val="0"/>
    </w:pPr>
    <w:rPr>
      <w:rFonts w:ascii="Arial" w:eastAsia="MS Gothic" w:hAnsi="Arial" w:cs="Times New Roman"/>
      <w:bCs/>
      <w:color w:val="201547"/>
      <w:kern w:val="32"/>
      <w:sz w:val="36"/>
      <w:szCs w:val="40"/>
    </w:rPr>
  </w:style>
  <w:style w:type="paragraph" w:styleId="Heading2">
    <w:name w:val="heading 2"/>
    <w:basedOn w:val="Normal"/>
    <w:next w:val="Normal"/>
    <w:link w:val="Heading2Char"/>
    <w:uiPriority w:val="99"/>
    <w:unhideWhenUsed/>
    <w:qFormat/>
    <w:rsid w:val="00E539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5D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5D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3E"/>
    <w:pPr>
      <w:ind w:left="720"/>
      <w:contextualSpacing/>
    </w:pPr>
  </w:style>
  <w:style w:type="paragraph" w:customStyle="1" w:styleId="Default">
    <w:name w:val="Default"/>
    <w:rsid w:val="00E05D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E05D3E"/>
    <w:pPr>
      <w:spacing w:line="201" w:lineRule="atLeast"/>
    </w:pPr>
    <w:rPr>
      <w:color w:val="auto"/>
    </w:rPr>
  </w:style>
  <w:style w:type="character" w:customStyle="1" w:styleId="Heading1Char">
    <w:name w:val="Heading 1 Char"/>
    <w:basedOn w:val="DefaultParagraphFont"/>
    <w:link w:val="Heading1"/>
    <w:uiPriority w:val="9"/>
    <w:rsid w:val="00E05D3E"/>
    <w:rPr>
      <w:rFonts w:ascii="Arial" w:eastAsia="MS Gothic" w:hAnsi="Arial" w:cs="Times New Roman"/>
      <w:bCs/>
      <w:color w:val="201547"/>
      <w:kern w:val="32"/>
      <w:sz w:val="36"/>
      <w:szCs w:val="40"/>
    </w:rPr>
  </w:style>
  <w:style w:type="paragraph" w:customStyle="1" w:styleId="DHHSbody">
    <w:name w:val="DHHS body"/>
    <w:link w:val="DHHSbodyChar"/>
    <w:qFormat/>
    <w:rsid w:val="00E539B6"/>
    <w:pPr>
      <w:spacing w:after="120" w:line="270" w:lineRule="atLeast"/>
    </w:pPr>
    <w:rPr>
      <w:rFonts w:ascii="Arial" w:eastAsia="Times New Roman" w:hAnsi="Arial" w:cs="Times New Roman"/>
      <w:sz w:val="20"/>
      <w:szCs w:val="20"/>
    </w:rPr>
  </w:style>
  <w:style w:type="character" w:customStyle="1" w:styleId="DHHSbodyChar">
    <w:name w:val="DHHS body Char"/>
    <w:link w:val="DHHSbody"/>
    <w:uiPriority w:val="99"/>
    <w:locked/>
    <w:rsid w:val="00E05D3E"/>
    <w:rPr>
      <w:rFonts w:ascii="Arial" w:eastAsia="Times New Roman" w:hAnsi="Arial" w:cs="Times New Roman"/>
      <w:sz w:val="20"/>
      <w:szCs w:val="20"/>
    </w:rPr>
  </w:style>
  <w:style w:type="character" w:customStyle="1" w:styleId="Heading2Char">
    <w:name w:val="Heading 2 Char"/>
    <w:basedOn w:val="DefaultParagraphFont"/>
    <w:link w:val="Heading2"/>
    <w:uiPriority w:val="99"/>
    <w:rsid w:val="00E05D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5D3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5D3E"/>
    <w:rPr>
      <w:rFonts w:asciiTheme="majorHAnsi" w:eastAsiaTheme="majorEastAsia" w:hAnsiTheme="majorHAnsi" w:cstheme="majorBidi"/>
      <w:b/>
      <w:bCs/>
      <w:i/>
      <w:iCs/>
      <w:color w:val="4F81BD" w:themeColor="accent1"/>
    </w:rPr>
  </w:style>
  <w:style w:type="paragraph" w:customStyle="1" w:styleId="DHHSbullet1">
    <w:name w:val="DHHS bullet 1"/>
    <w:basedOn w:val="DHHSbody"/>
    <w:qFormat/>
    <w:rsid w:val="00E539B6"/>
    <w:pPr>
      <w:numPr>
        <w:numId w:val="3"/>
      </w:numPr>
      <w:spacing w:after="40"/>
      <w:ind w:left="284"/>
    </w:pPr>
  </w:style>
  <w:style w:type="character" w:styleId="FootnoteReference">
    <w:name w:val="footnote reference"/>
    <w:uiPriority w:val="99"/>
    <w:rsid w:val="00E05D3E"/>
    <w:rPr>
      <w:rFonts w:cs="Times New Roman"/>
      <w:vertAlign w:val="superscript"/>
    </w:rPr>
  </w:style>
  <w:style w:type="paragraph" w:customStyle="1" w:styleId="DHHSbullet2">
    <w:name w:val="DHHS bullet 2"/>
    <w:basedOn w:val="DHHSbody"/>
    <w:uiPriority w:val="2"/>
    <w:qFormat/>
    <w:rsid w:val="00E539B6"/>
    <w:pPr>
      <w:numPr>
        <w:ilvl w:val="2"/>
        <w:numId w:val="3"/>
      </w:numPr>
      <w:spacing w:after="40"/>
    </w:pPr>
  </w:style>
  <w:style w:type="paragraph" w:customStyle="1" w:styleId="DHHStablebullet">
    <w:name w:val="DHHS table bullet"/>
    <w:basedOn w:val="Normal"/>
    <w:uiPriority w:val="3"/>
    <w:qFormat/>
    <w:rsid w:val="00E539B6"/>
    <w:pPr>
      <w:numPr>
        <w:ilvl w:val="6"/>
        <w:numId w:val="3"/>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E539B6"/>
    <w:pPr>
      <w:numPr>
        <w:ilvl w:val="4"/>
        <w:numId w:val="3"/>
      </w:numPr>
      <w:spacing w:after="40"/>
    </w:pPr>
  </w:style>
  <w:style w:type="character" w:styleId="Hyperlink">
    <w:name w:val="Hyperlink"/>
    <w:uiPriority w:val="99"/>
    <w:rsid w:val="00E05D3E"/>
    <w:rPr>
      <w:rFonts w:cs="Times New Roman"/>
      <w:color w:val="3366FF"/>
      <w:u w:val="dotted"/>
    </w:rPr>
  </w:style>
  <w:style w:type="paragraph" w:customStyle="1" w:styleId="DHHSbullet1lastline">
    <w:name w:val="DHHS bullet 1 last line"/>
    <w:basedOn w:val="DHHSbullet1"/>
    <w:qFormat/>
    <w:rsid w:val="00E539B6"/>
    <w:pPr>
      <w:numPr>
        <w:ilvl w:val="1"/>
      </w:numPr>
      <w:spacing w:after="120"/>
      <w:ind w:left="284"/>
    </w:pPr>
  </w:style>
  <w:style w:type="paragraph" w:customStyle="1" w:styleId="DHHSbullet2lastline">
    <w:name w:val="DHHS bullet 2 last line"/>
    <w:basedOn w:val="DHHSbullet2"/>
    <w:uiPriority w:val="2"/>
    <w:qFormat/>
    <w:rsid w:val="00E539B6"/>
    <w:pPr>
      <w:numPr>
        <w:ilvl w:val="3"/>
      </w:numPr>
      <w:spacing w:after="120"/>
    </w:pPr>
  </w:style>
  <w:style w:type="paragraph" w:customStyle="1" w:styleId="DHHSbulletindentlastline">
    <w:name w:val="DHHS bullet indent last line"/>
    <w:basedOn w:val="DHHSbody"/>
    <w:uiPriority w:val="4"/>
    <w:rsid w:val="00E539B6"/>
    <w:pPr>
      <w:numPr>
        <w:ilvl w:val="5"/>
        <w:numId w:val="3"/>
      </w:numPr>
    </w:pPr>
  </w:style>
  <w:style w:type="numbering" w:customStyle="1" w:styleId="ZZBullets">
    <w:name w:val="ZZ Bullets"/>
    <w:rsid w:val="00E05D3E"/>
    <w:pPr>
      <w:numPr>
        <w:numId w:val="5"/>
      </w:numPr>
    </w:pPr>
  </w:style>
  <w:style w:type="paragraph" w:styleId="BalloonText">
    <w:name w:val="Balloon Text"/>
    <w:basedOn w:val="Normal"/>
    <w:link w:val="BalloonTextChar"/>
    <w:uiPriority w:val="99"/>
    <w:semiHidden/>
    <w:unhideWhenUsed/>
    <w:rsid w:val="00E05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3E"/>
    <w:rPr>
      <w:rFonts w:ascii="Tahoma" w:hAnsi="Tahoma" w:cs="Tahoma"/>
      <w:sz w:val="16"/>
      <w:szCs w:val="16"/>
    </w:rPr>
  </w:style>
  <w:style w:type="character" w:styleId="CommentReference">
    <w:name w:val="annotation reference"/>
    <w:basedOn w:val="DefaultParagraphFont"/>
    <w:uiPriority w:val="99"/>
    <w:semiHidden/>
    <w:unhideWhenUsed/>
    <w:rsid w:val="00F609EE"/>
    <w:rPr>
      <w:sz w:val="16"/>
      <w:szCs w:val="16"/>
    </w:rPr>
  </w:style>
  <w:style w:type="paragraph" w:styleId="CommentText">
    <w:name w:val="annotation text"/>
    <w:basedOn w:val="Normal"/>
    <w:link w:val="CommentTextChar"/>
    <w:uiPriority w:val="99"/>
    <w:semiHidden/>
    <w:unhideWhenUsed/>
    <w:rsid w:val="00F609EE"/>
    <w:pPr>
      <w:spacing w:line="240" w:lineRule="auto"/>
    </w:pPr>
    <w:rPr>
      <w:sz w:val="20"/>
      <w:szCs w:val="20"/>
    </w:rPr>
  </w:style>
  <w:style w:type="character" w:customStyle="1" w:styleId="CommentTextChar">
    <w:name w:val="Comment Text Char"/>
    <w:basedOn w:val="DefaultParagraphFont"/>
    <w:link w:val="CommentText"/>
    <w:uiPriority w:val="99"/>
    <w:semiHidden/>
    <w:rsid w:val="00F609EE"/>
    <w:rPr>
      <w:sz w:val="20"/>
      <w:szCs w:val="20"/>
    </w:rPr>
  </w:style>
  <w:style w:type="paragraph" w:styleId="CommentSubject">
    <w:name w:val="annotation subject"/>
    <w:basedOn w:val="CommentText"/>
    <w:next w:val="CommentText"/>
    <w:link w:val="CommentSubjectChar"/>
    <w:uiPriority w:val="99"/>
    <w:semiHidden/>
    <w:unhideWhenUsed/>
    <w:rsid w:val="00F609EE"/>
    <w:rPr>
      <w:b/>
      <w:bCs/>
    </w:rPr>
  </w:style>
  <w:style w:type="character" w:customStyle="1" w:styleId="CommentSubjectChar">
    <w:name w:val="Comment Subject Char"/>
    <w:basedOn w:val="CommentTextChar"/>
    <w:link w:val="CommentSubject"/>
    <w:uiPriority w:val="99"/>
    <w:semiHidden/>
    <w:rsid w:val="00F609EE"/>
    <w:rPr>
      <w:b/>
      <w:bCs/>
      <w:sz w:val="20"/>
      <w:szCs w:val="20"/>
    </w:rPr>
  </w:style>
  <w:style w:type="character" w:styleId="FollowedHyperlink">
    <w:name w:val="FollowedHyperlink"/>
    <w:basedOn w:val="DefaultParagraphFont"/>
    <w:uiPriority w:val="99"/>
    <w:semiHidden/>
    <w:unhideWhenUsed/>
    <w:rsid w:val="00C47C87"/>
    <w:rPr>
      <w:color w:val="800080" w:themeColor="followedHyperlink"/>
      <w:u w:val="single"/>
    </w:rPr>
  </w:style>
  <w:style w:type="table" w:styleId="TableGrid">
    <w:name w:val="Table Grid"/>
    <w:basedOn w:val="TableNormal"/>
    <w:uiPriority w:val="59"/>
    <w:rsid w:val="00C4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476D"/>
    <w:pPr>
      <w:spacing w:after="0" w:line="240" w:lineRule="auto"/>
    </w:pPr>
  </w:style>
  <w:style w:type="paragraph" w:customStyle="1" w:styleId="DHHStabletext">
    <w:name w:val="DHHS table text"/>
    <w:uiPriority w:val="3"/>
    <w:qFormat/>
    <w:rsid w:val="00E539B6"/>
    <w:pPr>
      <w:spacing w:before="80" w:after="60" w:line="240" w:lineRule="auto"/>
    </w:pPr>
    <w:rPr>
      <w:rFonts w:ascii="Arial" w:eastAsia="Times New Roman" w:hAnsi="Arial" w:cs="Times New Roman"/>
      <w:sz w:val="20"/>
      <w:szCs w:val="20"/>
    </w:rPr>
  </w:style>
  <w:style w:type="paragraph" w:customStyle="1" w:styleId="DHHStablecolhead">
    <w:name w:val="DHHS table col head"/>
    <w:uiPriority w:val="3"/>
    <w:qFormat/>
    <w:rsid w:val="00E539B6"/>
    <w:pPr>
      <w:spacing w:before="80" w:after="60" w:line="240" w:lineRule="auto"/>
    </w:pPr>
    <w:rPr>
      <w:rFonts w:ascii="Arial" w:eastAsia="Times New Roman" w:hAnsi="Arial" w:cs="Times New Roman"/>
      <w:b/>
      <w:color w:val="201547"/>
      <w:sz w:val="20"/>
      <w:szCs w:val="20"/>
    </w:rPr>
  </w:style>
  <w:style w:type="paragraph" w:styleId="Header">
    <w:name w:val="header"/>
    <w:basedOn w:val="Normal"/>
    <w:link w:val="HeaderChar"/>
    <w:uiPriority w:val="99"/>
    <w:unhideWhenUsed/>
    <w:rsid w:val="00E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B6"/>
  </w:style>
  <w:style w:type="paragraph" w:styleId="Footer">
    <w:name w:val="footer"/>
    <w:basedOn w:val="Normal"/>
    <w:link w:val="FooterChar"/>
    <w:uiPriority w:val="99"/>
    <w:unhideWhenUsed/>
    <w:rsid w:val="00E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B6"/>
  </w:style>
  <w:style w:type="numbering" w:customStyle="1" w:styleId="Bullets">
    <w:name w:val="Bullets"/>
    <w:rsid w:val="00E539B6"/>
    <w:pPr>
      <w:numPr>
        <w:numId w:val="22"/>
      </w:numPr>
    </w:pPr>
  </w:style>
  <w:style w:type="paragraph" w:customStyle="1" w:styleId="DHHSnumberdigit">
    <w:name w:val="DHHS number digit"/>
    <w:basedOn w:val="DHHSbody"/>
    <w:uiPriority w:val="2"/>
    <w:rsid w:val="00E539B6"/>
    <w:pPr>
      <w:numPr>
        <w:numId w:val="24"/>
      </w:numPr>
    </w:pPr>
    <w:rPr>
      <w:sz w:val="22"/>
      <w:szCs w:val="22"/>
    </w:rPr>
  </w:style>
  <w:style w:type="paragraph" w:customStyle="1" w:styleId="DHHSnumberloweralphaindent">
    <w:name w:val="DHHS number lower alpha indent"/>
    <w:basedOn w:val="DHHSbody"/>
    <w:uiPriority w:val="3"/>
    <w:rsid w:val="00E539B6"/>
    <w:pPr>
      <w:numPr>
        <w:ilvl w:val="3"/>
        <w:numId w:val="24"/>
      </w:numPr>
    </w:pPr>
    <w:rPr>
      <w:sz w:val="22"/>
      <w:szCs w:val="22"/>
    </w:rPr>
  </w:style>
  <w:style w:type="paragraph" w:customStyle="1" w:styleId="DHHSnumberdigitindent">
    <w:name w:val="DHHS number digit indent"/>
    <w:basedOn w:val="DHHSnumberloweralphaindent"/>
    <w:uiPriority w:val="3"/>
    <w:rsid w:val="00E539B6"/>
    <w:pPr>
      <w:numPr>
        <w:ilvl w:val="1"/>
      </w:numPr>
    </w:pPr>
  </w:style>
  <w:style w:type="paragraph" w:customStyle="1" w:styleId="DHHSnumberloweralpha">
    <w:name w:val="DHHS number lower alpha"/>
    <w:basedOn w:val="DHHSbody"/>
    <w:uiPriority w:val="3"/>
    <w:rsid w:val="00E539B6"/>
    <w:pPr>
      <w:numPr>
        <w:ilvl w:val="2"/>
        <w:numId w:val="24"/>
      </w:numPr>
    </w:pPr>
    <w:rPr>
      <w:sz w:val="22"/>
      <w:szCs w:val="22"/>
    </w:rPr>
  </w:style>
  <w:style w:type="paragraph" w:customStyle="1" w:styleId="DHHSnumberlowerroman">
    <w:name w:val="DHHS number lower roman"/>
    <w:basedOn w:val="DHHSbody"/>
    <w:uiPriority w:val="3"/>
    <w:rsid w:val="00E539B6"/>
    <w:pPr>
      <w:numPr>
        <w:ilvl w:val="4"/>
        <w:numId w:val="24"/>
      </w:numPr>
    </w:pPr>
    <w:rPr>
      <w:sz w:val="22"/>
      <w:szCs w:val="22"/>
    </w:rPr>
  </w:style>
  <w:style w:type="paragraph" w:customStyle="1" w:styleId="DHHSnumberlowerromanindent">
    <w:name w:val="DHHS number lower roman indent"/>
    <w:basedOn w:val="DHHSbody"/>
    <w:uiPriority w:val="3"/>
    <w:rsid w:val="00E539B6"/>
    <w:pPr>
      <w:numPr>
        <w:ilvl w:val="5"/>
        <w:numId w:val="24"/>
      </w:numPr>
    </w:pPr>
    <w:rPr>
      <w:sz w:val="22"/>
      <w:szCs w:val="22"/>
    </w:rPr>
  </w:style>
  <w:style w:type="numbering" w:customStyle="1" w:styleId="ZZNumbers">
    <w:name w:val="ZZ Numbers"/>
    <w:rsid w:val="00E539B6"/>
    <w:pPr>
      <w:numPr>
        <w:numId w:val="24"/>
      </w:numPr>
    </w:pPr>
  </w:style>
  <w:style w:type="paragraph" w:customStyle="1" w:styleId="DHHSaccessibilitypara">
    <w:name w:val="DHHS accessibility para"/>
    <w:uiPriority w:val="8"/>
    <w:rsid w:val="00267274"/>
    <w:pPr>
      <w:spacing w:line="300" w:lineRule="atLeast"/>
    </w:pPr>
    <w:rPr>
      <w:rFonts w:ascii="Arial" w:eastAsia="Times" w:hAnsi="Arial" w:cs="Times New Roman"/>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109551">
      <w:bodyDiv w:val="1"/>
      <w:marLeft w:val="0"/>
      <w:marRight w:val="0"/>
      <w:marTop w:val="0"/>
      <w:marBottom w:val="0"/>
      <w:divBdr>
        <w:top w:val="none" w:sz="0" w:space="0" w:color="auto"/>
        <w:left w:val="none" w:sz="0" w:space="0" w:color="auto"/>
        <w:bottom w:val="none" w:sz="0" w:space="0" w:color="auto"/>
        <w:right w:val="none" w:sz="0" w:space="0" w:color="auto"/>
      </w:divBdr>
      <w:divsChild>
        <w:div w:id="48113381">
          <w:marLeft w:val="0"/>
          <w:marRight w:val="0"/>
          <w:marTop w:val="0"/>
          <w:marBottom w:val="0"/>
          <w:divBdr>
            <w:top w:val="none" w:sz="0" w:space="0" w:color="auto"/>
            <w:left w:val="none" w:sz="0" w:space="0" w:color="auto"/>
            <w:bottom w:val="none" w:sz="0" w:space="0" w:color="auto"/>
            <w:right w:val="none" w:sz="0" w:space="0" w:color="auto"/>
          </w:divBdr>
          <w:divsChild>
            <w:div w:id="467548211">
              <w:marLeft w:val="0"/>
              <w:marRight w:val="0"/>
              <w:marTop w:val="0"/>
              <w:marBottom w:val="0"/>
              <w:divBdr>
                <w:top w:val="none" w:sz="0" w:space="0" w:color="auto"/>
                <w:left w:val="none" w:sz="0" w:space="0" w:color="auto"/>
                <w:bottom w:val="none" w:sz="0" w:space="0" w:color="auto"/>
                <w:right w:val="none" w:sz="0" w:space="0" w:color="auto"/>
              </w:divBdr>
              <w:divsChild>
                <w:div w:id="1731920273">
                  <w:marLeft w:val="0"/>
                  <w:marRight w:val="0"/>
                  <w:marTop w:val="0"/>
                  <w:marBottom w:val="0"/>
                  <w:divBdr>
                    <w:top w:val="none" w:sz="0" w:space="0" w:color="auto"/>
                    <w:left w:val="none" w:sz="0" w:space="0" w:color="auto"/>
                    <w:bottom w:val="none" w:sz="0" w:space="0" w:color="auto"/>
                    <w:right w:val="none" w:sz="0" w:space="0" w:color="auto"/>
                  </w:divBdr>
                  <w:divsChild>
                    <w:div w:id="792208276">
                      <w:marLeft w:val="0"/>
                      <w:marRight w:val="0"/>
                      <w:marTop w:val="0"/>
                      <w:marBottom w:val="0"/>
                      <w:divBdr>
                        <w:top w:val="none" w:sz="0" w:space="0" w:color="auto"/>
                        <w:left w:val="none" w:sz="0" w:space="0" w:color="auto"/>
                        <w:bottom w:val="none" w:sz="0" w:space="0" w:color="auto"/>
                        <w:right w:val="none" w:sz="0" w:space="0" w:color="auto"/>
                      </w:divBdr>
                      <w:divsChild>
                        <w:div w:id="1445079421">
                          <w:marLeft w:val="0"/>
                          <w:marRight w:val="0"/>
                          <w:marTop w:val="0"/>
                          <w:marBottom w:val="0"/>
                          <w:divBdr>
                            <w:top w:val="none" w:sz="0" w:space="0" w:color="auto"/>
                            <w:left w:val="none" w:sz="0" w:space="0" w:color="auto"/>
                            <w:bottom w:val="none" w:sz="0" w:space="0" w:color="auto"/>
                            <w:right w:val="none" w:sz="0" w:space="0" w:color="auto"/>
                          </w:divBdr>
                          <w:divsChild>
                            <w:div w:id="314188554">
                              <w:marLeft w:val="0"/>
                              <w:marRight w:val="0"/>
                              <w:marTop w:val="0"/>
                              <w:marBottom w:val="0"/>
                              <w:divBdr>
                                <w:top w:val="none" w:sz="0" w:space="0" w:color="auto"/>
                                <w:left w:val="none" w:sz="0" w:space="0" w:color="auto"/>
                                <w:bottom w:val="none" w:sz="0" w:space="0" w:color="auto"/>
                                <w:right w:val="none" w:sz="0" w:space="0" w:color="auto"/>
                              </w:divBdr>
                              <w:divsChild>
                                <w:div w:id="1991327071">
                                  <w:marLeft w:val="0"/>
                                  <w:marRight w:val="0"/>
                                  <w:marTop w:val="0"/>
                                  <w:marBottom w:val="0"/>
                                  <w:divBdr>
                                    <w:top w:val="none" w:sz="0" w:space="0" w:color="auto"/>
                                    <w:left w:val="none" w:sz="0" w:space="0" w:color="auto"/>
                                    <w:bottom w:val="none" w:sz="0" w:space="0" w:color="auto"/>
                                    <w:right w:val="none" w:sz="0" w:space="0" w:color="auto"/>
                                  </w:divBdr>
                                  <w:divsChild>
                                    <w:div w:id="885095827">
                                      <w:marLeft w:val="0"/>
                                      <w:marRight w:val="0"/>
                                      <w:marTop w:val="240"/>
                                      <w:marBottom w:val="24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49245-99B7-4359-B250-4769DC63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Director of Housing Determinations</vt:lpstr>
    </vt:vector>
  </TitlesOfParts>
  <Company>Department of Health and Human Services</Company>
  <LinksUpToDate>false</LinksUpToDate>
  <CharactersWithSpaces>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Housing Determinations</dc:title>
  <dc:subject>Director of Housing Determinations</dc:subject>
  <dc:creator>Housing Infrastructure Sport and Recreation</dc:creator>
  <cp:keywords>Director of Housing, Determinations, Social Housing, Victorian Housing Register, Eligibility</cp:keywords>
  <cp:lastModifiedBy>Ross Veenstra</cp:lastModifiedBy>
  <cp:revision>3</cp:revision>
  <cp:lastPrinted>2018-05-07T22:17:00Z</cp:lastPrinted>
  <dcterms:created xsi:type="dcterms:W3CDTF">2018-07-04T00:33:00Z</dcterms:created>
  <dcterms:modified xsi:type="dcterms:W3CDTF">2018-07-04T00:46:00Z</dcterms:modified>
</cp:coreProperties>
</file>