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081" w:tblpY="-136"/>
        <w:tblW w:w="6581" w:type="dxa"/>
        <w:tblCellMar>
          <w:left w:w="0" w:type="dxa"/>
          <w:right w:w="0" w:type="dxa"/>
        </w:tblCellMar>
        <w:tblLook w:val="04A0" w:firstRow="1" w:lastRow="0" w:firstColumn="1" w:lastColumn="0" w:noHBand="0" w:noVBand="1"/>
      </w:tblPr>
      <w:tblGrid>
        <w:gridCol w:w="6581"/>
      </w:tblGrid>
      <w:tr w:rsidR="00E908D3" w:rsidRPr="003072C6" w14:paraId="5DCEF8EB" w14:textId="77777777" w:rsidTr="00B826DD">
        <w:trPr>
          <w:trHeight w:val="2904"/>
        </w:trPr>
        <w:tc>
          <w:tcPr>
            <w:tcW w:w="6581" w:type="dxa"/>
            <w:shd w:val="clear" w:color="auto" w:fill="auto"/>
            <w:vAlign w:val="center"/>
          </w:tcPr>
          <w:p w14:paraId="0F86AD3C" w14:textId="711B4A75" w:rsidR="00E908D3" w:rsidRPr="00B826DD" w:rsidRDefault="009250F3" w:rsidP="00E908D3">
            <w:pPr>
              <w:pStyle w:val="DHHSreportmaintitlewhite"/>
              <w:rPr>
                <w:b/>
                <w:bCs w:val="0"/>
                <w:caps w:val="0"/>
                <w:color w:val="D72685"/>
                <w:sz w:val="48"/>
                <w:szCs w:val="50"/>
              </w:rPr>
            </w:pPr>
            <w:r w:rsidRPr="00B826DD">
              <w:rPr>
                <w:b/>
                <w:bCs w:val="0"/>
                <w:caps w:val="0"/>
                <w:color w:val="D72685"/>
                <w:sz w:val="48"/>
                <w:szCs w:val="50"/>
              </w:rPr>
              <w:t>Reporting: u</w:t>
            </w:r>
            <w:r w:rsidR="00D20AF9" w:rsidRPr="00B826DD">
              <w:rPr>
                <w:b/>
                <w:bCs w:val="0"/>
                <w:caps w:val="0"/>
                <w:color w:val="D72685"/>
                <w:sz w:val="48"/>
                <w:szCs w:val="50"/>
              </w:rPr>
              <w:t xml:space="preserve">nmet housing demand </w:t>
            </w:r>
            <w:r w:rsidR="008C1D33" w:rsidRPr="00B826DD">
              <w:rPr>
                <w:b/>
                <w:bCs w:val="0"/>
                <w:caps w:val="0"/>
                <w:color w:val="D72685"/>
                <w:sz w:val="48"/>
                <w:szCs w:val="50"/>
              </w:rPr>
              <w:t>among</w:t>
            </w:r>
            <w:r w:rsidR="00D20AF9" w:rsidRPr="00B826DD">
              <w:rPr>
                <w:b/>
                <w:bCs w:val="0"/>
                <w:caps w:val="0"/>
                <w:color w:val="D72685"/>
                <w:sz w:val="48"/>
                <w:szCs w:val="50"/>
              </w:rPr>
              <w:t xml:space="preserve"> people affected by family violence</w:t>
            </w:r>
          </w:p>
          <w:p w14:paraId="3CB09849" w14:textId="4C3401B7" w:rsidR="00E908D3" w:rsidRPr="00E908D3" w:rsidRDefault="004419E6" w:rsidP="00E908D3">
            <w:pPr>
              <w:pStyle w:val="DHHSreportsubtitlewhite"/>
              <w:rPr>
                <w:b w:val="0"/>
                <w:bCs w:val="0"/>
              </w:rPr>
            </w:pPr>
            <w:r w:rsidRPr="00B826DD">
              <w:rPr>
                <w:b w:val="0"/>
                <w:bCs w:val="0"/>
                <w:color w:val="2D2348"/>
                <w:sz w:val="28"/>
                <w:szCs w:val="24"/>
              </w:rPr>
              <w:t>Acquitting</w:t>
            </w:r>
            <w:r>
              <w:rPr>
                <w:b w:val="0"/>
                <w:bCs w:val="0"/>
              </w:rPr>
              <w:t xml:space="preserve"> </w:t>
            </w:r>
            <w:r w:rsidRPr="00B826DD">
              <w:rPr>
                <w:b w:val="0"/>
                <w:bCs w:val="0"/>
                <w:color w:val="2D2348"/>
                <w:sz w:val="28"/>
                <w:szCs w:val="24"/>
              </w:rPr>
              <w:t xml:space="preserve">against </w:t>
            </w:r>
            <w:r w:rsidR="00912445" w:rsidRPr="00B826DD">
              <w:rPr>
                <w:b w:val="0"/>
                <w:bCs w:val="0"/>
                <w:color w:val="2D2348"/>
                <w:sz w:val="28"/>
                <w:szCs w:val="24"/>
              </w:rPr>
              <w:t>R</w:t>
            </w:r>
            <w:r w:rsidRPr="00B826DD">
              <w:rPr>
                <w:b w:val="0"/>
                <w:bCs w:val="0"/>
                <w:color w:val="2D2348"/>
                <w:sz w:val="28"/>
                <w:szCs w:val="24"/>
              </w:rPr>
              <w:t>ecommendation 20 of the Royal Commission into Family Violence</w:t>
            </w:r>
          </w:p>
        </w:tc>
      </w:tr>
      <w:tr w:rsidR="00E908D3" w:rsidRPr="003072C6" w14:paraId="1A1734E3" w14:textId="77777777" w:rsidTr="00B826DD">
        <w:trPr>
          <w:trHeight w:val="397"/>
        </w:trPr>
        <w:tc>
          <w:tcPr>
            <w:tcW w:w="6581" w:type="dxa"/>
            <w:shd w:val="clear" w:color="auto" w:fill="auto"/>
          </w:tcPr>
          <w:p w14:paraId="68302563" w14:textId="77777777" w:rsidR="00E908D3" w:rsidRPr="003072C6" w:rsidRDefault="00E908D3" w:rsidP="00E908D3">
            <w:pPr>
              <w:pStyle w:val="DHHSbody"/>
            </w:pPr>
          </w:p>
        </w:tc>
      </w:tr>
    </w:tbl>
    <w:p w14:paraId="569E3F50" w14:textId="471AE773" w:rsidR="0069374A" w:rsidRPr="00B2614A" w:rsidRDefault="00B85988" w:rsidP="00126371">
      <w:pPr>
        <w:pStyle w:val="DHHSbody"/>
      </w:pPr>
      <w:r>
        <w:rPr>
          <w:noProof/>
        </w:rPr>
        <w:drawing>
          <wp:anchor distT="0" distB="0" distL="114300" distR="114300" simplePos="0" relativeHeight="251658240" behindDoc="1" locked="0" layoutInCell="1" allowOverlap="1" wp14:anchorId="28624D9E" wp14:editId="3650919D">
            <wp:simplePos x="0" y="0"/>
            <wp:positionH relativeFrom="column">
              <wp:posOffset>-1225224</wp:posOffset>
            </wp:positionH>
            <wp:positionV relativeFrom="paragraph">
              <wp:posOffset>-2019935</wp:posOffset>
            </wp:positionV>
            <wp:extent cx="7560310" cy="9975010"/>
            <wp:effectExtent l="0" t="0" r="0" b="0"/>
            <wp:wrapNone/>
            <wp:docPr id="8" name="Picture 8" descr="Homes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omes Victoria Logo"/>
                    <pic:cNvPicPr/>
                  </pic:nvPicPr>
                  <pic:blipFill>
                    <a:blip r:embed="rId8"/>
                    <a:stretch>
                      <a:fillRect/>
                    </a:stretch>
                  </pic:blipFill>
                  <pic:spPr>
                    <a:xfrm>
                      <a:off x="0" y="0"/>
                      <a:ext cx="7560310" cy="9975010"/>
                    </a:xfrm>
                    <a:prstGeom prst="rect">
                      <a:avLst/>
                    </a:prstGeom>
                  </pic:spPr>
                </pic:pic>
              </a:graphicData>
            </a:graphic>
            <wp14:sizeRelH relativeFrom="page">
              <wp14:pctWidth>0</wp14:pctWidth>
            </wp14:sizeRelH>
            <wp14:sizeRelV relativeFrom="page">
              <wp14:pctHeight>0</wp14:pctHeight>
            </wp14:sizeRelV>
          </wp:anchor>
        </w:drawing>
      </w:r>
    </w:p>
    <w:p w14:paraId="0FEFC5F8" w14:textId="2D9AD44E" w:rsidR="00C51B1C" w:rsidRPr="007627FC" w:rsidRDefault="00C51B1C" w:rsidP="007627FC">
      <w:pPr>
        <w:pStyle w:val="DHHSbody"/>
        <w:sectPr w:rsidR="00C51B1C" w:rsidRPr="007627FC" w:rsidSect="00050C2F">
          <w:headerReference w:type="even" r:id="rId9"/>
          <w:headerReference w:type="default" r:id="rId10"/>
          <w:footerReference w:type="even" r:id="rId11"/>
          <w:footerReference w:type="default" r:id="rId12"/>
          <w:headerReference w:type="first" r:id="rId13"/>
          <w:footerReference w:type="first" r:id="rId14"/>
          <w:type w:val="oddPage"/>
          <w:pgSz w:w="11906" w:h="16838"/>
          <w:pgMar w:top="3175" w:right="1304" w:bottom="1134" w:left="1928" w:header="454" w:footer="567" w:gutter="0"/>
          <w:cols w:space="720"/>
          <w:docGrid w:linePitch="360"/>
        </w:sectPr>
      </w:pPr>
    </w:p>
    <w:p w14:paraId="7B213C58" w14:textId="77777777" w:rsidR="00AC0C3B" w:rsidRPr="00711B0C" w:rsidRDefault="00AC0C3B" w:rsidP="00711B0C">
      <w:pPr>
        <w:pStyle w:val="DHHSTOCheadingreport"/>
      </w:pPr>
      <w:r w:rsidRPr="00B826DD">
        <w:rPr>
          <w:rFonts w:eastAsia="MS Gothic" w:cs="Arial"/>
          <w:color w:val="D72685"/>
          <w:kern w:val="32"/>
        </w:rPr>
        <w:lastRenderedPageBreak/>
        <w:t>Contents</w:t>
      </w:r>
    </w:p>
    <w:p w14:paraId="2E3178BF" w14:textId="3FF65400" w:rsidR="006B45D1"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95228759" w:history="1">
        <w:r w:rsidR="006B45D1" w:rsidRPr="00C57E0E">
          <w:rPr>
            <w:rStyle w:val="Hyperlink"/>
            <w:rFonts w:eastAsia="MS Gothic" w:cs="Arial"/>
            <w:kern w:val="32"/>
          </w:rPr>
          <w:t>Summary</w:t>
        </w:r>
        <w:r w:rsidR="006B45D1">
          <w:rPr>
            <w:webHidden/>
          </w:rPr>
          <w:tab/>
        </w:r>
        <w:r w:rsidR="006B45D1">
          <w:rPr>
            <w:webHidden/>
          </w:rPr>
          <w:fldChar w:fldCharType="begin"/>
        </w:r>
        <w:r w:rsidR="006B45D1">
          <w:rPr>
            <w:webHidden/>
          </w:rPr>
          <w:instrText xml:space="preserve"> PAGEREF _Toc95228759 \h </w:instrText>
        </w:r>
        <w:r w:rsidR="006B45D1">
          <w:rPr>
            <w:webHidden/>
          </w:rPr>
        </w:r>
        <w:r w:rsidR="006B45D1">
          <w:rPr>
            <w:webHidden/>
          </w:rPr>
          <w:fldChar w:fldCharType="separate"/>
        </w:r>
        <w:r w:rsidR="006B45D1">
          <w:rPr>
            <w:webHidden/>
          </w:rPr>
          <w:t>3</w:t>
        </w:r>
        <w:r w:rsidR="006B45D1">
          <w:rPr>
            <w:webHidden/>
          </w:rPr>
          <w:fldChar w:fldCharType="end"/>
        </w:r>
      </w:hyperlink>
    </w:p>
    <w:p w14:paraId="3AF1FFC5" w14:textId="75F522F0" w:rsidR="006B45D1" w:rsidRDefault="00290D63">
      <w:pPr>
        <w:pStyle w:val="TOC1"/>
        <w:rPr>
          <w:rFonts w:asciiTheme="minorHAnsi" w:eastAsiaTheme="minorEastAsia" w:hAnsiTheme="minorHAnsi" w:cstheme="minorBidi"/>
          <w:b w:val="0"/>
          <w:sz w:val="22"/>
          <w:szCs w:val="22"/>
          <w:lang w:eastAsia="en-AU"/>
        </w:rPr>
      </w:pPr>
      <w:hyperlink w:anchor="_Toc95228760" w:history="1">
        <w:r w:rsidR="006B45D1" w:rsidRPr="00C57E0E">
          <w:rPr>
            <w:rStyle w:val="Hyperlink"/>
            <w:rFonts w:eastAsia="MS Gothic" w:cs="Arial"/>
            <w:kern w:val="32"/>
          </w:rPr>
          <w:t>Housing pathways among people affected by family violence</w:t>
        </w:r>
        <w:r w:rsidR="006B45D1">
          <w:rPr>
            <w:webHidden/>
          </w:rPr>
          <w:tab/>
        </w:r>
        <w:r w:rsidR="006B45D1">
          <w:rPr>
            <w:webHidden/>
          </w:rPr>
          <w:fldChar w:fldCharType="begin"/>
        </w:r>
        <w:r w:rsidR="006B45D1">
          <w:rPr>
            <w:webHidden/>
          </w:rPr>
          <w:instrText xml:space="preserve"> PAGEREF _Toc95228760 \h </w:instrText>
        </w:r>
        <w:r w:rsidR="006B45D1">
          <w:rPr>
            <w:webHidden/>
          </w:rPr>
        </w:r>
        <w:r w:rsidR="006B45D1">
          <w:rPr>
            <w:webHidden/>
          </w:rPr>
          <w:fldChar w:fldCharType="separate"/>
        </w:r>
        <w:r w:rsidR="006B45D1">
          <w:rPr>
            <w:webHidden/>
          </w:rPr>
          <w:t>3</w:t>
        </w:r>
        <w:r w:rsidR="006B45D1">
          <w:rPr>
            <w:webHidden/>
          </w:rPr>
          <w:fldChar w:fldCharType="end"/>
        </w:r>
      </w:hyperlink>
    </w:p>
    <w:p w14:paraId="70EDEDDF" w14:textId="0AADADF3" w:rsidR="006B45D1" w:rsidRDefault="00290D63">
      <w:pPr>
        <w:pStyle w:val="TOC1"/>
        <w:rPr>
          <w:rFonts w:asciiTheme="minorHAnsi" w:eastAsiaTheme="minorEastAsia" w:hAnsiTheme="minorHAnsi" w:cstheme="minorBidi"/>
          <w:b w:val="0"/>
          <w:sz w:val="22"/>
          <w:szCs w:val="22"/>
          <w:lang w:eastAsia="en-AU"/>
        </w:rPr>
      </w:pPr>
      <w:hyperlink w:anchor="_Toc95228761" w:history="1">
        <w:r w:rsidR="006B45D1" w:rsidRPr="00C57E0E">
          <w:rPr>
            <w:rStyle w:val="Hyperlink"/>
            <w:rFonts w:eastAsia="MS Gothic" w:cs="Arial"/>
            <w:kern w:val="32"/>
          </w:rPr>
          <w:t>Key findings</w:t>
        </w:r>
        <w:r w:rsidR="006B45D1">
          <w:rPr>
            <w:webHidden/>
          </w:rPr>
          <w:tab/>
        </w:r>
        <w:r w:rsidR="006B45D1">
          <w:rPr>
            <w:webHidden/>
          </w:rPr>
          <w:fldChar w:fldCharType="begin"/>
        </w:r>
        <w:r w:rsidR="006B45D1">
          <w:rPr>
            <w:webHidden/>
          </w:rPr>
          <w:instrText xml:space="preserve"> PAGEREF _Toc95228761 \h </w:instrText>
        </w:r>
        <w:r w:rsidR="006B45D1">
          <w:rPr>
            <w:webHidden/>
          </w:rPr>
        </w:r>
        <w:r w:rsidR="006B45D1">
          <w:rPr>
            <w:webHidden/>
          </w:rPr>
          <w:fldChar w:fldCharType="separate"/>
        </w:r>
        <w:r w:rsidR="006B45D1">
          <w:rPr>
            <w:webHidden/>
          </w:rPr>
          <w:t>4</w:t>
        </w:r>
        <w:r w:rsidR="006B45D1">
          <w:rPr>
            <w:webHidden/>
          </w:rPr>
          <w:fldChar w:fldCharType="end"/>
        </w:r>
      </w:hyperlink>
    </w:p>
    <w:p w14:paraId="72CB84E3" w14:textId="179ABBCB" w:rsidR="006B45D1" w:rsidRDefault="00290D63">
      <w:pPr>
        <w:pStyle w:val="TOC2"/>
        <w:rPr>
          <w:rFonts w:asciiTheme="minorHAnsi" w:eastAsiaTheme="minorEastAsia" w:hAnsiTheme="minorHAnsi" w:cstheme="minorBidi"/>
          <w:sz w:val="22"/>
          <w:szCs w:val="22"/>
          <w:lang w:eastAsia="en-AU"/>
        </w:rPr>
      </w:pPr>
      <w:hyperlink w:anchor="_Toc95228762" w:history="1">
        <w:r w:rsidR="006B45D1" w:rsidRPr="00C57E0E">
          <w:rPr>
            <w:rStyle w:val="Hyperlink"/>
          </w:rPr>
          <w:t>Unmet demand in the homelessness service system</w:t>
        </w:r>
        <w:r w:rsidR="006B45D1">
          <w:rPr>
            <w:webHidden/>
          </w:rPr>
          <w:tab/>
        </w:r>
        <w:r w:rsidR="006B45D1">
          <w:rPr>
            <w:webHidden/>
          </w:rPr>
          <w:fldChar w:fldCharType="begin"/>
        </w:r>
        <w:r w:rsidR="006B45D1">
          <w:rPr>
            <w:webHidden/>
          </w:rPr>
          <w:instrText xml:space="preserve"> PAGEREF _Toc95228762 \h </w:instrText>
        </w:r>
        <w:r w:rsidR="006B45D1">
          <w:rPr>
            <w:webHidden/>
          </w:rPr>
        </w:r>
        <w:r w:rsidR="006B45D1">
          <w:rPr>
            <w:webHidden/>
          </w:rPr>
          <w:fldChar w:fldCharType="separate"/>
        </w:r>
        <w:r w:rsidR="006B45D1">
          <w:rPr>
            <w:webHidden/>
          </w:rPr>
          <w:t>4</w:t>
        </w:r>
        <w:r w:rsidR="006B45D1">
          <w:rPr>
            <w:webHidden/>
          </w:rPr>
          <w:fldChar w:fldCharType="end"/>
        </w:r>
      </w:hyperlink>
    </w:p>
    <w:p w14:paraId="04B5E27E" w14:textId="7FAA138F" w:rsidR="006B45D1" w:rsidRDefault="00290D63">
      <w:pPr>
        <w:pStyle w:val="TOC2"/>
        <w:rPr>
          <w:rFonts w:asciiTheme="minorHAnsi" w:eastAsiaTheme="minorEastAsia" w:hAnsiTheme="minorHAnsi" w:cstheme="minorBidi"/>
          <w:sz w:val="22"/>
          <w:szCs w:val="22"/>
          <w:lang w:eastAsia="en-AU"/>
        </w:rPr>
      </w:pPr>
      <w:hyperlink w:anchor="_Toc95228763" w:history="1">
        <w:r w:rsidR="006B45D1" w:rsidRPr="00C57E0E">
          <w:rPr>
            <w:rStyle w:val="Hyperlink"/>
          </w:rPr>
          <w:t>Unmet demand in the social housing service system</w:t>
        </w:r>
        <w:r w:rsidR="006B45D1">
          <w:rPr>
            <w:webHidden/>
          </w:rPr>
          <w:tab/>
        </w:r>
        <w:r w:rsidR="006B45D1">
          <w:rPr>
            <w:webHidden/>
          </w:rPr>
          <w:fldChar w:fldCharType="begin"/>
        </w:r>
        <w:r w:rsidR="006B45D1">
          <w:rPr>
            <w:webHidden/>
          </w:rPr>
          <w:instrText xml:space="preserve"> PAGEREF _Toc95228763 \h </w:instrText>
        </w:r>
        <w:r w:rsidR="006B45D1">
          <w:rPr>
            <w:webHidden/>
          </w:rPr>
        </w:r>
        <w:r w:rsidR="006B45D1">
          <w:rPr>
            <w:webHidden/>
          </w:rPr>
          <w:fldChar w:fldCharType="separate"/>
        </w:r>
        <w:r w:rsidR="006B45D1">
          <w:rPr>
            <w:webHidden/>
          </w:rPr>
          <w:t>6</w:t>
        </w:r>
        <w:r w:rsidR="006B45D1">
          <w:rPr>
            <w:webHidden/>
          </w:rPr>
          <w:fldChar w:fldCharType="end"/>
        </w:r>
      </w:hyperlink>
    </w:p>
    <w:p w14:paraId="50BEB026" w14:textId="4CA33429" w:rsidR="006B45D1" w:rsidRDefault="00290D63">
      <w:pPr>
        <w:pStyle w:val="TOC1"/>
        <w:rPr>
          <w:rFonts w:asciiTheme="minorHAnsi" w:eastAsiaTheme="minorEastAsia" w:hAnsiTheme="minorHAnsi" w:cstheme="minorBidi"/>
          <w:b w:val="0"/>
          <w:sz w:val="22"/>
          <w:szCs w:val="22"/>
          <w:lang w:eastAsia="en-AU"/>
        </w:rPr>
      </w:pPr>
      <w:hyperlink w:anchor="_Toc95228764" w:history="1">
        <w:r w:rsidR="006B45D1" w:rsidRPr="00C57E0E">
          <w:rPr>
            <w:rStyle w:val="Hyperlink"/>
            <w:rFonts w:eastAsia="MS Gothic" w:cs="Arial"/>
            <w:kern w:val="32"/>
          </w:rPr>
          <w:t>Actions for meeting housing demand</w:t>
        </w:r>
        <w:r w:rsidR="006B45D1">
          <w:rPr>
            <w:webHidden/>
          </w:rPr>
          <w:tab/>
        </w:r>
        <w:r w:rsidR="006B45D1">
          <w:rPr>
            <w:webHidden/>
          </w:rPr>
          <w:fldChar w:fldCharType="begin"/>
        </w:r>
        <w:r w:rsidR="006B45D1">
          <w:rPr>
            <w:webHidden/>
          </w:rPr>
          <w:instrText xml:space="preserve"> PAGEREF _Toc95228764 \h </w:instrText>
        </w:r>
        <w:r w:rsidR="006B45D1">
          <w:rPr>
            <w:webHidden/>
          </w:rPr>
        </w:r>
        <w:r w:rsidR="006B45D1">
          <w:rPr>
            <w:webHidden/>
          </w:rPr>
          <w:fldChar w:fldCharType="separate"/>
        </w:r>
        <w:r w:rsidR="006B45D1">
          <w:rPr>
            <w:webHidden/>
          </w:rPr>
          <w:t>6</w:t>
        </w:r>
        <w:r w:rsidR="006B45D1">
          <w:rPr>
            <w:webHidden/>
          </w:rPr>
          <w:fldChar w:fldCharType="end"/>
        </w:r>
      </w:hyperlink>
    </w:p>
    <w:p w14:paraId="3E787A5F" w14:textId="0E403256" w:rsidR="006B45D1" w:rsidRDefault="00290D63">
      <w:pPr>
        <w:pStyle w:val="TOC1"/>
        <w:rPr>
          <w:rFonts w:asciiTheme="minorHAnsi" w:eastAsiaTheme="minorEastAsia" w:hAnsiTheme="minorHAnsi" w:cstheme="minorBidi"/>
          <w:b w:val="0"/>
          <w:sz w:val="22"/>
          <w:szCs w:val="22"/>
          <w:lang w:eastAsia="en-AU"/>
        </w:rPr>
      </w:pPr>
      <w:hyperlink w:anchor="_Toc95228765" w:history="1">
        <w:r w:rsidR="006B45D1" w:rsidRPr="00C57E0E">
          <w:rPr>
            <w:rStyle w:val="Hyperlink"/>
            <w:rFonts w:eastAsia="MS Gothic" w:cs="Arial"/>
            <w:kern w:val="32"/>
          </w:rPr>
          <w:t>Data limitations and caveats</w:t>
        </w:r>
        <w:r w:rsidR="006B45D1">
          <w:rPr>
            <w:webHidden/>
          </w:rPr>
          <w:tab/>
        </w:r>
        <w:r w:rsidR="006B45D1">
          <w:rPr>
            <w:webHidden/>
          </w:rPr>
          <w:fldChar w:fldCharType="begin"/>
        </w:r>
        <w:r w:rsidR="006B45D1">
          <w:rPr>
            <w:webHidden/>
          </w:rPr>
          <w:instrText xml:space="preserve"> PAGEREF _Toc95228765 \h </w:instrText>
        </w:r>
        <w:r w:rsidR="006B45D1">
          <w:rPr>
            <w:webHidden/>
          </w:rPr>
        </w:r>
        <w:r w:rsidR="006B45D1">
          <w:rPr>
            <w:webHidden/>
          </w:rPr>
          <w:fldChar w:fldCharType="separate"/>
        </w:r>
        <w:r w:rsidR="006B45D1">
          <w:rPr>
            <w:webHidden/>
          </w:rPr>
          <w:t>8</w:t>
        </w:r>
        <w:r w:rsidR="006B45D1">
          <w:rPr>
            <w:webHidden/>
          </w:rPr>
          <w:fldChar w:fldCharType="end"/>
        </w:r>
      </w:hyperlink>
    </w:p>
    <w:p w14:paraId="2EFB5CD0" w14:textId="214A6721" w:rsidR="006B45D1" w:rsidRDefault="00290D63">
      <w:pPr>
        <w:pStyle w:val="TOC2"/>
        <w:rPr>
          <w:rFonts w:asciiTheme="minorHAnsi" w:eastAsiaTheme="minorEastAsia" w:hAnsiTheme="minorHAnsi" w:cstheme="minorBidi"/>
          <w:sz w:val="22"/>
          <w:szCs w:val="22"/>
          <w:lang w:eastAsia="en-AU"/>
        </w:rPr>
      </w:pPr>
      <w:hyperlink w:anchor="_Toc95228766" w:history="1">
        <w:r w:rsidR="006B45D1" w:rsidRPr="00C57E0E">
          <w:rPr>
            <w:rStyle w:val="Hyperlink"/>
          </w:rPr>
          <w:t>Limitations</w:t>
        </w:r>
        <w:r w:rsidR="006B45D1">
          <w:rPr>
            <w:webHidden/>
          </w:rPr>
          <w:tab/>
        </w:r>
        <w:r w:rsidR="006B45D1">
          <w:rPr>
            <w:webHidden/>
          </w:rPr>
          <w:fldChar w:fldCharType="begin"/>
        </w:r>
        <w:r w:rsidR="006B45D1">
          <w:rPr>
            <w:webHidden/>
          </w:rPr>
          <w:instrText xml:space="preserve"> PAGEREF _Toc95228766 \h </w:instrText>
        </w:r>
        <w:r w:rsidR="006B45D1">
          <w:rPr>
            <w:webHidden/>
          </w:rPr>
        </w:r>
        <w:r w:rsidR="006B45D1">
          <w:rPr>
            <w:webHidden/>
          </w:rPr>
          <w:fldChar w:fldCharType="separate"/>
        </w:r>
        <w:r w:rsidR="006B45D1">
          <w:rPr>
            <w:webHidden/>
          </w:rPr>
          <w:t>8</w:t>
        </w:r>
        <w:r w:rsidR="006B45D1">
          <w:rPr>
            <w:webHidden/>
          </w:rPr>
          <w:fldChar w:fldCharType="end"/>
        </w:r>
      </w:hyperlink>
    </w:p>
    <w:p w14:paraId="7C246A48" w14:textId="3467FC58" w:rsidR="006B45D1" w:rsidRDefault="00290D63">
      <w:pPr>
        <w:pStyle w:val="TOC2"/>
        <w:rPr>
          <w:rFonts w:asciiTheme="minorHAnsi" w:eastAsiaTheme="minorEastAsia" w:hAnsiTheme="minorHAnsi" w:cstheme="minorBidi"/>
          <w:sz w:val="22"/>
          <w:szCs w:val="22"/>
          <w:lang w:eastAsia="en-AU"/>
        </w:rPr>
      </w:pPr>
      <w:hyperlink w:anchor="_Toc95228767" w:history="1">
        <w:r w:rsidR="006B45D1" w:rsidRPr="00C57E0E">
          <w:rPr>
            <w:rStyle w:val="Hyperlink"/>
          </w:rPr>
          <w:t>Caveats and details</w:t>
        </w:r>
        <w:r w:rsidR="006B45D1">
          <w:rPr>
            <w:webHidden/>
          </w:rPr>
          <w:tab/>
        </w:r>
        <w:r w:rsidR="006B45D1">
          <w:rPr>
            <w:webHidden/>
          </w:rPr>
          <w:fldChar w:fldCharType="begin"/>
        </w:r>
        <w:r w:rsidR="006B45D1">
          <w:rPr>
            <w:webHidden/>
          </w:rPr>
          <w:instrText xml:space="preserve"> PAGEREF _Toc95228767 \h </w:instrText>
        </w:r>
        <w:r w:rsidR="006B45D1">
          <w:rPr>
            <w:webHidden/>
          </w:rPr>
        </w:r>
        <w:r w:rsidR="006B45D1">
          <w:rPr>
            <w:webHidden/>
          </w:rPr>
          <w:fldChar w:fldCharType="separate"/>
        </w:r>
        <w:r w:rsidR="006B45D1">
          <w:rPr>
            <w:webHidden/>
          </w:rPr>
          <w:t>8</w:t>
        </w:r>
        <w:r w:rsidR="006B45D1">
          <w:rPr>
            <w:webHidden/>
          </w:rPr>
          <w:fldChar w:fldCharType="end"/>
        </w:r>
      </w:hyperlink>
    </w:p>
    <w:p w14:paraId="031EE35F" w14:textId="1C0E3A61" w:rsidR="003E2E12" w:rsidRPr="003072C6" w:rsidRDefault="00E15DA9" w:rsidP="00213772">
      <w:pPr>
        <w:pStyle w:val="TOC2"/>
        <w:rPr>
          <w:noProof w:val="0"/>
        </w:rPr>
      </w:pPr>
      <w:r w:rsidRPr="003072C6">
        <w:rPr>
          <w:noProof w:val="0"/>
        </w:rPr>
        <w:fldChar w:fldCharType="end"/>
      </w:r>
    </w:p>
    <w:p w14:paraId="53056E54" w14:textId="3E69EE70" w:rsidR="00AC0C3B" w:rsidRPr="00256E7C" w:rsidRDefault="003E2E12" w:rsidP="00256E7C">
      <w:pPr>
        <w:pStyle w:val="DHHSbody"/>
      </w:pPr>
      <w:r w:rsidRPr="00256E7C">
        <w:br w:type="page"/>
      </w:r>
    </w:p>
    <w:p w14:paraId="46BE69D7" w14:textId="3BF748F3" w:rsidR="00E844BA" w:rsidRPr="00B826DD" w:rsidRDefault="00E844BA" w:rsidP="009250F3">
      <w:pPr>
        <w:pStyle w:val="Heading1"/>
        <w:rPr>
          <w:rFonts w:eastAsia="MS Gothic" w:cs="Arial"/>
          <w:color w:val="D72685"/>
          <w:kern w:val="32"/>
        </w:rPr>
      </w:pPr>
      <w:bookmarkStart w:id="0" w:name="_Toc95228759"/>
      <w:r w:rsidRPr="00B826DD">
        <w:rPr>
          <w:rFonts w:eastAsia="MS Gothic" w:cs="Arial"/>
          <w:color w:val="D72685"/>
          <w:kern w:val="32"/>
        </w:rPr>
        <w:lastRenderedPageBreak/>
        <w:t>Summary</w:t>
      </w:r>
      <w:bookmarkEnd w:id="0"/>
    </w:p>
    <w:p w14:paraId="243D0099" w14:textId="76F654DA" w:rsidR="00E844BA" w:rsidRDefault="00E844BA" w:rsidP="00514B4A">
      <w:pPr>
        <w:pStyle w:val="DHHSbody"/>
      </w:pPr>
      <w:r>
        <w:t xml:space="preserve">In 2015, the Family Violence </w:t>
      </w:r>
      <w:r w:rsidRPr="00E844BA">
        <w:t xml:space="preserve">Royal Commission </w:t>
      </w:r>
      <w:r w:rsidR="006B7B26">
        <w:t xml:space="preserve">(Royal Commission) </w:t>
      </w:r>
      <w:r w:rsidRPr="00E844BA">
        <w:t>was established</w:t>
      </w:r>
      <w:r w:rsidR="00822BC0">
        <w:t xml:space="preserve">. </w:t>
      </w:r>
      <w:r w:rsidRPr="00E844BA">
        <w:t xml:space="preserve">The role of the </w:t>
      </w:r>
      <w:r w:rsidR="00D87BDB">
        <w:t xml:space="preserve">Royal </w:t>
      </w:r>
      <w:r w:rsidRPr="00E844BA">
        <w:t>Commission was to find ways to</w:t>
      </w:r>
      <w:r w:rsidR="00514B4A">
        <w:t xml:space="preserve"> </w:t>
      </w:r>
      <w:r w:rsidRPr="00E844BA">
        <w:t>prevent family violence</w:t>
      </w:r>
      <w:r w:rsidR="00514B4A">
        <w:t xml:space="preserve">, </w:t>
      </w:r>
      <w:r w:rsidRPr="00E844BA">
        <w:t>improve support for victim survivors</w:t>
      </w:r>
      <w:r w:rsidR="00514B4A">
        <w:t xml:space="preserve"> and h</w:t>
      </w:r>
      <w:r w:rsidRPr="00E844BA">
        <w:t>old perpetrators to account</w:t>
      </w:r>
      <w:r w:rsidR="00514B4A">
        <w:t>.</w:t>
      </w:r>
    </w:p>
    <w:p w14:paraId="40EAAA2B" w14:textId="2D9E9A8D" w:rsidR="00E844BA" w:rsidRDefault="00E844BA" w:rsidP="00E844BA">
      <w:pPr>
        <w:pStyle w:val="DHHSbody"/>
      </w:pPr>
      <w:r w:rsidRPr="00E844BA">
        <w:t xml:space="preserve">The </w:t>
      </w:r>
      <w:r w:rsidR="00514B4A">
        <w:t>Victorian G</w:t>
      </w:r>
      <w:r w:rsidRPr="00E844BA">
        <w:t xml:space="preserve">overnment committed to </w:t>
      </w:r>
      <w:r w:rsidR="00822BC0">
        <w:t>implementing all</w:t>
      </w:r>
      <w:r w:rsidRPr="00E844BA">
        <w:t xml:space="preserve"> the Royal Commission’s recommendations to improve Victoria’s response to family violence. The Royal Commission provided its report, including 227 recommendations, to the Victorian Government on 29 March 2016.</w:t>
      </w:r>
    </w:p>
    <w:p w14:paraId="08A24411" w14:textId="25A9C50B" w:rsidR="00E844BA" w:rsidRDefault="00E844BA" w:rsidP="00E844BA">
      <w:pPr>
        <w:pStyle w:val="DHHSbody"/>
      </w:pPr>
      <w:r>
        <w:t xml:space="preserve">Recommendation 20 suggested that </w:t>
      </w:r>
      <w:r w:rsidR="00822BC0">
        <w:t>t</w:t>
      </w:r>
      <w:r>
        <w:t>he Victorian Minister for Housing, Disability and Ageing report annually to the Parliamentary Committee on Family Violence on:</w:t>
      </w:r>
    </w:p>
    <w:p w14:paraId="5419F7B2" w14:textId="77777777" w:rsidR="00E844BA" w:rsidRDefault="00E844BA" w:rsidP="00E844BA">
      <w:pPr>
        <w:pStyle w:val="DHHSbullet1"/>
      </w:pPr>
      <w:r>
        <w:t>the extent of unmet housing demand among people affected by family violence - including the average and range of current stays by women and children in crisis and transitional accommodation</w:t>
      </w:r>
    </w:p>
    <w:p w14:paraId="0340585C" w14:textId="760B7F95" w:rsidR="00E844BA" w:rsidRDefault="00E844BA" w:rsidP="00E844BA">
      <w:pPr>
        <w:pStyle w:val="DHHSbullet1"/>
      </w:pPr>
      <w:r>
        <w:t xml:space="preserve">progress in meeting the benchmark of </w:t>
      </w:r>
      <w:r w:rsidR="005D2EBF">
        <w:t>six</w:t>
      </w:r>
      <w:r>
        <w:t xml:space="preserve"> weeks in crisis accommodation</w:t>
      </w:r>
    </w:p>
    <w:p w14:paraId="5F0C03DF" w14:textId="2A3CFD82" w:rsidR="00E844BA" w:rsidRDefault="00E844BA" w:rsidP="00E844BA">
      <w:pPr>
        <w:pStyle w:val="DHHSbullet1"/>
      </w:pPr>
      <w:r>
        <w:t>proposed actions for meeting the continuing housing demand from people affected by family violence.</w:t>
      </w:r>
    </w:p>
    <w:p w14:paraId="1254E6B5" w14:textId="1F42C4F0" w:rsidR="00E844BA" w:rsidRDefault="00E844BA" w:rsidP="00E844BA">
      <w:pPr>
        <w:pStyle w:val="DHHSbody"/>
      </w:pPr>
      <w:r>
        <w:t xml:space="preserve">While the parliamentary governance around the recommendations and their acquittal has evolved since the recommendations were made, the intent is clear. </w:t>
      </w:r>
      <w:r w:rsidR="00514B4A">
        <w:t xml:space="preserve"> </w:t>
      </w:r>
    </w:p>
    <w:p w14:paraId="26065DF9" w14:textId="7CF8F615" w:rsidR="00E844BA" w:rsidRDefault="00E844BA" w:rsidP="00E844BA">
      <w:pPr>
        <w:pStyle w:val="DHHSbody"/>
      </w:pPr>
      <w:r>
        <w:t xml:space="preserve">This report, in conjunction with </w:t>
      </w:r>
      <w:r w:rsidRPr="00514B4A">
        <w:rPr>
          <w:i/>
          <w:iCs/>
        </w:rPr>
        <w:t xml:space="preserve">Attachment 1: </w:t>
      </w:r>
      <w:r w:rsidR="00514B4A" w:rsidRPr="00514B4A">
        <w:rPr>
          <w:i/>
          <w:iCs/>
        </w:rPr>
        <w:t>Data showing unmet housing demand among people affected by family violence – June 2021</w:t>
      </w:r>
      <w:r w:rsidRPr="00514B4A">
        <w:t>,</w:t>
      </w:r>
      <w:r>
        <w:t xml:space="preserve"> is the first instance of reporting against the unmet housing demand among people affected by family violence. As the Royal Commission suggested, this will become an annual report to the public. </w:t>
      </w:r>
    </w:p>
    <w:p w14:paraId="271B8FA9" w14:textId="6F6F44AF" w:rsidR="00967264" w:rsidRDefault="43BC85B2" w:rsidP="00967264">
      <w:pPr>
        <w:pStyle w:val="DHHSbody"/>
      </w:pPr>
      <w:r>
        <w:t xml:space="preserve">This report and </w:t>
      </w:r>
      <w:r w:rsidR="2E2C54D3" w:rsidRPr="3537575A">
        <w:rPr>
          <w:i/>
          <w:iCs/>
        </w:rPr>
        <w:t xml:space="preserve">Attachment 1: Data showing unmet housing demand among people affected by family violence – June 2021 </w:t>
      </w:r>
      <w:r>
        <w:t xml:space="preserve">should be read in conjunction. Together they </w:t>
      </w:r>
      <w:r w:rsidR="00DB324F">
        <w:t>cover</w:t>
      </w:r>
      <w:r>
        <w:t xml:space="preserve"> </w:t>
      </w:r>
      <w:r w:rsidR="2E2C54D3">
        <w:t xml:space="preserve">Victoria’s unmet housing demand across the homelessness and </w:t>
      </w:r>
      <w:r w:rsidR="0564DF22">
        <w:t>social</w:t>
      </w:r>
      <w:r w:rsidR="2E2C54D3">
        <w:t xml:space="preserve"> housing system, for people affected by family violence, </w:t>
      </w:r>
      <w:r w:rsidR="38EF0B61">
        <w:t>since</w:t>
      </w:r>
      <w:r w:rsidR="2E2C54D3">
        <w:t xml:space="preserve"> July 2015. This report outlines the key findings</w:t>
      </w:r>
      <w:r w:rsidR="3A6C1CC0">
        <w:t>,</w:t>
      </w:r>
      <w:r w:rsidR="2E2C54D3">
        <w:t xml:space="preserve"> </w:t>
      </w:r>
      <w:r w:rsidR="16D8F439">
        <w:t xml:space="preserve">current </w:t>
      </w:r>
      <w:r w:rsidR="2E2C54D3">
        <w:t xml:space="preserve">data limitations </w:t>
      </w:r>
      <w:r w:rsidR="3A6C1CC0">
        <w:t xml:space="preserve">and </w:t>
      </w:r>
      <w:r w:rsidR="16D8F439">
        <w:t>the Victori</w:t>
      </w:r>
      <w:r w:rsidR="63AD6C68">
        <w:t>a</w:t>
      </w:r>
      <w:r w:rsidR="16D8F439">
        <w:t>n G</w:t>
      </w:r>
      <w:r w:rsidR="3A6C1CC0">
        <w:t>overnment</w:t>
      </w:r>
      <w:r w:rsidR="16D8F439">
        <w:t>’</w:t>
      </w:r>
      <w:r w:rsidR="3A6C1CC0">
        <w:t xml:space="preserve">s </w:t>
      </w:r>
      <w:r w:rsidR="00983548">
        <w:t>action</w:t>
      </w:r>
      <w:r w:rsidR="00D51002">
        <w:t>s</w:t>
      </w:r>
      <w:r w:rsidR="3A6C1CC0">
        <w:t xml:space="preserve"> to meet the continuing housing demand from people affected by family violence. </w:t>
      </w:r>
    </w:p>
    <w:p w14:paraId="609AA23F" w14:textId="5A0FC465" w:rsidR="00967264" w:rsidRPr="00B826DD" w:rsidRDefault="666B879A" w:rsidP="002235C2">
      <w:pPr>
        <w:pStyle w:val="Heading1"/>
        <w:rPr>
          <w:rFonts w:eastAsia="MS Gothic" w:cs="Arial"/>
          <w:color w:val="D72685"/>
          <w:kern w:val="32"/>
        </w:rPr>
      </w:pPr>
      <w:bookmarkStart w:id="1" w:name="_Toc95228760"/>
      <w:r w:rsidRPr="00B826DD">
        <w:rPr>
          <w:rFonts w:eastAsia="MS Gothic" w:cs="Arial"/>
          <w:color w:val="D72685"/>
          <w:kern w:val="32"/>
        </w:rPr>
        <w:t xml:space="preserve">Housing pathways among </w:t>
      </w:r>
      <w:r w:rsidR="4F1A6B11" w:rsidRPr="00B826DD">
        <w:rPr>
          <w:rFonts w:eastAsia="MS Gothic" w:cs="Arial"/>
          <w:color w:val="D72685"/>
          <w:kern w:val="32"/>
        </w:rPr>
        <w:t>people affected by family violence</w:t>
      </w:r>
      <w:bookmarkEnd w:id="1"/>
      <w:r w:rsidR="4F1A6B11" w:rsidRPr="00B826DD">
        <w:rPr>
          <w:rFonts w:eastAsia="MS Gothic" w:cs="Arial"/>
          <w:color w:val="D72685"/>
          <w:kern w:val="32"/>
        </w:rPr>
        <w:t xml:space="preserve"> </w:t>
      </w:r>
    </w:p>
    <w:p w14:paraId="18773088" w14:textId="44526481" w:rsidR="00664D58" w:rsidRDefault="77A1FFFE" w:rsidP="00967264">
      <w:pPr>
        <w:pStyle w:val="DHHSbody"/>
      </w:pPr>
      <w:r>
        <w:t xml:space="preserve">For a person affected by family violence, their </w:t>
      </w:r>
      <w:r w:rsidR="0B6C4CA6">
        <w:t xml:space="preserve">ideal </w:t>
      </w:r>
      <w:r w:rsidR="4B6F4BE4">
        <w:t xml:space="preserve">housing and associated services </w:t>
      </w:r>
      <w:r w:rsidR="7E3CDE5F">
        <w:t xml:space="preserve">varies depending </w:t>
      </w:r>
      <w:r>
        <w:t xml:space="preserve">on </w:t>
      </w:r>
      <w:r w:rsidR="4B6F4BE4">
        <w:t>personal circumstance</w:t>
      </w:r>
      <w:r w:rsidR="52B38ADD">
        <w:t xml:space="preserve">. </w:t>
      </w:r>
      <w:r w:rsidR="7BA32A15">
        <w:t xml:space="preserve">A range of housing </w:t>
      </w:r>
      <w:r w:rsidR="3CC4C849">
        <w:t xml:space="preserve">responses </w:t>
      </w:r>
      <w:r w:rsidR="7BA32A15">
        <w:t xml:space="preserve">are needed to meet the </w:t>
      </w:r>
      <w:r w:rsidR="6EB1EA2A">
        <w:t xml:space="preserve">diversity of the cohort and their support needs. </w:t>
      </w:r>
      <w:r w:rsidR="6961B587">
        <w:t xml:space="preserve">These include housing responses that </w:t>
      </w:r>
      <w:r w:rsidR="1FEB029E">
        <w:t>do not require a built form</w:t>
      </w:r>
      <w:r w:rsidR="005D413A">
        <w:t>,</w:t>
      </w:r>
      <w:r w:rsidR="0D3B7194">
        <w:t xml:space="preserve"> like</w:t>
      </w:r>
      <w:r w:rsidR="64724C11">
        <w:t xml:space="preserve"> the</w:t>
      </w:r>
      <w:r w:rsidR="0D3B7194">
        <w:t xml:space="preserve"> </w:t>
      </w:r>
      <w:r w:rsidR="6961B587">
        <w:t>Safe</w:t>
      </w:r>
      <w:r w:rsidR="3A31F9A1">
        <w:t>-</w:t>
      </w:r>
      <w:r w:rsidR="6961B587">
        <w:t>at</w:t>
      </w:r>
      <w:r w:rsidR="7B613D6B">
        <w:t>-</w:t>
      </w:r>
      <w:r w:rsidR="6961B587">
        <w:t>Home</w:t>
      </w:r>
      <w:r w:rsidR="187F7809">
        <w:t xml:space="preserve"> program</w:t>
      </w:r>
      <w:r w:rsidR="005D413A">
        <w:t xml:space="preserve">, </w:t>
      </w:r>
      <w:r w:rsidR="684E86AC">
        <w:t xml:space="preserve">where support is </w:t>
      </w:r>
      <w:r w:rsidR="1B267ED0">
        <w:t>provided</w:t>
      </w:r>
      <w:r w:rsidR="684E86AC">
        <w:t xml:space="preserve"> to victim-survivors to safe</w:t>
      </w:r>
      <w:r w:rsidR="00D51002">
        <w:t>l</w:t>
      </w:r>
      <w:r w:rsidR="684E86AC">
        <w:t>y remain in, or return to, their own homes and communities.</w:t>
      </w:r>
    </w:p>
    <w:p w14:paraId="3ED8C7D7" w14:textId="3D1F07AE" w:rsidR="3322A7AF" w:rsidRDefault="795B10F4" w:rsidP="000950DE">
      <w:pPr>
        <w:pStyle w:val="DHHSbody"/>
      </w:pPr>
      <w:r>
        <w:t>The d</w:t>
      </w:r>
      <w:r w:rsidR="3EDFBCEC">
        <w:t xml:space="preserve">emand and unmet demand </w:t>
      </w:r>
      <w:r w:rsidR="00394881">
        <w:t xml:space="preserve">outlined </w:t>
      </w:r>
      <w:r w:rsidR="00C9219D">
        <w:t xml:space="preserve">in this report </w:t>
      </w:r>
      <w:r w:rsidR="3EDFBCEC">
        <w:t xml:space="preserve">for housing </w:t>
      </w:r>
      <w:r w:rsidR="575E3541">
        <w:t xml:space="preserve">pathways </w:t>
      </w:r>
      <w:r w:rsidR="3EDFBCEC">
        <w:t xml:space="preserve">are for both the built form and the support services that accompany the </w:t>
      </w:r>
      <w:r w:rsidR="6ECF43DB">
        <w:t>built form</w:t>
      </w:r>
      <w:r w:rsidR="3EDFBCEC">
        <w:t>.</w:t>
      </w:r>
    </w:p>
    <w:p w14:paraId="49FDE921" w14:textId="5EA599B8" w:rsidR="006B45D1" w:rsidRDefault="00032C2F" w:rsidP="00967264">
      <w:pPr>
        <w:pStyle w:val="DHHSbody"/>
        <w:rPr>
          <w:i/>
          <w:iCs/>
        </w:rPr>
      </w:pPr>
      <w:r>
        <w:t>This</w:t>
      </w:r>
      <w:r w:rsidR="00911CB4">
        <w:t xml:space="preserve"> report and </w:t>
      </w:r>
      <w:r w:rsidR="00911CB4" w:rsidRPr="6CC288AF">
        <w:rPr>
          <w:i/>
          <w:iCs/>
        </w:rPr>
        <w:t xml:space="preserve">Attachment 1: Data showing unmet housing demand among people affected by family violence – June 2021 </w:t>
      </w:r>
      <w:r w:rsidR="001828E6">
        <w:t xml:space="preserve">outline the unmet demand for </w:t>
      </w:r>
      <w:r w:rsidR="004E604F">
        <w:t>four</w:t>
      </w:r>
      <w:r w:rsidR="001828E6">
        <w:t xml:space="preserve"> </w:t>
      </w:r>
      <w:r w:rsidR="003A69AE">
        <w:t xml:space="preserve">distinct </w:t>
      </w:r>
      <w:r w:rsidR="001828E6">
        <w:t xml:space="preserve">types of </w:t>
      </w:r>
      <w:r w:rsidR="00116FD2">
        <w:t>housing</w:t>
      </w:r>
      <w:r w:rsidR="003A69AE">
        <w:t xml:space="preserve">/accommodation </w:t>
      </w:r>
      <w:r w:rsidR="00116FD2">
        <w:t>service</w:t>
      </w:r>
      <w:r w:rsidR="003A69AE">
        <w:t>s</w:t>
      </w:r>
      <w:r w:rsidR="00116FD2">
        <w:t>.</w:t>
      </w:r>
      <w:r w:rsidR="00116FD2" w:rsidRPr="6CC288AF">
        <w:rPr>
          <w:i/>
          <w:iCs/>
        </w:rPr>
        <w:t xml:space="preserve"> </w:t>
      </w:r>
    </w:p>
    <w:p w14:paraId="12070954" w14:textId="77777777" w:rsidR="006B45D1" w:rsidRDefault="006B45D1">
      <w:pPr>
        <w:rPr>
          <w:rFonts w:ascii="Arial" w:eastAsia="Times" w:hAnsi="Arial"/>
          <w:i/>
          <w:iCs/>
        </w:rPr>
      </w:pPr>
      <w:r>
        <w:rPr>
          <w:i/>
          <w:iCs/>
        </w:rPr>
        <w:br w:type="page"/>
      </w:r>
    </w:p>
    <w:p w14:paraId="3127A274" w14:textId="29B14190" w:rsidR="715A4A89" w:rsidRDefault="715A4A89" w:rsidP="6CC288AF">
      <w:pPr>
        <w:pStyle w:val="DHHSbody"/>
      </w:pPr>
      <w:r>
        <w:lastRenderedPageBreak/>
        <w:t>Short-term and crisis accommodation</w:t>
      </w:r>
    </w:p>
    <w:p w14:paraId="3D471D7D" w14:textId="490B13C6" w:rsidR="00B75A21" w:rsidRDefault="00B75A21" w:rsidP="6CC288AF">
      <w:pPr>
        <w:pStyle w:val="DHHSbody"/>
        <w:numPr>
          <w:ilvl w:val="0"/>
          <w:numId w:val="5"/>
        </w:numPr>
        <w:rPr>
          <w:rFonts w:eastAsia="Arial" w:cs="Arial"/>
        </w:rPr>
      </w:pPr>
      <w:r>
        <w:t xml:space="preserve">This physical accommodation </w:t>
      </w:r>
      <w:r w:rsidR="6EB130F3">
        <w:t xml:space="preserve">is </w:t>
      </w:r>
      <w:r w:rsidR="00557483">
        <w:t>refuges or crisis shelters, or non-supported emergency accommodation in hotels or rooming houses.</w:t>
      </w:r>
      <w:r w:rsidR="53D8EBC7">
        <w:t xml:space="preserve"> Mental health, health and safety support services accompany these. </w:t>
      </w:r>
      <w:r w:rsidR="00557483">
        <w:t>Occupancy in these accommodation types can be</w:t>
      </w:r>
      <w:r w:rsidR="7517C757">
        <w:t xml:space="preserve"> for</w:t>
      </w:r>
      <w:r w:rsidR="00557483">
        <w:t xml:space="preserve"> one night, such as </w:t>
      </w:r>
      <w:r w:rsidR="00DE3390">
        <w:t xml:space="preserve">in </w:t>
      </w:r>
      <w:r w:rsidR="00557483">
        <w:t>hotels/motels, or up to three months in refuges.</w:t>
      </w:r>
      <w:r w:rsidR="00E030EE">
        <w:t xml:space="preserve"> </w:t>
      </w:r>
    </w:p>
    <w:p w14:paraId="0111E3B3" w14:textId="7CF9CFDC" w:rsidR="00B85B67" w:rsidRDefault="77C0E0ED" w:rsidP="00967264">
      <w:pPr>
        <w:pStyle w:val="DHHSbody"/>
      </w:pPr>
      <w:r>
        <w:t>M</w:t>
      </w:r>
      <w:r w:rsidR="00794D55">
        <w:t xml:space="preserve">edium-term and transitional </w:t>
      </w:r>
      <w:r w:rsidR="00A700DF">
        <w:t>accommodation</w:t>
      </w:r>
    </w:p>
    <w:p w14:paraId="237E79F9" w14:textId="41C3AA1F" w:rsidR="00B85B67" w:rsidRDefault="00045DD7" w:rsidP="6CC288AF">
      <w:pPr>
        <w:pStyle w:val="DHHSbody"/>
        <w:numPr>
          <w:ilvl w:val="0"/>
          <w:numId w:val="4"/>
        </w:numPr>
      </w:pPr>
      <w:r>
        <w:t>These homes</w:t>
      </w:r>
      <w:r w:rsidR="004F7A10">
        <w:t xml:space="preserve"> are </w:t>
      </w:r>
      <w:r w:rsidR="00336F44">
        <w:t xml:space="preserve">tenanted </w:t>
      </w:r>
      <w:r w:rsidR="00ED543E">
        <w:t xml:space="preserve">for three to 18 months </w:t>
      </w:r>
      <w:r w:rsidR="00CF3BA8">
        <w:t>and a</w:t>
      </w:r>
      <w:r w:rsidR="004F7A10">
        <w:t xml:space="preserve">re likely to take the form of </w:t>
      </w:r>
      <w:r w:rsidR="0047505C">
        <w:t>single properties</w:t>
      </w:r>
      <w:r w:rsidR="000879DB">
        <w:t xml:space="preserve"> with</w:t>
      </w:r>
      <w:r w:rsidR="007E03A7">
        <w:t xml:space="preserve"> a</w:t>
      </w:r>
      <w:r w:rsidR="00ED543E">
        <w:t xml:space="preserve"> </w:t>
      </w:r>
      <w:r w:rsidR="000A207D">
        <w:t>subsidised tenancy or occupancy agreement</w:t>
      </w:r>
      <w:r w:rsidR="00342D46">
        <w:t>.</w:t>
      </w:r>
    </w:p>
    <w:p w14:paraId="3BFA704D" w14:textId="07444AED" w:rsidR="00B85B67" w:rsidRDefault="00525A60" w:rsidP="6CC288AF">
      <w:pPr>
        <w:pStyle w:val="DHHSbody"/>
      </w:pPr>
      <w:r>
        <w:t>Long-term housing</w:t>
      </w:r>
    </w:p>
    <w:p w14:paraId="35611F21" w14:textId="14081906" w:rsidR="00B85B67" w:rsidRDefault="1889BC84" w:rsidP="6CC288AF">
      <w:pPr>
        <w:pStyle w:val="DHHSbody"/>
        <w:numPr>
          <w:ilvl w:val="0"/>
          <w:numId w:val="3"/>
        </w:numPr>
        <w:rPr>
          <w:rFonts w:eastAsia="Arial" w:cs="Arial"/>
        </w:rPr>
      </w:pPr>
      <w:r>
        <w:t xml:space="preserve">This housing form </w:t>
      </w:r>
      <w:r w:rsidR="3DC1E9CE">
        <w:t xml:space="preserve">delivered by the homelessness system </w:t>
      </w:r>
      <w:r w:rsidR="7E0CB388">
        <w:t>has</w:t>
      </w:r>
      <w:r w:rsidR="60355D83">
        <w:t xml:space="preserve"> </w:t>
      </w:r>
      <w:r w:rsidR="39C15238">
        <w:t>similar built form</w:t>
      </w:r>
      <w:r w:rsidR="7E0CB388">
        <w:t>s</w:t>
      </w:r>
      <w:r w:rsidR="76183E18">
        <w:t xml:space="preserve"> to medium-term and transitional </w:t>
      </w:r>
      <w:r w:rsidR="2A029945">
        <w:t>accommodation</w:t>
      </w:r>
      <w:r w:rsidR="7761D290">
        <w:t xml:space="preserve"> but </w:t>
      </w:r>
      <w:r w:rsidR="39C15238">
        <w:t xml:space="preserve">serve </w:t>
      </w:r>
      <w:r w:rsidR="08A75D0D">
        <w:t>a different</w:t>
      </w:r>
      <w:r w:rsidR="39C15238">
        <w:t xml:space="preserve"> function</w:t>
      </w:r>
      <w:r w:rsidR="08A75D0D">
        <w:t>;</w:t>
      </w:r>
      <w:r w:rsidR="39C15238">
        <w:t xml:space="preserve"> </w:t>
      </w:r>
      <w:r w:rsidR="7761D290">
        <w:t>intended to enable the household to</w:t>
      </w:r>
      <w:r w:rsidR="13B834B6">
        <w:t xml:space="preserve"> reside in the home for 18 months or more.</w:t>
      </w:r>
    </w:p>
    <w:p w14:paraId="2A6E2B80" w14:textId="1282E6F8" w:rsidR="00B85B67" w:rsidRDefault="51162FD5" w:rsidP="6CC288AF">
      <w:pPr>
        <w:pStyle w:val="DHHSbody"/>
      </w:pPr>
      <w:r w:rsidRPr="6CC288AF">
        <w:t>Social housing</w:t>
      </w:r>
    </w:p>
    <w:p w14:paraId="54149F3D" w14:textId="31A13D7C" w:rsidR="00B85B67" w:rsidRDefault="008054D8" w:rsidP="6CC288AF">
      <w:pPr>
        <w:pStyle w:val="DHHSbody"/>
        <w:numPr>
          <w:ilvl w:val="0"/>
          <w:numId w:val="1"/>
        </w:numPr>
        <w:rPr>
          <w:rFonts w:eastAsia="Arial" w:cs="Arial"/>
        </w:rPr>
      </w:pPr>
      <w:r>
        <w:t>This housing type is delivered by p</w:t>
      </w:r>
      <w:r w:rsidR="00B31D6A">
        <w:t xml:space="preserve">ublic and community housing </w:t>
      </w:r>
      <w:r w:rsidR="00266AC9">
        <w:t xml:space="preserve">providers </w:t>
      </w:r>
      <w:r>
        <w:t xml:space="preserve">which </w:t>
      </w:r>
      <w:r w:rsidR="003F331F">
        <w:t xml:space="preserve">own and manage </w:t>
      </w:r>
      <w:r w:rsidR="006D5222">
        <w:t>housing</w:t>
      </w:r>
      <w:r>
        <w:t>,</w:t>
      </w:r>
      <w:r w:rsidR="006D5222">
        <w:t xml:space="preserve"> </w:t>
      </w:r>
      <w:r w:rsidR="00DA2B38">
        <w:t>offer</w:t>
      </w:r>
      <w:r w:rsidR="00AE79C2">
        <w:t>ing</w:t>
      </w:r>
      <w:r w:rsidR="006D5222">
        <w:t xml:space="preserve"> affordab</w:t>
      </w:r>
      <w:r w:rsidR="00DA2B38">
        <w:t xml:space="preserve">le rental </w:t>
      </w:r>
      <w:r w:rsidR="00266AC9">
        <w:t xml:space="preserve">and sustainability of tenure. </w:t>
      </w:r>
      <w:r w:rsidR="6D616677">
        <w:t xml:space="preserve">These homes are </w:t>
      </w:r>
      <w:r w:rsidR="6767B42C">
        <w:t xml:space="preserve">long-term </w:t>
      </w:r>
      <w:r w:rsidR="6D616677">
        <w:t>housing solutions that can be tailored to the safety, health and mental health needs of the household</w:t>
      </w:r>
      <w:r w:rsidR="08A75D0D">
        <w:t>s</w:t>
      </w:r>
      <w:r w:rsidR="6D616677">
        <w:t xml:space="preserve"> residing.</w:t>
      </w:r>
    </w:p>
    <w:p w14:paraId="0B0A55F4" w14:textId="021653D9" w:rsidR="007F2A01" w:rsidRPr="00B826DD" w:rsidRDefault="007F2A01" w:rsidP="009250F3">
      <w:pPr>
        <w:pStyle w:val="Heading1"/>
        <w:rPr>
          <w:rFonts w:eastAsia="MS Gothic" w:cs="Arial"/>
          <w:color w:val="D72685"/>
          <w:kern w:val="32"/>
        </w:rPr>
      </w:pPr>
      <w:bookmarkStart w:id="2" w:name="_Toc95228761"/>
      <w:r w:rsidRPr="00B826DD">
        <w:rPr>
          <w:rFonts w:eastAsia="MS Gothic" w:cs="Arial"/>
          <w:color w:val="D72685"/>
          <w:kern w:val="32"/>
        </w:rPr>
        <w:t xml:space="preserve">Key </w:t>
      </w:r>
      <w:r w:rsidR="00633E4E">
        <w:rPr>
          <w:rFonts w:eastAsia="MS Gothic" w:cs="Arial"/>
          <w:color w:val="D72685"/>
          <w:kern w:val="32"/>
        </w:rPr>
        <w:t>f</w:t>
      </w:r>
      <w:r w:rsidRPr="00B826DD">
        <w:rPr>
          <w:rFonts w:eastAsia="MS Gothic" w:cs="Arial"/>
          <w:color w:val="D72685"/>
          <w:kern w:val="32"/>
        </w:rPr>
        <w:t>indings</w:t>
      </w:r>
      <w:bookmarkEnd w:id="2"/>
    </w:p>
    <w:p w14:paraId="6F3308CB" w14:textId="432A77C7" w:rsidR="0006261B" w:rsidRPr="00B826DD" w:rsidRDefault="00514B4A" w:rsidP="00B826DD">
      <w:pPr>
        <w:pStyle w:val="Heading2"/>
        <w:spacing w:before="360" w:after="120" w:line="340" w:lineRule="atLeast"/>
        <w:rPr>
          <w:color w:val="D72685"/>
          <w:sz w:val="32"/>
        </w:rPr>
      </w:pPr>
      <w:bookmarkStart w:id="3" w:name="_Toc95228762"/>
      <w:r w:rsidRPr="00B826DD">
        <w:rPr>
          <w:color w:val="D72685"/>
          <w:sz w:val="32"/>
        </w:rPr>
        <w:t>Unmet demand in the homelessness service system</w:t>
      </w:r>
      <w:bookmarkEnd w:id="3"/>
    </w:p>
    <w:p w14:paraId="751559ED" w14:textId="30325AA1" w:rsidR="00193D3E" w:rsidRDefault="0006261B" w:rsidP="00193D3E">
      <w:pPr>
        <w:pStyle w:val="DHHSbody"/>
      </w:pPr>
      <w:r>
        <w:t>D</w:t>
      </w:r>
      <w:r w:rsidR="00193D3E">
        <w:t xml:space="preserve">ata demonstrating demand and unmet demand in the homelessness service system is split up into that captured by specialist family violence support providers and data gathered by </w:t>
      </w:r>
      <w:r w:rsidR="003108A6">
        <w:t>‘O</w:t>
      </w:r>
      <w:r w:rsidR="00091D9A">
        <w:t xml:space="preserve">ther </w:t>
      </w:r>
      <w:r w:rsidR="00193D3E">
        <w:t xml:space="preserve">homelessness </w:t>
      </w:r>
      <w:r w:rsidR="00091D9A">
        <w:t xml:space="preserve">and family violence service </w:t>
      </w:r>
      <w:r w:rsidR="003108A6">
        <w:t>providers’</w:t>
      </w:r>
      <w:r w:rsidR="00193D3E">
        <w:t>.</w:t>
      </w:r>
    </w:p>
    <w:p w14:paraId="49C02007" w14:textId="77777777" w:rsidR="007058BC" w:rsidRDefault="6DD1D63F" w:rsidP="00193D3E">
      <w:pPr>
        <w:pStyle w:val="DHHSbody"/>
      </w:pPr>
      <w:r>
        <w:t>Specialist family violence support providers only provide support to victim-survivors and their dependants. As such</w:t>
      </w:r>
      <w:r w:rsidR="38EF0B61">
        <w:t>,</w:t>
      </w:r>
      <w:r>
        <w:t xml:space="preserve"> their report</w:t>
      </w:r>
      <w:r w:rsidR="0CF32678">
        <w:t>ed client information o</w:t>
      </w:r>
      <w:r>
        <w:t xml:space="preserve">nly captures this cohort. </w:t>
      </w:r>
    </w:p>
    <w:p w14:paraId="4355B859" w14:textId="6AAEAA17" w:rsidR="00193D3E" w:rsidRDefault="2B1F9CEE" w:rsidP="00193D3E">
      <w:pPr>
        <w:pStyle w:val="DHHSbody"/>
      </w:pPr>
      <w:r>
        <w:t xml:space="preserve">The category ‘Other homelessness and family violence service providers’ captures </w:t>
      </w:r>
      <w:r w:rsidR="33906350">
        <w:t xml:space="preserve">both </w:t>
      </w:r>
      <w:r>
        <w:t xml:space="preserve">general </w:t>
      </w:r>
      <w:r w:rsidR="6DD1D63F">
        <w:t xml:space="preserve">homelessness service providers </w:t>
      </w:r>
      <w:r w:rsidR="33906350">
        <w:t>and</w:t>
      </w:r>
      <w:r w:rsidR="11F1D671">
        <w:t xml:space="preserve"> family violence services for perpetrators of violence</w:t>
      </w:r>
      <w:r w:rsidR="33906350">
        <w:t>.</w:t>
      </w:r>
      <w:r w:rsidR="640367FB">
        <w:t xml:space="preserve"> </w:t>
      </w:r>
      <w:r w:rsidR="33906350">
        <w:t>General homelessness service providers are</w:t>
      </w:r>
      <w:r w:rsidR="6DD1D63F">
        <w:t xml:space="preserve"> not specialists in family violence</w:t>
      </w:r>
      <w:r w:rsidR="5F03BC87">
        <w:t>.</w:t>
      </w:r>
      <w:r w:rsidR="6DD1D63F">
        <w:t xml:space="preserve"> </w:t>
      </w:r>
      <w:r w:rsidR="5F03BC87">
        <w:t>T</w:t>
      </w:r>
      <w:r w:rsidR="6DD1D63F">
        <w:t>hey provide support to all Victorians</w:t>
      </w:r>
      <w:r w:rsidR="490254FF">
        <w:t xml:space="preserve"> experiencing housing issues</w:t>
      </w:r>
      <w:r w:rsidR="6DD1D63F">
        <w:t xml:space="preserve">, including </w:t>
      </w:r>
      <w:r w:rsidR="2E728507">
        <w:t xml:space="preserve">any </w:t>
      </w:r>
      <w:r w:rsidR="6DD1D63F">
        <w:t xml:space="preserve">persons affected by family violence regardless of </w:t>
      </w:r>
      <w:r w:rsidR="2B229602">
        <w:t>whether</w:t>
      </w:r>
      <w:r w:rsidR="6DD1D63F">
        <w:t xml:space="preserve"> they are a victim</w:t>
      </w:r>
      <w:r w:rsidR="45C91AF9">
        <w:t>-survivor</w:t>
      </w:r>
      <w:r w:rsidR="6DD1D63F">
        <w:t xml:space="preserve"> or perpetrator. As </w:t>
      </w:r>
      <w:r w:rsidR="6D2CDA30">
        <w:t>such</w:t>
      </w:r>
      <w:r w:rsidR="6DD1D63F">
        <w:t xml:space="preserve">, data </w:t>
      </w:r>
      <w:r w:rsidR="22EAC353">
        <w:t>reported</w:t>
      </w:r>
      <w:r w:rsidR="6DD1D63F">
        <w:t xml:space="preserve"> through this </w:t>
      </w:r>
      <w:r w:rsidR="6D2CDA30">
        <w:t xml:space="preserve">‘Other homelessness and family violence </w:t>
      </w:r>
      <w:r w:rsidR="5198527E">
        <w:t xml:space="preserve">service providers’ category </w:t>
      </w:r>
      <w:r w:rsidR="6DD1D63F">
        <w:t xml:space="preserve">provides insight into </w:t>
      </w:r>
      <w:r w:rsidR="5F6FD1F5">
        <w:t xml:space="preserve">a broader cohort of people </w:t>
      </w:r>
      <w:r w:rsidR="6DD1D63F">
        <w:t xml:space="preserve">affected by family violence. </w:t>
      </w:r>
    </w:p>
    <w:p w14:paraId="05A9AAC5" w14:textId="47D9E3BD" w:rsidR="000079E1" w:rsidRPr="000079E1" w:rsidRDefault="000079E1" w:rsidP="00193D3E">
      <w:pPr>
        <w:pStyle w:val="DHHSbody"/>
        <w:rPr>
          <w:i/>
          <w:iCs/>
        </w:rPr>
      </w:pPr>
      <w:r>
        <w:t xml:space="preserve">Below are summaries of the unmet demand within the homelessness service system from July 2015 to June 2021. Greater detail is available at </w:t>
      </w:r>
      <w:r w:rsidRPr="00514B4A">
        <w:rPr>
          <w:i/>
          <w:iCs/>
        </w:rPr>
        <w:t>Attachment 1: Data showing unmet housing demand among people affected by family violence – June 2021</w:t>
      </w:r>
      <w:r>
        <w:rPr>
          <w:i/>
          <w:iCs/>
        </w:rPr>
        <w:t>.</w:t>
      </w:r>
    </w:p>
    <w:p w14:paraId="36BB0511" w14:textId="3DEC9BBC" w:rsidR="00234042" w:rsidRPr="00B826DD" w:rsidRDefault="6A0FB0AF" w:rsidP="00234042">
      <w:pPr>
        <w:pStyle w:val="Heading3"/>
        <w:rPr>
          <w:rFonts w:eastAsia="MS Mincho"/>
          <w:color w:val="2D2348"/>
          <w:szCs w:val="22"/>
        </w:rPr>
      </w:pPr>
      <w:r w:rsidRPr="00B826DD">
        <w:rPr>
          <w:rFonts w:eastAsia="MS Mincho"/>
          <w:color w:val="2D2348"/>
          <w:szCs w:val="22"/>
        </w:rPr>
        <w:t>Short</w:t>
      </w:r>
      <w:r w:rsidR="00F24269">
        <w:rPr>
          <w:rFonts w:eastAsia="MS Mincho"/>
          <w:color w:val="2D2348"/>
          <w:szCs w:val="22"/>
        </w:rPr>
        <w:t>-</w:t>
      </w:r>
      <w:r w:rsidRPr="00B826DD">
        <w:rPr>
          <w:rFonts w:eastAsia="MS Mincho"/>
          <w:color w:val="2D2348"/>
          <w:szCs w:val="22"/>
        </w:rPr>
        <w:t>term and crisis accommodation unmet demand</w:t>
      </w:r>
    </w:p>
    <w:p w14:paraId="4E0EA60B" w14:textId="19F397B5" w:rsidR="00234042" w:rsidRDefault="00514B4A" w:rsidP="007F2A01">
      <w:pPr>
        <w:pStyle w:val="DHHSbody"/>
      </w:pPr>
      <w:r>
        <w:t>The demand for short-term and emergency crisis accommodation, due to family violence</w:t>
      </w:r>
      <w:r w:rsidR="00193D3E">
        <w:t>,</w:t>
      </w:r>
      <w:r>
        <w:t xml:space="preserve"> has </w:t>
      </w:r>
      <w:r w:rsidR="00277370">
        <w:t xml:space="preserve">varied </w:t>
      </w:r>
      <w:r>
        <w:t>from July 2015 to June 2021.</w:t>
      </w:r>
    </w:p>
    <w:p w14:paraId="198D097B" w14:textId="44C97182" w:rsidR="00514B4A" w:rsidRDefault="00514B4A" w:rsidP="007F2A01">
      <w:pPr>
        <w:pStyle w:val="DHHSbody"/>
      </w:pPr>
      <w:r w:rsidRPr="00F04034">
        <w:rPr>
          <w:b/>
        </w:rPr>
        <w:t>For specialist family violence service providers</w:t>
      </w:r>
      <w:r w:rsidR="00193D3E">
        <w:t xml:space="preserve">, </w:t>
      </w:r>
      <w:r>
        <w:t xml:space="preserve">the rate of unmet demand has fluctuated over this period from a low of 10 per cent in </w:t>
      </w:r>
      <w:r w:rsidR="00A2369E">
        <w:t xml:space="preserve">June </w:t>
      </w:r>
      <w:r>
        <w:t>2016 and April 2017 to a high of</w:t>
      </w:r>
      <w:r w:rsidR="00234042">
        <w:t xml:space="preserve"> 21 per cent in September 2020. </w:t>
      </w:r>
    </w:p>
    <w:p w14:paraId="73DCD87B" w14:textId="5AFA1D23" w:rsidR="00234042" w:rsidRDefault="00234042" w:rsidP="007F2A01">
      <w:pPr>
        <w:pStyle w:val="DHHSbody"/>
      </w:pPr>
      <w:r>
        <w:lastRenderedPageBreak/>
        <w:t>At the beginning of this period, in July 20</w:t>
      </w:r>
      <w:r w:rsidR="00A0109F">
        <w:t>1</w:t>
      </w:r>
      <w:r>
        <w:t>5</w:t>
      </w:r>
      <w:r w:rsidR="00A0109F">
        <w:t>,</w:t>
      </w:r>
      <w:r>
        <w:t xml:space="preserve"> there were 414 households who had their housing demand met, and 62 who did not, </w:t>
      </w:r>
      <w:r w:rsidR="006D481A">
        <w:t>the</w:t>
      </w:r>
      <w:r>
        <w:t xml:space="preserve"> equivalent unmet demand of 13 per cent. In June 2021, unmet demand was a similar figure: 14 per cent, but the volume </w:t>
      </w:r>
      <w:r w:rsidR="00B92DE7">
        <w:t>was</w:t>
      </w:r>
      <w:r>
        <w:t xml:space="preserve"> much higher. There were 642 households who had their housing demand met, and 101 who did not. </w:t>
      </w:r>
    </w:p>
    <w:p w14:paraId="4C6EF4C4" w14:textId="1ACCE93B" w:rsidR="00234042" w:rsidRDefault="00F04034" w:rsidP="007F2A01">
      <w:pPr>
        <w:pStyle w:val="DHHSbody"/>
      </w:pPr>
      <w:r w:rsidRPr="00F04034">
        <w:rPr>
          <w:b/>
          <w:bCs/>
        </w:rPr>
        <w:t>For</w:t>
      </w:r>
      <w:r w:rsidR="0016452E" w:rsidRPr="00F04034">
        <w:rPr>
          <w:b/>
        </w:rPr>
        <w:t xml:space="preserve"> other </w:t>
      </w:r>
      <w:r w:rsidR="00E80D30" w:rsidRPr="00F04034">
        <w:rPr>
          <w:b/>
        </w:rPr>
        <w:t>homelessness and family violence service providers</w:t>
      </w:r>
      <w:r>
        <w:t>, the rate of unmet demand</w:t>
      </w:r>
      <w:r w:rsidR="00234042">
        <w:t xml:space="preserve"> has also </w:t>
      </w:r>
      <w:r w:rsidR="00B97958">
        <w:t>fluctuated</w:t>
      </w:r>
      <w:r w:rsidR="0016452E">
        <w:t xml:space="preserve"> </w:t>
      </w:r>
      <w:r w:rsidR="00234042">
        <w:t>for people affected by family violence, from a low of 2</w:t>
      </w:r>
      <w:r w:rsidR="00040543">
        <w:t>5</w:t>
      </w:r>
      <w:r w:rsidR="00234042">
        <w:t xml:space="preserve"> per cent in August 20</w:t>
      </w:r>
      <w:r w:rsidR="00040543">
        <w:t>20</w:t>
      </w:r>
      <w:r w:rsidR="00234042">
        <w:t xml:space="preserve"> to a high of 4</w:t>
      </w:r>
      <w:r w:rsidR="004B11EC">
        <w:t>1</w:t>
      </w:r>
      <w:r w:rsidR="00234042">
        <w:t xml:space="preserve"> per cent in </w:t>
      </w:r>
      <w:r w:rsidR="004B11EC">
        <w:t>July</w:t>
      </w:r>
      <w:r w:rsidR="00234042">
        <w:t xml:space="preserve"> 20</w:t>
      </w:r>
      <w:r w:rsidR="004B11EC">
        <w:t>17</w:t>
      </w:r>
      <w:r w:rsidR="00234042">
        <w:t xml:space="preserve">. </w:t>
      </w:r>
    </w:p>
    <w:p w14:paraId="048178B3" w14:textId="2FE1922C" w:rsidR="00514B4A" w:rsidRDefault="00234042" w:rsidP="007F2A01">
      <w:pPr>
        <w:pStyle w:val="DHHSbody"/>
      </w:pPr>
      <w:r>
        <w:t>At the beginning of this period, in July 20</w:t>
      </w:r>
      <w:r w:rsidR="00092C13">
        <w:t>1</w:t>
      </w:r>
      <w:r>
        <w:t>5</w:t>
      </w:r>
      <w:r w:rsidR="006D481A">
        <w:t>,</w:t>
      </w:r>
      <w:r>
        <w:t xml:space="preserve"> there were 348 households who had their housing demand met by </w:t>
      </w:r>
      <w:r w:rsidR="00335E74">
        <w:t>other homelessness and family violence service providers</w:t>
      </w:r>
      <w:r w:rsidR="00983548">
        <w:t xml:space="preserve">, </w:t>
      </w:r>
      <w:r>
        <w:t xml:space="preserve">178 did not, </w:t>
      </w:r>
      <w:r w:rsidR="006D481A">
        <w:t>the</w:t>
      </w:r>
      <w:r>
        <w:t xml:space="preserve"> equivalent unmet demand of 3</w:t>
      </w:r>
      <w:r w:rsidR="00F50608">
        <w:t>4</w:t>
      </w:r>
      <w:r>
        <w:t xml:space="preserve"> per cent. </w:t>
      </w:r>
      <w:r w:rsidR="00A0109F">
        <w:t xml:space="preserve">Data in June 2021 shows how </w:t>
      </w:r>
      <w:r>
        <w:t>unmet demand</w:t>
      </w:r>
      <w:r w:rsidR="00193D3E">
        <w:t xml:space="preserve"> </w:t>
      </w:r>
      <w:r w:rsidR="002E5C2B">
        <w:t>returned to similar levels,</w:t>
      </w:r>
      <w:r w:rsidR="006F2C85">
        <w:t xml:space="preserve"> but</w:t>
      </w:r>
      <w:r w:rsidR="00193D3E">
        <w:t xml:space="preserve"> volume increased substantially. T</w:t>
      </w:r>
      <w:r>
        <w:t xml:space="preserve">here were </w:t>
      </w:r>
      <w:r w:rsidR="00193D3E">
        <w:t>908</w:t>
      </w:r>
      <w:r>
        <w:t xml:space="preserve"> households who had their housing demand met, and </w:t>
      </w:r>
      <w:r w:rsidR="00193D3E">
        <w:t>423</w:t>
      </w:r>
      <w:r>
        <w:t xml:space="preserve"> who did not</w:t>
      </w:r>
      <w:r w:rsidR="00193D3E">
        <w:t xml:space="preserve">, the equivalent unmet demand of </w:t>
      </w:r>
      <w:r w:rsidR="00C368A4">
        <w:t>32</w:t>
      </w:r>
      <w:r w:rsidR="00A0109F">
        <w:t xml:space="preserve"> percent.</w:t>
      </w:r>
    </w:p>
    <w:p w14:paraId="445CB715" w14:textId="0A21C82C" w:rsidR="00193D3E" w:rsidRPr="00B826DD" w:rsidRDefault="00193D3E" w:rsidP="00193D3E">
      <w:pPr>
        <w:pStyle w:val="Heading3"/>
        <w:rPr>
          <w:rFonts w:eastAsia="MS Mincho"/>
          <w:color w:val="2D2348"/>
          <w:szCs w:val="22"/>
        </w:rPr>
      </w:pPr>
      <w:r w:rsidRPr="00B826DD">
        <w:rPr>
          <w:rFonts w:eastAsia="MS Mincho"/>
          <w:color w:val="2D2348"/>
          <w:szCs w:val="22"/>
        </w:rPr>
        <w:t>Medium-term and transitional housing unmet demand</w:t>
      </w:r>
    </w:p>
    <w:p w14:paraId="42C744CC" w14:textId="624CE64E" w:rsidR="00A0109F" w:rsidRDefault="00193D3E" w:rsidP="00A0109F">
      <w:pPr>
        <w:pStyle w:val="DHHSbody"/>
      </w:pPr>
      <w:r>
        <w:t xml:space="preserve">The demand for medium-term and transitional housing, due to family violence, has </w:t>
      </w:r>
      <w:r w:rsidR="009C6E9F">
        <w:t xml:space="preserve">varied </w:t>
      </w:r>
      <w:r>
        <w:t>from July 2015 to June 2021.</w:t>
      </w:r>
    </w:p>
    <w:p w14:paraId="71A72D6F" w14:textId="0CF5C376" w:rsidR="00A0109F" w:rsidRDefault="00A0109F" w:rsidP="00A0109F">
      <w:pPr>
        <w:pStyle w:val="DHHSbody"/>
      </w:pPr>
      <w:r w:rsidRPr="00F04034">
        <w:rPr>
          <w:b/>
        </w:rPr>
        <w:t>For specialist family violence service providers</w:t>
      </w:r>
      <w:r w:rsidRPr="00D4621A">
        <w:rPr>
          <w:i/>
        </w:rPr>
        <w:t>,</w:t>
      </w:r>
      <w:r>
        <w:t xml:space="preserve"> the rate of unmet demand has fluctuated over this period from a low in August 2015 of 30 per cent to a high of 45 per cent in September 2020. </w:t>
      </w:r>
    </w:p>
    <w:p w14:paraId="3586E7AC" w14:textId="46EC9A35" w:rsidR="00A0109F" w:rsidRDefault="00A0109F" w:rsidP="00A0109F">
      <w:pPr>
        <w:pStyle w:val="DHHSbody"/>
      </w:pPr>
      <w:r>
        <w:t>At the beginning of this period, in July 2015, there were 691 households who had their housing demand met, and 302 who did not, the equivalent unmet demand of 30 per cent</w:t>
      </w:r>
      <w:r w:rsidR="00092C13">
        <w:t>.</w:t>
      </w:r>
      <w:r w:rsidR="00092C13" w:rsidRPr="00092C13">
        <w:t xml:space="preserve"> </w:t>
      </w:r>
      <w:r w:rsidR="00092C13">
        <w:t>Data in June 2021 shows how unmet demand and volume increased substantially</w:t>
      </w:r>
      <w:r>
        <w:t>. There were 1</w:t>
      </w:r>
      <w:r w:rsidR="002D2CD9">
        <w:t>,</w:t>
      </w:r>
      <w:r>
        <w:t>076 households who had their housing demand met, and 738 who did not, the equivalent unmet demand of 41 per cent.</w:t>
      </w:r>
    </w:p>
    <w:p w14:paraId="13727E24" w14:textId="353C97FB" w:rsidR="00A0109F" w:rsidRDefault="00D4621A" w:rsidP="00A0109F">
      <w:pPr>
        <w:pStyle w:val="DHHSbody"/>
      </w:pPr>
      <w:r w:rsidRPr="00F04034">
        <w:rPr>
          <w:b/>
          <w:bCs/>
        </w:rPr>
        <w:t>For</w:t>
      </w:r>
      <w:r w:rsidR="00A0109F" w:rsidRPr="00F04034">
        <w:rPr>
          <w:b/>
        </w:rPr>
        <w:t xml:space="preserve"> </w:t>
      </w:r>
      <w:r w:rsidR="00E80D30" w:rsidRPr="00F04034">
        <w:rPr>
          <w:b/>
        </w:rPr>
        <w:t>other homelessness and family violence service providers</w:t>
      </w:r>
      <w:r>
        <w:t>, the rate of unmet demand</w:t>
      </w:r>
      <w:r w:rsidR="00E80D30" w:rsidDel="00E80D30">
        <w:t xml:space="preserve"> </w:t>
      </w:r>
      <w:r w:rsidR="00A0109F">
        <w:t xml:space="preserve">has </w:t>
      </w:r>
      <w:r w:rsidR="001E33B9">
        <w:t>fluctuated</w:t>
      </w:r>
      <w:r w:rsidR="00E80D30">
        <w:t xml:space="preserve"> </w:t>
      </w:r>
      <w:r w:rsidR="00092C13">
        <w:t xml:space="preserve">dramatically </w:t>
      </w:r>
      <w:r w:rsidR="00A0109F">
        <w:t xml:space="preserve">for people affected by family violence, from a low of 13 per cent in May 2016 to a high of 36 per cent in August 2017. </w:t>
      </w:r>
    </w:p>
    <w:p w14:paraId="3A078615" w14:textId="712EB6D0" w:rsidR="00A0109F" w:rsidRDefault="00A0109F" w:rsidP="007F2A01">
      <w:pPr>
        <w:pStyle w:val="DHHSbody"/>
      </w:pPr>
      <w:r>
        <w:t>At the beginning of this period, in July 20</w:t>
      </w:r>
      <w:r w:rsidR="00092C13">
        <w:t>1</w:t>
      </w:r>
      <w:r>
        <w:t>5 there were 306 households who had their housing demand met by</w:t>
      </w:r>
      <w:r w:rsidR="00335E74">
        <w:t xml:space="preserve"> other homelessness and family violence service providers</w:t>
      </w:r>
      <w:r>
        <w:t xml:space="preserve">, and 56 who did not, the equivalent unmet demand of 15 per cent. Data in June 2021 shows that </w:t>
      </w:r>
      <w:r w:rsidR="004876A0">
        <w:t xml:space="preserve">while </w:t>
      </w:r>
      <w:r>
        <w:t xml:space="preserve">demand </w:t>
      </w:r>
      <w:r w:rsidR="0039320A">
        <w:t>for</w:t>
      </w:r>
      <w:r>
        <w:t xml:space="preserve"> these services has decreased</w:t>
      </w:r>
      <w:r w:rsidR="0039320A">
        <w:t xml:space="preserve">, </w:t>
      </w:r>
      <w:r>
        <w:t>the unmet demand</w:t>
      </w:r>
      <w:r w:rsidR="0000497D">
        <w:t xml:space="preserve"> rate</w:t>
      </w:r>
      <w:r>
        <w:t xml:space="preserve"> is higher. There were 269 households who had their housing demand met, and 82 who did not, the equivalent unmet demand of 23 per cent.</w:t>
      </w:r>
    </w:p>
    <w:p w14:paraId="6C40F665" w14:textId="51F3FD2A" w:rsidR="00A0109F" w:rsidRPr="00B826DD" w:rsidRDefault="00A0109F" w:rsidP="00A0109F">
      <w:pPr>
        <w:pStyle w:val="Heading3"/>
        <w:rPr>
          <w:rFonts w:eastAsia="MS Mincho"/>
          <w:color w:val="2D2348"/>
          <w:szCs w:val="22"/>
        </w:rPr>
      </w:pPr>
      <w:r w:rsidRPr="00B826DD">
        <w:rPr>
          <w:rFonts w:eastAsia="MS Mincho"/>
          <w:color w:val="2D2348"/>
          <w:szCs w:val="22"/>
        </w:rPr>
        <w:t>Long-term housing unmet demand</w:t>
      </w:r>
    </w:p>
    <w:p w14:paraId="4BCF4E65" w14:textId="28407859" w:rsidR="00092C13" w:rsidRDefault="00092C13" w:rsidP="00092C13">
      <w:pPr>
        <w:pStyle w:val="DHHSbody"/>
      </w:pPr>
      <w:r>
        <w:t>The demand for long-term</w:t>
      </w:r>
      <w:r w:rsidR="006D481A">
        <w:t xml:space="preserve"> housing</w:t>
      </w:r>
      <w:r>
        <w:t xml:space="preserve"> through the homelessness sector, due to family violence, has fluctuated from July 2015 to June 2021.</w:t>
      </w:r>
    </w:p>
    <w:p w14:paraId="6AFF457E" w14:textId="3515AB25" w:rsidR="00092C13" w:rsidRDefault="00092C13" w:rsidP="00092C13">
      <w:pPr>
        <w:pStyle w:val="DHHSbody"/>
      </w:pPr>
      <w:r w:rsidRPr="00F04034">
        <w:rPr>
          <w:b/>
        </w:rPr>
        <w:t>For specialist family violence service providers,</w:t>
      </w:r>
      <w:r>
        <w:t xml:space="preserve"> the rate of unmet demand has </w:t>
      </w:r>
      <w:r w:rsidR="69CB68AD">
        <w:t xml:space="preserve">changed </w:t>
      </w:r>
      <w:r>
        <w:t xml:space="preserve">dramatically over this period from a low in August 2015 of 47 per cent to a high of 80 per cent in March 2021. </w:t>
      </w:r>
    </w:p>
    <w:p w14:paraId="5E19D394" w14:textId="49870AC0" w:rsidR="00092C13" w:rsidRDefault="00092C13" w:rsidP="00092C13">
      <w:pPr>
        <w:pStyle w:val="DHHSbody"/>
      </w:pPr>
      <w:r>
        <w:t>At the beginning of this period, in July 2015, there were 109 households who had their housing demand met, and 122 who did not, the equivalent unmet demand of 53 per cent. Data in June 2021 shows how unmet demand and volume increased substantially. There were 76 households who had their housing demand met, and 280 who did not, the equivalent unmet demand of 79 per cent.</w:t>
      </w:r>
    </w:p>
    <w:p w14:paraId="1FD6C8AF" w14:textId="6A358572" w:rsidR="00092C13" w:rsidRDefault="00F04034" w:rsidP="00092C13">
      <w:pPr>
        <w:pStyle w:val="DHHSbody"/>
      </w:pPr>
      <w:r w:rsidRPr="00F04034">
        <w:rPr>
          <w:b/>
          <w:bCs/>
        </w:rPr>
        <w:t>For</w:t>
      </w:r>
      <w:r w:rsidR="00092C13" w:rsidRPr="00F04034">
        <w:rPr>
          <w:b/>
        </w:rPr>
        <w:t xml:space="preserve"> </w:t>
      </w:r>
      <w:r w:rsidR="008D1FFD" w:rsidRPr="00F04034">
        <w:rPr>
          <w:b/>
        </w:rPr>
        <w:t>other homelessness and family violence service providers</w:t>
      </w:r>
      <w:r w:rsidRPr="00F04034">
        <w:rPr>
          <w:b/>
          <w:bCs/>
        </w:rPr>
        <w:t>,</w:t>
      </w:r>
      <w:r>
        <w:t xml:space="preserve"> the rate of unmet demand</w:t>
      </w:r>
      <w:r w:rsidR="008D1FFD" w:rsidDel="008D1FFD">
        <w:t xml:space="preserve"> </w:t>
      </w:r>
      <w:r w:rsidR="00092C13">
        <w:t xml:space="preserve">has also </w:t>
      </w:r>
      <w:r w:rsidR="00621559">
        <w:t xml:space="preserve">varied </w:t>
      </w:r>
      <w:r w:rsidR="00092C13">
        <w:t xml:space="preserve">for people affected by family violence, from a low of 70 per cent in September 2015 to a high of 82 per cent in December 2018. </w:t>
      </w:r>
    </w:p>
    <w:p w14:paraId="0DDD94FA" w14:textId="5D1D4E84" w:rsidR="00092C13" w:rsidRDefault="00092C13" w:rsidP="00092C13">
      <w:pPr>
        <w:pStyle w:val="DHHSbody"/>
      </w:pPr>
      <w:r>
        <w:t>At the beginning of this period, in July 2015 there were 217 households who had their housing demand met by</w:t>
      </w:r>
      <w:r w:rsidR="00577B66">
        <w:t xml:space="preserve"> other homelessness and family violence service providers</w:t>
      </w:r>
      <w:r>
        <w:t xml:space="preserve">, and 568 who did not, the equivalent unmet demand of 72 per cent. Data in June 2021 shows how unmet demand and volume increased. </w:t>
      </w:r>
      <w:r>
        <w:lastRenderedPageBreak/>
        <w:t>There were 377 households who had their housing demand met, and 1</w:t>
      </w:r>
      <w:r w:rsidR="00383A04">
        <w:t>,</w:t>
      </w:r>
      <w:r>
        <w:t>348 who did not, the equivalent unmet demand of 78 per cent.</w:t>
      </w:r>
    </w:p>
    <w:p w14:paraId="245AC4FF" w14:textId="2A4A9217" w:rsidR="0006261B" w:rsidRPr="00B826DD" w:rsidRDefault="00514B4A" w:rsidP="0006261B">
      <w:pPr>
        <w:pStyle w:val="Heading2"/>
        <w:rPr>
          <w:color w:val="D72685"/>
          <w:sz w:val="32"/>
        </w:rPr>
      </w:pPr>
      <w:bookmarkStart w:id="4" w:name="_Toc95228763"/>
      <w:r w:rsidRPr="00B826DD">
        <w:rPr>
          <w:color w:val="D72685"/>
          <w:sz w:val="32"/>
        </w:rPr>
        <w:t xml:space="preserve">Unmet demand in the </w:t>
      </w:r>
      <w:r w:rsidR="0052291C" w:rsidRPr="00B826DD">
        <w:rPr>
          <w:color w:val="D72685"/>
          <w:sz w:val="32"/>
        </w:rPr>
        <w:t>social</w:t>
      </w:r>
      <w:r w:rsidRPr="00B826DD">
        <w:rPr>
          <w:color w:val="D72685"/>
          <w:sz w:val="32"/>
        </w:rPr>
        <w:t xml:space="preserve"> housing service system</w:t>
      </w:r>
      <w:bookmarkEnd w:id="4"/>
    </w:p>
    <w:p w14:paraId="7B0D060A" w14:textId="09D34C02" w:rsidR="0006261B" w:rsidRDefault="0006261B" w:rsidP="0006261B">
      <w:pPr>
        <w:pStyle w:val="DHHSbody"/>
      </w:pPr>
      <w:r>
        <w:t xml:space="preserve">Data demonstrating met and unmet demand in the </w:t>
      </w:r>
      <w:r w:rsidR="0052291C">
        <w:t>social</w:t>
      </w:r>
      <w:r>
        <w:t xml:space="preserve"> housing service system is gathered through the Victorian Housing Register (VHR). </w:t>
      </w:r>
    </w:p>
    <w:p w14:paraId="7EFEF2F4" w14:textId="483AF49D" w:rsidR="0052291C" w:rsidRDefault="0006261B" w:rsidP="0052291C">
      <w:pPr>
        <w:pStyle w:val="DHHSbody"/>
      </w:pPr>
      <w:r>
        <w:t xml:space="preserve">Unlike </w:t>
      </w:r>
      <w:r w:rsidR="00006397">
        <w:t>with</w:t>
      </w:r>
      <w:r>
        <w:t xml:space="preserve"> homelessness system data, we are unable to determine the monthly unmet housing demand </w:t>
      </w:r>
      <w:r w:rsidR="00BC7F0B">
        <w:t>of</w:t>
      </w:r>
      <w:r>
        <w:t xml:space="preserve"> people affected by family violence as a percentage</w:t>
      </w:r>
      <w:r w:rsidR="00BC7F0B">
        <w:t>. This is</w:t>
      </w:r>
      <w:r w:rsidR="00F335F3">
        <w:t xml:space="preserve"> due to</w:t>
      </w:r>
      <w:r w:rsidR="00B568B0">
        <w:t xml:space="preserve"> </w:t>
      </w:r>
      <w:r w:rsidR="00190963">
        <w:t xml:space="preserve">the type of </w:t>
      </w:r>
      <w:r w:rsidR="00C8652D">
        <w:t xml:space="preserve">data collected </w:t>
      </w:r>
      <w:r w:rsidR="00076C27">
        <w:t>through</w:t>
      </w:r>
      <w:r w:rsidR="00C8652D">
        <w:t xml:space="preserve"> the VHR</w:t>
      </w:r>
      <w:r w:rsidR="00E24962">
        <w:t xml:space="preserve"> and</w:t>
      </w:r>
      <w:r w:rsidR="000D0699">
        <w:t xml:space="preserve"> the </w:t>
      </w:r>
      <w:r w:rsidR="00F335F3">
        <w:t xml:space="preserve">usual length of </w:t>
      </w:r>
      <w:r w:rsidR="00C01ABC">
        <w:t xml:space="preserve">time spent on the </w:t>
      </w:r>
      <w:r w:rsidR="000D0699">
        <w:t>waiting list</w:t>
      </w:r>
      <w:r w:rsidR="00C01ABC">
        <w:t xml:space="preserve"> for social housing</w:t>
      </w:r>
      <w:r w:rsidR="00E24962">
        <w:t>.</w:t>
      </w:r>
    </w:p>
    <w:p w14:paraId="15E2C841" w14:textId="4547D49B" w:rsidR="0006261B" w:rsidRDefault="004C7B48" w:rsidP="0052291C">
      <w:pPr>
        <w:pStyle w:val="DHHSbody"/>
      </w:pPr>
      <w:r>
        <w:t>However, w</w:t>
      </w:r>
      <w:r w:rsidR="0006261B">
        <w:t xml:space="preserve">e can discern unmet demand from the number of applications </w:t>
      </w:r>
      <w:r w:rsidR="00704ED2">
        <w:t>on</w:t>
      </w:r>
      <w:r w:rsidR="0052291C">
        <w:t xml:space="preserve"> </w:t>
      </w:r>
      <w:r w:rsidR="002727CA">
        <w:t>the VHR</w:t>
      </w:r>
      <w:r w:rsidR="0052291C">
        <w:t xml:space="preserve"> </w:t>
      </w:r>
      <w:r w:rsidR="00787847">
        <w:t>i</w:t>
      </w:r>
      <w:r w:rsidR="0052291C">
        <w:t xml:space="preserve">n any given month that have </w:t>
      </w:r>
      <w:r w:rsidR="00721337">
        <w:t>remained</w:t>
      </w:r>
      <w:r w:rsidR="0052291C">
        <w:t xml:space="preserve"> unhoused as of June 2021. The unmet demand figures are broken down into two groups. The first set of data show</w:t>
      </w:r>
      <w:r w:rsidR="009638DD">
        <w:t>s</w:t>
      </w:r>
      <w:r w:rsidR="0052291C">
        <w:t xml:space="preserve"> applications that were approved </w:t>
      </w:r>
      <w:r w:rsidR="003B39D1">
        <w:t>on</w:t>
      </w:r>
      <w:r w:rsidR="0052291C">
        <w:t xml:space="preserve"> the VHR priority list for</w:t>
      </w:r>
      <w:r w:rsidR="0006261B">
        <w:t xml:space="preserve"> the reason of family violence</w:t>
      </w:r>
      <w:r w:rsidR="0052291C">
        <w:t>. The second set of data shows applications approved o</w:t>
      </w:r>
      <w:r w:rsidR="00730DEF">
        <w:t>n</w:t>
      </w:r>
      <w:r w:rsidR="0052291C">
        <w:t xml:space="preserve"> the VHR’s priority list or register of interest for another reason other than family violence, but where the applicant indicated a potential need for support related to family violence.</w:t>
      </w:r>
    </w:p>
    <w:p w14:paraId="5A677589" w14:textId="4CF6FFA0" w:rsidR="0006261B" w:rsidRDefault="0006261B" w:rsidP="0006261B">
      <w:pPr>
        <w:pStyle w:val="DHHSbody"/>
      </w:pPr>
      <w:r>
        <w:t xml:space="preserve">The demand for </w:t>
      </w:r>
      <w:r w:rsidR="0052291C">
        <w:t>social</w:t>
      </w:r>
      <w:r>
        <w:t xml:space="preserve"> housing due to family violence has fluctuated from September 2016 to June 2021.</w:t>
      </w:r>
    </w:p>
    <w:p w14:paraId="7BBE8498" w14:textId="6D63DC28" w:rsidR="00A02102" w:rsidRDefault="0006261B" w:rsidP="0006261B">
      <w:pPr>
        <w:pStyle w:val="DHHSbody"/>
      </w:pPr>
      <w:r>
        <w:t xml:space="preserve">The </w:t>
      </w:r>
      <w:r w:rsidR="00A02102">
        <w:t>number</w:t>
      </w:r>
      <w:r>
        <w:t xml:space="preserve"> of household applications approved o</w:t>
      </w:r>
      <w:r w:rsidR="005242EB">
        <w:t>n</w:t>
      </w:r>
      <w:r>
        <w:t xml:space="preserve"> the VHR in September 2016, for reasons of family violence</w:t>
      </w:r>
      <w:r w:rsidR="0056335A">
        <w:t>,</w:t>
      </w:r>
      <w:r>
        <w:t xml:space="preserve"> </w:t>
      </w:r>
      <w:r w:rsidR="00A02102">
        <w:t xml:space="preserve">that were unhoused by the public housing system as of </w:t>
      </w:r>
      <w:r w:rsidR="008C4824">
        <w:t xml:space="preserve">June </w:t>
      </w:r>
      <w:r w:rsidR="00A02102">
        <w:t>2021, is</w:t>
      </w:r>
      <w:r>
        <w:t xml:space="preserve"> 790.</w:t>
      </w:r>
      <w:r w:rsidR="00A02102">
        <w:t xml:space="preserve"> Also</w:t>
      </w:r>
      <w:r w:rsidR="004D4CA3">
        <w:t>,</w:t>
      </w:r>
      <w:r w:rsidR="00A02102">
        <w:t xml:space="preserve"> in September 2016, there were </w:t>
      </w:r>
      <w:r w:rsidR="006D3359">
        <w:t xml:space="preserve">an additional </w:t>
      </w:r>
      <w:r w:rsidR="00A02102">
        <w:t xml:space="preserve">767 applications approved </w:t>
      </w:r>
      <w:r w:rsidR="00764DC0">
        <w:t>on</w:t>
      </w:r>
      <w:r w:rsidR="00A02102">
        <w:t xml:space="preserve"> the VHR for another reason other than family violence, that indicated a need for support related to family violence, that were unhoused by the social housing system.</w:t>
      </w:r>
    </w:p>
    <w:p w14:paraId="6287F44B" w14:textId="445B6140" w:rsidR="009250F3" w:rsidRDefault="0E7F63A7" w:rsidP="009250F3">
      <w:pPr>
        <w:pStyle w:val="DHHSbody"/>
      </w:pPr>
      <w:r>
        <w:t xml:space="preserve">The volume of applicants </w:t>
      </w:r>
      <w:r w:rsidR="4A704580">
        <w:t>on</w:t>
      </w:r>
      <w:r>
        <w:t xml:space="preserve"> the VHR and those approved </w:t>
      </w:r>
      <w:r w:rsidR="4F51A2D4">
        <w:t xml:space="preserve">on </w:t>
      </w:r>
      <w:r>
        <w:t>the VHR has grown substantially over this time</w:t>
      </w:r>
      <w:r w:rsidR="7C939004">
        <w:t>.</w:t>
      </w:r>
      <w:r w:rsidR="1D2CA9A5">
        <w:t xml:space="preserve"> As expected, wait times for the social housing system are significant and growing. </w:t>
      </w:r>
      <w:r w:rsidR="41B8BE39">
        <w:t>In</w:t>
      </w:r>
      <w:r w:rsidR="7C939004">
        <w:t xml:space="preserve"> </w:t>
      </w:r>
      <w:r w:rsidR="1D2CA9A5">
        <w:t>May</w:t>
      </w:r>
      <w:r w:rsidR="7C939004">
        <w:t xml:space="preserve"> 2021, there were 3,</w:t>
      </w:r>
      <w:r w:rsidR="1D2CA9A5">
        <w:t>86</w:t>
      </w:r>
      <w:r w:rsidR="41B8BE39">
        <w:t>0</w:t>
      </w:r>
      <w:r w:rsidR="7C939004">
        <w:t xml:space="preserve"> applications approved </w:t>
      </w:r>
      <w:r w:rsidR="2EDF4764">
        <w:t>o</w:t>
      </w:r>
      <w:r w:rsidR="7380C3EA">
        <w:t>n</w:t>
      </w:r>
      <w:r w:rsidR="7C939004">
        <w:t xml:space="preserve"> the VHR</w:t>
      </w:r>
      <w:r w:rsidR="28D3D169">
        <w:t xml:space="preserve"> where the applicant selected family violence as a reason for applying</w:t>
      </w:r>
      <w:r w:rsidR="1D2CA9A5">
        <w:t>,</w:t>
      </w:r>
      <w:r w:rsidR="41B8BE39">
        <w:t xml:space="preserve"> that had not yet been housed the month later in June 2021. There were also 4,455 applications approved o</w:t>
      </w:r>
      <w:r w:rsidR="7380C3EA">
        <w:t>n</w:t>
      </w:r>
      <w:r w:rsidR="41B8BE39">
        <w:t xml:space="preserve"> the VHR in May 2021 for another reason other than family violence, that indicated a need for support related to family violence, that were unhoused by the social housing system by June 2021.</w:t>
      </w:r>
    </w:p>
    <w:p w14:paraId="756AEFA0" w14:textId="459BA063" w:rsidR="00D75C57" w:rsidRPr="00D75C57" w:rsidRDefault="00D75C57" w:rsidP="009250F3">
      <w:pPr>
        <w:pStyle w:val="DHHSbody"/>
        <w:rPr>
          <w:i/>
          <w:iCs/>
        </w:rPr>
      </w:pPr>
      <w:r>
        <w:t xml:space="preserve">Greater detail is available at </w:t>
      </w:r>
      <w:r w:rsidRPr="00514B4A">
        <w:rPr>
          <w:i/>
          <w:iCs/>
        </w:rPr>
        <w:t>Attachment 1: Data showing unmet housing demand among people affected by family violence – June 2021</w:t>
      </w:r>
      <w:r>
        <w:rPr>
          <w:i/>
          <w:iCs/>
        </w:rPr>
        <w:t>.</w:t>
      </w:r>
    </w:p>
    <w:p w14:paraId="0656962E" w14:textId="06F79582" w:rsidR="0ED500A5" w:rsidRPr="00B826DD" w:rsidRDefault="00C54A3B" w:rsidP="3537575A">
      <w:pPr>
        <w:pStyle w:val="Heading1"/>
        <w:rPr>
          <w:rFonts w:eastAsia="MS Gothic" w:cs="Arial"/>
          <w:color w:val="D72685"/>
          <w:kern w:val="32"/>
        </w:rPr>
      </w:pPr>
      <w:bookmarkStart w:id="5" w:name="_Toc95228764"/>
      <w:r w:rsidRPr="00B826DD">
        <w:rPr>
          <w:rFonts w:eastAsia="MS Gothic" w:cs="Arial"/>
          <w:color w:val="D72685"/>
          <w:kern w:val="32"/>
        </w:rPr>
        <w:t>A</w:t>
      </w:r>
      <w:r w:rsidR="0ED500A5" w:rsidRPr="00B826DD">
        <w:rPr>
          <w:rFonts w:eastAsia="MS Gothic" w:cs="Arial"/>
          <w:color w:val="D72685"/>
          <w:kern w:val="32"/>
        </w:rPr>
        <w:t>ctions for meeting housing demand</w:t>
      </w:r>
      <w:bookmarkEnd w:id="5"/>
    </w:p>
    <w:p w14:paraId="15636E35" w14:textId="730C1A2C" w:rsidR="630EF4A2" w:rsidRDefault="0ED500A5" w:rsidP="3537575A">
      <w:pPr>
        <w:pStyle w:val="DHHSbody"/>
      </w:pPr>
      <w:r>
        <w:t>Recommendation 20 also asks that the Victorian Government report on the proposed actions for meeting the continuing housing demand from people affected by family violence.</w:t>
      </w:r>
    </w:p>
    <w:p w14:paraId="08E87E53" w14:textId="69BA80FD" w:rsidR="0063378A" w:rsidRPr="00C011E1" w:rsidRDefault="0063378A" w:rsidP="0063378A">
      <w:pPr>
        <w:pStyle w:val="DHHSbody"/>
      </w:pPr>
      <w:r w:rsidRPr="00C011E1">
        <w:t xml:space="preserve">Since 2016, the Victorian Government: </w:t>
      </w:r>
    </w:p>
    <w:p w14:paraId="546B52C3" w14:textId="32F284B3" w:rsidR="0063378A" w:rsidRPr="00C011E1" w:rsidRDefault="0063378A" w:rsidP="0063378A">
      <w:pPr>
        <w:pStyle w:val="DHHSbody"/>
        <w:numPr>
          <w:ilvl w:val="0"/>
          <w:numId w:val="49"/>
        </w:numPr>
      </w:pPr>
      <w:r w:rsidRPr="00C011E1">
        <w:t xml:space="preserve">has acquired 325 social housing dwellings and head leased 401 medium-term tenancies from the private sector  </w:t>
      </w:r>
    </w:p>
    <w:p w14:paraId="6BD73AA3" w14:textId="42277F5D" w:rsidR="0063378A" w:rsidRPr="00C011E1" w:rsidRDefault="0063378A" w:rsidP="0063378A">
      <w:pPr>
        <w:pStyle w:val="DHHSbody"/>
        <w:numPr>
          <w:ilvl w:val="0"/>
          <w:numId w:val="49"/>
        </w:numPr>
      </w:pPr>
      <w:r w:rsidRPr="00C011E1">
        <w:t xml:space="preserve">has prioritised family violence victim survivors and their families for social housing through the Victorian Housing Register </w:t>
      </w:r>
    </w:p>
    <w:p w14:paraId="5AE35DF3" w14:textId="378BDD7F" w:rsidR="0063378A" w:rsidRPr="00C011E1" w:rsidRDefault="0063378A" w:rsidP="0063378A">
      <w:pPr>
        <w:pStyle w:val="DHHSbody"/>
        <w:numPr>
          <w:ilvl w:val="0"/>
          <w:numId w:val="49"/>
        </w:numPr>
      </w:pPr>
      <w:r>
        <w:t>is redeveloping 17 Homes Victoria owned family violence refuges to the ‘core and cluster’ model and constructing three new Aboriginal family violence refuges including a new Aboriginal family violence refuge in the Horsham region through a $9.1 million investment announced in the 2021-22 State budget</w:t>
      </w:r>
    </w:p>
    <w:p w14:paraId="595D15F5" w14:textId="5F980E17" w:rsidR="0063378A" w:rsidRPr="00C011E1" w:rsidRDefault="0063378A" w:rsidP="0063378A">
      <w:pPr>
        <w:pStyle w:val="DHHSbody"/>
        <w:numPr>
          <w:ilvl w:val="0"/>
          <w:numId w:val="49"/>
        </w:numPr>
      </w:pPr>
      <w:r w:rsidRPr="00C011E1">
        <w:lastRenderedPageBreak/>
        <w:t>is providing over 6,500 flexible support packages each year to help victim survivors and supporting over 1,800 people with private rental assistance.</w:t>
      </w:r>
    </w:p>
    <w:p w14:paraId="638821A5" w14:textId="02D64288" w:rsidR="0ED500A5" w:rsidRDefault="0ED500A5" w:rsidP="3537575A">
      <w:pPr>
        <w:pStyle w:val="DHHSbody"/>
        <w:rPr>
          <w:rFonts w:eastAsia="Arial" w:cs="Arial"/>
          <w:color w:val="000000" w:themeColor="text1"/>
        </w:rPr>
      </w:pPr>
      <w:r w:rsidRPr="00C011E1">
        <w:t xml:space="preserve">In November 2020, the Victorian Government announced the Big Housing Build, a landmark investment of $5.3 billion into Victoria’s social and affordable housing sector. </w:t>
      </w:r>
      <w:r w:rsidRPr="00C011E1">
        <w:rPr>
          <w:rFonts w:eastAsia="Arial" w:cs="Arial"/>
          <w:color w:val="000000" w:themeColor="text1"/>
        </w:rPr>
        <w:t>It will deliver more than 12,000 new homes across Victoria including: 9,300 social housing dwellings; replacing 1,100 old social housing dwellings; and 2,900 new affordable homes so that low to moderate income Victorians can access homes close to work and education.</w:t>
      </w:r>
    </w:p>
    <w:p w14:paraId="152BA754" w14:textId="77777777" w:rsidR="00524847" w:rsidRDefault="0ED500A5" w:rsidP="3537575A">
      <w:pPr>
        <w:pStyle w:val="DHHSbody"/>
        <w:rPr>
          <w:rFonts w:eastAsia="Arial" w:cs="Arial"/>
          <w:color w:val="000000" w:themeColor="text1"/>
        </w:rPr>
      </w:pPr>
      <w:r w:rsidRPr="3537575A">
        <w:rPr>
          <w:rFonts w:eastAsia="Arial" w:cs="Arial"/>
          <w:color w:val="000000" w:themeColor="text1"/>
        </w:rPr>
        <w:t xml:space="preserve">This comes on top of previous investment into social housing. An additional 1,000 public housing homes will be provided for 1,800 Victorians that are escaping family violence, and those who are experiencing or at risk of homelessness through the </w:t>
      </w:r>
      <w:r w:rsidRPr="3537575A">
        <w:rPr>
          <w:rFonts w:eastAsia="Arial" w:cs="Arial"/>
          <w:i/>
          <w:iCs/>
          <w:color w:val="000000" w:themeColor="text1"/>
        </w:rPr>
        <w:t>Building new homes to fight homelessness</w:t>
      </w:r>
      <w:r w:rsidRPr="3537575A">
        <w:rPr>
          <w:rFonts w:eastAsia="Arial" w:cs="Arial"/>
          <w:color w:val="000000" w:themeColor="text1"/>
        </w:rPr>
        <w:t xml:space="preserve"> program. </w:t>
      </w:r>
    </w:p>
    <w:p w14:paraId="68D8EC33" w14:textId="56CAF334" w:rsidR="0ED500A5" w:rsidRDefault="0ED500A5" w:rsidP="3537575A">
      <w:pPr>
        <w:pStyle w:val="DHHSbody"/>
        <w:rPr>
          <w:rFonts w:eastAsia="Arial" w:cs="Arial"/>
          <w:color w:val="000000" w:themeColor="text1"/>
        </w:rPr>
      </w:pPr>
      <w:r w:rsidRPr="3537575A">
        <w:rPr>
          <w:rFonts w:eastAsia="Arial" w:cs="Arial"/>
          <w:color w:val="000000" w:themeColor="text1"/>
        </w:rPr>
        <w:t xml:space="preserve">More than 1,000 new homes are being delivered through an innovative new Ground Lease Model, which is a partnership between community housing organisations, the private sector and the government. The first of its kind for social housing in Australia – the Government will lease land in Brighton, Flemington and Prahran to a consortium to build, operate and maintain housing on the sites for 40 years. The dwellings will replace 445 outdated social dwellings and be a mix of one, two, three and four-bedroom homes – catering for individuals, couples and families. </w:t>
      </w:r>
    </w:p>
    <w:p w14:paraId="34E04B09" w14:textId="068B21AC" w:rsidR="0ED500A5" w:rsidRDefault="0ED500A5" w:rsidP="3537575A">
      <w:pPr>
        <w:pStyle w:val="DHHSbody"/>
        <w:rPr>
          <w:color w:val="000000" w:themeColor="text1"/>
        </w:rPr>
      </w:pPr>
      <w:r w:rsidRPr="3537575A">
        <w:rPr>
          <w:color w:val="000000" w:themeColor="text1"/>
        </w:rPr>
        <w:t>But the social and affordable housing challenge will require ongoing effort over many years, extending beyond the Big Housing Build.</w:t>
      </w:r>
    </w:p>
    <w:p w14:paraId="07D34260" w14:textId="714007D9" w:rsidR="0ED500A5" w:rsidRDefault="0ED500A5" w:rsidP="3537575A">
      <w:pPr>
        <w:pStyle w:val="DHHSbody"/>
        <w:rPr>
          <w:color w:val="000000" w:themeColor="text1"/>
        </w:rPr>
      </w:pPr>
      <w:r w:rsidRPr="3537575A">
        <w:rPr>
          <w:color w:val="000000" w:themeColor="text1"/>
        </w:rPr>
        <w:t xml:space="preserve">That is why the Victorian Government is developing a new 10 Year Strategy for social and affordable housing in Victoria. We are committed to ensuring all Victorians have access to a safe, affordable and appropriate home. </w:t>
      </w:r>
    </w:p>
    <w:p w14:paraId="5E061350" w14:textId="36DFB3E0" w:rsidR="0ED500A5" w:rsidRDefault="0ED500A5" w:rsidP="3537575A">
      <w:pPr>
        <w:pStyle w:val="DHHSbody"/>
        <w:rPr>
          <w:color w:val="000000" w:themeColor="text1"/>
        </w:rPr>
      </w:pPr>
      <w:r w:rsidRPr="3537575A">
        <w:rPr>
          <w:color w:val="000000" w:themeColor="text1"/>
        </w:rPr>
        <w:t>The new strategy will establish the 10-year vision for social and affordable housing in Victoria and build on the success of the Big Housing Build and other investment to date by the Victorian Government. It will establish a view on what success looks like for people, enablers of the overall housing system, and importantly the actions we need to take to get there.</w:t>
      </w:r>
    </w:p>
    <w:p w14:paraId="75C9CE2F" w14:textId="73412CA5" w:rsidR="0ED500A5" w:rsidRDefault="0ED500A5" w:rsidP="3537575A">
      <w:pPr>
        <w:pStyle w:val="DHHSbody"/>
        <w:rPr>
          <w:color w:val="000000" w:themeColor="text1"/>
        </w:rPr>
      </w:pPr>
      <w:r w:rsidRPr="3537575A">
        <w:rPr>
          <w:color w:val="000000" w:themeColor="text1"/>
        </w:rPr>
        <w:t>In developing the 10-year vision, the Minister for Housing launched a discussion paper to seek input from the public. We asked people to give us their views on what we should prioritise in the social and affordable housing system over the next 10 years.</w:t>
      </w:r>
    </w:p>
    <w:p w14:paraId="4D24F852" w14:textId="0E1CAE72" w:rsidR="0ED500A5" w:rsidRDefault="0ED500A5" w:rsidP="3537575A">
      <w:pPr>
        <w:pStyle w:val="DHHSbody"/>
        <w:rPr>
          <w:color w:val="000000" w:themeColor="text1"/>
        </w:rPr>
      </w:pPr>
      <w:r w:rsidRPr="3537575A">
        <w:rPr>
          <w:color w:val="000000" w:themeColor="text1"/>
        </w:rPr>
        <w:t>We heard from you that housing must provide for the needs of everybody by making sure there are ranges of housing and support services available. We</w:t>
      </w:r>
      <w:r w:rsidR="00632DA3">
        <w:rPr>
          <w:color w:val="000000" w:themeColor="text1"/>
        </w:rPr>
        <w:t xml:space="preserve"> also</w:t>
      </w:r>
      <w:r w:rsidRPr="3537575A">
        <w:rPr>
          <w:color w:val="000000" w:themeColor="text1"/>
        </w:rPr>
        <w:t xml:space="preserve"> heard that support and housing need are shaped by experiences, including family violence. We know we need to provide a range of housing pathways that enables people affected by family violence to live safely, securely</w:t>
      </w:r>
      <w:r w:rsidR="00C8652D">
        <w:rPr>
          <w:color w:val="000000" w:themeColor="text1"/>
        </w:rPr>
        <w:t xml:space="preserve"> </w:t>
      </w:r>
      <w:r w:rsidRPr="3537575A">
        <w:rPr>
          <w:color w:val="000000" w:themeColor="text1"/>
        </w:rPr>
        <w:t xml:space="preserve">and well. </w:t>
      </w:r>
    </w:p>
    <w:p w14:paraId="34196E8B" w14:textId="2F41934B" w:rsidR="3537575A" w:rsidRDefault="00FC1E0A" w:rsidP="3537575A">
      <w:pPr>
        <w:pStyle w:val="DHHSbody"/>
        <w:rPr>
          <w:color w:val="000000" w:themeColor="text1"/>
        </w:rPr>
      </w:pPr>
      <w:r>
        <w:rPr>
          <w:color w:val="000000" w:themeColor="text1"/>
        </w:rPr>
        <w:t xml:space="preserve">The Victorian Government has also been working to ensure victim-survivors of family violence have a safe place to go and the support they need during the coronavirus (COVID-19) pandemic. </w:t>
      </w:r>
    </w:p>
    <w:p w14:paraId="14576DBC" w14:textId="28B0ED3A" w:rsidR="3537575A" w:rsidRDefault="00E62E55" w:rsidP="00330B57">
      <w:pPr>
        <w:pStyle w:val="DHHSbody"/>
      </w:pPr>
      <w:r>
        <w:t>The $150 million Homelessness to Home package aims to help people residing in emergency hotel accommodation due to COVID-19 with assistance to find long-term stable housing and a permanent way out of homelessness. A further $16.9 million was announced in the 2021-22 Victorian State Budget to ensure all 1,845 households assisted in this program have access to housing and support packages.</w:t>
      </w:r>
      <w:r w:rsidR="6E326813">
        <w:t xml:space="preserve"> An additional $66 million was also announced to support 250 families with children currently in emergency accommodation to secure stable housing and have the support they need to keep it.</w:t>
      </w:r>
    </w:p>
    <w:p w14:paraId="698C57D0" w14:textId="380321AD" w:rsidR="00E265B5" w:rsidRDefault="00E265B5" w:rsidP="00330B57">
      <w:pPr>
        <w:pStyle w:val="DHHSbody"/>
      </w:pPr>
      <w:r w:rsidRPr="00E265B5">
        <w:t>The Victorian Government has provided $40.2 million in 2019-20 and 2020-21 to assist in the response to COVID-19, significantly boosting existing family violence programs and services to keep family violence survivors safe and perpetrators in view including the provision of short-term accommodation for victim survivors.</w:t>
      </w:r>
    </w:p>
    <w:p w14:paraId="32488640" w14:textId="637BB841" w:rsidR="007F2A01" w:rsidRPr="00B826DD" w:rsidRDefault="007F2A01" w:rsidP="007F2A01">
      <w:pPr>
        <w:pStyle w:val="Heading1"/>
        <w:rPr>
          <w:rFonts w:eastAsia="MS Gothic" w:cs="Arial"/>
          <w:color w:val="D72685"/>
          <w:kern w:val="32"/>
        </w:rPr>
      </w:pPr>
      <w:bookmarkStart w:id="6" w:name="_Toc95228765"/>
      <w:r w:rsidRPr="00B826DD">
        <w:rPr>
          <w:rFonts w:eastAsia="MS Gothic" w:cs="Arial"/>
          <w:color w:val="D72685"/>
          <w:kern w:val="32"/>
        </w:rPr>
        <w:lastRenderedPageBreak/>
        <w:t xml:space="preserve">Data </w:t>
      </w:r>
      <w:r w:rsidR="00633E4E">
        <w:rPr>
          <w:rFonts w:eastAsia="MS Gothic" w:cs="Arial"/>
          <w:color w:val="D72685"/>
          <w:kern w:val="32"/>
        </w:rPr>
        <w:t>l</w:t>
      </w:r>
      <w:r w:rsidRPr="00B826DD">
        <w:rPr>
          <w:rFonts w:eastAsia="MS Gothic" w:cs="Arial"/>
          <w:color w:val="D72685"/>
          <w:kern w:val="32"/>
        </w:rPr>
        <w:t xml:space="preserve">imitations and </w:t>
      </w:r>
      <w:r w:rsidR="00633E4E">
        <w:rPr>
          <w:rFonts w:eastAsia="MS Gothic" w:cs="Arial"/>
          <w:color w:val="D72685"/>
          <w:kern w:val="32"/>
        </w:rPr>
        <w:t>c</w:t>
      </w:r>
      <w:r w:rsidRPr="00B826DD">
        <w:rPr>
          <w:rFonts w:eastAsia="MS Gothic" w:cs="Arial"/>
          <w:color w:val="D72685"/>
          <w:kern w:val="32"/>
        </w:rPr>
        <w:t>aveats</w:t>
      </w:r>
      <w:bookmarkEnd w:id="6"/>
    </w:p>
    <w:p w14:paraId="6DEB4C28" w14:textId="76D58C32" w:rsidR="004713F5" w:rsidRPr="00B826DD" w:rsidRDefault="004713F5" w:rsidP="004713F5">
      <w:pPr>
        <w:pStyle w:val="Heading2"/>
        <w:rPr>
          <w:color w:val="D72685"/>
          <w:sz w:val="32"/>
        </w:rPr>
      </w:pPr>
      <w:bookmarkStart w:id="7" w:name="_Toc95228766"/>
      <w:r w:rsidRPr="00B826DD">
        <w:rPr>
          <w:color w:val="D72685"/>
          <w:sz w:val="32"/>
        </w:rPr>
        <w:t>Limitations</w:t>
      </w:r>
      <w:bookmarkEnd w:id="7"/>
    </w:p>
    <w:p w14:paraId="18F7539F" w14:textId="160BD1F8" w:rsidR="003B2B45" w:rsidRDefault="6B2A8CBD" w:rsidP="003B2B45">
      <w:pPr>
        <w:pStyle w:val="DHHSbody"/>
        <w:numPr>
          <w:ilvl w:val="0"/>
          <w:numId w:val="46"/>
        </w:numPr>
      </w:pPr>
      <w:r>
        <w:t xml:space="preserve">There </w:t>
      </w:r>
      <w:r w:rsidR="28F9D6D1">
        <w:t xml:space="preserve">may </w:t>
      </w:r>
      <w:r w:rsidR="5C626292">
        <w:t>not be a</w:t>
      </w:r>
      <w:r>
        <w:t xml:space="preserve"> standard </w:t>
      </w:r>
      <w:r w:rsidR="5C626292">
        <w:t xml:space="preserve">application </w:t>
      </w:r>
      <w:r>
        <w:t xml:space="preserve">of </w:t>
      </w:r>
      <w:r w:rsidR="5D21A657">
        <w:t xml:space="preserve">recording </w:t>
      </w:r>
      <w:r>
        <w:t xml:space="preserve">‘people affected by family violence’. </w:t>
      </w:r>
      <w:r w:rsidR="1791F7EB">
        <w:t xml:space="preserve">It is up to the case worker, service provider, support worker, housing officer or applicant to make this assessment. There is </w:t>
      </w:r>
      <w:r w:rsidR="4FE3B733">
        <w:t xml:space="preserve">currently </w:t>
      </w:r>
      <w:r w:rsidR="1791F7EB">
        <w:t xml:space="preserve">no way of standardising this across </w:t>
      </w:r>
      <w:r w:rsidR="5BC00E4A">
        <w:t xml:space="preserve">community sector and department-provided </w:t>
      </w:r>
      <w:r w:rsidR="1791F7EB">
        <w:t>services. As such, making comparisons within and across data sets would be inaccurate.</w:t>
      </w:r>
    </w:p>
    <w:p w14:paraId="709BF35B" w14:textId="6AC035EA" w:rsidR="00950F3C" w:rsidRDefault="00950F3C" w:rsidP="004713F5">
      <w:pPr>
        <w:pStyle w:val="DHHSbody"/>
        <w:numPr>
          <w:ilvl w:val="0"/>
          <w:numId w:val="46"/>
        </w:numPr>
      </w:pPr>
      <w:r>
        <w:t>The unit of measurement in all sets of data is households. This is to better understand the unmet need</w:t>
      </w:r>
      <w:r w:rsidR="00BA5D45">
        <w:t xml:space="preserve"> for accommodation/housing</w:t>
      </w:r>
      <w:r>
        <w:t>. This was achieved through proxy’s (explained below) and is unlikely to be a tru</w:t>
      </w:r>
      <w:r w:rsidR="00891213">
        <w:t>e</w:t>
      </w:r>
      <w:r w:rsidR="00983548">
        <w:t xml:space="preserve"> representation of households rather than individuals.</w:t>
      </w:r>
    </w:p>
    <w:p w14:paraId="456F183E" w14:textId="0D83ACAC" w:rsidR="00950F3C" w:rsidRDefault="1461C7E9" w:rsidP="004713F5">
      <w:pPr>
        <w:pStyle w:val="DHHSbody"/>
        <w:numPr>
          <w:ilvl w:val="0"/>
          <w:numId w:val="46"/>
        </w:numPr>
      </w:pPr>
      <w:r>
        <w:t xml:space="preserve">The introduction of </w:t>
      </w:r>
      <w:r w:rsidR="750A003A">
        <w:t>T</w:t>
      </w:r>
      <w:r>
        <w:t>he Orange Door</w:t>
      </w:r>
      <w:r w:rsidR="750A003A">
        <w:t xml:space="preserve"> has changed the way that family violence intake is reported. The first three </w:t>
      </w:r>
      <w:r w:rsidR="77964341">
        <w:t xml:space="preserve">locations of The </w:t>
      </w:r>
      <w:r w:rsidR="750A003A">
        <w:t xml:space="preserve">Orange Door opened in </w:t>
      </w:r>
      <w:r w:rsidR="61BA1E7B">
        <w:t xml:space="preserve">May 2018 and began providing family violence intake and referral, instead of </w:t>
      </w:r>
      <w:r w:rsidR="77964341">
        <w:t xml:space="preserve">local </w:t>
      </w:r>
      <w:r w:rsidR="61BA1E7B">
        <w:t>homelessness-funded family violence services providing this response. Accordingly, the number of family violence intake clients reported in the H</w:t>
      </w:r>
      <w:r w:rsidR="31C60111">
        <w:t xml:space="preserve">omelessness </w:t>
      </w:r>
      <w:r w:rsidR="61BA1E7B">
        <w:t>D</w:t>
      </w:r>
      <w:r w:rsidR="26F0685D">
        <w:t xml:space="preserve">ata </w:t>
      </w:r>
      <w:r w:rsidR="61BA1E7B">
        <w:t>C</w:t>
      </w:r>
      <w:r w:rsidR="48DCF69D">
        <w:t>ollection</w:t>
      </w:r>
      <w:r w:rsidR="61BA1E7B">
        <w:t xml:space="preserve"> has reduced in </w:t>
      </w:r>
      <w:r w:rsidR="001D5171">
        <w:t xml:space="preserve">the </w:t>
      </w:r>
      <w:r w:rsidR="61BA1E7B">
        <w:t>D</w:t>
      </w:r>
      <w:r w:rsidR="001D5171">
        <w:t xml:space="preserve">epartment of </w:t>
      </w:r>
      <w:r w:rsidR="61BA1E7B">
        <w:t>F</w:t>
      </w:r>
      <w:r w:rsidR="001D5171">
        <w:t xml:space="preserve">amilies, </w:t>
      </w:r>
      <w:r w:rsidR="61BA1E7B">
        <w:t>F</w:t>
      </w:r>
      <w:r w:rsidR="001D5171">
        <w:t xml:space="preserve">airness and </w:t>
      </w:r>
      <w:r w:rsidR="61BA1E7B">
        <w:t>H</w:t>
      </w:r>
      <w:r w:rsidR="001D5171">
        <w:t>ousing</w:t>
      </w:r>
      <w:r w:rsidR="61BA1E7B">
        <w:t xml:space="preserve"> areas where The Orange Door</w:t>
      </w:r>
      <w:r w:rsidR="0646CB45">
        <w:t xml:space="preserve"> </w:t>
      </w:r>
      <w:r w:rsidR="4D9D34F4">
        <w:t>service</w:t>
      </w:r>
      <w:r w:rsidR="61BA1E7B">
        <w:t>s have opened</w:t>
      </w:r>
      <w:r w:rsidR="42B32881">
        <w:t>, but not to the same degree</w:t>
      </w:r>
      <w:r w:rsidR="61BA1E7B">
        <w:t>.</w:t>
      </w:r>
      <w:r w:rsidR="001D5171">
        <w:t xml:space="preserve"> </w:t>
      </w:r>
    </w:p>
    <w:p w14:paraId="10882A98" w14:textId="0F84052D" w:rsidR="00950F3C" w:rsidRDefault="00950F3C" w:rsidP="004713F5">
      <w:pPr>
        <w:pStyle w:val="DHHSbody"/>
        <w:numPr>
          <w:ilvl w:val="0"/>
          <w:numId w:val="46"/>
        </w:numPr>
      </w:pPr>
      <w:r>
        <w:t xml:space="preserve">The </w:t>
      </w:r>
      <w:r w:rsidR="00992975">
        <w:t>COVID</w:t>
      </w:r>
      <w:r>
        <w:t xml:space="preserve">-19 pandemic has had </w:t>
      </w:r>
      <w:r w:rsidR="004F2AA0">
        <w:t xml:space="preserve">an </w:t>
      </w:r>
      <w:r>
        <w:t xml:space="preserve">unquantifiable but significant </w:t>
      </w:r>
      <w:r w:rsidR="004F2AA0">
        <w:t xml:space="preserve">effect </w:t>
      </w:r>
      <w:r>
        <w:t xml:space="preserve">on </w:t>
      </w:r>
      <w:r w:rsidR="00D43263">
        <w:t>family violence service</w:t>
      </w:r>
      <w:r>
        <w:t xml:space="preserve"> demand and </w:t>
      </w:r>
      <w:r w:rsidR="00D43263">
        <w:t xml:space="preserve">patterns of </w:t>
      </w:r>
      <w:r>
        <w:t>support-seeking</w:t>
      </w:r>
      <w:r w:rsidR="004F2AA0">
        <w:t>.</w:t>
      </w:r>
      <w:r w:rsidR="00D43263">
        <w:t xml:space="preserve"> </w:t>
      </w:r>
      <w:r w:rsidR="004F2AA0">
        <w:t>This</w:t>
      </w:r>
      <w:r w:rsidR="00D43263">
        <w:t xml:space="preserve"> may </w:t>
      </w:r>
      <w:r w:rsidR="004F2AA0">
        <w:t xml:space="preserve">mean an </w:t>
      </w:r>
      <w:r w:rsidR="00D43263">
        <w:t>under</w:t>
      </w:r>
      <w:r w:rsidR="004F2AA0">
        <w:t>-representation or</w:t>
      </w:r>
      <w:r w:rsidR="00D43263">
        <w:t xml:space="preserve"> over-</w:t>
      </w:r>
      <w:r w:rsidR="004F2AA0">
        <w:t>representation exists in</w:t>
      </w:r>
      <w:r w:rsidR="00D43263">
        <w:t xml:space="preserve"> the data collected on this cohort</w:t>
      </w:r>
      <w:r w:rsidR="004F2AA0">
        <w:t>’</w:t>
      </w:r>
      <w:r w:rsidR="00D43263">
        <w:t>s housing needs.</w:t>
      </w:r>
    </w:p>
    <w:p w14:paraId="46B51262" w14:textId="46181EBA" w:rsidR="00950F3C" w:rsidRDefault="00450229" w:rsidP="004713F5">
      <w:pPr>
        <w:pStyle w:val="DHHSbody"/>
        <w:numPr>
          <w:ilvl w:val="0"/>
          <w:numId w:val="46"/>
        </w:numPr>
      </w:pPr>
      <w:r>
        <w:t>H</w:t>
      </w:r>
      <w:r w:rsidR="00950F3C">
        <w:t xml:space="preserve">ouseholds </w:t>
      </w:r>
      <w:r>
        <w:t>may seek</w:t>
      </w:r>
      <w:r w:rsidR="00950F3C">
        <w:t xml:space="preserve"> support from </w:t>
      </w:r>
      <w:r w:rsidR="004F2AA0">
        <w:t xml:space="preserve">multiple </w:t>
      </w:r>
      <w:r w:rsidR="00950F3C">
        <w:t xml:space="preserve">agencies </w:t>
      </w:r>
      <w:r>
        <w:t xml:space="preserve">in a month </w:t>
      </w:r>
      <w:r w:rsidR="004F2AA0">
        <w:t>to</w:t>
      </w:r>
      <w:r w:rsidR="00950F3C">
        <w:t xml:space="preserve"> increase their </w:t>
      </w:r>
      <w:r w:rsidR="00021879">
        <w:t xml:space="preserve">perceived or actual </w:t>
      </w:r>
      <w:r w:rsidR="00950F3C">
        <w:t xml:space="preserve">likelihood of getting accommodation. These households would be </w:t>
      </w:r>
      <w:r w:rsidR="00950F3C" w:rsidRPr="009866D5">
        <w:t>counted</w:t>
      </w:r>
      <w:r w:rsidR="000F0021" w:rsidRPr="009866D5">
        <w:t xml:space="preserve"> more than once</w:t>
      </w:r>
      <w:r w:rsidR="009866D5" w:rsidRPr="009866D5">
        <w:t>.</w:t>
      </w:r>
    </w:p>
    <w:p w14:paraId="7CFC600F" w14:textId="0FFBB705" w:rsidR="008C1D33" w:rsidRPr="008C1D33" w:rsidRDefault="00D43263" w:rsidP="008C1D33">
      <w:pPr>
        <w:pStyle w:val="DHHSbody"/>
        <w:numPr>
          <w:ilvl w:val="0"/>
          <w:numId w:val="46"/>
        </w:numPr>
      </w:pPr>
      <w:r>
        <w:t xml:space="preserve">A household may request all three housing services (short-term/crisis accommodation, </w:t>
      </w:r>
      <w:r w:rsidRPr="007E2695">
        <w:t>medium</w:t>
      </w:r>
      <w:r>
        <w:t>-</w:t>
      </w:r>
      <w:r w:rsidRPr="007E2695">
        <w:t xml:space="preserve">term/transitional housing </w:t>
      </w:r>
      <w:r>
        <w:t>and</w:t>
      </w:r>
      <w:r w:rsidRPr="007E2695">
        <w:t xml:space="preserve"> long</w:t>
      </w:r>
      <w:r>
        <w:t>-</w:t>
      </w:r>
      <w:r w:rsidRPr="007E2695">
        <w:t>term housing</w:t>
      </w:r>
      <w:r>
        <w:t>) at the same time from a general housing service o</w:t>
      </w:r>
      <w:r w:rsidR="004F2AA0">
        <w:t>r</w:t>
      </w:r>
      <w:r>
        <w:t xml:space="preserve"> specialist family violence service. Consequently, the data would represent this as demand for three housing arrangements. As such, adding up the data across the three housing services provides an inaccurate picture of current built form housing demand.</w:t>
      </w:r>
    </w:p>
    <w:p w14:paraId="066FE32B" w14:textId="6C861D43" w:rsidR="00070497" w:rsidRDefault="00070497" w:rsidP="004713F5">
      <w:pPr>
        <w:pStyle w:val="DHHSbody"/>
        <w:numPr>
          <w:ilvl w:val="0"/>
          <w:numId w:val="46"/>
        </w:numPr>
      </w:pPr>
      <w:r>
        <w:t>Increase</w:t>
      </w:r>
      <w:r w:rsidR="000576F0">
        <w:t xml:space="preserve">d funding for services that assist </w:t>
      </w:r>
      <w:r w:rsidR="000C551F">
        <w:t>people</w:t>
      </w:r>
      <w:r w:rsidR="000576F0">
        <w:t xml:space="preserve"> </w:t>
      </w:r>
      <w:r w:rsidR="00DD635E">
        <w:t>with their</w:t>
      </w:r>
      <w:r w:rsidR="00403303">
        <w:t xml:space="preserve"> housing and family violence</w:t>
      </w:r>
      <w:r w:rsidR="00DD635E">
        <w:t xml:space="preserve"> needs</w:t>
      </w:r>
      <w:r w:rsidR="00403303">
        <w:t xml:space="preserve"> </w:t>
      </w:r>
      <w:r w:rsidR="007D14BB">
        <w:t xml:space="preserve">can also increase the capture </w:t>
      </w:r>
      <w:r w:rsidR="006A6FCB">
        <w:t xml:space="preserve">and reporting </w:t>
      </w:r>
      <w:r w:rsidR="007D14BB">
        <w:t xml:space="preserve">of </w:t>
      </w:r>
      <w:r w:rsidR="00BC4DC1">
        <w:t>this</w:t>
      </w:r>
      <w:r w:rsidR="000C5DFA">
        <w:t xml:space="preserve"> </w:t>
      </w:r>
      <w:r w:rsidR="000C551F">
        <w:t>cohorts’</w:t>
      </w:r>
      <w:r w:rsidR="000C5DFA">
        <w:t xml:space="preserve"> </w:t>
      </w:r>
      <w:r w:rsidR="00E01688">
        <w:t>accommodation needs</w:t>
      </w:r>
      <w:r w:rsidR="00630080">
        <w:t>.</w:t>
      </w:r>
    </w:p>
    <w:p w14:paraId="292C8028" w14:textId="09BC446A" w:rsidR="00B306E1" w:rsidRDefault="009E2433" w:rsidP="004713F5">
      <w:pPr>
        <w:pStyle w:val="DHHSbody"/>
        <w:numPr>
          <w:ilvl w:val="0"/>
          <w:numId w:val="46"/>
        </w:numPr>
      </w:pPr>
      <w:r>
        <w:t xml:space="preserve">Funded agencies in the homelessness and family violence sectors may </w:t>
      </w:r>
      <w:r w:rsidR="00F12CC9">
        <w:t xml:space="preserve">vary in the </w:t>
      </w:r>
      <w:r w:rsidR="00996887">
        <w:t xml:space="preserve">practice of recording a </w:t>
      </w:r>
      <w:r w:rsidR="006A4EFB">
        <w:t>persons’</w:t>
      </w:r>
      <w:r w:rsidR="00996887">
        <w:t xml:space="preserve"> needs for accommodation. For instance, </w:t>
      </w:r>
      <w:r w:rsidR="00C739B4">
        <w:t xml:space="preserve">whether </w:t>
      </w:r>
      <w:r w:rsidR="00F12CC9">
        <w:t xml:space="preserve">a </w:t>
      </w:r>
      <w:r w:rsidR="0063021C">
        <w:t>crisis</w:t>
      </w:r>
      <w:r w:rsidR="006C7742">
        <w:t xml:space="preserve"> family violence</w:t>
      </w:r>
      <w:r w:rsidR="0063021C">
        <w:t xml:space="preserve"> </w:t>
      </w:r>
      <w:r w:rsidR="007862E5">
        <w:t>practitioner</w:t>
      </w:r>
      <w:r w:rsidR="0063021C">
        <w:t xml:space="preserve"> records</w:t>
      </w:r>
      <w:r w:rsidR="00C739B4">
        <w:t xml:space="preserve"> </w:t>
      </w:r>
      <w:r w:rsidR="00630080">
        <w:t xml:space="preserve">just </w:t>
      </w:r>
      <w:r w:rsidR="00C739B4">
        <w:t xml:space="preserve">the immediate need </w:t>
      </w:r>
      <w:r w:rsidR="007862E5">
        <w:t>for accommodation</w:t>
      </w:r>
      <w:r w:rsidR="00C739B4">
        <w:t xml:space="preserve"> (such as </w:t>
      </w:r>
      <w:r w:rsidR="00630080">
        <w:t>a refuge bed</w:t>
      </w:r>
      <w:r w:rsidR="00C739B4">
        <w:t xml:space="preserve"> for a </w:t>
      </w:r>
      <w:r w:rsidR="00630080">
        <w:t>victim-survivor</w:t>
      </w:r>
      <w:r w:rsidR="00C739B4">
        <w:t xml:space="preserve"> in crisis) or also </w:t>
      </w:r>
      <w:r w:rsidR="00BA4C6A">
        <w:t>records</w:t>
      </w:r>
      <w:r w:rsidR="00C739B4">
        <w:t xml:space="preserve"> that client’s </w:t>
      </w:r>
      <w:r w:rsidR="00E94B60">
        <w:t xml:space="preserve">anticipated </w:t>
      </w:r>
      <w:r w:rsidR="00F4545B">
        <w:t>needs (</w:t>
      </w:r>
      <w:r w:rsidR="00BA4C6A">
        <w:t xml:space="preserve">for post-crisis </w:t>
      </w:r>
      <w:r w:rsidR="00F4545B">
        <w:t>medium</w:t>
      </w:r>
      <w:r w:rsidR="00BA4C6A">
        <w:t>-</w:t>
      </w:r>
      <w:r w:rsidR="00F4545B">
        <w:t>term</w:t>
      </w:r>
      <w:r w:rsidR="00BA4C6A">
        <w:t>/</w:t>
      </w:r>
      <w:r w:rsidR="00F4545B">
        <w:t xml:space="preserve">transitional </w:t>
      </w:r>
      <w:r w:rsidR="00BA4C6A">
        <w:t xml:space="preserve">accommodation </w:t>
      </w:r>
      <w:r w:rsidR="00F4545B">
        <w:t xml:space="preserve">or </w:t>
      </w:r>
      <w:r w:rsidR="00BA4C6A">
        <w:t xml:space="preserve">future </w:t>
      </w:r>
      <w:r w:rsidR="00F4545B">
        <w:t>long</w:t>
      </w:r>
      <w:r w:rsidR="00BA4C6A">
        <w:t>-</w:t>
      </w:r>
      <w:r w:rsidR="00F4545B">
        <w:t>term housing</w:t>
      </w:r>
      <w:r w:rsidR="00E94B60">
        <w:t xml:space="preserve"> requirements).</w:t>
      </w:r>
      <w:r w:rsidR="00BA4C6A">
        <w:t xml:space="preserve"> Consistent training is provided to workers in these agencies </w:t>
      </w:r>
      <w:r w:rsidR="004979A0">
        <w:t>around data reporting, but differences are still evident.</w:t>
      </w:r>
    </w:p>
    <w:p w14:paraId="45112647" w14:textId="5103C42C" w:rsidR="004713F5" w:rsidRPr="00B826DD" w:rsidRDefault="004713F5" w:rsidP="004713F5">
      <w:pPr>
        <w:pStyle w:val="Heading2"/>
        <w:rPr>
          <w:color w:val="D72685"/>
          <w:sz w:val="32"/>
        </w:rPr>
      </w:pPr>
      <w:bookmarkStart w:id="8" w:name="_Toc95228767"/>
      <w:r w:rsidRPr="00B826DD">
        <w:rPr>
          <w:color w:val="D72685"/>
          <w:sz w:val="32"/>
        </w:rPr>
        <w:t>Caveats and details</w:t>
      </w:r>
      <w:bookmarkEnd w:id="8"/>
    </w:p>
    <w:p w14:paraId="1889B590" w14:textId="0B024E10" w:rsidR="004713F5" w:rsidRPr="00B826DD" w:rsidRDefault="007E2695" w:rsidP="007E2695">
      <w:pPr>
        <w:pStyle w:val="Heading3"/>
        <w:rPr>
          <w:rFonts w:eastAsia="MS Mincho"/>
          <w:color w:val="2D2348"/>
          <w:szCs w:val="22"/>
        </w:rPr>
      </w:pPr>
      <w:r w:rsidRPr="00B826DD">
        <w:rPr>
          <w:rFonts w:eastAsia="MS Mincho"/>
          <w:color w:val="2D2348"/>
          <w:szCs w:val="22"/>
        </w:rPr>
        <w:t>Data showing u</w:t>
      </w:r>
      <w:r w:rsidR="004713F5" w:rsidRPr="00B826DD">
        <w:rPr>
          <w:rFonts w:eastAsia="MS Mincho"/>
          <w:color w:val="2D2348"/>
          <w:szCs w:val="22"/>
        </w:rPr>
        <w:t>nmet demand within the homelessness sector</w:t>
      </w:r>
    </w:p>
    <w:p w14:paraId="2AD032F0" w14:textId="739EADAE" w:rsidR="004713F5" w:rsidRDefault="004713F5" w:rsidP="00D43263">
      <w:pPr>
        <w:pStyle w:val="DHHSbody"/>
        <w:numPr>
          <w:ilvl w:val="0"/>
          <w:numId w:val="48"/>
        </w:numPr>
      </w:pPr>
      <w:r>
        <w:t xml:space="preserve">The data has been collected from Victoria homelessness-funded agencies through the Homelessness Data Collection. </w:t>
      </w:r>
      <w:r w:rsidRPr="004713F5">
        <w:t xml:space="preserve">These agencies report the same data to the Specialist Homelessness Services Collection, a national collection managed by the Australian Institute of Health and Welfare. Agencies include homelessness entry points, crisis accommodation, case </w:t>
      </w:r>
      <w:r w:rsidRPr="004713F5">
        <w:lastRenderedPageBreak/>
        <w:t xml:space="preserve">management, and specialist family violence agencies assisting women and children, </w:t>
      </w:r>
      <w:r w:rsidR="004F2AA0">
        <w:t>as well as</w:t>
      </w:r>
      <w:r w:rsidRPr="004713F5">
        <w:t xml:space="preserve"> </w:t>
      </w:r>
      <w:r w:rsidR="00983548">
        <w:t>family violence</w:t>
      </w:r>
      <w:r w:rsidRPr="004713F5">
        <w:t xml:space="preserve"> agencies assisting men who use violence.</w:t>
      </w:r>
    </w:p>
    <w:p w14:paraId="02990D0F" w14:textId="3677C162" w:rsidR="007E2695" w:rsidRDefault="007E2695" w:rsidP="00D43263">
      <w:pPr>
        <w:pStyle w:val="DHHSbody"/>
        <w:numPr>
          <w:ilvl w:val="0"/>
          <w:numId w:val="48"/>
        </w:numPr>
      </w:pPr>
      <w:r w:rsidRPr="007E2695">
        <w:t xml:space="preserve">All records are from clients who were the head of their family unit (main client), were seeking assistance due to family violence, and needed accommodation or housing; </w:t>
      </w:r>
      <w:r w:rsidR="00F24269">
        <w:t>short-term</w:t>
      </w:r>
      <w:r w:rsidR="007B2112">
        <w:t>/</w:t>
      </w:r>
      <w:r w:rsidRPr="007E2695">
        <w:t>crisis accommodation, medium term/transitional housing</w:t>
      </w:r>
      <w:r w:rsidR="004F2AA0">
        <w:t>,</w:t>
      </w:r>
      <w:r w:rsidRPr="007E2695">
        <w:t xml:space="preserve"> or </w:t>
      </w:r>
      <w:r w:rsidR="00493790" w:rsidRPr="007E2695">
        <w:t>long-term</w:t>
      </w:r>
      <w:r w:rsidRPr="007E2695">
        <w:t xml:space="preserve"> housing.</w:t>
      </w:r>
    </w:p>
    <w:p w14:paraId="7350B490" w14:textId="559F9C5D" w:rsidR="007E2695" w:rsidRPr="007E2695" w:rsidRDefault="007E2695" w:rsidP="00D43263">
      <w:pPr>
        <w:pStyle w:val="DHHSbody"/>
        <w:numPr>
          <w:ilvl w:val="0"/>
          <w:numId w:val="48"/>
        </w:numPr>
      </w:pPr>
      <w:r w:rsidRPr="007E2695">
        <w:t>These are mutually exclusive categories for each type of accommodation/housing</w:t>
      </w:r>
      <w:r>
        <w:t>,</w:t>
      </w:r>
      <w:r w:rsidRPr="007E2695">
        <w:t xml:space="preserve"> so can be summed. </w:t>
      </w:r>
      <w:r w:rsidR="004F2AA0">
        <w:t>They indicate</w:t>
      </w:r>
      <w:r w:rsidR="004F2AA0" w:rsidRPr="007E2695">
        <w:t xml:space="preserve"> </w:t>
      </w:r>
      <w:r w:rsidRPr="007E2695">
        <w:t xml:space="preserve">whether the need was able to be met </w:t>
      </w:r>
      <w:r w:rsidRPr="007E2695">
        <w:rPr>
          <w:i/>
          <w:iCs/>
        </w:rPr>
        <w:t>within the calendar month</w:t>
      </w:r>
      <w:r w:rsidRPr="007E2695">
        <w:t xml:space="preserve">. If the client presented at the end of the month, the need </w:t>
      </w:r>
      <w:r w:rsidR="004F2AA0">
        <w:t>is</w:t>
      </w:r>
      <w:r w:rsidRPr="007E2695">
        <w:t xml:space="preserve"> more likely to have been unmet. Clients can need more than one service in a support period and month.</w:t>
      </w:r>
    </w:p>
    <w:p w14:paraId="67405DC4" w14:textId="4E229928" w:rsidR="007E2695" w:rsidRDefault="007E2695" w:rsidP="00D43263">
      <w:pPr>
        <w:pStyle w:val="DHHSbody"/>
        <w:numPr>
          <w:ilvl w:val="0"/>
          <w:numId w:val="48"/>
        </w:numPr>
      </w:pPr>
      <w:r w:rsidRPr="007E2695">
        <w:t xml:space="preserve">Only clients </w:t>
      </w:r>
      <w:r w:rsidR="001671D6">
        <w:t xml:space="preserve">for whom agencies reported </w:t>
      </w:r>
      <w:r w:rsidRPr="007E2695">
        <w:t xml:space="preserve">valid </w:t>
      </w:r>
      <w:r w:rsidR="001671D6">
        <w:t>statistical linkage keys (</w:t>
      </w:r>
      <w:r w:rsidRPr="007E2695">
        <w:t>SLKs</w:t>
      </w:r>
      <w:r w:rsidR="001671D6">
        <w:t xml:space="preserve"> - </w:t>
      </w:r>
      <w:r w:rsidRPr="007E2695">
        <w:t>accurate and complete letters from name, date of birth, sex) were included.</w:t>
      </w:r>
    </w:p>
    <w:p w14:paraId="56B733BE" w14:textId="50274E3D" w:rsidR="007E2695" w:rsidRDefault="007E2695" w:rsidP="00D43263">
      <w:pPr>
        <w:pStyle w:val="DHHSbody"/>
        <w:numPr>
          <w:ilvl w:val="0"/>
          <w:numId w:val="48"/>
        </w:numPr>
      </w:pPr>
      <w:r>
        <w:t xml:space="preserve">Main clients were excluded if they were under 16 at the start of support. </w:t>
      </w:r>
      <w:r w:rsidRPr="007E2695">
        <w:t>Children</w:t>
      </w:r>
      <w:r>
        <w:t xml:space="preserve">, if over 16, </w:t>
      </w:r>
      <w:r w:rsidRPr="007E2695">
        <w:t>are counted as clients if they received a direct service such as assessment or accommodation.</w:t>
      </w:r>
      <w:r>
        <w:t xml:space="preserve"> This is </w:t>
      </w:r>
      <w:r w:rsidR="004F2AA0">
        <w:t xml:space="preserve">used </w:t>
      </w:r>
      <w:r>
        <w:t>as a proxy for counting at the household unit of demand.</w:t>
      </w:r>
    </w:p>
    <w:p w14:paraId="43146EC3" w14:textId="6CD8725F" w:rsidR="007E2695" w:rsidRDefault="003A6B41" w:rsidP="00D43263">
      <w:pPr>
        <w:pStyle w:val="DHHSbody"/>
        <w:numPr>
          <w:ilvl w:val="0"/>
          <w:numId w:val="48"/>
        </w:numPr>
      </w:pPr>
      <w:r>
        <w:t>When</w:t>
      </w:r>
      <w:r w:rsidR="007E2695">
        <w:t xml:space="preserve"> people have had ‘Referral arranged’ selected by a service provider</w:t>
      </w:r>
      <w:r>
        <w:t xml:space="preserve"> in record data</w:t>
      </w:r>
      <w:r w:rsidR="007E2695">
        <w:t>, this demand is count</w:t>
      </w:r>
      <w:r w:rsidR="004F2AA0">
        <w:t>ed</w:t>
      </w:r>
      <w:r w:rsidR="007E2695">
        <w:t xml:space="preserve"> as met. </w:t>
      </w:r>
      <w:r w:rsidR="00983548">
        <w:t>This may be assistance by the service</w:t>
      </w:r>
      <w:r w:rsidR="007E2695">
        <w:t xml:space="preserve"> to submit an application </w:t>
      </w:r>
      <w:r w:rsidR="00066DB8">
        <w:t>on</w:t>
      </w:r>
      <w:r w:rsidR="007E2695">
        <w:t xml:space="preserve"> the </w:t>
      </w:r>
      <w:r w:rsidR="005E0D56">
        <w:t xml:space="preserve">VHR </w:t>
      </w:r>
      <w:r w:rsidR="007E2695">
        <w:t>or assistance securing tenure in the private rental market.</w:t>
      </w:r>
      <w:r w:rsidR="00950F3C">
        <w:t xml:space="preserve"> </w:t>
      </w:r>
    </w:p>
    <w:p w14:paraId="6CDC0BCF" w14:textId="153FF23A" w:rsidR="00066DB8" w:rsidRDefault="00346FB3" w:rsidP="00D43263">
      <w:pPr>
        <w:pStyle w:val="DHHSbody"/>
        <w:numPr>
          <w:ilvl w:val="0"/>
          <w:numId w:val="48"/>
        </w:numPr>
      </w:pPr>
      <w:r w:rsidRPr="00346FB3">
        <w:t>General homelessness service providers usually, but not always, provide support and referrals to housing pathways.</w:t>
      </w:r>
      <w:r>
        <w:t xml:space="preserve"> </w:t>
      </w:r>
      <w:r w:rsidR="00B54494">
        <w:t>However, f</w:t>
      </w:r>
      <w:r w:rsidR="006D0253" w:rsidRPr="006D0253">
        <w:t>amily violence services for perpetrators of violence very rarely provide support and referrals to housing pathways, as their support focus is on behavioural reform and counselling.</w:t>
      </w:r>
      <w:r w:rsidR="006D0253">
        <w:t xml:space="preserve"> As such, some housing demand </w:t>
      </w:r>
      <w:r w:rsidR="00060008">
        <w:t>recorded</w:t>
      </w:r>
      <w:r w:rsidR="006D0253">
        <w:t xml:space="preserve"> from ‘Other homelessness and family violence service providers’ </w:t>
      </w:r>
      <w:r w:rsidR="00060008">
        <w:t>is</w:t>
      </w:r>
      <w:r w:rsidR="006D0253">
        <w:t xml:space="preserve"> always going to be unmet – as the provider registering the demand does not provide housing services nor referrals. </w:t>
      </w:r>
    </w:p>
    <w:p w14:paraId="139C2D1D" w14:textId="233BAB3A" w:rsidR="007E2695" w:rsidRPr="00B826DD" w:rsidRDefault="007E2695" w:rsidP="007E2695">
      <w:pPr>
        <w:pStyle w:val="Heading3"/>
        <w:rPr>
          <w:rFonts w:eastAsia="MS Mincho"/>
          <w:color w:val="2D2348"/>
          <w:szCs w:val="22"/>
        </w:rPr>
      </w:pPr>
      <w:r w:rsidRPr="00B826DD">
        <w:rPr>
          <w:rFonts w:eastAsia="MS Mincho"/>
          <w:color w:val="2D2348"/>
          <w:szCs w:val="22"/>
        </w:rPr>
        <w:t xml:space="preserve">Data showing unmet demand in </w:t>
      </w:r>
      <w:r w:rsidR="14480065" w:rsidRPr="00B826DD">
        <w:rPr>
          <w:rFonts w:eastAsia="MS Mincho"/>
          <w:color w:val="2D2348"/>
          <w:szCs w:val="22"/>
        </w:rPr>
        <w:t xml:space="preserve">the </w:t>
      </w:r>
      <w:r w:rsidR="0052291C" w:rsidRPr="00B826DD">
        <w:rPr>
          <w:rFonts w:eastAsia="MS Mincho"/>
          <w:color w:val="2D2348"/>
          <w:szCs w:val="22"/>
        </w:rPr>
        <w:t>social</w:t>
      </w:r>
      <w:r w:rsidRPr="00B826DD">
        <w:rPr>
          <w:rFonts w:eastAsia="MS Mincho"/>
          <w:color w:val="2D2348"/>
          <w:szCs w:val="22"/>
        </w:rPr>
        <w:t xml:space="preserve"> housing sector</w:t>
      </w:r>
    </w:p>
    <w:p w14:paraId="381F5683" w14:textId="58FAD365" w:rsidR="007E2695" w:rsidRDefault="00AC7BCA" w:rsidP="007E2695">
      <w:pPr>
        <w:pStyle w:val="DHHSbody"/>
        <w:numPr>
          <w:ilvl w:val="0"/>
          <w:numId w:val="47"/>
        </w:numPr>
      </w:pPr>
      <w:r>
        <w:t xml:space="preserve">For applicants who have been approved to the VHR for the reason of family violence, </w:t>
      </w:r>
      <w:r w:rsidR="0073714B">
        <w:t xml:space="preserve">we </w:t>
      </w:r>
      <w:r>
        <w:t xml:space="preserve">count households </w:t>
      </w:r>
      <w:r w:rsidR="007E2695">
        <w:t xml:space="preserve">who have been approved </w:t>
      </w:r>
      <w:r>
        <w:t>under</w:t>
      </w:r>
      <w:r w:rsidR="007E2695">
        <w:t xml:space="preserve"> ‘special housing needs’, ‘priority transfers’ or ‘homeless with support’</w:t>
      </w:r>
      <w:r>
        <w:t>.</w:t>
      </w:r>
    </w:p>
    <w:p w14:paraId="219A4AB8" w14:textId="31322C66" w:rsidR="007E2695" w:rsidRDefault="007E2695" w:rsidP="007E2695">
      <w:pPr>
        <w:pStyle w:val="DHHSbody"/>
        <w:numPr>
          <w:ilvl w:val="0"/>
          <w:numId w:val="47"/>
        </w:numPr>
      </w:pPr>
      <w:r>
        <w:t xml:space="preserve">The data only counts primary applicants who have been approved rather than any applicant </w:t>
      </w:r>
      <w:r w:rsidR="00AC7BCA">
        <w:t xml:space="preserve">within a household </w:t>
      </w:r>
      <w:r>
        <w:t xml:space="preserve">who has </w:t>
      </w:r>
      <w:r w:rsidR="00AC7BCA">
        <w:t>either been approved for reasons of family violence or part of a household where there was an indication that support for reason of family violence may be needed. T</w:t>
      </w:r>
      <w:r>
        <w:t xml:space="preserve">his is to avoid counting each member of a household as separate demand – this is a proxy for counting at the household unit of demand. </w:t>
      </w:r>
    </w:p>
    <w:p w14:paraId="7C783A44" w14:textId="142EDF4C" w:rsidR="00A75033" w:rsidRDefault="00A02102" w:rsidP="00A75033">
      <w:pPr>
        <w:pStyle w:val="DHHSbody"/>
        <w:numPr>
          <w:ilvl w:val="0"/>
          <w:numId w:val="47"/>
        </w:numPr>
      </w:pPr>
      <w:r>
        <w:t>There are many reasons why an application is removed from the VHR. Including that they have been housed by the social housing system, that the applicant has not stayed in touch with the department, the applicant is no longer eligible for social housing or that their housing need has been met in an alternate way.</w:t>
      </w:r>
    </w:p>
    <w:p w14:paraId="409D02B8" w14:textId="22C2FBC4" w:rsidR="00A75033" w:rsidRDefault="00A75033" w:rsidP="00A75033">
      <w:pPr>
        <w:pStyle w:val="Accessibilitypara"/>
        <w:pBdr>
          <w:top w:val="single" w:sz="4" w:space="1" w:color="auto"/>
          <w:left w:val="single" w:sz="4" w:space="4" w:color="auto"/>
          <w:bottom w:val="single" w:sz="4" w:space="1" w:color="auto"/>
          <w:right w:val="single" w:sz="4" w:space="4" w:color="auto"/>
        </w:pBdr>
        <w:ind w:left="360"/>
      </w:pPr>
      <w:r>
        <w:t xml:space="preserve">To receive this document in another format, </w:t>
      </w:r>
      <w:hyperlink r:id="rId15" w:history="1">
        <w:r w:rsidRPr="00290D63">
          <w:rPr>
            <w:rStyle w:val="Hyperlink"/>
          </w:rPr>
          <w:t xml:space="preserve">email </w:t>
        </w:r>
        <w:r w:rsidR="00290D63" w:rsidRPr="00290D63">
          <w:rPr>
            <w:rStyle w:val="Hyperlink"/>
          </w:rPr>
          <w:t>SHR homes</w:t>
        </w:r>
      </w:hyperlink>
      <w:r w:rsidR="00290D63">
        <w:t xml:space="preserve"> </w:t>
      </w:r>
      <w:r>
        <w:t>&lt;</w:t>
      </w:r>
      <w:r w:rsidR="00290D63" w:rsidRPr="00290D63">
        <w:rPr>
          <w:sz w:val="20"/>
          <w:szCs w:val="20"/>
        </w:rPr>
        <w:t>shr@homes.vic.gov.au</w:t>
      </w:r>
      <w:r>
        <w:t>&gt;.</w:t>
      </w:r>
    </w:p>
    <w:p w14:paraId="627E348B" w14:textId="77777777" w:rsidR="00A75033" w:rsidRDefault="00A75033" w:rsidP="00A75033">
      <w:pPr>
        <w:pStyle w:val="Imprint"/>
        <w:pBdr>
          <w:top w:val="single" w:sz="4" w:space="1" w:color="auto"/>
          <w:left w:val="single" w:sz="4" w:space="4" w:color="auto"/>
          <w:bottom w:val="single" w:sz="4" w:space="1" w:color="auto"/>
          <w:right w:val="single" w:sz="4" w:space="4" w:color="auto"/>
        </w:pBdr>
        <w:ind w:left="360"/>
      </w:pPr>
      <w:r>
        <w:t>Authorised and published by the Victorian Government, 1 Treasury Place, Melbourne.</w:t>
      </w:r>
    </w:p>
    <w:p w14:paraId="1EB2A153" w14:textId="77777777" w:rsidR="00A75033" w:rsidRDefault="00A75033" w:rsidP="00A75033">
      <w:pPr>
        <w:pStyle w:val="Imprint"/>
        <w:pBdr>
          <w:top w:val="single" w:sz="4" w:space="1" w:color="auto"/>
          <w:left w:val="single" w:sz="4" w:space="4" w:color="auto"/>
          <w:bottom w:val="single" w:sz="4" w:space="1" w:color="auto"/>
          <w:right w:val="single" w:sz="4" w:space="4" w:color="auto"/>
        </w:pBdr>
        <w:ind w:left="360"/>
      </w:pPr>
      <w:r>
        <w:t>© State of Victoria, Australia, Department of Families, Fairness and Housing, June 2021</w:t>
      </w:r>
    </w:p>
    <w:p w14:paraId="45E3A50C" w14:textId="77777777" w:rsidR="00A75033" w:rsidRDefault="00A75033" w:rsidP="00A75033">
      <w:pPr>
        <w:pStyle w:val="Imprint"/>
        <w:pBdr>
          <w:top w:val="single" w:sz="4" w:space="1" w:color="auto"/>
          <w:left w:val="single" w:sz="4" w:space="4" w:color="auto"/>
          <w:bottom w:val="single" w:sz="4" w:space="1" w:color="auto"/>
          <w:right w:val="single" w:sz="4" w:space="4" w:color="auto"/>
        </w:pBdr>
        <w:ind w:left="360"/>
      </w:pPr>
      <w:bookmarkStart w:id="9" w:name="_Hlk62746129"/>
      <w:r>
        <w:t xml:space="preserve">Available at </w:t>
      </w:r>
      <w:hyperlink r:id="rId16" w:history="1">
        <w:r>
          <w:rPr>
            <w:rStyle w:val="Hyperlink"/>
          </w:rPr>
          <w:t>Unmet housing demand for people affected by family violence</w:t>
        </w:r>
      </w:hyperlink>
      <w:r>
        <w:t xml:space="preserve"> &lt;https://www.dffh.vic.gov.au/publications/unmet-housing-demand-people-affected-family-violence&gt;</w:t>
      </w:r>
      <w:bookmarkEnd w:id="9"/>
    </w:p>
    <w:sectPr w:rsidR="00A75033" w:rsidSect="00BA5E47">
      <w:headerReference w:type="default" r:id="rId17"/>
      <w:footerReference w:type="default" r:id="rId18"/>
      <w:footerReference w:type="first" r:id="rId19"/>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4E920" w14:textId="77777777" w:rsidR="00C43077" w:rsidRDefault="00C43077">
      <w:r>
        <w:separator/>
      </w:r>
    </w:p>
  </w:endnote>
  <w:endnote w:type="continuationSeparator" w:id="0">
    <w:p w14:paraId="68F8B9A4" w14:textId="77777777" w:rsidR="00C43077" w:rsidRDefault="00C43077">
      <w:r>
        <w:continuationSeparator/>
      </w:r>
    </w:p>
  </w:endnote>
  <w:endnote w:type="continuationNotice" w:id="1">
    <w:p w14:paraId="1A8D9FDA" w14:textId="77777777" w:rsidR="00C43077" w:rsidRDefault="00C43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537AE" w14:textId="34FBC4A8" w:rsidR="00A44EBE" w:rsidRDefault="006F5D8A">
    <w:pPr>
      <w:pStyle w:val="Footer"/>
    </w:pPr>
    <w:r>
      <w:rPr>
        <w:noProof/>
        <w:lang w:eastAsia="en-AU"/>
      </w:rPr>
      <w:drawing>
        <wp:anchor distT="0" distB="0" distL="114300" distR="114300" simplePos="0" relativeHeight="251658246" behindDoc="1" locked="0" layoutInCell="1" allowOverlap="1" wp14:anchorId="39B423B8" wp14:editId="0195534D">
          <wp:simplePos x="0" y="0"/>
          <wp:positionH relativeFrom="column">
            <wp:posOffset>-828040</wp:posOffset>
          </wp:positionH>
          <wp:positionV relativeFrom="page">
            <wp:posOffset>10039350</wp:posOffset>
          </wp:positionV>
          <wp:extent cx="1981200" cy="647700"/>
          <wp:effectExtent l="0" t="0" r="0" b="0"/>
          <wp:wrapNone/>
          <wp:docPr id="13" name="Picture 13" descr="Home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Homes Victoria"/>
                  <pic:cNvPicPr/>
                </pic:nvPicPr>
                <pic:blipFill>
                  <a:blip r:embed="rId1"/>
                  <a:stretch>
                    <a:fillRect/>
                  </a:stretch>
                </pic:blipFill>
                <pic:spPr>
                  <a:xfrm>
                    <a:off x="0" y="0"/>
                    <a:ext cx="1981200" cy="6477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5" behindDoc="1" locked="1" layoutInCell="1" allowOverlap="1" wp14:anchorId="3AEE9D22" wp14:editId="0CDE4413">
          <wp:simplePos x="0" y="0"/>
          <wp:positionH relativeFrom="page">
            <wp:posOffset>6012180</wp:posOffset>
          </wp:positionH>
          <wp:positionV relativeFrom="page">
            <wp:posOffset>10046335</wp:posOffset>
          </wp:positionV>
          <wp:extent cx="1547495" cy="648970"/>
          <wp:effectExtent l="0" t="0" r="0" b="0"/>
          <wp:wrapNone/>
          <wp:docPr id="11" name="Picture 11"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pic:cNvPicPr/>
                </pic:nvPicPr>
                <pic:blipFill>
                  <a:blip r:embed="rId2"/>
                  <a:stretch>
                    <a:fillRect/>
                  </a:stretch>
                </pic:blipFill>
                <pic:spPr>
                  <a:xfrm>
                    <a:off x="0" y="0"/>
                    <a:ext cx="1547495" cy="648970"/>
                  </a:xfrm>
                  <a:prstGeom prst="rect">
                    <a:avLst/>
                  </a:prstGeom>
                </pic:spPr>
              </pic:pic>
            </a:graphicData>
          </a:graphic>
          <wp14:sizeRelH relativeFrom="margin">
            <wp14:pctWidth>0</wp14:pctWidth>
          </wp14:sizeRelH>
          <wp14:sizeRelV relativeFrom="margin">
            <wp14:pctHeight>0</wp14:pctHeight>
          </wp14:sizeRelV>
        </wp:anchor>
      </w:drawing>
    </w:r>
    <w:r w:rsidR="00035FB0">
      <w:rPr>
        <w:noProof/>
      </w:rPr>
      <mc:AlternateContent>
        <mc:Choice Requires="wps">
          <w:drawing>
            <wp:anchor distT="0" distB="0" distL="114300" distR="114300" simplePos="0" relativeHeight="251658241" behindDoc="0" locked="0" layoutInCell="0" allowOverlap="1" wp14:anchorId="5674A4D0" wp14:editId="53E3A9E3">
              <wp:simplePos x="0" y="0"/>
              <wp:positionH relativeFrom="page">
                <wp:posOffset>0</wp:posOffset>
              </wp:positionH>
              <wp:positionV relativeFrom="page">
                <wp:posOffset>10189210</wp:posOffset>
              </wp:positionV>
              <wp:extent cx="7560310" cy="311785"/>
              <wp:effectExtent l="0" t="0" r="0" b="12065"/>
              <wp:wrapNone/>
              <wp:docPr id="4" name="MSIPCMdfd04d088009c8ac81417062"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E61C90" w14:textId="77777777" w:rsidR="00035FB0" w:rsidRPr="00035FB0" w:rsidRDefault="00035FB0" w:rsidP="00035FB0">
                          <w:pPr>
                            <w:jc w:val="center"/>
                            <w:rPr>
                              <w:rFonts w:ascii="Arial Black" w:hAnsi="Arial Black"/>
                              <w:color w:val="000000"/>
                            </w:rPr>
                          </w:pPr>
                          <w:r w:rsidRPr="00035FB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74A4D0" id="_x0000_t202" coordsize="21600,21600" o:spt="202" path="m,l,21600r21600,l21600,xe">
              <v:stroke joinstyle="miter"/>
              <v:path gradientshapeok="t" o:connecttype="rect"/>
            </v:shapetype>
            <v:shape id="MSIPCMdfd04d088009c8ac81417062" o:spid="_x0000_s1026" type="#_x0000_t202" alt="{&quot;HashCode&quot;:904758361,&quot;Height&quot;:841.0,&quot;Width&quot;:595.0,&quot;Placement&quot;:&quot;Footer&quot;,&quot;Index&quot;:&quot;OddAndEven&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BgK4L68CAABIBQAADgAA&#10;AAAAAAAAAAAAAAAuAgAAZHJzL2Uyb0RvYy54bWxQSwECLQAUAAYACAAAACEASA1emt8AAAALAQAA&#10;DwAAAAAAAAAAAAAAAAAJBQAAZHJzL2Rvd25yZXYueG1sUEsFBgAAAAAEAAQA8wAAABUGAAAAAA==&#10;" o:allowincell="f" filled="f" stroked="f" strokeweight=".5pt">
              <v:textbox inset=",0,,0">
                <w:txbxContent>
                  <w:p w14:paraId="2BE61C90" w14:textId="77777777" w:rsidR="00035FB0" w:rsidRPr="00035FB0" w:rsidRDefault="00035FB0" w:rsidP="00035FB0">
                    <w:pPr>
                      <w:jc w:val="center"/>
                      <w:rPr>
                        <w:rFonts w:ascii="Arial Black" w:hAnsi="Arial Black"/>
                        <w:color w:val="000000"/>
                      </w:rPr>
                    </w:pPr>
                    <w:r w:rsidRPr="00035FB0">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36482" w14:textId="77777777" w:rsidR="00A44EBE" w:rsidRDefault="00035FB0">
    <w:pPr>
      <w:pStyle w:val="Footer"/>
    </w:pPr>
    <w:r>
      <w:rPr>
        <w:noProof/>
      </w:rPr>
      <mc:AlternateContent>
        <mc:Choice Requires="wps">
          <w:drawing>
            <wp:anchor distT="0" distB="0" distL="114300" distR="114300" simplePos="0" relativeHeight="251658240" behindDoc="0" locked="0" layoutInCell="0" allowOverlap="1" wp14:anchorId="5FF939A3" wp14:editId="772509B0">
              <wp:simplePos x="0" y="0"/>
              <wp:positionH relativeFrom="page">
                <wp:posOffset>0</wp:posOffset>
              </wp:positionH>
              <wp:positionV relativeFrom="page">
                <wp:posOffset>10189210</wp:posOffset>
              </wp:positionV>
              <wp:extent cx="7560310" cy="311785"/>
              <wp:effectExtent l="0" t="0" r="0" b="12065"/>
              <wp:wrapNone/>
              <wp:docPr id="2" name="MSIPCM444b4f879ef848c8b4d187a6"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38D5C7" w14:textId="77777777" w:rsidR="00035FB0" w:rsidRPr="00035FB0" w:rsidRDefault="00035FB0" w:rsidP="00035FB0">
                          <w:pPr>
                            <w:jc w:val="center"/>
                            <w:rPr>
                              <w:rFonts w:ascii="Arial Black" w:hAnsi="Arial Black"/>
                              <w:color w:val="000000"/>
                            </w:rPr>
                          </w:pPr>
                          <w:r w:rsidRPr="00035FB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F939A3" id="_x0000_t202" coordsize="21600,21600" o:spt="202" path="m,l,21600r21600,l21600,xe">
              <v:stroke joinstyle="miter"/>
              <v:path gradientshapeok="t" o:connecttype="rect"/>
            </v:shapetype>
            <v:shape id="MSIPCM444b4f879ef848c8b4d187a6"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9y0rn68CAABMBQAADgAA&#10;AAAAAAAAAAAAAAAuAgAAZHJzL2Uyb0RvYy54bWxQSwECLQAUAAYACAAAACEASA1emt8AAAALAQAA&#10;DwAAAAAAAAAAAAAAAAAJBQAAZHJzL2Rvd25yZXYueG1sUEsFBgAAAAAEAAQA8wAAABUGAAAAAA==&#10;" o:allowincell="f" filled="f" stroked="f" strokeweight=".5pt">
              <v:textbox inset=",0,,0">
                <w:txbxContent>
                  <w:p w14:paraId="4C38D5C7" w14:textId="77777777" w:rsidR="00035FB0" w:rsidRPr="00035FB0" w:rsidRDefault="00035FB0" w:rsidP="00035FB0">
                    <w:pPr>
                      <w:jc w:val="center"/>
                      <w:rPr>
                        <w:rFonts w:ascii="Arial Black" w:hAnsi="Arial Black"/>
                        <w:color w:val="000000"/>
                      </w:rPr>
                    </w:pPr>
                    <w:r w:rsidRPr="00035FB0">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6132" w14:textId="77777777" w:rsidR="00290D63" w:rsidRDefault="00290D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3599" w14:textId="35F392B7" w:rsidR="00977C63" w:rsidRPr="0031753A" w:rsidRDefault="00A75033" w:rsidP="00E969B1">
    <w:pPr>
      <w:pStyle w:val="DHHSfooter"/>
    </w:pPr>
    <w:r>
      <w:rPr>
        <w:noProof/>
      </w:rPr>
      <mc:AlternateContent>
        <mc:Choice Requires="wps">
          <w:drawing>
            <wp:anchor distT="0" distB="0" distL="114300" distR="114300" simplePos="0" relativeHeight="251659270" behindDoc="0" locked="0" layoutInCell="0" allowOverlap="1" wp14:anchorId="5C5056E9" wp14:editId="60229D55">
              <wp:simplePos x="0" y="0"/>
              <wp:positionH relativeFrom="page">
                <wp:posOffset>0</wp:posOffset>
              </wp:positionH>
              <wp:positionV relativeFrom="page">
                <wp:posOffset>10189210</wp:posOffset>
              </wp:positionV>
              <wp:extent cx="7560310" cy="311785"/>
              <wp:effectExtent l="0" t="0" r="0" b="12065"/>
              <wp:wrapNone/>
              <wp:docPr id="1" name="MSIPCMd4764bdc94fe6a15a9adba1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06F0C" w14:textId="4B6A59BF" w:rsidR="00A75033" w:rsidRPr="00A75033" w:rsidRDefault="00A75033" w:rsidP="00A75033">
                          <w:pPr>
                            <w:jc w:val="center"/>
                            <w:rPr>
                              <w:rFonts w:ascii="Arial Black" w:hAnsi="Arial Black"/>
                              <w:color w:val="000000"/>
                            </w:rPr>
                          </w:pPr>
                          <w:r w:rsidRPr="00A75033">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5056E9" id="_x0000_t202" coordsize="21600,21600" o:spt="202" path="m,l,21600r21600,l21600,xe">
              <v:stroke joinstyle="miter"/>
              <v:path gradientshapeok="t" o:connecttype="rect"/>
            </v:shapetype>
            <v:shape id="MSIPCMd4764bdc94fe6a15a9adba1e"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927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ho8PBq8CAABMBQAADgAA&#10;AAAAAAAAAAAAAAAuAgAAZHJzL2Uyb0RvYy54bWxQSwECLQAUAAYACAAAACEASA1emt8AAAALAQAA&#10;DwAAAAAAAAAAAAAAAAAJBQAAZHJzL2Rvd25yZXYueG1sUEsFBgAAAAAEAAQA8wAAABUGAAAAAA==&#10;" o:allowincell="f" filled="f" stroked="f" strokeweight=".5pt">
              <v:fill o:detectmouseclick="t"/>
              <v:textbox inset=",0,,0">
                <w:txbxContent>
                  <w:p w14:paraId="10506F0C" w14:textId="4B6A59BF" w:rsidR="00A75033" w:rsidRPr="00A75033" w:rsidRDefault="00A75033" w:rsidP="00A75033">
                    <w:pPr>
                      <w:jc w:val="center"/>
                      <w:rPr>
                        <w:rFonts w:ascii="Arial Black" w:hAnsi="Arial Black"/>
                        <w:color w:val="000000"/>
                      </w:rPr>
                    </w:pPr>
                    <w:r w:rsidRPr="00A75033">
                      <w:rPr>
                        <w:rFonts w:ascii="Arial Black" w:hAnsi="Arial Black"/>
                        <w:color w:val="000000"/>
                      </w:rPr>
                      <w:t>OFFICIAL</w:t>
                    </w:r>
                  </w:p>
                </w:txbxContent>
              </v:textbox>
              <w10:wrap anchorx="page" anchory="page"/>
            </v:shape>
          </w:pict>
        </mc:Fallback>
      </mc:AlternateContent>
    </w:r>
    <w:r w:rsidR="006F5D8A">
      <w:rPr>
        <w:noProof/>
      </w:rPr>
      <mc:AlternateContent>
        <mc:Choice Requires="wps">
          <w:drawing>
            <wp:anchor distT="0" distB="0" distL="114300" distR="114300" simplePos="0" relativeHeight="251658242" behindDoc="0" locked="0" layoutInCell="0" allowOverlap="1" wp14:anchorId="36B9EF01" wp14:editId="17FBAE29">
              <wp:simplePos x="0" y="0"/>
              <wp:positionH relativeFrom="page">
                <wp:posOffset>-19050</wp:posOffset>
              </wp:positionH>
              <wp:positionV relativeFrom="page">
                <wp:posOffset>10353675</wp:posOffset>
              </wp:positionV>
              <wp:extent cx="7560310" cy="311785"/>
              <wp:effectExtent l="0" t="0" r="0" b="12065"/>
              <wp:wrapNone/>
              <wp:docPr id="9" name="MSIPCM194f4a91bd316a94eeb6747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4A8364" w14:textId="77777777" w:rsidR="007D4F0A" w:rsidRPr="00035FB0" w:rsidRDefault="007D4F0A" w:rsidP="007D4F0A">
                          <w:pPr>
                            <w:jc w:val="center"/>
                            <w:rPr>
                              <w:rFonts w:ascii="Arial Black" w:hAnsi="Arial Black"/>
                              <w:color w:val="000000"/>
                            </w:rPr>
                          </w:pPr>
                          <w:r w:rsidRPr="00035FB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6B9EF01" id="MSIPCM194f4a91bd316a94eeb67471" o:spid="_x0000_s1029" type="#_x0000_t202" alt="{&quot;HashCode&quot;:904758361,&quot;Height&quot;:841.0,&quot;Width&quot;:595.0,&quot;Placement&quot;:&quot;Footer&quot;,&quot;Index&quot;:&quot;Primary&quot;,&quot;Section&quot;:3,&quot;Top&quot;:0.0,&quot;Left&quot;:0.0}" style="position:absolute;margin-left:-1.5pt;margin-top:815.2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" o:allowincell="f" filled="f" stroked="f" strokeweight=".5pt">
              <v:textbox inset=",0,,0">
                <w:txbxContent>
                  <w:p w14:paraId="0A4A8364" w14:textId="77777777" w:rsidR="007D4F0A" w:rsidRPr="00035FB0" w:rsidRDefault="007D4F0A" w:rsidP="007D4F0A">
                    <w:pPr>
                      <w:jc w:val="center"/>
                      <w:rPr>
                        <w:rFonts w:ascii="Arial Black" w:hAnsi="Arial Black"/>
                        <w:color w:val="000000"/>
                      </w:rPr>
                    </w:pPr>
                    <w:r w:rsidRPr="00035FB0">
                      <w:rPr>
                        <w:rFonts w:ascii="Arial Black" w:hAnsi="Arial Black"/>
                        <w:color w:val="000000"/>
                      </w:rPr>
                      <w:t>OFFICIAL</w:t>
                    </w:r>
                  </w:p>
                </w:txbxContent>
              </v:textbox>
              <w10:wrap anchorx="page" anchory="page"/>
            </v:shape>
          </w:pict>
        </mc:Fallback>
      </mc:AlternateContent>
    </w:r>
    <w:r w:rsidR="006F5D8A">
      <w:rPr>
        <w:noProof/>
        <w:lang w:eastAsia="en-AU"/>
      </w:rPr>
      <w:drawing>
        <wp:anchor distT="0" distB="0" distL="114300" distR="114300" simplePos="0" relativeHeight="251658244" behindDoc="1" locked="1" layoutInCell="1" allowOverlap="1" wp14:anchorId="45DA384C" wp14:editId="3893F903">
          <wp:simplePos x="0" y="0"/>
          <wp:positionH relativeFrom="page">
            <wp:posOffset>5991225</wp:posOffset>
          </wp:positionH>
          <wp:positionV relativeFrom="page">
            <wp:posOffset>10028555</wp:posOffset>
          </wp:positionV>
          <wp:extent cx="1547495" cy="648970"/>
          <wp:effectExtent l="0" t="0" r="0" b="0"/>
          <wp:wrapNone/>
          <wp:docPr id="10" name="Picture 10"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pic:cNvPicPr/>
                </pic:nvPicPr>
                <pic:blipFill>
                  <a:blip r:embed="rId1"/>
                  <a:stretch>
                    <a:fillRect/>
                  </a:stretch>
                </pic:blipFill>
                <pic:spPr>
                  <a:xfrm>
                    <a:off x="0" y="0"/>
                    <a:ext cx="1547495" cy="648970"/>
                  </a:xfrm>
                  <a:prstGeom prst="rect">
                    <a:avLst/>
                  </a:prstGeom>
                </pic:spPr>
              </pic:pic>
            </a:graphicData>
          </a:graphic>
          <wp14:sizeRelH relativeFrom="margin">
            <wp14:pctWidth>0</wp14:pctWidth>
          </wp14:sizeRelH>
          <wp14:sizeRelV relativeFrom="margin">
            <wp14:pctHeight>0</wp14:pctHeight>
          </wp14:sizeRelV>
        </wp:anchor>
      </w:drawing>
    </w:r>
    <w:r w:rsidR="00903F07">
      <w:rPr>
        <w:noProof/>
        <w:lang w:eastAsia="en-AU"/>
      </w:rPr>
      <w:drawing>
        <wp:anchor distT="0" distB="0" distL="114300" distR="114300" simplePos="0" relativeHeight="251658243" behindDoc="1" locked="0" layoutInCell="1" allowOverlap="1" wp14:anchorId="041FDA74" wp14:editId="3BB6210E">
          <wp:simplePos x="0" y="0"/>
          <wp:positionH relativeFrom="column">
            <wp:posOffset>-847725</wp:posOffset>
          </wp:positionH>
          <wp:positionV relativeFrom="page">
            <wp:posOffset>10034270</wp:posOffset>
          </wp:positionV>
          <wp:extent cx="1981200" cy="647700"/>
          <wp:effectExtent l="0" t="0" r="0" b="0"/>
          <wp:wrapNone/>
          <wp:docPr id="12" name="Picture 12" descr="Home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Homes Victoria"/>
                  <pic:cNvPicPr/>
                </pic:nvPicPr>
                <pic:blipFill>
                  <a:blip r:embed="rId2"/>
                  <a:stretch>
                    <a:fillRect/>
                  </a:stretch>
                </pic:blipFill>
                <pic:spPr>
                  <a:xfrm>
                    <a:off x="0" y="0"/>
                    <a:ext cx="1981200" cy="647700"/>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ABF4C" w14:textId="77777777" w:rsidR="00977C63" w:rsidRPr="001A7E04" w:rsidRDefault="00977C63"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F2051" w14:textId="77777777" w:rsidR="00C43077" w:rsidRDefault="00C43077">
      <w:r>
        <w:separator/>
      </w:r>
    </w:p>
  </w:footnote>
  <w:footnote w:type="continuationSeparator" w:id="0">
    <w:p w14:paraId="5DCA8269" w14:textId="77777777" w:rsidR="00C43077" w:rsidRDefault="00C43077">
      <w:r>
        <w:continuationSeparator/>
      </w:r>
    </w:p>
  </w:footnote>
  <w:footnote w:type="continuationNotice" w:id="1">
    <w:p w14:paraId="58507556" w14:textId="77777777" w:rsidR="00C43077" w:rsidRDefault="00C430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2FAA1" w14:textId="283E8111" w:rsidR="006F5D8A" w:rsidRDefault="006F5D8A" w:rsidP="00B826DD">
    <w:pPr>
      <w:pStyle w:val="DHHSfooter"/>
    </w:pPr>
    <w:r>
      <w:t>Reporting: unmet housing demand for people affected by family violence</w:t>
    </w:r>
    <w:r w:rsidRPr="0031753A">
      <w:tab/>
      <w:t xml:space="preserve">Page </w:t>
    </w:r>
    <w:r w:rsidRPr="0031753A">
      <w:fldChar w:fldCharType="begin"/>
    </w:r>
    <w:r w:rsidRPr="0031753A">
      <w:instrText xml:space="preserve"> PAGE </w:instrText>
    </w:r>
    <w:r w:rsidRPr="0031753A">
      <w:fldChar w:fldCharType="separate"/>
    </w:r>
    <w:r>
      <w:t>3</w:t>
    </w:r>
    <w:r w:rsidRPr="0031753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4DEAA" w14:textId="77777777" w:rsidR="00290D63" w:rsidRDefault="00290D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DE15F" w14:textId="77777777" w:rsidR="00290D63" w:rsidRDefault="00290D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56EF" w14:textId="255A9D93" w:rsidR="00977C63" w:rsidRDefault="007D4F0A" w:rsidP="00B826DD">
    <w:pPr>
      <w:pStyle w:val="DHHSfooter"/>
    </w:pPr>
    <w:r>
      <w:t>Reporting: unmet housing demand for people affected by family violence</w:t>
    </w:r>
    <w:r w:rsidRPr="0031753A">
      <w:tab/>
      <w:t xml:space="preserve">Page </w:t>
    </w:r>
    <w:r w:rsidRPr="0031753A">
      <w:fldChar w:fldCharType="begin"/>
    </w:r>
    <w:r w:rsidRPr="0031753A">
      <w:instrText xml:space="preserve"> PAGE </w:instrText>
    </w:r>
    <w:r w:rsidRPr="0031753A">
      <w:fldChar w:fldCharType="separate"/>
    </w:r>
    <w:r>
      <w:t>3</w:t>
    </w:r>
    <w:r w:rsidRPr="0031753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0F7010D"/>
    <w:multiLevelType w:val="multilevel"/>
    <w:tmpl w:val="0822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F123A2"/>
    <w:multiLevelType w:val="hybridMultilevel"/>
    <w:tmpl w:val="80026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F21E86"/>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1C2F6314"/>
    <w:multiLevelType w:val="hybridMultilevel"/>
    <w:tmpl w:val="82184D88"/>
    <w:lvl w:ilvl="0" w:tplc="DDA0FF68">
      <w:start w:val="1"/>
      <w:numFmt w:val="bullet"/>
      <w:lvlText w:val=""/>
      <w:lvlJc w:val="left"/>
      <w:pPr>
        <w:ind w:left="720" w:hanging="360"/>
      </w:pPr>
      <w:rPr>
        <w:rFonts w:ascii="Symbol" w:hAnsi="Symbol" w:hint="default"/>
      </w:rPr>
    </w:lvl>
    <w:lvl w:ilvl="1" w:tplc="0226A81A">
      <w:start w:val="1"/>
      <w:numFmt w:val="bullet"/>
      <w:lvlText w:val="o"/>
      <w:lvlJc w:val="left"/>
      <w:pPr>
        <w:ind w:left="1440" w:hanging="360"/>
      </w:pPr>
      <w:rPr>
        <w:rFonts w:ascii="Courier New" w:hAnsi="Courier New" w:hint="default"/>
      </w:rPr>
    </w:lvl>
    <w:lvl w:ilvl="2" w:tplc="5A2CA048">
      <w:start w:val="1"/>
      <w:numFmt w:val="bullet"/>
      <w:lvlText w:val=""/>
      <w:lvlJc w:val="left"/>
      <w:pPr>
        <w:ind w:left="2160" w:hanging="360"/>
      </w:pPr>
      <w:rPr>
        <w:rFonts w:ascii="Wingdings" w:hAnsi="Wingdings" w:hint="default"/>
      </w:rPr>
    </w:lvl>
    <w:lvl w:ilvl="3" w:tplc="7868BE42">
      <w:start w:val="1"/>
      <w:numFmt w:val="bullet"/>
      <w:lvlText w:val=""/>
      <w:lvlJc w:val="left"/>
      <w:pPr>
        <w:ind w:left="2880" w:hanging="360"/>
      </w:pPr>
      <w:rPr>
        <w:rFonts w:ascii="Symbol" w:hAnsi="Symbol" w:hint="default"/>
      </w:rPr>
    </w:lvl>
    <w:lvl w:ilvl="4" w:tplc="A08A79EE">
      <w:start w:val="1"/>
      <w:numFmt w:val="bullet"/>
      <w:lvlText w:val="o"/>
      <w:lvlJc w:val="left"/>
      <w:pPr>
        <w:ind w:left="3600" w:hanging="360"/>
      </w:pPr>
      <w:rPr>
        <w:rFonts w:ascii="Courier New" w:hAnsi="Courier New" w:hint="default"/>
      </w:rPr>
    </w:lvl>
    <w:lvl w:ilvl="5" w:tplc="094AA1B0">
      <w:start w:val="1"/>
      <w:numFmt w:val="bullet"/>
      <w:lvlText w:val=""/>
      <w:lvlJc w:val="left"/>
      <w:pPr>
        <w:ind w:left="4320" w:hanging="360"/>
      </w:pPr>
      <w:rPr>
        <w:rFonts w:ascii="Wingdings" w:hAnsi="Wingdings" w:hint="default"/>
      </w:rPr>
    </w:lvl>
    <w:lvl w:ilvl="6" w:tplc="81DA30F2">
      <w:start w:val="1"/>
      <w:numFmt w:val="bullet"/>
      <w:lvlText w:val=""/>
      <w:lvlJc w:val="left"/>
      <w:pPr>
        <w:ind w:left="5040" w:hanging="360"/>
      </w:pPr>
      <w:rPr>
        <w:rFonts w:ascii="Symbol" w:hAnsi="Symbol" w:hint="default"/>
      </w:rPr>
    </w:lvl>
    <w:lvl w:ilvl="7" w:tplc="FE6E6EC2">
      <w:start w:val="1"/>
      <w:numFmt w:val="bullet"/>
      <w:lvlText w:val="o"/>
      <w:lvlJc w:val="left"/>
      <w:pPr>
        <w:ind w:left="5760" w:hanging="360"/>
      </w:pPr>
      <w:rPr>
        <w:rFonts w:ascii="Courier New" w:hAnsi="Courier New" w:hint="default"/>
      </w:rPr>
    </w:lvl>
    <w:lvl w:ilvl="8" w:tplc="AB463226">
      <w:start w:val="1"/>
      <w:numFmt w:val="bullet"/>
      <w:lvlText w:val=""/>
      <w:lvlJc w:val="left"/>
      <w:pPr>
        <w:ind w:left="6480" w:hanging="360"/>
      </w:pPr>
      <w:rPr>
        <w:rFonts w:ascii="Wingdings" w:hAnsi="Wingdings" w:hint="default"/>
      </w:rPr>
    </w:lvl>
  </w:abstractNum>
  <w:abstractNum w:abstractNumId="5" w15:restartNumberingAfterBreak="0">
    <w:nsid w:val="2362185D"/>
    <w:multiLevelType w:val="hybridMultilevel"/>
    <w:tmpl w:val="995E0FE4"/>
    <w:lvl w:ilvl="0" w:tplc="1390BA2E">
      <w:start w:val="1"/>
      <w:numFmt w:val="bullet"/>
      <w:lvlText w:val=""/>
      <w:lvlJc w:val="left"/>
      <w:pPr>
        <w:ind w:left="720" w:hanging="360"/>
      </w:pPr>
      <w:rPr>
        <w:rFonts w:ascii="Symbol" w:hAnsi="Symbol" w:hint="default"/>
      </w:rPr>
    </w:lvl>
    <w:lvl w:ilvl="1" w:tplc="1ACEA934">
      <w:start w:val="1"/>
      <w:numFmt w:val="bullet"/>
      <w:lvlText w:val="o"/>
      <w:lvlJc w:val="left"/>
      <w:pPr>
        <w:ind w:left="1440" w:hanging="360"/>
      </w:pPr>
      <w:rPr>
        <w:rFonts w:ascii="Courier New" w:hAnsi="Courier New" w:hint="default"/>
      </w:rPr>
    </w:lvl>
    <w:lvl w:ilvl="2" w:tplc="DD326420">
      <w:start w:val="1"/>
      <w:numFmt w:val="bullet"/>
      <w:lvlText w:val=""/>
      <w:lvlJc w:val="left"/>
      <w:pPr>
        <w:ind w:left="2160" w:hanging="360"/>
      </w:pPr>
      <w:rPr>
        <w:rFonts w:ascii="Wingdings" w:hAnsi="Wingdings" w:hint="default"/>
      </w:rPr>
    </w:lvl>
    <w:lvl w:ilvl="3" w:tplc="940C1D44">
      <w:start w:val="1"/>
      <w:numFmt w:val="bullet"/>
      <w:lvlText w:val=""/>
      <w:lvlJc w:val="left"/>
      <w:pPr>
        <w:ind w:left="2880" w:hanging="360"/>
      </w:pPr>
      <w:rPr>
        <w:rFonts w:ascii="Symbol" w:hAnsi="Symbol" w:hint="default"/>
      </w:rPr>
    </w:lvl>
    <w:lvl w:ilvl="4" w:tplc="34807B1E">
      <w:start w:val="1"/>
      <w:numFmt w:val="bullet"/>
      <w:lvlText w:val="o"/>
      <w:lvlJc w:val="left"/>
      <w:pPr>
        <w:ind w:left="3600" w:hanging="360"/>
      </w:pPr>
      <w:rPr>
        <w:rFonts w:ascii="Courier New" w:hAnsi="Courier New" w:hint="default"/>
      </w:rPr>
    </w:lvl>
    <w:lvl w:ilvl="5" w:tplc="B484CCC0">
      <w:start w:val="1"/>
      <w:numFmt w:val="bullet"/>
      <w:lvlText w:val=""/>
      <w:lvlJc w:val="left"/>
      <w:pPr>
        <w:ind w:left="4320" w:hanging="360"/>
      </w:pPr>
      <w:rPr>
        <w:rFonts w:ascii="Wingdings" w:hAnsi="Wingdings" w:hint="default"/>
      </w:rPr>
    </w:lvl>
    <w:lvl w:ilvl="6" w:tplc="6C9C3F2E">
      <w:start w:val="1"/>
      <w:numFmt w:val="bullet"/>
      <w:lvlText w:val=""/>
      <w:lvlJc w:val="left"/>
      <w:pPr>
        <w:ind w:left="5040" w:hanging="360"/>
      </w:pPr>
      <w:rPr>
        <w:rFonts w:ascii="Symbol" w:hAnsi="Symbol" w:hint="default"/>
      </w:rPr>
    </w:lvl>
    <w:lvl w:ilvl="7" w:tplc="2BEA35E0">
      <w:start w:val="1"/>
      <w:numFmt w:val="bullet"/>
      <w:lvlText w:val="o"/>
      <w:lvlJc w:val="left"/>
      <w:pPr>
        <w:ind w:left="5760" w:hanging="360"/>
      </w:pPr>
      <w:rPr>
        <w:rFonts w:ascii="Courier New" w:hAnsi="Courier New" w:hint="default"/>
      </w:rPr>
    </w:lvl>
    <w:lvl w:ilvl="8" w:tplc="195C5D14">
      <w:start w:val="1"/>
      <w:numFmt w:val="bullet"/>
      <w:lvlText w:val=""/>
      <w:lvlJc w:val="left"/>
      <w:pPr>
        <w:ind w:left="6480" w:hanging="360"/>
      </w:pPr>
      <w:rPr>
        <w:rFonts w:ascii="Wingdings" w:hAnsi="Wingdings" w:hint="default"/>
      </w:rPr>
    </w:lvl>
  </w:abstractNum>
  <w:abstractNum w:abstractNumId="6" w15:restartNumberingAfterBreak="0">
    <w:nsid w:val="2546241F"/>
    <w:multiLevelType w:val="hybridMultilevel"/>
    <w:tmpl w:val="C08AFD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B7D0561"/>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2DFF5883"/>
    <w:multiLevelType w:val="hybridMultilevel"/>
    <w:tmpl w:val="A8600B06"/>
    <w:lvl w:ilvl="0" w:tplc="221E2F80">
      <w:start w:val="1"/>
      <w:numFmt w:val="bullet"/>
      <w:lvlText w:val=""/>
      <w:lvlJc w:val="left"/>
      <w:pPr>
        <w:ind w:left="720" w:hanging="360"/>
      </w:pPr>
      <w:rPr>
        <w:rFonts w:ascii="Symbol" w:hAnsi="Symbol" w:hint="default"/>
      </w:rPr>
    </w:lvl>
    <w:lvl w:ilvl="1" w:tplc="95322FE8">
      <w:start w:val="1"/>
      <w:numFmt w:val="bullet"/>
      <w:lvlText w:val="o"/>
      <w:lvlJc w:val="left"/>
      <w:pPr>
        <w:ind w:left="1440" w:hanging="360"/>
      </w:pPr>
      <w:rPr>
        <w:rFonts w:ascii="Courier New" w:hAnsi="Courier New" w:hint="default"/>
      </w:rPr>
    </w:lvl>
    <w:lvl w:ilvl="2" w:tplc="5A5E4B9A">
      <w:start w:val="1"/>
      <w:numFmt w:val="bullet"/>
      <w:lvlText w:val=""/>
      <w:lvlJc w:val="left"/>
      <w:pPr>
        <w:ind w:left="2160" w:hanging="360"/>
      </w:pPr>
      <w:rPr>
        <w:rFonts w:ascii="Wingdings" w:hAnsi="Wingdings" w:hint="default"/>
      </w:rPr>
    </w:lvl>
    <w:lvl w:ilvl="3" w:tplc="E2685120">
      <w:start w:val="1"/>
      <w:numFmt w:val="bullet"/>
      <w:lvlText w:val=""/>
      <w:lvlJc w:val="left"/>
      <w:pPr>
        <w:ind w:left="2880" w:hanging="360"/>
      </w:pPr>
      <w:rPr>
        <w:rFonts w:ascii="Symbol" w:hAnsi="Symbol" w:hint="default"/>
      </w:rPr>
    </w:lvl>
    <w:lvl w:ilvl="4" w:tplc="CFD6DFCE">
      <w:start w:val="1"/>
      <w:numFmt w:val="bullet"/>
      <w:lvlText w:val="o"/>
      <w:lvlJc w:val="left"/>
      <w:pPr>
        <w:ind w:left="3600" w:hanging="360"/>
      </w:pPr>
      <w:rPr>
        <w:rFonts w:ascii="Courier New" w:hAnsi="Courier New" w:hint="default"/>
      </w:rPr>
    </w:lvl>
    <w:lvl w:ilvl="5" w:tplc="9BE04EA8">
      <w:start w:val="1"/>
      <w:numFmt w:val="bullet"/>
      <w:lvlText w:val=""/>
      <w:lvlJc w:val="left"/>
      <w:pPr>
        <w:ind w:left="4320" w:hanging="360"/>
      </w:pPr>
      <w:rPr>
        <w:rFonts w:ascii="Wingdings" w:hAnsi="Wingdings" w:hint="default"/>
      </w:rPr>
    </w:lvl>
    <w:lvl w:ilvl="6" w:tplc="051E87A0">
      <w:start w:val="1"/>
      <w:numFmt w:val="bullet"/>
      <w:lvlText w:val=""/>
      <w:lvlJc w:val="left"/>
      <w:pPr>
        <w:ind w:left="5040" w:hanging="360"/>
      </w:pPr>
      <w:rPr>
        <w:rFonts w:ascii="Symbol" w:hAnsi="Symbol" w:hint="default"/>
      </w:rPr>
    </w:lvl>
    <w:lvl w:ilvl="7" w:tplc="81DE7F62">
      <w:start w:val="1"/>
      <w:numFmt w:val="bullet"/>
      <w:lvlText w:val="o"/>
      <w:lvlJc w:val="left"/>
      <w:pPr>
        <w:ind w:left="5760" w:hanging="360"/>
      </w:pPr>
      <w:rPr>
        <w:rFonts w:ascii="Courier New" w:hAnsi="Courier New" w:hint="default"/>
      </w:rPr>
    </w:lvl>
    <w:lvl w:ilvl="8" w:tplc="7ABCFD26">
      <w:start w:val="1"/>
      <w:numFmt w:val="bullet"/>
      <w:lvlText w:val=""/>
      <w:lvlJc w:val="left"/>
      <w:pPr>
        <w:ind w:left="6480" w:hanging="360"/>
      </w:pPr>
      <w:rPr>
        <w:rFonts w:ascii="Wingdings" w:hAnsi="Wingdings" w:hint="default"/>
      </w:rPr>
    </w:lvl>
  </w:abstractNum>
  <w:abstractNum w:abstractNumId="9" w15:restartNumberingAfterBreak="0">
    <w:nsid w:val="37B96CDA"/>
    <w:multiLevelType w:val="multilevel"/>
    <w:tmpl w:val="ACFE2276"/>
    <w:lvl w:ilvl="0">
      <w:start w:val="1"/>
      <w:numFmt w:val="decimal"/>
      <w:pStyle w:val="DHH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4A432F22"/>
    <w:multiLevelType w:val="hybridMultilevel"/>
    <w:tmpl w:val="F496AB0A"/>
    <w:lvl w:ilvl="0" w:tplc="11D472F0">
      <w:start w:val="1"/>
      <w:numFmt w:val="bullet"/>
      <w:lvlText w:val=""/>
      <w:lvlJc w:val="left"/>
      <w:pPr>
        <w:ind w:left="720" w:hanging="360"/>
      </w:pPr>
      <w:rPr>
        <w:rFonts w:ascii="Symbol" w:hAnsi="Symbol" w:hint="default"/>
      </w:rPr>
    </w:lvl>
    <w:lvl w:ilvl="1" w:tplc="C8DE83D2">
      <w:start w:val="1"/>
      <w:numFmt w:val="bullet"/>
      <w:lvlText w:val="o"/>
      <w:lvlJc w:val="left"/>
      <w:pPr>
        <w:ind w:left="1440" w:hanging="360"/>
      </w:pPr>
      <w:rPr>
        <w:rFonts w:ascii="Courier New" w:hAnsi="Courier New" w:hint="default"/>
      </w:rPr>
    </w:lvl>
    <w:lvl w:ilvl="2" w:tplc="93186F34">
      <w:start w:val="1"/>
      <w:numFmt w:val="bullet"/>
      <w:lvlText w:val=""/>
      <w:lvlJc w:val="left"/>
      <w:pPr>
        <w:ind w:left="2160" w:hanging="360"/>
      </w:pPr>
      <w:rPr>
        <w:rFonts w:ascii="Wingdings" w:hAnsi="Wingdings" w:hint="default"/>
      </w:rPr>
    </w:lvl>
    <w:lvl w:ilvl="3" w:tplc="A6442426">
      <w:start w:val="1"/>
      <w:numFmt w:val="bullet"/>
      <w:lvlText w:val=""/>
      <w:lvlJc w:val="left"/>
      <w:pPr>
        <w:ind w:left="2880" w:hanging="360"/>
      </w:pPr>
      <w:rPr>
        <w:rFonts w:ascii="Symbol" w:hAnsi="Symbol" w:hint="default"/>
      </w:rPr>
    </w:lvl>
    <w:lvl w:ilvl="4" w:tplc="410E3C82">
      <w:start w:val="1"/>
      <w:numFmt w:val="bullet"/>
      <w:lvlText w:val="o"/>
      <w:lvlJc w:val="left"/>
      <w:pPr>
        <w:ind w:left="3600" w:hanging="360"/>
      </w:pPr>
      <w:rPr>
        <w:rFonts w:ascii="Courier New" w:hAnsi="Courier New" w:hint="default"/>
      </w:rPr>
    </w:lvl>
    <w:lvl w:ilvl="5" w:tplc="CBAE7CB8">
      <w:start w:val="1"/>
      <w:numFmt w:val="bullet"/>
      <w:lvlText w:val=""/>
      <w:lvlJc w:val="left"/>
      <w:pPr>
        <w:ind w:left="4320" w:hanging="360"/>
      </w:pPr>
      <w:rPr>
        <w:rFonts w:ascii="Wingdings" w:hAnsi="Wingdings" w:hint="default"/>
      </w:rPr>
    </w:lvl>
    <w:lvl w:ilvl="6" w:tplc="0D803B2A">
      <w:start w:val="1"/>
      <w:numFmt w:val="bullet"/>
      <w:lvlText w:val=""/>
      <w:lvlJc w:val="left"/>
      <w:pPr>
        <w:ind w:left="5040" w:hanging="360"/>
      </w:pPr>
      <w:rPr>
        <w:rFonts w:ascii="Symbol" w:hAnsi="Symbol" w:hint="default"/>
      </w:rPr>
    </w:lvl>
    <w:lvl w:ilvl="7" w:tplc="3A98547C">
      <w:start w:val="1"/>
      <w:numFmt w:val="bullet"/>
      <w:lvlText w:val="o"/>
      <w:lvlJc w:val="left"/>
      <w:pPr>
        <w:ind w:left="5760" w:hanging="360"/>
      </w:pPr>
      <w:rPr>
        <w:rFonts w:ascii="Courier New" w:hAnsi="Courier New" w:hint="default"/>
      </w:rPr>
    </w:lvl>
    <w:lvl w:ilvl="8" w:tplc="9426E188">
      <w:start w:val="1"/>
      <w:numFmt w:val="bullet"/>
      <w:lvlText w:val=""/>
      <w:lvlJc w:val="left"/>
      <w:pPr>
        <w:ind w:left="6480" w:hanging="360"/>
      </w:pPr>
      <w:rPr>
        <w:rFonts w:ascii="Wingdings" w:hAnsi="Wingdings" w:hint="default"/>
      </w:rPr>
    </w:lvl>
  </w:abstractNum>
  <w:abstractNum w:abstractNumId="13"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4BA1E5A"/>
    <w:multiLevelType w:val="multilevel"/>
    <w:tmpl w:val="F1AE3C58"/>
    <w:styleLink w:val="ZZBullets"/>
    <w:lvl w:ilvl="0">
      <w:start w:val="1"/>
      <w:numFmt w:val="bullet"/>
      <w:pStyle w:val="DHHSbullet1"/>
      <w:lvlText w:val="•"/>
      <w:lvlJc w:val="left"/>
      <w:pPr>
        <w:ind w:left="568" w:hanging="284"/>
      </w:pPr>
      <w:rPr>
        <w:rFonts w:ascii="Calibri" w:hAnsi="Calibri" w:hint="default"/>
      </w:rPr>
    </w:lvl>
    <w:lvl w:ilvl="1">
      <w:start w:val="1"/>
      <w:numFmt w:val="bullet"/>
      <w:lvlRestart w:val="0"/>
      <w:pStyle w:val="DHHSbullet2"/>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15" w15:restartNumberingAfterBreak="0">
    <w:nsid w:val="608F24F1"/>
    <w:multiLevelType w:val="hybridMultilevel"/>
    <w:tmpl w:val="DCAAE482"/>
    <w:lvl w:ilvl="0" w:tplc="15DCE870">
      <w:start w:val="1"/>
      <w:numFmt w:val="bullet"/>
      <w:lvlText w:val=""/>
      <w:lvlJc w:val="left"/>
      <w:pPr>
        <w:ind w:left="720" w:hanging="360"/>
      </w:pPr>
      <w:rPr>
        <w:rFonts w:ascii="Symbol" w:hAnsi="Symbol" w:hint="default"/>
      </w:rPr>
    </w:lvl>
    <w:lvl w:ilvl="1" w:tplc="C3AE77D0">
      <w:start w:val="1"/>
      <w:numFmt w:val="bullet"/>
      <w:lvlText w:val="o"/>
      <w:lvlJc w:val="left"/>
      <w:pPr>
        <w:ind w:left="1440" w:hanging="360"/>
      </w:pPr>
      <w:rPr>
        <w:rFonts w:ascii="Courier New" w:hAnsi="Courier New" w:hint="default"/>
      </w:rPr>
    </w:lvl>
    <w:lvl w:ilvl="2" w:tplc="C3B459E2">
      <w:start w:val="1"/>
      <w:numFmt w:val="bullet"/>
      <w:lvlText w:val=""/>
      <w:lvlJc w:val="left"/>
      <w:pPr>
        <w:ind w:left="2160" w:hanging="360"/>
      </w:pPr>
      <w:rPr>
        <w:rFonts w:ascii="Wingdings" w:hAnsi="Wingdings" w:hint="default"/>
      </w:rPr>
    </w:lvl>
    <w:lvl w:ilvl="3" w:tplc="BAC6ADDC">
      <w:start w:val="1"/>
      <w:numFmt w:val="bullet"/>
      <w:lvlText w:val=""/>
      <w:lvlJc w:val="left"/>
      <w:pPr>
        <w:ind w:left="2880" w:hanging="360"/>
      </w:pPr>
      <w:rPr>
        <w:rFonts w:ascii="Symbol" w:hAnsi="Symbol" w:hint="default"/>
      </w:rPr>
    </w:lvl>
    <w:lvl w:ilvl="4" w:tplc="59186CA4">
      <w:start w:val="1"/>
      <w:numFmt w:val="bullet"/>
      <w:lvlText w:val="o"/>
      <w:lvlJc w:val="left"/>
      <w:pPr>
        <w:ind w:left="3600" w:hanging="360"/>
      </w:pPr>
      <w:rPr>
        <w:rFonts w:ascii="Courier New" w:hAnsi="Courier New" w:hint="default"/>
      </w:rPr>
    </w:lvl>
    <w:lvl w:ilvl="5" w:tplc="53D8E9C2">
      <w:start w:val="1"/>
      <w:numFmt w:val="bullet"/>
      <w:lvlText w:val=""/>
      <w:lvlJc w:val="left"/>
      <w:pPr>
        <w:ind w:left="4320" w:hanging="360"/>
      </w:pPr>
      <w:rPr>
        <w:rFonts w:ascii="Wingdings" w:hAnsi="Wingdings" w:hint="default"/>
      </w:rPr>
    </w:lvl>
    <w:lvl w:ilvl="6" w:tplc="5658D79A">
      <w:start w:val="1"/>
      <w:numFmt w:val="bullet"/>
      <w:lvlText w:val=""/>
      <w:lvlJc w:val="left"/>
      <w:pPr>
        <w:ind w:left="5040" w:hanging="360"/>
      </w:pPr>
      <w:rPr>
        <w:rFonts w:ascii="Symbol" w:hAnsi="Symbol" w:hint="default"/>
      </w:rPr>
    </w:lvl>
    <w:lvl w:ilvl="7" w:tplc="B060E91C">
      <w:start w:val="1"/>
      <w:numFmt w:val="bullet"/>
      <w:lvlText w:val="o"/>
      <w:lvlJc w:val="left"/>
      <w:pPr>
        <w:ind w:left="5760" w:hanging="360"/>
      </w:pPr>
      <w:rPr>
        <w:rFonts w:ascii="Courier New" w:hAnsi="Courier New" w:hint="default"/>
      </w:rPr>
    </w:lvl>
    <w:lvl w:ilvl="8" w:tplc="5C3603BA">
      <w:start w:val="1"/>
      <w:numFmt w:val="bullet"/>
      <w:lvlText w:val=""/>
      <w:lvlJc w:val="left"/>
      <w:pPr>
        <w:ind w:left="6480" w:hanging="360"/>
      </w:pPr>
      <w:rPr>
        <w:rFonts w:ascii="Wingdings" w:hAnsi="Wingdings" w:hint="default"/>
      </w:rPr>
    </w:lvl>
  </w:abstractNum>
  <w:abstractNum w:abstractNumId="16"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3B150A4"/>
    <w:multiLevelType w:val="hybridMultilevel"/>
    <w:tmpl w:val="3444A3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8AE04EF"/>
    <w:multiLevelType w:val="hybridMultilevel"/>
    <w:tmpl w:val="3444A3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B5757E"/>
    <w:multiLevelType w:val="hybridMultilevel"/>
    <w:tmpl w:val="7C485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8"/>
  </w:num>
  <w:num w:numId="4">
    <w:abstractNumId w:val="4"/>
  </w:num>
  <w:num w:numId="5">
    <w:abstractNumId w:val="5"/>
  </w:num>
  <w:num w:numId="6">
    <w:abstractNumId w:val="19"/>
  </w:num>
  <w:num w:numId="7">
    <w:abstractNumId w:val="14"/>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4"/>
  </w:num>
  <w:num w:numId="22">
    <w:abstractNumId w:val="10"/>
  </w:num>
  <w:num w:numId="23">
    <w:abstractNumId w:val="10"/>
  </w:num>
  <w:num w:numId="24">
    <w:abstractNumId w:val="9"/>
  </w:num>
  <w:num w:numId="25">
    <w:abstractNumId w:val="0"/>
  </w:num>
  <w:num w:numId="26">
    <w:abstractNumId w:val="10"/>
  </w:num>
  <w:num w:numId="27">
    <w:abstractNumId w:val="0"/>
  </w:num>
  <w:num w:numId="28">
    <w:abstractNumId w:val="11"/>
  </w:num>
  <w:num w:numId="29">
    <w:abstractNumId w:val="11"/>
  </w:num>
  <w:num w:numId="30">
    <w:abstractNumId w:val="16"/>
  </w:num>
  <w:num w:numId="31">
    <w:abstractNumId w:val="16"/>
  </w:num>
  <w:num w:numId="32">
    <w:abstractNumId w:val="13"/>
  </w:num>
  <w:num w:numId="33">
    <w:abstractNumId w:val="13"/>
  </w:num>
  <w:num w:numId="34">
    <w:abstractNumId w:val="14"/>
  </w:num>
  <w:num w:numId="35">
    <w:abstractNumId w:val="10"/>
  </w:num>
  <w:num w:numId="36">
    <w:abstractNumId w:val="0"/>
  </w:num>
  <w:num w:numId="37">
    <w:abstractNumId w:val="16"/>
  </w:num>
  <w:num w:numId="38">
    <w:abstractNumId w:val="11"/>
  </w:num>
  <w:num w:numId="39">
    <w:abstractNumId w:val="13"/>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20"/>
  </w:num>
  <w:num w:numId="46">
    <w:abstractNumId w:val="17"/>
  </w:num>
  <w:num w:numId="47">
    <w:abstractNumId w:val="6"/>
  </w:num>
  <w:num w:numId="48">
    <w:abstractNumId w:val="18"/>
  </w:num>
  <w:num w:numId="4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F9"/>
    <w:rsid w:val="000025FB"/>
    <w:rsid w:val="00002990"/>
    <w:rsid w:val="000030FA"/>
    <w:rsid w:val="000048AC"/>
    <w:rsid w:val="0000497D"/>
    <w:rsid w:val="00005DC8"/>
    <w:rsid w:val="00006397"/>
    <w:rsid w:val="000079E1"/>
    <w:rsid w:val="00013F6C"/>
    <w:rsid w:val="00014FC4"/>
    <w:rsid w:val="00015EF2"/>
    <w:rsid w:val="00020AAB"/>
    <w:rsid w:val="00021879"/>
    <w:rsid w:val="000223A4"/>
    <w:rsid w:val="00022E60"/>
    <w:rsid w:val="00023EDA"/>
    <w:rsid w:val="00026C19"/>
    <w:rsid w:val="00031263"/>
    <w:rsid w:val="00032C2F"/>
    <w:rsid w:val="000337FD"/>
    <w:rsid w:val="00035FB0"/>
    <w:rsid w:val="00040543"/>
    <w:rsid w:val="00045DD7"/>
    <w:rsid w:val="00045DD8"/>
    <w:rsid w:val="000476D1"/>
    <w:rsid w:val="000500A9"/>
    <w:rsid w:val="00050C2F"/>
    <w:rsid w:val="0005587D"/>
    <w:rsid w:val="00055CC5"/>
    <w:rsid w:val="0005633B"/>
    <w:rsid w:val="00056C80"/>
    <w:rsid w:val="000576F0"/>
    <w:rsid w:val="00060008"/>
    <w:rsid w:val="00060E93"/>
    <w:rsid w:val="0006261B"/>
    <w:rsid w:val="0006332F"/>
    <w:rsid w:val="00064936"/>
    <w:rsid w:val="00066DB8"/>
    <w:rsid w:val="00066E55"/>
    <w:rsid w:val="00070497"/>
    <w:rsid w:val="000734F8"/>
    <w:rsid w:val="000736B8"/>
    <w:rsid w:val="0007522E"/>
    <w:rsid w:val="00076C27"/>
    <w:rsid w:val="00076D3F"/>
    <w:rsid w:val="0007758E"/>
    <w:rsid w:val="000778E7"/>
    <w:rsid w:val="00077EC8"/>
    <w:rsid w:val="000817CB"/>
    <w:rsid w:val="00081ACE"/>
    <w:rsid w:val="00084685"/>
    <w:rsid w:val="000873EF"/>
    <w:rsid w:val="000879DB"/>
    <w:rsid w:val="00091D9A"/>
    <w:rsid w:val="00092C13"/>
    <w:rsid w:val="000950DE"/>
    <w:rsid w:val="000A1BD4"/>
    <w:rsid w:val="000A207D"/>
    <w:rsid w:val="000A55A8"/>
    <w:rsid w:val="000A62BD"/>
    <w:rsid w:val="000B3792"/>
    <w:rsid w:val="000B4B95"/>
    <w:rsid w:val="000B7916"/>
    <w:rsid w:val="000C0207"/>
    <w:rsid w:val="000C551F"/>
    <w:rsid w:val="000C5DFA"/>
    <w:rsid w:val="000C6242"/>
    <w:rsid w:val="000C68DB"/>
    <w:rsid w:val="000D0699"/>
    <w:rsid w:val="000D2C32"/>
    <w:rsid w:val="000E1C80"/>
    <w:rsid w:val="000E6F72"/>
    <w:rsid w:val="000F0021"/>
    <w:rsid w:val="000F0478"/>
    <w:rsid w:val="000F0A50"/>
    <w:rsid w:val="000F1863"/>
    <w:rsid w:val="000F3C37"/>
    <w:rsid w:val="00103D5E"/>
    <w:rsid w:val="00104EA7"/>
    <w:rsid w:val="00105B4E"/>
    <w:rsid w:val="00105FAD"/>
    <w:rsid w:val="00107999"/>
    <w:rsid w:val="0011094C"/>
    <w:rsid w:val="0011155B"/>
    <w:rsid w:val="00111A6A"/>
    <w:rsid w:val="00112FCD"/>
    <w:rsid w:val="00116D56"/>
    <w:rsid w:val="00116FD2"/>
    <w:rsid w:val="00121BF1"/>
    <w:rsid w:val="00121D35"/>
    <w:rsid w:val="001227BE"/>
    <w:rsid w:val="00122AC6"/>
    <w:rsid w:val="00126371"/>
    <w:rsid w:val="00126787"/>
    <w:rsid w:val="00127A8B"/>
    <w:rsid w:val="00134933"/>
    <w:rsid w:val="00134BE5"/>
    <w:rsid w:val="00136B95"/>
    <w:rsid w:val="001412D1"/>
    <w:rsid w:val="00141FA9"/>
    <w:rsid w:val="001423E3"/>
    <w:rsid w:val="0014362F"/>
    <w:rsid w:val="00144E1B"/>
    <w:rsid w:val="00145608"/>
    <w:rsid w:val="0014645C"/>
    <w:rsid w:val="0014721C"/>
    <w:rsid w:val="001475EA"/>
    <w:rsid w:val="001504F5"/>
    <w:rsid w:val="00150F92"/>
    <w:rsid w:val="001517BD"/>
    <w:rsid w:val="00151DA8"/>
    <w:rsid w:val="00152B6B"/>
    <w:rsid w:val="0015706B"/>
    <w:rsid w:val="00162D71"/>
    <w:rsid w:val="0016452E"/>
    <w:rsid w:val="0016625A"/>
    <w:rsid w:val="001671D6"/>
    <w:rsid w:val="0017248D"/>
    <w:rsid w:val="00173626"/>
    <w:rsid w:val="001757FC"/>
    <w:rsid w:val="0017614A"/>
    <w:rsid w:val="0018177B"/>
    <w:rsid w:val="001817CD"/>
    <w:rsid w:val="0018235E"/>
    <w:rsid w:val="001828E6"/>
    <w:rsid w:val="00182B7B"/>
    <w:rsid w:val="00183B98"/>
    <w:rsid w:val="00185234"/>
    <w:rsid w:val="0018768C"/>
    <w:rsid w:val="00190963"/>
    <w:rsid w:val="00192BA0"/>
    <w:rsid w:val="00193D3E"/>
    <w:rsid w:val="00193FFC"/>
    <w:rsid w:val="001945AD"/>
    <w:rsid w:val="0019661C"/>
    <w:rsid w:val="00197303"/>
    <w:rsid w:val="001A17EA"/>
    <w:rsid w:val="001A1D17"/>
    <w:rsid w:val="001A22AA"/>
    <w:rsid w:val="001A6D93"/>
    <w:rsid w:val="001A6E00"/>
    <w:rsid w:val="001A7A18"/>
    <w:rsid w:val="001B1565"/>
    <w:rsid w:val="001B166D"/>
    <w:rsid w:val="001B28B5"/>
    <w:rsid w:val="001B2975"/>
    <w:rsid w:val="001B29BC"/>
    <w:rsid w:val="001B2B22"/>
    <w:rsid w:val="001B5317"/>
    <w:rsid w:val="001C08A9"/>
    <w:rsid w:val="001C122D"/>
    <w:rsid w:val="001C17FC"/>
    <w:rsid w:val="001C3DCE"/>
    <w:rsid w:val="001C475E"/>
    <w:rsid w:val="001D08F2"/>
    <w:rsid w:val="001D1CE2"/>
    <w:rsid w:val="001D28F3"/>
    <w:rsid w:val="001D2A82"/>
    <w:rsid w:val="001D5171"/>
    <w:rsid w:val="001D569B"/>
    <w:rsid w:val="001E0EA3"/>
    <w:rsid w:val="001E214D"/>
    <w:rsid w:val="001E33B9"/>
    <w:rsid w:val="001E4995"/>
    <w:rsid w:val="001E596C"/>
    <w:rsid w:val="001E5FEC"/>
    <w:rsid w:val="001E7A42"/>
    <w:rsid w:val="001F09DC"/>
    <w:rsid w:val="001F43E6"/>
    <w:rsid w:val="00213772"/>
    <w:rsid w:val="00214935"/>
    <w:rsid w:val="00215D68"/>
    <w:rsid w:val="00217028"/>
    <w:rsid w:val="00220749"/>
    <w:rsid w:val="0022229C"/>
    <w:rsid w:val="0022343C"/>
    <w:rsid w:val="002235C2"/>
    <w:rsid w:val="0022422C"/>
    <w:rsid w:val="00226804"/>
    <w:rsid w:val="00227170"/>
    <w:rsid w:val="0022724E"/>
    <w:rsid w:val="0022732E"/>
    <w:rsid w:val="00230666"/>
    <w:rsid w:val="00231062"/>
    <w:rsid w:val="00231153"/>
    <w:rsid w:val="0023252E"/>
    <w:rsid w:val="00232BF0"/>
    <w:rsid w:val="00233FC2"/>
    <w:rsid w:val="00234042"/>
    <w:rsid w:val="0023613B"/>
    <w:rsid w:val="002374C9"/>
    <w:rsid w:val="00241C31"/>
    <w:rsid w:val="00245A0E"/>
    <w:rsid w:val="00245E16"/>
    <w:rsid w:val="002477B4"/>
    <w:rsid w:val="00256E7C"/>
    <w:rsid w:val="00257C21"/>
    <w:rsid w:val="00266AC9"/>
    <w:rsid w:val="002679D5"/>
    <w:rsid w:val="00267A03"/>
    <w:rsid w:val="002714FD"/>
    <w:rsid w:val="002727CA"/>
    <w:rsid w:val="00273060"/>
    <w:rsid w:val="00275F94"/>
    <w:rsid w:val="00277370"/>
    <w:rsid w:val="00281B9C"/>
    <w:rsid w:val="00283E7C"/>
    <w:rsid w:val="00284C9B"/>
    <w:rsid w:val="002904F7"/>
    <w:rsid w:val="00290D63"/>
    <w:rsid w:val="00290DEC"/>
    <w:rsid w:val="0029353B"/>
    <w:rsid w:val="002A141B"/>
    <w:rsid w:val="002A26B6"/>
    <w:rsid w:val="002A3DAC"/>
    <w:rsid w:val="002A5DB1"/>
    <w:rsid w:val="002A6735"/>
    <w:rsid w:val="002A6A4E"/>
    <w:rsid w:val="002B13E7"/>
    <w:rsid w:val="002B5A85"/>
    <w:rsid w:val="002B63A7"/>
    <w:rsid w:val="002C5139"/>
    <w:rsid w:val="002C5543"/>
    <w:rsid w:val="002C64A6"/>
    <w:rsid w:val="002D0272"/>
    <w:rsid w:val="002D044B"/>
    <w:rsid w:val="002D0F7F"/>
    <w:rsid w:val="002D2513"/>
    <w:rsid w:val="002D26F0"/>
    <w:rsid w:val="002D2CD9"/>
    <w:rsid w:val="002D6672"/>
    <w:rsid w:val="002E0198"/>
    <w:rsid w:val="002E05CB"/>
    <w:rsid w:val="002E1D7C"/>
    <w:rsid w:val="002E2F53"/>
    <w:rsid w:val="002E584A"/>
    <w:rsid w:val="002E5C2B"/>
    <w:rsid w:val="002F449B"/>
    <w:rsid w:val="002F4D86"/>
    <w:rsid w:val="002F53E2"/>
    <w:rsid w:val="002F5D69"/>
    <w:rsid w:val="002F7C77"/>
    <w:rsid w:val="00300BFB"/>
    <w:rsid w:val="00300CB3"/>
    <w:rsid w:val="003012F9"/>
    <w:rsid w:val="0030394B"/>
    <w:rsid w:val="003065DF"/>
    <w:rsid w:val="00306B50"/>
    <w:rsid w:val="003072C6"/>
    <w:rsid w:val="003108A6"/>
    <w:rsid w:val="00310D8E"/>
    <w:rsid w:val="0031217C"/>
    <w:rsid w:val="003130A6"/>
    <w:rsid w:val="00315BBD"/>
    <w:rsid w:val="0031753A"/>
    <w:rsid w:val="00320293"/>
    <w:rsid w:val="00322CC2"/>
    <w:rsid w:val="003271DC"/>
    <w:rsid w:val="00330B57"/>
    <w:rsid w:val="00334B54"/>
    <w:rsid w:val="00335E74"/>
    <w:rsid w:val="003360C3"/>
    <w:rsid w:val="00336F44"/>
    <w:rsid w:val="0033739E"/>
    <w:rsid w:val="003374D2"/>
    <w:rsid w:val="00337B88"/>
    <w:rsid w:val="00342D46"/>
    <w:rsid w:val="00343733"/>
    <w:rsid w:val="00346FB3"/>
    <w:rsid w:val="00347452"/>
    <w:rsid w:val="00347FC5"/>
    <w:rsid w:val="00353790"/>
    <w:rsid w:val="00355886"/>
    <w:rsid w:val="00356814"/>
    <w:rsid w:val="003568C9"/>
    <w:rsid w:val="00357DE8"/>
    <w:rsid w:val="00360971"/>
    <w:rsid w:val="00367C26"/>
    <w:rsid w:val="0037204E"/>
    <w:rsid w:val="003741AD"/>
    <w:rsid w:val="0037667E"/>
    <w:rsid w:val="003770E5"/>
    <w:rsid w:val="0038019F"/>
    <w:rsid w:val="00382071"/>
    <w:rsid w:val="003822A7"/>
    <w:rsid w:val="00383A04"/>
    <w:rsid w:val="0038428F"/>
    <w:rsid w:val="00385189"/>
    <w:rsid w:val="00385AC2"/>
    <w:rsid w:val="0039320A"/>
    <w:rsid w:val="00394881"/>
    <w:rsid w:val="003A2F25"/>
    <w:rsid w:val="003A3A55"/>
    <w:rsid w:val="003A494F"/>
    <w:rsid w:val="003A69AE"/>
    <w:rsid w:val="003A6B41"/>
    <w:rsid w:val="003B0FD4"/>
    <w:rsid w:val="003B17E4"/>
    <w:rsid w:val="003B2807"/>
    <w:rsid w:val="003B2B45"/>
    <w:rsid w:val="003B398E"/>
    <w:rsid w:val="003B39D1"/>
    <w:rsid w:val="003B5FA5"/>
    <w:rsid w:val="003C00D4"/>
    <w:rsid w:val="003C2B5A"/>
    <w:rsid w:val="003C68F2"/>
    <w:rsid w:val="003D0235"/>
    <w:rsid w:val="003D2A4D"/>
    <w:rsid w:val="003D4499"/>
    <w:rsid w:val="003D58B8"/>
    <w:rsid w:val="003D5CFB"/>
    <w:rsid w:val="003D7B49"/>
    <w:rsid w:val="003E2636"/>
    <w:rsid w:val="003E2E12"/>
    <w:rsid w:val="003E7231"/>
    <w:rsid w:val="003F331F"/>
    <w:rsid w:val="003F39CE"/>
    <w:rsid w:val="003F4A16"/>
    <w:rsid w:val="00401108"/>
    <w:rsid w:val="00402927"/>
    <w:rsid w:val="00403303"/>
    <w:rsid w:val="00404973"/>
    <w:rsid w:val="00407993"/>
    <w:rsid w:val="00410AFD"/>
    <w:rsid w:val="00411833"/>
    <w:rsid w:val="00412F64"/>
    <w:rsid w:val="004138E6"/>
    <w:rsid w:val="00417BEB"/>
    <w:rsid w:val="00417CC6"/>
    <w:rsid w:val="00421410"/>
    <w:rsid w:val="00424110"/>
    <w:rsid w:val="0042516D"/>
    <w:rsid w:val="004324FF"/>
    <w:rsid w:val="00432A55"/>
    <w:rsid w:val="00435B00"/>
    <w:rsid w:val="004372B7"/>
    <w:rsid w:val="00437E8F"/>
    <w:rsid w:val="00440FC6"/>
    <w:rsid w:val="004419E6"/>
    <w:rsid w:val="0044260A"/>
    <w:rsid w:val="0044307E"/>
    <w:rsid w:val="00443CBA"/>
    <w:rsid w:val="00444D82"/>
    <w:rsid w:val="00445AB0"/>
    <w:rsid w:val="00446C35"/>
    <w:rsid w:val="00450229"/>
    <w:rsid w:val="00453EBB"/>
    <w:rsid w:val="004564C6"/>
    <w:rsid w:val="004606F5"/>
    <w:rsid w:val="004610CC"/>
    <w:rsid w:val="00462E92"/>
    <w:rsid w:val="00463244"/>
    <w:rsid w:val="00465464"/>
    <w:rsid w:val="00465E87"/>
    <w:rsid w:val="004677DC"/>
    <w:rsid w:val="004713F5"/>
    <w:rsid w:val="00473D4C"/>
    <w:rsid w:val="00474B7D"/>
    <w:rsid w:val="0047505C"/>
    <w:rsid w:val="0047786A"/>
    <w:rsid w:val="00477A65"/>
    <w:rsid w:val="0048158E"/>
    <w:rsid w:val="0048256D"/>
    <w:rsid w:val="00482DB3"/>
    <w:rsid w:val="004876A0"/>
    <w:rsid w:val="004900F2"/>
    <w:rsid w:val="00493790"/>
    <w:rsid w:val="0049505A"/>
    <w:rsid w:val="00495C55"/>
    <w:rsid w:val="004979A0"/>
    <w:rsid w:val="004A0236"/>
    <w:rsid w:val="004A05B4"/>
    <w:rsid w:val="004A10D7"/>
    <w:rsid w:val="004A369A"/>
    <w:rsid w:val="004A3B3E"/>
    <w:rsid w:val="004A66F8"/>
    <w:rsid w:val="004A70AB"/>
    <w:rsid w:val="004B11EC"/>
    <w:rsid w:val="004B23C6"/>
    <w:rsid w:val="004B293B"/>
    <w:rsid w:val="004B4D4C"/>
    <w:rsid w:val="004C14C6"/>
    <w:rsid w:val="004C1B54"/>
    <w:rsid w:val="004C278E"/>
    <w:rsid w:val="004C5777"/>
    <w:rsid w:val="004C7B48"/>
    <w:rsid w:val="004D0173"/>
    <w:rsid w:val="004D05EA"/>
    <w:rsid w:val="004D1056"/>
    <w:rsid w:val="004D1B18"/>
    <w:rsid w:val="004D2B7B"/>
    <w:rsid w:val="004D3577"/>
    <w:rsid w:val="004D4CA3"/>
    <w:rsid w:val="004D7403"/>
    <w:rsid w:val="004E1EDE"/>
    <w:rsid w:val="004E21E2"/>
    <w:rsid w:val="004E293F"/>
    <w:rsid w:val="004E380D"/>
    <w:rsid w:val="004E604F"/>
    <w:rsid w:val="004E7922"/>
    <w:rsid w:val="004F0DFC"/>
    <w:rsid w:val="004F2AA0"/>
    <w:rsid w:val="004F3441"/>
    <w:rsid w:val="004F41B2"/>
    <w:rsid w:val="004F4AFC"/>
    <w:rsid w:val="004F52A5"/>
    <w:rsid w:val="004F75EF"/>
    <w:rsid w:val="004F7A10"/>
    <w:rsid w:val="00500C8C"/>
    <w:rsid w:val="00501375"/>
    <w:rsid w:val="00501D3B"/>
    <w:rsid w:val="005020BE"/>
    <w:rsid w:val="005022C9"/>
    <w:rsid w:val="00502B8F"/>
    <w:rsid w:val="00506223"/>
    <w:rsid w:val="0050779D"/>
    <w:rsid w:val="00510563"/>
    <w:rsid w:val="00510E9F"/>
    <w:rsid w:val="005139EA"/>
    <w:rsid w:val="00514B4A"/>
    <w:rsid w:val="00520230"/>
    <w:rsid w:val="00520BBB"/>
    <w:rsid w:val="0052291C"/>
    <w:rsid w:val="0052380C"/>
    <w:rsid w:val="005242EB"/>
    <w:rsid w:val="00524310"/>
    <w:rsid w:val="00524847"/>
    <w:rsid w:val="00525456"/>
    <w:rsid w:val="00525A60"/>
    <w:rsid w:val="00526E8D"/>
    <w:rsid w:val="00532236"/>
    <w:rsid w:val="005338EA"/>
    <w:rsid w:val="00541DFE"/>
    <w:rsid w:val="00543E6C"/>
    <w:rsid w:val="00544184"/>
    <w:rsid w:val="005459CA"/>
    <w:rsid w:val="00547FD6"/>
    <w:rsid w:val="00551789"/>
    <w:rsid w:val="00553F68"/>
    <w:rsid w:val="005552FD"/>
    <w:rsid w:val="00557483"/>
    <w:rsid w:val="005600E5"/>
    <w:rsid w:val="0056335A"/>
    <w:rsid w:val="00564E8F"/>
    <w:rsid w:val="005679AE"/>
    <w:rsid w:val="00572174"/>
    <w:rsid w:val="005728A4"/>
    <w:rsid w:val="005742F8"/>
    <w:rsid w:val="0057585B"/>
    <w:rsid w:val="005762B3"/>
    <w:rsid w:val="005763FC"/>
    <w:rsid w:val="00576EB4"/>
    <w:rsid w:val="00577B30"/>
    <w:rsid w:val="00577B66"/>
    <w:rsid w:val="00581F71"/>
    <w:rsid w:val="00582768"/>
    <w:rsid w:val="00583461"/>
    <w:rsid w:val="00583D7D"/>
    <w:rsid w:val="005856A4"/>
    <w:rsid w:val="00590730"/>
    <w:rsid w:val="005907C1"/>
    <w:rsid w:val="005923E5"/>
    <w:rsid w:val="00592752"/>
    <w:rsid w:val="005A3051"/>
    <w:rsid w:val="005A53FE"/>
    <w:rsid w:val="005A5491"/>
    <w:rsid w:val="005A56C9"/>
    <w:rsid w:val="005B2047"/>
    <w:rsid w:val="005B7D22"/>
    <w:rsid w:val="005C029E"/>
    <w:rsid w:val="005C27E9"/>
    <w:rsid w:val="005D1A97"/>
    <w:rsid w:val="005D2EBF"/>
    <w:rsid w:val="005D413A"/>
    <w:rsid w:val="005E085D"/>
    <w:rsid w:val="005E0D56"/>
    <w:rsid w:val="005E3FA7"/>
    <w:rsid w:val="005E6E82"/>
    <w:rsid w:val="005E7963"/>
    <w:rsid w:val="005F218C"/>
    <w:rsid w:val="005F234B"/>
    <w:rsid w:val="005F4523"/>
    <w:rsid w:val="005F549F"/>
    <w:rsid w:val="005F70FE"/>
    <w:rsid w:val="00601D4D"/>
    <w:rsid w:val="006021B4"/>
    <w:rsid w:val="00605B5B"/>
    <w:rsid w:val="006062D8"/>
    <w:rsid w:val="00606827"/>
    <w:rsid w:val="006105B3"/>
    <w:rsid w:val="006123E8"/>
    <w:rsid w:val="006147E6"/>
    <w:rsid w:val="006169C3"/>
    <w:rsid w:val="00620262"/>
    <w:rsid w:val="00621559"/>
    <w:rsid w:val="00621B4C"/>
    <w:rsid w:val="00621D66"/>
    <w:rsid w:val="006239C0"/>
    <w:rsid w:val="0062776A"/>
    <w:rsid w:val="00627C52"/>
    <w:rsid w:val="00630080"/>
    <w:rsid w:val="0063021C"/>
    <w:rsid w:val="00630937"/>
    <w:rsid w:val="00631D0F"/>
    <w:rsid w:val="00631E69"/>
    <w:rsid w:val="00632DA3"/>
    <w:rsid w:val="0063378A"/>
    <w:rsid w:val="00633E4E"/>
    <w:rsid w:val="0064119B"/>
    <w:rsid w:val="006415E7"/>
    <w:rsid w:val="00647231"/>
    <w:rsid w:val="00653B84"/>
    <w:rsid w:val="00653E0D"/>
    <w:rsid w:val="006550EB"/>
    <w:rsid w:val="00661CD7"/>
    <w:rsid w:val="00662D47"/>
    <w:rsid w:val="00662E03"/>
    <w:rsid w:val="00664D58"/>
    <w:rsid w:val="006714F5"/>
    <w:rsid w:val="006865C8"/>
    <w:rsid w:val="00686B48"/>
    <w:rsid w:val="00687038"/>
    <w:rsid w:val="0068714E"/>
    <w:rsid w:val="006872F5"/>
    <w:rsid w:val="00690DB6"/>
    <w:rsid w:val="006929F7"/>
    <w:rsid w:val="00692AD0"/>
    <w:rsid w:val="0069374A"/>
    <w:rsid w:val="00694AB8"/>
    <w:rsid w:val="0069574B"/>
    <w:rsid w:val="00695EF7"/>
    <w:rsid w:val="0069699D"/>
    <w:rsid w:val="006A4EFB"/>
    <w:rsid w:val="006A64E2"/>
    <w:rsid w:val="006A6FCB"/>
    <w:rsid w:val="006B0941"/>
    <w:rsid w:val="006B114C"/>
    <w:rsid w:val="006B21C2"/>
    <w:rsid w:val="006B2C51"/>
    <w:rsid w:val="006B45D1"/>
    <w:rsid w:val="006B6361"/>
    <w:rsid w:val="006B7B26"/>
    <w:rsid w:val="006C12C4"/>
    <w:rsid w:val="006C276F"/>
    <w:rsid w:val="006C526D"/>
    <w:rsid w:val="006C7742"/>
    <w:rsid w:val="006D0253"/>
    <w:rsid w:val="006D24CE"/>
    <w:rsid w:val="006D3359"/>
    <w:rsid w:val="006D360C"/>
    <w:rsid w:val="006D481A"/>
    <w:rsid w:val="006D5222"/>
    <w:rsid w:val="006D5AC9"/>
    <w:rsid w:val="006D66ED"/>
    <w:rsid w:val="006E602C"/>
    <w:rsid w:val="006E786B"/>
    <w:rsid w:val="006F12B5"/>
    <w:rsid w:val="006F2C85"/>
    <w:rsid w:val="006F3E0E"/>
    <w:rsid w:val="006F5D8A"/>
    <w:rsid w:val="006F6BE7"/>
    <w:rsid w:val="007002B1"/>
    <w:rsid w:val="00704EB7"/>
    <w:rsid w:val="00704ED2"/>
    <w:rsid w:val="00705742"/>
    <w:rsid w:val="007058BC"/>
    <w:rsid w:val="007102E5"/>
    <w:rsid w:val="007104FE"/>
    <w:rsid w:val="00711B0C"/>
    <w:rsid w:val="007121A2"/>
    <w:rsid w:val="00713241"/>
    <w:rsid w:val="00713981"/>
    <w:rsid w:val="007176D6"/>
    <w:rsid w:val="00721337"/>
    <w:rsid w:val="0072422C"/>
    <w:rsid w:val="007250F2"/>
    <w:rsid w:val="00727D54"/>
    <w:rsid w:val="00730DEF"/>
    <w:rsid w:val="00731EF2"/>
    <w:rsid w:val="007344C5"/>
    <w:rsid w:val="00734959"/>
    <w:rsid w:val="00734E31"/>
    <w:rsid w:val="00735137"/>
    <w:rsid w:val="0073520D"/>
    <w:rsid w:val="00735C31"/>
    <w:rsid w:val="007361CD"/>
    <w:rsid w:val="0073714B"/>
    <w:rsid w:val="007422F5"/>
    <w:rsid w:val="007618D6"/>
    <w:rsid w:val="007627FC"/>
    <w:rsid w:val="00764DC0"/>
    <w:rsid w:val="00765D77"/>
    <w:rsid w:val="007717F3"/>
    <w:rsid w:val="00771BE8"/>
    <w:rsid w:val="0077563E"/>
    <w:rsid w:val="00780226"/>
    <w:rsid w:val="00780476"/>
    <w:rsid w:val="00781AB4"/>
    <w:rsid w:val="007862E5"/>
    <w:rsid w:val="007874C8"/>
    <w:rsid w:val="00787847"/>
    <w:rsid w:val="007923B7"/>
    <w:rsid w:val="00792616"/>
    <w:rsid w:val="007926BB"/>
    <w:rsid w:val="0079344C"/>
    <w:rsid w:val="0079464D"/>
    <w:rsid w:val="00794D55"/>
    <w:rsid w:val="007968AE"/>
    <w:rsid w:val="007A0283"/>
    <w:rsid w:val="007A5004"/>
    <w:rsid w:val="007B1613"/>
    <w:rsid w:val="007B2112"/>
    <w:rsid w:val="007B3332"/>
    <w:rsid w:val="007C02C7"/>
    <w:rsid w:val="007C032E"/>
    <w:rsid w:val="007C21EE"/>
    <w:rsid w:val="007C603E"/>
    <w:rsid w:val="007D07B8"/>
    <w:rsid w:val="007D14BB"/>
    <w:rsid w:val="007D3A2E"/>
    <w:rsid w:val="007D4DE9"/>
    <w:rsid w:val="007D4F0A"/>
    <w:rsid w:val="007D6652"/>
    <w:rsid w:val="007D7768"/>
    <w:rsid w:val="007D7C16"/>
    <w:rsid w:val="007E03A7"/>
    <w:rsid w:val="007E1274"/>
    <w:rsid w:val="007E245D"/>
    <w:rsid w:val="007E2695"/>
    <w:rsid w:val="007E343D"/>
    <w:rsid w:val="007E5AE2"/>
    <w:rsid w:val="007F1220"/>
    <w:rsid w:val="007F1B36"/>
    <w:rsid w:val="007F2A01"/>
    <w:rsid w:val="007F3085"/>
    <w:rsid w:val="007F3180"/>
    <w:rsid w:val="007F4383"/>
    <w:rsid w:val="007F5858"/>
    <w:rsid w:val="007F6862"/>
    <w:rsid w:val="00801601"/>
    <w:rsid w:val="0080169A"/>
    <w:rsid w:val="00801E98"/>
    <w:rsid w:val="00802ACA"/>
    <w:rsid w:val="008036A7"/>
    <w:rsid w:val="00803B5B"/>
    <w:rsid w:val="00805405"/>
    <w:rsid w:val="008054D8"/>
    <w:rsid w:val="0081052D"/>
    <w:rsid w:val="00810991"/>
    <w:rsid w:val="00812571"/>
    <w:rsid w:val="00812C51"/>
    <w:rsid w:val="00814A9B"/>
    <w:rsid w:val="00814F66"/>
    <w:rsid w:val="00817C9E"/>
    <w:rsid w:val="008205AF"/>
    <w:rsid w:val="008225E5"/>
    <w:rsid w:val="00822BC0"/>
    <w:rsid w:val="0082523D"/>
    <w:rsid w:val="00831053"/>
    <w:rsid w:val="008314D2"/>
    <w:rsid w:val="0083254D"/>
    <w:rsid w:val="00836249"/>
    <w:rsid w:val="00836F00"/>
    <w:rsid w:val="0083730A"/>
    <w:rsid w:val="008374A1"/>
    <w:rsid w:val="00846192"/>
    <w:rsid w:val="00850806"/>
    <w:rsid w:val="008516B0"/>
    <w:rsid w:val="00851A3F"/>
    <w:rsid w:val="00856A1B"/>
    <w:rsid w:val="008621C3"/>
    <w:rsid w:val="00865486"/>
    <w:rsid w:val="008667F3"/>
    <w:rsid w:val="008669BE"/>
    <w:rsid w:val="008672FB"/>
    <w:rsid w:val="00871F0C"/>
    <w:rsid w:val="00872F08"/>
    <w:rsid w:val="0087318F"/>
    <w:rsid w:val="00873EE8"/>
    <w:rsid w:val="00876275"/>
    <w:rsid w:val="0087786D"/>
    <w:rsid w:val="00882B99"/>
    <w:rsid w:val="00883273"/>
    <w:rsid w:val="00886121"/>
    <w:rsid w:val="00890D99"/>
    <w:rsid w:val="00891213"/>
    <w:rsid w:val="00891929"/>
    <w:rsid w:val="00892181"/>
    <w:rsid w:val="008944A7"/>
    <w:rsid w:val="008948D9"/>
    <w:rsid w:val="00897102"/>
    <w:rsid w:val="00897C24"/>
    <w:rsid w:val="008A295B"/>
    <w:rsid w:val="008A2F01"/>
    <w:rsid w:val="008A5B97"/>
    <w:rsid w:val="008A5C61"/>
    <w:rsid w:val="008A6604"/>
    <w:rsid w:val="008A76A6"/>
    <w:rsid w:val="008B00BD"/>
    <w:rsid w:val="008B0956"/>
    <w:rsid w:val="008B1C73"/>
    <w:rsid w:val="008B291B"/>
    <w:rsid w:val="008B47F4"/>
    <w:rsid w:val="008B5482"/>
    <w:rsid w:val="008B7940"/>
    <w:rsid w:val="008C11F4"/>
    <w:rsid w:val="008C19DA"/>
    <w:rsid w:val="008C1D33"/>
    <w:rsid w:val="008C2BEC"/>
    <w:rsid w:val="008C429F"/>
    <w:rsid w:val="008C4824"/>
    <w:rsid w:val="008C6523"/>
    <w:rsid w:val="008C6D0E"/>
    <w:rsid w:val="008D09D2"/>
    <w:rsid w:val="008D1FFD"/>
    <w:rsid w:val="008D39C5"/>
    <w:rsid w:val="008E1D89"/>
    <w:rsid w:val="008E3E3E"/>
    <w:rsid w:val="008E4B9C"/>
    <w:rsid w:val="008F5F87"/>
    <w:rsid w:val="008F7023"/>
    <w:rsid w:val="00900147"/>
    <w:rsid w:val="00900A34"/>
    <w:rsid w:val="00903F07"/>
    <w:rsid w:val="00906132"/>
    <w:rsid w:val="00907073"/>
    <w:rsid w:val="00911CB4"/>
    <w:rsid w:val="00912445"/>
    <w:rsid w:val="00913D72"/>
    <w:rsid w:val="009208F5"/>
    <w:rsid w:val="00923FC7"/>
    <w:rsid w:val="009250F3"/>
    <w:rsid w:val="00927D51"/>
    <w:rsid w:val="00932272"/>
    <w:rsid w:val="00932862"/>
    <w:rsid w:val="00933E61"/>
    <w:rsid w:val="00935D60"/>
    <w:rsid w:val="0093657F"/>
    <w:rsid w:val="00936F7B"/>
    <w:rsid w:val="009447BB"/>
    <w:rsid w:val="00944C48"/>
    <w:rsid w:val="00946335"/>
    <w:rsid w:val="009467A8"/>
    <w:rsid w:val="00950F3C"/>
    <w:rsid w:val="009513C4"/>
    <w:rsid w:val="009546B2"/>
    <w:rsid w:val="00954858"/>
    <w:rsid w:val="00955E55"/>
    <w:rsid w:val="00957D99"/>
    <w:rsid w:val="00960CD8"/>
    <w:rsid w:val="009614B5"/>
    <w:rsid w:val="0096167B"/>
    <w:rsid w:val="00962200"/>
    <w:rsid w:val="009632BF"/>
    <w:rsid w:val="009638DD"/>
    <w:rsid w:val="009638E2"/>
    <w:rsid w:val="00966F54"/>
    <w:rsid w:val="00967264"/>
    <w:rsid w:val="00967D67"/>
    <w:rsid w:val="00974DE1"/>
    <w:rsid w:val="00975E61"/>
    <w:rsid w:val="00976383"/>
    <w:rsid w:val="00976E31"/>
    <w:rsid w:val="00977C63"/>
    <w:rsid w:val="00980087"/>
    <w:rsid w:val="00980C0B"/>
    <w:rsid w:val="00983548"/>
    <w:rsid w:val="00984609"/>
    <w:rsid w:val="0098524F"/>
    <w:rsid w:val="009866D5"/>
    <w:rsid w:val="00987ABE"/>
    <w:rsid w:val="009906C7"/>
    <w:rsid w:val="00992975"/>
    <w:rsid w:val="00995D23"/>
    <w:rsid w:val="009963CD"/>
    <w:rsid w:val="00996887"/>
    <w:rsid w:val="009A3522"/>
    <w:rsid w:val="009A46AD"/>
    <w:rsid w:val="009B266D"/>
    <w:rsid w:val="009B38E5"/>
    <w:rsid w:val="009B5CBF"/>
    <w:rsid w:val="009C184A"/>
    <w:rsid w:val="009C2CA5"/>
    <w:rsid w:val="009C6E9F"/>
    <w:rsid w:val="009D3E45"/>
    <w:rsid w:val="009D75D0"/>
    <w:rsid w:val="009E078E"/>
    <w:rsid w:val="009E1F14"/>
    <w:rsid w:val="009E2433"/>
    <w:rsid w:val="009E3D3C"/>
    <w:rsid w:val="009E586B"/>
    <w:rsid w:val="009F1D99"/>
    <w:rsid w:val="009F2DF3"/>
    <w:rsid w:val="009F351F"/>
    <w:rsid w:val="009F3F48"/>
    <w:rsid w:val="009F3F89"/>
    <w:rsid w:val="009F480E"/>
    <w:rsid w:val="00A00094"/>
    <w:rsid w:val="00A0109F"/>
    <w:rsid w:val="00A01A98"/>
    <w:rsid w:val="00A02102"/>
    <w:rsid w:val="00A022A2"/>
    <w:rsid w:val="00A0245D"/>
    <w:rsid w:val="00A02D15"/>
    <w:rsid w:val="00A04E6F"/>
    <w:rsid w:val="00A07FF3"/>
    <w:rsid w:val="00A11403"/>
    <w:rsid w:val="00A135F8"/>
    <w:rsid w:val="00A157F1"/>
    <w:rsid w:val="00A15835"/>
    <w:rsid w:val="00A22694"/>
    <w:rsid w:val="00A2369E"/>
    <w:rsid w:val="00A26B0D"/>
    <w:rsid w:val="00A3735A"/>
    <w:rsid w:val="00A42F1B"/>
    <w:rsid w:val="00A4325A"/>
    <w:rsid w:val="00A43F58"/>
    <w:rsid w:val="00A44EBE"/>
    <w:rsid w:val="00A51348"/>
    <w:rsid w:val="00A517E7"/>
    <w:rsid w:val="00A53A5A"/>
    <w:rsid w:val="00A546BC"/>
    <w:rsid w:val="00A549F8"/>
    <w:rsid w:val="00A55989"/>
    <w:rsid w:val="00A5694A"/>
    <w:rsid w:val="00A57A63"/>
    <w:rsid w:val="00A63DA4"/>
    <w:rsid w:val="00A700DF"/>
    <w:rsid w:val="00A74594"/>
    <w:rsid w:val="00A74743"/>
    <w:rsid w:val="00A75033"/>
    <w:rsid w:val="00A75086"/>
    <w:rsid w:val="00A75CD5"/>
    <w:rsid w:val="00A763D5"/>
    <w:rsid w:val="00A83DF3"/>
    <w:rsid w:val="00A85915"/>
    <w:rsid w:val="00A86270"/>
    <w:rsid w:val="00A8640C"/>
    <w:rsid w:val="00A94EFB"/>
    <w:rsid w:val="00A952AB"/>
    <w:rsid w:val="00A9598D"/>
    <w:rsid w:val="00A9783D"/>
    <w:rsid w:val="00AA45E6"/>
    <w:rsid w:val="00AA5A37"/>
    <w:rsid w:val="00AA5A9C"/>
    <w:rsid w:val="00AB0AFD"/>
    <w:rsid w:val="00AB489C"/>
    <w:rsid w:val="00AB50C1"/>
    <w:rsid w:val="00AB6936"/>
    <w:rsid w:val="00AB787D"/>
    <w:rsid w:val="00AC0C3B"/>
    <w:rsid w:val="00AC2D63"/>
    <w:rsid w:val="00AC4764"/>
    <w:rsid w:val="00AC6AA3"/>
    <w:rsid w:val="00AC7BCA"/>
    <w:rsid w:val="00AD03D8"/>
    <w:rsid w:val="00AD0711"/>
    <w:rsid w:val="00AD704E"/>
    <w:rsid w:val="00AE3F30"/>
    <w:rsid w:val="00AE5493"/>
    <w:rsid w:val="00AE5FE0"/>
    <w:rsid w:val="00AE60B7"/>
    <w:rsid w:val="00AE75B8"/>
    <w:rsid w:val="00AE79C2"/>
    <w:rsid w:val="00AF2AB7"/>
    <w:rsid w:val="00AF2B1C"/>
    <w:rsid w:val="00AF3B2A"/>
    <w:rsid w:val="00AF4D3F"/>
    <w:rsid w:val="00AF72B2"/>
    <w:rsid w:val="00B0300B"/>
    <w:rsid w:val="00B03203"/>
    <w:rsid w:val="00B05457"/>
    <w:rsid w:val="00B057F5"/>
    <w:rsid w:val="00B067EC"/>
    <w:rsid w:val="00B076C6"/>
    <w:rsid w:val="00B07802"/>
    <w:rsid w:val="00B12598"/>
    <w:rsid w:val="00B128A0"/>
    <w:rsid w:val="00B20240"/>
    <w:rsid w:val="00B20624"/>
    <w:rsid w:val="00B2193F"/>
    <w:rsid w:val="00B23281"/>
    <w:rsid w:val="00B24D48"/>
    <w:rsid w:val="00B2614A"/>
    <w:rsid w:val="00B27571"/>
    <w:rsid w:val="00B306E1"/>
    <w:rsid w:val="00B31D6A"/>
    <w:rsid w:val="00B33C41"/>
    <w:rsid w:val="00B356F0"/>
    <w:rsid w:val="00B4164B"/>
    <w:rsid w:val="00B47D37"/>
    <w:rsid w:val="00B52C38"/>
    <w:rsid w:val="00B5409A"/>
    <w:rsid w:val="00B54494"/>
    <w:rsid w:val="00B55574"/>
    <w:rsid w:val="00B568B0"/>
    <w:rsid w:val="00B56920"/>
    <w:rsid w:val="00B61F45"/>
    <w:rsid w:val="00B6525D"/>
    <w:rsid w:val="00B65ABA"/>
    <w:rsid w:val="00B67097"/>
    <w:rsid w:val="00B6790F"/>
    <w:rsid w:val="00B71B3B"/>
    <w:rsid w:val="00B71D24"/>
    <w:rsid w:val="00B75A21"/>
    <w:rsid w:val="00B76E06"/>
    <w:rsid w:val="00B773A1"/>
    <w:rsid w:val="00B819BF"/>
    <w:rsid w:val="00B826DD"/>
    <w:rsid w:val="00B83C48"/>
    <w:rsid w:val="00B84D7A"/>
    <w:rsid w:val="00B853DB"/>
    <w:rsid w:val="00B85988"/>
    <w:rsid w:val="00B85A2B"/>
    <w:rsid w:val="00B85B67"/>
    <w:rsid w:val="00B85C5A"/>
    <w:rsid w:val="00B87D61"/>
    <w:rsid w:val="00B92DE7"/>
    <w:rsid w:val="00B93948"/>
    <w:rsid w:val="00B9762E"/>
    <w:rsid w:val="00B97958"/>
    <w:rsid w:val="00BA01F4"/>
    <w:rsid w:val="00BA4BC7"/>
    <w:rsid w:val="00BA4C6A"/>
    <w:rsid w:val="00BA4CA3"/>
    <w:rsid w:val="00BA53CF"/>
    <w:rsid w:val="00BA55B7"/>
    <w:rsid w:val="00BA5D45"/>
    <w:rsid w:val="00BA5E47"/>
    <w:rsid w:val="00BA6824"/>
    <w:rsid w:val="00BA7D57"/>
    <w:rsid w:val="00BB156E"/>
    <w:rsid w:val="00BB2448"/>
    <w:rsid w:val="00BB3330"/>
    <w:rsid w:val="00BB47D7"/>
    <w:rsid w:val="00BB4A62"/>
    <w:rsid w:val="00BC01A0"/>
    <w:rsid w:val="00BC01C1"/>
    <w:rsid w:val="00BC1EDB"/>
    <w:rsid w:val="00BC45A1"/>
    <w:rsid w:val="00BC4DC1"/>
    <w:rsid w:val="00BC59AE"/>
    <w:rsid w:val="00BC5A34"/>
    <w:rsid w:val="00BC6A3D"/>
    <w:rsid w:val="00BC7F0B"/>
    <w:rsid w:val="00BD17F5"/>
    <w:rsid w:val="00BD4922"/>
    <w:rsid w:val="00BD6D2B"/>
    <w:rsid w:val="00BD6E05"/>
    <w:rsid w:val="00BD7339"/>
    <w:rsid w:val="00BD77D6"/>
    <w:rsid w:val="00BE54D0"/>
    <w:rsid w:val="00BF0EFB"/>
    <w:rsid w:val="00BF6B6C"/>
    <w:rsid w:val="00BF7251"/>
    <w:rsid w:val="00BF7F28"/>
    <w:rsid w:val="00C011E1"/>
    <w:rsid w:val="00C01909"/>
    <w:rsid w:val="00C01ABC"/>
    <w:rsid w:val="00C025CF"/>
    <w:rsid w:val="00C05787"/>
    <w:rsid w:val="00C11871"/>
    <w:rsid w:val="00C125EA"/>
    <w:rsid w:val="00C13059"/>
    <w:rsid w:val="00C138A6"/>
    <w:rsid w:val="00C156D4"/>
    <w:rsid w:val="00C167A3"/>
    <w:rsid w:val="00C2181C"/>
    <w:rsid w:val="00C2657D"/>
    <w:rsid w:val="00C26A87"/>
    <w:rsid w:val="00C319E8"/>
    <w:rsid w:val="00C3244F"/>
    <w:rsid w:val="00C368A4"/>
    <w:rsid w:val="00C3745D"/>
    <w:rsid w:val="00C37B44"/>
    <w:rsid w:val="00C416E1"/>
    <w:rsid w:val="00C43077"/>
    <w:rsid w:val="00C448C5"/>
    <w:rsid w:val="00C46C32"/>
    <w:rsid w:val="00C47BF8"/>
    <w:rsid w:val="00C51B1C"/>
    <w:rsid w:val="00C53DCE"/>
    <w:rsid w:val="00C54A3B"/>
    <w:rsid w:val="00C54AA9"/>
    <w:rsid w:val="00C60885"/>
    <w:rsid w:val="00C61117"/>
    <w:rsid w:val="00C6469B"/>
    <w:rsid w:val="00C655F2"/>
    <w:rsid w:val="00C65B4C"/>
    <w:rsid w:val="00C65B61"/>
    <w:rsid w:val="00C70E53"/>
    <w:rsid w:val="00C72979"/>
    <w:rsid w:val="00C739B4"/>
    <w:rsid w:val="00C81529"/>
    <w:rsid w:val="00C81BA6"/>
    <w:rsid w:val="00C823E6"/>
    <w:rsid w:val="00C8377C"/>
    <w:rsid w:val="00C8652D"/>
    <w:rsid w:val="00C877CD"/>
    <w:rsid w:val="00C902E9"/>
    <w:rsid w:val="00C90739"/>
    <w:rsid w:val="00C908B7"/>
    <w:rsid w:val="00C91D81"/>
    <w:rsid w:val="00C91FFF"/>
    <w:rsid w:val="00C9219D"/>
    <w:rsid w:val="00C92701"/>
    <w:rsid w:val="00C92720"/>
    <w:rsid w:val="00C92A42"/>
    <w:rsid w:val="00C9300C"/>
    <w:rsid w:val="00CA18F2"/>
    <w:rsid w:val="00CA4871"/>
    <w:rsid w:val="00CA6722"/>
    <w:rsid w:val="00CA6D4E"/>
    <w:rsid w:val="00CA7B4B"/>
    <w:rsid w:val="00CB36A8"/>
    <w:rsid w:val="00CB4FC7"/>
    <w:rsid w:val="00CB7FA2"/>
    <w:rsid w:val="00CC0141"/>
    <w:rsid w:val="00CC139A"/>
    <w:rsid w:val="00CC1E7A"/>
    <w:rsid w:val="00CC4D14"/>
    <w:rsid w:val="00CC4F64"/>
    <w:rsid w:val="00CD058C"/>
    <w:rsid w:val="00CD1BB7"/>
    <w:rsid w:val="00CD3B98"/>
    <w:rsid w:val="00CD4216"/>
    <w:rsid w:val="00CD518C"/>
    <w:rsid w:val="00CD7326"/>
    <w:rsid w:val="00CD733F"/>
    <w:rsid w:val="00CD7C65"/>
    <w:rsid w:val="00CE0942"/>
    <w:rsid w:val="00CE2AFA"/>
    <w:rsid w:val="00CE3D85"/>
    <w:rsid w:val="00CE7CA5"/>
    <w:rsid w:val="00CF1D81"/>
    <w:rsid w:val="00CF1E92"/>
    <w:rsid w:val="00CF2DC9"/>
    <w:rsid w:val="00CF3BA8"/>
    <w:rsid w:val="00CF7CB6"/>
    <w:rsid w:val="00D112ED"/>
    <w:rsid w:val="00D209E4"/>
    <w:rsid w:val="00D20AF9"/>
    <w:rsid w:val="00D221C9"/>
    <w:rsid w:val="00D228BD"/>
    <w:rsid w:val="00D300D0"/>
    <w:rsid w:val="00D311AB"/>
    <w:rsid w:val="00D32290"/>
    <w:rsid w:val="00D325A8"/>
    <w:rsid w:val="00D32C7C"/>
    <w:rsid w:val="00D35DF6"/>
    <w:rsid w:val="00D43263"/>
    <w:rsid w:val="00D442AD"/>
    <w:rsid w:val="00D4621A"/>
    <w:rsid w:val="00D47671"/>
    <w:rsid w:val="00D50A17"/>
    <w:rsid w:val="00D51002"/>
    <w:rsid w:val="00D52998"/>
    <w:rsid w:val="00D5618A"/>
    <w:rsid w:val="00D5784B"/>
    <w:rsid w:val="00D63EFB"/>
    <w:rsid w:val="00D658AF"/>
    <w:rsid w:val="00D6735F"/>
    <w:rsid w:val="00D70462"/>
    <w:rsid w:val="00D704B5"/>
    <w:rsid w:val="00D70A79"/>
    <w:rsid w:val="00D72B37"/>
    <w:rsid w:val="00D75C57"/>
    <w:rsid w:val="00D83DE9"/>
    <w:rsid w:val="00D8450D"/>
    <w:rsid w:val="00D84C4D"/>
    <w:rsid w:val="00D87BDB"/>
    <w:rsid w:val="00D9194B"/>
    <w:rsid w:val="00D91D1E"/>
    <w:rsid w:val="00D92E48"/>
    <w:rsid w:val="00D95AF9"/>
    <w:rsid w:val="00DA09C9"/>
    <w:rsid w:val="00DA1822"/>
    <w:rsid w:val="00DA2B38"/>
    <w:rsid w:val="00DB2D5B"/>
    <w:rsid w:val="00DB324F"/>
    <w:rsid w:val="00DB5E1F"/>
    <w:rsid w:val="00DC0720"/>
    <w:rsid w:val="00DC19D8"/>
    <w:rsid w:val="00DC2613"/>
    <w:rsid w:val="00DC3C6C"/>
    <w:rsid w:val="00DC4512"/>
    <w:rsid w:val="00DC5BB6"/>
    <w:rsid w:val="00DD3691"/>
    <w:rsid w:val="00DD4B55"/>
    <w:rsid w:val="00DD635E"/>
    <w:rsid w:val="00DD6973"/>
    <w:rsid w:val="00DE0BA8"/>
    <w:rsid w:val="00DE1DD3"/>
    <w:rsid w:val="00DE1E90"/>
    <w:rsid w:val="00DE24E6"/>
    <w:rsid w:val="00DE3390"/>
    <w:rsid w:val="00DE5C8A"/>
    <w:rsid w:val="00DF07AD"/>
    <w:rsid w:val="00DF3364"/>
    <w:rsid w:val="00E00772"/>
    <w:rsid w:val="00E01688"/>
    <w:rsid w:val="00E030EE"/>
    <w:rsid w:val="00E055BB"/>
    <w:rsid w:val="00E05BF7"/>
    <w:rsid w:val="00E11414"/>
    <w:rsid w:val="00E115E5"/>
    <w:rsid w:val="00E11988"/>
    <w:rsid w:val="00E15DA9"/>
    <w:rsid w:val="00E2095D"/>
    <w:rsid w:val="00E24962"/>
    <w:rsid w:val="00E265B5"/>
    <w:rsid w:val="00E30414"/>
    <w:rsid w:val="00E33E45"/>
    <w:rsid w:val="00E35F14"/>
    <w:rsid w:val="00E40769"/>
    <w:rsid w:val="00E42E8B"/>
    <w:rsid w:val="00E4718F"/>
    <w:rsid w:val="00E60F12"/>
    <w:rsid w:val="00E62E55"/>
    <w:rsid w:val="00E652FB"/>
    <w:rsid w:val="00E66C20"/>
    <w:rsid w:val="00E71C46"/>
    <w:rsid w:val="00E731B7"/>
    <w:rsid w:val="00E73F37"/>
    <w:rsid w:val="00E74975"/>
    <w:rsid w:val="00E75ED2"/>
    <w:rsid w:val="00E76D63"/>
    <w:rsid w:val="00E805F0"/>
    <w:rsid w:val="00E80D30"/>
    <w:rsid w:val="00E8280C"/>
    <w:rsid w:val="00E83DD0"/>
    <w:rsid w:val="00E83E4C"/>
    <w:rsid w:val="00E844BA"/>
    <w:rsid w:val="00E87766"/>
    <w:rsid w:val="00E90314"/>
    <w:rsid w:val="00E908D3"/>
    <w:rsid w:val="00E909C0"/>
    <w:rsid w:val="00E91113"/>
    <w:rsid w:val="00E91933"/>
    <w:rsid w:val="00E92727"/>
    <w:rsid w:val="00E92A81"/>
    <w:rsid w:val="00E9378A"/>
    <w:rsid w:val="00E94504"/>
    <w:rsid w:val="00E94B60"/>
    <w:rsid w:val="00E96606"/>
    <w:rsid w:val="00E969B1"/>
    <w:rsid w:val="00E97A00"/>
    <w:rsid w:val="00EA2569"/>
    <w:rsid w:val="00EA2A35"/>
    <w:rsid w:val="00EA3A2C"/>
    <w:rsid w:val="00EA6343"/>
    <w:rsid w:val="00EA647A"/>
    <w:rsid w:val="00EB6552"/>
    <w:rsid w:val="00EC18E6"/>
    <w:rsid w:val="00EC1984"/>
    <w:rsid w:val="00EC234C"/>
    <w:rsid w:val="00EC3905"/>
    <w:rsid w:val="00ED3529"/>
    <w:rsid w:val="00ED4D17"/>
    <w:rsid w:val="00ED543E"/>
    <w:rsid w:val="00EE23CB"/>
    <w:rsid w:val="00EE6CD3"/>
    <w:rsid w:val="00EF1E9A"/>
    <w:rsid w:val="00EF20D7"/>
    <w:rsid w:val="00EF2312"/>
    <w:rsid w:val="00EF3364"/>
    <w:rsid w:val="00EF3419"/>
    <w:rsid w:val="00EF417B"/>
    <w:rsid w:val="00EF4660"/>
    <w:rsid w:val="00EF7FEF"/>
    <w:rsid w:val="00F0119C"/>
    <w:rsid w:val="00F02BDB"/>
    <w:rsid w:val="00F04034"/>
    <w:rsid w:val="00F0441B"/>
    <w:rsid w:val="00F07623"/>
    <w:rsid w:val="00F07D0B"/>
    <w:rsid w:val="00F1170C"/>
    <w:rsid w:val="00F11D26"/>
    <w:rsid w:val="00F12CC9"/>
    <w:rsid w:val="00F17407"/>
    <w:rsid w:val="00F2073E"/>
    <w:rsid w:val="00F24236"/>
    <w:rsid w:val="00F24269"/>
    <w:rsid w:val="00F26F97"/>
    <w:rsid w:val="00F30E40"/>
    <w:rsid w:val="00F3136B"/>
    <w:rsid w:val="00F314F1"/>
    <w:rsid w:val="00F31886"/>
    <w:rsid w:val="00F327EA"/>
    <w:rsid w:val="00F332AC"/>
    <w:rsid w:val="00F335F3"/>
    <w:rsid w:val="00F33641"/>
    <w:rsid w:val="00F36995"/>
    <w:rsid w:val="00F42842"/>
    <w:rsid w:val="00F42DF6"/>
    <w:rsid w:val="00F43EE0"/>
    <w:rsid w:val="00F44309"/>
    <w:rsid w:val="00F4468D"/>
    <w:rsid w:val="00F449B2"/>
    <w:rsid w:val="00F4545B"/>
    <w:rsid w:val="00F46E40"/>
    <w:rsid w:val="00F4760A"/>
    <w:rsid w:val="00F50608"/>
    <w:rsid w:val="00F5230A"/>
    <w:rsid w:val="00F529FE"/>
    <w:rsid w:val="00F52B13"/>
    <w:rsid w:val="00F52B8E"/>
    <w:rsid w:val="00F53CFD"/>
    <w:rsid w:val="00F54A33"/>
    <w:rsid w:val="00F54AF5"/>
    <w:rsid w:val="00F557E3"/>
    <w:rsid w:val="00F5628B"/>
    <w:rsid w:val="00F56943"/>
    <w:rsid w:val="00F60AD5"/>
    <w:rsid w:val="00F61E78"/>
    <w:rsid w:val="00F635C5"/>
    <w:rsid w:val="00F66B19"/>
    <w:rsid w:val="00F67D09"/>
    <w:rsid w:val="00F709F4"/>
    <w:rsid w:val="00F736E3"/>
    <w:rsid w:val="00F767E8"/>
    <w:rsid w:val="00F84183"/>
    <w:rsid w:val="00F86A3F"/>
    <w:rsid w:val="00F908CA"/>
    <w:rsid w:val="00F91297"/>
    <w:rsid w:val="00F9133B"/>
    <w:rsid w:val="00F91B9F"/>
    <w:rsid w:val="00F92F74"/>
    <w:rsid w:val="00F97730"/>
    <w:rsid w:val="00F97891"/>
    <w:rsid w:val="00FA0ADA"/>
    <w:rsid w:val="00FA392F"/>
    <w:rsid w:val="00FB32A4"/>
    <w:rsid w:val="00FB385B"/>
    <w:rsid w:val="00FB3969"/>
    <w:rsid w:val="00FB5769"/>
    <w:rsid w:val="00FB58E9"/>
    <w:rsid w:val="00FB594D"/>
    <w:rsid w:val="00FB6A18"/>
    <w:rsid w:val="00FC019D"/>
    <w:rsid w:val="00FC193E"/>
    <w:rsid w:val="00FC1E0A"/>
    <w:rsid w:val="00FC2767"/>
    <w:rsid w:val="00FC3017"/>
    <w:rsid w:val="00FC49BB"/>
    <w:rsid w:val="00FC54AA"/>
    <w:rsid w:val="00FC7F18"/>
    <w:rsid w:val="00FD1429"/>
    <w:rsid w:val="00FD616B"/>
    <w:rsid w:val="00FE367F"/>
    <w:rsid w:val="00FE36F7"/>
    <w:rsid w:val="00FE648D"/>
    <w:rsid w:val="00FF29DC"/>
    <w:rsid w:val="0195B104"/>
    <w:rsid w:val="0274248C"/>
    <w:rsid w:val="030364A7"/>
    <w:rsid w:val="0345CBE0"/>
    <w:rsid w:val="03DED4E3"/>
    <w:rsid w:val="050D7769"/>
    <w:rsid w:val="0564DF22"/>
    <w:rsid w:val="0646CB45"/>
    <w:rsid w:val="0662E761"/>
    <w:rsid w:val="06C5C991"/>
    <w:rsid w:val="071CED51"/>
    <w:rsid w:val="0791ED26"/>
    <w:rsid w:val="087056DE"/>
    <w:rsid w:val="08A75D0D"/>
    <w:rsid w:val="0921E488"/>
    <w:rsid w:val="0976E61E"/>
    <w:rsid w:val="098D8CEF"/>
    <w:rsid w:val="0A728339"/>
    <w:rsid w:val="0AE02C46"/>
    <w:rsid w:val="0B37B568"/>
    <w:rsid w:val="0B6C4CA6"/>
    <w:rsid w:val="0BD67585"/>
    <w:rsid w:val="0BFEACAF"/>
    <w:rsid w:val="0CF32678"/>
    <w:rsid w:val="0D3B7194"/>
    <w:rsid w:val="0E367DB6"/>
    <w:rsid w:val="0E7F63A7"/>
    <w:rsid w:val="0ECAB81E"/>
    <w:rsid w:val="0ED01377"/>
    <w:rsid w:val="0ED500A5"/>
    <w:rsid w:val="0F51A254"/>
    <w:rsid w:val="0F6F5D9B"/>
    <w:rsid w:val="0FCC0C6B"/>
    <w:rsid w:val="10F6657B"/>
    <w:rsid w:val="11F1D671"/>
    <w:rsid w:val="1223B33E"/>
    <w:rsid w:val="12ADAFA1"/>
    <w:rsid w:val="13B834B6"/>
    <w:rsid w:val="13C85F0D"/>
    <w:rsid w:val="14480065"/>
    <w:rsid w:val="1461C7E9"/>
    <w:rsid w:val="150355AC"/>
    <w:rsid w:val="159D8F26"/>
    <w:rsid w:val="15AC8AF4"/>
    <w:rsid w:val="16A7E736"/>
    <w:rsid w:val="16D8F439"/>
    <w:rsid w:val="17853009"/>
    <w:rsid w:val="1790CF0D"/>
    <w:rsid w:val="1791F7EB"/>
    <w:rsid w:val="187E5CDF"/>
    <w:rsid w:val="187F7809"/>
    <w:rsid w:val="1889BC84"/>
    <w:rsid w:val="194B24A3"/>
    <w:rsid w:val="195BD72F"/>
    <w:rsid w:val="1A030F55"/>
    <w:rsid w:val="1A0E7E5B"/>
    <w:rsid w:val="1A3E75E9"/>
    <w:rsid w:val="1B267ED0"/>
    <w:rsid w:val="1C13EDA5"/>
    <w:rsid w:val="1CBE8A35"/>
    <w:rsid w:val="1CD97276"/>
    <w:rsid w:val="1D2CA9A5"/>
    <w:rsid w:val="1DCE29ED"/>
    <w:rsid w:val="1EA463CD"/>
    <w:rsid w:val="1FE53BC1"/>
    <w:rsid w:val="1FEB029E"/>
    <w:rsid w:val="21436C17"/>
    <w:rsid w:val="22856CF9"/>
    <w:rsid w:val="22A19B10"/>
    <w:rsid w:val="22EAC353"/>
    <w:rsid w:val="22EBE78C"/>
    <w:rsid w:val="23C58D4B"/>
    <w:rsid w:val="25A5BCD3"/>
    <w:rsid w:val="266E621F"/>
    <w:rsid w:val="26A5B7E4"/>
    <w:rsid w:val="26F0685D"/>
    <w:rsid w:val="2856655F"/>
    <w:rsid w:val="28D3D169"/>
    <w:rsid w:val="28F9D6D1"/>
    <w:rsid w:val="294EE3C5"/>
    <w:rsid w:val="2A029945"/>
    <w:rsid w:val="2ABB13C3"/>
    <w:rsid w:val="2B1F9CEE"/>
    <w:rsid w:val="2B229602"/>
    <w:rsid w:val="2B51D152"/>
    <w:rsid w:val="2C378912"/>
    <w:rsid w:val="2C8885B5"/>
    <w:rsid w:val="2D1A2076"/>
    <w:rsid w:val="2D7D8AF4"/>
    <w:rsid w:val="2DE504CC"/>
    <w:rsid w:val="2DF1447E"/>
    <w:rsid w:val="2E2C54D3"/>
    <w:rsid w:val="2E728507"/>
    <w:rsid w:val="2E9E2930"/>
    <w:rsid w:val="2EDF4764"/>
    <w:rsid w:val="2F8A03D1"/>
    <w:rsid w:val="2FFEAA43"/>
    <w:rsid w:val="31020B19"/>
    <w:rsid w:val="315C55EE"/>
    <w:rsid w:val="31C60111"/>
    <w:rsid w:val="31FD47A5"/>
    <w:rsid w:val="329F4BF2"/>
    <w:rsid w:val="3322A7AF"/>
    <w:rsid w:val="33559291"/>
    <w:rsid w:val="33906350"/>
    <w:rsid w:val="33E36F7D"/>
    <w:rsid w:val="33F782D9"/>
    <w:rsid w:val="3537575A"/>
    <w:rsid w:val="360463B1"/>
    <w:rsid w:val="3609FE95"/>
    <w:rsid w:val="371B3F5D"/>
    <w:rsid w:val="372CD6DE"/>
    <w:rsid w:val="3792B64B"/>
    <w:rsid w:val="37E5033C"/>
    <w:rsid w:val="38A6C182"/>
    <w:rsid w:val="38EF0B61"/>
    <w:rsid w:val="38FAA89F"/>
    <w:rsid w:val="39C15238"/>
    <w:rsid w:val="39EF312D"/>
    <w:rsid w:val="3A31F9A1"/>
    <w:rsid w:val="3A376D79"/>
    <w:rsid w:val="3A6C1CC0"/>
    <w:rsid w:val="3B5E040C"/>
    <w:rsid w:val="3B87CFC8"/>
    <w:rsid w:val="3BAC2140"/>
    <w:rsid w:val="3CC4C849"/>
    <w:rsid w:val="3D2648C2"/>
    <w:rsid w:val="3DC1E9CE"/>
    <w:rsid w:val="3E05B7C8"/>
    <w:rsid w:val="3E159B28"/>
    <w:rsid w:val="3EDFBCEC"/>
    <w:rsid w:val="3F6BD416"/>
    <w:rsid w:val="403A9635"/>
    <w:rsid w:val="409DBC3C"/>
    <w:rsid w:val="413BE006"/>
    <w:rsid w:val="41B8BE39"/>
    <w:rsid w:val="42B32881"/>
    <w:rsid w:val="42FA03E9"/>
    <w:rsid w:val="43BC85B2"/>
    <w:rsid w:val="43EF374E"/>
    <w:rsid w:val="43F81C02"/>
    <w:rsid w:val="4583CEC2"/>
    <w:rsid w:val="45994675"/>
    <w:rsid w:val="45C91AF9"/>
    <w:rsid w:val="4625A6C7"/>
    <w:rsid w:val="4672538B"/>
    <w:rsid w:val="46D5A1BB"/>
    <w:rsid w:val="47C802ED"/>
    <w:rsid w:val="48B29427"/>
    <w:rsid w:val="48DCF69D"/>
    <w:rsid w:val="490254FF"/>
    <w:rsid w:val="4A704580"/>
    <w:rsid w:val="4AD609EF"/>
    <w:rsid w:val="4AF51BDB"/>
    <w:rsid w:val="4B2FCAEA"/>
    <w:rsid w:val="4B6F4BE4"/>
    <w:rsid w:val="4BD9E7E9"/>
    <w:rsid w:val="4C1B7D09"/>
    <w:rsid w:val="4CED7304"/>
    <w:rsid w:val="4D75B84A"/>
    <w:rsid w:val="4D9D34F4"/>
    <w:rsid w:val="4DF68785"/>
    <w:rsid w:val="4E7B3F41"/>
    <w:rsid w:val="4E86EA72"/>
    <w:rsid w:val="4F1A6B11"/>
    <w:rsid w:val="4F51A2D4"/>
    <w:rsid w:val="4FE3B733"/>
    <w:rsid w:val="504F6A57"/>
    <w:rsid w:val="51162FD5"/>
    <w:rsid w:val="512D5858"/>
    <w:rsid w:val="51619AD8"/>
    <w:rsid w:val="516A60AA"/>
    <w:rsid w:val="5198527E"/>
    <w:rsid w:val="5212539D"/>
    <w:rsid w:val="52B38ADD"/>
    <w:rsid w:val="53BCA8C6"/>
    <w:rsid w:val="53D8EBC7"/>
    <w:rsid w:val="550407DE"/>
    <w:rsid w:val="56126F53"/>
    <w:rsid w:val="57135386"/>
    <w:rsid w:val="575E3541"/>
    <w:rsid w:val="578F3837"/>
    <w:rsid w:val="57A521A8"/>
    <w:rsid w:val="5A567029"/>
    <w:rsid w:val="5AB62A54"/>
    <w:rsid w:val="5BB849A6"/>
    <w:rsid w:val="5BC00E4A"/>
    <w:rsid w:val="5C1EC152"/>
    <w:rsid w:val="5C4EE714"/>
    <w:rsid w:val="5C626292"/>
    <w:rsid w:val="5D1105F7"/>
    <w:rsid w:val="5D21A657"/>
    <w:rsid w:val="5D4B5014"/>
    <w:rsid w:val="5D55BC15"/>
    <w:rsid w:val="5D8162B9"/>
    <w:rsid w:val="5DED4829"/>
    <w:rsid w:val="5E783AAE"/>
    <w:rsid w:val="5E8678C6"/>
    <w:rsid w:val="5F03BC87"/>
    <w:rsid w:val="5F6FD1F5"/>
    <w:rsid w:val="5F9F63C9"/>
    <w:rsid w:val="60355D83"/>
    <w:rsid w:val="61034C55"/>
    <w:rsid w:val="614D70DB"/>
    <w:rsid w:val="61BA1E7B"/>
    <w:rsid w:val="620003F4"/>
    <w:rsid w:val="630EF4A2"/>
    <w:rsid w:val="63AD6C68"/>
    <w:rsid w:val="63D41654"/>
    <w:rsid w:val="640367FB"/>
    <w:rsid w:val="64724C11"/>
    <w:rsid w:val="6527EDC7"/>
    <w:rsid w:val="6596569A"/>
    <w:rsid w:val="666B879A"/>
    <w:rsid w:val="675E837C"/>
    <w:rsid w:val="6767B42C"/>
    <w:rsid w:val="684E86AC"/>
    <w:rsid w:val="693E7110"/>
    <w:rsid w:val="6961B587"/>
    <w:rsid w:val="69A98B5F"/>
    <w:rsid w:val="69CB68AD"/>
    <w:rsid w:val="6A004273"/>
    <w:rsid w:val="6A0FB0AF"/>
    <w:rsid w:val="6B2A8CBD"/>
    <w:rsid w:val="6BFD0BF3"/>
    <w:rsid w:val="6C2FEA5C"/>
    <w:rsid w:val="6C7611D2"/>
    <w:rsid w:val="6CC288AF"/>
    <w:rsid w:val="6CE19EF4"/>
    <w:rsid w:val="6D2CDA30"/>
    <w:rsid w:val="6D616677"/>
    <w:rsid w:val="6D69F261"/>
    <w:rsid w:val="6DC16ADD"/>
    <w:rsid w:val="6DC7A09C"/>
    <w:rsid w:val="6DD1D63F"/>
    <w:rsid w:val="6DDDA838"/>
    <w:rsid w:val="6E326813"/>
    <w:rsid w:val="6EB130F3"/>
    <w:rsid w:val="6EB1EA2A"/>
    <w:rsid w:val="6ECF43DB"/>
    <w:rsid w:val="700E121F"/>
    <w:rsid w:val="715A4A89"/>
    <w:rsid w:val="737EC136"/>
    <w:rsid w:val="7380C3EA"/>
    <w:rsid w:val="750A003A"/>
    <w:rsid w:val="7517C757"/>
    <w:rsid w:val="75652908"/>
    <w:rsid w:val="75B34ADE"/>
    <w:rsid w:val="75E643A3"/>
    <w:rsid w:val="76183E18"/>
    <w:rsid w:val="7620A935"/>
    <w:rsid w:val="76978335"/>
    <w:rsid w:val="770C4AE8"/>
    <w:rsid w:val="7761D290"/>
    <w:rsid w:val="77964341"/>
    <w:rsid w:val="77A1FFFE"/>
    <w:rsid w:val="77C0E0ED"/>
    <w:rsid w:val="77DE8E8D"/>
    <w:rsid w:val="782B6A40"/>
    <w:rsid w:val="78AC876C"/>
    <w:rsid w:val="78F6F0EB"/>
    <w:rsid w:val="795B10F4"/>
    <w:rsid w:val="798E80AB"/>
    <w:rsid w:val="7A1E8179"/>
    <w:rsid w:val="7A4E70F8"/>
    <w:rsid w:val="7A4F6592"/>
    <w:rsid w:val="7A7E3EF4"/>
    <w:rsid w:val="7B613D6B"/>
    <w:rsid w:val="7BA32A15"/>
    <w:rsid w:val="7BBA51DA"/>
    <w:rsid w:val="7C74F81D"/>
    <w:rsid w:val="7C939004"/>
    <w:rsid w:val="7C954D5C"/>
    <w:rsid w:val="7CFEDB63"/>
    <w:rsid w:val="7D799140"/>
    <w:rsid w:val="7D7E9218"/>
    <w:rsid w:val="7DA0B368"/>
    <w:rsid w:val="7E0025A7"/>
    <w:rsid w:val="7E0CB388"/>
    <w:rsid w:val="7E3CDE5F"/>
    <w:rsid w:val="7ECF56B4"/>
    <w:rsid w:val="7F05DC4F"/>
    <w:rsid w:val="7F1C65FA"/>
    <w:rsid w:val="7FBEB538"/>
  </w:rsids>
  <m:mathPr>
    <m:mathFont m:val="Cambria Math"/>
    <m:brkBin m:val="before"/>
    <m:brkBinSub m:val="--"/>
    <m:smallFrac m:val="0"/>
    <m:dispDef m:val="0"/>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491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52B13"/>
    <w:rPr>
      <w:rFonts w:ascii="Cambria" w:hAnsi="Cambria"/>
    </w:rPr>
  </w:style>
  <w:style w:type="paragraph" w:styleId="Heading1">
    <w:name w:val="heading 1"/>
    <w:next w:val="DHHSbody"/>
    <w:link w:val="Heading1Char"/>
    <w:uiPriority w:val="1"/>
    <w:qFormat/>
    <w:rsid w:val="00E908D3"/>
    <w:pPr>
      <w:keepNext/>
      <w:keepLines/>
      <w:spacing w:before="520" w:after="440" w:line="440" w:lineRule="atLeast"/>
      <w:outlineLvl w:val="0"/>
    </w:pPr>
    <w:rPr>
      <w:rFonts w:ascii="Arial" w:hAnsi="Arial"/>
      <w:bCs/>
      <w:color w:val="CE2653"/>
      <w:sz w:val="44"/>
      <w:szCs w:val="44"/>
    </w:rPr>
  </w:style>
  <w:style w:type="paragraph" w:styleId="Heading2">
    <w:name w:val="heading 2"/>
    <w:next w:val="DHHSbody"/>
    <w:link w:val="Heading2Char"/>
    <w:uiPriority w:val="1"/>
    <w:qFormat/>
    <w:rsid w:val="00E908D3"/>
    <w:pPr>
      <w:keepNext/>
      <w:keepLines/>
      <w:spacing w:before="240" w:after="90" w:line="320" w:lineRule="atLeast"/>
      <w:outlineLvl w:val="1"/>
    </w:pPr>
    <w:rPr>
      <w:rFonts w:ascii="Arial" w:hAnsi="Arial"/>
      <w:b/>
      <w:color w:val="289A69"/>
      <w:sz w:val="28"/>
      <w:szCs w:val="28"/>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E908D3"/>
    <w:rPr>
      <w:rFonts w:ascii="Arial" w:hAnsi="Arial"/>
      <w:bCs/>
      <w:color w:val="CE2653"/>
      <w:sz w:val="44"/>
      <w:szCs w:val="44"/>
      <w:lang w:eastAsia="en-US"/>
    </w:rPr>
  </w:style>
  <w:style w:type="character" w:customStyle="1" w:styleId="Heading2Char">
    <w:name w:val="Heading 2 Char"/>
    <w:link w:val="Heading2"/>
    <w:uiPriority w:val="1"/>
    <w:rsid w:val="00E908D3"/>
    <w:rPr>
      <w:rFonts w:ascii="Arial" w:hAnsi="Arial"/>
      <w:b/>
      <w:color w:val="289A69"/>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link w:val="HeaderChar"/>
    <w:uiPriority w:val="99"/>
    <w:rsid w:val="004E380D"/>
  </w:style>
  <w:style w:type="paragraph" w:styleId="Footer">
    <w:name w:val="footer"/>
    <w:basedOn w:val="DHHSfooter"/>
    <w:uiPriority w:val="98"/>
    <w:rsid w:val="0031753A"/>
  </w:style>
  <w:style w:type="character" w:styleId="FollowedHyperlink">
    <w:name w:val="FollowedHyperlink"/>
    <w:uiPriority w:val="99"/>
    <w:rsid w:val="007F6862"/>
    <w:rPr>
      <w:color w:val="87189D"/>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F67D09"/>
    <w:rPr>
      <w:rFonts w:ascii="Arial" w:hAnsi="Arial"/>
    </w:rPr>
    <w:tblPr>
      <w:tblInd w:w="108" w:type="dxa"/>
      <w:tblBorders>
        <w:top w:val="single" w:sz="4" w:space="0" w:color="CE2653"/>
        <w:left w:val="single" w:sz="4" w:space="0" w:color="CE2653"/>
        <w:bottom w:val="single" w:sz="4" w:space="0" w:color="CE2653"/>
        <w:right w:val="single" w:sz="4" w:space="0" w:color="CE2653"/>
        <w:insideH w:val="single" w:sz="4" w:space="0" w:color="CE2653"/>
        <w:insideV w:val="single" w:sz="4" w:space="0" w:color="CE2653"/>
      </w:tblBorders>
    </w:tblPr>
    <w:tblStylePr w:type="firstRow">
      <w:tblPr/>
      <w:tcPr>
        <w:shd w:val="clear" w:color="auto" w:fill="C2174F"/>
      </w:tcPr>
    </w:tblStyle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3D2A4D"/>
    <w:pPr>
      <w:keepLines/>
      <w:spacing w:after="240" w:line="580" w:lineRule="atLeast"/>
    </w:pPr>
    <w:rPr>
      <w:rFonts w:ascii="Arial" w:hAnsi="Arial"/>
      <w:color w:val="CE2653"/>
      <w:sz w:val="50"/>
      <w:szCs w:val="24"/>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871F0C"/>
    <w:pPr>
      <w:keepLines/>
      <w:spacing w:after="120" w:line="216" w:lineRule="auto"/>
    </w:pPr>
    <w:rPr>
      <w:rFonts w:ascii="Arial" w:hAnsi="Arial"/>
      <w:bCs/>
      <w:caps/>
      <w:color w:val="FFFFFF"/>
      <w:sz w:val="68"/>
      <w:szCs w:val="68"/>
    </w:rPr>
  </w:style>
  <w:style w:type="paragraph" w:customStyle="1" w:styleId="DHHSreportsubtitlewhite">
    <w:name w:val="DHHS report subtitle white"/>
    <w:uiPriority w:val="4"/>
    <w:rsid w:val="00D84C4D"/>
    <w:pPr>
      <w:spacing w:after="120" w:line="380" w:lineRule="atLeast"/>
    </w:pPr>
    <w:rPr>
      <w:rFonts w:ascii="Arial" w:hAnsi="Arial"/>
      <w:b/>
      <w:bCs/>
      <w:color w:val="FFFFFF"/>
      <w:sz w:val="30"/>
      <w:szCs w:val="30"/>
    </w:rPr>
  </w:style>
  <w:style w:type="paragraph" w:customStyle="1" w:styleId="Coverinstructions">
    <w:name w:val="Cover instructions"/>
    <w:rsid w:val="0005633B"/>
    <w:pPr>
      <w:spacing w:after="200" w:line="320" w:lineRule="atLeast"/>
    </w:pPr>
    <w:rPr>
      <w:rFonts w:ascii="Arial" w:hAnsi="Arial"/>
      <w:sz w:val="24"/>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DHHSbody">
    <w:name w:val="DHHS body"/>
    <w:link w:val="DHHSbodyChar"/>
    <w:qFormat/>
    <w:rsid w:val="00E30414"/>
    <w:pPr>
      <w:spacing w:after="120" w:line="270" w:lineRule="atLeast"/>
    </w:pPr>
    <w:rPr>
      <w:rFonts w:ascii="Arial" w:eastAsia="Times" w:hAnsi="Arial"/>
    </w:rPr>
  </w:style>
  <w:style w:type="paragraph" w:customStyle="1" w:styleId="DHHSbullet1">
    <w:name w:val="DHHS bullet 1"/>
    <w:basedOn w:val="DHHSbody"/>
    <w:qFormat/>
    <w:rsid w:val="007F5858"/>
    <w:pPr>
      <w:numPr>
        <w:numId w:val="7"/>
      </w:numPr>
      <w:spacing w:after="40"/>
    </w:pPr>
  </w:style>
  <w:style w:type="paragraph" w:customStyle="1" w:styleId="DHHSnumberloweralpha">
    <w:name w:val="DHHS number lower alpha"/>
    <w:basedOn w:val="DHHSbody"/>
    <w:uiPriority w:val="3"/>
    <w:rsid w:val="008669BE"/>
    <w:pPr>
      <w:numPr>
        <w:numId w:val="36"/>
      </w:numPr>
    </w:pPr>
  </w:style>
  <w:style w:type="paragraph" w:customStyle="1" w:styleId="DHHSnumberloweralphaindent">
    <w:name w:val="DHHS number lower alpha indent"/>
    <w:basedOn w:val="DHHSbody"/>
    <w:uiPriority w:val="3"/>
    <w:rsid w:val="008669BE"/>
    <w:pPr>
      <w:numPr>
        <w:ilvl w:val="1"/>
        <w:numId w:val="36"/>
      </w:numPr>
    </w:pPr>
  </w:style>
  <w:style w:type="paragraph" w:customStyle="1" w:styleId="DHHStablefigurenote">
    <w:name w:val="DHHS table/figure note"/>
    <w:uiPriority w:val="4"/>
    <w:rsid w:val="008A5B97"/>
    <w:pPr>
      <w:spacing w:before="60" w:after="60" w:line="240" w:lineRule="exact"/>
    </w:pPr>
    <w:rPr>
      <w:rFonts w:ascii="Arial" w:hAnsi="Arial"/>
      <w:sz w:val="18"/>
    </w:rPr>
  </w:style>
  <w:style w:type="paragraph" w:customStyle="1" w:styleId="DHHStabletext">
    <w:name w:val="DHHS table text"/>
    <w:uiPriority w:val="3"/>
    <w:qFormat/>
    <w:rsid w:val="00E30414"/>
    <w:pPr>
      <w:spacing w:before="80" w:after="60"/>
    </w:pPr>
    <w:rPr>
      <w:rFonts w:ascii="Arial" w:hAnsi="Arial"/>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rPr>
  </w:style>
  <w:style w:type="paragraph" w:customStyle="1" w:styleId="DHHSfigurecaption">
    <w:name w:val="DHHS figure caption"/>
    <w:next w:val="DHHSbody"/>
    <w:rsid w:val="00E91933"/>
    <w:pPr>
      <w:keepNext/>
      <w:keepLines/>
      <w:spacing w:before="240" w:after="120"/>
    </w:pPr>
    <w:rPr>
      <w:rFonts w:ascii="Arial" w:hAnsi="Arial"/>
      <w:b/>
    </w:rPr>
  </w:style>
  <w:style w:type="paragraph" w:customStyle="1" w:styleId="DHHSfooter">
    <w:name w:val="DHHS footer"/>
    <w:uiPriority w:val="11"/>
    <w:rsid w:val="00E969B1"/>
    <w:pPr>
      <w:tabs>
        <w:tab w:val="right" w:pos="9299"/>
      </w:tabs>
    </w:pPr>
    <w:rPr>
      <w:rFonts w:ascii="Arial" w:hAnsi="Arial" w:cs="Arial"/>
      <w:sz w:val="18"/>
      <w:szCs w:val="18"/>
    </w:rPr>
  </w:style>
  <w:style w:type="paragraph" w:customStyle="1" w:styleId="DHHSbullet2">
    <w:name w:val="DHHS bullet 2"/>
    <w:basedOn w:val="DHHSbody"/>
    <w:uiPriority w:val="2"/>
    <w:qFormat/>
    <w:rsid w:val="007F5858"/>
    <w:pPr>
      <w:numPr>
        <w:ilvl w:val="1"/>
        <w:numId w:val="7"/>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8669BE"/>
    <w:pPr>
      <w:numPr>
        <w:numId w:val="24"/>
      </w:numPr>
    </w:pPr>
  </w:style>
  <w:style w:type="paragraph" w:customStyle="1" w:styleId="DHHStablecolhead">
    <w:name w:val="DHHS table col head"/>
    <w:uiPriority w:val="3"/>
    <w:qFormat/>
    <w:rsid w:val="0082523D"/>
    <w:pPr>
      <w:spacing w:before="80" w:after="60"/>
    </w:pPr>
    <w:rPr>
      <w:rFonts w:ascii="Arial" w:hAnsi="Arial"/>
      <w:b/>
      <w:color w:val="FFFFFF"/>
    </w:rPr>
  </w:style>
  <w:style w:type="paragraph" w:customStyle="1" w:styleId="DHHSbodyaftertablefigure">
    <w:name w:val="DHHS body after table/figure"/>
    <w:basedOn w:val="DHHSbody"/>
    <w:next w:val="DHHSbody"/>
    <w:rsid w:val="00876275"/>
    <w:pPr>
      <w:spacing w:before="240"/>
    </w:pPr>
  </w:style>
  <w:style w:type="paragraph" w:customStyle="1" w:styleId="DHHSTOCheadingreport">
    <w:name w:val="DHHS TOC heading report"/>
    <w:basedOn w:val="Heading1"/>
    <w:link w:val="DHHSTOCheadingreportChar"/>
    <w:uiPriority w:val="5"/>
    <w:rsid w:val="004606F5"/>
    <w:pPr>
      <w:spacing w:before="0"/>
      <w:outlineLvl w:val="9"/>
    </w:pPr>
  </w:style>
  <w:style w:type="character" w:customStyle="1" w:styleId="DHHSTOCheadingreportChar">
    <w:name w:val="DHHS TOC heading report Char"/>
    <w:link w:val="DHHSTOCheadingreport"/>
    <w:uiPriority w:val="5"/>
    <w:rsid w:val="004606F5"/>
    <w:rPr>
      <w:rFonts w:ascii="Arial" w:hAnsi="Arial"/>
      <w:bCs/>
      <w:color w:val="0074BC"/>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7F5858"/>
    <w:pPr>
      <w:numPr>
        <w:numId w:val="7"/>
      </w:numPr>
    </w:pPr>
  </w:style>
  <w:style w:type="paragraph" w:customStyle="1" w:styleId="DHHSnumberlowerroman">
    <w:name w:val="DHHS number lower roman"/>
    <w:basedOn w:val="DHHSbody"/>
    <w:uiPriority w:val="3"/>
    <w:rsid w:val="008669BE"/>
    <w:pPr>
      <w:numPr>
        <w:numId w:val="38"/>
      </w:numPr>
    </w:pPr>
  </w:style>
  <w:style w:type="paragraph" w:customStyle="1" w:styleId="DHHSnumberlowerromanindent">
    <w:name w:val="DHHS number lower roman indent"/>
    <w:basedOn w:val="DHHSbody"/>
    <w:uiPriority w:val="3"/>
    <w:rsid w:val="008669BE"/>
    <w:pPr>
      <w:numPr>
        <w:ilvl w:val="1"/>
        <w:numId w:val="38"/>
      </w:numPr>
    </w:pPr>
  </w:style>
  <w:style w:type="paragraph" w:customStyle="1" w:styleId="DHHSnumberdigitindent">
    <w:name w:val="DHHS number digit indent"/>
    <w:basedOn w:val="DHHSnumberloweralphaindent"/>
    <w:uiPriority w:val="3"/>
    <w:rsid w:val="008669BE"/>
    <w:pPr>
      <w:numPr>
        <w:numId w:val="35"/>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HSbodyafterbullets">
    <w:name w:val="DHHS body after bullets"/>
    <w:basedOn w:val="DHHSbody"/>
    <w:uiPriority w:val="11"/>
    <w:rsid w:val="008669BE"/>
    <w:pPr>
      <w:spacing w:before="120"/>
    </w:pPr>
  </w:style>
  <w:style w:type="paragraph" w:customStyle="1" w:styleId="DHHSbulletafternumbers1">
    <w:name w:val="DHHS bullet after numbers 1"/>
    <w:basedOn w:val="DHHSbody"/>
    <w:uiPriority w:val="4"/>
    <w:rsid w:val="008669BE"/>
    <w:pPr>
      <w:numPr>
        <w:ilvl w:val="2"/>
        <w:numId w:val="35"/>
      </w:numPr>
    </w:pPr>
  </w:style>
  <w:style w:type="paragraph" w:customStyle="1" w:styleId="DHHSbulletafternumbers2">
    <w:name w:val="DHHS bullet after numbers 2"/>
    <w:basedOn w:val="DHHSbody"/>
    <w:rsid w:val="008669BE"/>
    <w:pPr>
      <w:numPr>
        <w:ilvl w:val="3"/>
        <w:numId w:val="35"/>
      </w:numPr>
    </w:pPr>
  </w:style>
  <w:style w:type="paragraph" w:customStyle="1" w:styleId="DHHSquotebullet1">
    <w:name w:val="DHHS quote bullet 1"/>
    <w:basedOn w:val="DHHSquote"/>
    <w:rsid w:val="008669BE"/>
    <w:pPr>
      <w:numPr>
        <w:numId w:val="37"/>
      </w:numPr>
    </w:pPr>
  </w:style>
  <w:style w:type="paragraph" w:customStyle="1" w:styleId="DHHSquotebullet2">
    <w:name w:val="DHHS quote bullet 2"/>
    <w:basedOn w:val="DHHSquote"/>
    <w:rsid w:val="008669BE"/>
    <w:pPr>
      <w:numPr>
        <w:ilvl w:val="1"/>
        <w:numId w:val="37"/>
      </w:numPr>
    </w:pPr>
  </w:style>
  <w:style w:type="paragraph" w:customStyle="1" w:styleId="DHHStablebullet1">
    <w:name w:val="DHHS table bullet 1"/>
    <w:basedOn w:val="DHHStabletext"/>
    <w:uiPriority w:val="3"/>
    <w:qFormat/>
    <w:rsid w:val="008669BE"/>
    <w:pPr>
      <w:numPr>
        <w:numId w:val="39"/>
      </w:numPr>
    </w:pPr>
  </w:style>
  <w:style w:type="paragraph" w:customStyle="1" w:styleId="DHHStablebullet2">
    <w:name w:val="DHHS table bullet 2"/>
    <w:basedOn w:val="DHHStabletext"/>
    <w:uiPriority w:val="11"/>
    <w:rsid w:val="008669BE"/>
    <w:pPr>
      <w:numPr>
        <w:ilvl w:val="1"/>
        <w:numId w:val="39"/>
      </w:numPr>
    </w:pPr>
  </w:style>
  <w:style w:type="numbering" w:customStyle="1" w:styleId="ZZNumbersdigit">
    <w:name w:val="ZZ Numbers digit"/>
    <w:rsid w:val="008669BE"/>
    <w:pPr>
      <w:numPr>
        <w:numId w:val="22"/>
      </w:numPr>
    </w:pPr>
  </w:style>
  <w:style w:type="numbering" w:customStyle="1" w:styleId="ZZNumbersloweralpha">
    <w:name w:val="ZZ Numbers lower alpha"/>
    <w:basedOn w:val="NoList"/>
    <w:rsid w:val="008669BE"/>
    <w:pPr>
      <w:numPr>
        <w:numId w:val="25"/>
      </w:numPr>
    </w:pPr>
  </w:style>
  <w:style w:type="numbering" w:customStyle="1" w:styleId="ZZQuotebullets">
    <w:name w:val="ZZ Quote bullets"/>
    <w:basedOn w:val="ZZNumbersdigit"/>
    <w:rsid w:val="008669BE"/>
    <w:pPr>
      <w:numPr>
        <w:numId w:val="30"/>
      </w:numPr>
    </w:pPr>
  </w:style>
  <w:style w:type="numbering" w:customStyle="1" w:styleId="ZZNumberslowerroman">
    <w:name w:val="ZZ Numbers lower roman"/>
    <w:basedOn w:val="ZZQuotebullets"/>
    <w:rsid w:val="008669BE"/>
    <w:pPr>
      <w:numPr>
        <w:numId w:val="28"/>
      </w:numPr>
    </w:pPr>
  </w:style>
  <w:style w:type="numbering" w:customStyle="1" w:styleId="ZZTablebullets">
    <w:name w:val="ZZ Table bullets"/>
    <w:basedOn w:val="NoList"/>
    <w:rsid w:val="008669BE"/>
    <w:pPr>
      <w:numPr>
        <w:numId w:val="32"/>
      </w:numPr>
    </w:pPr>
  </w:style>
  <w:style w:type="paragraph" w:styleId="BalloonText">
    <w:name w:val="Balloon Text"/>
    <w:basedOn w:val="Normal"/>
    <w:link w:val="BalloonTextChar"/>
    <w:uiPriority w:val="99"/>
    <w:semiHidden/>
    <w:unhideWhenUsed/>
    <w:rsid w:val="00EF1E9A"/>
    <w:rPr>
      <w:rFonts w:ascii="Times New Roman" w:hAnsi="Times New Roman"/>
      <w:sz w:val="18"/>
      <w:szCs w:val="18"/>
    </w:rPr>
  </w:style>
  <w:style w:type="character" w:customStyle="1" w:styleId="BalloonTextChar">
    <w:name w:val="Balloon Text Char"/>
    <w:link w:val="BalloonText"/>
    <w:uiPriority w:val="99"/>
    <w:semiHidden/>
    <w:rsid w:val="00EF1E9A"/>
    <w:rPr>
      <w:sz w:val="18"/>
      <w:szCs w:val="18"/>
      <w:lang w:eastAsia="en-US"/>
    </w:rPr>
  </w:style>
  <w:style w:type="paragraph" w:styleId="NormalWeb">
    <w:name w:val="Normal (Web)"/>
    <w:basedOn w:val="Normal"/>
    <w:uiPriority w:val="99"/>
    <w:semiHidden/>
    <w:unhideWhenUsed/>
    <w:rsid w:val="00E844BA"/>
    <w:pPr>
      <w:spacing w:before="100" w:beforeAutospacing="1" w:after="100" w:afterAutospacing="1"/>
    </w:pPr>
    <w:rPr>
      <w:rFonts w:ascii="Times New Roman" w:hAnsi="Times New Roman"/>
      <w:sz w:val="24"/>
      <w:szCs w:val="24"/>
      <w:lang w:eastAsia="en-AU"/>
    </w:rPr>
  </w:style>
  <w:style w:type="paragraph" w:styleId="ListParagraph">
    <w:name w:val="List Paragraph"/>
    <w:basedOn w:val="Normal"/>
    <w:uiPriority w:val="72"/>
    <w:qFormat/>
    <w:rsid w:val="007E2695"/>
    <w:pPr>
      <w:ind w:left="720"/>
      <w:contextualSpacing/>
    </w:pPr>
  </w:style>
  <w:style w:type="character" w:styleId="CommentReference">
    <w:name w:val="annotation reference"/>
    <w:basedOn w:val="DefaultParagraphFont"/>
    <w:uiPriority w:val="99"/>
    <w:semiHidden/>
    <w:unhideWhenUsed/>
    <w:rsid w:val="00950F3C"/>
    <w:rPr>
      <w:sz w:val="16"/>
      <w:szCs w:val="16"/>
    </w:rPr>
  </w:style>
  <w:style w:type="paragraph" w:styleId="CommentText">
    <w:name w:val="annotation text"/>
    <w:basedOn w:val="Normal"/>
    <w:link w:val="CommentTextChar"/>
    <w:uiPriority w:val="99"/>
    <w:semiHidden/>
    <w:unhideWhenUsed/>
    <w:rsid w:val="00950F3C"/>
  </w:style>
  <w:style w:type="character" w:customStyle="1" w:styleId="CommentTextChar">
    <w:name w:val="Comment Text Char"/>
    <w:basedOn w:val="DefaultParagraphFont"/>
    <w:link w:val="CommentText"/>
    <w:uiPriority w:val="99"/>
    <w:semiHidden/>
    <w:rsid w:val="00950F3C"/>
    <w:rPr>
      <w:rFonts w:ascii="Cambria" w:hAnsi="Cambria"/>
    </w:rPr>
  </w:style>
  <w:style w:type="paragraph" w:styleId="CommentSubject">
    <w:name w:val="annotation subject"/>
    <w:basedOn w:val="CommentText"/>
    <w:next w:val="CommentText"/>
    <w:link w:val="CommentSubjectChar"/>
    <w:uiPriority w:val="99"/>
    <w:semiHidden/>
    <w:unhideWhenUsed/>
    <w:rsid w:val="00950F3C"/>
    <w:rPr>
      <w:b/>
      <w:bCs/>
    </w:rPr>
  </w:style>
  <w:style w:type="character" w:customStyle="1" w:styleId="CommentSubjectChar">
    <w:name w:val="Comment Subject Char"/>
    <w:basedOn w:val="CommentTextChar"/>
    <w:link w:val="CommentSubject"/>
    <w:uiPriority w:val="99"/>
    <w:semiHidden/>
    <w:rsid w:val="00950F3C"/>
    <w:rPr>
      <w:rFonts w:ascii="Cambria" w:hAnsi="Cambria"/>
      <w:b/>
      <w:bCs/>
    </w:rPr>
  </w:style>
  <w:style w:type="character" w:styleId="UnresolvedMention">
    <w:name w:val="Unresolved Mention"/>
    <w:basedOn w:val="DefaultParagraphFont"/>
    <w:uiPriority w:val="99"/>
    <w:unhideWhenUsed/>
    <w:rsid w:val="00F92F74"/>
    <w:rPr>
      <w:color w:val="605E5C"/>
      <w:shd w:val="clear" w:color="auto" w:fill="E1DFDD"/>
    </w:rPr>
  </w:style>
  <w:style w:type="character" w:styleId="Mention">
    <w:name w:val="Mention"/>
    <w:basedOn w:val="DefaultParagraphFont"/>
    <w:uiPriority w:val="99"/>
    <w:unhideWhenUsed/>
    <w:rsid w:val="00F92F74"/>
    <w:rPr>
      <w:color w:val="2B579A"/>
      <w:shd w:val="clear" w:color="auto" w:fill="E1DFDD"/>
    </w:rPr>
  </w:style>
  <w:style w:type="character" w:customStyle="1" w:styleId="DHHSbodyChar">
    <w:name w:val="DHHS body Char"/>
    <w:basedOn w:val="DefaultParagraphFont"/>
    <w:link w:val="DHHSbody"/>
    <w:rsid w:val="3537575A"/>
    <w:rPr>
      <w:rFonts w:ascii="Arial" w:eastAsia="Times" w:hAnsi="Arial" w:cs="Times New Roman"/>
    </w:rPr>
  </w:style>
  <w:style w:type="character" w:customStyle="1" w:styleId="HeaderChar">
    <w:name w:val="Header Char"/>
    <w:basedOn w:val="DefaultParagraphFont"/>
    <w:link w:val="Header"/>
    <w:uiPriority w:val="99"/>
    <w:rsid w:val="007D4F0A"/>
    <w:rPr>
      <w:rFonts w:ascii="Arial" w:hAnsi="Arial" w:cs="Arial"/>
      <w:sz w:val="18"/>
      <w:szCs w:val="18"/>
    </w:rPr>
  </w:style>
  <w:style w:type="paragraph" w:customStyle="1" w:styleId="Accessibilitypara">
    <w:name w:val="Accessibility para"/>
    <w:uiPriority w:val="8"/>
    <w:rsid w:val="00A75033"/>
    <w:pPr>
      <w:spacing w:before="240" w:after="200" w:line="300" w:lineRule="atLeast"/>
    </w:pPr>
    <w:rPr>
      <w:rFonts w:ascii="Arial" w:eastAsia="Times" w:hAnsi="Arial"/>
      <w:sz w:val="24"/>
      <w:szCs w:val="19"/>
    </w:rPr>
  </w:style>
  <w:style w:type="paragraph" w:customStyle="1" w:styleId="Imprint">
    <w:name w:val="Imprint"/>
    <w:basedOn w:val="Normal"/>
    <w:uiPriority w:val="11"/>
    <w:rsid w:val="00A75033"/>
    <w:pPr>
      <w:spacing w:after="60" w:line="270" w:lineRule="atLeast"/>
    </w:pPr>
    <w:rPr>
      <w:rFonts w:ascii="Arial" w:eastAsia="Times"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561900">
      <w:bodyDiv w:val="1"/>
      <w:marLeft w:val="0"/>
      <w:marRight w:val="0"/>
      <w:marTop w:val="0"/>
      <w:marBottom w:val="0"/>
      <w:divBdr>
        <w:top w:val="none" w:sz="0" w:space="0" w:color="auto"/>
        <w:left w:val="none" w:sz="0" w:space="0" w:color="auto"/>
        <w:bottom w:val="none" w:sz="0" w:space="0" w:color="auto"/>
        <w:right w:val="none" w:sz="0" w:space="0" w:color="auto"/>
      </w:divBdr>
    </w:div>
    <w:div w:id="598367313">
      <w:bodyDiv w:val="1"/>
      <w:marLeft w:val="0"/>
      <w:marRight w:val="0"/>
      <w:marTop w:val="0"/>
      <w:marBottom w:val="0"/>
      <w:divBdr>
        <w:top w:val="none" w:sz="0" w:space="0" w:color="auto"/>
        <w:left w:val="none" w:sz="0" w:space="0" w:color="auto"/>
        <w:bottom w:val="none" w:sz="0" w:space="0" w:color="auto"/>
        <w:right w:val="none" w:sz="0" w:space="0" w:color="auto"/>
      </w:divBdr>
    </w:div>
    <w:div w:id="886913943">
      <w:bodyDiv w:val="1"/>
      <w:marLeft w:val="0"/>
      <w:marRight w:val="0"/>
      <w:marTop w:val="0"/>
      <w:marBottom w:val="0"/>
      <w:divBdr>
        <w:top w:val="none" w:sz="0" w:space="0" w:color="auto"/>
        <w:left w:val="none" w:sz="0" w:space="0" w:color="auto"/>
        <w:bottom w:val="none" w:sz="0" w:space="0" w:color="auto"/>
        <w:right w:val="none" w:sz="0" w:space="0" w:color="auto"/>
      </w:divBdr>
    </w:div>
    <w:div w:id="1005979941">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217625433">
      <w:bodyDiv w:val="1"/>
      <w:marLeft w:val="0"/>
      <w:marRight w:val="0"/>
      <w:marTop w:val="0"/>
      <w:marBottom w:val="0"/>
      <w:divBdr>
        <w:top w:val="none" w:sz="0" w:space="0" w:color="auto"/>
        <w:left w:val="none" w:sz="0" w:space="0" w:color="auto"/>
        <w:bottom w:val="none" w:sz="0" w:space="0" w:color="auto"/>
        <w:right w:val="none" w:sz="0" w:space="0" w:color="auto"/>
      </w:divBdr>
    </w:div>
    <w:div w:id="1232153274">
      <w:bodyDiv w:val="1"/>
      <w:marLeft w:val="0"/>
      <w:marRight w:val="0"/>
      <w:marTop w:val="0"/>
      <w:marBottom w:val="0"/>
      <w:divBdr>
        <w:top w:val="none" w:sz="0" w:space="0" w:color="auto"/>
        <w:left w:val="none" w:sz="0" w:space="0" w:color="auto"/>
        <w:bottom w:val="none" w:sz="0" w:space="0" w:color="auto"/>
        <w:right w:val="none" w:sz="0" w:space="0" w:color="auto"/>
      </w:divBdr>
      <w:divsChild>
        <w:div w:id="2023167563">
          <w:marLeft w:val="0"/>
          <w:marRight w:val="0"/>
          <w:marTop w:val="0"/>
          <w:marBottom w:val="0"/>
          <w:divBdr>
            <w:top w:val="none" w:sz="0" w:space="0" w:color="auto"/>
            <w:left w:val="none" w:sz="0" w:space="0" w:color="auto"/>
            <w:bottom w:val="none" w:sz="0" w:space="0" w:color="auto"/>
            <w:right w:val="none" w:sz="0" w:space="0" w:color="auto"/>
          </w:divBdr>
        </w:div>
        <w:div w:id="1058674441">
          <w:marLeft w:val="0"/>
          <w:marRight w:val="0"/>
          <w:marTop w:val="0"/>
          <w:marBottom w:val="0"/>
          <w:divBdr>
            <w:top w:val="none" w:sz="0" w:space="0" w:color="auto"/>
            <w:left w:val="none" w:sz="0" w:space="0" w:color="auto"/>
            <w:bottom w:val="none" w:sz="0" w:space="0" w:color="auto"/>
            <w:right w:val="none" w:sz="0" w:space="0" w:color="auto"/>
          </w:divBdr>
        </w:div>
      </w:divsChild>
    </w:div>
    <w:div w:id="1772167736">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98019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dffh.vic.gov.au/publications/unmet-housing-demand-people-affected-family-viole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hr@homes.vic.gov.au" TargetMode="Externa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81461-5135-4B32-87D1-8A5D761DE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3646</Words>
  <Characters>20787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Reporting: unmet housing demand among people affected by family violence - Acquitting against Recommendation 20 of the Royal Commission into Family Violence</vt:lpstr>
    </vt:vector>
  </TitlesOfParts>
  <Company/>
  <LinksUpToDate>false</LinksUpToDate>
  <CharactersWithSpaces>24385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unmet housing demand among people affected by family violence - Acquitting against Recommendation 20 of the Royal Commission into Family Violence</dc:title>
  <dc:subject/>
  <dc:creator/>
  <cp:keywords/>
  <cp:lastModifiedBy/>
  <cp:revision>1</cp:revision>
  <dcterms:created xsi:type="dcterms:W3CDTF">2022-02-09T22:31:00Z</dcterms:created>
  <dcterms:modified xsi:type="dcterms:W3CDTF">2022-02-09T22:59:00Z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2022-02-09T22:59:05Z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05102e73-42f2-49fe-a95d-672ebf482494</vt:lpwstr>
  </property>
  <property fmtid="{D5CDD505-2E9C-101B-9397-08002B2CF9AE}" pid="8" name="MSIP_Label_43e64453-338c-4f93-8a4d-0039a0a41f2a_ContentBits">
    <vt:lpwstr>2</vt:lpwstr>
  </property>
</Properties>
</file>