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0D0D53">
        <w:trPr>
          <w:trHeight w:val="1418"/>
        </w:trPr>
        <w:tc>
          <w:tcPr>
            <w:tcW w:w="782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000D0D53">
        <w:trPr>
          <w:trHeight w:val="1247"/>
        </w:trPr>
        <w:tc>
          <w:tcPr>
            <w:tcW w:w="7825" w:type="dxa"/>
          </w:tcPr>
          <w:p w14:paraId="646C9B07" w14:textId="77777777" w:rsidR="000B2117" w:rsidRDefault="00AA1374" w:rsidP="0016037B">
            <w:pPr>
              <w:pStyle w:val="Documentsubtitle"/>
            </w:pPr>
            <w:r>
              <w:t>Quarterly incident reporting</w:t>
            </w:r>
          </w:p>
          <w:p w14:paraId="69C24C39" w14:textId="72726E1C" w:rsidR="00AA1374" w:rsidRPr="0016037B" w:rsidRDefault="00AA1374" w:rsidP="0016037B">
            <w:pPr>
              <w:pStyle w:val="Documentsubtitle"/>
            </w:pPr>
            <w:r>
              <w:t xml:space="preserve">Quarter </w:t>
            </w:r>
            <w:r w:rsidR="001D4A95">
              <w:t>3</w:t>
            </w:r>
            <w:r w:rsidR="4CD2E776">
              <w:t xml:space="preserve"> </w:t>
            </w:r>
            <w:r>
              <w:t>202</w:t>
            </w:r>
            <w:r w:rsidR="02F08B1A">
              <w:t>4</w:t>
            </w:r>
            <w:r>
              <w:t>-2</w:t>
            </w:r>
            <w:r w:rsidR="60CC1FB7">
              <w:t>5</w:t>
            </w:r>
          </w:p>
        </w:tc>
      </w:tr>
      <w:tr w:rsidR="00CF4148" w14:paraId="5F5E6105" w14:textId="77777777" w:rsidTr="000D0D53">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500107F" w14:textId="3C699856" w:rsidR="008A5D60" w:rsidRDefault="00AA1374" w:rsidP="003D7E30">
      <w:pPr>
        <w:pStyle w:val="Heading1"/>
      </w:pPr>
      <w:r>
        <w:t>About incident reporting</w:t>
      </w:r>
    </w:p>
    <w:p w14:paraId="552B38DA" w14:textId="77777777" w:rsidR="00AA1374" w:rsidRDefault="00AA1374" w:rsidP="00AA1374">
      <w:pPr>
        <w:pStyle w:val="DHHSbody"/>
        <w:spacing w:after="240"/>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1374">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1374">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675336EE" w:rsidR="00AA1374" w:rsidRDefault="00AA1374" w:rsidP="00AA1374">
      <w:pPr>
        <w:pStyle w:val="Tablecaption"/>
      </w:pPr>
      <w:r>
        <w:t xml:space="preserve">Table 1: Child Protection and Family Services major impact incidents Quarter </w:t>
      </w:r>
      <w:r w:rsidR="001D4A95">
        <w:t>3</w:t>
      </w:r>
      <w:r>
        <w:t>, 202</w:t>
      </w:r>
      <w:r w:rsidR="6E1DD05C">
        <w:t>4</w:t>
      </w:r>
      <w:r>
        <w:t>-2</w:t>
      </w:r>
      <w:r w:rsidR="2C394FFF">
        <w:t>5</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3DCC4D96">
        <w:trPr>
          <w:trHeight w:val="57"/>
        </w:trPr>
        <w:tc>
          <w:tcPr>
            <w:tcW w:w="2895" w:type="dxa"/>
            <w:vAlign w:val="center"/>
          </w:tcPr>
          <w:p w14:paraId="2DB73BD2" w14:textId="77777777" w:rsidR="00AA1374" w:rsidRPr="00AA1374" w:rsidRDefault="00AA1374" w:rsidP="00AA1374">
            <w:pPr>
              <w:pStyle w:val="DHHStablecolhead"/>
            </w:pPr>
            <w:r w:rsidRPr="00AA1374">
              <w:t>Incident type</w:t>
            </w:r>
          </w:p>
        </w:tc>
        <w:tc>
          <w:tcPr>
            <w:tcW w:w="2895" w:type="dxa"/>
            <w:vAlign w:val="bottom"/>
          </w:tcPr>
          <w:p w14:paraId="697EA135" w14:textId="0B10384B" w:rsidR="00AA1374" w:rsidRPr="00AA1374" w:rsidRDefault="00AA1374" w:rsidP="008C71EC">
            <w:pPr>
              <w:pStyle w:val="DHHStablecolhead"/>
              <w:jc w:val="center"/>
            </w:pPr>
            <w:r>
              <w:t xml:space="preserve">Quarter </w:t>
            </w:r>
            <w:r w:rsidR="001D4A95">
              <w:t>3</w:t>
            </w:r>
          </w:p>
          <w:p w14:paraId="39FB57C1" w14:textId="31299193" w:rsidR="00AA1374" w:rsidRPr="00AA1374" w:rsidRDefault="00AA1374" w:rsidP="008C71EC">
            <w:pPr>
              <w:pStyle w:val="DHHStablecolhead"/>
              <w:jc w:val="center"/>
            </w:pPr>
            <w:r>
              <w:t xml:space="preserve">1 </w:t>
            </w:r>
            <w:r w:rsidR="001D4A95">
              <w:t xml:space="preserve">January </w:t>
            </w:r>
            <w:r>
              <w:t xml:space="preserve">– </w:t>
            </w:r>
            <w:r w:rsidR="744A75D9">
              <w:t>3</w:t>
            </w:r>
            <w:r w:rsidR="38E394A8">
              <w:t>1</w:t>
            </w:r>
            <w:r w:rsidR="00434A20">
              <w:t xml:space="preserve"> </w:t>
            </w:r>
            <w:r w:rsidR="001D4A95">
              <w:t>March</w:t>
            </w:r>
          </w:p>
        </w:tc>
      </w:tr>
      <w:tr w:rsidR="00AA1374" w:rsidRPr="00E01C03" w14:paraId="48D16627" w14:textId="77777777" w:rsidTr="3DCC4D96">
        <w:trPr>
          <w:trHeight w:val="57"/>
        </w:trPr>
        <w:tc>
          <w:tcPr>
            <w:tcW w:w="2895" w:type="dxa"/>
            <w:vAlign w:val="bottom"/>
          </w:tcPr>
          <w:p w14:paraId="29BE52DE" w14:textId="77777777" w:rsidR="00AA1374" w:rsidRPr="00AA1374" w:rsidRDefault="00AA1374" w:rsidP="00AA1374">
            <w:pPr>
              <w:pStyle w:val="DHHStabletext"/>
            </w:pPr>
            <w:r w:rsidRPr="00AA1374">
              <w:t>Client death</w:t>
            </w:r>
          </w:p>
        </w:tc>
        <w:tc>
          <w:tcPr>
            <w:tcW w:w="2895" w:type="dxa"/>
          </w:tcPr>
          <w:p w14:paraId="057DDE9A" w14:textId="1D1F8EF7" w:rsidR="00AA1374" w:rsidRPr="00AA1374" w:rsidRDefault="001D4A95" w:rsidP="12730938">
            <w:pPr>
              <w:pStyle w:val="DHHStabletext"/>
              <w:jc w:val="center"/>
            </w:pPr>
            <w:r>
              <w:t>1</w:t>
            </w:r>
          </w:p>
        </w:tc>
      </w:tr>
      <w:tr w:rsidR="00AA1374" w:rsidRPr="00E01C03" w14:paraId="5FDA5B0A" w14:textId="77777777" w:rsidTr="3DCC4D96">
        <w:trPr>
          <w:trHeight w:val="57"/>
        </w:trPr>
        <w:tc>
          <w:tcPr>
            <w:tcW w:w="2895" w:type="dxa"/>
            <w:vAlign w:val="bottom"/>
          </w:tcPr>
          <w:p w14:paraId="2448C674" w14:textId="77777777" w:rsidR="00AA1374" w:rsidRPr="00AA1374" w:rsidRDefault="00AA1374" w:rsidP="00AA1374">
            <w:pPr>
              <w:pStyle w:val="DHHStabletext"/>
            </w:pPr>
            <w:r w:rsidRPr="00AA1374">
              <w:t>Abuse</w:t>
            </w:r>
          </w:p>
        </w:tc>
        <w:tc>
          <w:tcPr>
            <w:tcW w:w="2895" w:type="dxa"/>
          </w:tcPr>
          <w:p w14:paraId="16F21347" w14:textId="6A0FB510" w:rsidR="00AA1374" w:rsidRPr="00AA1374" w:rsidRDefault="001D4A95" w:rsidP="12730938">
            <w:pPr>
              <w:pStyle w:val="DHHStabletext"/>
              <w:jc w:val="center"/>
            </w:pPr>
            <w:r>
              <w:t>291</w:t>
            </w:r>
          </w:p>
        </w:tc>
      </w:tr>
      <w:tr w:rsidR="00AA1374" w:rsidRPr="00E01C03" w14:paraId="376DA8D0" w14:textId="77777777" w:rsidTr="3DCC4D96">
        <w:trPr>
          <w:trHeight w:val="57"/>
        </w:trPr>
        <w:tc>
          <w:tcPr>
            <w:tcW w:w="2895" w:type="dxa"/>
            <w:vAlign w:val="bottom"/>
          </w:tcPr>
          <w:p w14:paraId="56E37D13" w14:textId="77777777" w:rsidR="00AA1374" w:rsidRPr="00AA1374" w:rsidRDefault="00AA1374" w:rsidP="00AA1374">
            <w:pPr>
              <w:pStyle w:val="DHHStabletext"/>
            </w:pPr>
            <w:r w:rsidRPr="00AA1374">
              <w:t>Behaviour</w:t>
            </w:r>
          </w:p>
        </w:tc>
        <w:tc>
          <w:tcPr>
            <w:tcW w:w="2895" w:type="dxa"/>
          </w:tcPr>
          <w:p w14:paraId="70423810" w14:textId="490AFA70" w:rsidR="00AA1374" w:rsidRPr="00AA1374" w:rsidRDefault="001D4A95" w:rsidP="12730938">
            <w:pPr>
              <w:pStyle w:val="DHHStabletext"/>
              <w:jc w:val="center"/>
            </w:pPr>
            <w:r>
              <w:t>38</w:t>
            </w:r>
          </w:p>
        </w:tc>
      </w:tr>
      <w:tr w:rsidR="00AA1374" w:rsidRPr="00E01C03" w14:paraId="4FB4684B" w14:textId="77777777" w:rsidTr="3DCC4D96">
        <w:trPr>
          <w:trHeight w:val="57"/>
        </w:trPr>
        <w:tc>
          <w:tcPr>
            <w:tcW w:w="2895" w:type="dxa"/>
            <w:vAlign w:val="bottom"/>
          </w:tcPr>
          <w:p w14:paraId="04F1F5BA" w14:textId="77777777" w:rsidR="00AA1374" w:rsidRPr="00AA1374" w:rsidRDefault="00AA1374" w:rsidP="00AA1374">
            <w:pPr>
              <w:pStyle w:val="DHHStabletext"/>
            </w:pPr>
            <w:r w:rsidRPr="00AA1374">
              <w:t>Other incident types</w:t>
            </w:r>
          </w:p>
        </w:tc>
        <w:tc>
          <w:tcPr>
            <w:tcW w:w="2895" w:type="dxa"/>
          </w:tcPr>
          <w:p w14:paraId="516CA2F5" w14:textId="7257FFE5" w:rsidR="00AA1374" w:rsidRPr="00AA1374" w:rsidRDefault="001D4A95" w:rsidP="12730938">
            <w:pPr>
              <w:pStyle w:val="DHHStabletext"/>
              <w:jc w:val="center"/>
            </w:pPr>
            <w:r>
              <w:t>313</w:t>
            </w:r>
          </w:p>
        </w:tc>
      </w:tr>
      <w:tr w:rsidR="00AA1374" w:rsidRPr="001D343A" w14:paraId="18116AED" w14:textId="77777777" w:rsidTr="3DCC4D96">
        <w:trPr>
          <w:trHeight w:val="57"/>
        </w:trPr>
        <w:tc>
          <w:tcPr>
            <w:tcW w:w="2895" w:type="dxa"/>
            <w:vAlign w:val="bottom"/>
          </w:tcPr>
          <w:p w14:paraId="5711F689" w14:textId="77777777" w:rsidR="00AA1374" w:rsidRPr="00AA1374" w:rsidRDefault="00AA1374" w:rsidP="00AA1374">
            <w:pPr>
              <w:pStyle w:val="DHHStabletext"/>
              <w:rPr>
                <w:b/>
                <w:bCs/>
              </w:rPr>
            </w:pPr>
            <w:r w:rsidRPr="00AA1374">
              <w:rPr>
                <w:b/>
                <w:bCs/>
              </w:rPr>
              <w:t>Total incidents</w:t>
            </w:r>
          </w:p>
        </w:tc>
        <w:tc>
          <w:tcPr>
            <w:tcW w:w="2895" w:type="dxa"/>
            <w:vAlign w:val="center"/>
          </w:tcPr>
          <w:p w14:paraId="672BD82F" w14:textId="1ABEE655" w:rsidR="00AA1374" w:rsidRPr="00AA1374" w:rsidRDefault="001D4A95" w:rsidP="12730938">
            <w:pPr>
              <w:pStyle w:val="DHHStabletext"/>
              <w:jc w:val="center"/>
              <w:rPr>
                <w:b/>
                <w:bCs/>
              </w:rPr>
            </w:pPr>
            <w:r>
              <w:rPr>
                <w:b/>
                <w:bCs/>
              </w:rPr>
              <w:t>643</w:t>
            </w:r>
          </w:p>
        </w:tc>
      </w:tr>
    </w:tbl>
    <w:p w14:paraId="6D5DD391" w14:textId="77777777" w:rsidR="00E46DF0" w:rsidRDefault="00E46DF0" w:rsidP="00AA1374">
      <w:pPr>
        <w:pStyle w:val="DHHSbody"/>
      </w:pPr>
    </w:p>
    <w:p w14:paraId="00748CE1" w14:textId="77777777" w:rsidR="00E46DF0" w:rsidRDefault="00E46DF0" w:rsidP="00AA1374">
      <w:pPr>
        <w:pStyle w:val="DHHSbody"/>
      </w:pPr>
    </w:p>
    <w:p w14:paraId="39C5F9C0" w14:textId="77777777" w:rsidR="00E46DF0" w:rsidRDefault="00E46DF0" w:rsidP="00AA1374">
      <w:pPr>
        <w:pStyle w:val="DHHSbody"/>
      </w:pPr>
    </w:p>
    <w:p w14:paraId="70770534" w14:textId="77777777" w:rsidR="00E46DF0" w:rsidRDefault="00E46DF0" w:rsidP="00AA1374">
      <w:pPr>
        <w:pStyle w:val="DHHSbody"/>
      </w:pPr>
    </w:p>
    <w:p w14:paraId="6B85BD43" w14:textId="77777777" w:rsidR="00E46DF0" w:rsidRDefault="00E46DF0" w:rsidP="00AA1374">
      <w:pPr>
        <w:pStyle w:val="DHHSbody"/>
      </w:pPr>
    </w:p>
    <w:p w14:paraId="060E7549" w14:textId="77777777" w:rsidR="00E46DF0" w:rsidRDefault="00E46DF0" w:rsidP="00AA1374">
      <w:pPr>
        <w:pStyle w:val="DHHSbody"/>
      </w:pPr>
    </w:p>
    <w:p w14:paraId="2B185A71" w14:textId="77777777" w:rsidR="00E46DF0" w:rsidRDefault="00E46DF0" w:rsidP="00AA1374">
      <w:pPr>
        <w:pStyle w:val="DHHSbody"/>
      </w:pPr>
    </w:p>
    <w:p w14:paraId="4E2D80CC" w14:textId="77777777" w:rsidR="00E46DF0" w:rsidRPr="00E46DF0" w:rsidRDefault="00E46DF0" w:rsidP="00E46DF0">
      <w:pPr>
        <w:pStyle w:val="Heading2"/>
      </w:pPr>
      <w:r>
        <w:t>Incident responses</w:t>
      </w:r>
    </w:p>
    <w:p w14:paraId="5D4112D4" w14:textId="5802CA23" w:rsidR="00E46DF0" w:rsidRDefault="00E46DF0" w:rsidP="00AA1374">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C301FCE" w:rsidR="00AA1374" w:rsidRDefault="00AA1374" w:rsidP="00AA1374">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1374">
      <w:pPr>
        <w:pStyle w:val="DHHSbody"/>
        <w:spacing w:after="0"/>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1374">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1374">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1374">
      <w:pPr>
        <w:pStyle w:val="DHHSbody"/>
        <w:spacing w:after="0"/>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1374">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1374">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W w:w="0" w:type="auto"/>
        <w:tblLook w:val="04A0" w:firstRow="1" w:lastRow="0" w:firstColumn="1" w:lastColumn="0" w:noHBand="0" w:noVBand="1"/>
      </w:tblPr>
      <w:tblGrid>
        <w:gridCol w:w="10194"/>
      </w:tblGrid>
      <w:tr w:rsidR="0055119B" w14:paraId="696A6191" w14:textId="77777777" w:rsidTr="000D0D53">
        <w:tc>
          <w:tcPr>
            <w:tcW w:w="10194" w:type="dxa"/>
          </w:tcPr>
          <w:p w14:paraId="1D5108EB" w14:textId="4846BECC" w:rsidR="008C71EC" w:rsidRPr="0055119B" w:rsidRDefault="008C71EC" w:rsidP="008C71EC">
            <w:pPr>
              <w:pStyle w:val="Accessibilitypara"/>
            </w:pPr>
            <w:bookmarkStart w:id="0" w:name="_Hlk37240926"/>
            <w:r w:rsidRPr="0055119B">
              <w:t>To receive this document in another format</w:t>
            </w:r>
            <w:r>
              <w:t>,</w:t>
            </w:r>
            <w:r w:rsidRPr="0055119B">
              <w:t xml:space="preserve"> email </w:t>
            </w:r>
            <w:r>
              <w:t xml:space="preserve">QSE Incident Management System Coordination </w:t>
            </w:r>
            <w:r w:rsidR="00965577">
              <w:t>(DFFH</w:t>
            </w:r>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2E4D7964" w:rsidR="008C71EC" w:rsidRPr="0055119B" w:rsidRDefault="008C71EC" w:rsidP="008C71EC">
            <w:pPr>
              <w:pStyle w:val="Imprint"/>
            </w:pPr>
            <w:r w:rsidRPr="0055119B">
              <w:t xml:space="preserve">© State of Victoria, Australia, Department </w:t>
            </w:r>
            <w:r w:rsidRPr="001B058F">
              <w:t xml:space="preserve">of </w:t>
            </w:r>
            <w:r>
              <w:t>Families, Fairness and Housing</w:t>
            </w:r>
            <w:r w:rsidRPr="0055119B">
              <w:t xml:space="preserve">, </w:t>
            </w:r>
            <w:r w:rsidR="001D4A95">
              <w:t>April</w:t>
            </w:r>
            <w:r w:rsidRPr="000B00A8">
              <w:t xml:space="preserve"> 202</w:t>
            </w:r>
            <w:r w:rsidR="001D4A95">
              <w:t>5</w:t>
            </w:r>
            <w:r w:rsidRPr="0055119B">
              <w:t>.</w:t>
            </w:r>
          </w:p>
          <w:p w14:paraId="0C92739F" w14:textId="50C8E323" w:rsidR="0055119B" w:rsidRDefault="008C71EC" w:rsidP="008C71EC">
            <w:pPr>
              <w:pStyle w:val="Imprint"/>
            </w:pPr>
            <w:bookmarkStart w:id="1" w:name="_Hlk62746129"/>
            <w:r w:rsidRPr="0055119B">
              <w:t xml:space="preserve">Available </w:t>
            </w:r>
            <w:r>
              <w:t xml:space="preserve">on the </w:t>
            </w:r>
            <w:hyperlink r:id="rId18" w:history="1">
              <w:r w:rsidRPr="000B00A8">
                <w:rPr>
                  <w:rStyle w:val="Hyperlink"/>
                </w:rPr>
                <w:t>Quarterly incident data page</w:t>
              </w:r>
            </w:hyperlink>
            <w:r w:rsidRPr="000B00A8">
              <w:t xml:space="preserve"> on the DFFH website &lt;https://www.dffh.vic.gov.au/publications/quarterly-incident-data&gt;</w:t>
            </w:r>
            <w:bookmarkEnd w:id="1"/>
          </w:p>
        </w:tc>
      </w:tr>
      <w:bookmarkEnd w:id="0"/>
    </w:tbl>
    <w:p w14:paraId="281FC80A" w14:textId="77777777" w:rsidR="000D0D53" w:rsidRDefault="000D0D53" w:rsidP="008C71EC">
      <w:pPr>
        <w:pStyle w:val="Body"/>
        <w:rPr>
          <w:sz w:val="18"/>
          <w:szCs w:val="18"/>
        </w:rPr>
      </w:pPr>
    </w:p>
    <w:p w14:paraId="3CDFF664" w14:textId="77777777" w:rsidR="000D0D53" w:rsidRDefault="000D0D53" w:rsidP="008C71EC">
      <w:pPr>
        <w:pStyle w:val="Body"/>
        <w:rPr>
          <w:sz w:val="18"/>
          <w:szCs w:val="18"/>
        </w:rPr>
      </w:pPr>
    </w:p>
    <w:p w14:paraId="0D8DDD59" w14:textId="77777777" w:rsidR="000D0D53" w:rsidRDefault="000D0D53" w:rsidP="008C71EC">
      <w:pPr>
        <w:pStyle w:val="Body"/>
        <w:rPr>
          <w:sz w:val="18"/>
          <w:szCs w:val="18"/>
        </w:rPr>
      </w:pPr>
    </w:p>
    <w:p w14:paraId="141565CA" w14:textId="77777777" w:rsidR="000D0D53" w:rsidRDefault="000D0D53" w:rsidP="008C71EC">
      <w:pPr>
        <w:pStyle w:val="Body"/>
        <w:rPr>
          <w:sz w:val="18"/>
          <w:szCs w:val="18"/>
        </w:rPr>
      </w:pPr>
    </w:p>
    <w:p w14:paraId="465EA9F0" w14:textId="77777777" w:rsidR="000D0D53" w:rsidRDefault="000D0D53" w:rsidP="008C71EC">
      <w:pPr>
        <w:pStyle w:val="Body"/>
        <w:rPr>
          <w:sz w:val="18"/>
          <w:szCs w:val="18"/>
        </w:rPr>
      </w:pPr>
    </w:p>
    <w:p w14:paraId="7599B432" w14:textId="77777777" w:rsidR="000D0D53" w:rsidRDefault="000D0D53" w:rsidP="008C71EC">
      <w:pPr>
        <w:pStyle w:val="Body"/>
        <w:rPr>
          <w:sz w:val="18"/>
          <w:szCs w:val="18"/>
        </w:rPr>
      </w:pPr>
    </w:p>
    <w:p w14:paraId="13F62E63" w14:textId="77777777" w:rsidR="000D0D53" w:rsidRDefault="000D0D53" w:rsidP="008C71EC">
      <w:pPr>
        <w:pStyle w:val="Body"/>
        <w:rPr>
          <w:sz w:val="18"/>
          <w:szCs w:val="18"/>
        </w:rPr>
      </w:pPr>
    </w:p>
    <w:p w14:paraId="7CCD4E96" w14:textId="24A2C898"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8C71EC">
      <w:headerReference w:type="default" r:id="rId19"/>
      <w:footerReference w:type="default" r:id="rId20"/>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6DFA" w14:textId="77777777" w:rsidR="006F3ACD" w:rsidRDefault="006F3ACD">
      <w:r>
        <w:separator/>
      </w:r>
    </w:p>
    <w:p w14:paraId="696ADE58" w14:textId="77777777" w:rsidR="006F3ACD" w:rsidRDefault="006F3ACD"/>
  </w:endnote>
  <w:endnote w:type="continuationSeparator" w:id="0">
    <w:p w14:paraId="1FD65214" w14:textId="77777777" w:rsidR="006F3ACD" w:rsidRDefault="006F3ACD">
      <w:r>
        <w:continuationSeparator/>
      </w:r>
    </w:p>
    <w:p w14:paraId="7C178548" w14:textId="77777777" w:rsidR="006F3ACD" w:rsidRDefault="006F3ACD"/>
  </w:endnote>
  <w:endnote w:type="continuationNotice" w:id="1">
    <w:p w14:paraId="7E7AEB96" w14:textId="77777777" w:rsidR="006F3ACD" w:rsidRDefault="006F3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2500" w14:textId="77777777" w:rsidR="000D0D53" w:rsidRDefault="000D0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3234173B" w:rsidR="00593A99" w:rsidRPr="00F65AA9" w:rsidRDefault="00434A20" w:rsidP="00EF2C72">
    <w:pPr>
      <w:pStyle w:val="Footer"/>
    </w:pPr>
    <w:r>
      <w:rPr>
        <w:noProof/>
      </w:rPr>
      <mc:AlternateContent>
        <mc:Choice Requires="wps">
          <w:drawing>
            <wp:anchor distT="0" distB="0" distL="114300" distR="114300" simplePos="0" relativeHeight="251658243" behindDoc="0" locked="0" layoutInCell="0" allowOverlap="1" wp14:anchorId="136BEE87" wp14:editId="2D96F35E">
              <wp:simplePos x="0" y="0"/>
              <wp:positionH relativeFrom="page">
                <wp:posOffset>0</wp:posOffset>
              </wp:positionH>
              <wp:positionV relativeFrom="page">
                <wp:posOffset>10189210</wp:posOffset>
              </wp:positionV>
              <wp:extent cx="7560310" cy="311785"/>
              <wp:effectExtent l="0" t="0" r="0" b="12065"/>
              <wp:wrapNone/>
              <wp:docPr id="889457121" name="MSIPCM95134804a3e911a854b9b6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EE87" id="_x0000_t202" coordsize="21600,21600" o:spt="202" path="m,l,21600r21600,l21600,xe">
              <v:stroke joinstyle="miter"/>
              <v:path gradientshapeok="t" o:connecttype="rect"/>
            </v:shapetype>
            <v:shape id="MSIPCM95134804a3e911a854b9b68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1A83" w14:textId="77777777" w:rsidR="006F3ACD" w:rsidRDefault="006F3ACD" w:rsidP="00207717">
      <w:pPr>
        <w:spacing w:before="120"/>
      </w:pPr>
      <w:r>
        <w:separator/>
      </w:r>
    </w:p>
  </w:footnote>
  <w:footnote w:type="continuationSeparator" w:id="0">
    <w:p w14:paraId="2CED89D0" w14:textId="77777777" w:rsidR="006F3ACD" w:rsidRDefault="006F3ACD">
      <w:r>
        <w:continuationSeparator/>
      </w:r>
    </w:p>
    <w:p w14:paraId="2FCCABFB" w14:textId="77777777" w:rsidR="006F3ACD" w:rsidRDefault="006F3ACD"/>
  </w:footnote>
  <w:footnote w:type="continuationNotice" w:id="1">
    <w:p w14:paraId="313A9323" w14:textId="77777777" w:rsidR="006F3ACD" w:rsidRDefault="006F3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BCC0" w14:textId="77777777" w:rsidR="000D0D53" w:rsidRDefault="000D0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EB65" w14:textId="77777777" w:rsidR="000D0D53" w:rsidRDefault="000D0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AE83" w14:textId="77777777" w:rsidR="000D0D53" w:rsidRDefault="000D0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D53"/>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4A95"/>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8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57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3E24"/>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E7E5A"/>
    <w:rsid w:val="003F0445"/>
    <w:rsid w:val="003F0CF0"/>
    <w:rsid w:val="003F14B1"/>
    <w:rsid w:val="003F2B20"/>
    <w:rsid w:val="003F3289"/>
    <w:rsid w:val="003F3C62"/>
    <w:rsid w:val="003F5CB9"/>
    <w:rsid w:val="004013C7"/>
    <w:rsid w:val="00401FCF"/>
    <w:rsid w:val="00406157"/>
    <w:rsid w:val="00406285"/>
    <w:rsid w:val="004106D0"/>
    <w:rsid w:val="004148F9"/>
    <w:rsid w:val="0042084E"/>
    <w:rsid w:val="00421EEF"/>
    <w:rsid w:val="00424D65"/>
    <w:rsid w:val="00430393"/>
    <w:rsid w:val="00431806"/>
    <w:rsid w:val="00434A20"/>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159"/>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6E28"/>
    <w:rsid w:val="006D0F16"/>
    <w:rsid w:val="006D2A3F"/>
    <w:rsid w:val="006D2FBC"/>
    <w:rsid w:val="006D3610"/>
    <w:rsid w:val="006E138B"/>
    <w:rsid w:val="006E1867"/>
    <w:rsid w:val="006E2418"/>
    <w:rsid w:val="006F0330"/>
    <w:rsid w:val="006F1FDC"/>
    <w:rsid w:val="006F3ACD"/>
    <w:rsid w:val="006F6B8C"/>
    <w:rsid w:val="007013EF"/>
    <w:rsid w:val="007055BD"/>
    <w:rsid w:val="007062C8"/>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5C5F"/>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6FD"/>
    <w:rsid w:val="008119CA"/>
    <w:rsid w:val="00811BBF"/>
    <w:rsid w:val="008130C4"/>
    <w:rsid w:val="008155F0"/>
    <w:rsid w:val="00816735"/>
    <w:rsid w:val="00820141"/>
    <w:rsid w:val="00820E0C"/>
    <w:rsid w:val="00823275"/>
    <w:rsid w:val="0082366F"/>
    <w:rsid w:val="008338A2"/>
    <w:rsid w:val="00841AA9"/>
    <w:rsid w:val="008431A1"/>
    <w:rsid w:val="008474FE"/>
    <w:rsid w:val="0085232E"/>
    <w:rsid w:val="00853EE4"/>
    <w:rsid w:val="00855535"/>
    <w:rsid w:val="00857C5A"/>
    <w:rsid w:val="0086255E"/>
    <w:rsid w:val="008633F0"/>
    <w:rsid w:val="00867D9D"/>
    <w:rsid w:val="00871C5F"/>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AA3"/>
    <w:rsid w:val="00A45125"/>
    <w:rsid w:val="00A47B8D"/>
    <w:rsid w:val="00A513A9"/>
    <w:rsid w:val="00A54715"/>
    <w:rsid w:val="00A6061C"/>
    <w:rsid w:val="00A62D44"/>
    <w:rsid w:val="00A67263"/>
    <w:rsid w:val="00A7161C"/>
    <w:rsid w:val="00A77AA3"/>
    <w:rsid w:val="00A8236D"/>
    <w:rsid w:val="00A84EEB"/>
    <w:rsid w:val="00A854EB"/>
    <w:rsid w:val="00A872E5"/>
    <w:rsid w:val="00A91406"/>
    <w:rsid w:val="00A96E65"/>
    <w:rsid w:val="00A96ECE"/>
    <w:rsid w:val="00A97C72"/>
    <w:rsid w:val="00AA1374"/>
    <w:rsid w:val="00AA310B"/>
    <w:rsid w:val="00AA63D4"/>
    <w:rsid w:val="00AB06E8"/>
    <w:rsid w:val="00AB1A4F"/>
    <w:rsid w:val="00AB1CD3"/>
    <w:rsid w:val="00AB352F"/>
    <w:rsid w:val="00AC274B"/>
    <w:rsid w:val="00AC4764"/>
    <w:rsid w:val="00AC682C"/>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AAD"/>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F35"/>
    <w:rsid w:val="00B75646"/>
    <w:rsid w:val="00B7629E"/>
    <w:rsid w:val="00B90729"/>
    <w:rsid w:val="00B907DA"/>
    <w:rsid w:val="00B91FFE"/>
    <w:rsid w:val="00B950BC"/>
    <w:rsid w:val="00B95AB9"/>
    <w:rsid w:val="00B9714C"/>
    <w:rsid w:val="00BA29AD"/>
    <w:rsid w:val="00BA33CF"/>
    <w:rsid w:val="00BA3F8D"/>
    <w:rsid w:val="00BA5F1C"/>
    <w:rsid w:val="00BB50E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AB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3DDC"/>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3BE"/>
    <w:rsid w:val="00DF50FC"/>
    <w:rsid w:val="00DF68C7"/>
    <w:rsid w:val="00DF731A"/>
    <w:rsid w:val="00E01A8A"/>
    <w:rsid w:val="00E06B75"/>
    <w:rsid w:val="00E11332"/>
    <w:rsid w:val="00E11352"/>
    <w:rsid w:val="00E170DC"/>
    <w:rsid w:val="00E17546"/>
    <w:rsid w:val="00E210B5"/>
    <w:rsid w:val="00E261B3"/>
    <w:rsid w:val="00E26818"/>
    <w:rsid w:val="00E27FFC"/>
    <w:rsid w:val="00E30B15"/>
    <w:rsid w:val="00E33237"/>
    <w:rsid w:val="00E40181"/>
    <w:rsid w:val="00E46DF0"/>
    <w:rsid w:val="00E54950"/>
    <w:rsid w:val="00E55FB3"/>
    <w:rsid w:val="00E56A01"/>
    <w:rsid w:val="00E629A1"/>
    <w:rsid w:val="00E6794C"/>
    <w:rsid w:val="00E71591"/>
    <w:rsid w:val="00E71CEB"/>
    <w:rsid w:val="00E7474F"/>
    <w:rsid w:val="00E77901"/>
    <w:rsid w:val="00E80DE3"/>
    <w:rsid w:val="00E82C55"/>
    <w:rsid w:val="00E8787E"/>
    <w:rsid w:val="00E901A6"/>
    <w:rsid w:val="00E92AC3"/>
    <w:rsid w:val="00EA2F6A"/>
    <w:rsid w:val="00EB00E0"/>
    <w:rsid w:val="00EB05D5"/>
    <w:rsid w:val="00EB1931"/>
    <w:rsid w:val="00EC059F"/>
    <w:rsid w:val="00EC1F24"/>
    <w:rsid w:val="00EC20FF"/>
    <w:rsid w:val="00EC22F6"/>
    <w:rsid w:val="00EC7BCE"/>
    <w:rsid w:val="00ED195F"/>
    <w:rsid w:val="00ED46D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A42"/>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6FA9"/>
    <w:rsid w:val="00FF2A4E"/>
    <w:rsid w:val="00FF2FCE"/>
    <w:rsid w:val="00FF4F7D"/>
    <w:rsid w:val="00FF6D9D"/>
    <w:rsid w:val="00FF7DD5"/>
    <w:rsid w:val="02F08B1A"/>
    <w:rsid w:val="03F767F2"/>
    <w:rsid w:val="08627079"/>
    <w:rsid w:val="0A996EE1"/>
    <w:rsid w:val="12730938"/>
    <w:rsid w:val="12D5D5EB"/>
    <w:rsid w:val="19C552BA"/>
    <w:rsid w:val="1CC2F395"/>
    <w:rsid w:val="24FD9C4F"/>
    <w:rsid w:val="25B28B47"/>
    <w:rsid w:val="29204A71"/>
    <w:rsid w:val="293AE4F2"/>
    <w:rsid w:val="2C394FFF"/>
    <w:rsid w:val="3059A3B2"/>
    <w:rsid w:val="31D17CA1"/>
    <w:rsid w:val="353602F7"/>
    <w:rsid w:val="38E394A8"/>
    <w:rsid w:val="3DCC4D96"/>
    <w:rsid w:val="460595CC"/>
    <w:rsid w:val="47085DAB"/>
    <w:rsid w:val="4B774D4A"/>
    <w:rsid w:val="4CD2E776"/>
    <w:rsid w:val="4E6E42A7"/>
    <w:rsid w:val="53E25642"/>
    <w:rsid w:val="5686CE81"/>
    <w:rsid w:val="5B5CDFBB"/>
    <w:rsid w:val="60CC1FB7"/>
    <w:rsid w:val="6829E4E7"/>
    <w:rsid w:val="68FCF7C8"/>
    <w:rsid w:val="6A6C2EE6"/>
    <w:rsid w:val="6E1DD05C"/>
    <w:rsid w:val="7003DE11"/>
    <w:rsid w:val="701B3E0D"/>
    <w:rsid w:val="70311698"/>
    <w:rsid w:val="721158C4"/>
    <w:rsid w:val="744A75D9"/>
    <w:rsid w:val="75BAE052"/>
    <w:rsid w:val="7DAF32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C4FD28D-C27A-41AE-B7C0-0B5E70D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publications/quarterly-incid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ce178efd539f2076ceef2ced2ea1cdd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52c303bd1c56f1afd6f59cf5797eee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0DE0-4615-44FB-91D4-3F92B20B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ee2ad8a-2b33-419f-875c-ac0e4cfc6b7f"/>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655</Words>
  <Characters>3969</Characters>
  <Application>Microsoft Office Word</Application>
  <DocSecurity>0</DocSecurity>
  <Lines>33</Lines>
  <Paragraphs>9</Paragraphs>
  <ScaleCrop>false</ScaleCrop>
  <Company>Victoria State Government, Department of Families, Fairness and Housing</Company>
  <LinksUpToDate>false</LinksUpToDate>
  <CharactersWithSpaces>4615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 publsihed data for Quarter 2 2024-25</dc:title>
  <dc:subject>Incident reporting figures across the Children and Families program for Quarter 2 2024-25</dc:subject>
  <dc:creator>Community Operations and Practice Leadership Division</dc:creator>
  <cp:keywords>Incident reporting, CIMS, Quarter 2, Incidents</cp:keywords>
  <dc:description/>
  <cp:revision>3</cp:revision>
  <cp:lastPrinted>2021-01-30T00:27:00Z</cp:lastPrinted>
  <dcterms:created xsi:type="dcterms:W3CDTF">2025-04-14T01:35:00Z</dcterms:created>
  <dcterms:modified xsi:type="dcterms:W3CDTF">2025-04-14T01:44:00Z</dcterms:modified>
  <cp:category>Incident reporting</cp:category>
  <cp:contentStatus>Finalised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2025-01-22T04:40:42Z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4546b0e0-39ee-4749-9d1d-7034ccb68292</vt:lpwstr>
  </property>
  <property fmtid="{D5CDD505-2E9C-101B-9397-08002B2CF9AE}" pid="24" name="MSIP_Label_43e64453-338c-4f93-8a4d-0039a0a41f2a_ContentBits">
    <vt:lpwstr>2</vt:lpwstr>
  </property>
</Properties>
</file>