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778"/>
      </w:tblGrid>
      <w:tr w:rsidR="00922F19" w14:paraId="5D109AD8" w14:textId="77777777" w:rsidTr="007A4439">
        <w:trPr>
          <w:cantSplit/>
          <w:trHeight w:val="1399"/>
        </w:trPr>
        <w:tc>
          <w:tcPr>
            <w:tcW w:w="0" w:type="auto"/>
            <w:tcMar>
              <w:top w:w="0" w:type="dxa"/>
              <w:left w:w="0" w:type="dxa"/>
              <w:right w:w="0" w:type="dxa"/>
            </w:tcMar>
          </w:tcPr>
          <w:p w14:paraId="2920740B" w14:textId="46F61636" w:rsidR="00922F19" w:rsidRPr="00431F42" w:rsidRDefault="00A01FB1">
            <w:pPr>
              <w:pStyle w:val="Documenttitle"/>
            </w:pPr>
            <w:r>
              <w:rPr>
                <w:noProof/>
              </w:rPr>
              <w:drawing>
                <wp:anchor distT="0" distB="0" distL="114300" distR="114300" simplePos="0" relativeHeight="251658240" behindDoc="1" locked="1" layoutInCell="1" allowOverlap="1" wp14:anchorId="21966DC4" wp14:editId="09B65B64">
                  <wp:simplePos x="0" y="0"/>
                  <wp:positionH relativeFrom="page">
                    <wp:posOffset>-829310</wp:posOffset>
                  </wp:positionH>
                  <wp:positionV relativeFrom="page">
                    <wp:posOffset>-2503805</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r w:rsidR="00922F19">
              <w:t>Service Provision Framework: Complex Needs</w:t>
            </w:r>
          </w:p>
        </w:tc>
      </w:tr>
      <w:tr w:rsidR="00922F19" w14:paraId="6A828B04" w14:textId="77777777" w:rsidTr="007A4439">
        <w:trPr>
          <w:cantSplit/>
          <w:trHeight w:val="1759"/>
        </w:trPr>
        <w:tc>
          <w:tcPr>
            <w:tcW w:w="0" w:type="auto"/>
          </w:tcPr>
          <w:p w14:paraId="33D182D0" w14:textId="329B0D28" w:rsidR="00922F19" w:rsidRDefault="00922F19">
            <w:pPr>
              <w:pStyle w:val="Documentsubtitle"/>
            </w:pPr>
            <w:r>
              <w:t xml:space="preserve">The Multiple and Complex Needs Initiative, Support for High-Risk </w:t>
            </w:r>
            <w:r w:rsidR="00B321BE" w:rsidRPr="002A46EE">
              <w:t>Tenancies,</w:t>
            </w:r>
            <w:r w:rsidRPr="002A46EE">
              <w:t xml:space="preserve"> and </w:t>
            </w:r>
            <w:r w:rsidR="00E15244">
              <w:t xml:space="preserve">the </w:t>
            </w:r>
            <w:r w:rsidRPr="002A46EE">
              <w:t xml:space="preserve">Assertive Outreach </w:t>
            </w:r>
            <w:r w:rsidR="001A4770">
              <w:t xml:space="preserve">and Support </w:t>
            </w:r>
            <w:r w:rsidRPr="002A46EE">
              <w:t>pilot program</w:t>
            </w:r>
            <w:r>
              <w:t>.</w:t>
            </w:r>
          </w:p>
          <w:p w14:paraId="611129EE" w14:textId="7D5F77AB" w:rsidR="00922F19" w:rsidRPr="00A1389F" w:rsidRDefault="00B321BE">
            <w:pPr>
              <w:pStyle w:val="Documentsubtitle"/>
            </w:pPr>
            <w:r w:rsidRPr="00B321BE">
              <w:t>August</w:t>
            </w:r>
            <w:r w:rsidR="00922F19" w:rsidRPr="00B321BE">
              <w:t xml:space="preserve"> 2023</w:t>
            </w:r>
          </w:p>
        </w:tc>
      </w:tr>
      <w:tr w:rsidR="00922F19" w14:paraId="27303622" w14:textId="77777777" w:rsidTr="007A4439">
        <w:trPr>
          <w:cantSplit/>
          <w:trHeight w:val="287"/>
        </w:trPr>
        <w:tc>
          <w:tcPr>
            <w:tcW w:w="0" w:type="auto"/>
            <w:shd w:val="clear" w:color="auto" w:fill="auto"/>
          </w:tcPr>
          <w:p w14:paraId="2D1C0673" w14:textId="3743DCCA" w:rsidR="00922F19" w:rsidRPr="0046618D" w:rsidRDefault="00C61F12" w:rsidP="0046618D">
            <w:pPr>
              <w:pStyle w:val="Bannermarking"/>
            </w:pPr>
            <w:fldSimple w:instr="FILLIN  &quot;Type the protective marking&quot; \d OFFICIAL \o  \* MERGEFORMAT">
              <w:r w:rsidR="00922F19">
                <w:t>OFFICIAL</w:t>
              </w:r>
            </w:fldSimple>
          </w:p>
        </w:tc>
      </w:tr>
    </w:tbl>
    <w:p w14:paraId="7F996D58" w14:textId="77777777" w:rsidR="00FE4081" w:rsidRDefault="00FE4081" w:rsidP="007573A1">
      <w:pPr>
        <w:pStyle w:val="Body"/>
      </w:pPr>
    </w:p>
    <w:p w14:paraId="3C04D59C" w14:textId="77777777" w:rsidR="00FE4081" w:rsidRPr="00FE4081" w:rsidRDefault="00FE4081" w:rsidP="007573A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65E88915" w14:textId="77777777" w:rsidR="00843D94" w:rsidRPr="0055119B" w:rsidRDefault="00843D94" w:rsidP="009F2182">
      <w:pPr>
        <w:pStyle w:val="Accessibilitypara"/>
      </w:pPr>
      <w:r w:rsidRPr="0055119B">
        <w:lastRenderedPageBreak/>
        <w:t>To receive this document in another format</w:t>
      </w:r>
      <w:r>
        <w:t>,</w:t>
      </w:r>
      <w:r w:rsidRPr="0055119B">
        <w:t xml:space="preserve"> </w:t>
      </w:r>
      <w:hyperlink r:id="rId18" w:history="1">
        <w:r w:rsidRPr="002C3B9A">
          <w:rPr>
            <w:rStyle w:val="Hyperlink"/>
          </w:rPr>
          <w:t>email Central Complex Needs</w:t>
        </w:r>
      </w:hyperlink>
      <w:r w:rsidRPr="0055119B">
        <w:rPr>
          <w:color w:val="004C97"/>
        </w:rPr>
        <w:t xml:space="preserve"> </w:t>
      </w:r>
      <w:r w:rsidRPr="0055119B">
        <w:t>&lt;</w:t>
      </w:r>
      <w:r>
        <w:t>Central.ComplexNeeds@dffh.vic.gov.au</w:t>
      </w:r>
      <w:r w:rsidRPr="0055119B">
        <w:t>&gt;.</w:t>
      </w:r>
    </w:p>
    <w:p w14:paraId="24DFD70D" w14:textId="77777777" w:rsidR="00843D94" w:rsidRPr="0055119B" w:rsidRDefault="00843D94" w:rsidP="009F2182">
      <w:pPr>
        <w:pStyle w:val="Imprint"/>
      </w:pPr>
      <w:r w:rsidRPr="0055119B">
        <w:t>Authorised and published by the Victorian Government, 1 Treasury Place, Melbourne.</w:t>
      </w:r>
    </w:p>
    <w:p w14:paraId="3A49E132" w14:textId="77777777" w:rsidR="00843D94" w:rsidRPr="0055119B" w:rsidRDefault="00843D94" w:rsidP="009F2182">
      <w:pPr>
        <w:pStyle w:val="Imprint"/>
      </w:pPr>
      <w:r w:rsidRPr="0055119B">
        <w:t xml:space="preserve">© State of Victoria, Australia, Department </w:t>
      </w:r>
      <w:r w:rsidRPr="001B058F">
        <w:t xml:space="preserve">of </w:t>
      </w:r>
      <w:r>
        <w:t>Families, Fairness and Housing</w:t>
      </w:r>
      <w:r w:rsidRPr="00463BAE">
        <w:t>, August 2023.</w:t>
      </w:r>
    </w:p>
    <w:p w14:paraId="3F50FBFA" w14:textId="77777777" w:rsidR="00843D94" w:rsidRPr="00463BAE" w:rsidRDefault="00843D94" w:rsidP="009F2182">
      <w:pPr>
        <w:pStyle w:val="Imprint"/>
      </w:pPr>
      <w:bookmarkStart w:id="0" w:name="_Hlk62746129"/>
      <w:r w:rsidRPr="00463BAE">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20DF843B" w14:textId="77777777" w:rsidR="00843D94" w:rsidRPr="00463BAE" w:rsidRDefault="00843D94" w:rsidP="009F2182">
      <w:pPr>
        <w:pStyle w:val="Imprint"/>
      </w:pPr>
      <w:r w:rsidRPr="00463BAE">
        <w:t>In this document, ‘Aboriginal’ refers to both Aboriginal and Torres Strait Islander people. ‘Indigenous’ or ‘Koori/Koorie’ is retained when part of the title of a report, program or quotation.</w:t>
      </w:r>
    </w:p>
    <w:p w14:paraId="39E0A02E" w14:textId="77777777" w:rsidR="00843D94" w:rsidRPr="0055119B" w:rsidRDefault="00843D94" w:rsidP="009F2182">
      <w:pPr>
        <w:pStyle w:val="Imprint"/>
      </w:pPr>
      <w:r w:rsidRPr="0055119B">
        <w:t>ISBN</w:t>
      </w:r>
      <w:r>
        <w:t xml:space="preserve"> 978-1-76130-329-6 </w:t>
      </w:r>
      <w:r w:rsidRPr="0055119B">
        <w:t xml:space="preserve">(online) </w:t>
      </w:r>
    </w:p>
    <w:p w14:paraId="796DC8E4" w14:textId="77777777" w:rsidR="00843D94" w:rsidRDefault="00843D94" w:rsidP="006F6B76">
      <w:pPr>
        <w:pStyle w:val="Imprint"/>
      </w:pPr>
      <w:r w:rsidRPr="0055119B">
        <w:t xml:space="preserve">Available at </w:t>
      </w:r>
      <w:hyperlink r:id="rId19" w:history="1">
        <w:r>
          <w:rPr>
            <w:rStyle w:val="Hyperlink"/>
          </w:rPr>
          <w:t xml:space="preserve">Service provision framework: Complex needs </w:t>
        </w:r>
      </w:hyperlink>
      <w:r w:rsidRPr="0055119B">
        <w:t>&lt;</w:t>
      </w:r>
      <w:r>
        <w:t>https://www.dffh.vic.gov.au/service-provision-framework-complex-needs</w:t>
      </w:r>
      <w:r w:rsidRPr="0055119B">
        <w:t xml:space="preserve"> &gt;</w:t>
      </w:r>
      <w:bookmarkEnd w:id="0"/>
    </w:p>
    <w:p w14:paraId="03C0DE46" w14:textId="77777777" w:rsidR="00843D94" w:rsidRPr="0055119B" w:rsidRDefault="00843D94" w:rsidP="0008204A">
      <w:pPr>
        <w:pStyle w:val="Body"/>
      </w:pPr>
    </w:p>
    <w:p w14:paraId="0A182FBD" w14:textId="328F7B3D" w:rsidR="0008204A" w:rsidRPr="0008204A" w:rsidRDefault="0008204A" w:rsidP="007573A1">
      <w:pPr>
        <w:pStyle w:val="Body"/>
      </w:pPr>
      <w:r w:rsidRPr="0008204A">
        <w:br w:type="page"/>
      </w:r>
    </w:p>
    <w:p w14:paraId="4028DB6E" w14:textId="0B4EE14E" w:rsidR="00AD784C" w:rsidRPr="00B57329" w:rsidRDefault="00AD784C" w:rsidP="007573A1">
      <w:pPr>
        <w:pStyle w:val="TOCheadingreport"/>
      </w:pPr>
      <w:r w:rsidRPr="00B57329">
        <w:lastRenderedPageBreak/>
        <w:t>Contents</w:t>
      </w:r>
    </w:p>
    <w:p w14:paraId="34364350" w14:textId="6D20A5AC" w:rsidR="00D6005C" w:rsidRDefault="00E45E02">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45318555" w:history="1">
        <w:r w:rsidR="00D6005C" w:rsidRPr="00013EBB">
          <w:rPr>
            <w:rStyle w:val="Hyperlink"/>
          </w:rPr>
          <w:t>Glossary</w:t>
        </w:r>
        <w:r w:rsidR="00D6005C">
          <w:rPr>
            <w:webHidden/>
          </w:rPr>
          <w:tab/>
        </w:r>
        <w:r w:rsidR="00D6005C">
          <w:rPr>
            <w:webHidden/>
          </w:rPr>
          <w:fldChar w:fldCharType="begin"/>
        </w:r>
        <w:r w:rsidR="00D6005C">
          <w:rPr>
            <w:webHidden/>
          </w:rPr>
          <w:instrText xml:space="preserve"> PAGEREF _Toc145318555 \h </w:instrText>
        </w:r>
        <w:r w:rsidR="00D6005C">
          <w:rPr>
            <w:webHidden/>
          </w:rPr>
        </w:r>
        <w:r w:rsidR="00D6005C">
          <w:rPr>
            <w:webHidden/>
          </w:rPr>
          <w:fldChar w:fldCharType="separate"/>
        </w:r>
        <w:r w:rsidR="00B83E73">
          <w:rPr>
            <w:webHidden/>
          </w:rPr>
          <w:t>6</w:t>
        </w:r>
        <w:r w:rsidR="00D6005C">
          <w:rPr>
            <w:webHidden/>
          </w:rPr>
          <w:fldChar w:fldCharType="end"/>
        </w:r>
      </w:hyperlink>
    </w:p>
    <w:p w14:paraId="20C12A9B" w14:textId="4C9194F7"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56" w:history="1">
        <w:r w:rsidRPr="00013EBB">
          <w:rPr>
            <w:rStyle w:val="Hyperlink"/>
          </w:rPr>
          <w:t>1.</w:t>
        </w:r>
        <w:r>
          <w:rPr>
            <w:rFonts w:asciiTheme="minorHAnsi" w:eastAsiaTheme="minorEastAsia" w:hAnsiTheme="minorHAnsi" w:cstheme="minorBidi"/>
            <w:b w:val="0"/>
            <w:sz w:val="22"/>
            <w:szCs w:val="22"/>
            <w:lang w:eastAsia="en-AU"/>
          </w:rPr>
          <w:tab/>
        </w:r>
        <w:r w:rsidRPr="00013EBB">
          <w:rPr>
            <w:rStyle w:val="Hyperlink"/>
          </w:rPr>
          <w:t>Introduction</w:t>
        </w:r>
        <w:r>
          <w:rPr>
            <w:webHidden/>
          </w:rPr>
          <w:tab/>
        </w:r>
        <w:r>
          <w:rPr>
            <w:webHidden/>
          </w:rPr>
          <w:fldChar w:fldCharType="begin"/>
        </w:r>
        <w:r>
          <w:rPr>
            <w:webHidden/>
          </w:rPr>
          <w:instrText xml:space="preserve"> PAGEREF _Toc145318556 \h </w:instrText>
        </w:r>
        <w:r>
          <w:rPr>
            <w:webHidden/>
          </w:rPr>
        </w:r>
        <w:r>
          <w:rPr>
            <w:webHidden/>
          </w:rPr>
          <w:fldChar w:fldCharType="separate"/>
        </w:r>
        <w:r w:rsidR="00B83E73">
          <w:rPr>
            <w:webHidden/>
          </w:rPr>
          <w:t>9</w:t>
        </w:r>
        <w:r>
          <w:rPr>
            <w:webHidden/>
          </w:rPr>
          <w:fldChar w:fldCharType="end"/>
        </w:r>
      </w:hyperlink>
    </w:p>
    <w:p w14:paraId="2D8C4E48" w14:textId="675D12A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57" w:history="1">
        <w:r w:rsidRPr="00013EBB">
          <w:rPr>
            <w:rStyle w:val="Hyperlink"/>
          </w:rPr>
          <w:t>1.1</w:t>
        </w:r>
        <w:r>
          <w:rPr>
            <w:rFonts w:asciiTheme="minorHAnsi" w:eastAsiaTheme="minorEastAsia" w:hAnsiTheme="minorHAnsi" w:cstheme="minorBidi"/>
            <w:sz w:val="22"/>
            <w:szCs w:val="22"/>
            <w:lang w:eastAsia="en-AU"/>
          </w:rPr>
          <w:tab/>
        </w:r>
        <w:r w:rsidRPr="00013EBB">
          <w:rPr>
            <w:rStyle w:val="Hyperlink"/>
          </w:rPr>
          <w:t>Purpose of document</w:t>
        </w:r>
        <w:r>
          <w:rPr>
            <w:webHidden/>
          </w:rPr>
          <w:tab/>
        </w:r>
        <w:r>
          <w:rPr>
            <w:webHidden/>
          </w:rPr>
          <w:fldChar w:fldCharType="begin"/>
        </w:r>
        <w:r>
          <w:rPr>
            <w:webHidden/>
          </w:rPr>
          <w:instrText xml:space="preserve"> PAGEREF _Toc145318557 \h </w:instrText>
        </w:r>
        <w:r>
          <w:rPr>
            <w:webHidden/>
          </w:rPr>
        </w:r>
        <w:r>
          <w:rPr>
            <w:webHidden/>
          </w:rPr>
          <w:fldChar w:fldCharType="separate"/>
        </w:r>
        <w:r w:rsidR="00B83E73">
          <w:rPr>
            <w:webHidden/>
          </w:rPr>
          <w:t>9</w:t>
        </w:r>
        <w:r>
          <w:rPr>
            <w:webHidden/>
          </w:rPr>
          <w:fldChar w:fldCharType="end"/>
        </w:r>
      </w:hyperlink>
    </w:p>
    <w:p w14:paraId="7AA3EF0D" w14:textId="14213ECB"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58" w:history="1">
        <w:r w:rsidRPr="00013EBB">
          <w:rPr>
            <w:rStyle w:val="Hyperlink"/>
          </w:rPr>
          <w:t>1.2</w:t>
        </w:r>
        <w:r>
          <w:rPr>
            <w:rFonts w:asciiTheme="minorHAnsi" w:eastAsiaTheme="minorEastAsia" w:hAnsiTheme="minorHAnsi" w:cstheme="minorBidi"/>
            <w:sz w:val="22"/>
            <w:szCs w:val="22"/>
            <w:lang w:eastAsia="en-AU"/>
          </w:rPr>
          <w:tab/>
        </w:r>
        <w:r w:rsidRPr="00013EBB">
          <w:rPr>
            <w:rStyle w:val="Hyperlink"/>
          </w:rPr>
          <w:t>The need for complex service responses</w:t>
        </w:r>
        <w:r>
          <w:rPr>
            <w:webHidden/>
          </w:rPr>
          <w:tab/>
        </w:r>
        <w:r>
          <w:rPr>
            <w:webHidden/>
          </w:rPr>
          <w:fldChar w:fldCharType="begin"/>
        </w:r>
        <w:r>
          <w:rPr>
            <w:webHidden/>
          </w:rPr>
          <w:instrText xml:space="preserve"> PAGEREF _Toc145318558 \h </w:instrText>
        </w:r>
        <w:r>
          <w:rPr>
            <w:webHidden/>
          </w:rPr>
        </w:r>
        <w:r>
          <w:rPr>
            <w:webHidden/>
          </w:rPr>
          <w:fldChar w:fldCharType="separate"/>
        </w:r>
        <w:r w:rsidR="00B83E73">
          <w:rPr>
            <w:webHidden/>
          </w:rPr>
          <w:t>9</w:t>
        </w:r>
        <w:r>
          <w:rPr>
            <w:webHidden/>
          </w:rPr>
          <w:fldChar w:fldCharType="end"/>
        </w:r>
      </w:hyperlink>
    </w:p>
    <w:p w14:paraId="7E16D030" w14:textId="79C39E30"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59" w:history="1">
        <w:r w:rsidRPr="00013EBB">
          <w:rPr>
            <w:rStyle w:val="Hyperlink"/>
          </w:rPr>
          <w:t>1.3</w:t>
        </w:r>
        <w:r>
          <w:rPr>
            <w:rFonts w:asciiTheme="minorHAnsi" w:eastAsiaTheme="minorEastAsia" w:hAnsiTheme="minorHAnsi" w:cstheme="minorBidi"/>
            <w:sz w:val="22"/>
            <w:szCs w:val="22"/>
            <w:lang w:eastAsia="en-AU"/>
          </w:rPr>
          <w:tab/>
        </w:r>
        <w:r w:rsidRPr="00013EBB">
          <w:rPr>
            <w:rStyle w:val="Hyperlink"/>
          </w:rPr>
          <w:t>Department of Families, Fairness and Housing</w:t>
        </w:r>
        <w:r>
          <w:rPr>
            <w:webHidden/>
          </w:rPr>
          <w:tab/>
        </w:r>
        <w:r>
          <w:rPr>
            <w:webHidden/>
          </w:rPr>
          <w:fldChar w:fldCharType="begin"/>
        </w:r>
        <w:r>
          <w:rPr>
            <w:webHidden/>
          </w:rPr>
          <w:instrText xml:space="preserve"> PAGEREF _Toc145318559 \h </w:instrText>
        </w:r>
        <w:r>
          <w:rPr>
            <w:webHidden/>
          </w:rPr>
        </w:r>
        <w:r>
          <w:rPr>
            <w:webHidden/>
          </w:rPr>
          <w:fldChar w:fldCharType="separate"/>
        </w:r>
        <w:r w:rsidR="00B83E73">
          <w:rPr>
            <w:webHidden/>
          </w:rPr>
          <w:t>9</w:t>
        </w:r>
        <w:r>
          <w:rPr>
            <w:webHidden/>
          </w:rPr>
          <w:fldChar w:fldCharType="end"/>
        </w:r>
      </w:hyperlink>
    </w:p>
    <w:p w14:paraId="4C3DB50D" w14:textId="58B9436D"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60" w:history="1">
        <w:r w:rsidRPr="00013EBB">
          <w:rPr>
            <w:rStyle w:val="Hyperlink"/>
          </w:rPr>
          <w:t>2.</w:t>
        </w:r>
        <w:r>
          <w:rPr>
            <w:rFonts w:asciiTheme="minorHAnsi" w:eastAsiaTheme="minorEastAsia" w:hAnsiTheme="minorHAnsi" w:cstheme="minorBidi"/>
            <w:b w:val="0"/>
            <w:sz w:val="22"/>
            <w:szCs w:val="22"/>
            <w:lang w:eastAsia="en-AU"/>
          </w:rPr>
          <w:tab/>
        </w:r>
        <w:r w:rsidRPr="00013EBB">
          <w:rPr>
            <w:rStyle w:val="Hyperlink"/>
          </w:rPr>
          <w:t>Key sector partners and reforms</w:t>
        </w:r>
        <w:r>
          <w:rPr>
            <w:webHidden/>
          </w:rPr>
          <w:tab/>
        </w:r>
        <w:r>
          <w:rPr>
            <w:webHidden/>
          </w:rPr>
          <w:fldChar w:fldCharType="begin"/>
        </w:r>
        <w:r>
          <w:rPr>
            <w:webHidden/>
          </w:rPr>
          <w:instrText xml:space="preserve"> PAGEREF _Toc145318560 \h </w:instrText>
        </w:r>
        <w:r>
          <w:rPr>
            <w:webHidden/>
          </w:rPr>
        </w:r>
        <w:r>
          <w:rPr>
            <w:webHidden/>
          </w:rPr>
          <w:fldChar w:fldCharType="separate"/>
        </w:r>
        <w:r w:rsidR="00B83E73">
          <w:rPr>
            <w:webHidden/>
          </w:rPr>
          <w:t>12</w:t>
        </w:r>
        <w:r>
          <w:rPr>
            <w:webHidden/>
          </w:rPr>
          <w:fldChar w:fldCharType="end"/>
        </w:r>
      </w:hyperlink>
    </w:p>
    <w:p w14:paraId="7657980C" w14:textId="3AEB36D4"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1" w:history="1">
        <w:r w:rsidRPr="00013EBB">
          <w:rPr>
            <w:rStyle w:val="Hyperlink"/>
          </w:rPr>
          <w:t>2.1</w:t>
        </w:r>
        <w:r>
          <w:rPr>
            <w:rFonts w:asciiTheme="minorHAnsi" w:eastAsiaTheme="minorEastAsia" w:hAnsiTheme="minorHAnsi" w:cstheme="minorBidi"/>
            <w:sz w:val="22"/>
            <w:szCs w:val="22"/>
            <w:lang w:eastAsia="en-AU"/>
          </w:rPr>
          <w:tab/>
        </w:r>
        <w:r w:rsidRPr="00013EBB">
          <w:rPr>
            <w:rStyle w:val="Hyperlink"/>
          </w:rPr>
          <w:t>Partners in service delivery and coordination</w:t>
        </w:r>
        <w:r>
          <w:rPr>
            <w:webHidden/>
          </w:rPr>
          <w:tab/>
        </w:r>
        <w:r>
          <w:rPr>
            <w:webHidden/>
          </w:rPr>
          <w:fldChar w:fldCharType="begin"/>
        </w:r>
        <w:r>
          <w:rPr>
            <w:webHidden/>
          </w:rPr>
          <w:instrText xml:space="preserve"> PAGEREF _Toc145318561 \h </w:instrText>
        </w:r>
        <w:r>
          <w:rPr>
            <w:webHidden/>
          </w:rPr>
        </w:r>
        <w:r>
          <w:rPr>
            <w:webHidden/>
          </w:rPr>
          <w:fldChar w:fldCharType="separate"/>
        </w:r>
        <w:r w:rsidR="00B83E73">
          <w:rPr>
            <w:webHidden/>
          </w:rPr>
          <w:t>12</w:t>
        </w:r>
        <w:r>
          <w:rPr>
            <w:webHidden/>
          </w:rPr>
          <w:fldChar w:fldCharType="end"/>
        </w:r>
      </w:hyperlink>
    </w:p>
    <w:p w14:paraId="19710CE2" w14:textId="4C7F5972"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2" w:history="1">
        <w:r w:rsidRPr="00013EBB">
          <w:rPr>
            <w:rStyle w:val="Hyperlink"/>
          </w:rPr>
          <w:t>2.2</w:t>
        </w:r>
        <w:r>
          <w:rPr>
            <w:rFonts w:asciiTheme="minorHAnsi" w:eastAsiaTheme="minorEastAsia" w:hAnsiTheme="minorHAnsi" w:cstheme="minorBidi"/>
            <w:sz w:val="22"/>
            <w:szCs w:val="22"/>
            <w:lang w:eastAsia="en-AU"/>
          </w:rPr>
          <w:tab/>
        </w:r>
        <w:r w:rsidRPr="00013EBB">
          <w:rPr>
            <w:rStyle w:val="Hyperlink"/>
          </w:rPr>
          <w:t>Strategic reforms for improved service system</w:t>
        </w:r>
        <w:r>
          <w:rPr>
            <w:webHidden/>
          </w:rPr>
          <w:tab/>
        </w:r>
        <w:r>
          <w:rPr>
            <w:webHidden/>
          </w:rPr>
          <w:fldChar w:fldCharType="begin"/>
        </w:r>
        <w:r>
          <w:rPr>
            <w:webHidden/>
          </w:rPr>
          <w:instrText xml:space="preserve"> PAGEREF _Toc145318562 \h </w:instrText>
        </w:r>
        <w:r>
          <w:rPr>
            <w:webHidden/>
          </w:rPr>
        </w:r>
        <w:r>
          <w:rPr>
            <w:webHidden/>
          </w:rPr>
          <w:fldChar w:fldCharType="separate"/>
        </w:r>
        <w:r w:rsidR="00B83E73">
          <w:rPr>
            <w:webHidden/>
          </w:rPr>
          <w:t>14</w:t>
        </w:r>
        <w:r>
          <w:rPr>
            <w:webHidden/>
          </w:rPr>
          <w:fldChar w:fldCharType="end"/>
        </w:r>
      </w:hyperlink>
    </w:p>
    <w:p w14:paraId="2107EBC8" w14:textId="64DFA3BA"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63" w:history="1">
        <w:r w:rsidRPr="00013EBB">
          <w:rPr>
            <w:rStyle w:val="Hyperlink"/>
          </w:rPr>
          <w:t>3.</w:t>
        </w:r>
        <w:r>
          <w:rPr>
            <w:rFonts w:asciiTheme="minorHAnsi" w:eastAsiaTheme="minorEastAsia" w:hAnsiTheme="minorHAnsi" w:cstheme="minorBidi"/>
            <w:b w:val="0"/>
            <w:sz w:val="22"/>
            <w:szCs w:val="22"/>
            <w:lang w:eastAsia="en-AU"/>
          </w:rPr>
          <w:tab/>
        </w:r>
        <w:r w:rsidRPr="00013EBB">
          <w:rPr>
            <w:rStyle w:val="Hyperlink"/>
          </w:rPr>
          <w:t>Complex needs service elements</w:t>
        </w:r>
        <w:r>
          <w:rPr>
            <w:webHidden/>
          </w:rPr>
          <w:tab/>
        </w:r>
        <w:r>
          <w:rPr>
            <w:webHidden/>
          </w:rPr>
          <w:fldChar w:fldCharType="begin"/>
        </w:r>
        <w:r>
          <w:rPr>
            <w:webHidden/>
          </w:rPr>
          <w:instrText xml:space="preserve"> PAGEREF _Toc145318563 \h </w:instrText>
        </w:r>
        <w:r>
          <w:rPr>
            <w:webHidden/>
          </w:rPr>
        </w:r>
        <w:r>
          <w:rPr>
            <w:webHidden/>
          </w:rPr>
          <w:fldChar w:fldCharType="separate"/>
        </w:r>
        <w:r w:rsidR="00B83E73">
          <w:rPr>
            <w:webHidden/>
          </w:rPr>
          <w:t>16</w:t>
        </w:r>
        <w:r>
          <w:rPr>
            <w:webHidden/>
          </w:rPr>
          <w:fldChar w:fldCharType="end"/>
        </w:r>
      </w:hyperlink>
    </w:p>
    <w:p w14:paraId="47ED1B8B" w14:textId="74C3CA5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4" w:history="1">
        <w:r w:rsidRPr="00013EBB">
          <w:rPr>
            <w:rStyle w:val="Hyperlink"/>
          </w:rPr>
          <w:t>3.1</w:t>
        </w:r>
        <w:r>
          <w:rPr>
            <w:rFonts w:asciiTheme="minorHAnsi" w:eastAsiaTheme="minorEastAsia" w:hAnsiTheme="minorHAnsi" w:cstheme="minorBidi"/>
            <w:sz w:val="22"/>
            <w:szCs w:val="22"/>
            <w:lang w:eastAsia="en-AU"/>
          </w:rPr>
          <w:tab/>
        </w:r>
        <w:r w:rsidRPr="00013EBB">
          <w:rPr>
            <w:rStyle w:val="Hyperlink"/>
          </w:rPr>
          <w:t>Complex Needs Coordinators</w:t>
        </w:r>
        <w:r>
          <w:rPr>
            <w:webHidden/>
          </w:rPr>
          <w:tab/>
        </w:r>
        <w:r>
          <w:rPr>
            <w:webHidden/>
          </w:rPr>
          <w:fldChar w:fldCharType="begin"/>
        </w:r>
        <w:r>
          <w:rPr>
            <w:webHidden/>
          </w:rPr>
          <w:instrText xml:space="preserve"> PAGEREF _Toc145318564 \h </w:instrText>
        </w:r>
        <w:r>
          <w:rPr>
            <w:webHidden/>
          </w:rPr>
        </w:r>
        <w:r>
          <w:rPr>
            <w:webHidden/>
          </w:rPr>
          <w:fldChar w:fldCharType="separate"/>
        </w:r>
        <w:r w:rsidR="00B83E73">
          <w:rPr>
            <w:webHidden/>
          </w:rPr>
          <w:t>16</w:t>
        </w:r>
        <w:r>
          <w:rPr>
            <w:webHidden/>
          </w:rPr>
          <w:fldChar w:fldCharType="end"/>
        </w:r>
      </w:hyperlink>
    </w:p>
    <w:p w14:paraId="6E466CB3" w14:textId="422BA66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5" w:history="1">
        <w:r w:rsidRPr="00013EBB">
          <w:rPr>
            <w:rStyle w:val="Hyperlink"/>
          </w:rPr>
          <w:t>3.2</w:t>
        </w:r>
        <w:r>
          <w:rPr>
            <w:rFonts w:asciiTheme="minorHAnsi" w:eastAsiaTheme="minorEastAsia" w:hAnsiTheme="minorHAnsi" w:cstheme="minorBidi"/>
            <w:sz w:val="22"/>
            <w:szCs w:val="22"/>
            <w:lang w:eastAsia="en-AU"/>
          </w:rPr>
          <w:tab/>
        </w:r>
        <w:r w:rsidRPr="00013EBB">
          <w:rPr>
            <w:rStyle w:val="Hyperlink"/>
          </w:rPr>
          <w:t>Intake: referral, eligibility, and consent</w:t>
        </w:r>
        <w:r>
          <w:rPr>
            <w:webHidden/>
          </w:rPr>
          <w:tab/>
        </w:r>
        <w:r>
          <w:rPr>
            <w:webHidden/>
          </w:rPr>
          <w:fldChar w:fldCharType="begin"/>
        </w:r>
        <w:r>
          <w:rPr>
            <w:webHidden/>
          </w:rPr>
          <w:instrText xml:space="preserve"> PAGEREF _Toc145318565 \h </w:instrText>
        </w:r>
        <w:r>
          <w:rPr>
            <w:webHidden/>
          </w:rPr>
        </w:r>
        <w:r>
          <w:rPr>
            <w:webHidden/>
          </w:rPr>
          <w:fldChar w:fldCharType="separate"/>
        </w:r>
        <w:r w:rsidR="00B83E73">
          <w:rPr>
            <w:webHidden/>
          </w:rPr>
          <w:t>17</w:t>
        </w:r>
        <w:r>
          <w:rPr>
            <w:webHidden/>
          </w:rPr>
          <w:fldChar w:fldCharType="end"/>
        </w:r>
      </w:hyperlink>
    </w:p>
    <w:p w14:paraId="1EC4FAA0" w14:textId="532010D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6" w:history="1">
        <w:r w:rsidRPr="00013EBB">
          <w:rPr>
            <w:rStyle w:val="Hyperlink"/>
          </w:rPr>
          <w:t>3.3</w:t>
        </w:r>
        <w:r>
          <w:rPr>
            <w:rFonts w:asciiTheme="minorHAnsi" w:eastAsiaTheme="minorEastAsia" w:hAnsiTheme="minorHAnsi" w:cstheme="minorBidi"/>
            <w:sz w:val="22"/>
            <w:szCs w:val="22"/>
            <w:lang w:eastAsia="en-AU"/>
          </w:rPr>
          <w:tab/>
        </w:r>
        <w:r w:rsidRPr="00013EBB">
          <w:rPr>
            <w:rStyle w:val="Hyperlink"/>
          </w:rPr>
          <w:t>Complex Needs Panels</w:t>
        </w:r>
        <w:r>
          <w:rPr>
            <w:webHidden/>
          </w:rPr>
          <w:tab/>
        </w:r>
        <w:r>
          <w:rPr>
            <w:webHidden/>
          </w:rPr>
          <w:fldChar w:fldCharType="begin"/>
        </w:r>
        <w:r>
          <w:rPr>
            <w:webHidden/>
          </w:rPr>
          <w:instrText xml:space="preserve"> PAGEREF _Toc145318566 \h </w:instrText>
        </w:r>
        <w:r>
          <w:rPr>
            <w:webHidden/>
          </w:rPr>
        </w:r>
        <w:r>
          <w:rPr>
            <w:webHidden/>
          </w:rPr>
          <w:fldChar w:fldCharType="separate"/>
        </w:r>
        <w:r w:rsidR="00B83E73">
          <w:rPr>
            <w:webHidden/>
          </w:rPr>
          <w:t>19</w:t>
        </w:r>
        <w:r>
          <w:rPr>
            <w:webHidden/>
          </w:rPr>
          <w:fldChar w:fldCharType="end"/>
        </w:r>
      </w:hyperlink>
    </w:p>
    <w:p w14:paraId="05CF9FAD" w14:textId="312BFBC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7" w:history="1">
        <w:r w:rsidRPr="00013EBB">
          <w:rPr>
            <w:rStyle w:val="Hyperlink"/>
          </w:rPr>
          <w:t>3.4</w:t>
        </w:r>
        <w:r>
          <w:rPr>
            <w:rFonts w:asciiTheme="minorHAnsi" w:eastAsiaTheme="minorEastAsia" w:hAnsiTheme="minorHAnsi" w:cstheme="minorBidi"/>
            <w:sz w:val="22"/>
            <w:szCs w:val="22"/>
            <w:lang w:eastAsia="en-AU"/>
          </w:rPr>
          <w:tab/>
        </w:r>
        <w:r w:rsidRPr="00013EBB">
          <w:rPr>
            <w:rStyle w:val="Hyperlink"/>
          </w:rPr>
          <w:t>Brokerage</w:t>
        </w:r>
        <w:r>
          <w:rPr>
            <w:webHidden/>
          </w:rPr>
          <w:tab/>
        </w:r>
        <w:r>
          <w:rPr>
            <w:webHidden/>
          </w:rPr>
          <w:fldChar w:fldCharType="begin"/>
        </w:r>
        <w:r>
          <w:rPr>
            <w:webHidden/>
          </w:rPr>
          <w:instrText xml:space="preserve"> PAGEREF _Toc145318567 \h </w:instrText>
        </w:r>
        <w:r>
          <w:rPr>
            <w:webHidden/>
          </w:rPr>
        </w:r>
        <w:r>
          <w:rPr>
            <w:webHidden/>
          </w:rPr>
          <w:fldChar w:fldCharType="separate"/>
        </w:r>
        <w:r w:rsidR="00B83E73">
          <w:rPr>
            <w:webHidden/>
          </w:rPr>
          <w:t>24</w:t>
        </w:r>
        <w:r>
          <w:rPr>
            <w:webHidden/>
          </w:rPr>
          <w:fldChar w:fldCharType="end"/>
        </w:r>
      </w:hyperlink>
    </w:p>
    <w:p w14:paraId="092D5145" w14:textId="3099B550"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68" w:history="1">
        <w:r w:rsidRPr="00013EBB">
          <w:rPr>
            <w:rStyle w:val="Hyperlink"/>
          </w:rPr>
          <w:t>4.</w:t>
        </w:r>
        <w:r>
          <w:rPr>
            <w:rFonts w:asciiTheme="minorHAnsi" w:eastAsiaTheme="minorEastAsia" w:hAnsiTheme="minorHAnsi" w:cstheme="minorBidi"/>
            <w:b w:val="0"/>
            <w:sz w:val="22"/>
            <w:szCs w:val="22"/>
            <w:lang w:eastAsia="en-AU"/>
          </w:rPr>
          <w:tab/>
        </w:r>
        <w:r w:rsidRPr="00013EBB">
          <w:rPr>
            <w:rStyle w:val="Hyperlink"/>
          </w:rPr>
          <w:t>Consultation</w:t>
        </w:r>
        <w:r>
          <w:rPr>
            <w:webHidden/>
          </w:rPr>
          <w:tab/>
        </w:r>
        <w:r>
          <w:rPr>
            <w:webHidden/>
          </w:rPr>
          <w:fldChar w:fldCharType="begin"/>
        </w:r>
        <w:r>
          <w:rPr>
            <w:webHidden/>
          </w:rPr>
          <w:instrText xml:space="preserve"> PAGEREF _Toc145318568 \h </w:instrText>
        </w:r>
        <w:r>
          <w:rPr>
            <w:webHidden/>
          </w:rPr>
        </w:r>
        <w:r>
          <w:rPr>
            <w:webHidden/>
          </w:rPr>
          <w:fldChar w:fldCharType="separate"/>
        </w:r>
        <w:r w:rsidR="00B83E73">
          <w:rPr>
            <w:webHidden/>
          </w:rPr>
          <w:t>25</w:t>
        </w:r>
        <w:r>
          <w:rPr>
            <w:webHidden/>
          </w:rPr>
          <w:fldChar w:fldCharType="end"/>
        </w:r>
      </w:hyperlink>
    </w:p>
    <w:p w14:paraId="2A9377FE" w14:textId="52407F78"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69" w:history="1">
        <w:r w:rsidRPr="00013EBB">
          <w:rPr>
            <w:rStyle w:val="Hyperlink"/>
          </w:rPr>
          <w:t>4.1</w:t>
        </w:r>
        <w:r>
          <w:rPr>
            <w:rFonts w:asciiTheme="minorHAnsi" w:eastAsiaTheme="minorEastAsia" w:hAnsiTheme="minorHAnsi" w:cstheme="minorBidi"/>
            <w:sz w:val="22"/>
            <w:szCs w:val="22"/>
            <w:lang w:eastAsia="en-AU"/>
          </w:rPr>
          <w:tab/>
        </w:r>
        <w:r w:rsidRPr="00013EBB">
          <w:rPr>
            <w:rStyle w:val="Hyperlink"/>
          </w:rPr>
          <w:t>Consultation work</w:t>
        </w:r>
        <w:r>
          <w:rPr>
            <w:webHidden/>
          </w:rPr>
          <w:tab/>
        </w:r>
        <w:r>
          <w:rPr>
            <w:webHidden/>
          </w:rPr>
          <w:fldChar w:fldCharType="begin"/>
        </w:r>
        <w:r>
          <w:rPr>
            <w:webHidden/>
          </w:rPr>
          <w:instrText xml:space="preserve"> PAGEREF _Toc145318569 \h </w:instrText>
        </w:r>
        <w:r>
          <w:rPr>
            <w:webHidden/>
          </w:rPr>
        </w:r>
        <w:r>
          <w:rPr>
            <w:webHidden/>
          </w:rPr>
          <w:fldChar w:fldCharType="separate"/>
        </w:r>
        <w:r w:rsidR="00B83E73">
          <w:rPr>
            <w:webHidden/>
          </w:rPr>
          <w:t>25</w:t>
        </w:r>
        <w:r>
          <w:rPr>
            <w:webHidden/>
          </w:rPr>
          <w:fldChar w:fldCharType="end"/>
        </w:r>
      </w:hyperlink>
    </w:p>
    <w:p w14:paraId="766F2064" w14:textId="7AE59C8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0" w:history="1">
        <w:r w:rsidRPr="00013EBB">
          <w:rPr>
            <w:rStyle w:val="Hyperlink"/>
          </w:rPr>
          <w:t>4.2</w:t>
        </w:r>
        <w:r>
          <w:rPr>
            <w:rFonts w:asciiTheme="minorHAnsi" w:eastAsiaTheme="minorEastAsia" w:hAnsiTheme="minorHAnsi" w:cstheme="minorBidi"/>
            <w:sz w:val="22"/>
            <w:szCs w:val="22"/>
            <w:lang w:eastAsia="en-AU"/>
          </w:rPr>
          <w:tab/>
        </w:r>
        <w:r w:rsidRPr="00013EBB">
          <w:rPr>
            <w:rStyle w:val="Hyperlink"/>
          </w:rPr>
          <w:t>Complex Needs Panel</w:t>
        </w:r>
        <w:r>
          <w:rPr>
            <w:webHidden/>
          </w:rPr>
          <w:tab/>
        </w:r>
        <w:r>
          <w:rPr>
            <w:webHidden/>
          </w:rPr>
          <w:fldChar w:fldCharType="begin"/>
        </w:r>
        <w:r>
          <w:rPr>
            <w:webHidden/>
          </w:rPr>
          <w:instrText xml:space="preserve"> PAGEREF _Toc145318570 \h </w:instrText>
        </w:r>
        <w:r>
          <w:rPr>
            <w:webHidden/>
          </w:rPr>
        </w:r>
        <w:r>
          <w:rPr>
            <w:webHidden/>
          </w:rPr>
          <w:fldChar w:fldCharType="separate"/>
        </w:r>
        <w:r w:rsidR="00B83E73">
          <w:rPr>
            <w:webHidden/>
          </w:rPr>
          <w:t>25</w:t>
        </w:r>
        <w:r>
          <w:rPr>
            <w:webHidden/>
          </w:rPr>
          <w:fldChar w:fldCharType="end"/>
        </w:r>
      </w:hyperlink>
    </w:p>
    <w:p w14:paraId="203A835B" w14:textId="669BB3E3"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1" w:history="1">
        <w:r w:rsidRPr="00013EBB">
          <w:rPr>
            <w:rStyle w:val="Hyperlink"/>
          </w:rPr>
          <w:t>4.3</w:t>
        </w:r>
        <w:r>
          <w:rPr>
            <w:rFonts w:asciiTheme="minorHAnsi" w:eastAsiaTheme="minorEastAsia" w:hAnsiTheme="minorHAnsi" w:cstheme="minorBidi"/>
            <w:sz w:val="22"/>
            <w:szCs w:val="22"/>
            <w:lang w:eastAsia="en-AU"/>
          </w:rPr>
          <w:tab/>
        </w:r>
        <w:r w:rsidRPr="00013EBB">
          <w:rPr>
            <w:rStyle w:val="Hyperlink"/>
          </w:rPr>
          <w:t>Consultation closure</w:t>
        </w:r>
        <w:r>
          <w:rPr>
            <w:webHidden/>
          </w:rPr>
          <w:tab/>
        </w:r>
        <w:r>
          <w:rPr>
            <w:webHidden/>
          </w:rPr>
          <w:fldChar w:fldCharType="begin"/>
        </w:r>
        <w:r>
          <w:rPr>
            <w:webHidden/>
          </w:rPr>
          <w:instrText xml:space="preserve"> PAGEREF _Toc145318571 \h </w:instrText>
        </w:r>
        <w:r>
          <w:rPr>
            <w:webHidden/>
          </w:rPr>
        </w:r>
        <w:r>
          <w:rPr>
            <w:webHidden/>
          </w:rPr>
          <w:fldChar w:fldCharType="separate"/>
        </w:r>
        <w:r w:rsidR="00B83E73">
          <w:rPr>
            <w:webHidden/>
          </w:rPr>
          <w:t>25</w:t>
        </w:r>
        <w:r>
          <w:rPr>
            <w:webHidden/>
          </w:rPr>
          <w:fldChar w:fldCharType="end"/>
        </w:r>
      </w:hyperlink>
    </w:p>
    <w:p w14:paraId="7FCE0A9A" w14:textId="03B86DA3"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72" w:history="1">
        <w:r w:rsidRPr="00013EBB">
          <w:rPr>
            <w:rStyle w:val="Hyperlink"/>
          </w:rPr>
          <w:t>5.</w:t>
        </w:r>
        <w:r>
          <w:rPr>
            <w:rFonts w:asciiTheme="minorHAnsi" w:eastAsiaTheme="minorEastAsia" w:hAnsiTheme="minorHAnsi" w:cstheme="minorBidi"/>
            <w:b w:val="0"/>
            <w:sz w:val="22"/>
            <w:szCs w:val="22"/>
            <w:lang w:eastAsia="en-AU"/>
          </w:rPr>
          <w:tab/>
        </w:r>
        <w:r w:rsidRPr="00013EBB">
          <w:rPr>
            <w:rStyle w:val="Hyperlink"/>
          </w:rPr>
          <w:t>Support for High-Risk Tenancies (SfHRT)</w:t>
        </w:r>
        <w:r>
          <w:rPr>
            <w:webHidden/>
          </w:rPr>
          <w:tab/>
        </w:r>
        <w:r>
          <w:rPr>
            <w:webHidden/>
          </w:rPr>
          <w:fldChar w:fldCharType="begin"/>
        </w:r>
        <w:r>
          <w:rPr>
            <w:webHidden/>
          </w:rPr>
          <w:instrText xml:space="preserve"> PAGEREF _Toc145318572 \h </w:instrText>
        </w:r>
        <w:r>
          <w:rPr>
            <w:webHidden/>
          </w:rPr>
        </w:r>
        <w:r>
          <w:rPr>
            <w:webHidden/>
          </w:rPr>
          <w:fldChar w:fldCharType="separate"/>
        </w:r>
        <w:r w:rsidR="00B83E73">
          <w:rPr>
            <w:webHidden/>
          </w:rPr>
          <w:t>27</w:t>
        </w:r>
        <w:r>
          <w:rPr>
            <w:webHidden/>
          </w:rPr>
          <w:fldChar w:fldCharType="end"/>
        </w:r>
      </w:hyperlink>
    </w:p>
    <w:p w14:paraId="1E79C044" w14:textId="615A1098"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3" w:history="1">
        <w:r w:rsidRPr="00013EBB">
          <w:rPr>
            <w:rStyle w:val="Hyperlink"/>
          </w:rPr>
          <w:t>5.1</w:t>
        </w:r>
        <w:r>
          <w:rPr>
            <w:rFonts w:asciiTheme="minorHAnsi" w:eastAsiaTheme="minorEastAsia" w:hAnsiTheme="minorHAnsi" w:cstheme="minorBidi"/>
            <w:sz w:val="22"/>
            <w:szCs w:val="22"/>
            <w:lang w:eastAsia="en-AU"/>
          </w:rPr>
          <w:tab/>
        </w:r>
        <w:r w:rsidRPr="00013EBB">
          <w:rPr>
            <w:rStyle w:val="Hyperlink"/>
          </w:rPr>
          <w:t>Eligibility</w:t>
        </w:r>
        <w:r>
          <w:rPr>
            <w:webHidden/>
          </w:rPr>
          <w:tab/>
        </w:r>
        <w:r>
          <w:rPr>
            <w:webHidden/>
          </w:rPr>
          <w:fldChar w:fldCharType="begin"/>
        </w:r>
        <w:r>
          <w:rPr>
            <w:webHidden/>
          </w:rPr>
          <w:instrText xml:space="preserve"> PAGEREF _Toc145318573 \h </w:instrText>
        </w:r>
        <w:r>
          <w:rPr>
            <w:webHidden/>
          </w:rPr>
        </w:r>
        <w:r>
          <w:rPr>
            <w:webHidden/>
          </w:rPr>
          <w:fldChar w:fldCharType="separate"/>
        </w:r>
        <w:r w:rsidR="00B83E73">
          <w:rPr>
            <w:webHidden/>
          </w:rPr>
          <w:t>27</w:t>
        </w:r>
        <w:r>
          <w:rPr>
            <w:webHidden/>
          </w:rPr>
          <w:fldChar w:fldCharType="end"/>
        </w:r>
      </w:hyperlink>
    </w:p>
    <w:p w14:paraId="3FD1B02B" w14:textId="1E675E62"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4" w:history="1">
        <w:r w:rsidRPr="00013EBB">
          <w:rPr>
            <w:rStyle w:val="Hyperlink"/>
          </w:rPr>
          <w:t>5.2</w:t>
        </w:r>
        <w:r>
          <w:rPr>
            <w:rFonts w:asciiTheme="minorHAnsi" w:eastAsiaTheme="minorEastAsia" w:hAnsiTheme="minorHAnsi" w:cstheme="minorBidi"/>
            <w:sz w:val="22"/>
            <w:szCs w:val="22"/>
            <w:lang w:eastAsia="en-AU"/>
          </w:rPr>
          <w:tab/>
        </w:r>
        <w:r w:rsidRPr="00013EBB">
          <w:rPr>
            <w:rStyle w:val="Hyperlink"/>
          </w:rPr>
          <w:t>Response</w:t>
        </w:r>
        <w:r>
          <w:rPr>
            <w:webHidden/>
          </w:rPr>
          <w:tab/>
        </w:r>
        <w:r>
          <w:rPr>
            <w:webHidden/>
          </w:rPr>
          <w:fldChar w:fldCharType="begin"/>
        </w:r>
        <w:r>
          <w:rPr>
            <w:webHidden/>
          </w:rPr>
          <w:instrText xml:space="preserve"> PAGEREF _Toc145318574 \h </w:instrText>
        </w:r>
        <w:r>
          <w:rPr>
            <w:webHidden/>
          </w:rPr>
        </w:r>
        <w:r>
          <w:rPr>
            <w:webHidden/>
          </w:rPr>
          <w:fldChar w:fldCharType="separate"/>
        </w:r>
        <w:r w:rsidR="00B83E73">
          <w:rPr>
            <w:webHidden/>
          </w:rPr>
          <w:t>27</w:t>
        </w:r>
        <w:r>
          <w:rPr>
            <w:webHidden/>
          </w:rPr>
          <w:fldChar w:fldCharType="end"/>
        </w:r>
      </w:hyperlink>
    </w:p>
    <w:p w14:paraId="6A6035B0" w14:textId="576E887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5" w:history="1">
        <w:r w:rsidRPr="00013EBB">
          <w:rPr>
            <w:rStyle w:val="Hyperlink"/>
          </w:rPr>
          <w:t>5.3</w:t>
        </w:r>
        <w:r>
          <w:rPr>
            <w:rFonts w:asciiTheme="minorHAnsi" w:eastAsiaTheme="minorEastAsia" w:hAnsiTheme="minorHAnsi" w:cstheme="minorBidi"/>
            <w:sz w:val="22"/>
            <w:szCs w:val="22"/>
            <w:lang w:eastAsia="en-AU"/>
          </w:rPr>
          <w:tab/>
        </w:r>
        <w:r w:rsidRPr="00013EBB">
          <w:rPr>
            <w:rStyle w:val="Hyperlink"/>
          </w:rPr>
          <w:t>Collaboration</w:t>
        </w:r>
        <w:r>
          <w:rPr>
            <w:webHidden/>
          </w:rPr>
          <w:tab/>
        </w:r>
        <w:r>
          <w:rPr>
            <w:webHidden/>
          </w:rPr>
          <w:fldChar w:fldCharType="begin"/>
        </w:r>
        <w:r>
          <w:rPr>
            <w:webHidden/>
          </w:rPr>
          <w:instrText xml:space="preserve"> PAGEREF _Toc145318575 \h </w:instrText>
        </w:r>
        <w:r>
          <w:rPr>
            <w:webHidden/>
          </w:rPr>
        </w:r>
        <w:r>
          <w:rPr>
            <w:webHidden/>
          </w:rPr>
          <w:fldChar w:fldCharType="separate"/>
        </w:r>
        <w:r w:rsidR="00B83E73">
          <w:rPr>
            <w:webHidden/>
          </w:rPr>
          <w:t>27</w:t>
        </w:r>
        <w:r>
          <w:rPr>
            <w:webHidden/>
          </w:rPr>
          <w:fldChar w:fldCharType="end"/>
        </w:r>
      </w:hyperlink>
    </w:p>
    <w:p w14:paraId="07F89980" w14:textId="5CD5DDD2"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6" w:history="1">
        <w:r w:rsidRPr="00013EBB">
          <w:rPr>
            <w:rStyle w:val="Hyperlink"/>
          </w:rPr>
          <w:t>5.4</w:t>
        </w:r>
        <w:r>
          <w:rPr>
            <w:rFonts w:asciiTheme="minorHAnsi" w:eastAsiaTheme="minorEastAsia" w:hAnsiTheme="minorHAnsi" w:cstheme="minorBidi"/>
            <w:sz w:val="22"/>
            <w:szCs w:val="22"/>
            <w:lang w:eastAsia="en-AU"/>
          </w:rPr>
          <w:tab/>
        </w:r>
        <w:r w:rsidRPr="00013EBB">
          <w:rPr>
            <w:rStyle w:val="Hyperlink"/>
          </w:rPr>
          <w:t>Identification and referral</w:t>
        </w:r>
        <w:r>
          <w:rPr>
            <w:webHidden/>
          </w:rPr>
          <w:tab/>
        </w:r>
        <w:r>
          <w:rPr>
            <w:webHidden/>
          </w:rPr>
          <w:fldChar w:fldCharType="begin"/>
        </w:r>
        <w:r>
          <w:rPr>
            <w:webHidden/>
          </w:rPr>
          <w:instrText xml:space="preserve"> PAGEREF _Toc145318576 \h </w:instrText>
        </w:r>
        <w:r>
          <w:rPr>
            <w:webHidden/>
          </w:rPr>
        </w:r>
        <w:r>
          <w:rPr>
            <w:webHidden/>
          </w:rPr>
          <w:fldChar w:fldCharType="separate"/>
        </w:r>
        <w:r w:rsidR="00B83E73">
          <w:rPr>
            <w:webHidden/>
          </w:rPr>
          <w:t>28</w:t>
        </w:r>
        <w:r>
          <w:rPr>
            <w:webHidden/>
          </w:rPr>
          <w:fldChar w:fldCharType="end"/>
        </w:r>
      </w:hyperlink>
    </w:p>
    <w:p w14:paraId="672580F0" w14:textId="38AD5B32"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7" w:history="1">
        <w:r w:rsidRPr="00013EBB">
          <w:rPr>
            <w:rStyle w:val="Hyperlink"/>
          </w:rPr>
          <w:t>5.5</w:t>
        </w:r>
        <w:r>
          <w:rPr>
            <w:rFonts w:asciiTheme="minorHAnsi" w:eastAsiaTheme="minorEastAsia" w:hAnsiTheme="minorHAnsi" w:cstheme="minorBidi"/>
            <w:sz w:val="22"/>
            <w:szCs w:val="22"/>
            <w:lang w:eastAsia="en-AU"/>
          </w:rPr>
          <w:tab/>
        </w:r>
        <w:r w:rsidRPr="00013EBB">
          <w:rPr>
            <w:rStyle w:val="Hyperlink"/>
          </w:rPr>
          <w:t>Consultation</w:t>
        </w:r>
        <w:r>
          <w:rPr>
            <w:webHidden/>
          </w:rPr>
          <w:tab/>
        </w:r>
        <w:r>
          <w:rPr>
            <w:webHidden/>
          </w:rPr>
          <w:fldChar w:fldCharType="begin"/>
        </w:r>
        <w:r>
          <w:rPr>
            <w:webHidden/>
          </w:rPr>
          <w:instrText xml:space="preserve"> PAGEREF _Toc145318577 \h </w:instrText>
        </w:r>
        <w:r>
          <w:rPr>
            <w:webHidden/>
          </w:rPr>
        </w:r>
        <w:r>
          <w:rPr>
            <w:webHidden/>
          </w:rPr>
          <w:fldChar w:fldCharType="separate"/>
        </w:r>
        <w:r w:rsidR="00B83E73">
          <w:rPr>
            <w:webHidden/>
          </w:rPr>
          <w:t>29</w:t>
        </w:r>
        <w:r>
          <w:rPr>
            <w:webHidden/>
          </w:rPr>
          <w:fldChar w:fldCharType="end"/>
        </w:r>
      </w:hyperlink>
    </w:p>
    <w:p w14:paraId="24D0754B" w14:textId="583F5DD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8" w:history="1">
        <w:r w:rsidRPr="00013EBB">
          <w:rPr>
            <w:rStyle w:val="Hyperlink"/>
          </w:rPr>
          <w:t>5.6</w:t>
        </w:r>
        <w:r>
          <w:rPr>
            <w:rFonts w:asciiTheme="minorHAnsi" w:eastAsiaTheme="minorEastAsia" w:hAnsiTheme="minorHAnsi" w:cstheme="minorBidi"/>
            <w:sz w:val="22"/>
            <w:szCs w:val="22"/>
            <w:lang w:eastAsia="en-AU"/>
          </w:rPr>
          <w:tab/>
        </w:r>
        <w:r w:rsidRPr="00013EBB">
          <w:rPr>
            <w:rStyle w:val="Hyperlink"/>
          </w:rPr>
          <w:t>Interface with Tenancy Plus</w:t>
        </w:r>
        <w:r>
          <w:rPr>
            <w:webHidden/>
          </w:rPr>
          <w:tab/>
        </w:r>
        <w:r>
          <w:rPr>
            <w:webHidden/>
          </w:rPr>
          <w:fldChar w:fldCharType="begin"/>
        </w:r>
        <w:r>
          <w:rPr>
            <w:webHidden/>
          </w:rPr>
          <w:instrText xml:space="preserve"> PAGEREF _Toc145318578 \h </w:instrText>
        </w:r>
        <w:r>
          <w:rPr>
            <w:webHidden/>
          </w:rPr>
        </w:r>
        <w:r>
          <w:rPr>
            <w:webHidden/>
          </w:rPr>
          <w:fldChar w:fldCharType="separate"/>
        </w:r>
        <w:r w:rsidR="00B83E73">
          <w:rPr>
            <w:webHidden/>
          </w:rPr>
          <w:t>29</w:t>
        </w:r>
        <w:r>
          <w:rPr>
            <w:webHidden/>
          </w:rPr>
          <w:fldChar w:fldCharType="end"/>
        </w:r>
      </w:hyperlink>
    </w:p>
    <w:p w14:paraId="6C308C9E" w14:textId="403D4E7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79" w:history="1">
        <w:r w:rsidRPr="00013EBB">
          <w:rPr>
            <w:rStyle w:val="Hyperlink"/>
          </w:rPr>
          <w:t>5.7</w:t>
        </w:r>
        <w:r>
          <w:rPr>
            <w:rFonts w:asciiTheme="minorHAnsi" w:eastAsiaTheme="minorEastAsia" w:hAnsiTheme="minorHAnsi" w:cstheme="minorBidi"/>
            <w:sz w:val="22"/>
            <w:szCs w:val="22"/>
            <w:lang w:eastAsia="en-AU"/>
          </w:rPr>
          <w:tab/>
        </w:r>
        <w:r w:rsidRPr="00013EBB">
          <w:rPr>
            <w:rStyle w:val="Hyperlink"/>
          </w:rPr>
          <w:t>Interface with Indigenous Tenants at Risk</w:t>
        </w:r>
        <w:r>
          <w:rPr>
            <w:webHidden/>
          </w:rPr>
          <w:tab/>
        </w:r>
        <w:r>
          <w:rPr>
            <w:webHidden/>
          </w:rPr>
          <w:fldChar w:fldCharType="begin"/>
        </w:r>
        <w:r>
          <w:rPr>
            <w:webHidden/>
          </w:rPr>
          <w:instrText xml:space="preserve"> PAGEREF _Toc145318579 \h </w:instrText>
        </w:r>
        <w:r>
          <w:rPr>
            <w:webHidden/>
          </w:rPr>
        </w:r>
        <w:r>
          <w:rPr>
            <w:webHidden/>
          </w:rPr>
          <w:fldChar w:fldCharType="separate"/>
        </w:r>
        <w:r w:rsidR="00B83E73">
          <w:rPr>
            <w:webHidden/>
          </w:rPr>
          <w:t>30</w:t>
        </w:r>
        <w:r>
          <w:rPr>
            <w:webHidden/>
          </w:rPr>
          <w:fldChar w:fldCharType="end"/>
        </w:r>
      </w:hyperlink>
    </w:p>
    <w:p w14:paraId="1D8F8974" w14:textId="71F1219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0" w:history="1">
        <w:r w:rsidRPr="00013EBB">
          <w:rPr>
            <w:rStyle w:val="Hyperlink"/>
          </w:rPr>
          <w:t>5.8</w:t>
        </w:r>
        <w:r>
          <w:rPr>
            <w:rFonts w:asciiTheme="minorHAnsi" w:eastAsiaTheme="minorEastAsia" w:hAnsiTheme="minorHAnsi" w:cstheme="minorBidi"/>
            <w:sz w:val="22"/>
            <w:szCs w:val="22"/>
            <w:lang w:eastAsia="en-AU"/>
          </w:rPr>
          <w:tab/>
        </w:r>
        <w:r w:rsidRPr="00013EBB">
          <w:rPr>
            <w:rStyle w:val="Hyperlink"/>
          </w:rPr>
          <w:t>Public housing and the NDIS</w:t>
        </w:r>
        <w:r>
          <w:rPr>
            <w:webHidden/>
          </w:rPr>
          <w:tab/>
        </w:r>
        <w:r>
          <w:rPr>
            <w:webHidden/>
          </w:rPr>
          <w:fldChar w:fldCharType="begin"/>
        </w:r>
        <w:r>
          <w:rPr>
            <w:webHidden/>
          </w:rPr>
          <w:instrText xml:space="preserve"> PAGEREF _Toc145318580 \h </w:instrText>
        </w:r>
        <w:r>
          <w:rPr>
            <w:webHidden/>
          </w:rPr>
        </w:r>
        <w:r>
          <w:rPr>
            <w:webHidden/>
          </w:rPr>
          <w:fldChar w:fldCharType="separate"/>
        </w:r>
        <w:r w:rsidR="00B83E73">
          <w:rPr>
            <w:webHidden/>
          </w:rPr>
          <w:t>31</w:t>
        </w:r>
        <w:r>
          <w:rPr>
            <w:webHidden/>
          </w:rPr>
          <w:fldChar w:fldCharType="end"/>
        </w:r>
      </w:hyperlink>
    </w:p>
    <w:p w14:paraId="2698EAF4" w14:textId="5B517A4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1" w:history="1">
        <w:r w:rsidRPr="00013EBB">
          <w:rPr>
            <w:rStyle w:val="Hyperlink"/>
          </w:rPr>
          <w:t>5.9</w:t>
        </w:r>
        <w:r>
          <w:rPr>
            <w:rFonts w:asciiTheme="minorHAnsi" w:eastAsiaTheme="minorEastAsia" w:hAnsiTheme="minorHAnsi" w:cstheme="minorBidi"/>
            <w:sz w:val="22"/>
            <w:szCs w:val="22"/>
            <w:lang w:eastAsia="en-AU"/>
          </w:rPr>
          <w:tab/>
        </w:r>
        <w:r w:rsidRPr="00013EBB">
          <w:rPr>
            <w:rStyle w:val="Hyperlink"/>
          </w:rPr>
          <w:t>Complex Needs Panel</w:t>
        </w:r>
        <w:r>
          <w:rPr>
            <w:webHidden/>
          </w:rPr>
          <w:tab/>
        </w:r>
        <w:r>
          <w:rPr>
            <w:webHidden/>
          </w:rPr>
          <w:fldChar w:fldCharType="begin"/>
        </w:r>
        <w:r>
          <w:rPr>
            <w:webHidden/>
          </w:rPr>
          <w:instrText xml:space="preserve"> PAGEREF _Toc145318581 \h </w:instrText>
        </w:r>
        <w:r>
          <w:rPr>
            <w:webHidden/>
          </w:rPr>
        </w:r>
        <w:r>
          <w:rPr>
            <w:webHidden/>
          </w:rPr>
          <w:fldChar w:fldCharType="separate"/>
        </w:r>
        <w:r w:rsidR="00B83E73">
          <w:rPr>
            <w:webHidden/>
          </w:rPr>
          <w:t>32</w:t>
        </w:r>
        <w:r>
          <w:rPr>
            <w:webHidden/>
          </w:rPr>
          <w:fldChar w:fldCharType="end"/>
        </w:r>
      </w:hyperlink>
    </w:p>
    <w:p w14:paraId="537A54E0" w14:textId="7051EEEA" w:rsidR="00D6005C" w:rsidRDefault="00D6005C">
      <w:pPr>
        <w:pStyle w:val="TOC2"/>
        <w:tabs>
          <w:tab w:val="left" w:pos="851"/>
        </w:tabs>
        <w:rPr>
          <w:rFonts w:asciiTheme="minorHAnsi" w:eastAsiaTheme="minorEastAsia" w:hAnsiTheme="minorHAnsi" w:cstheme="minorBidi"/>
          <w:sz w:val="22"/>
          <w:szCs w:val="22"/>
          <w:lang w:eastAsia="en-AU"/>
        </w:rPr>
      </w:pPr>
      <w:hyperlink w:anchor="_Toc145318582" w:history="1">
        <w:r w:rsidRPr="00013EBB">
          <w:rPr>
            <w:rStyle w:val="Hyperlink"/>
          </w:rPr>
          <w:t>5.10</w:t>
        </w:r>
        <w:r>
          <w:rPr>
            <w:rFonts w:asciiTheme="minorHAnsi" w:eastAsiaTheme="minorEastAsia" w:hAnsiTheme="minorHAnsi" w:cstheme="minorBidi"/>
            <w:sz w:val="22"/>
            <w:szCs w:val="22"/>
            <w:lang w:eastAsia="en-AU"/>
          </w:rPr>
          <w:tab/>
        </w:r>
        <w:r w:rsidRPr="00013EBB">
          <w:rPr>
            <w:rStyle w:val="Hyperlink"/>
          </w:rPr>
          <w:t>SfHRT consultation closure</w:t>
        </w:r>
        <w:r>
          <w:rPr>
            <w:webHidden/>
          </w:rPr>
          <w:tab/>
        </w:r>
        <w:r>
          <w:rPr>
            <w:webHidden/>
          </w:rPr>
          <w:fldChar w:fldCharType="begin"/>
        </w:r>
        <w:r>
          <w:rPr>
            <w:webHidden/>
          </w:rPr>
          <w:instrText xml:space="preserve"> PAGEREF _Toc145318582 \h </w:instrText>
        </w:r>
        <w:r>
          <w:rPr>
            <w:webHidden/>
          </w:rPr>
        </w:r>
        <w:r>
          <w:rPr>
            <w:webHidden/>
          </w:rPr>
          <w:fldChar w:fldCharType="separate"/>
        </w:r>
        <w:r w:rsidR="00B83E73">
          <w:rPr>
            <w:webHidden/>
          </w:rPr>
          <w:t>32</w:t>
        </w:r>
        <w:r>
          <w:rPr>
            <w:webHidden/>
          </w:rPr>
          <w:fldChar w:fldCharType="end"/>
        </w:r>
      </w:hyperlink>
    </w:p>
    <w:p w14:paraId="17170519" w14:textId="5C37DE81"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83" w:history="1">
        <w:r w:rsidRPr="00013EBB">
          <w:rPr>
            <w:rStyle w:val="Hyperlink"/>
          </w:rPr>
          <w:t>6.</w:t>
        </w:r>
        <w:r>
          <w:rPr>
            <w:rFonts w:asciiTheme="minorHAnsi" w:eastAsiaTheme="minorEastAsia" w:hAnsiTheme="minorHAnsi" w:cstheme="minorBidi"/>
            <w:b w:val="0"/>
            <w:sz w:val="22"/>
            <w:szCs w:val="22"/>
            <w:lang w:eastAsia="en-AU"/>
          </w:rPr>
          <w:tab/>
        </w:r>
        <w:r w:rsidRPr="00013EBB">
          <w:rPr>
            <w:rStyle w:val="Hyperlink"/>
          </w:rPr>
          <w:t>Assertive Outreach and Support</w:t>
        </w:r>
        <w:r>
          <w:rPr>
            <w:webHidden/>
          </w:rPr>
          <w:tab/>
        </w:r>
        <w:r>
          <w:rPr>
            <w:webHidden/>
          </w:rPr>
          <w:fldChar w:fldCharType="begin"/>
        </w:r>
        <w:r>
          <w:rPr>
            <w:webHidden/>
          </w:rPr>
          <w:instrText xml:space="preserve"> PAGEREF _Toc145318583 \h </w:instrText>
        </w:r>
        <w:r>
          <w:rPr>
            <w:webHidden/>
          </w:rPr>
        </w:r>
        <w:r>
          <w:rPr>
            <w:webHidden/>
          </w:rPr>
          <w:fldChar w:fldCharType="separate"/>
        </w:r>
        <w:r w:rsidR="00B83E73">
          <w:rPr>
            <w:webHidden/>
          </w:rPr>
          <w:t>33</w:t>
        </w:r>
        <w:r>
          <w:rPr>
            <w:webHidden/>
          </w:rPr>
          <w:fldChar w:fldCharType="end"/>
        </w:r>
      </w:hyperlink>
    </w:p>
    <w:p w14:paraId="692B3CE3" w14:textId="082A4FA4"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4" w:history="1">
        <w:r w:rsidRPr="00013EBB">
          <w:rPr>
            <w:rStyle w:val="Hyperlink"/>
          </w:rPr>
          <w:t>6.1</w:t>
        </w:r>
        <w:r>
          <w:rPr>
            <w:rFonts w:asciiTheme="minorHAnsi" w:eastAsiaTheme="minorEastAsia" w:hAnsiTheme="minorHAnsi" w:cstheme="minorBidi"/>
            <w:sz w:val="22"/>
            <w:szCs w:val="22"/>
            <w:lang w:eastAsia="en-AU"/>
          </w:rPr>
          <w:tab/>
        </w:r>
        <w:r w:rsidRPr="00013EBB">
          <w:rPr>
            <w:rStyle w:val="Hyperlink"/>
          </w:rPr>
          <w:t>Service model</w:t>
        </w:r>
        <w:r>
          <w:rPr>
            <w:webHidden/>
          </w:rPr>
          <w:tab/>
        </w:r>
        <w:r>
          <w:rPr>
            <w:webHidden/>
          </w:rPr>
          <w:fldChar w:fldCharType="begin"/>
        </w:r>
        <w:r>
          <w:rPr>
            <w:webHidden/>
          </w:rPr>
          <w:instrText xml:space="preserve"> PAGEREF _Toc145318584 \h </w:instrText>
        </w:r>
        <w:r>
          <w:rPr>
            <w:webHidden/>
          </w:rPr>
        </w:r>
        <w:r>
          <w:rPr>
            <w:webHidden/>
          </w:rPr>
          <w:fldChar w:fldCharType="separate"/>
        </w:r>
        <w:r w:rsidR="00B83E73">
          <w:rPr>
            <w:webHidden/>
          </w:rPr>
          <w:t>33</w:t>
        </w:r>
        <w:r>
          <w:rPr>
            <w:webHidden/>
          </w:rPr>
          <w:fldChar w:fldCharType="end"/>
        </w:r>
      </w:hyperlink>
    </w:p>
    <w:p w14:paraId="3ACBC222" w14:textId="16052464"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5" w:history="1">
        <w:r w:rsidRPr="00013EBB">
          <w:rPr>
            <w:rStyle w:val="Hyperlink"/>
            <w:rFonts w:eastAsia="Arial"/>
          </w:rPr>
          <w:t>6.2</w:t>
        </w:r>
        <w:r>
          <w:rPr>
            <w:rFonts w:asciiTheme="minorHAnsi" w:eastAsiaTheme="minorEastAsia" w:hAnsiTheme="minorHAnsi" w:cstheme="minorBidi"/>
            <w:sz w:val="22"/>
            <w:szCs w:val="22"/>
            <w:lang w:eastAsia="en-AU"/>
          </w:rPr>
          <w:tab/>
        </w:r>
        <w:r w:rsidRPr="00013EBB">
          <w:rPr>
            <w:rStyle w:val="Hyperlink"/>
            <w:rFonts w:eastAsia="Arial"/>
            <w:bCs/>
          </w:rPr>
          <w:t>Service delivery principles</w:t>
        </w:r>
        <w:r>
          <w:rPr>
            <w:webHidden/>
          </w:rPr>
          <w:tab/>
        </w:r>
        <w:r>
          <w:rPr>
            <w:webHidden/>
          </w:rPr>
          <w:fldChar w:fldCharType="begin"/>
        </w:r>
        <w:r>
          <w:rPr>
            <w:webHidden/>
          </w:rPr>
          <w:instrText xml:space="preserve"> PAGEREF _Toc145318585 \h </w:instrText>
        </w:r>
        <w:r>
          <w:rPr>
            <w:webHidden/>
          </w:rPr>
        </w:r>
        <w:r>
          <w:rPr>
            <w:webHidden/>
          </w:rPr>
          <w:fldChar w:fldCharType="separate"/>
        </w:r>
        <w:r w:rsidR="00B83E73">
          <w:rPr>
            <w:webHidden/>
          </w:rPr>
          <w:t>34</w:t>
        </w:r>
        <w:r>
          <w:rPr>
            <w:webHidden/>
          </w:rPr>
          <w:fldChar w:fldCharType="end"/>
        </w:r>
      </w:hyperlink>
    </w:p>
    <w:p w14:paraId="35E35AE2" w14:textId="03B191EA"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6" w:history="1">
        <w:r w:rsidRPr="00013EBB">
          <w:rPr>
            <w:rStyle w:val="Hyperlink"/>
            <w:rFonts w:eastAsia="Arial"/>
          </w:rPr>
          <w:t>6.3</w:t>
        </w:r>
        <w:r>
          <w:rPr>
            <w:rFonts w:asciiTheme="minorHAnsi" w:eastAsiaTheme="minorEastAsia" w:hAnsiTheme="minorHAnsi" w:cstheme="minorBidi"/>
            <w:sz w:val="22"/>
            <w:szCs w:val="22"/>
            <w:lang w:eastAsia="en-AU"/>
          </w:rPr>
          <w:tab/>
        </w:r>
        <w:r w:rsidRPr="00013EBB">
          <w:rPr>
            <w:rStyle w:val="Hyperlink"/>
            <w:rFonts w:eastAsia="Arial"/>
          </w:rPr>
          <w:t>AOS provider service delivery frameworks</w:t>
        </w:r>
        <w:r>
          <w:rPr>
            <w:webHidden/>
          </w:rPr>
          <w:tab/>
        </w:r>
        <w:r>
          <w:rPr>
            <w:webHidden/>
          </w:rPr>
          <w:fldChar w:fldCharType="begin"/>
        </w:r>
        <w:r>
          <w:rPr>
            <w:webHidden/>
          </w:rPr>
          <w:instrText xml:space="preserve"> PAGEREF _Toc145318586 \h </w:instrText>
        </w:r>
        <w:r>
          <w:rPr>
            <w:webHidden/>
          </w:rPr>
        </w:r>
        <w:r>
          <w:rPr>
            <w:webHidden/>
          </w:rPr>
          <w:fldChar w:fldCharType="separate"/>
        </w:r>
        <w:r w:rsidR="00B83E73">
          <w:rPr>
            <w:webHidden/>
          </w:rPr>
          <w:t>34</w:t>
        </w:r>
        <w:r>
          <w:rPr>
            <w:webHidden/>
          </w:rPr>
          <w:fldChar w:fldCharType="end"/>
        </w:r>
      </w:hyperlink>
    </w:p>
    <w:p w14:paraId="6E226358" w14:textId="4051507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7" w:history="1">
        <w:r w:rsidRPr="00013EBB">
          <w:rPr>
            <w:rStyle w:val="Hyperlink"/>
          </w:rPr>
          <w:t>6.4</w:t>
        </w:r>
        <w:r>
          <w:rPr>
            <w:rFonts w:asciiTheme="minorHAnsi" w:eastAsiaTheme="minorEastAsia" w:hAnsiTheme="minorHAnsi" w:cstheme="minorBidi"/>
            <w:sz w:val="22"/>
            <w:szCs w:val="22"/>
            <w:lang w:eastAsia="en-AU"/>
          </w:rPr>
          <w:tab/>
        </w:r>
        <w:r w:rsidRPr="00013EBB">
          <w:rPr>
            <w:rStyle w:val="Hyperlink"/>
          </w:rPr>
          <w:t>Operational Management Group</w:t>
        </w:r>
        <w:r>
          <w:rPr>
            <w:webHidden/>
          </w:rPr>
          <w:tab/>
        </w:r>
        <w:r>
          <w:rPr>
            <w:webHidden/>
          </w:rPr>
          <w:fldChar w:fldCharType="begin"/>
        </w:r>
        <w:r>
          <w:rPr>
            <w:webHidden/>
          </w:rPr>
          <w:instrText xml:space="preserve"> PAGEREF _Toc145318587 \h </w:instrText>
        </w:r>
        <w:r>
          <w:rPr>
            <w:webHidden/>
          </w:rPr>
        </w:r>
        <w:r>
          <w:rPr>
            <w:webHidden/>
          </w:rPr>
          <w:fldChar w:fldCharType="separate"/>
        </w:r>
        <w:r w:rsidR="00B83E73">
          <w:rPr>
            <w:webHidden/>
          </w:rPr>
          <w:t>34</w:t>
        </w:r>
        <w:r>
          <w:rPr>
            <w:webHidden/>
          </w:rPr>
          <w:fldChar w:fldCharType="end"/>
        </w:r>
      </w:hyperlink>
    </w:p>
    <w:p w14:paraId="384A1F9B" w14:textId="5993281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8" w:history="1">
        <w:r w:rsidRPr="00013EBB">
          <w:rPr>
            <w:rStyle w:val="Hyperlink"/>
          </w:rPr>
          <w:t>6.5</w:t>
        </w:r>
        <w:r>
          <w:rPr>
            <w:rFonts w:asciiTheme="minorHAnsi" w:eastAsiaTheme="minorEastAsia" w:hAnsiTheme="minorHAnsi" w:cstheme="minorBidi"/>
            <w:sz w:val="22"/>
            <w:szCs w:val="22"/>
            <w:lang w:eastAsia="en-AU"/>
          </w:rPr>
          <w:tab/>
        </w:r>
        <w:r w:rsidRPr="00013EBB">
          <w:rPr>
            <w:rStyle w:val="Hyperlink"/>
          </w:rPr>
          <w:t>Complex Needs Panel</w:t>
        </w:r>
        <w:r>
          <w:rPr>
            <w:webHidden/>
          </w:rPr>
          <w:tab/>
        </w:r>
        <w:r>
          <w:rPr>
            <w:webHidden/>
          </w:rPr>
          <w:fldChar w:fldCharType="begin"/>
        </w:r>
        <w:r>
          <w:rPr>
            <w:webHidden/>
          </w:rPr>
          <w:instrText xml:space="preserve"> PAGEREF _Toc145318588 \h </w:instrText>
        </w:r>
        <w:r>
          <w:rPr>
            <w:webHidden/>
          </w:rPr>
        </w:r>
        <w:r>
          <w:rPr>
            <w:webHidden/>
          </w:rPr>
          <w:fldChar w:fldCharType="separate"/>
        </w:r>
        <w:r w:rsidR="00B83E73">
          <w:rPr>
            <w:webHidden/>
          </w:rPr>
          <w:t>35</w:t>
        </w:r>
        <w:r>
          <w:rPr>
            <w:webHidden/>
          </w:rPr>
          <w:fldChar w:fldCharType="end"/>
        </w:r>
      </w:hyperlink>
    </w:p>
    <w:p w14:paraId="0EAB41DF" w14:textId="2E4B9D7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89" w:history="1">
        <w:r w:rsidRPr="00013EBB">
          <w:rPr>
            <w:rStyle w:val="Hyperlink"/>
          </w:rPr>
          <w:t>6.6</w:t>
        </w:r>
        <w:r>
          <w:rPr>
            <w:rFonts w:asciiTheme="minorHAnsi" w:eastAsiaTheme="minorEastAsia" w:hAnsiTheme="minorHAnsi" w:cstheme="minorBidi"/>
            <w:sz w:val="22"/>
            <w:szCs w:val="22"/>
            <w:lang w:eastAsia="en-AU"/>
          </w:rPr>
          <w:tab/>
        </w:r>
        <w:r w:rsidRPr="00013EBB">
          <w:rPr>
            <w:rStyle w:val="Hyperlink"/>
          </w:rPr>
          <w:t>Eligibility for AOS</w:t>
        </w:r>
        <w:r>
          <w:rPr>
            <w:webHidden/>
          </w:rPr>
          <w:tab/>
        </w:r>
        <w:r>
          <w:rPr>
            <w:webHidden/>
          </w:rPr>
          <w:fldChar w:fldCharType="begin"/>
        </w:r>
        <w:r>
          <w:rPr>
            <w:webHidden/>
          </w:rPr>
          <w:instrText xml:space="preserve"> PAGEREF _Toc145318589 \h </w:instrText>
        </w:r>
        <w:r>
          <w:rPr>
            <w:webHidden/>
          </w:rPr>
        </w:r>
        <w:r>
          <w:rPr>
            <w:webHidden/>
          </w:rPr>
          <w:fldChar w:fldCharType="separate"/>
        </w:r>
        <w:r w:rsidR="00B83E73">
          <w:rPr>
            <w:webHidden/>
          </w:rPr>
          <w:t>36</w:t>
        </w:r>
        <w:r>
          <w:rPr>
            <w:webHidden/>
          </w:rPr>
          <w:fldChar w:fldCharType="end"/>
        </w:r>
      </w:hyperlink>
    </w:p>
    <w:p w14:paraId="5B0AC334" w14:textId="4F0C8386"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0" w:history="1">
        <w:r w:rsidRPr="00013EBB">
          <w:rPr>
            <w:rStyle w:val="Hyperlink"/>
          </w:rPr>
          <w:t>6.7</w:t>
        </w:r>
        <w:r>
          <w:rPr>
            <w:rFonts w:asciiTheme="minorHAnsi" w:eastAsiaTheme="minorEastAsia" w:hAnsiTheme="minorHAnsi" w:cstheme="minorBidi"/>
            <w:sz w:val="22"/>
            <w:szCs w:val="22"/>
            <w:lang w:eastAsia="en-AU"/>
          </w:rPr>
          <w:tab/>
        </w:r>
        <w:r w:rsidRPr="00013EBB">
          <w:rPr>
            <w:rStyle w:val="Hyperlink"/>
          </w:rPr>
          <w:t>Referral process</w:t>
        </w:r>
        <w:r>
          <w:rPr>
            <w:webHidden/>
          </w:rPr>
          <w:tab/>
        </w:r>
        <w:r>
          <w:rPr>
            <w:webHidden/>
          </w:rPr>
          <w:fldChar w:fldCharType="begin"/>
        </w:r>
        <w:r>
          <w:rPr>
            <w:webHidden/>
          </w:rPr>
          <w:instrText xml:space="preserve"> PAGEREF _Toc145318590 \h </w:instrText>
        </w:r>
        <w:r>
          <w:rPr>
            <w:webHidden/>
          </w:rPr>
        </w:r>
        <w:r>
          <w:rPr>
            <w:webHidden/>
          </w:rPr>
          <w:fldChar w:fldCharType="separate"/>
        </w:r>
        <w:r w:rsidR="00B83E73">
          <w:rPr>
            <w:webHidden/>
          </w:rPr>
          <w:t>38</w:t>
        </w:r>
        <w:r>
          <w:rPr>
            <w:webHidden/>
          </w:rPr>
          <w:fldChar w:fldCharType="end"/>
        </w:r>
      </w:hyperlink>
    </w:p>
    <w:p w14:paraId="46EF8EC3" w14:textId="67A9A64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1" w:history="1">
        <w:r w:rsidRPr="00013EBB">
          <w:rPr>
            <w:rStyle w:val="Hyperlink"/>
          </w:rPr>
          <w:t>6.8</w:t>
        </w:r>
        <w:r>
          <w:rPr>
            <w:rFonts w:asciiTheme="minorHAnsi" w:eastAsiaTheme="minorEastAsia" w:hAnsiTheme="minorHAnsi" w:cstheme="minorBidi"/>
            <w:sz w:val="22"/>
            <w:szCs w:val="22"/>
            <w:lang w:eastAsia="en-AU"/>
          </w:rPr>
          <w:tab/>
        </w:r>
        <w:r w:rsidRPr="00013EBB">
          <w:rPr>
            <w:rStyle w:val="Hyperlink"/>
          </w:rPr>
          <w:t>Allocation to an AOS provider</w:t>
        </w:r>
        <w:r>
          <w:rPr>
            <w:webHidden/>
          </w:rPr>
          <w:tab/>
        </w:r>
        <w:r>
          <w:rPr>
            <w:webHidden/>
          </w:rPr>
          <w:fldChar w:fldCharType="begin"/>
        </w:r>
        <w:r>
          <w:rPr>
            <w:webHidden/>
          </w:rPr>
          <w:instrText xml:space="preserve"> PAGEREF _Toc145318591 \h </w:instrText>
        </w:r>
        <w:r>
          <w:rPr>
            <w:webHidden/>
          </w:rPr>
        </w:r>
        <w:r>
          <w:rPr>
            <w:webHidden/>
          </w:rPr>
          <w:fldChar w:fldCharType="separate"/>
        </w:r>
        <w:r w:rsidR="00B83E73">
          <w:rPr>
            <w:webHidden/>
          </w:rPr>
          <w:t>40</w:t>
        </w:r>
        <w:r>
          <w:rPr>
            <w:webHidden/>
          </w:rPr>
          <w:fldChar w:fldCharType="end"/>
        </w:r>
      </w:hyperlink>
    </w:p>
    <w:p w14:paraId="6F44A5C1" w14:textId="1E14221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2" w:history="1">
        <w:r w:rsidRPr="00013EBB">
          <w:rPr>
            <w:rStyle w:val="Hyperlink"/>
          </w:rPr>
          <w:t>6.9</w:t>
        </w:r>
        <w:r>
          <w:rPr>
            <w:rFonts w:asciiTheme="minorHAnsi" w:eastAsiaTheme="minorEastAsia" w:hAnsiTheme="minorHAnsi" w:cstheme="minorBidi"/>
            <w:sz w:val="22"/>
            <w:szCs w:val="22"/>
            <w:lang w:eastAsia="en-AU"/>
          </w:rPr>
          <w:tab/>
        </w:r>
        <w:r w:rsidRPr="00013EBB">
          <w:rPr>
            <w:rStyle w:val="Hyperlink"/>
          </w:rPr>
          <w:t>Individual Support Plan</w:t>
        </w:r>
        <w:r>
          <w:rPr>
            <w:webHidden/>
          </w:rPr>
          <w:tab/>
        </w:r>
        <w:r>
          <w:rPr>
            <w:webHidden/>
          </w:rPr>
          <w:fldChar w:fldCharType="begin"/>
        </w:r>
        <w:r>
          <w:rPr>
            <w:webHidden/>
          </w:rPr>
          <w:instrText xml:space="preserve"> PAGEREF _Toc145318592 \h </w:instrText>
        </w:r>
        <w:r>
          <w:rPr>
            <w:webHidden/>
          </w:rPr>
        </w:r>
        <w:r>
          <w:rPr>
            <w:webHidden/>
          </w:rPr>
          <w:fldChar w:fldCharType="separate"/>
        </w:r>
        <w:r w:rsidR="00B83E73">
          <w:rPr>
            <w:webHidden/>
          </w:rPr>
          <w:t>40</w:t>
        </w:r>
        <w:r>
          <w:rPr>
            <w:webHidden/>
          </w:rPr>
          <w:fldChar w:fldCharType="end"/>
        </w:r>
      </w:hyperlink>
    </w:p>
    <w:p w14:paraId="3797D1ED" w14:textId="52E93C00" w:rsidR="00D6005C" w:rsidRDefault="00D6005C">
      <w:pPr>
        <w:pStyle w:val="TOC2"/>
        <w:tabs>
          <w:tab w:val="left" w:pos="851"/>
        </w:tabs>
        <w:rPr>
          <w:rFonts w:asciiTheme="minorHAnsi" w:eastAsiaTheme="minorEastAsia" w:hAnsiTheme="minorHAnsi" w:cstheme="minorBidi"/>
          <w:sz w:val="22"/>
          <w:szCs w:val="22"/>
          <w:lang w:eastAsia="en-AU"/>
        </w:rPr>
      </w:pPr>
      <w:hyperlink w:anchor="_Toc145318593" w:history="1">
        <w:r w:rsidRPr="00013EBB">
          <w:rPr>
            <w:rStyle w:val="Hyperlink"/>
          </w:rPr>
          <w:t>6.10</w:t>
        </w:r>
        <w:r>
          <w:rPr>
            <w:rFonts w:asciiTheme="minorHAnsi" w:eastAsiaTheme="minorEastAsia" w:hAnsiTheme="minorHAnsi" w:cstheme="minorBidi"/>
            <w:sz w:val="22"/>
            <w:szCs w:val="22"/>
            <w:lang w:eastAsia="en-AU"/>
          </w:rPr>
          <w:tab/>
        </w:r>
        <w:r w:rsidRPr="00013EBB">
          <w:rPr>
            <w:rStyle w:val="Hyperlink"/>
          </w:rPr>
          <w:t>Engagement Plan</w:t>
        </w:r>
        <w:r>
          <w:rPr>
            <w:webHidden/>
          </w:rPr>
          <w:tab/>
        </w:r>
        <w:r>
          <w:rPr>
            <w:webHidden/>
          </w:rPr>
          <w:fldChar w:fldCharType="begin"/>
        </w:r>
        <w:r>
          <w:rPr>
            <w:webHidden/>
          </w:rPr>
          <w:instrText xml:space="preserve"> PAGEREF _Toc145318593 \h </w:instrText>
        </w:r>
        <w:r>
          <w:rPr>
            <w:webHidden/>
          </w:rPr>
        </w:r>
        <w:r>
          <w:rPr>
            <w:webHidden/>
          </w:rPr>
          <w:fldChar w:fldCharType="separate"/>
        </w:r>
        <w:r w:rsidR="00B83E73">
          <w:rPr>
            <w:webHidden/>
          </w:rPr>
          <w:t>41</w:t>
        </w:r>
        <w:r>
          <w:rPr>
            <w:webHidden/>
          </w:rPr>
          <w:fldChar w:fldCharType="end"/>
        </w:r>
      </w:hyperlink>
    </w:p>
    <w:p w14:paraId="565D51D4" w14:textId="65F2B55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594" w:history="1">
        <w:r w:rsidRPr="00013EBB">
          <w:rPr>
            <w:rStyle w:val="Hyperlink"/>
          </w:rPr>
          <w:t>6.11</w:t>
        </w:r>
        <w:r>
          <w:rPr>
            <w:rFonts w:asciiTheme="minorHAnsi" w:eastAsiaTheme="minorEastAsia" w:hAnsiTheme="minorHAnsi" w:cstheme="minorBidi"/>
            <w:sz w:val="22"/>
            <w:szCs w:val="22"/>
            <w:lang w:eastAsia="en-AU"/>
          </w:rPr>
          <w:tab/>
        </w:r>
        <w:r w:rsidRPr="00013EBB">
          <w:rPr>
            <w:rStyle w:val="Hyperlink"/>
          </w:rPr>
          <w:t>AOS closure</w:t>
        </w:r>
        <w:r>
          <w:rPr>
            <w:webHidden/>
          </w:rPr>
          <w:tab/>
        </w:r>
        <w:r>
          <w:rPr>
            <w:webHidden/>
          </w:rPr>
          <w:fldChar w:fldCharType="begin"/>
        </w:r>
        <w:r>
          <w:rPr>
            <w:webHidden/>
          </w:rPr>
          <w:instrText xml:space="preserve"> PAGEREF _Toc145318594 \h </w:instrText>
        </w:r>
        <w:r>
          <w:rPr>
            <w:webHidden/>
          </w:rPr>
        </w:r>
        <w:r>
          <w:rPr>
            <w:webHidden/>
          </w:rPr>
          <w:fldChar w:fldCharType="separate"/>
        </w:r>
        <w:r w:rsidR="00B83E73">
          <w:rPr>
            <w:webHidden/>
          </w:rPr>
          <w:t>42</w:t>
        </w:r>
        <w:r>
          <w:rPr>
            <w:webHidden/>
          </w:rPr>
          <w:fldChar w:fldCharType="end"/>
        </w:r>
      </w:hyperlink>
    </w:p>
    <w:p w14:paraId="55191EF6" w14:textId="19E59951"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595" w:history="1">
        <w:r w:rsidRPr="00013EBB">
          <w:rPr>
            <w:rStyle w:val="Hyperlink"/>
          </w:rPr>
          <w:t>7.</w:t>
        </w:r>
        <w:r>
          <w:rPr>
            <w:rFonts w:asciiTheme="minorHAnsi" w:eastAsiaTheme="minorEastAsia" w:hAnsiTheme="minorHAnsi" w:cstheme="minorBidi"/>
            <w:b w:val="0"/>
            <w:sz w:val="22"/>
            <w:szCs w:val="22"/>
            <w:lang w:eastAsia="en-AU"/>
          </w:rPr>
          <w:tab/>
        </w:r>
        <w:r w:rsidRPr="00013EBB">
          <w:rPr>
            <w:rStyle w:val="Hyperlink"/>
          </w:rPr>
          <w:t>Multiple and Complex Needs Initiative</w:t>
        </w:r>
        <w:r>
          <w:rPr>
            <w:webHidden/>
          </w:rPr>
          <w:tab/>
        </w:r>
        <w:r>
          <w:rPr>
            <w:webHidden/>
          </w:rPr>
          <w:fldChar w:fldCharType="begin"/>
        </w:r>
        <w:r>
          <w:rPr>
            <w:webHidden/>
          </w:rPr>
          <w:instrText xml:space="preserve"> PAGEREF _Toc145318595 \h </w:instrText>
        </w:r>
        <w:r>
          <w:rPr>
            <w:webHidden/>
          </w:rPr>
        </w:r>
        <w:r>
          <w:rPr>
            <w:webHidden/>
          </w:rPr>
          <w:fldChar w:fldCharType="separate"/>
        </w:r>
        <w:r w:rsidR="00B83E73">
          <w:rPr>
            <w:webHidden/>
          </w:rPr>
          <w:t>44</w:t>
        </w:r>
        <w:r>
          <w:rPr>
            <w:webHidden/>
          </w:rPr>
          <w:fldChar w:fldCharType="end"/>
        </w:r>
      </w:hyperlink>
    </w:p>
    <w:p w14:paraId="3FC5A141" w14:textId="25AB5B1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6" w:history="1">
        <w:r w:rsidRPr="00013EBB">
          <w:rPr>
            <w:rStyle w:val="Hyperlink"/>
          </w:rPr>
          <w:t>7.1</w:t>
        </w:r>
        <w:r>
          <w:rPr>
            <w:rFonts w:asciiTheme="minorHAnsi" w:eastAsiaTheme="minorEastAsia" w:hAnsiTheme="minorHAnsi" w:cstheme="minorBidi"/>
            <w:sz w:val="22"/>
            <w:szCs w:val="22"/>
            <w:lang w:eastAsia="en-AU"/>
          </w:rPr>
          <w:tab/>
        </w:r>
        <w:r w:rsidRPr="00013EBB">
          <w:rPr>
            <w:rStyle w:val="Hyperlink"/>
            <w:iCs/>
          </w:rPr>
          <w:t>Human Services (Complex Needs) Act 2009</w:t>
        </w:r>
        <w:r>
          <w:rPr>
            <w:webHidden/>
          </w:rPr>
          <w:tab/>
        </w:r>
        <w:r>
          <w:rPr>
            <w:webHidden/>
          </w:rPr>
          <w:fldChar w:fldCharType="begin"/>
        </w:r>
        <w:r>
          <w:rPr>
            <w:webHidden/>
          </w:rPr>
          <w:instrText xml:space="preserve"> PAGEREF _Toc145318596 \h </w:instrText>
        </w:r>
        <w:r>
          <w:rPr>
            <w:webHidden/>
          </w:rPr>
        </w:r>
        <w:r>
          <w:rPr>
            <w:webHidden/>
          </w:rPr>
          <w:fldChar w:fldCharType="separate"/>
        </w:r>
        <w:r w:rsidR="00B83E73">
          <w:rPr>
            <w:webHidden/>
          </w:rPr>
          <w:t>44</w:t>
        </w:r>
        <w:r>
          <w:rPr>
            <w:webHidden/>
          </w:rPr>
          <w:fldChar w:fldCharType="end"/>
        </w:r>
      </w:hyperlink>
    </w:p>
    <w:p w14:paraId="1BC804F2" w14:textId="7F987FC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7" w:history="1">
        <w:r w:rsidRPr="00013EBB">
          <w:rPr>
            <w:rStyle w:val="Hyperlink"/>
          </w:rPr>
          <w:t>7.2</w:t>
        </w:r>
        <w:r>
          <w:rPr>
            <w:rFonts w:asciiTheme="minorHAnsi" w:eastAsiaTheme="minorEastAsia" w:hAnsiTheme="minorHAnsi" w:cstheme="minorBidi"/>
            <w:sz w:val="22"/>
            <w:szCs w:val="22"/>
            <w:lang w:eastAsia="en-AU"/>
          </w:rPr>
          <w:tab/>
        </w:r>
        <w:r w:rsidRPr="00013EBB">
          <w:rPr>
            <w:rStyle w:val="Hyperlink"/>
          </w:rPr>
          <w:t>MACNI eligibility criteria</w:t>
        </w:r>
        <w:r>
          <w:rPr>
            <w:webHidden/>
          </w:rPr>
          <w:tab/>
        </w:r>
        <w:r>
          <w:rPr>
            <w:webHidden/>
          </w:rPr>
          <w:fldChar w:fldCharType="begin"/>
        </w:r>
        <w:r>
          <w:rPr>
            <w:webHidden/>
          </w:rPr>
          <w:instrText xml:space="preserve"> PAGEREF _Toc145318597 \h </w:instrText>
        </w:r>
        <w:r>
          <w:rPr>
            <w:webHidden/>
          </w:rPr>
        </w:r>
        <w:r>
          <w:rPr>
            <w:webHidden/>
          </w:rPr>
          <w:fldChar w:fldCharType="separate"/>
        </w:r>
        <w:r w:rsidR="00B83E73">
          <w:rPr>
            <w:webHidden/>
          </w:rPr>
          <w:t>45</w:t>
        </w:r>
        <w:r>
          <w:rPr>
            <w:webHidden/>
          </w:rPr>
          <w:fldChar w:fldCharType="end"/>
        </w:r>
      </w:hyperlink>
    </w:p>
    <w:p w14:paraId="63727295" w14:textId="08E682B4"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8" w:history="1">
        <w:r w:rsidRPr="00013EBB">
          <w:rPr>
            <w:rStyle w:val="Hyperlink"/>
          </w:rPr>
          <w:t>7.3</w:t>
        </w:r>
        <w:r>
          <w:rPr>
            <w:rFonts w:asciiTheme="minorHAnsi" w:eastAsiaTheme="minorEastAsia" w:hAnsiTheme="minorHAnsi" w:cstheme="minorBidi"/>
            <w:sz w:val="22"/>
            <w:szCs w:val="22"/>
            <w:lang w:eastAsia="en-AU"/>
          </w:rPr>
          <w:tab/>
        </w:r>
        <w:r w:rsidRPr="00013EBB">
          <w:rPr>
            <w:rStyle w:val="Hyperlink"/>
          </w:rPr>
          <w:t>Pre-MACNI</w:t>
        </w:r>
        <w:r>
          <w:rPr>
            <w:webHidden/>
          </w:rPr>
          <w:tab/>
        </w:r>
        <w:r>
          <w:rPr>
            <w:webHidden/>
          </w:rPr>
          <w:fldChar w:fldCharType="begin"/>
        </w:r>
        <w:r>
          <w:rPr>
            <w:webHidden/>
          </w:rPr>
          <w:instrText xml:space="preserve"> PAGEREF _Toc145318598 \h </w:instrText>
        </w:r>
        <w:r>
          <w:rPr>
            <w:webHidden/>
          </w:rPr>
        </w:r>
        <w:r>
          <w:rPr>
            <w:webHidden/>
          </w:rPr>
          <w:fldChar w:fldCharType="separate"/>
        </w:r>
        <w:r w:rsidR="00B83E73">
          <w:rPr>
            <w:webHidden/>
          </w:rPr>
          <w:t>46</w:t>
        </w:r>
        <w:r>
          <w:rPr>
            <w:webHidden/>
          </w:rPr>
          <w:fldChar w:fldCharType="end"/>
        </w:r>
      </w:hyperlink>
    </w:p>
    <w:p w14:paraId="38A2A096" w14:textId="03ED91A5" w:rsidR="00D6005C" w:rsidRDefault="00D6005C">
      <w:pPr>
        <w:pStyle w:val="TOC2"/>
        <w:tabs>
          <w:tab w:val="left" w:pos="567"/>
        </w:tabs>
        <w:rPr>
          <w:rFonts w:asciiTheme="minorHAnsi" w:eastAsiaTheme="minorEastAsia" w:hAnsiTheme="minorHAnsi" w:cstheme="minorBidi"/>
          <w:sz w:val="22"/>
          <w:szCs w:val="22"/>
          <w:lang w:eastAsia="en-AU"/>
        </w:rPr>
      </w:pPr>
      <w:hyperlink w:anchor="_Toc145318599" w:history="1">
        <w:r w:rsidRPr="00013EBB">
          <w:rPr>
            <w:rStyle w:val="Hyperlink"/>
          </w:rPr>
          <w:t>7.4</w:t>
        </w:r>
        <w:r>
          <w:rPr>
            <w:rFonts w:asciiTheme="minorHAnsi" w:eastAsiaTheme="minorEastAsia" w:hAnsiTheme="minorHAnsi" w:cstheme="minorBidi"/>
            <w:sz w:val="22"/>
            <w:szCs w:val="22"/>
            <w:lang w:eastAsia="en-AU"/>
          </w:rPr>
          <w:tab/>
        </w:r>
        <w:r w:rsidRPr="00013EBB">
          <w:rPr>
            <w:rStyle w:val="Hyperlink"/>
          </w:rPr>
          <w:t>Formal MACNI services</w:t>
        </w:r>
        <w:r>
          <w:rPr>
            <w:webHidden/>
          </w:rPr>
          <w:tab/>
        </w:r>
        <w:r>
          <w:rPr>
            <w:webHidden/>
          </w:rPr>
          <w:fldChar w:fldCharType="begin"/>
        </w:r>
        <w:r>
          <w:rPr>
            <w:webHidden/>
          </w:rPr>
          <w:instrText xml:space="preserve"> PAGEREF _Toc145318599 \h </w:instrText>
        </w:r>
        <w:r>
          <w:rPr>
            <w:webHidden/>
          </w:rPr>
        </w:r>
        <w:r>
          <w:rPr>
            <w:webHidden/>
          </w:rPr>
          <w:fldChar w:fldCharType="separate"/>
        </w:r>
        <w:r w:rsidR="00B83E73">
          <w:rPr>
            <w:webHidden/>
          </w:rPr>
          <w:t>48</w:t>
        </w:r>
        <w:r>
          <w:rPr>
            <w:webHidden/>
          </w:rPr>
          <w:fldChar w:fldCharType="end"/>
        </w:r>
      </w:hyperlink>
    </w:p>
    <w:p w14:paraId="51F767E4" w14:textId="2EC4E90D"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0" w:history="1">
        <w:r w:rsidRPr="00013EBB">
          <w:rPr>
            <w:rStyle w:val="Hyperlink"/>
          </w:rPr>
          <w:t>7.5</w:t>
        </w:r>
        <w:r>
          <w:rPr>
            <w:rFonts w:asciiTheme="minorHAnsi" w:eastAsiaTheme="minorEastAsia" w:hAnsiTheme="minorHAnsi" w:cstheme="minorBidi"/>
            <w:sz w:val="22"/>
            <w:szCs w:val="22"/>
            <w:lang w:eastAsia="en-AU"/>
          </w:rPr>
          <w:tab/>
        </w:r>
        <w:r w:rsidRPr="00013EBB">
          <w:rPr>
            <w:rStyle w:val="Hyperlink"/>
          </w:rPr>
          <w:t>Care plan development</w:t>
        </w:r>
        <w:r>
          <w:rPr>
            <w:webHidden/>
          </w:rPr>
          <w:tab/>
        </w:r>
        <w:r>
          <w:rPr>
            <w:webHidden/>
          </w:rPr>
          <w:fldChar w:fldCharType="begin"/>
        </w:r>
        <w:r>
          <w:rPr>
            <w:webHidden/>
          </w:rPr>
          <w:instrText xml:space="preserve"> PAGEREF _Toc145318600 \h </w:instrText>
        </w:r>
        <w:r>
          <w:rPr>
            <w:webHidden/>
          </w:rPr>
        </w:r>
        <w:r>
          <w:rPr>
            <w:webHidden/>
          </w:rPr>
          <w:fldChar w:fldCharType="separate"/>
        </w:r>
        <w:r w:rsidR="00B83E73">
          <w:rPr>
            <w:webHidden/>
          </w:rPr>
          <w:t>51</w:t>
        </w:r>
        <w:r>
          <w:rPr>
            <w:webHidden/>
          </w:rPr>
          <w:fldChar w:fldCharType="end"/>
        </w:r>
      </w:hyperlink>
    </w:p>
    <w:p w14:paraId="1B598805" w14:textId="11EBCD2B"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1" w:history="1">
        <w:r w:rsidRPr="00013EBB">
          <w:rPr>
            <w:rStyle w:val="Hyperlink"/>
          </w:rPr>
          <w:t>7.6</w:t>
        </w:r>
        <w:r>
          <w:rPr>
            <w:rFonts w:asciiTheme="minorHAnsi" w:eastAsiaTheme="minorEastAsia" w:hAnsiTheme="minorHAnsi" w:cstheme="minorBidi"/>
            <w:sz w:val="22"/>
            <w:szCs w:val="22"/>
            <w:lang w:eastAsia="en-AU"/>
          </w:rPr>
          <w:tab/>
        </w:r>
        <w:r w:rsidRPr="00013EBB">
          <w:rPr>
            <w:rStyle w:val="Hyperlink"/>
          </w:rPr>
          <w:t>Care plan coordination</w:t>
        </w:r>
        <w:r>
          <w:rPr>
            <w:webHidden/>
          </w:rPr>
          <w:tab/>
        </w:r>
        <w:r>
          <w:rPr>
            <w:webHidden/>
          </w:rPr>
          <w:fldChar w:fldCharType="begin"/>
        </w:r>
        <w:r>
          <w:rPr>
            <w:webHidden/>
          </w:rPr>
          <w:instrText xml:space="preserve"> PAGEREF _Toc145318601 \h </w:instrText>
        </w:r>
        <w:r>
          <w:rPr>
            <w:webHidden/>
          </w:rPr>
        </w:r>
        <w:r>
          <w:rPr>
            <w:webHidden/>
          </w:rPr>
          <w:fldChar w:fldCharType="separate"/>
        </w:r>
        <w:r w:rsidR="00B83E73">
          <w:rPr>
            <w:webHidden/>
          </w:rPr>
          <w:t>54</w:t>
        </w:r>
        <w:r>
          <w:rPr>
            <w:webHidden/>
          </w:rPr>
          <w:fldChar w:fldCharType="end"/>
        </w:r>
      </w:hyperlink>
    </w:p>
    <w:p w14:paraId="54C3FAC3" w14:textId="64E30C8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2" w:history="1">
        <w:r w:rsidRPr="00013EBB">
          <w:rPr>
            <w:rStyle w:val="Hyperlink"/>
          </w:rPr>
          <w:t>7.7</w:t>
        </w:r>
        <w:r>
          <w:rPr>
            <w:rFonts w:asciiTheme="minorHAnsi" w:eastAsiaTheme="minorEastAsia" w:hAnsiTheme="minorHAnsi" w:cstheme="minorBidi"/>
            <w:sz w:val="22"/>
            <w:szCs w:val="22"/>
            <w:lang w:eastAsia="en-AU"/>
          </w:rPr>
          <w:tab/>
        </w:r>
        <w:r w:rsidRPr="00013EBB">
          <w:rPr>
            <w:rStyle w:val="Hyperlink"/>
          </w:rPr>
          <w:t>Care plan review</w:t>
        </w:r>
        <w:r>
          <w:rPr>
            <w:webHidden/>
          </w:rPr>
          <w:tab/>
        </w:r>
        <w:r>
          <w:rPr>
            <w:webHidden/>
          </w:rPr>
          <w:fldChar w:fldCharType="begin"/>
        </w:r>
        <w:r>
          <w:rPr>
            <w:webHidden/>
          </w:rPr>
          <w:instrText xml:space="preserve"> PAGEREF _Toc145318602 \h </w:instrText>
        </w:r>
        <w:r>
          <w:rPr>
            <w:webHidden/>
          </w:rPr>
        </w:r>
        <w:r>
          <w:rPr>
            <w:webHidden/>
          </w:rPr>
          <w:fldChar w:fldCharType="separate"/>
        </w:r>
        <w:r w:rsidR="00B83E73">
          <w:rPr>
            <w:webHidden/>
          </w:rPr>
          <w:t>56</w:t>
        </w:r>
        <w:r>
          <w:rPr>
            <w:webHidden/>
          </w:rPr>
          <w:fldChar w:fldCharType="end"/>
        </w:r>
      </w:hyperlink>
    </w:p>
    <w:p w14:paraId="7D77E799" w14:textId="37AD9A1C"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3" w:history="1">
        <w:r w:rsidRPr="00013EBB">
          <w:rPr>
            <w:rStyle w:val="Hyperlink"/>
          </w:rPr>
          <w:t>7.8</w:t>
        </w:r>
        <w:r>
          <w:rPr>
            <w:rFonts w:asciiTheme="minorHAnsi" w:eastAsiaTheme="minorEastAsia" w:hAnsiTheme="minorHAnsi" w:cstheme="minorBidi"/>
            <w:sz w:val="22"/>
            <w:szCs w:val="22"/>
            <w:lang w:eastAsia="en-AU"/>
          </w:rPr>
          <w:tab/>
        </w:r>
        <w:r w:rsidRPr="00013EBB">
          <w:rPr>
            <w:rStyle w:val="Hyperlink"/>
          </w:rPr>
          <w:t>Care plan progress updates</w:t>
        </w:r>
        <w:r>
          <w:rPr>
            <w:webHidden/>
          </w:rPr>
          <w:tab/>
        </w:r>
        <w:r>
          <w:rPr>
            <w:webHidden/>
          </w:rPr>
          <w:fldChar w:fldCharType="begin"/>
        </w:r>
        <w:r>
          <w:rPr>
            <w:webHidden/>
          </w:rPr>
          <w:instrText xml:space="preserve"> PAGEREF _Toc145318603 \h </w:instrText>
        </w:r>
        <w:r>
          <w:rPr>
            <w:webHidden/>
          </w:rPr>
        </w:r>
        <w:r>
          <w:rPr>
            <w:webHidden/>
          </w:rPr>
          <w:fldChar w:fldCharType="separate"/>
        </w:r>
        <w:r w:rsidR="00B83E73">
          <w:rPr>
            <w:webHidden/>
          </w:rPr>
          <w:t>56</w:t>
        </w:r>
        <w:r>
          <w:rPr>
            <w:webHidden/>
          </w:rPr>
          <w:fldChar w:fldCharType="end"/>
        </w:r>
      </w:hyperlink>
    </w:p>
    <w:p w14:paraId="7BFCD3D6" w14:textId="3C7A33A1"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04" w:history="1">
        <w:r w:rsidRPr="00013EBB">
          <w:rPr>
            <w:rStyle w:val="Hyperlink"/>
          </w:rPr>
          <w:t>7.9</w:t>
        </w:r>
        <w:r>
          <w:rPr>
            <w:rFonts w:asciiTheme="minorHAnsi" w:eastAsiaTheme="minorEastAsia" w:hAnsiTheme="minorHAnsi" w:cstheme="minorBidi"/>
            <w:sz w:val="22"/>
            <w:szCs w:val="22"/>
            <w:lang w:eastAsia="en-AU"/>
          </w:rPr>
          <w:tab/>
        </w:r>
        <w:r w:rsidRPr="00013EBB">
          <w:rPr>
            <w:rStyle w:val="Hyperlink"/>
          </w:rPr>
          <w:t>Suspension of a care plan</w:t>
        </w:r>
        <w:r>
          <w:rPr>
            <w:webHidden/>
          </w:rPr>
          <w:tab/>
        </w:r>
        <w:r>
          <w:rPr>
            <w:webHidden/>
          </w:rPr>
          <w:fldChar w:fldCharType="begin"/>
        </w:r>
        <w:r>
          <w:rPr>
            <w:webHidden/>
          </w:rPr>
          <w:instrText xml:space="preserve"> PAGEREF _Toc145318604 \h </w:instrText>
        </w:r>
        <w:r>
          <w:rPr>
            <w:webHidden/>
          </w:rPr>
        </w:r>
        <w:r>
          <w:rPr>
            <w:webHidden/>
          </w:rPr>
          <w:fldChar w:fldCharType="separate"/>
        </w:r>
        <w:r w:rsidR="00B83E73">
          <w:rPr>
            <w:webHidden/>
          </w:rPr>
          <w:t>57</w:t>
        </w:r>
        <w:r>
          <w:rPr>
            <w:webHidden/>
          </w:rPr>
          <w:fldChar w:fldCharType="end"/>
        </w:r>
      </w:hyperlink>
    </w:p>
    <w:p w14:paraId="2D57B14E" w14:textId="34DB8996"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5" w:history="1">
        <w:r w:rsidRPr="00013EBB">
          <w:rPr>
            <w:rStyle w:val="Hyperlink"/>
          </w:rPr>
          <w:t>7.10</w:t>
        </w:r>
        <w:r>
          <w:rPr>
            <w:rFonts w:asciiTheme="minorHAnsi" w:eastAsiaTheme="minorEastAsia" w:hAnsiTheme="minorHAnsi" w:cstheme="minorBidi"/>
            <w:sz w:val="22"/>
            <w:szCs w:val="22"/>
            <w:lang w:eastAsia="en-AU"/>
          </w:rPr>
          <w:tab/>
        </w:r>
        <w:r w:rsidRPr="00013EBB">
          <w:rPr>
            <w:rStyle w:val="Hyperlink"/>
          </w:rPr>
          <w:t>Transition and exit planning</w:t>
        </w:r>
        <w:r>
          <w:rPr>
            <w:webHidden/>
          </w:rPr>
          <w:tab/>
        </w:r>
        <w:r>
          <w:rPr>
            <w:webHidden/>
          </w:rPr>
          <w:fldChar w:fldCharType="begin"/>
        </w:r>
        <w:r>
          <w:rPr>
            <w:webHidden/>
          </w:rPr>
          <w:instrText xml:space="preserve"> PAGEREF _Toc145318605 \h </w:instrText>
        </w:r>
        <w:r>
          <w:rPr>
            <w:webHidden/>
          </w:rPr>
        </w:r>
        <w:r>
          <w:rPr>
            <w:webHidden/>
          </w:rPr>
          <w:fldChar w:fldCharType="separate"/>
        </w:r>
        <w:r w:rsidR="00B83E73">
          <w:rPr>
            <w:webHidden/>
          </w:rPr>
          <w:t>58</w:t>
        </w:r>
        <w:r>
          <w:rPr>
            <w:webHidden/>
          </w:rPr>
          <w:fldChar w:fldCharType="end"/>
        </w:r>
      </w:hyperlink>
    </w:p>
    <w:p w14:paraId="1839BADB" w14:textId="7ED9BB5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6" w:history="1">
        <w:r w:rsidRPr="00013EBB">
          <w:rPr>
            <w:rStyle w:val="Hyperlink"/>
          </w:rPr>
          <w:t>7.11</w:t>
        </w:r>
        <w:r>
          <w:rPr>
            <w:rFonts w:asciiTheme="minorHAnsi" w:eastAsiaTheme="minorEastAsia" w:hAnsiTheme="minorHAnsi" w:cstheme="minorBidi"/>
            <w:sz w:val="22"/>
            <w:szCs w:val="22"/>
            <w:lang w:eastAsia="en-AU"/>
          </w:rPr>
          <w:tab/>
        </w:r>
        <w:r w:rsidRPr="00013EBB">
          <w:rPr>
            <w:rStyle w:val="Hyperlink"/>
          </w:rPr>
          <w:t>Care plan closure</w:t>
        </w:r>
        <w:r>
          <w:rPr>
            <w:webHidden/>
          </w:rPr>
          <w:tab/>
        </w:r>
        <w:r>
          <w:rPr>
            <w:webHidden/>
          </w:rPr>
          <w:fldChar w:fldCharType="begin"/>
        </w:r>
        <w:r>
          <w:rPr>
            <w:webHidden/>
          </w:rPr>
          <w:instrText xml:space="preserve"> PAGEREF _Toc145318606 \h </w:instrText>
        </w:r>
        <w:r>
          <w:rPr>
            <w:webHidden/>
          </w:rPr>
        </w:r>
        <w:r>
          <w:rPr>
            <w:webHidden/>
          </w:rPr>
          <w:fldChar w:fldCharType="separate"/>
        </w:r>
        <w:r w:rsidR="00B83E73">
          <w:rPr>
            <w:webHidden/>
          </w:rPr>
          <w:t>59</w:t>
        </w:r>
        <w:r>
          <w:rPr>
            <w:webHidden/>
          </w:rPr>
          <w:fldChar w:fldCharType="end"/>
        </w:r>
      </w:hyperlink>
    </w:p>
    <w:p w14:paraId="79C21BE7" w14:textId="324F7D07"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7" w:history="1">
        <w:r w:rsidRPr="00013EBB">
          <w:rPr>
            <w:rStyle w:val="Hyperlink"/>
          </w:rPr>
          <w:t>7.12</w:t>
        </w:r>
        <w:r>
          <w:rPr>
            <w:rFonts w:asciiTheme="minorHAnsi" w:eastAsiaTheme="minorEastAsia" w:hAnsiTheme="minorHAnsi" w:cstheme="minorBidi"/>
            <w:sz w:val="22"/>
            <w:szCs w:val="22"/>
            <w:lang w:eastAsia="en-AU"/>
          </w:rPr>
          <w:tab/>
        </w:r>
        <w:r w:rsidRPr="00013EBB">
          <w:rPr>
            <w:rStyle w:val="Hyperlink"/>
          </w:rPr>
          <w:t>Appeal of MACNI service decisions</w:t>
        </w:r>
        <w:r>
          <w:rPr>
            <w:webHidden/>
          </w:rPr>
          <w:tab/>
        </w:r>
        <w:r>
          <w:rPr>
            <w:webHidden/>
          </w:rPr>
          <w:fldChar w:fldCharType="begin"/>
        </w:r>
        <w:r>
          <w:rPr>
            <w:webHidden/>
          </w:rPr>
          <w:instrText xml:space="preserve"> PAGEREF _Toc145318607 \h </w:instrText>
        </w:r>
        <w:r>
          <w:rPr>
            <w:webHidden/>
          </w:rPr>
        </w:r>
        <w:r>
          <w:rPr>
            <w:webHidden/>
          </w:rPr>
          <w:fldChar w:fldCharType="separate"/>
        </w:r>
        <w:r w:rsidR="00B83E73">
          <w:rPr>
            <w:webHidden/>
          </w:rPr>
          <w:t>60</w:t>
        </w:r>
        <w:r>
          <w:rPr>
            <w:webHidden/>
          </w:rPr>
          <w:fldChar w:fldCharType="end"/>
        </w:r>
      </w:hyperlink>
    </w:p>
    <w:p w14:paraId="26B55D89" w14:textId="704C3ECD"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8" w:history="1">
        <w:r w:rsidRPr="00013EBB">
          <w:rPr>
            <w:rStyle w:val="Hyperlink"/>
          </w:rPr>
          <w:t>7.13</w:t>
        </w:r>
        <w:r>
          <w:rPr>
            <w:rFonts w:asciiTheme="minorHAnsi" w:eastAsiaTheme="minorEastAsia" w:hAnsiTheme="minorHAnsi" w:cstheme="minorBidi"/>
            <w:sz w:val="22"/>
            <w:szCs w:val="22"/>
            <w:lang w:eastAsia="en-AU"/>
          </w:rPr>
          <w:tab/>
        </w:r>
        <w:r w:rsidRPr="00013EBB">
          <w:rPr>
            <w:rStyle w:val="Hyperlink"/>
          </w:rPr>
          <w:t>Post-MACNI support</w:t>
        </w:r>
        <w:r>
          <w:rPr>
            <w:webHidden/>
          </w:rPr>
          <w:tab/>
        </w:r>
        <w:r>
          <w:rPr>
            <w:webHidden/>
          </w:rPr>
          <w:fldChar w:fldCharType="begin"/>
        </w:r>
        <w:r>
          <w:rPr>
            <w:webHidden/>
          </w:rPr>
          <w:instrText xml:space="preserve"> PAGEREF _Toc145318608 \h </w:instrText>
        </w:r>
        <w:r>
          <w:rPr>
            <w:webHidden/>
          </w:rPr>
        </w:r>
        <w:r>
          <w:rPr>
            <w:webHidden/>
          </w:rPr>
          <w:fldChar w:fldCharType="separate"/>
        </w:r>
        <w:r w:rsidR="00B83E73">
          <w:rPr>
            <w:webHidden/>
          </w:rPr>
          <w:t>61</w:t>
        </w:r>
        <w:r>
          <w:rPr>
            <w:webHidden/>
          </w:rPr>
          <w:fldChar w:fldCharType="end"/>
        </w:r>
      </w:hyperlink>
    </w:p>
    <w:p w14:paraId="16D22AE9" w14:textId="2ED3066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09" w:history="1">
        <w:r w:rsidRPr="00013EBB">
          <w:rPr>
            <w:rStyle w:val="Hyperlink"/>
          </w:rPr>
          <w:t>7.14</w:t>
        </w:r>
        <w:r>
          <w:rPr>
            <w:rFonts w:asciiTheme="minorHAnsi" w:eastAsiaTheme="minorEastAsia" w:hAnsiTheme="minorHAnsi" w:cstheme="minorBidi"/>
            <w:sz w:val="22"/>
            <w:szCs w:val="22"/>
            <w:lang w:eastAsia="en-AU"/>
          </w:rPr>
          <w:tab/>
        </w:r>
        <w:r w:rsidRPr="00013EBB">
          <w:rPr>
            <w:rStyle w:val="Hyperlink"/>
          </w:rPr>
          <w:t>MACNI booklets</w:t>
        </w:r>
        <w:r>
          <w:rPr>
            <w:webHidden/>
          </w:rPr>
          <w:tab/>
        </w:r>
        <w:r>
          <w:rPr>
            <w:webHidden/>
          </w:rPr>
          <w:fldChar w:fldCharType="begin"/>
        </w:r>
        <w:r>
          <w:rPr>
            <w:webHidden/>
          </w:rPr>
          <w:instrText xml:space="preserve"> PAGEREF _Toc145318609 \h </w:instrText>
        </w:r>
        <w:r>
          <w:rPr>
            <w:webHidden/>
          </w:rPr>
        </w:r>
        <w:r>
          <w:rPr>
            <w:webHidden/>
          </w:rPr>
          <w:fldChar w:fldCharType="separate"/>
        </w:r>
        <w:r w:rsidR="00B83E73">
          <w:rPr>
            <w:webHidden/>
          </w:rPr>
          <w:t>61</w:t>
        </w:r>
        <w:r>
          <w:rPr>
            <w:webHidden/>
          </w:rPr>
          <w:fldChar w:fldCharType="end"/>
        </w:r>
      </w:hyperlink>
    </w:p>
    <w:p w14:paraId="17C4F3D4" w14:textId="3430A408"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10" w:history="1">
        <w:r w:rsidRPr="00013EBB">
          <w:rPr>
            <w:rStyle w:val="Hyperlink"/>
          </w:rPr>
          <w:t>8.</w:t>
        </w:r>
        <w:r>
          <w:rPr>
            <w:rFonts w:asciiTheme="minorHAnsi" w:eastAsiaTheme="minorEastAsia" w:hAnsiTheme="minorHAnsi" w:cstheme="minorBidi"/>
            <w:b w:val="0"/>
            <w:sz w:val="22"/>
            <w:szCs w:val="22"/>
            <w:lang w:eastAsia="en-AU"/>
          </w:rPr>
          <w:tab/>
        </w:r>
        <w:r w:rsidRPr="00013EBB">
          <w:rPr>
            <w:rStyle w:val="Hyperlink"/>
          </w:rPr>
          <w:t>Brokerage</w:t>
        </w:r>
        <w:r>
          <w:rPr>
            <w:webHidden/>
          </w:rPr>
          <w:tab/>
        </w:r>
        <w:r>
          <w:rPr>
            <w:webHidden/>
          </w:rPr>
          <w:fldChar w:fldCharType="begin"/>
        </w:r>
        <w:r>
          <w:rPr>
            <w:webHidden/>
          </w:rPr>
          <w:instrText xml:space="preserve"> PAGEREF _Toc145318610 \h </w:instrText>
        </w:r>
        <w:r>
          <w:rPr>
            <w:webHidden/>
          </w:rPr>
        </w:r>
        <w:r>
          <w:rPr>
            <w:webHidden/>
          </w:rPr>
          <w:fldChar w:fldCharType="separate"/>
        </w:r>
        <w:r w:rsidR="00B83E73">
          <w:rPr>
            <w:webHidden/>
          </w:rPr>
          <w:t>62</w:t>
        </w:r>
        <w:r>
          <w:rPr>
            <w:webHidden/>
          </w:rPr>
          <w:fldChar w:fldCharType="end"/>
        </w:r>
      </w:hyperlink>
    </w:p>
    <w:p w14:paraId="79CAD4EB" w14:textId="43E915B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1" w:history="1">
        <w:r w:rsidRPr="00013EBB">
          <w:rPr>
            <w:rStyle w:val="Hyperlink"/>
          </w:rPr>
          <w:t>8.1</w:t>
        </w:r>
        <w:r>
          <w:rPr>
            <w:rFonts w:asciiTheme="minorHAnsi" w:eastAsiaTheme="minorEastAsia" w:hAnsiTheme="minorHAnsi" w:cstheme="minorBidi"/>
            <w:sz w:val="22"/>
            <w:szCs w:val="22"/>
            <w:lang w:eastAsia="en-AU"/>
          </w:rPr>
          <w:tab/>
        </w:r>
        <w:r w:rsidRPr="00013EBB">
          <w:rPr>
            <w:rStyle w:val="Hyperlink"/>
          </w:rPr>
          <w:t>Summary brokerage responsibilities</w:t>
        </w:r>
        <w:r>
          <w:rPr>
            <w:webHidden/>
          </w:rPr>
          <w:tab/>
        </w:r>
        <w:r>
          <w:rPr>
            <w:webHidden/>
          </w:rPr>
          <w:fldChar w:fldCharType="begin"/>
        </w:r>
        <w:r>
          <w:rPr>
            <w:webHidden/>
          </w:rPr>
          <w:instrText xml:space="preserve"> PAGEREF _Toc145318611 \h </w:instrText>
        </w:r>
        <w:r>
          <w:rPr>
            <w:webHidden/>
          </w:rPr>
        </w:r>
        <w:r>
          <w:rPr>
            <w:webHidden/>
          </w:rPr>
          <w:fldChar w:fldCharType="separate"/>
        </w:r>
        <w:r w:rsidR="00B83E73">
          <w:rPr>
            <w:webHidden/>
          </w:rPr>
          <w:t>62</w:t>
        </w:r>
        <w:r>
          <w:rPr>
            <w:webHidden/>
          </w:rPr>
          <w:fldChar w:fldCharType="end"/>
        </w:r>
      </w:hyperlink>
    </w:p>
    <w:p w14:paraId="75573175" w14:textId="03CC500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2" w:history="1">
        <w:r w:rsidRPr="00013EBB">
          <w:rPr>
            <w:rStyle w:val="Hyperlink"/>
          </w:rPr>
          <w:t>8.2</w:t>
        </w:r>
        <w:r>
          <w:rPr>
            <w:rFonts w:asciiTheme="minorHAnsi" w:eastAsiaTheme="minorEastAsia" w:hAnsiTheme="minorHAnsi" w:cstheme="minorBidi"/>
            <w:sz w:val="22"/>
            <w:szCs w:val="22"/>
            <w:lang w:eastAsia="en-AU"/>
          </w:rPr>
          <w:tab/>
        </w:r>
        <w:r w:rsidRPr="00013EBB">
          <w:rPr>
            <w:rStyle w:val="Hyperlink"/>
          </w:rPr>
          <w:t>AOS pilot program brokerage</w:t>
        </w:r>
        <w:r>
          <w:rPr>
            <w:webHidden/>
          </w:rPr>
          <w:tab/>
        </w:r>
        <w:r>
          <w:rPr>
            <w:webHidden/>
          </w:rPr>
          <w:fldChar w:fldCharType="begin"/>
        </w:r>
        <w:r>
          <w:rPr>
            <w:webHidden/>
          </w:rPr>
          <w:instrText xml:space="preserve"> PAGEREF _Toc145318612 \h </w:instrText>
        </w:r>
        <w:r>
          <w:rPr>
            <w:webHidden/>
          </w:rPr>
        </w:r>
        <w:r>
          <w:rPr>
            <w:webHidden/>
          </w:rPr>
          <w:fldChar w:fldCharType="separate"/>
        </w:r>
        <w:r w:rsidR="00B83E73">
          <w:rPr>
            <w:webHidden/>
          </w:rPr>
          <w:t>64</w:t>
        </w:r>
        <w:r>
          <w:rPr>
            <w:webHidden/>
          </w:rPr>
          <w:fldChar w:fldCharType="end"/>
        </w:r>
      </w:hyperlink>
    </w:p>
    <w:p w14:paraId="2D113989" w14:textId="072AA133"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3" w:history="1">
        <w:r w:rsidRPr="00013EBB">
          <w:rPr>
            <w:rStyle w:val="Hyperlink"/>
          </w:rPr>
          <w:t>8.3</w:t>
        </w:r>
        <w:r>
          <w:rPr>
            <w:rFonts w:asciiTheme="minorHAnsi" w:eastAsiaTheme="minorEastAsia" w:hAnsiTheme="minorHAnsi" w:cstheme="minorBidi"/>
            <w:sz w:val="22"/>
            <w:szCs w:val="22"/>
            <w:lang w:eastAsia="en-AU"/>
          </w:rPr>
          <w:tab/>
        </w:r>
        <w:r w:rsidRPr="00013EBB">
          <w:rPr>
            <w:rStyle w:val="Hyperlink"/>
          </w:rPr>
          <w:t>Complex Needs brokerage - general</w:t>
        </w:r>
        <w:r>
          <w:rPr>
            <w:webHidden/>
          </w:rPr>
          <w:tab/>
        </w:r>
        <w:r>
          <w:rPr>
            <w:webHidden/>
          </w:rPr>
          <w:fldChar w:fldCharType="begin"/>
        </w:r>
        <w:r>
          <w:rPr>
            <w:webHidden/>
          </w:rPr>
          <w:instrText xml:space="preserve"> PAGEREF _Toc145318613 \h </w:instrText>
        </w:r>
        <w:r>
          <w:rPr>
            <w:webHidden/>
          </w:rPr>
        </w:r>
        <w:r>
          <w:rPr>
            <w:webHidden/>
          </w:rPr>
          <w:fldChar w:fldCharType="separate"/>
        </w:r>
        <w:r w:rsidR="00B83E73">
          <w:rPr>
            <w:webHidden/>
          </w:rPr>
          <w:t>65</w:t>
        </w:r>
        <w:r>
          <w:rPr>
            <w:webHidden/>
          </w:rPr>
          <w:fldChar w:fldCharType="end"/>
        </w:r>
      </w:hyperlink>
    </w:p>
    <w:p w14:paraId="08D90322" w14:textId="3148FCD8"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4" w:history="1">
        <w:r w:rsidRPr="00013EBB">
          <w:rPr>
            <w:rStyle w:val="Hyperlink"/>
          </w:rPr>
          <w:t>8.4</w:t>
        </w:r>
        <w:r>
          <w:rPr>
            <w:rFonts w:asciiTheme="minorHAnsi" w:eastAsiaTheme="minorEastAsia" w:hAnsiTheme="minorHAnsi" w:cstheme="minorBidi"/>
            <w:sz w:val="22"/>
            <w:szCs w:val="22"/>
            <w:lang w:eastAsia="en-AU"/>
          </w:rPr>
          <w:tab/>
        </w:r>
        <w:r w:rsidRPr="00013EBB">
          <w:rPr>
            <w:rStyle w:val="Hyperlink"/>
            <w:rFonts w:eastAsia="MS Gothic"/>
            <w:bCs/>
          </w:rPr>
          <w:t>Brokerage use by each complex needs response</w:t>
        </w:r>
        <w:r>
          <w:rPr>
            <w:webHidden/>
          </w:rPr>
          <w:tab/>
        </w:r>
        <w:r>
          <w:rPr>
            <w:webHidden/>
          </w:rPr>
          <w:fldChar w:fldCharType="begin"/>
        </w:r>
        <w:r>
          <w:rPr>
            <w:webHidden/>
          </w:rPr>
          <w:instrText xml:space="preserve"> PAGEREF _Toc145318614 \h </w:instrText>
        </w:r>
        <w:r>
          <w:rPr>
            <w:webHidden/>
          </w:rPr>
        </w:r>
        <w:r>
          <w:rPr>
            <w:webHidden/>
          </w:rPr>
          <w:fldChar w:fldCharType="separate"/>
        </w:r>
        <w:r w:rsidR="00B83E73">
          <w:rPr>
            <w:webHidden/>
          </w:rPr>
          <w:t>66</w:t>
        </w:r>
        <w:r>
          <w:rPr>
            <w:webHidden/>
          </w:rPr>
          <w:fldChar w:fldCharType="end"/>
        </w:r>
      </w:hyperlink>
    </w:p>
    <w:p w14:paraId="0859D1F9" w14:textId="46B778D3"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5" w:history="1">
        <w:r w:rsidRPr="00013EBB">
          <w:rPr>
            <w:rStyle w:val="Hyperlink"/>
          </w:rPr>
          <w:t>8.5</w:t>
        </w:r>
        <w:r>
          <w:rPr>
            <w:rFonts w:asciiTheme="minorHAnsi" w:eastAsiaTheme="minorEastAsia" w:hAnsiTheme="minorHAnsi" w:cstheme="minorBidi"/>
            <w:sz w:val="22"/>
            <w:szCs w:val="22"/>
            <w:lang w:eastAsia="en-AU"/>
          </w:rPr>
          <w:tab/>
        </w:r>
        <w:r w:rsidRPr="00013EBB">
          <w:rPr>
            <w:rStyle w:val="Hyperlink"/>
          </w:rPr>
          <w:t>Formal MACNI capacity building schedule</w:t>
        </w:r>
        <w:r>
          <w:rPr>
            <w:webHidden/>
          </w:rPr>
          <w:tab/>
        </w:r>
        <w:r>
          <w:rPr>
            <w:webHidden/>
          </w:rPr>
          <w:fldChar w:fldCharType="begin"/>
        </w:r>
        <w:r>
          <w:rPr>
            <w:webHidden/>
          </w:rPr>
          <w:instrText xml:space="preserve"> PAGEREF _Toc145318615 \h </w:instrText>
        </w:r>
        <w:r>
          <w:rPr>
            <w:webHidden/>
          </w:rPr>
        </w:r>
        <w:r>
          <w:rPr>
            <w:webHidden/>
          </w:rPr>
          <w:fldChar w:fldCharType="separate"/>
        </w:r>
        <w:r w:rsidR="00B83E73">
          <w:rPr>
            <w:webHidden/>
          </w:rPr>
          <w:t>72</w:t>
        </w:r>
        <w:r>
          <w:rPr>
            <w:webHidden/>
          </w:rPr>
          <w:fldChar w:fldCharType="end"/>
        </w:r>
      </w:hyperlink>
    </w:p>
    <w:p w14:paraId="78D8EDC8" w14:textId="138EDC8A"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6" w:history="1">
        <w:r w:rsidRPr="00013EBB">
          <w:rPr>
            <w:rStyle w:val="Hyperlink"/>
            <w:rFonts w:eastAsia="MS Gothic"/>
          </w:rPr>
          <w:t>8.6</w:t>
        </w:r>
        <w:r>
          <w:rPr>
            <w:rFonts w:asciiTheme="minorHAnsi" w:eastAsiaTheme="minorEastAsia" w:hAnsiTheme="minorHAnsi" w:cstheme="minorBidi"/>
            <w:sz w:val="22"/>
            <w:szCs w:val="22"/>
            <w:lang w:eastAsia="en-AU"/>
          </w:rPr>
          <w:tab/>
        </w:r>
        <w:r w:rsidRPr="00013EBB">
          <w:rPr>
            <w:rStyle w:val="Hyperlink"/>
            <w:rFonts w:eastAsia="MS Gothic"/>
          </w:rPr>
          <w:t>Divisional and area allocation and oversight</w:t>
        </w:r>
        <w:r>
          <w:rPr>
            <w:webHidden/>
          </w:rPr>
          <w:tab/>
        </w:r>
        <w:r>
          <w:rPr>
            <w:webHidden/>
          </w:rPr>
          <w:fldChar w:fldCharType="begin"/>
        </w:r>
        <w:r>
          <w:rPr>
            <w:webHidden/>
          </w:rPr>
          <w:instrText xml:space="preserve"> PAGEREF _Toc145318616 \h </w:instrText>
        </w:r>
        <w:r>
          <w:rPr>
            <w:webHidden/>
          </w:rPr>
        </w:r>
        <w:r>
          <w:rPr>
            <w:webHidden/>
          </w:rPr>
          <w:fldChar w:fldCharType="separate"/>
        </w:r>
        <w:r w:rsidR="00B83E73">
          <w:rPr>
            <w:webHidden/>
          </w:rPr>
          <w:t>74</w:t>
        </w:r>
        <w:r>
          <w:rPr>
            <w:webHidden/>
          </w:rPr>
          <w:fldChar w:fldCharType="end"/>
        </w:r>
      </w:hyperlink>
    </w:p>
    <w:p w14:paraId="352717EE" w14:textId="614436B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7" w:history="1">
        <w:r w:rsidRPr="00013EBB">
          <w:rPr>
            <w:rStyle w:val="Hyperlink"/>
          </w:rPr>
          <w:t>8.7</w:t>
        </w:r>
        <w:r>
          <w:rPr>
            <w:rFonts w:asciiTheme="minorHAnsi" w:eastAsiaTheme="minorEastAsia" w:hAnsiTheme="minorHAnsi" w:cstheme="minorBidi"/>
            <w:sz w:val="22"/>
            <w:szCs w:val="22"/>
            <w:lang w:eastAsia="en-AU"/>
          </w:rPr>
          <w:tab/>
        </w:r>
        <w:r w:rsidRPr="00013EBB">
          <w:rPr>
            <w:rStyle w:val="Hyperlink"/>
          </w:rPr>
          <w:t>Service agreements</w:t>
        </w:r>
        <w:r>
          <w:rPr>
            <w:webHidden/>
          </w:rPr>
          <w:tab/>
        </w:r>
        <w:r>
          <w:rPr>
            <w:webHidden/>
          </w:rPr>
          <w:fldChar w:fldCharType="begin"/>
        </w:r>
        <w:r>
          <w:rPr>
            <w:webHidden/>
          </w:rPr>
          <w:instrText xml:space="preserve"> PAGEREF _Toc145318617 \h </w:instrText>
        </w:r>
        <w:r>
          <w:rPr>
            <w:webHidden/>
          </w:rPr>
        </w:r>
        <w:r>
          <w:rPr>
            <w:webHidden/>
          </w:rPr>
          <w:fldChar w:fldCharType="separate"/>
        </w:r>
        <w:r w:rsidR="00B83E73">
          <w:rPr>
            <w:webHidden/>
          </w:rPr>
          <w:t>74</w:t>
        </w:r>
        <w:r>
          <w:rPr>
            <w:webHidden/>
          </w:rPr>
          <w:fldChar w:fldCharType="end"/>
        </w:r>
      </w:hyperlink>
    </w:p>
    <w:p w14:paraId="37CDCC1F" w14:textId="05940DCF"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8" w:history="1">
        <w:r w:rsidRPr="00013EBB">
          <w:rPr>
            <w:rStyle w:val="Hyperlink"/>
          </w:rPr>
          <w:t>8.8</w:t>
        </w:r>
        <w:r>
          <w:rPr>
            <w:rFonts w:asciiTheme="minorHAnsi" w:eastAsiaTheme="minorEastAsia" w:hAnsiTheme="minorHAnsi" w:cstheme="minorBidi"/>
            <w:sz w:val="22"/>
            <w:szCs w:val="22"/>
            <w:lang w:eastAsia="en-AU"/>
          </w:rPr>
          <w:tab/>
        </w:r>
        <w:r w:rsidRPr="00013EBB">
          <w:rPr>
            <w:rStyle w:val="Hyperlink"/>
          </w:rPr>
          <w:t>Brokerage agreements</w:t>
        </w:r>
        <w:r>
          <w:rPr>
            <w:webHidden/>
          </w:rPr>
          <w:tab/>
        </w:r>
        <w:r>
          <w:rPr>
            <w:webHidden/>
          </w:rPr>
          <w:fldChar w:fldCharType="begin"/>
        </w:r>
        <w:r>
          <w:rPr>
            <w:webHidden/>
          </w:rPr>
          <w:instrText xml:space="preserve"> PAGEREF _Toc145318618 \h </w:instrText>
        </w:r>
        <w:r>
          <w:rPr>
            <w:webHidden/>
          </w:rPr>
        </w:r>
        <w:r>
          <w:rPr>
            <w:webHidden/>
          </w:rPr>
          <w:fldChar w:fldCharType="separate"/>
        </w:r>
        <w:r w:rsidR="00B83E73">
          <w:rPr>
            <w:webHidden/>
          </w:rPr>
          <w:t>75</w:t>
        </w:r>
        <w:r>
          <w:rPr>
            <w:webHidden/>
          </w:rPr>
          <w:fldChar w:fldCharType="end"/>
        </w:r>
      </w:hyperlink>
    </w:p>
    <w:p w14:paraId="6D1C7FC0" w14:textId="57865EA9"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19" w:history="1">
        <w:r w:rsidRPr="00013EBB">
          <w:rPr>
            <w:rStyle w:val="Hyperlink"/>
          </w:rPr>
          <w:t>8.9</w:t>
        </w:r>
        <w:r>
          <w:rPr>
            <w:rFonts w:asciiTheme="minorHAnsi" w:eastAsiaTheme="minorEastAsia" w:hAnsiTheme="minorHAnsi" w:cstheme="minorBidi"/>
            <w:sz w:val="22"/>
            <w:szCs w:val="22"/>
            <w:lang w:eastAsia="en-AU"/>
          </w:rPr>
          <w:tab/>
        </w:r>
        <w:r w:rsidRPr="00013EBB">
          <w:rPr>
            <w:rStyle w:val="Hyperlink"/>
          </w:rPr>
          <w:t>Provider reimbursement</w:t>
        </w:r>
        <w:r>
          <w:rPr>
            <w:webHidden/>
          </w:rPr>
          <w:tab/>
        </w:r>
        <w:r>
          <w:rPr>
            <w:webHidden/>
          </w:rPr>
          <w:fldChar w:fldCharType="begin"/>
        </w:r>
        <w:r>
          <w:rPr>
            <w:webHidden/>
          </w:rPr>
          <w:instrText xml:space="preserve"> PAGEREF _Toc145318619 \h </w:instrText>
        </w:r>
        <w:r>
          <w:rPr>
            <w:webHidden/>
          </w:rPr>
        </w:r>
        <w:r>
          <w:rPr>
            <w:webHidden/>
          </w:rPr>
          <w:fldChar w:fldCharType="separate"/>
        </w:r>
        <w:r w:rsidR="00B83E73">
          <w:rPr>
            <w:webHidden/>
          </w:rPr>
          <w:t>77</w:t>
        </w:r>
        <w:r>
          <w:rPr>
            <w:webHidden/>
          </w:rPr>
          <w:fldChar w:fldCharType="end"/>
        </w:r>
      </w:hyperlink>
    </w:p>
    <w:p w14:paraId="795DD551" w14:textId="2FE13DF9"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0" w:history="1">
        <w:r w:rsidRPr="00013EBB">
          <w:rPr>
            <w:rStyle w:val="Hyperlink"/>
          </w:rPr>
          <w:t>8.10</w:t>
        </w:r>
        <w:r>
          <w:rPr>
            <w:rFonts w:asciiTheme="minorHAnsi" w:eastAsiaTheme="minorEastAsia" w:hAnsiTheme="minorHAnsi" w:cstheme="minorBidi"/>
            <w:sz w:val="22"/>
            <w:szCs w:val="22"/>
            <w:lang w:eastAsia="en-AU"/>
          </w:rPr>
          <w:tab/>
        </w:r>
        <w:r w:rsidRPr="00013EBB">
          <w:rPr>
            <w:rStyle w:val="Hyperlink"/>
          </w:rPr>
          <w:t>Procurement and probity</w:t>
        </w:r>
        <w:r>
          <w:rPr>
            <w:webHidden/>
          </w:rPr>
          <w:tab/>
        </w:r>
        <w:r>
          <w:rPr>
            <w:webHidden/>
          </w:rPr>
          <w:fldChar w:fldCharType="begin"/>
        </w:r>
        <w:r>
          <w:rPr>
            <w:webHidden/>
          </w:rPr>
          <w:instrText xml:space="preserve"> PAGEREF _Toc145318620 \h </w:instrText>
        </w:r>
        <w:r>
          <w:rPr>
            <w:webHidden/>
          </w:rPr>
        </w:r>
        <w:r>
          <w:rPr>
            <w:webHidden/>
          </w:rPr>
          <w:fldChar w:fldCharType="separate"/>
        </w:r>
        <w:r w:rsidR="00B83E73">
          <w:rPr>
            <w:webHidden/>
          </w:rPr>
          <w:t>77</w:t>
        </w:r>
        <w:r>
          <w:rPr>
            <w:webHidden/>
          </w:rPr>
          <w:fldChar w:fldCharType="end"/>
        </w:r>
      </w:hyperlink>
    </w:p>
    <w:p w14:paraId="1FCD8C46" w14:textId="4EF19003"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1" w:history="1">
        <w:r w:rsidRPr="00013EBB">
          <w:rPr>
            <w:rStyle w:val="Hyperlink"/>
          </w:rPr>
          <w:t>8.11</w:t>
        </w:r>
        <w:r>
          <w:rPr>
            <w:rFonts w:asciiTheme="minorHAnsi" w:eastAsiaTheme="minorEastAsia" w:hAnsiTheme="minorHAnsi" w:cstheme="minorBidi"/>
            <w:sz w:val="22"/>
            <w:szCs w:val="22"/>
            <w:lang w:eastAsia="en-AU"/>
          </w:rPr>
          <w:tab/>
        </w:r>
        <w:r w:rsidRPr="00013EBB">
          <w:rPr>
            <w:rStyle w:val="Hyperlink"/>
          </w:rPr>
          <w:t>Goods and Services Tax</w:t>
        </w:r>
        <w:r>
          <w:rPr>
            <w:webHidden/>
          </w:rPr>
          <w:tab/>
        </w:r>
        <w:r>
          <w:rPr>
            <w:webHidden/>
          </w:rPr>
          <w:fldChar w:fldCharType="begin"/>
        </w:r>
        <w:r>
          <w:rPr>
            <w:webHidden/>
          </w:rPr>
          <w:instrText xml:space="preserve"> PAGEREF _Toc145318621 \h </w:instrText>
        </w:r>
        <w:r>
          <w:rPr>
            <w:webHidden/>
          </w:rPr>
        </w:r>
        <w:r>
          <w:rPr>
            <w:webHidden/>
          </w:rPr>
          <w:fldChar w:fldCharType="separate"/>
        </w:r>
        <w:r w:rsidR="00B83E73">
          <w:rPr>
            <w:webHidden/>
          </w:rPr>
          <w:t>77</w:t>
        </w:r>
        <w:r>
          <w:rPr>
            <w:webHidden/>
          </w:rPr>
          <w:fldChar w:fldCharType="end"/>
        </w:r>
      </w:hyperlink>
    </w:p>
    <w:p w14:paraId="2B8B190C" w14:textId="2B0DAAB9"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2" w:history="1">
        <w:r w:rsidRPr="00013EBB">
          <w:rPr>
            <w:rStyle w:val="Hyperlink"/>
            <w:rFonts w:eastAsia="Arial" w:cs="Arial"/>
          </w:rPr>
          <w:t>8.12</w:t>
        </w:r>
        <w:r>
          <w:rPr>
            <w:rFonts w:asciiTheme="minorHAnsi" w:eastAsiaTheme="minorEastAsia" w:hAnsiTheme="minorHAnsi" w:cstheme="minorBidi"/>
            <w:sz w:val="22"/>
            <w:szCs w:val="22"/>
            <w:lang w:eastAsia="en-AU"/>
          </w:rPr>
          <w:tab/>
        </w:r>
        <w:r w:rsidRPr="00013EBB">
          <w:rPr>
            <w:rStyle w:val="Hyperlink"/>
          </w:rPr>
          <w:t>Transfer of brokerage with clients across areas</w:t>
        </w:r>
        <w:r>
          <w:rPr>
            <w:webHidden/>
          </w:rPr>
          <w:tab/>
        </w:r>
        <w:r>
          <w:rPr>
            <w:webHidden/>
          </w:rPr>
          <w:fldChar w:fldCharType="begin"/>
        </w:r>
        <w:r>
          <w:rPr>
            <w:webHidden/>
          </w:rPr>
          <w:instrText xml:space="preserve"> PAGEREF _Toc145318622 \h </w:instrText>
        </w:r>
        <w:r>
          <w:rPr>
            <w:webHidden/>
          </w:rPr>
        </w:r>
        <w:r>
          <w:rPr>
            <w:webHidden/>
          </w:rPr>
          <w:fldChar w:fldCharType="separate"/>
        </w:r>
        <w:r w:rsidR="00B83E73">
          <w:rPr>
            <w:webHidden/>
          </w:rPr>
          <w:t>78</w:t>
        </w:r>
        <w:r>
          <w:rPr>
            <w:webHidden/>
          </w:rPr>
          <w:fldChar w:fldCharType="end"/>
        </w:r>
      </w:hyperlink>
    </w:p>
    <w:p w14:paraId="124C9D01" w14:textId="33E3F832"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3" w:history="1">
        <w:r w:rsidRPr="00013EBB">
          <w:rPr>
            <w:rStyle w:val="Hyperlink"/>
          </w:rPr>
          <w:t>8.13</w:t>
        </w:r>
        <w:r>
          <w:rPr>
            <w:rFonts w:asciiTheme="minorHAnsi" w:eastAsiaTheme="minorEastAsia" w:hAnsiTheme="minorHAnsi" w:cstheme="minorBidi"/>
            <w:sz w:val="22"/>
            <w:szCs w:val="22"/>
            <w:lang w:eastAsia="en-AU"/>
          </w:rPr>
          <w:tab/>
        </w:r>
        <w:r w:rsidRPr="00013EBB">
          <w:rPr>
            <w:rStyle w:val="Hyperlink"/>
          </w:rPr>
          <w:t>Brokerage recording and reporting</w:t>
        </w:r>
        <w:r>
          <w:rPr>
            <w:webHidden/>
          </w:rPr>
          <w:tab/>
        </w:r>
        <w:r>
          <w:rPr>
            <w:webHidden/>
          </w:rPr>
          <w:fldChar w:fldCharType="begin"/>
        </w:r>
        <w:r>
          <w:rPr>
            <w:webHidden/>
          </w:rPr>
          <w:instrText xml:space="preserve"> PAGEREF _Toc145318623 \h </w:instrText>
        </w:r>
        <w:r>
          <w:rPr>
            <w:webHidden/>
          </w:rPr>
        </w:r>
        <w:r>
          <w:rPr>
            <w:webHidden/>
          </w:rPr>
          <w:fldChar w:fldCharType="separate"/>
        </w:r>
        <w:r w:rsidR="00B83E73">
          <w:rPr>
            <w:webHidden/>
          </w:rPr>
          <w:t>78</w:t>
        </w:r>
        <w:r>
          <w:rPr>
            <w:webHidden/>
          </w:rPr>
          <w:fldChar w:fldCharType="end"/>
        </w:r>
      </w:hyperlink>
    </w:p>
    <w:p w14:paraId="202FF952" w14:textId="0788CB37"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24" w:history="1">
        <w:r w:rsidRPr="00013EBB">
          <w:rPr>
            <w:rStyle w:val="Hyperlink"/>
          </w:rPr>
          <w:t>9.</w:t>
        </w:r>
        <w:r>
          <w:rPr>
            <w:rFonts w:asciiTheme="minorHAnsi" w:eastAsiaTheme="minorEastAsia" w:hAnsiTheme="minorHAnsi" w:cstheme="minorBidi"/>
            <w:b w:val="0"/>
            <w:sz w:val="22"/>
            <w:szCs w:val="22"/>
            <w:lang w:eastAsia="en-AU"/>
          </w:rPr>
          <w:tab/>
        </w:r>
        <w:r w:rsidRPr="00013EBB">
          <w:rPr>
            <w:rStyle w:val="Hyperlink"/>
          </w:rPr>
          <w:t>Program administration</w:t>
        </w:r>
        <w:r>
          <w:rPr>
            <w:webHidden/>
          </w:rPr>
          <w:tab/>
        </w:r>
        <w:r>
          <w:rPr>
            <w:webHidden/>
          </w:rPr>
          <w:fldChar w:fldCharType="begin"/>
        </w:r>
        <w:r>
          <w:rPr>
            <w:webHidden/>
          </w:rPr>
          <w:instrText xml:space="preserve"> PAGEREF _Toc145318624 \h </w:instrText>
        </w:r>
        <w:r>
          <w:rPr>
            <w:webHidden/>
          </w:rPr>
        </w:r>
        <w:r>
          <w:rPr>
            <w:webHidden/>
          </w:rPr>
          <w:fldChar w:fldCharType="separate"/>
        </w:r>
        <w:r w:rsidR="00B83E73">
          <w:rPr>
            <w:webHidden/>
          </w:rPr>
          <w:t>79</w:t>
        </w:r>
        <w:r>
          <w:rPr>
            <w:webHidden/>
          </w:rPr>
          <w:fldChar w:fldCharType="end"/>
        </w:r>
      </w:hyperlink>
    </w:p>
    <w:p w14:paraId="6B7C7CFA" w14:textId="6BF6FC77"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25" w:history="1">
        <w:r w:rsidRPr="00013EBB">
          <w:rPr>
            <w:rStyle w:val="Hyperlink"/>
          </w:rPr>
          <w:t>9.1</w:t>
        </w:r>
        <w:r>
          <w:rPr>
            <w:rFonts w:asciiTheme="minorHAnsi" w:eastAsiaTheme="minorEastAsia" w:hAnsiTheme="minorHAnsi" w:cstheme="minorBidi"/>
            <w:sz w:val="22"/>
            <w:szCs w:val="22"/>
            <w:lang w:eastAsia="en-AU"/>
          </w:rPr>
          <w:tab/>
        </w:r>
        <w:r w:rsidRPr="00013EBB">
          <w:rPr>
            <w:rStyle w:val="Hyperlink"/>
          </w:rPr>
          <w:t>Records management</w:t>
        </w:r>
        <w:r>
          <w:rPr>
            <w:webHidden/>
          </w:rPr>
          <w:tab/>
        </w:r>
        <w:r>
          <w:rPr>
            <w:webHidden/>
          </w:rPr>
          <w:fldChar w:fldCharType="begin"/>
        </w:r>
        <w:r>
          <w:rPr>
            <w:webHidden/>
          </w:rPr>
          <w:instrText xml:space="preserve"> PAGEREF _Toc145318625 \h </w:instrText>
        </w:r>
        <w:r>
          <w:rPr>
            <w:webHidden/>
          </w:rPr>
        </w:r>
        <w:r>
          <w:rPr>
            <w:webHidden/>
          </w:rPr>
          <w:fldChar w:fldCharType="separate"/>
        </w:r>
        <w:r w:rsidR="00B83E73">
          <w:rPr>
            <w:webHidden/>
          </w:rPr>
          <w:t>79</w:t>
        </w:r>
        <w:r>
          <w:rPr>
            <w:webHidden/>
          </w:rPr>
          <w:fldChar w:fldCharType="end"/>
        </w:r>
      </w:hyperlink>
    </w:p>
    <w:p w14:paraId="21D379E2" w14:textId="279C4B75"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26" w:history="1">
        <w:r w:rsidRPr="00013EBB">
          <w:rPr>
            <w:rStyle w:val="Hyperlink"/>
          </w:rPr>
          <w:t>9.2</w:t>
        </w:r>
        <w:r>
          <w:rPr>
            <w:rFonts w:asciiTheme="minorHAnsi" w:eastAsiaTheme="minorEastAsia" w:hAnsiTheme="minorHAnsi" w:cstheme="minorBidi"/>
            <w:sz w:val="22"/>
            <w:szCs w:val="22"/>
            <w:lang w:eastAsia="en-AU"/>
          </w:rPr>
          <w:tab/>
        </w:r>
        <w:r w:rsidRPr="00013EBB">
          <w:rPr>
            <w:rStyle w:val="Hyperlink"/>
          </w:rPr>
          <w:t>Data collection</w:t>
        </w:r>
        <w:r>
          <w:rPr>
            <w:webHidden/>
          </w:rPr>
          <w:tab/>
        </w:r>
        <w:r>
          <w:rPr>
            <w:webHidden/>
          </w:rPr>
          <w:fldChar w:fldCharType="begin"/>
        </w:r>
        <w:r>
          <w:rPr>
            <w:webHidden/>
          </w:rPr>
          <w:instrText xml:space="preserve"> PAGEREF _Toc145318626 \h </w:instrText>
        </w:r>
        <w:r>
          <w:rPr>
            <w:webHidden/>
          </w:rPr>
        </w:r>
        <w:r>
          <w:rPr>
            <w:webHidden/>
          </w:rPr>
          <w:fldChar w:fldCharType="separate"/>
        </w:r>
        <w:r w:rsidR="00B83E73">
          <w:rPr>
            <w:webHidden/>
          </w:rPr>
          <w:t>80</w:t>
        </w:r>
        <w:r>
          <w:rPr>
            <w:webHidden/>
          </w:rPr>
          <w:fldChar w:fldCharType="end"/>
        </w:r>
      </w:hyperlink>
    </w:p>
    <w:p w14:paraId="48F79EB4" w14:textId="64843B2A" w:rsidR="00D6005C" w:rsidRDefault="00D6005C">
      <w:pPr>
        <w:pStyle w:val="TOC2"/>
        <w:tabs>
          <w:tab w:val="left" w:pos="567"/>
        </w:tabs>
        <w:rPr>
          <w:rFonts w:asciiTheme="minorHAnsi" w:eastAsiaTheme="minorEastAsia" w:hAnsiTheme="minorHAnsi" w:cstheme="minorBidi"/>
          <w:sz w:val="22"/>
          <w:szCs w:val="22"/>
          <w:lang w:eastAsia="en-AU"/>
        </w:rPr>
      </w:pPr>
      <w:hyperlink w:anchor="_Toc145318627" w:history="1">
        <w:r w:rsidRPr="00013EBB">
          <w:rPr>
            <w:rStyle w:val="Hyperlink"/>
          </w:rPr>
          <w:t>9.3</w:t>
        </w:r>
        <w:r>
          <w:rPr>
            <w:rFonts w:asciiTheme="minorHAnsi" w:eastAsiaTheme="minorEastAsia" w:hAnsiTheme="minorHAnsi" w:cstheme="minorBidi"/>
            <w:sz w:val="22"/>
            <w:szCs w:val="22"/>
            <w:lang w:eastAsia="en-AU"/>
          </w:rPr>
          <w:tab/>
        </w:r>
        <w:r w:rsidRPr="00013EBB">
          <w:rPr>
            <w:rStyle w:val="Hyperlink"/>
          </w:rPr>
          <w:t>Performance reporting</w:t>
        </w:r>
        <w:r>
          <w:rPr>
            <w:webHidden/>
          </w:rPr>
          <w:tab/>
        </w:r>
        <w:r>
          <w:rPr>
            <w:webHidden/>
          </w:rPr>
          <w:fldChar w:fldCharType="begin"/>
        </w:r>
        <w:r>
          <w:rPr>
            <w:webHidden/>
          </w:rPr>
          <w:instrText xml:space="preserve"> PAGEREF _Toc145318627 \h </w:instrText>
        </w:r>
        <w:r>
          <w:rPr>
            <w:webHidden/>
          </w:rPr>
        </w:r>
        <w:r>
          <w:rPr>
            <w:webHidden/>
          </w:rPr>
          <w:fldChar w:fldCharType="separate"/>
        </w:r>
        <w:r w:rsidR="00B83E73">
          <w:rPr>
            <w:webHidden/>
          </w:rPr>
          <w:t>81</w:t>
        </w:r>
        <w:r>
          <w:rPr>
            <w:webHidden/>
          </w:rPr>
          <w:fldChar w:fldCharType="end"/>
        </w:r>
      </w:hyperlink>
    </w:p>
    <w:p w14:paraId="5E9043CB" w14:textId="5A65836C"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28" w:history="1">
        <w:r w:rsidRPr="00013EBB">
          <w:rPr>
            <w:rStyle w:val="Hyperlink"/>
          </w:rPr>
          <w:t>10.</w:t>
        </w:r>
        <w:r>
          <w:rPr>
            <w:rFonts w:asciiTheme="minorHAnsi" w:eastAsiaTheme="minorEastAsia" w:hAnsiTheme="minorHAnsi" w:cstheme="minorBidi"/>
            <w:b w:val="0"/>
            <w:sz w:val="22"/>
            <w:szCs w:val="22"/>
            <w:lang w:eastAsia="en-AU"/>
          </w:rPr>
          <w:tab/>
        </w:r>
        <w:r w:rsidRPr="00013EBB">
          <w:rPr>
            <w:rStyle w:val="Hyperlink"/>
          </w:rPr>
          <w:t>Quality, safeguards, and critical events</w:t>
        </w:r>
        <w:r>
          <w:rPr>
            <w:webHidden/>
          </w:rPr>
          <w:tab/>
        </w:r>
        <w:r>
          <w:rPr>
            <w:webHidden/>
          </w:rPr>
          <w:fldChar w:fldCharType="begin"/>
        </w:r>
        <w:r>
          <w:rPr>
            <w:webHidden/>
          </w:rPr>
          <w:instrText xml:space="preserve"> PAGEREF _Toc145318628 \h </w:instrText>
        </w:r>
        <w:r>
          <w:rPr>
            <w:webHidden/>
          </w:rPr>
        </w:r>
        <w:r>
          <w:rPr>
            <w:webHidden/>
          </w:rPr>
          <w:fldChar w:fldCharType="separate"/>
        </w:r>
        <w:r w:rsidR="00B83E73">
          <w:rPr>
            <w:webHidden/>
          </w:rPr>
          <w:t>84</w:t>
        </w:r>
        <w:r>
          <w:rPr>
            <w:webHidden/>
          </w:rPr>
          <w:fldChar w:fldCharType="end"/>
        </w:r>
      </w:hyperlink>
    </w:p>
    <w:p w14:paraId="5F85ABDE" w14:textId="6FC6A342"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29" w:history="1">
        <w:r w:rsidRPr="00013EBB">
          <w:rPr>
            <w:rStyle w:val="Hyperlink"/>
          </w:rPr>
          <w:t>10.1</w:t>
        </w:r>
        <w:r>
          <w:rPr>
            <w:rFonts w:asciiTheme="minorHAnsi" w:eastAsiaTheme="minorEastAsia" w:hAnsiTheme="minorHAnsi" w:cstheme="minorBidi"/>
            <w:sz w:val="22"/>
            <w:szCs w:val="22"/>
            <w:lang w:eastAsia="en-AU"/>
          </w:rPr>
          <w:tab/>
        </w:r>
        <w:r w:rsidRPr="00013EBB">
          <w:rPr>
            <w:rStyle w:val="Hyperlink"/>
          </w:rPr>
          <w:t>Human Rights Charter</w:t>
        </w:r>
        <w:r>
          <w:rPr>
            <w:webHidden/>
          </w:rPr>
          <w:tab/>
        </w:r>
        <w:r>
          <w:rPr>
            <w:webHidden/>
          </w:rPr>
          <w:fldChar w:fldCharType="begin"/>
        </w:r>
        <w:r>
          <w:rPr>
            <w:webHidden/>
          </w:rPr>
          <w:instrText xml:space="preserve"> PAGEREF _Toc145318629 \h </w:instrText>
        </w:r>
        <w:r>
          <w:rPr>
            <w:webHidden/>
          </w:rPr>
        </w:r>
        <w:r>
          <w:rPr>
            <w:webHidden/>
          </w:rPr>
          <w:fldChar w:fldCharType="separate"/>
        </w:r>
        <w:r w:rsidR="00B83E73">
          <w:rPr>
            <w:webHidden/>
          </w:rPr>
          <w:t>84</w:t>
        </w:r>
        <w:r>
          <w:rPr>
            <w:webHidden/>
          </w:rPr>
          <w:fldChar w:fldCharType="end"/>
        </w:r>
      </w:hyperlink>
    </w:p>
    <w:p w14:paraId="261F5DC9" w14:textId="5AB271B0"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0" w:history="1">
        <w:r w:rsidRPr="00013EBB">
          <w:rPr>
            <w:rStyle w:val="Hyperlink"/>
          </w:rPr>
          <w:t>10.2</w:t>
        </w:r>
        <w:r>
          <w:rPr>
            <w:rFonts w:asciiTheme="minorHAnsi" w:eastAsiaTheme="minorEastAsia" w:hAnsiTheme="minorHAnsi" w:cstheme="minorBidi"/>
            <w:sz w:val="22"/>
            <w:szCs w:val="22"/>
            <w:lang w:eastAsia="en-AU"/>
          </w:rPr>
          <w:tab/>
        </w:r>
        <w:r w:rsidRPr="00013EBB">
          <w:rPr>
            <w:rStyle w:val="Hyperlink"/>
          </w:rPr>
          <w:t>Child safe standards</w:t>
        </w:r>
        <w:r>
          <w:rPr>
            <w:webHidden/>
          </w:rPr>
          <w:tab/>
        </w:r>
        <w:r>
          <w:rPr>
            <w:webHidden/>
          </w:rPr>
          <w:fldChar w:fldCharType="begin"/>
        </w:r>
        <w:r>
          <w:rPr>
            <w:webHidden/>
          </w:rPr>
          <w:instrText xml:space="preserve"> PAGEREF _Toc145318630 \h </w:instrText>
        </w:r>
        <w:r>
          <w:rPr>
            <w:webHidden/>
          </w:rPr>
        </w:r>
        <w:r>
          <w:rPr>
            <w:webHidden/>
          </w:rPr>
          <w:fldChar w:fldCharType="separate"/>
        </w:r>
        <w:r w:rsidR="00B83E73">
          <w:rPr>
            <w:webHidden/>
          </w:rPr>
          <w:t>84</w:t>
        </w:r>
        <w:r>
          <w:rPr>
            <w:webHidden/>
          </w:rPr>
          <w:fldChar w:fldCharType="end"/>
        </w:r>
      </w:hyperlink>
    </w:p>
    <w:p w14:paraId="1C5D9E58" w14:textId="0CE0F80C"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1" w:history="1">
        <w:r w:rsidRPr="00013EBB">
          <w:rPr>
            <w:rStyle w:val="Hyperlink"/>
          </w:rPr>
          <w:t>10.3</w:t>
        </w:r>
        <w:r>
          <w:rPr>
            <w:rFonts w:asciiTheme="minorHAnsi" w:eastAsiaTheme="minorEastAsia" w:hAnsiTheme="minorHAnsi" w:cstheme="minorBidi"/>
            <w:sz w:val="22"/>
            <w:szCs w:val="22"/>
            <w:lang w:eastAsia="en-AU"/>
          </w:rPr>
          <w:tab/>
        </w:r>
        <w:r w:rsidRPr="00013EBB">
          <w:rPr>
            <w:rStyle w:val="Hyperlink"/>
          </w:rPr>
          <w:t>Privacy and confidentiality</w:t>
        </w:r>
        <w:r>
          <w:rPr>
            <w:webHidden/>
          </w:rPr>
          <w:tab/>
        </w:r>
        <w:r>
          <w:rPr>
            <w:webHidden/>
          </w:rPr>
          <w:fldChar w:fldCharType="begin"/>
        </w:r>
        <w:r>
          <w:rPr>
            <w:webHidden/>
          </w:rPr>
          <w:instrText xml:space="preserve"> PAGEREF _Toc145318631 \h </w:instrText>
        </w:r>
        <w:r>
          <w:rPr>
            <w:webHidden/>
          </w:rPr>
        </w:r>
        <w:r>
          <w:rPr>
            <w:webHidden/>
          </w:rPr>
          <w:fldChar w:fldCharType="separate"/>
        </w:r>
        <w:r w:rsidR="00B83E73">
          <w:rPr>
            <w:webHidden/>
          </w:rPr>
          <w:t>84</w:t>
        </w:r>
        <w:r>
          <w:rPr>
            <w:webHidden/>
          </w:rPr>
          <w:fldChar w:fldCharType="end"/>
        </w:r>
      </w:hyperlink>
    </w:p>
    <w:p w14:paraId="4E9063E5" w14:textId="523C5BF5"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2" w:history="1">
        <w:r w:rsidRPr="00013EBB">
          <w:rPr>
            <w:rStyle w:val="Hyperlink"/>
          </w:rPr>
          <w:t>10.4</w:t>
        </w:r>
        <w:r>
          <w:rPr>
            <w:rFonts w:asciiTheme="minorHAnsi" w:eastAsiaTheme="minorEastAsia" w:hAnsiTheme="minorHAnsi" w:cstheme="minorBidi"/>
            <w:sz w:val="22"/>
            <w:szCs w:val="22"/>
            <w:lang w:eastAsia="en-AU"/>
          </w:rPr>
          <w:tab/>
        </w:r>
        <w:r w:rsidRPr="00013EBB">
          <w:rPr>
            <w:rStyle w:val="Hyperlink"/>
          </w:rPr>
          <w:t>Human Services Standards</w:t>
        </w:r>
        <w:r>
          <w:rPr>
            <w:webHidden/>
          </w:rPr>
          <w:tab/>
        </w:r>
        <w:r>
          <w:rPr>
            <w:webHidden/>
          </w:rPr>
          <w:fldChar w:fldCharType="begin"/>
        </w:r>
        <w:r>
          <w:rPr>
            <w:webHidden/>
          </w:rPr>
          <w:instrText xml:space="preserve"> PAGEREF _Toc145318632 \h </w:instrText>
        </w:r>
        <w:r>
          <w:rPr>
            <w:webHidden/>
          </w:rPr>
        </w:r>
        <w:r>
          <w:rPr>
            <w:webHidden/>
          </w:rPr>
          <w:fldChar w:fldCharType="separate"/>
        </w:r>
        <w:r w:rsidR="00B83E73">
          <w:rPr>
            <w:webHidden/>
          </w:rPr>
          <w:t>85</w:t>
        </w:r>
        <w:r>
          <w:rPr>
            <w:webHidden/>
          </w:rPr>
          <w:fldChar w:fldCharType="end"/>
        </w:r>
      </w:hyperlink>
    </w:p>
    <w:p w14:paraId="14551E70" w14:textId="5CD356A2"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3" w:history="1">
        <w:r w:rsidRPr="00013EBB">
          <w:rPr>
            <w:rStyle w:val="Hyperlink"/>
          </w:rPr>
          <w:t>10.5</w:t>
        </w:r>
        <w:r>
          <w:rPr>
            <w:rFonts w:asciiTheme="minorHAnsi" w:eastAsiaTheme="minorEastAsia" w:hAnsiTheme="minorHAnsi" w:cstheme="minorBidi"/>
            <w:sz w:val="22"/>
            <w:szCs w:val="22"/>
            <w:lang w:eastAsia="en-AU"/>
          </w:rPr>
          <w:tab/>
        </w:r>
        <w:r w:rsidRPr="00013EBB">
          <w:rPr>
            <w:rStyle w:val="Hyperlink"/>
          </w:rPr>
          <w:t>Client feedback and complaints</w:t>
        </w:r>
        <w:r>
          <w:rPr>
            <w:webHidden/>
          </w:rPr>
          <w:tab/>
        </w:r>
        <w:r>
          <w:rPr>
            <w:webHidden/>
          </w:rPr>
          <w:fldChar w:fldCharType="begin"/>
        </w:r>
        <w:r>
          <w:rPr>
            <w:webHidden/>
          </w:rPr>
          <w:instrText xml:space="preserve"> PAGEREF _Toc145318633 \h </w:instrText>
        </w:r>
        <w:r>
          <w:rPr>
            <w:webHidden/>
          </w:rPr>
        </w:r>
        <w:r>
          <w:rPr>
            <w:webHidden/>
          </w:rPr>
          <w:fldChar w:fldCharType="separate"/>
        </w:r>
        <w:r w:rsidR="00B83E73">
          <w:rPr>
            <w:webHidden/>
          </w:rPr>
          <w:t>85</w:t>
        </w:r>
        <w:r>
          <w:rPr>
            <w:webHidden/>
          </w:rPr>
          <w:fldChar w:fldCharType="end"/>
        </w:r>
      </w:hyperlink>
    </w:p>
    <w:p w14:paraId="207D64CA" w14:textId="0C2F853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4" w:history="1">
        <w:r w:rsidRPr="00013EBB">
          <w:rPr>
            <w:rStyle w:val="Hyperlink"/>
          </w:rPr>
          <w:t>10.6</w:t>
        </w:r>
        <w:r>
          <w:rPr>
            <w:rFonts w:asciiTheme="minorHAnsi" w:eastAsiaTheme="minorEastAsia" w:hAnsiTheme="minorHAnsi" w:cstheme="minorBidi"/>
            <w:sz w:val="22"/>
            <w:szCs w:val="22"/>
            <w:lang w:eastAsia="en-AU"/>
          </w:rPr>
          <w:tab/>
        </w:r>
        <w:r w:rsidRPr="00013EBB">
          <w:rPr>
            <w:rStyle w:val="Hyperlink"/>
          </w:rPr>
          <w:t>Accessing records and Freedom of Information</w:t>
        </w:r>
        <w:r>
          <w:rPr>
            <w:webHidden/>
          </w:rPr>
          <w:tab/>
        </w:r>
        <w:r>
          <w:rPr>
            <w:webHidden/>
          </w:rPr>
          <w:fldChar w:fldCharType="begin"/>
        </w:r>
        <w:r>
          <w:rPr>
            <w:webHidden/>
          </w:rPr>
          <w:instrText xml:space="preserve"> PAGEREF _Toc145318634 \h </w:instrText>
        </w:r>
        <w:r>
          <w:rPr>
            <w:webHidden/>
          </w:rPr>
        </w:r>
        <w:r>
          <w:rPr>
            <w:webHidden/>
          </w:rPr>
          <w:fldChar w:fldCharType="separate"/>
        </w:r>
        <w:r w:rsidR="00B83E73">
          <w:rPr>
            <w:webHidden/>
          </w:rPr>
          <w:t>85</w:t>
        </w:r>
        <w:r>
          <w:rPr>
            <w:webHidden/>
          </w:rPr>
          <w:fldChar w:fldCharType="end"/>
        </w:r>
      </w:hyperlink>
    </w:p>
    <w:p w14:paraId="05905268" w14:textId="74C5D1B3"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5" w:history="1">
        <w:r w:rsidRPr="00013EBB">
          <w:rPr>
            <w:rStyle w:val="Hyperlink"/>
          </w:rPr>
          <w:t>10.7</w:t>
        </w:r>
        <w:r>
          <w:rPr>
            <w:rFonts w:asciiTheme="minorHAnsi" w:eastAsiaTheme="minorEastAsia" w:hAnsiTheme="minorHAnsi" w:cstheme="minorBidi"/>
            <w:sz w:val="22"/>
            <w:szCs w:val="22"/>
            <w:lang w:eastAsia="en-AU"/>
          </w:rPr>
          <w:tab/>
        </w:r>
        <w:r w:rsidRPr="00013EBB">
          <w:rPr>
            <w:rStyle w:val="Hyperlink"/>
          </w:rPr>
          <w:t>Client Incident Management System</w:t>
        </w:r>
        <w:r>
          <w:rPr>
            <w:webHidden/>
          </w:rPr>
          <w:tab/>
        </w:r>
        <w:r>
          <w:rPr>
            <w:webHidden/>
          </w:rPr>
          <w:fldChar w:fldCharType="begin"/>
        </w:r>
        <w:r>
          <w:rPr>
            <w:webHidden/>
          </w:rPr>
          <w:instrText xml:space="preserve"> PAGEREF _Toc145318635 \h </w:instrText>
        </w:r>
        <w:r>
          <w:rPr>
            <w:webHidden/>
          </w:rPr>
        </w:r>
        <w:r>
          <w:rPr>
            <w:webHidden/>
          </w:rPr>
          <w:fldChar w:fldCharType="separate"/>
        </w:r>
        <w:r w:rsidR="00B83E73">
          <w:rPr>
            <w:webHidden/>
          </w:rPr>
          <w:t>85</w:t>
        </w:r>
        <w:r>
          <w:rPr>
            <w:webHidden/>
          </w:rPr>
          <w:fldChar w:fldCharType="end"/>
        </w:r>
      </w:hyperlink>
    </w:p>
    <w:p w14:paraId="0CB61C07" w14:textId="0A2FF830"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6" w:history="1">
        <w:r w:rsidRPr="00013EBB">
          <w:rPr>
            <w:rStyle w:val="Hyperlink"/>
          </w:rPr>
          <w:t>10.8</w:t>
        </w:r>
        <w:r>
          <w:rPr>
            <w:rFonts w:asciiTheme="minorHAnsi" w:eastAsiaTheme="minorEastAsia" w:hAnsiTheme="minorHAnsi" w:cstheme="minorBidi"/>
            <w:sz w:val="22"/>
            <w:szCs w:val="22"/>
            <w:lang w:eastAsia="en-AU"/>
          </w:rPr>
          <w:tab/>
        </w:r>
        <w:r w:rsidRPr="00013EBB">
          <w:rPr>
            <w:rStyle w:val="Hyperlink"/>
          </w:rPr>
          <w:t>Reporting client deaths</w:t>
        </w:r>
        <w:r>
          <w:rPr>
            <w:webHidden/>
          </w:rPr>
          <w:tab/>
        </w:r>
        <w:r>
          <w:rPr>
            <w:webHidden/>
          </w:rPr>
          <w:fldChar w:fldCharType="begin"/>
        </w:r>
        <w:r>
          <w:rPr>
            <w:webHidden/>
          </w:rPr>
          <w:instrText xml:space="preserve"> PAGEREF _Toc145318636 \h </w:instrText>
        </w:r>
        <w:r>
          <w:rPr>
            <w:webHidden/>
          </w:rPr>
        </w:r>
        <w:r>
          <w:rPr>
            <w:webHidden/>
          </w:rPr>
          <w:fldChar w:fldCharType="separate"/>
        </w:r>
        <w:r w:rsidR="00B83E73">
          <w:rPr>
            <w:webHidden/>
          </w:rPr>
          <w:t>86</w:t>
        </w:r>
        <w:r>
          <w:rPr>
            <w:webHidden/>
          </w:rPr>
          <w:fldChar w:fldCharType="end"/>
        </w:r>
      </w:hyperlink>
    </w:p>
    <w:p w14:paraId="415DED84" w14:textId="54E4271F"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7" w:history="1">
        <w:r w:rsidRPr="00013EBB">
          <w:rPr>
            <w:rStyle w:val="Hyperlink"/>
          </w:rPr>
          <w:t>10.9</w:t>
        </w:r>
        <w:r>
          <w:rPr>
            <w:rFonts w:asciiTheme="minorHAnsi" w:eastAsiaTheme="minorEastAsia" w:hAnsiTheme="minorHAnsi" w:cstheme="minorBidi"/>
            <w:sz w:val="22"/>
            <w:szCs w:val="22"/>
            <w:lang w:eastAsia="en-AU"/>
          </w:rPr>
          <w:tab/>
        </w:r>
        <w:r w:rsidRPr="00013EBB">
          <w:rPr>
            <w:rStyle w:val="Hyperlink"/>
          </w:rPr>
          <w:t>Escalation to the Central Complex Needs Team</w:t>
        </w:r>
        <w:r>
          <w:rPr>
            <w:webHidden/>
          </w:rPr>
          <w:tab/>
        </w:r>
        <w:r>
          <w:rPr>
            <w:webHidden/>
          </w:rPr>
          <w:fldChar w:fldCharType="begin"/>
        </w:r>
        <w:r>
          <w:rPr>
            <w:webHidden/>
          </w:rPr>
          <w:instrText xml:space="preserve"> PAGEREF _Toc145318637 \h </w:instrText>
        </w:r>
        <w:r>
          <w:rPr>
            <w:webHidden/>
          </w:rPr>
        </w:r>
        <w:r>
          <w:rPr>
            <w:webHidden/>
          </w:rPr>
          <w:fldChar w:fldCharType="separate"/>
        </w:r>
        <w:r w:rsidR="00B83E73">
          <w:rPr>
            <w:webHidden/>
          </w:rPr>
          <w:t>87</w:t>
        </w:r>
        <w:r>
          <w:rPr>
            <w:webHidden/>
          </w:rPr>
          <w:fldChar w:fldCharType="end"/>
        </w:r>
      </w:hyperlink>
    </w:p>
    <w:p w14:paraId="4B6DCAE7" w14:textId="3BE2A5B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8" w:history="1">
        <w:r w:rsidRPr="00013EBB">
          <w:rPr>
            <w:rStyle w:val="Hyperlink"/>
          </w:rPr>
          <w:t>10.10</w:t>
        </w:r>
        <w:r>
          <w:rPr>
            <w:rFonts w:asciiTheme="minorHAnsi" w:eastAsiaTheme="minorEastAsia" w:hAnsiTheme="minorHAnsi" w:cstheme="minorBidi"/>
            <w:sz w:val="22"/>
            <w:szCs w:val="22"/>
            <w:lang w:eastAsia="en-AU"/>
          </w:rPr>
          <w:tab/>
        </w:r>
        <w:r w:rsidRPr="00013EBB">
          <w:rPr>
            <w:rStyle w:val="Hyperlink"/>
          </w:rPr>
          <w:t>Aboriginal and Torres Strait Islander cultural safety framework</w:t>
        </w:r>
        <w:r>
          <w:rPr>
            <w:webHidden/>
          </w:rPr>
          <w:tab/>
        </w:r>
        <w:r>
          <w:rPr>
            <w:webHidden/>
          </w:rPr>
          <w:fldChar w:fldCharType="begin"/>
        </w:r>
        <w:r>
          <w:rPr>
            <w:webHidden/>
          </w:rPr>
          <w:instrText xml:space="preserve"> PAGEREF _Toc145318638 \h </w:instrText>
        </w:r>
        <w:r>
          <w:rPr>
            <w:webHidden/>
          </w:rPr>
        </w:r>
        <w:r>
          <w:rPr>
            <w:webHidden/>
          </w:rPr>
          <w:fldChar w:fldCharType="separate"/>
        </w:r>
        <w:r w:rsidR="00B83E73">
          <w:rPr>
            <w:webHidden/>
          </w:rPr>
          <w:t>87</w:t>
        </w:r>
        <w:r>
          <w:rPr>
            <w:webHidden/>
          </w:rPr>
          <w:fldChar w:fldCharType="end"/>
        </w:r>
      </w:hyperlink>
    </w:p>
    <w:p w14:paraId="4E0DD39D" w14:textId="6BEADC85"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39" w:history="1">
        <w:r w:rsidRPr="00013EBB">
          <w:rPr>
            <w:rStyle w:val="Hyperlink"/>
          </w:rPr>
          <w:t>10.11</w:t>
        </w:r>
        <w:r>
          <w:rPr>
            <w:rFonts w:asciiTheme="minorHAnsi" w:eastAsiaTheme="minorEastAsia" w:hAnsiTheme="minorHAnsi" w:cstheme="minorBidi"/>
            <w:sz w:val="22"/>
            <w:szCs w:val="22"/>
            <w:lang w:eastAsia="en-AU"/>
          </w:rPr>
          <w:tab/>
        </w:r>
        <w:r w:rsidRPr="00013EBB">
          <w:rPr>
            <w:rStyle w:val="Hyperlink"/>
          </w:rPr>
          <w:t>NDIS Quality and Safeguards Commission</w:t>
        </w:r>
        <w:r>
          <w:rPr>
            <w:webHidden/>
          </w:rPr>
          <w:tab/>
        </w:r>
        <w:r>
          <w:rPr>
            <w:webHidden/>
          </w:rPr>
          <w:fldChar w:fldCharType="begin"/>
        </w:r>
        <w:r>
          <w:rPr>
            <w:webHidden/>
          </w:rPr>
          <w:instrText xml:space="preserve"> PAGEREF _Toc145318639 \h </w:instrText>
        </w:r>
        <w:r>
          <w:rPr>
            <w:webHidden/>
          </w:rPr>
        </w:r>
        <w:r>
          <w:rPr>
            <w:webHidden/>
          </w:rPr>
          <w:fldChar w:fldCharType="separate"/>
        </w:r>
        <w:r w:rsidR="00B83E73">
          <w:rPr>
            <w:webHidden/>
          </w:rPr>
          <w:t>87</w:t>
        </w:r>
        <w:r>
          <w:rPr>
            <w:webHidden/>
          </w:rPr>
          <w:fldChar w:fldCharType="end"/>
        </w:r>
      </w:hyperlink>
    </w:p>
    <w:p w14:paraId="037C03C2" w14:textId="1C74C6A8"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40" w:history="1">
        <w:r w:rsidRPr="00013EBB">
          <w:rPr>
            <w:rStyle w:val="Hyperlink"/>
          </w:rPr>
          <w:t>10.12</w:t>
        </w:r>
        <w:r>
          <w:rPr>
            <w:rFonts w:asciiTheme="minorHAnsi" w:eastAsiaTheme="minorEastAsia" w:hAnsiTheme="minorHAnsi" w:cstheme="minorBidi"/>
            <w:sz w:val="22"/>
            <w:szCs w:val="22"/>
            <w:lang w:eastAsia="en-AU"/>
          </w:rPr>
          <w:tab/>
        </w:r>
        <w:r w:rsidRPr="00013EBB">
          <w:rPr>
            <w:rStyle w:val="Hyperlink"/>
          </w:rPr>
          <w:t>Community services quality governance framework</w:t>
        </w:r>
        <w:r>
          <w:rPr>
            <w:webHidden/>
          </w:rPr>
          <w:tab/>
        </w:r>
        <w:r>
          <w:rPr>
            <w:webHidden/>
          </w:rPr>
          <w:fldChar w:fldCharType="begin"/>
        </w:r>
        <w:r>
          <w:rPr>
            <w:webHidden/>
          </w:rPr>
          <w:instrText xml:space="preserve"> PAGEREF _Toc145318640 \h </w:instrText>
        </w:r>
        <w:r>
          <w:rPr>
            <w:webHidden/>
          </w:rPr>
        </w:r>
        <w:r>
          <w:rPr>
            <w:webHidden/>
          </w:rPr>
          <w:fldChar w:fldCharType="separate"/>
        </w:r>
        <w:r w:rsidR="00B83E73">
          <w:rPr>
            <w:webHidden/>
          </w:rPr>
          <w:t>88</w:t>
        </w:r>
        <w:r>
          <w:rPr>
            <w:webHidden/>
          </w:rPr>
          <w:fldChar w:fldCharType="end"/>
        </w:r>
      </w:hyperlink>
    </w:p>
    <w:p w14:paraId="47A8D529" w14:textId="62CE970E"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41" w:history="1">
        <w:r w:rsidRPr="00013EBB">
          <w:rPr>
            <w:rStyle w:val="Hyperlink"/>
          </w:rPr>
          <w:t>10.13</w:t>
        </w:r>
        <w:r>
          <w:rPr>
            <w:rFonts w:asciiTheme="minorHAnsi" w:eastAsiaTheme="minorEastAsia" w:hAnsiTheme="minorHAnsi" w:cstheme="minorBidi"/>
            <w:sz w:val="22"/>
            <w:szCs w:val="22"/>
            <w:lang w:eastAsia="en-AU"/>
          </w:rPr>
          <w:tab/>
        </w:r>
        <w:r w:rsidRPr="00013EBB">
          <w:rPr>
            <w:rStyle w:val="Hyperlink"/>
          </w:rPr>
          <w:t>Family violence multi agency risk assessment and management framework</w:t>
        </w:r>
        <w:r>
          <w:rPr>
            <w:webHidden/>
          </w:rPr>
          <w:tab/>
        </w:r>
        <w:r>
          <w:rPr>
            <w:webHidden/>
          </w:rPr>
          <w:fldChar w:fldCharType="begin"/>
        </w:r>
        <w:r>
          <w:rPr>
            <w:webHidden/>
          </w:rPr>
          <w:instrText xml:space="preserve"> PAGEREF _Toc145318641 \h </w:instrText>
        </w:r>
        <w:r>
          <w:rPr>
            <w:webHidden/>
          </w:rPr>
        </w:r>
        <w:r>
          <w:rPr>
            <w:webHidden/>
          </w:rPr>
          <w:fldChar w:fldCharType="separate"/>
        </w:r>
        <w:r w:rsidR="00B83E73">
          <w:rPr>
            <w:webHidden/>
          </w:rPr>
          <w:t>88</w:t>
        </w:r>
        <w:r>
          <w:rPr>
            <w:webHidden/>
          </w:rPr>
          <w:fldChar w:fldCharType="end"/>
        </w:r>
      </w:hyperlink>
    </w:p>
    <w:p w14:paraId="33065BC3" w14:textId="6D8408E0" w:rsidR="00D6005C" w:rsidRDefault="00D6005C">
      <w:pPr>
        <w:pStyle w:val="TOC2"/>
        <w:tabs>
          <w:tab w:val="left" w:pos="851"/>
        </w:tabs>
        <w:rPr>
          <w:rFonts w:asciiTheme="minorHAnsi" w:eastAsiaTheme="minorEastAsia" w:hAnsiTheme="minorHAnsi" w:cstheme="minorBidi"/>
          <w:sz w:val="22"/>
          <w:szCs w:val="22"/>
          <w:lang w:eastAsia="en-AU"/>
        </w:rPr>
      </w:pPr>
      <w:hyperlink w:anchor="_Toc145318642" w:history="1">
        <w:r w:rsidRPr="00013EBB">
          <w:rPr>
            <w:rStyle w:val="Hyperlink"/>
          </w:rPr>
          <w:t>10.14</w:t>
        </w:r>
        <w:r>
          <w:rPr>
            <w:rFonts w:asciiTheme="minorHAnsi" w:eastAsiaTheme="minorEastAsia" w:hAnsiTheme="minorHAnsi" w:cstheme="minorBidi"/>
            <w:sz w:val="22"/>
            <w:szCs w:val="22"/>
            <w:lang w:eastAsia="en-AU"/>
          </w:rPr>
          <w:tab/>
        </w:r>
        <w:r w:rsidRPr="00013EBB">
          <w:rPr>
            <w:rStyle w:val="Hyperlink"/>
          </w:rPr>
          <w:t>Supervision and support</w:t>
        </w:r>
        <w:r>
          <w:rPr>
            <w:webHidden/>
          </w:rPr>
          <w:tab/>
        </w:r>
        <w:r>
          <w:rPr>
            <w:webHidden/>
          </w:rPr>
          <w:fldChar w:fldCharType="begin"/>
        </w:r>
        <w:r>
          <w:rPr>
            <w:webHidden/>
          </w:rPr>
          <w:instrText xml:space="preserve"> PAGEREF _Toc145318642 \h </w:instrText>
        </w:r>
        <w:r>
          <w:rPr>
            <w:webHidden/>
          </w:rPr>
        </w:r>
        <w:r>
          <w:rPr>
            <w:webHidden/>
          </w:rPr>
          <w:fldChar w:fldCharType="separate"/>
        </w:r>
        <w:r w:rsidR="00B83E73">
          <w:rPr>
            <w:webHidden/>
          </w:rPr>
          <w:t>89</w:t>
        </w:r>
        <w:r>
          <w:rPr>
            <w:webHidden/>
          </w:rPr>
          <w:fldChar w:fldCharType="end"/>
        </w:r>
      </w:hyperlink>
    </w:p>
    <w:p w14:paraId="15FB27D3" w14:textId="505A34CA"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43" w:history="1">
        <w:r w:rsidRPr="00013EBB">
          <w:rPr>
            <w:rStyle w:val="Hyperlink"/>
          </w:rPr>
          <w:t>11.</w:t>
        </w:r>
        <w:r>
          <w:rPr>
            <w:rFonts w:asciiTheme="minorHAnsi" w:eastAsiaTheme="minorEastAsia" w:hAnsiTheme="minorHAnsi" w:cstheme="minorBidi"/>
            <w:b w:val="0"/>
            <w:sz w:val="22"/>
            <w:szCs w:val="22"/>
            <w:lang w:eastAsia="en-AU"/>
          </w:rPr>
          <w:tab/>
        </w:r>
        <w:r w:rsidRPr="00013EBB">
          <w:rPr>
            <w:rStyle w:val="Hyperlink"/>
          </w:rPr>
          <w:t>Complex needs contacts</w:t>
        </w:r>
        <w:r>
          <w:rPr>
            <w:webHidden/>
          </w:rPr>
          <w:tab/>
        </w:r>
        <w:r>
          <w:rPr>
            <w:webHidden/>
          </w:rPr>
          <w:fldChar w:fldCharType="begin"/>
        </w:r>
        <w:r>
          <w:rPr>
            <w:webHidden/>
          </w:rPr>
          <w:instrText xml:space="preserve"> PAGEREF _Toc145318643 \h </w:instrText>
        </w:r>
        <w:r>
          <w:rPr>
            <w:webHidden/>
          </w:rPr>
        </w:r>
        <w:r>
          <w:rPr>
            <w:webHidden/>
          </w:rPr>
          <w:fldChar w:fldCharType="separate"/>
        </w:r>
        <w:r w:rsidR="00B83E73">
          <w:rPr>
            <w:webHidden/>
          </w:rPr>
          <w:t>91</w:t>
        </w:r>
        <w:r>
          <w:rPr>
            <w:webHidden/>
          </w:rPr>
          <w:fldChar w:fldCharType="end"/>
        </w:r>
      </w:hyperlink>
    </w:p>
    <w:p w14:paraId="5F339747" w14:textId="5C25ECA7" w:rsidR="00D6005C" w:rsidRDefault="00D6005C">
      <w:pPr>
        <w:pStyle w:val="TOC1"/>
        <w:tabs>
          <w:tab w:val="left" w:pos="567"/>
        </w:tabs>
        <w:rPr>
          <w:rFonts w:asciiTheme="minorHAnsi" w:eastAsiaTheme="minorEastAsia" w:hAnsiTheme="minorHAnsi" w:cstheme="minorBidi"/>
          <w:b w:val="0"/>
          <w:sz w:val="22"/>
          <w:szCs w:val="22"/>
          <w:lang w:eastAsia="en-AU"/>
        </w:rPr>
      </w:pPr>
      <w:hyperlink w:anchor="_Toc145318644" w:history="1">
        <w:r w:rsidRPr="00013EBB">
          <w:rPr>
            <w:rStyle w:val="Hyperlink"/>
          </w:rPr>
          <w:t>12.</w:t>
        </w:r>
        <w:r>
          <w:rPr>
            <w:rFonts w:asciiTheme="minorHAnsi" w:eastAsiaTheme="minorEastAsia" w:hAnsiTheme="minorHAnsi" w:cstheme="minorBidi"/>
            <w:b w:val="0"/>
            <w:sz w:val="22"/>
            <w:szCs w:val="22"/>
            <w:lang w:eastAsia="en-AU"/>
          </w:rPr>
          <w:tab/>
        </w:r>
        <w:r w:rsidRPr="00013EBB">
          <w:rPr>
            <w:rStyle w:val="Hyperlink"/>
          </w:rPr>
          <w:t>Complex needs forms and templates</w:t>
        </w:r>
        <w:r>
          <w:rPr>
            <w:webHidden/>
          </w:rPr>
          <w:tab/>
        </w:r>
        <w:r>
          <w:rPr>
            <w:webHidden/>
          </w:rPr>
          <w:fldChar w:fldCharType="begin"/>
        </w:r>
        <w:r>
          <w:rPr>
            <w:webHidden/>
          </w:rPr>
          <w:instrText xml:space="preserve"> PAGEREF _Toc145318644 \h </w:instrText>
        </w:r>
        <w:r>
          <w:rPr>
            <w:webHidden/>
          </w:rPr>
        </w:r>
        <w:r>
          <w:rPr>
            <w:webHidden/>
          </w:rPr>
          <w:fldChar w:fldCharType="separate"/>
        </w:r>
        <w:r w:rsidR="00B83E73">
          <w:rPr>
            <w:webHidden/>
          </w:rPr>
          <w:t>92</w:t>
        </w:r>
        <w:r>
          <w:rPr>
            <w:webHidden/>
          </w:rPr>
          <w:fldChar w:fldCharType="end"/>
        </w:r>
      </w:hyperlink>
    </w:p>
    <w:p w14:paraId="593F5F86" w14:textId="06751E43" w:rsidR="00D6005C" w:rsidRDefault="00D6005C">
      <w:pPr>
        <w:pStyle w:val="TOC1"/>
        <w:rPr>
          <w:rFonts w:asciiTheme="minorHAnsi" w:eastAsiaTheme="minorEastAsia" w:hAnsiTheme="minorHAnsi" w:cstheme="minorBidi"/>
          <w:b w:val="0"/>
          <w:sz w:val="22"/>
          <w:szCs w:val="22"/>
          <w:lang w:eastAsia="en-AU"/>
        </w:rPr>
      </w:pPr>
      <w:hyperlink w:anchor="_Toc145318645" w:history="1">
        <w:r w:rsidRPr="00013EBB">
          <w:rPr>
            <w:rStyle w:val="Hyperlink"/>
          </w:rPr>
          <w:t>Appendix 1 AOS process flow</w:t>
        </w:r>
        <w:r>
          <w:rPr>
            <w:webHidden/>
          </w:rPr>
          <w:tab/>
        </w:r>
        <w:r>
          <w:rPr>
            <w:webHidden/>
          </w:rPr>
          <w:fldChar w:fldCharType="begin"/>
        </w:r>
        <w:r>
          <w:rPr>
            <w:webHidden/>
          </w:rPr>
          <w:instrText xml:space="preserve"> PAGEREF _Toc145318645 \h </w:instrText>
        </w:r>
        <w:r>
          <w:rPr>
            <w:webHidden/>
          </w:rPr>
        </w:r>
        <w:r>
          <w:rPr>
            <w:webHidden/>
          </w:rPr>
          <w:fldChar w:fldCharType="separate"/>
        </w:r>
        <w:r w:rsidR="00B83E73">
          <w:rPr>
            <w:webHidden/>
          </w:rPr>
          <w:t>94</w:t>
        </w:r>
        <w:r>
          <w:rPr>
            <w:webHidden/>
          </w:rPr>
          <w:fldChar w:fldCharType="end"/>
        </w:r>
      </w:hyperlink>
    </w:p>
    <w:p w14:paraId="6F40849F" w14:textId="3CC863E9" w:rsidR="00D6005C" w:rsidRDefault="00D6005C">
      <w:pPr>
        <w:pStyle w:val="TOC1"/>
        <w:rPr>
          <w:rFonts w:asciiTheme="minorHAnsi" w:eastAsiaTheme="minorEastAsia" w:hAnsiTheme="minorHAnsi" w:cstheme="minorBidi"/>
          <w:b w:val="0"/>
          <w:sz w:val="22"/>
          <w:szCs w:val="22"/>
          <w:lang w:eastAsia="en-AU"/>
        </w:rPr>
      </w:pPr>
      <w:hyperlink w:anchor="_Toc145318646" w:history="1">
        <w:r w:rsidRPr="00013EBB">
          <w:rPr>
            <w:rStyle w:val="Hyperlink"/>
          </w:rPr>
          <w:t>Appendix 2 MACNI legislative requirements</w:t>
        </w:r>
        <w:r>
          <w:rPr>
            <w:webHidden/>
          </w:rPr>
          <w:tab/>
        </w:r>
        <w:r>
          <w:rPr>
            <w:webHidden/>
          </w:rPr>
          <w:fldChar w:fldCharType="begin"/>
        </w:r>
        <w:r>
          <w:rPr>
            <w:webHidden/>
          </w:rPr>
          <w:instrText xml:space="preserve"> PAGEREF _Toc145318646 \h </w:instrText>
        </w:r>
        <w:r>
          <w:rPr>
            <w:webHidden/>
          </w:rPr>
        </w:r>
        <w:r>
          <w:rPr>
            <w:webHidden/>
          </w:rPr>
          <w:fldChar w:fldCharType="separate"/>
        </w:r>
        <w:r w:rsidR="00B83E73">
          <w:rPr>
            <w:webHidden/>
          </w:rPr>
          <w:t>96</w:t>
        </w:r>
        <w:r>
          <w:rPr>
            <w:webHidden/>
          </w:rPr>
          <w:fldChar w:fldCharType="end"/>
        </w:r>
      </w:hyperlink>
    </w:p>
    <w:p w14:paraId="192CCC03" w14:textId="18662816" w:rsidR="00D6005C" w:rsidRDefault="00D6005C">
      <w:pPr>
        <w:pStyle w:val="TOC1"/>
        <w:rPr>
          <w:rFonts w:asciiTheme="minorHAnsi" w:eastAsiaTheme="minorEastAsia" w:hAnsiTheme="minorHAnsi" w:cstheme="minorBidi"/>
          <w:b w:val="0"/>
          <w:sz w:val="22"/>
          <w:szCs w:val="22"/>
          <w:lang w:eastAsia="en-AU"/>
        </w:rPr>
      </w:pPr>
      <w:hyperlink w:anchor="_Toc145318647" w:history="1">
        <w:r w:rsidRPr="00013EBB">
          <w:rPr>
            <w:rStyle w:val="Hyperlink"/>
          </w:rPr>
          <w:t>Appendix 3 Summary: brokerage approval process</w:t>
        </w:r>
        <w:r>
          <w:rPr>
            <w:webHidden/>
          </w:rPr>
          <w:tab/>
        </w:r>
        <w:r>
          <w:rPr>
            <w:webHidden/>
          </w:rPr>
          <w:fldChar w:fldCharType="begin"/>
        </w:r>
        <w:r>
          <w:rPr>
            <w:webHidden/>
          </w:rPr>
          <w:instrText xml:space="preserve"> PAGEREF _Toc145318647 \h </w:instrText>
        </w:r>
        <w:r>
          <w:rPr>
            <w:webHidden/>
          </w:rPr>
        </w:r>
        <w:r>
          <w:rPr>
            <w:webHidden/>
          </w:rPr>
          <w:fldChar w:fldCharType="separate"/>
        </w:r>
        <w:r w:rsidR="00B83E73">
          <w:rPr>
            <w:webHidden/>
          </w:rPr>
          <w:t>102</w:t>
        </w:r>
        <w:r>
          <w:rPr>
            <w:webHidden/>
          </w:rPr>
          <w:fldChar w:fldCharType="end"/>
        </w:r>
      </w:hyperlink>
    </w:p>
    <w:p w14:paraId="56D509EB" w14:textId="669B597E" w:rsidR="00FB1F6E" w:rsidRDefault="00E45E02" w:rsidP="00FB4CD0">
      <w:pPr>
        <w:pStyle w:val="Body"/>
      </w:pPr>
      <w:r>
        <w:rPr>
          <w:rFonts w:eastAsia="Times New Roman"/>
          <w:noProof/>
        </w:rPr>
        <w:fldChar w:fldCharType="end"/>
      </w:r>
      <w:r w:rsidR="00FB1F6E">
        <w:br w:type="page"/>
      </w:r>
    </w:p>
    <w:p w14:paraId="2E742BEA" w14:textId="4AE71865" w:rsidR="0057005F" w:rsidRPr="003C0AF8" w:rsidRDefault="0057005F" w:rsidP="007573A1">
      <w:pPr>
        <w:pStyle w:val="Heading1"/>
        <w:rPr>
          <w:highlight w:val="yellow"/>
        </w:rPr>
      </w:pPr>
      <w:bookmarkStart w:id="1" w:name="_Toc32229241"/>
      <w:bookmarkStart w:id="2" w:name="_Toc65508208"/>
      <w:bookmarkStart w:id="3" w:name="_Toc85010709"/>
      <w:bookmarkStart w:id="4" w:name="_Toc137636719"/>
      <w:bookmarkStart w:id="5" w:name="_Toc32229335"/>
      <w:bookmarkStart w:id="6" w:name="_Toc65508306"/>
      <w:bookmarkStart w:id="7" w:name="_Toc112856314"/>
      <w:bookmarkStart w:id="8" w:name="_Toc125713798"/>
      <w:bookmarkStart w:id="9" w:name="_Toc136443013"/>
      <w:bookmarkStart w:id="10" w:name="_Toc32229336"/>
      <w:bookmarkStart w:id="11" w:name="_Toc65508307"/>
      <w:bookmarkStart w:id="12" w:name="_Toc112856315"/>
      <w:bookmarkStart w:id="13" w:name="_Toc125713799"/>
      <w:bookmarkStart w:id="14" w:name="_Toc136443014"/>
      <w:bookmarkStart w:id="15" w:name="_Toc32229338"/>
      <w:bookmarkStart w:id="16" w:name="_Toc65508309"/>
      <w:bookmarkStart w:id="17" w:name="_Toc112856317"/>
      <w:bookmarkStart w:id="18" w:name="_Toc125713801"/>
      <w:bookmarkStart w:id="19" w:name="_Toc136443015"/>
      <w:bookmarkStart w:id="20" w:name="_Toc145318555"/>
      <w:r>
        <w:lastRenderedPageBreak/>
        <w:t>Glossary</w:t>
      </w:r>
      <w:bookmarkEnd w:id="1"/>
      <w:bookmarkEnd w:id="2"/>
      <w:bookmarkEnd w:id="3"/>
      <w:bookmarkEnd w:id="4"/>
      <w:bookmarkEnd w:id="20"/>
    </w:p>
    <w:tbl>
      <w:tblPr>
        <w:tblStyle w:val="TableGrid"/>
        <w:tblW w:w="0" w:type="auto"/>
        <w:tblLook w:val="04A0" w:firstRow="1" w:lastRow="0" w:firstColumn="1" w:lastColumn="0" w:noHBand="0" w:noVBand="1"/>
      </w:tblPr>
      <w:tblGrid>
        <w:gridCol w:w="2103"/>
        <w:gridCol w:w="7185"/>
      </w:tblGrid>
      <w:tr w:rsidR="0057005F" w:rsidRPr="00A36F0B" w14:paraId="424B63AF" w14:textId="77777777" w:rsidTr="00D02511">
        <w:trPr>
          <w:trHeight w:val="300"/>
          <w:tblHeader/>
        </w:trPr>
        <w:tc>
          <w:tcPr>
            <w:tcW w:w="0" w:type="auto"/>
            <w:shd w:val="clear" w:color="auto" w:fill="auto"/>
          </w:tcPr>
          <w:p w14:paraId="39C57FF5" w14:textId="77777777" w:rsidR="0057005F" w:rsidRPr="006112C6" w:rsidRDefault="0057005F">
            <w:pPr>
              <w:pStyle w:val="Tablecolhead"/>
            </w:pPr>
            <w:r w:rsidRPr="006112C6">
              <w:t>Term</w:t>
            </w:r>
          </w:p>
        </w:tc>
        <w:tc>
          <w:tcPr>
            <w:tcW w:w="0" w:type="auto"/>
            <w:shd w:val="clear" w:color="auto" w:fill="auto"/>
          </w:tcPr>
          <w:p w14:paraId="68CAAC93" w14:textId="77777777" w:rsidR="0057005F" w:rsidRPr="00A36F0B" w:rsidRDefault="0057005F">
            <w:pPr>
              <w:pStyle w:val="Tablecolhead"/>
            </w:pPr>
            <w:r w:rsidRPr="00A36F0B">
              <w:t>Definition</w:t>
            </w:r>
          </w:p>
        </w:tc>
      </w:tr>
      <w:tr w:rsidR="0057005F" w14:paraId="603B6F3F" w14:textId="77777777" w:rsidTr="00D02511">
        <w:trPr>
          <w:trHeight w:val="300"/>
        </w:trPr>
        <w:tc>
          <w:tcPr>
            <w:tcW w:w="0" w:type="auto"/>
          </w:tcPr>
          <w:p w14:paraId="613C1A12" w14:textId="77777777" w:rsidR="0057005F" w:rsidRPr="006112C6" w:rsidRDefault="0057005F">
            <w:pPr>
              <w:pStyle w:val="Tabletext"/>
            </w:pPr>
            <w:r w:rsidRPr="006112C6">
              <w:t>Assertive outreach</w:t>
            </w:r>
          </w:p>
        </w:tc>
        <w:tc>
          <w:tcPr>
            <w:tcW w:w="0" w:type="auto"/>
          </w:tcPr>
          <w:p w14:paraId="59C11B26" w14:textId="77777777" w:rsidR="0057005F" w:rsidRDefault="0057005F">
            <w:pPr>
              <w:pStyle w:val="Tabletext"/>
            </w:pPr>
            <w:r w:rsidRPr="009D2900">
              <w:rPr>
                <w:bCs/>
              </w:rPr>
              <w:t>Assertive outreach is i</w:t>
            </w:r>
            <w:r w:rsidRPr="009D2900">
              <w:t xml:space="preserve">ntensive and flexible direct client support, with an emphasis on </w:t>
            </w:r>
            <w:r>
              <w:t>building rapport</w:t>
            </w:r>
            <w:r w:rsidRPr="009D2900">
              <w:t xml:space="preserve"> and improving </w:t>
            </w:r>
            <w:r w:rsidRPr="009E6E8D">
              <w:t>engagement with targeted interventions and services</w:t>
            </w:r>
          </w:p>
        </w:tc>
      </w:tr>
      <w:tr w:rsidR="0057005F" w14:paraId="50290CE1" w14:textId="77777777" w:rsidTr="00D02511">
        <w:trPr>
          <w:trHeight w:val="300"/>
        </w:trPr>
        <w:tc>
          <w:tcPr>
            <w:tcW w:w="0" w:type="auto"/>
          </w:tcPr>
          <w:p w14:paraId="6327BA0C" w14:textId="77777777" w:rsidR="0057005F" w:rsidRDefault="0057005F">
            <w:pPr>
              <w:pStyle w:val="Tabletext"/>
            </w:pPr>
            <w:r>
              <w:t>Assertive Outreach and Support (AOS)</w:t>
            </w:r>
          </w:p>
        </w:tc>
        <w:tc>
          <w:tcPr>
            <w:tcW w:w="0" w:type="auto"/>
          </w:tcPr>
          <w:p w14:paraId="13201096" w14:textId="2D84D136" w:rsidR="0057005F" w:rsidRDefault="0057005F">
            <w:pPr>
              <w:pStyle w:val="Tabletext"/>
            </w:pPr>
            <w:r>
              <w:t>AOS is a pilot program to deliver assertive outreach and case management support to people with complex needs experiencing significant service system gaps and who pose unacceptable risk to others.</w:t>
            </w:r>
            <w:r w:rsidR="00B321BE">
              <w:t xml:space="preserve"> </w:t>
            </w:r>
            <w:r>
              <w:t xml:space="preserve">The AOS is time-limited and </w:t>
            </w:r>
            <w:r w:rsidR="00C60F82">
              <w:t>is only</w:t>
            </w:r>
            <w:r>
              <w:t xml:space="preserve"> delivered across metropolitan areas.</w:t>
            </w:r>
          </w:p>
        </w:tc>
      </w:tr>
      <w:tr w:rsidR="0057005F" w:rsidRPr="001230FA" w14:paraId="3201D899" w14:textId="77777777" w:rsidTr="00D02511">
        <w:trPr>
          <w:trHeight w:val="300"/>
        </w:trPr>
        <w:tc>
          <w:tcPr>
            <w:tcW w:w="0" w:type="auto"/>
          </w:tcPr>
          <w:p w14:paraId="16485CD6" w14:textId="0DAA781F" w:rsidR="0057005F" w:rsidRPr="001230FA" w:rsidRDefault="0057005F">
            <w:pPr>
              <w:pStyle w:val="Tabletext"/>
            </w:pPr>
            <w:r w:rsidRPr="001230FA">
              <w:t>Brokerage agreement</w:t>
            </w:r>
          </w:p>
        </w:tc>
        <w:tc>
          <w:tcPr>
            <w:tcW w:w="0" w:type="auto"/>
          </w:tcPr>
          <w:p w14:paraId="711E49CB" w14:textId="6A0DA9A3" w:rsidR="0057005F" w:rsidRPr="001230FA" w:rsidRDefault="0057005F">
            <w:pPr>
              <w:pStyle w:val="Tabletext"/>
            </w:pPr>
            <w:r w:rsidRPr="001230FA">
              <w:t xml:space="preserve">Brokerage agreements provide detail supplementing the </w:t>
            </w:r>
            <w:r w:rsidR="00C60F82">
              <w:t xml:space="preserve">existing </w:t>
            </w:r>
            <w:r w:rsidRPr="001230FA">
              <w:t xml:space="preserve">service agreement </w:t>
            </w:r>
            <w:r w:rsidR="00C60F82">
              <w:t xml:space="preserve">/ contract </w:t>
            </w:r>
            <w:r w:rsidRPr="001230FA">
              <w:t xml:space="preserve">between the department and </w:t>
            </w:r>
            <w:r w:rsidR="00C60F82">
              <w:t>a service</w:t>
            </w:r>
            <w:r w:rsidRPr="001230FA">
              <w:t xml:space="preserve"> in receipt of brokerage. </w:t>
            </w:r>
            <w:r>
              <w:t xml:space="preserve">Brokerage agreements are not </w:t>
            </w:r>
            <w:r w:rsidR="00895BB3">
              <w:t>used</w:t>
            </w:r>
            <w:r>
              <w:t xml:space="preserve"> in AOS. </w:t>
            </w:r>
          </w:p>
        </w:tc>
      </w:tr>
      <w:tr w:rsidR="0057005F" w:rsidRPr="001230FA" w14:paraId="7D68CA3A" w14:textId="77777777" w:rsidTr="00D02511">
        <w:trPr>
          <w:trHeight w:val="300"/>
        </w:trPr>
        <w:tc>
          <w:tcPr>
            <w:tcW w:w="0" w:type="auto"/>
          </w:tcPr>
          <w:p w14:paraId="0BDF3622" w14:textId="77777777" w:rsidR="0057005F" w:rsidRPr="001230FA" w:rsidRDefault="0057005F">
            <w:pPr>
              <w:pStyle w:val="Tabletext"/>
            </w:pPr>
            <w:r w:rsidRPr="001230FA">
              <w:t>Capacity-building</w:t>
            </w:r>
          </w:p>
        </w:tc>
        <w:tc>
          <w:tcPr>
            <w:tcW w:w="0" w:type="auto"/>
          </w:tcPr>
          <w:p w14:paraId="0D2C73F2" w14:textId="7CF6AC1B" w:rsidR="0057005F" w:rsidRPr="001230FA" w:rsidRDefault="0057005F">
            <w:pPr>
              <w:pStyle w:val="Tabletext"/>
            </w:pPr>
            <w:r w:rsidRPr="001230FA">
              <w:t xml:space="preserve">Capacity-building refers to activities that strengthen and </w:t>
            </w:r>
            <w:r>
              <w:t>enhance</w:t>
            </w:r>
            <w:r w:rsidRPr="001230FA">
              <w:t xml:space="preserve"> the existing service delivery, care planning and coordination capabilities, skills</w:t>
            </w:r>
            <w:r w:rsidR="00895BB3">
              <w:t>,</w:t>
            </w:r>
            <w:r w:rsidRPr="001230FA">
              <w:t xml:space="preserve"> and knowledge </w:t>
            </w:r>
            <w:r>
              <w:t xml:space="preserve">of </w:t>
            </w:r>
            <w:r w:rsidRPr="001230FA">
              <w:t>community service organisations through training, mentoring and secondary consultation.</w:t>
            </w:r>
          </w:p>
        </w:tc>
      </w:tr>
      <w:tr w:rsidR="0057005F" w:rsidRPr="001230FA" w14:paraId="437C9397" w14:textId="77777777" w:rsidTr="00D02511">
        <w:trPr>
          <w:trHeight w:val="300"/>
        </w:trPr>
        <w:tc>
          <w:tcPr>
            <w:tcW w:w="0" w:type="auto"/>
          </w:tcPr>
          <w:p w14:paraId="3822FF91" w14:textId="77777777" w:rsidR="0057005F" w:rsidRPr="001230FA" w:rsidRDefault="0057005F">
            <w:pPr>
              <w:pStyle w:val="Tabletext"/>
            </w:pPr>
            <w:r w:rsidRPr="001230FA">
              <w:t>Care plan</w:t>
            </w:r>
          </w:p>
        </w:tc>
        <w:tc>
          <w:tcPr>
            <w:tcW w:w="0" w:type="auto"/>
          </w:tcPr>
          <w:p w14:paraId="31B3381E" w14:textId="267CE877" w:rsidR="0057005F" w:rsidRPr="001230FA" w:rsidRDefault="0057005F">
            <w:pPr>
              <w:pStyle w:val="Tabletext"/>
            </w:pPr>
            <w:r w:rsidRPr="001230FA">
              <w:t xml:space="preserve">A plan which documents client needs, goals, support services and interventions, </w:t>
            </w:r>
            <w:r w:rsidR="0047298C" w:rsidRPr="001230FA">
              <w:t>considering</w:t>
            </w:r>
            <w:r w:rsidRPr="001230FA">
              <w:t xml:space="preserve"> the </w:t>
            </w:r>
            <w:r w:rsidRPr="001230FA">
              <w:rPr>
                <w:rFonts w:eastAsia="Arial"/>
              </w:rPr>
              <w:t>client</w:t>
            </w:r>
            <w:r w:rsidRPr="001230FA">
              <w:t>’s best interests, goals and working within a strengths-based framework. Care plans may specify the care, treatment, support</w:t>
            </w:r>
            <w:r w:rsidR="0047298C">
              <w:t>,</w:t>
            </w:r>
            <w:r w:rsidRPr="001230FA">
              <w:t xml:space="preserve"> and accommodation recommended for the </w:t>
            </w:r>
            <w:r w:rsidRPr="001230FA">
              <w:rPr>
                <w:rFonts w:eastAsia="Arial"/>
              </w:rPr>
              <w:t>client</w:t>
            </w:r>
            <w:r w:rsidRPr="001230FA">
              <w:t xml:space="preserve">. </w:t>
            </w:r>
          </w:p>
        </w:tc>
      </w:tr>
      <w:tr w:rsidR="0057005F" w:rsidRPr="001230FA" w14:paraId="1681786B" w14:textId="77777777" w:rsidTr="00D02511">
        <w:trPr>
          <w:trHeight w:val="300"/>
        </w:trPr>
        <w:tc>
          <w:tcPr>
            <w:tcW w:w="0" w:type="auto"/>
          </w:tcPr>
          <w:p w14:paraId="1D36E6A4" w14:textId="77777777" w:rsidR="0057005F" w:rsidRPr="001230FA" w:rsidRDefault="0057005F">
            <w:pPr>
              <w:pStyle w:val="Tabletext"/>
            </w:pPr>
            <w:r w:rsidRPr="001230FA">
              <w:t>Care plan coordination</w:t>
            </w:r>
          </w:p>
        </w:tc>
        <w:tc>
          <w:tcPr>
            <w:tcW w:w="0" w:type="auto"/>
          </w:tcPr>
          <w:p w14:paraId="5E3AF2CD" w14:textId="067054B9" w:rsidR="0057005F" w:rsidRPr="001230FA" w:rsidRDefault="0057005F">
            <w:pPr>
              <w:pStyle w:val="Tabletext"/>
            </w:pPr>
            <w:r w:rsidRPr="001230FA">
              <w:t>Care plan coordination is a client-centred, assessment-based, interdisciplinary approach to integrating health care and psychosocial support services in which a comprehensive care plan that addresses the client’s needs, strengths and goals is developed, implemented</w:t>
            </w:r>
            <w:r w:rsidR="005E54D3">
              <w:t>,</w:t>
            </w:r>
            <w:r w:rsidRPr="001230FA">
              <w:t xml:space="preserve"> and monitored.</w:t>
            </w:r>
            <w:r w:rsidR="00702B0B">
              <w:t xml:space="preserve"> The work is performed by a Care Plan Coordinator.</w:t>
            </w:r>
          </w:p>
        </w:tc>
      </w:tr>
      <w:tr w:rsidR="0057005F" w:rsidRPr="001230FA" w14:paraId="7A42DEB1" w14:textId="77777777" w:rsidTr="00D02511">
        <w:trPr>
          <w:trHeight w:val="300"/>
        </w:trPr>
        <w:tc>
          <w:tcPr>
            <w:tcW w:w="0" w:type="auto"/>
          </w:tcPr>
          <w:p w14:paraId="7FF56175" w14:textId="77777777" w:rsidR="0057005F" w:rsidRPr="001230FA" w:rsidRDefault="0057005F">
            <w:pPr>
              <w:pStyle w:val="Tabletext"/>
            </w:pPr>
            <w:r w:rsidRPr="001230FA">
              <w:t>Care plan development</w:t>
            </w:r>
          </w:p>
        </w:tc>
        <w:tc>
          <w:tcPr>
            <w:tcW w:w="0" w:type="auto"/>
          </w:tcPr>
          <w:p w14:paraId="03A8B560" w14:textId="5B5F263D" w:rsidR="0057005F" w:rsidRPr="001230FA" w:rsidRDefault="005E54D3">
            <w:pPr>
              <w:pStyle w:val="Tabletext"/>
            </w:pPr>
            <w:r>
              <w:t>A</w:t>
            </w:r>
            <w:r w:rsidR="0057005F" w:rsidRPr="001230FA">
              <w:t xml:space="preserve"> </w:t>
            </w:r>
            <w:r w:rsidR="0057005F" w:rsidRPr="001230FA">
              <w:rPr>
                <w:rFonts w:eastAsia="Arial"/>
              </w:rPr>
              <w:t>client</w:t>
            </w:r>
            <w:r w:rsidR="0057005F" w:rsidRPr="001230FA">
              <w:t xml:space="preserve"> determined as eligible for MACNI services under the </w:t>
            </w:r>
            <w:r w:rsidR="0057005F" w:rsidRPr="001230FA">
              <w:rPr>
                <w:i/>
                <w:lang w:val="en"/>
              </w:rPr>
              <w:t>Human Services (Complex Needs) Act 2009</w:t>
            </w:r>
            <w:r w:rsidR="0057005F" w:rsidRPr="001230FA">
              <w:rPr>
                <w:lang w:val="en"/>
              </w:rPr>
              <w:t xml:space="preserve"> </w:t>
            </w:r>
            <w:r>
              <w:t>must have</w:t>
            </w:r>
            <w:r w:rsidR="0057005F" w:rsidRPr="001230FA">
              <w:t xml:space="preserve"> a care plan developed within 12 weeks from the date of eligibility. The care plan is based on a comprehensive assessment of the </w:t>
            </w:r>
            <w:r w:rsidR="0057005F" w:rsidRPr="001230FA">
              <w:rPr>
                <w:rFonts w:eastAsia="Arial"/>
              </w:rPr>
              <w:t>client</w:t>
            </w:r>
            <w:r w:rsidR="0057005F" w:rsidRPr="001230FA">
              <w:t>’s needs.</w:t>
            </w:r>
          </w:p>
        </w:tc>
      </w:tr>
      <w:tr w:rsidR="0057005F" w:rsidRPr="001230FA" w14:paraId="01FB7233" w14:textId="77777777" w:rsidTr="00D02511">
        <w:trPr>
          <w:trHeight w:val="300"/>
        </w:trPr>
        <w:tc>
          <w:tcPr>
            <w:tcW w:w="0" w:type="auto"/>
          </w:tcPr>
          <w:p w14:paraId="72661CB1" w14:textId="77777777" w:rsidR="0057005F" w:rsidRPr="001230FA" w:rsidRDefault="0057005F">
            <w:pPr>
              <w:pStyle w:val="Tabletext"/>
            </w:pPr>
            <w:r w:rsidRPr="001230FA">
              <w:t>Case management</w:t>
            </w:r>
          </w:p>
        </w:tc>
        <w:tc>
          <w:tcPr>
            <w:tcW w:w="0" w:type="auto"/>
          </w:tcPr>
          <w:p w14:paraId="6760A734" w14:textId="4EF2D6FD" w:rsidR="0057005F" w:rsidRPr="0047298C" w:rsidRDefault="0057005F" w:rsidP="0047298C">
            <w:pPr>
              <w:spacing w:after="0" w:line="240" w:lineRule="auto"/>
              <w:textAlignment w:val="baseline"/>
              <w:rPr>
                <w:rFonts w:ascii="Times New Roman" w:hAnsi="Times New Roman"/>
                <w:szCs w:val="21"/>
                <w:lang w:eastAsia="en-AU"/>
              </w:rPr>
            </w:pPr>
            <w:r w:rsidRPr="00F64ABE">
              <w:rPr>
                <w:rFonts w:cs="Arial"/>
                <w:szCs w:val="21"/>
                <w:lang w:eastAsia="en-AU"/>
              </w:rPr>
              <w:t xml:space="preserve">Case management </w:t>
            </w:r>
            <w:r w:rsidR="0047298C">
              <w:rPr>
                <w:rFonts w:cs="Arial"/>
                <w:szCs w:val="21"/>
                <w:lang w:eastAsia="en-AU"/>
              </w:rPr>
              <w:t>is</w:t>
            </w:r>
            <w:r w:rsidRPr="00F64ABE">
              <w:rPr>
                <w:rFonts w:cs="Arial"/>
                <w:szCs w:val="21"/>
                <w:lang w:eastAsia="en-AU"/>
              </w:rPr>
              <w:t xml:space="preserve"> direct</w:t>
            </w:r>
            <w:r w:rsidR="0047298C">
              <w:rPr>
                <w:rFonts w:cs="Arial"/>
                <w:szCs w:val="21"/>
                <w:lang w:eastAsia="en-AU"/>
              </w:rPr>
              <w:t xml:space="preserve"> work</w:t>
            </w:r>
            <w:r w:rsidRPr="00F64ABE">
              <w:rPr>
                <w:rFonts w:cs="Arial"/>
                <w:szCs w:val="21"/>
                <w:lang w:eastAsia="en-AU"/>
              </w:rPr>
              <w:t xml:space="preserve"> with </w:t>
            </w:r>
            <w:r w:rsidR="0047298C">
              <w:rPr>
                <w:rFonts w:cs="Arial"/>
                <w:szCs w:val="21"/>
                <w:lang w:eastAsia="en-AU"/>
              </w:rPr>
              <w:t xml:space="preserve">a </w:t>
            </w:r>
            <w:r w:rsidRPr="00F64ABE">
              <w:rPr>
                <w:rFonts w:cs="Arial"/>
                <w:szCs w:val="21"/>
                <w:lang w:eastAsia="en-AU"/>
              </w:rPr>
              <w:t xml:space="preserve">client </w:t>
            </w:r>
            <w:r w:rsidR="0047298C">
              <w:rPr>
                <w:rFonts w:cs="Arial"/>
                <w:szCs w:val="21"/>
                <w:lang w:eastAsia="en-AU"/>
              </w:rPr>
              <w:t>focused</w:t>
            </w:r>
            <w:r w:rsidRPr="00F64ABE">
              <w:rPr>
                <w:rFonts w:cs="Arial"/>
                <w:szCs w:val="21"/>
                <w:lang w:eastAsia="en-AU"/>
              </w:rPr>
              <w:t xml:space="preserve"> on </w:t>
            </w:r>
            <w:r w:rsidR="0047298C">
              <w:rPr>
                <w:rFonts w:cs="Arial"/>
                <w:szCs w:val="21"/>
                <w:lang w:eastAsia="en-AU"/>
              </w:rPr>
              <w:t xml:space="preserve">achieving their need/s </w:t>
            </w:r>
            <w:r w:rsidRPr="00F64ABE">
              <w:rPr>
                <w:rFonts w:cs="Arial"/>
                <w:szCs w:val="21"/>
                <w:lang w:eastAsia="en-AU"/>
              </w:rPr>
              <w:t xml:space="preserve">goals </w:t>
            </w:r>
            <w:r w:rsidR="005E54D3">
              <w:rPr>
                <w:rFonts w:cs="Arial"/>
                <w:szCs w:val="21"/>
                <w:lang w:eastAsia="en-AU"/>
              </w:rPr>
              <w:t>as</w:t>
            </w:r>
            <w:r w:rsidR="0047298C">
              <w:rPr>
                <w:rFonts w:cs="Arial"/>
                <w:szCs w:val="21"/>
                <w:lang w:eastAsia="en-AU"/>
              </w:rPr>
              <w:t xml:space="preserve"> established in </w:t>
            </w:r>
            <w:r w:rsidR="005E54D3">
              <w:rPr>
                <w:rFonts w:cs="Arial"/>
                <w:szCs w:val="21"/>
                <w:lang w:eastAsia="en-AU"/>
              </w:rPr>
              <w:t xml:space="preserve">their </w:t>
            </w:r>
            <w:r w:rsidR="0047298C">
              <w:rPr>
                <w:rFonts w:cs="Arial"/>
                <w:szCs w:val="21"/>
                <w:lang w:eastAsia="en-AU"/>
              </w:rPr>
              <w:t>case plan</w:t>
            </w:r>
            <w:r w:rsidRPr="00F64ABE">
              <w:rPr>
                <w:rFonts w:cs="Arial"/>
                <w:szCs w:val="21"/>
                <w:lang w:eastAsia="en-AU"/>
              </w:rPr>
              <w:t xml:space="preserve">. </w:t>
            </w:r>
            <w:r w:rsidR="0047298C">
              <w:rPr>
                <w:rFonts w:cs="Arial"/>
                <w:szCs w:val="21"/>
                <w:lang w:eastAsia="en-AU"/>
              </w:rPr>
              <w:t>A</w:t>
            </w:r>
            <w:r w:rsidRPr="00F64ABE">
              <w:rPr>
                <w:rFonts w:cs="Arial"/>
                <w:szCs w:val="21"/>
                <w:lang w:eastAsia="en-AU"/>
              </w:rPr>
              <w:t xml:space="preserve"> service provider </w:t>
            </w:r>
            <w:r w:rsidR="0047298C">
              <w:rPr>
                <w:rFonts w:cs="Arial"/>
                <w:szCs w:val="21"/>
                <w:lang w:eastAsia="en-AU"/>
              </w:rPr>
              <w:t xml:space="preserve">is </w:t>
            </w:r>
            <w:r w:rsidRPr="00F64ABE">
              <w:rPr>
                <w:rFonts w:cs="Arial"/>
                <w:szCs w:val="21"/>
                <w:lang w:eastAsia="en-AU"/>
              </w:rPr>
              <w:t>responsib</w:t>
            </w:r>
            <w:r w:rsidR="0047298C">
              <w:rPr>
                <w:rFonts w:cs="Arial"/>
                <w:szCs w:val="21"/>
                <w:lang w:eastAsia="en-AU"/>
              </w:rPr>
              <w:t>le</w:t>
            </w:r>
            <w:r w:rsidRPr="00F64ABE">
              <w:rPr>
                <w:rFonts w:cs="Arial"/>
                <w:szCs w:val="21"/>
                <w:lang w:eastAsia="en-AU"/>
              </w:rPr>
              <w:t xml:space="preserve"> for assessment, planning, referrals</w:t>
            </w:r>
            <w:r w:rsidR="0047298C">
              <w:rPr>
                <w:rFonts w:cs="Arial"/>
                <w:szCs w:val="21"/>
                <w:lang w:eastAsia="en-AU"/>
              </w:rPr>
              <w:t>/</w:t>
            </w:r>
            <w:r w:rsidRPr="00F64ABE">
              <w:rPr>
                <w:rFonts w:cs="Arial"/>
                <w:szCs w:val="21"/>
                <w:lang w:eastAsia="en-AU"/>
              </w:rPr>
              <w:t>linkage</w:t>
            </w:r>
            <w:r w:rsidR="0047298C">
              <w:rPr>
                <w:rFonts w:cs="Arial"/>
                <w:szCs w:val="21"/>
                <w:lang w:eastAsia="en-AU"/>
              </w:rPr>
              <w:t xml:space="preserve"> facilitation</w:t>
            </w:r>
            <w:r w:rsidRPr="00F64ABE">
              <w:rPr>
                <w:rFonts w:cs="Arial"/>
                <w:szCs w:val="21"/>
                <w:lang w:eastAsia="en-AU"/>
              </w:rPr>
              <w:t xml:space="preserve">, </w:t>
            </w:r>
            <w:r w:rsidR="0047298C">
              <w:rPr>
                <w:rFonts w:cs="Arial"/>
                <w:szCs w:val="21"/>
                <w:lang w:eastAsia="en-AU"/>
              </w:rPr>
              <w:t>implementing</w:t>
            </w:r>
            <w:r w:rsidR="0047298C" w:rsidRPr="00F64ABE">
              <w:rPr>
                <w:rFonts w:cs="Arial"/>
                <w:szCs w:val="21"/>
                <w:lang w:eastAsia="en-AU"/>
              </w:rPr>
              <w:t xml:space="preserve"> the </w:t>
            </w:r>
            <w:r w:rsidR="0047298C">
              <w:rPr>
                <w:rFonts w:cs="Arial"/>
                <w:szCs w:val="21"/>
                <w:lang w:eastAsia="en-AU"/>
              </w:rPr>
              <w:t xml:space="preserve">plan’s </w:t>
            </w:r>
            <w:r w:rsidR="0047298C" w:rsidRPr="00F64ABE">
              <w:rPr>
                <w:rFonts w:cs="Arial"/>
                <w:szCs w:val="21"/>
                <w:lang w:eastAsia="en-AU"/>
              </w:rPr>
              <w:t>actions</w:t>
            </w:r>
            <w:r w:rsidR="0047298C">
              <w:rPr>
                <w:rFonts w:cs="Arial"/>
                <w:szCs w:val="21"/>
                <w:lang w:eastAsia="en-AU"/>
              </w:rPr>
              <w:t xml:space="preserve">, </w:t>
            </w:r>
            <w:r w:rsidRPr="00F64ABE">
              <w:rPr>
                <w:rFonts w:cs="Arial"/>
                <w:szCs w:val="21"/>
                <w:lang w:eastAsia="en-AU"/>
              </w:rPr>
              <w:t>advocacy, monitoring</w:t>
            </w:r>
            <w:r w:rsidR="0047298C">
              <w:rPr>
                <w:rFonts w:cs="Arial"/>
                <w:szCs w:val="21"/>
                <w:lang w:eastAsia="en-AU"/>
              </w:rPr>
              <w:t xml:space="preserve">, plan </w:t>
            </w:r>
            <w:r w:rsidRPr="00F64ABE">
              <w:rPr>
                <w:rFonts w:cs="Arial"/>
                <w:szCs w:val="21"/>
                <w:lang w:eastAsia="en-AU"/>
              </w:rPr>
              <w:t>review and case closure. </w:t>
            </w:r>
            <w:r w:rsidR="0047298C">
              <w:rPr>
                <w:rFonts w:cs="Arial"/>
                <w:szCs w:val="21"/>
                <w:lang w:eastAsia="en-AU"/>
              </w:rPr>
              <w:t>For AOS, c</w:t>
            </w:r>
            <w:r w:rsidRPr="00F64ABE">
              <w:rPr>
                <w:rFonts w:cs="Arial"/>
                <w:szCs w:val="21"/>
                <w:lang w:eastAsia="en-AU"/>
              </w:rPr>
              <w:t xml:space="preserve">ase management </w:t>
            </w:r>
            <w:r w:rsidR="0047298C">
              <w:rPr>
                <w:rFonts w:cs="Arial"/>
                <w:szCs w:val="21"/>
                <w:lang w:eastAsia="en-AU"/>
              </w:rPr>
              <w:t xml:space="preserve">aims to </w:t>
            </w:r>
            <w:r w:rsidRPr="00F64ABE">
              <w:rPr>
                <w:rFonts w:cs="Arial"/>
                <w:szCs w:val="21"/>
                <w:lang w:eastAsia="en-AU"/>
              </w:rPr>
              <w:t xml:space="preserve">enhance a </w:t>
            </w:r>
            <w:r w:rsidR="0047298C">
              <w:rPr>
                <w:rFonts w:cs="Arial"/>
                <w:szCs w:val="21"/>
                <w:lang w:eastAsia="en-AU"/>
              </w:rPr>
              <w:t>client’s service access.</w:t>
            </w:r>
            <w:r w:rsidRPr="00ED4841">
              <w:rPr>
                <w:rFonts w:cs="Arial"/>
                <w:sz w:val="20"/>
                <w:lang w:eastAsia="en-AU"/>
              </w:rPr>
              <w:t> </w:t>
            </w:r>
          </w:p>
        </w:tc>
      </w:tr>
      <w:tr w:rsidR="0057005F" w:rsidRPr="004A2F8A" w14:paraId="424A2517" w14:textId="77777777" w:rsidTr="00D02511">
        <w:trPr>
          <w:trHeight w:val="300"/>
        </w:trPr>
        <w:tc>
          <w:tcPr>
            <w:tcW w:w="0" w:type="auto"/>
          </w:tcPr>
          <w:p w14:paraId="34B56BA8" w14:textId="77777777" w:rsidR="0057005F" w:rsidRPr="006112C6" w:rsidRDefault="0057005F">
            <w:pPr>
              <w:pStyle w:val="Tabletext"/>
            </w:pPr>
            <w:r w:rsidRPr="006112C6">
              <w:t>Community housing</w:t>
            </w:r>
          </w:p>
        </w:tc>
        <w:tc>
          <w:tcPr>
            <w:tcW w:w="0" w:type="auto"/>
          </w:tcPr>
          <w:p w14:paraId="2EEFD84F" w14:textId="65BA5144" w:rsidR="0057005F" w:rsidRPr="00950A62" w:rsidRDefault="0057005F">
            <w:pPr>
              <w:pStyle w:val="Tabletext"/>
            </w:pPr>
            <w:r w:rsidRPr="00950A62">
              <w:t xml:space="preserve">Community housing is housing owned or managed by community housing providers. Community housing providers are regulated, not-for-profit organisations that specialise in housing </w:t>
            </w:r>
            <w:r w:rsidR="00AE039C">
              <w:t>a</w:t>
            </w:r>
            <w:r w:rsidRPr="00950A62">
              <w:t xml:space="preserve"> diverse range of </w:t>
            </w:r>
            <w:r w:rsidR="004622AC">
              <w:t>renters</w:t>
            </w:r>
            <w:r w:rsidRPr="00950A62">
              <w:t xml:space="preserve"> that require both public and affordable homes.</w:t>
            </w:r>
          </w:p>
        </w:tc>
      </w:tr>
      <w:tr w:rsidR="0057005F" w:rsidRPr="001230FA" w14:paraId="5B536CF8" w14:textId="77777777" w:rsidTr="00D02511">
        <w:trPr>
          <w:trHeight w:val="300"/>
        </w:trPr>
        <w:tc>
          <w:tcPr>
            <w:tcW w:w="0" w:type="auto"/>
          </w:tcPr>
          <w:p w14:paraId="317DCDC1" w14:textId="58D22B5A" w:rsidR="0057005F" w:rsidRPr="001230FA" w:rsidRDefault="0057005F">
            <w:pPr>
              <w:pStyle w:val="Tabletext"/>
            </w:pPr>
            <w:r w:rsidRPr="001230FA">
              <w:t>Complex Needs Coordinator</w:t>
            </w:r>
            <w:r w:rsidR="00AE039C">
              <w:t xml:space="preserve"> </w:t>
            </w:r>
          </w:p>
        </w:tc>
        <w:tc>
          <w:tcPr>
            <w:tcW w:w="0" w:type="auto"/>
          </w:tcPr>
          <w:p w14:paraId="424B3C41" w14:textId="43AC1F6D" w:rsidR="0057005F" w:rsidRPr="001230FA" w:rsidRDefault="00BF260C">
            <w:pPr>
              <w:pStyle w:val="Tabletext"/>
            </w:pPr>
            <w:r>
              <w:t>Departmental s</w:t>
            </w:r>
            <w:r w:rsidR="0057005F" w:rsidRPr="001230FA">
              <w:t>taff providing consultation</w:t>
            </w:r>
            <w:r w:rsidR="00AE039C">
              <w:t xml:space="preserve"> for </w:t>
            </w:r>
            <w:r w:rsidR="0057005F" w:rsidRPr="001230FA">
              <w:t xml:space="preserve">MACNI, SfHRT, AOS pilot program and broader complex needs </w:t>
            </w:r>
            <w:r w:rsidR="00AE039C">
              <w:t>cohorts</w:t>
            </w:r>
            <w:r w:rsidR="0057005F" w:rsidRPr="001230FA">
              <w:t xml:space="preserve">. To support improved client outcomes, </w:t>
            </w:r>
            <w:r w:rsidR="00912FB8">
              <w:t>these</w:t>
            </w:r>
            <w:r w:rsidR="0057005F" w:rsidRPr="001230FA">
              <w:t xml:space="preserve"> </w:t>
            </w:r>
            <w:r w:rsidR="00912FB8">
              <w:t>c</w:t>
            </w:r>
            <w:r w:rsidR="0057005F" w:rsidRPr="001230FA">
              <w:t>oordinator</w:t>
            </w:r>
            <w:r w:rsidR="00AE039C">
              <w:t>s</w:t>
            </w:r>
            <w:r w:rsidR="0057005F" w:rsidRPr="001230FA">
              <w:t xml:space="preserve"> </w:t>
            </w:r>
            <w:r w:rsidR="00AE039C">
              <w:t xml:space="preserve">provide consultation and service coordination support to the existing service system, assisting with </w:t>
            </w:r>
            <w:r w:rsidR="0057005F" w:rsidRPr="001230FA">
              <w:t xml:space="preserve">service system </w:t>
            </w:r>
            <w:r w:rsidR="00AE039C">
              <w:t xml:space="preserve">navigation to identify appropriate service responses for clients, </w:t>
            </w:r>
            <w:r w:rsidR="0057005F" w:rsidRPr="001230FA">
              <w:t>advocacy as required</w:t>
            </w:r>
            <w:r w:rsidR="00AE039C">
              <w:t>, and support the functions of the Complex Needs Panels</w:t>
            </w:r>
            <w:r w:rsidR="0057005F" w:rsidRPr="001230FA">
              <w:t>.</w:t>
            </w:r>
            <w:r w:rsidR="00AE039C">
              <w:t xml:space="preserve"> Complex Needs Coordinators do not directly </w:t>
            </w:r>
            <w:r w:rsidR="00E005AC">
              <w:t>work with</w:t>
            </w:r>
            <w:r w:rsidR="00AE039C">
              <w:t xml:space="preserve"> people with complex needs.</w:t>
            </w:r>
          </w:p>
        </w:tc>
      </w:tr>
      <w:tr w:rsidR="0057005F" w:rsidRPr="00954404" w14:paraId="4FF8969E" w14:textId="77777777" w:rsidTr="00D02511">
        <w:trPr>
          <w:trHeight w:val="300"/>
        </w:trPr>
        <w:tc>
          <w:tcPr>
            <w:tcW w:w="0" w:type="auto"/>
          </w:tcPr>
          <w:p w14:paraId="2A883A64" w14:textId="77777777" w:rsidR="0057005F" w:rsidRPr="001230FA" w:rsidRDefault="0057005F">
            <w:pPr>
              <w:pStyle w:val="Tabletext"/>
            </w:pPr>
            <w:r>
              <w:lastRenderedPageBreak/>
              <w:t>Complex Needs Project</w:t>
            </w:r>
          </w:p>
        </w:tc>
        <w:tc>
          <w:tcPr>
            <w:tcW w:w="0" w:type="auto"/>
          </w:tcPr>
          <w:p w14:paraId="4734CF11" w14:textId="4FA17945" w:rsidR="0057005F" w:rsidRPr="001230FA" w:rsidRDefault="0057005F">
            <w:pPr>
              <w:pStyle w:val="Tabletext"/>
            </w:pPr>
            <w:r>
              <w:t>The Complex Needs Project drive</w:t>
            </w:r>
            <w:r w:rsidR="00B321BE">
              <w:t>s</w:t>
            </w:r>
            <w:r>
              <w:t xml:space="preserve"> policy and service initiatives across the Department of Families Fairness and Housing and the Department of Health to improve the service system response for people with complex needs who experience significant service system gaps and pose an unacceptable risk of harm to others.</w:t>
            </w:r>
          </w:p>
        </w:tc>
      </w:tr>
      <w:tr w:rsidR="0057005F" w:rsidRPr="001230FA" w14:paraId="02555232" w14:textId="77777777" w:rsidTr="00D02511">
        <w:trPr>
          <w:trHeight w:val="300"/>
        </w:trPr>
        <w:tc>
          <w:tcPr>
            <w:tcW w:w="0" w:type="auto"/>
          </w:tcPr>
          <w:p w14:paraId="0EB70444" w14:textId="77777777" w:rsidR="0057005F" w:rsidRPr="001230FA" w:rsidRDefault="0057005F">
            <w:pPr>
              <w:pStyle w:val="Tabletext"/>
            </w:pPr>
            <w:r w:rsidRPr="001230FA">
              <w:t>Complex Needs Panel</w:t>
            </w:r>
          </w:p>
        </w:tc>
        <w:tc>
          <w:tcPr>
            <w:tcW w:w="0" w:type="auto"/>
          </w:tcPr>
          <w:p w14:paraId="1E2B6884" w14:textId="2D9DD2F4" w:rsidR="0057005F" w:rsidRPr="001230FA" w:rsidRDefault="0057005F">
            <w:pPr>
              <w:pStyle w:val="Tabletext"/>
            </w:pPr>
            <w:r w:rsidRPr="001230FA">
              <w:t>Area-based panels provid</w:t>
            </w:r>
            <w:r w:rsidR="00AE039C">
              <w:t>e</w:t>
            </w:r>
            <w:r w:rsidRPr="001230FA">
              <w:t xml:space="preserve"> a formal mechanism for review, consultation and </w:t>
            </w:r>
            <w:r w:rsidR="00AE039C">
              <w:t xml:space="preserve">shared </w:t>
            </w:r>
            <w:r w:rsidRPr="001230FA">
              <w:t xml:space="preserve">decision making for </w:t>
            </w:r>
            <w:r w:rsidR="00AE039C">
              <w:t>people</w:t>
            </w:r>
            <w:r w:rsidRPr="001230FA">
              <w:t xml:space="preserve"> with complex needs. Complex Needs Panels also assume specific responsibilit</w:t>
            </w:r>
            <w:r w:rsidR="00AE039C">
              <w:t>ies</w:t>
            </w:r>
            <w:r w:rsidRPr="001230FA">
              <w:t xml:space="preserve"> for clients eligible for the Multiple and Complex Needs Initiative (MACNI).</w:t>
            </w:r>
          </w:p>
        </w:tc>
      </w:tr>
      <w:tr w:rsidR="0057005F" w:rsidRPr="001230FA" w14:paraId="08920AAB" w14:textId="77777777" w:rsidTr="00D02511">
        <w:trPr>
          <w:trHeight w:val="300"/>
        </w:trPr>
        <w:tc>
          <w:tcPr>
            <w:tcW w:w="0" w:type="auto"/>
          </w:tcPr>
          <w:p w14:paraId="6809D17D" w14:textId="77777777" w:rsidR="0057005F" w:rsidRPr="001230FA" w:rsidRDefault="0057005F">
            <w:pPr>
              <w:pStyle w:val="Tabletext"/>
            </w:pPr>
            <w:r w:rsidRPr="001230FA">
              <w:t>Consultation</w:t>
            </w:r>
          </w:p>
        </w:tc>
        <w:tc>
          <w:tcPr>
            <w:tcW w:w="0" w:type="auto"/>
          </w:tcPr>
          <w:p w14:paraId="5BB6A2D7" w14:textId="0FF02F3D" w:rsidR="0057005F" w:rsidRPr="001230FA" w:rsidRDefault="0057005F">
            <w:pPr>
              <w:pStyle w:val="Tabletext"/>
            </w:pPr>
            <w:r w:rsidRPr="001230FA">
              <w:t xml:space="preserve">Consultation </w:t>
            </w:r>
            <w:r w:rsidR="00E005AC">
              <w:t>is</w:t>
            </w:r>
            <w:r w:rsidRPr="001230FA">
              <w:t xml:space="preserve"> provided </w:t>
            </w:r>
            <w:r w:rsidR="003C4C7C">
              <w:t xml:space="preserve">to </w:t>
            </w:r>
            <w:r w:rsidR="00AE039C">
              <w:t xml:space="preserve">the service system </w:t>
            </w:r>
            <w:r w:rsidRPr="001230FA">
              <w:t xml:space="preserve">for </w:t>
            </w:r>
            <w:r w:rsidR="00AE039C">
              <w:t xml:space="preserve">people with </w:t>
            </w:r>
            <w:r w:rsidRPr="001230FA">
              <w:t xml:space="preserve">complex support needs. </w:t>
            </w:r>
            <w:r w:rsidR="00AE039C">
              <w:t xml:space="preserve">Consultation involves supporting the services to improve and stabilise their capacity to meet the needs of a person with complex needs. </w:t>
            </w:r>
            <w:r w:rsidRPr="001230FA">
              <w:t>Most referr</w:t>
            </w:r>
            <w:r w:rsidR="00BC7BEB">
              <w:t>als</w:t>
            </w:r>
            <w:r w:rsidRPr="001230FA">
              <w:t xml:space="preserve"> for consultation are supported by a Complex Needs Coordinator.</w:t>
            </w:r>
          </w:p>
        </w:tc>
      </w:tr>
      <w:tr w:rsidR="0057005F" w:rsidRPr="00975042" w14:paraId="1DBD7235" w14:textId="77777777" w:rsidTr="00D02511">
        <w:trPr>
          <w:trHeight w:val="300"/>
        </w:trPr>
        <w:tc>
          <w:tcPr>
            <w:tcW w:w="0" w:type="auto"/>
          </w:tcPr>
          <w:p w14:paraId="1A3D3A8F" w14:textId="37A5DCF2" w:rsidR="0057005F" w:rsidRPr="001230FA" w:rsidRDefault="0057005F">
            <w:pPr>
              <w:pStyle w:val="Tabletext"/>
            </w:pPr>
            <w:r>
              <w:t>Engagement Plan</w:t>
            </w:r>
            <w:r w:rsidR="0047298C">
              <w:t xml:space="preserve"> (EP)</w:t>
            </w:r>
          </w:p>
        </w:tc>
        <w:tc>
          <w:tcPr>
            <w:tcW w:w="0" w:type="auto"/>
          </w:tcPr>
          <w:p w14:paraId="39FC43AF" w14:textId="09C83494" w:rsidR="0057005F" w:rsidRPr="001230FA" w:rsidRDefault="0057005F">
            <w:pPr>
              <w:pStyle w:val="Tabletext"/>
            </w:pPr>
            <w:r>
              <w:t xml:space="preserve">Engagement </w:t>
            </w:r>
            <w:r w:rsidR="00EC4336">
              <w:t>p</w:t>
            </w:r>
            <w:r>
              <w:t xml:space="preserve">lans are used in AOS. </w:t>
            </w:r>
            <w:r w:rsidR="00BF47F6">
              <w:t>A plan</w:t>
            </w:r>
            <w:r>
              <w:t xml:space="preserve"> is created by </w:t>
            </w:r>
            <w:r w:rsidR="003A7F3D">
              <w:t>an</w:t>
            </w:r>
            <w:r>
              <w:t xml:space="preserve"> AOS </w:t>
            </w:r>
            <w:r w:rsidR="00ED20B8">
              <w:t>s</w:t>
            </w:r>
            <w:r>
              <w:t xml:space="preserve">ervice </w:t>
            </w:r>
            <w:r w:rsidR="00EC4336">
              <w:t>p</w:t>
            </w:r>
            <w:r>
              <w:t>rovider and identif</w:t>
            </w:r>
            <w:r w:rsidR="003A7F3D">
              <w:t xml:space="preserve">ies </w:t>
            </w:r>
            <w:r>
              <w:t>creative strategies the provider will use to maintain open communication with the client and encourage their participation in the AOS pilot program.</w:t>
            </w:r>
          </w:p>
        </w:tc>
      </w:tr>
      <w:tr w:rsidR="0057005F" w:rsidRPr="001230FA" w14:paraId="6A61B4C2" w14:textId="77777777" w:rsidTr="00D02511">
        <w:trPr>
          <w:trHeight w:val="300"/>
        </w:trPr>
        <w:tc>
          <w:tcPr>
            <w:tcW w:w="0" w:type="auto"/>
          </w:tcPr>
          <w:p w14:paraId="07D328BC" w14:textId="77777777" w:rsidR="0057005F" w:rsidRPr="001230FA" w:rsidRDefault="0057005F">
            <w:pPr>
              <w:pStyle w:val="Tabletext"/>
            </w:pPr>
            <w:r w:rsidRPr="001230FA">
              <w:t>Formal MACNI</w:t>
            </w:r>
          </w:p>
        </w:tc>
        <w:tc>
          <w:tcPr>
            <w:tcW w:w="0" w:type="auto"/>
          </w:tcPr>
          <w:p w14:paraId="4ACE60BB" w14:textId="5D511F60" w:rsidR="0057005F" w:rsidRPr="001230FA" w:rsidRDefault="0057005F">
            <w:pPr>
              <w:pStyle w:val="Tabletext"/>
            </w:pPr>
            <w:r w:rsidRPr="001230FA">
              <w:t xml:space="preserve">A </w:t>
            </w:r>
            <w:r w:rsidR="00A70331">
              <w:t xml:space="preserve">service phase where the client </w:t>
            </w:r>
            <w:r w:rsidRPr="001230FA">
              <w:t xml:space="preserve">has been deemed eligible under the </w:t>
            </w:r>
            <w:r w:rsidRPr="006D2789">
              <w:rPr>
                <w:i/>
                <w:iCs/>
              </w:rPr>
              <w:t>Human Services (Complex Needs) Act 2009</w:t>
            </w:r>
            <w:r w:rsidRPr="001230FA">
              <w:t xml:space="preserve">. </w:t>
            </w:r>
            <w:r w:rsidR="00D84453">
              <w:t xml:space="preserve">The client </w:t>
            </w:r>
            <w:r w:rsidR="007013AF">
              <w:t xml:space="preserve">is supported by a care plan, based on </w:t>
            </w:r>
            <w:r w:rsidRPr="001230FA">
              <w:t>a comprehensive assessment</w:t>
            </w:r>
            <w:r w:rsidR="003A7F3D">
              <w:t>. A</w:t>
            </w:r>
            <w:r w:rsidRPr="001230FA">
              <w:t xml:space="preserve"> </w:t>
            </w:r>
            <w:r w:rsidR="003A7F3D">
              <w:t>c</w:t>
            </w:r>
            <w:r w:rsidRPr="001230FA">
              <w:t xml:space="preserve">are </w:t>
            </w:r>
            <w:r w:rsidR="003A7F3D">
              <w:t>p</w:t>
            </w:r>
            <w:r w:rsidRPr="001230FA">
              <w:t xml:space="preserve">lan </w:t>
            </w:r>
            <w:r w:rsidR="003A7F3D">
              <w:t>c</w:t>
            </w:r>
            <w:r w:rsidRPr="001230FA">
              <w:t>oordinator is appointed</w:t>
            </w:r>
            <w:r w:rsidR="003A7F3D">
              <w:t xml:space="preserve"> to support the coordination of the plan</w:t>
            </w:r>
            <w:r w:rsidRPr="001230FA">
              <w:t>.</w:t>
            </w:r>
          </w:p>
        </w:tc>
      </w:tr>
      <w:tr w:rsidR="0057005F" w:rsidRPr="001230FA" w14:paraId="38234BF4" w14:textId="77777777" w:rsidTr="00D02511">
        <w:trPr>
          <w:trHeight w:val="300"/>
        </w:trPr>
        <w:tc>
          <w:tcPr>
            <w:tcW w:w="0" w:type="auto"/>
          </w:tcPr>
          <w:p w14:paraId="6BAEDE1A" w14:textId="77777777" w:rsidR="0057005F" w:rsidRPr="001230FA" w:rsidRDefault="0057005F">
            <w:pPr>
              <w:pStyle w:val="Tabletext"/>
            </w:pPr>
            <w:r w:rsidRPr="001230FA">
              <w:t>High-risk tenancy</w:t>
            </w:r>
          </w:p>
        </w:tc>
        <w:tc>
          <w:tcPr>
            <w:tcW w:w="0" w:type="auto"/>
          </w:tcPr>
          <w:p w14:paraId="2E8B7C10" w14:textId="72417A99" w:rsidR="0057005F" w:rsidRPr="001230FA" w:rsidRDefault="0057005F">
            <w:pPr>
              <w:pStyle w:val="Tabletext"/>
            </w:pPr>
            <w:r w:rsidRPr="001230FA">
              <w:t xml:space="preserve">A tenancy that is at high-risk of failure (breach or eviction) </w:t>
            </w:r>
            <w:r w:rsidR="003A7F3D">
              <w:t>due to</w:t>
            </w:r>
            <w:r w:rsidRPr="001230FA">
              <w:t xml:space="preserve"> the negative impact of the </w:t>
            </w:r>
            <w:r w:rsidR="00B321BE">
              <w:t>renter</w:t>
            </w:r>
            <w:r w:rsidRPr="001230FA">
              <w:t>’s social, health and/or welfare circumstances on their ability to responsibly manage the tenancy.</w:t>
            </w:r>
          </w:p>
        </w:tc>
      </w:tr>
      <w:tr w:rsidR="0057005F" w:rsidRPr="00A53EAE" w14:paraId="3DCE6EAC" w14:textId="77777777" w:rsidTr="00D02511">
        <w:trPr>
          <w:trHeight w:val="300"/>
        </w:trPr>
        <w:tc>
          <w:tcPr>
            <w:tcW w:w="0" w:type="auto"/>
          </w:tcPr>
          <w:p w14:paraId="3D2596D3" w14:textId="77777777" w:rsidR="0057005F" w:rsidRPr="006112C6" w:rsidRDefault="0057005F">
            <w:pPr>
              <w:pStyle w:val="Tabletext"/>
            </w:pPr>
            <w:r w:rsidRPr="006112C6">
              <w:t>Hoarding</w:t>
            </w:r>
          </w:p>
        </w:tc>
        <w:tc>
          <w:tcPr>
            <w:tcW w:w="0" w:type="auto"/>
          </w:tcPr>
          <w:p w14:paraId="6617E58E" w14:textId="127C0FF4" w:rsidR="0057005F" w:rsidRPr="003D2F39" w:rsidRDefault="0057005F">
            <w:pPr>
              <w:pStyle w:val="Tabletext"/>
            </w:pPr>
            <w:r w:rsidRPr="003D2F39">
              <w:t xml:space="preserve">Hoarding is a behavioural </w:t>
            </w:r>
            <w:r w:rsidR="00B321BE">
              <w:t xml:space="preserve">/ </w:t>
            </w:r>
            <w:r w:rsidRPr="003D2F39">
              <w:t>mental health condition</w:t>
            </w:r>
            <w:r w:rsidR="00CE5059">
              <w:t xml:space="preserve"> which </w:t>
            </w:r>
            <w:r w:rsidR="00B321BE">
              <w:t xml:space="preserve">involves </w:t>
            </w:r>
            <w:r w:rsidRPr="003D2F39">
              <w:t>persistent accumulation of, and lack of ability to relinquish, large numbers of objects</w:t>
            </w:r>
            <w:r w:rsidR="00B321BE">
              <w:t>/</w:t>
            </w:r>
            <w:r w:rsidRPr="003D2F39">
              <w:t xml:space="preserve">animals, resulting in extreme clutter in or around premises. </w:t>
            </w:r>
          </w:p>
        </w:tc>
      </w:tr>
      <w:tr w:rsidR="0057005F" w:rsidRPr="00A36F0B" w14:paraId="4CE23B82" w14:textId="77777777" w:rsidTr="00D02511">
        <w:trPr>
          <w:trHeight w:val="300"/>
        </w:trPr>
        <w:tc>
          <w:tcPr>
            <w:tcW w:w="0" w:type="auto"/>
          </w:tcPr>
          <w:p w14:paraId="17EC9ECD" w14:textId="63F97ED1" w:rsidR="0057005F" w:rsidRPr="006112C6" w:rsidRDefault="0057005F">
            <w:pPr>
              <w:pStyle w:val="Tabletext"/>
            </w:pPr>
            <w:r w:rsidRPr="006112C6">
              <w:t xml:space="preserve">Individual </w:t>
            </w:r>
            <w:r w:rsidR="003A7F3D">
              <w:t>s</w:t>
            </w:r>
            <w:r w:rsidRPr="006112C6">
              <w:t xml:space="preserve">upport </w:t>
            </w:r>
            <w:r w:rsidR="003A7F3D">
              <w:t>p</w:t>
            </w:r>
            <w:r w:rsidRPr="006112C6">
              <w:t>lan</w:t>
            </w:r>
            <w:r>
              <w:t xml:space="preserve"> (ISP)</w:t>
            </w:r>
          </w:p>
        </w:tc>
        <w:tc>
          <w:tcPr>
            <w:tcW w:w="0" w:type="auto"/>
          </w:tcPr>
          <w:p w14:paraId="48219F1F" w14:textId="3DB264F5" w:rsidR="0057005F" w:rsidRPr="00A36F0B" w:rsidRDefault="0057005F">
            <w:pPr>
              <w:pStyle w:val="Tabletext"/>
            </w:pPr>
            <w:r>
              <w:t xml:space="preserve">An </w:t>
            </w:r>
            <w:r w:rsidR="003A7F3D">
              <w:t>i</w:t>
            </w:r>
            <w:r>
              <w:t xml:space="preserve">ndividual </w:t>
            </w:r>
            <w:r w:rsidR="003A7F3D">
              <w:t>s</w:t>
            </w:r>
            <w:r>
              <w:t xml:space="preserve">upport </w:t>
            </w:r>
            <w:r w:rsidR="003A7F3D">
              <w:t>p</w:t>
            </w:r>
            <w:r>
              <w:t>lan is a person-centred planning document used in AOS. It includes client’s goals, supports need</w:t>
            </w:r>
            <w:r w:rsidR="00B321BE">
              <w:t xml:space="preserve">ed </w:t>
            </w:r>
            <w:r>
              <w:t xml:space="preserve">to </w:t>
            </w:r>
            <w:r w:rsidR="00B321BE">
              <w:t xml:space="preserve">achieve </w:t>
            </w:r>
            <w:r>
              <w:t xml:space="preserve">goals, </w:t>
            </w:r>
            <w:r w:rsidR="0047298C">
              <w:t xml:space="preserve">implementation </w:t>
            </w:r>
            <w:r>
              <w:t xml:space="preserve">strategies, how the service provider will support </w:t>
            </w:r>
            <w:r w:rsidR="0047298C">
              <w:t xml:space="preserve">goal </w:t>
            </w:r>
            <w:r>
              <w:t>achieve</w:t>
            </w:r>
            <w:r w:rsidR="0047298C">
              <w:t>ment</w:t>
            </w:r>
            <w:r>
              <w:t xml:space="preserve"> and the </w:t>
            </w:r>
            <w:r w:rsidR="00B321BE">
              <w:t xml:space="preserve">next review </w:t>
            </w:r>
            <w:r>
              <w:t>date.</w:t>
            </w:r>
          </w:p>
        </w:tc>
      </w:tr>
      <w:tr w:rsidR="00476765" w:rsidRPr="00A36F0B" w14:paraId="170A11C9" w14:textId="77777777" w:rsidTr="00D02511">
        <w:trPr>
          <w:trHeight w:val="300"/>
        </w:trPr>
        <w:tc>
          <w:tcPr>
            <w:tcW w:w="0" w:type="auto"/>
          </w:tcPr>
          <w:p w14:paraId="4D35A56C" w14:textId="0FEB8144" w:rsidR="00476765" w:rsidRPr="006112C6" w:rsidRDefault="00476765" w:rsidP="00476765">
            <w:pPr>
              <w:pStyle w:val="Tabletext"/>
            </w:pPr>
            <w:r w:rsidRPr="006112C6">
              <w:t>Person with complex needs</w:t>
            </w:r>
          </w:p>
        </w:tc>
        <w:tc>
          <w:tcPr>
            <w:tcW w:w="0" w:type="auto"/>
          </w:tcPr>
          <w:p w14:paraId="58CAD509" w14:textId="77777777" w:rsidR="00476765" w:rsidRDefault="00476765" w:rsidP="00476765">
            <w:pPr>
              <w:pStyle w:val="Tabletext"/>
            </w:pPr>
            <w:r w:rsidRPr="006112C6">
              <w:t>A person with complex needs experiences intersecting health, social, forensic, housing, substance use issues</w:t>
            </w:r>
            <w:r>
              <w:t>.</w:t>
            </w:r>
          </w:p>
          <w:p w14:paraId="785B911C" w14:textId="77777777" w:rsidR="00476765" w:rsidRPr="006112C6" w:rsidRDefault="00476765" w:rsidP="00476765">
            <w:pPr>
              <w:pStyle w:val="Tabletext"/>
            </w:pPr>
            <w:r>
              <w:t xml:space="preserve">The person </w:t>
            </w:r>
            <w:r w:rsidRPr="006112C6">
              <w:t>would benefit from enhanced s</w:t>
            </w:r>
            <w:r>
              <w:t>upport</w:t>
            </w:r>
            <w:r w:rsidRPr="006112C6">
              <w:t xml:space="preserve"> due to: </w:t>
            </w:r>
          </w:p>
          <w:p w14:paraId="6BDACD04" w14:textId="77777777" w:rsidR="00476765" w:rsidRDefault="00476765" w:rsidP="00476765">
            <w:pPr>
              <w:pStyle w:val="Tablebullet1"/>
            </w:pPr>
            <w:r>
              <w:t xml:space="preserve">the presence of complexity and/or multiplicity of support needs </w:t>
            </w:r>
          </w:p>
          <w:p w14:paraId="43F7F762" w14:textId="77777777" w:rsidR="00476765" w:rsidRDefault="00476765" w:rsidP="00476765">
            <w:pPr>
              <w:pStyle w:val="Tablebullet1"/>
            </w:pPr>
            <w:r>
              <w:t xml:space="preserve">unmet support need (s) </w:t>
            </w:r>
          </w:p>
          <w:p w14:paraId="1ADA37DB" w14:textId="77777777" w:rsidR="00476765" w:rsidRDefault="00476765" w:rsidP="00476765">
            <w:pPr>
              <w:pStyle w:val="Tablebullet1"/>
            </w:pPr>
            <w:r>
              <w:t xml:space="preserve">high-risk behaviours or community safety needs for which there are limited, no or fragmented service responses available </w:t>
            </w:r>
          </w:p>
          <w:p w14:paraId="409D8A73" w14:textId="77777777" w:rsidR="00476765" w:rsidRDefault="00476765" w:rsidP="00476765">
            <w:pPr>
              <w:pStyle w:val="Tablebullet1"/>
              <w:numPr>
                <w:ilvl w:val="0"/>
                <w:numId w:val="0"/>
              </w:numPr>
            </w:pPr>
            <w:r>
              <w:t>and</w:t>
            </w:r>
          </w:p>
          <w:p w14:paraId="68141352" w14:textId="77777777" w:rsidR="00476765" w:rsidRDefault="00476765" w:rsidP="00476765">
            <w:pPr>
              <w:pStyle w:val="Tablebullet1"/>
            </w:pPr>
            <w:r>
              <w:t xml:space="preserve">a targeted support response is required with additional resourcing, shared problem-solving, risk management, decision-making and /or enhanced service coordination </w:t>
            </w:r>
          </w:p>
          <w:p w14:paraId="1E17EDCA" w14:textId="3DE3D2A0" w:rsidR="00476765" w:rsidRDefault="00476765" w:rsidP="00476765">
            <w:pPr>
              <w:pStyle w:val="Tablebullet1"/>
            </w:pPr>
            <w:r>
              <w:t>independent expert input is required to stabilise and continue service provision.</w:t>
            </w:r>
          </w:p>
        </w:tc>
      </w:tr>
      <w:tr w:rsidR="0057005F" w:rsidRPr="00954404" w14:paraId="70E7C188" w14:textId="77777777" w:rsidTr="00D02511">
        <w:trPr>
          <w:trHeight w:val="300"/>
        </w:trPr>
        <w:tc>
          <w:tcPr>
            <w:tcW w:w="0" w:type="auto"/>
          </w:tcPr>
          <w:p w14:paraId="669AB373" w14:textId="77777777" w:rsidR="0057005F" w:rsidRPr="00954404" w:rsidRDefault="0057005F">
            <w:pPr>
              <w:pStyle w:val="Tabletext"/>
            </w:pPr>
            <w:r w:rsidRPr="00954404">
              <w:t>Pre-MACNI</w:t>
            </w:r>
          </w:p>
        </w:tc>
        <w:tc>
          <w:tcPr>
            <w:tcW w:w="0" w:type="auto"/>
          </w:tcPr>
          <w:p w14:paraId="57E33F4F" w14:textId="1828F1FB" w:rsidR="0057005F" w:rsidRPr="00954404" w:rsidRDefault="0057005F">
            <w:pPr>
              <w:pStyle w:val="Tabletext"/>
              <w:rPr>
                <w:lang w:eastAsia="en-AU"/>
              </w:rPr>
            </w:pPr>
            <w:r w:rsidRPr="00954404">
              <w:rPr>
                <w:lang w:eastAsia="en-AU"/>
              </w:rPr>
              <w:t xml:space="preserve">Pre-MACNI is </w:t>
            </w:r>
            <w:r w:rsidR="00B60414">
              <w:rPr>
                <w:lang w:eastAsia="en-AU"/>
              </w:rPr>
              <w:t xml:space="preserve">a support phase </w:t>
            </w:r>
            <w:r w:rsidRPr="00954404">
              <w:rPr>
                <w:lang w:eastAsia="en-AU"/>
              </w:rPr>
              <w:t>indicated where:</w:t>
            </w:r>
          </w:p>
          <w:p w14:paraId="44008F31" w14:textId="700C3D0A" w:rsidR="0057005F" w:rsidRPr="00954404" w:rsidRDefault="0057005F" w:rsidP="000E7482">
            <w:pPr>
              <w:pStyle w:val="Tablebullet1"/>
            </w:pPr>
            <w:r w:rsidRPr="00954404">
              <w:lastRenderedPageBreak/>
              <w:t xml:space="preserve">a </w:t>
            </w:r>
            <w:r w:rsidR="003A7F3D">
              <w:t>person</w:t>
            </w:r>
            <w:r w:rsidRPr="00954404">
              <w:t xml:space="preserve"> appears to meet the </w:t>
            </w:r>
            <w:r w:rsidRPr="00E974F9">
              <w:rPr>
                <w:i/>
                <w:iCs/>
              </w:rPr>
              <w:t xml:space="preserve">Human Services (Complex needs) Act 2009 </w:t>
            </w:r>
            <w:r w:rsidRPr="00954404">
              <w:t>eligibility criteria</w:t>
            </w:r>
          </w:p>
          <w:p w14:paraId="7B07B4FB" w14:textId="77777777" w:rsidR="003A7F3D" w:rsidRPr="003A7F3D" w:rsidRDefault="0057005F" w:rsidP="000E7482">
            <w:pPr>
              <w:pStyle w:val="Tablebullet1"/>
              <w:rPr>
                <w:lang w:val="en" w:eastAsia="en-AU"/>
              </w:rPr>
            </w:pPr>
            <w:r w:rsidRPr="00954404">
              <w:t xml:space="preserve">the </w:t>
            </w:r>
            <w:r w:rsidR="003A7F3D">
              <w:t>person’s</w:t>
            </w:r>
            <w:r w:rsidRPr="00954404">
              <w:t xml:space="preserve"> </w:t>
            </w:r>
            <w:r w:rsidR="003A7F3D">
              <w:t>support needs /</w:t>
            </w:r>
            <w:r w:rsidRPr="00954404">
              <w:t xml:space="preserve">issues were not able to be adequately resolved at the consultation stage </w:t>
            </w:r>
          </w:p>
          <w:p w14:paraId="71374890" w14:textId="28CF8C1C" w:rsidR="0057005F" w:rsidRPr="00954404" w:rsidRDefault="0057005F" w:rsidP="000E7482">
            <w:pPr>
              <w:pStyle w:val="Tablebullet1"/>
              <w:rPr>
                <w:lang w:val="en" w:eastAsia="en-AU"/>
              </w:rPr>
            </w:pPr>
            <w:r w:rsidRPr="00954404">
              <w:t xml:space="preserve">there is evidence to suggest that a particular intervention is likely to positively impact on the </w:t>
            </w:r>
            <w:r w:rsidR="003A7F3D">
              <w:t>person’s</w:t>
            </w:r>
            <w:r w:rsidRPr="00954404">
              <w:t xml:space="preserve"> situation and longer-term </w:t>
            </w:r>
            <w:r w:rsidR="003A7F3D" w:rsidRPr="00954404">
              <w:t>outcome</w:t>
            </w:r>
            <w:r w:rsidR="003A7F3D">
              <w:t xml:space="preserve"> and</w:t>
            </w:r>
            <w:r w:rsidRPr="00954404">
              <w:t xml:space="preserve"> reduce the progress</w:t>
            </w:r>
            <w:r w:rsidR="003A7F3D">
              <w:t>ion</w:t>
            </w:r>
            <w:r w:rsidRPr="00954404">
              <w:t xml:space="preserve"> to formal MACNI.</w:t>
            </w:r>
          </w:p>
        </w:tc>
      </w:tr>
      <w:tr w:rsidR="0057005F" w:rsidRPr="00A9550F" w14:paraId="604FBB6A" w14:textId="77777777" w:rsidTr="00D02511">
        <w:trPr>
          <w:trHeight w:val="300"/>
        </w:trPr>
        <w:tc>
          <w:tcPr>
            <w:tcW w:w="0" w:type="auto"/>
          </w:tcPr>
          <w:p w14:paraId="05F87D1D" w14:textId="77777777" w:rsidR="0057005F" w:rsidRPr="006112C6" w:rsidRDefault="0057005F">
            <w:pPr>
              <w:pStyle w:val="Tabletext"/>
            </w:pPr>
            <w:r w:rsidRPr="006112C6">
              <w:lastRenderedPageBreak/>
              <w:t>Public housing</w:t>
            </w:r>
          </w:p>
        </w:tc>
        <w:tc>
          <w:tcPr>
            <w:tcW w:w="0" w:type="auto"/>
          </w:tcPr>
          <w:p w14:paraId="28E47B02" w14:textId="6CA296F9" w:rsidR="0057005F" w:rsidRPr="006D3D76" w:rsidRDefault="0057005F">
            <w:pPr>
              <w:pStyle w:val="Tabletext"/>
            </w:pPr>
            <w:r w:rsidRPr="006D3D76">
              <w:t>Public housing is long-term housing owned and managed by Homes Victoria. It is for people on low incomes that are most in need, especially those who have recently experienced homelessness, family violence or have other special needs.</w:t>
            </w:r>
          </w:p>
        </w:tc>
      </w:tr>
      <w:tr w:rsidR="0057005F" w:rsidRPr="00745E4C" w14:paraId="5F4A2F25" w14:textId="77777777" w:rsidTr="00D02511">
        <w:trPr>
          <w:trHeight w:val="300"/>
        </w:trPr>
        <w:tc>
          <w:tcPr>
            <w:tcW w:w="0" w:type="auto"/>
          </w:tcPr>
          <w:p w14:paraId="3CCE4F9E" w14:textId="77777777" w:rsidR="0057005F" w:rsidRPr="006112C6" w:rsidRDefault="0057005F">
            <w:pPr>
              <w:pStyle w:val="Tabletext"/>
            </w:pPr>
            <w:r>
              <w:t>Service</w:t>
            </w:r>
            <w:r w:rsidRPr="006112C6">
              <w:t xml:space="preserve"> coordination</w:t>
            </w:r>
          </w:p>
        </w:tc>
        <w:tc>
          <w:tcPr>
            <w:tcW w:w="0" w:type="auto"/>
          </w:tcPr>
          <w:p w14:paraId="51D12375" w14:textId="7AE95778" w:rsidR="0057005F" w:rsidRPr="00745E4C" w:rsidRDefault="0057005F">
            <w:pPr>
              <w:pStyle w:val="Tabletext"/>
            </w:pPr>
            <w:r>
              <w:rPr>
                <w:lang w:val="en" w:eastAsia="en-AU"/>
              </w:rPr>
              <w:t>Servic</w:t>
            </w:r>
            <w:r w:rsidRPr="00745E4C">
              <w:rPr>
                <w:lang w:val="en" w:eastAsia="en-AU"/>
              </w:rPr>
              <w:t xml:space="preserve">e coordination is focused on </w:t>
            </w:r>
            <w:r w:rsidR="00444104">
              <w:rPr>
                <w:lang w:val="en" w:eastAsia="en-AU"/>
              </w:rPr>
              <w:t xml:space="preserve">service </w:t>
            </w:r>
            <w:r w:rsidRPr="00745E4C">
              <w:rPr>
                <w:lang w:val="en" w:eastAsia="en-AU"/>
              </w:rPr>
              <w:t xml:space="preserve">system collaboration </w:t>
            </w:r>
            <w:r w:rsidR="00444104">
              <w:rPr>
                <w:lang w:val="en" w:eastAsia="en-AU"/>
              </w:rPr>
              <w:t xml:space="preserve">and integration so that engaged services can more effectively meet the needs of client. It is not direct client support. </w:t>
            </w:r>
          </w:p>
        </w:tc>
      </w:tr>
      <w:tr w:rsidR="0057005F" w:rsidRPr="001230FA" w14:paraId="61F56EC9" w14:textId="77777777" w:rsidTr="00D02511">
        <w:trPr>
          <w:trHeight w:val="300"/>
        </w:trPr>
        <w:tc>
          <w:tcPr>
            <w:tcW w:w="0" w:type="auto"/>
          </w:tcPr>
          <w:p w14:paraId="5BDA37EB" w14:textId="77777777" w:rsidR="0057005F" w:rsidRPr="001230FA" w:rsidRDefault="0057005F">
            <w:pPr>
              <w:pStyle w:val="Tabletext"/>
            </w:pPr>
            <w:r w:rsidRPr="001230FA">
              <w:t>Social housing</w:t>
            </w:r>
          </w:p>
        </w:tc>
        <w:tc>
          <w:tcPr>
            <w:tcW w:w="0" w:type="auto"/>
          </w:tcPr>
          <w:p w14:paraId="5DA0193F" w14:textId="52324136" w:rsidR="0057005F" w:rsidRPr="001230FA" w:rsidRDefault="0057005F">
            <w:pPr>
              <w:pStyle w:val="Tabletext"/>
            </w:pPr>
            <w:r w:rsidRPr="001230FA">
              <w:t xml:space="preserve">Social housing is short and long-term housing owned and </w:t>
            </w:r>
            <w:r w:rsidR="00444104">
              <w:t xml:space="preserve">managed </w:t>
            </w:r>
            <w:r w:rsidRPr="001230FA">
              <w:t xml:space="preserve">by the government or not-for-profit agencies. Social housing is made up of public housing and community housing. It generally indicates housing that involves </w:t>
            </w:r>
            <w:r w:rsidR="00444104">
              <w:t xml:space="preserve">rental </w:t>
            </w:r>
            <w:r w:rsidRPr="001230FA">
              <w:t>subsidy.</w:t>
            </w:r>
          </w:p>
        </w:tc>
      </w:tr>
      <w:tr w:rsidR="00880B59" w:rsidRPr="001230FA" w14:paraId="353A2BAA" w14:textId="77777777" w:rsidTr="00D02511">
        <w:trPr>
          <w:trHeight w:val="300"/>
        </w:trPr>
        <w:tc>
          <w:tcPr>
            <w:tcW w:w="0" w:type="auto"/>
          </w:tcPr>
          <w:p w14:paraId="435F4255" w14:textId="660C4E91" w:rsidR="00880B59" w:rsidRPr="001230FA" w:rsidRDefault="00880B59" w:rsidP="00880B59">
            <w:pPr>
              <w:pStyle w:val="Tabletext"/>
            </w:pPr>
            <w:r w:rsidRPr="003A7F3D">
              <w:t>Statewide Complex Needs Advisory Panel (SCNAP)</w:t>
            </w:r>
          </w:p>
        </w:tc>
        <w:tc>
          <w:tcPr>
            <w:tcW w:w="0" w:type="auto"/>
          </w:tcPr>
          <w:p w14:paraId="3880834E" w14:textId="012EEB45" w:rsidR="00880B59" w:rsidRPr="001230FA" w:rsidRDefault="00880B59" w:rsidP="00880B59">
            <w:pPr>
              <w:pStyle w:val="Tabletext"/>
            </w:pPr>
            <w:r>
              <w:t xml:space="preserve">SCNAP provides multi-disciplinary clinical consultation and advice, and oversight of service responses for people who have complex needs and/or are subject to </w:t>
            </w:r>
            <w:r w:rsidRPr="00CB0518">
              <w:t xml:space="preserve">the proceedings or </w:t>
            </w:r>
            <w:r w:rsidRPr="005B1FF9">
              <w:rPr>
                <w:i/>
                <w:iCs/>
              </w:rPr>
              <w:t>Crimes (Mental Impairment and Unfitness to be Tried) Act</w:t>
            </w:r>
            <w:r w:rsidRPr="00CB0518">
              <w:t xml:space="preserve"> supervision orders;</w:t>
            </w:r>
            <w:r>
              <w:t xml:space="preserve"> and people who are within the target cohort for the Complex Needs Project Initiatives, including the AOS pilot program.</w:t>
            </w:r>
          </w:p>
        </w:tc>
      </w:tr>
      <w:tr w:rsidR="0057005F" w:rsidRPr="001230FA" w14:paraId="27FA62FE" w14:textId="77777777" w:rsidTr="00D02511">
        <w:trPr>
          <w:trHeight w:val="300"/>
        </w:trPr>
        <w:tc>
          <w:tcPr>
            <w:tcW w:w="0" w:type="auto"/>
          </w:tcPr>
          <w:p w14:paraId="1FA7FA40" w14:textId="5441CDCD" w:rsidR="0057005F" w:rsidRPr="001230FA" w:rsidRDefault="0057005F">
            <w:pPr>
              <w:pStyle w:val="Tabletext"/>
            </w:pPr>
            <w:r w:rsidRPr="001230FA">
              <w:t xml:space="preserve">Support for </w:t>
            </w:r>
            <w:r w:rsidR="00F54D90" w:rsidRPr="001230FA">
              <w:t>High-Risk</w:t>
            </w:r>
            <w:r w:rsidRPr="001230FA">
              <w:t xml:space="preserve"> Tenancies (SfHRT)</w:t>
            </w:r>
          </w:p>
        </w:tc>
        <w:tc>
          <w:tcPr>
            <w:tcW w:w="0" w:type="auto"/>
          </w:tcPr>
          <w:p w14:paraId="0A382BF1" w14:textId="17D4FDA2" w:rsidR="0057005F" w:rsidRPr="001230FA" w:rsidRDefault="0057005F">
            <w:pPr>
              <w:pStyle w:val="Tabletext"/>
            </w:pPr>
            <w:r w:rsidRPr="001230FA">
              <w:t xml:space="preserve">SfHRT provides targeted support for people with multiple and complex needs at risk of losing their </w:t>
            </w:r>
            <w:r w:rsidR="00444104">
              <w:t>public</w:t>
            </w:r>
            <w:r w:rsidRPr="001230FA">
              <w:t xml:space="preserve"> housing tenancy.</w:t>
            </w:r>
          </w:p>
        </w:tc>
      </w:tr>
      <w:tr w:rsidR="0057005F" w:rsidRPr="00A9550F" w14:paraId="2DD60E0E" w14:textId="77777777" w:rsidTr="00D02511">
        <w:trPr>
          <w:trHeight w:val="300"/>
        </w:trPr>
        <w:tc>
          <w:tcPr>
            <w:tcW w:w="0" w:type="auto"/>
          </w:tcPr>
          <w:p w14:paraId="31EA3335" w14:textId="77777777" w:rsidR="0057005F" w:rsidRPr="006112C6" w:rsidRDefault="0057005F">
            <w:pPr>
              <w:pStyle w:val="Tabletext"/>
            </w:pPr>
            <w:r w:rsidRPr="006112C6">
              <w:t>System navigation</w:t>
            </w:r>
          </w:p>
        </w:tc>
        <w:tc>
          <w:tcPr>
            <w:tcW w:w="0" w:type="auto"/>
          </w:tcPr>
          <w:p w14:paraId="00BB55C5" w14:textId="2F3A8481" w:rsidR="0057005F" w:rsidRPr="003D2F39" w:rsidRDefault="0057005F">
            <w:pPr>
              <w:pStyle w:val="Tabletext"/>
            </w:pPr>
            <w:r w:rsidRPr="003D2F39">
              <w:t xml:space="preserve">System navigation refers to tasks that enhance the capacity of the </w:t>
            </w:r>
            <w:r w:rsidRPr="003D2F39">
              <w:rPr>
                <w:rFonts w:eastAsia="Arial"/>
              </w:rPr>
              <w:t>client</w:t>
            </w:r>
            <w:r w:rsidRPr="003D2F39">
              <w:t xml:space="preserve"> (and the services and programs supporting them) to access available resources across multiple support systems due to service fragmentation. </w:t>
            </w:r>
            <w:r w:rsidRPr="007B0AAC">
              <w:t>System navigation helps improve integration by enhancing service</w:t>
            </w:r>
            <w:r w:rsidR="00444104">
              <w:t>s’</w:t>
            </w:r>
            <w:r w:rsidRPr="007B0AAC">
              <w:t xml:space="preserve"> knowledge and increasing timely access to support for clients.</w:t>
            </w:r>
          </w:p>
        </w:tc>
      </w:tr>
    </w:tbl>
    <w:p w14:paraId="66F6CFF2" w14:textId="77777777" w:rsidR="00E41301" w:rsidRPr="00B3660F" w:rsidRDefault="00E41301" w:rsidP="00B3660F">
      <w:pPr>
        <w:pStyle w:val="Body"/>
      </w:pPr>
      <w:bookmarkStart w:id="21" w:name="_Toc137636720"/>
      <w:r>
        <w:br w:type="page"/>
      </w:r>
    </w:p>
    <w:p w14:paraId="6ED30E4E" w14:textId="65E49BB8" w:rsidR="00B951E1" w:rsidRDefault="00B951E1" w:rsidP="00843D94">
      <w:pPr>
        <w:pStyle w:val="Heading1"/>
        <w:numPr>
          <w:ilvl w:val="0"/>
          <w:numId w:val="24"/>
        </w:numPr>
        <w:ind w:left="709" w:hanging="709"/>
      </w:pPr>
      <w:bookmarkStart w:id="22" w:name="_Toc145318556"/>
      <w:r>
        <w:lastRenderedPageBreak/>
        <w:t>Introduction</w:t>
      </w:r>
      <w:bookmarkEnd w:id="21"/>
      <w:bookmarkEnd w:id="22"/>
    </w:p>
    <w:p w14:paraId="31D8AE90" w14:textId="77777777" w:rsidR="00B951E1" w:rsidRDefault="00B951E1" w:rsidP="00E45E02">
      <w:pPr>
        <w:pStyle w:val="Heading2"/>
        <w:numPr>
          <w:ilvl w:val="1"/>
          <w:numId w:val="5"/>
        </w:numPr>
        <w:tabs>
          <w:tab w:val="num" w:pos="794"/>
        </w:tabs>
        <w:ind w:left="794" w:hanging="794"/>
      </w:pPr>
      <w:bookmarkStart w:id="23" w:name="_Toc137636721"/>
      <w:bookmarkStart w:id="24" w:name="_Toc145318557"/>
      <w:r>
        <w:t>Purpose of document</w:t>
      </w:r>
      <w:bookmarkEnd w:id="23"/>
      <w:bookmarkEnd w:id="24"/>
    </w:p>
    <w:p w14:paraId="20D40982" w14:textId="24676206" w:rsidR="00444104" w:rsidRDefault="00B951E1" w:rsidP="007573A1">
      <w:pPr>
        <w:pStyle w:val="Body"/>
      </w:pPr>
      <w:r w:rsidRPr="0048449C">
        <w:t>Th</w:t>
      </w:r>
      <w:r w:rsidR="00444104">
        <w:t>e</w:t>
      </w:r>
      <w:r w:rsidRPr="0048449C">
        <w:t xml:space="preserve"> </w:t>
      </w:r>
      <w:r w:rsidR="001577E2">
        <w:rPr>
          <w:i/>
          <w:iCs/>
        </w:rPr>
        <w:t>S</w:t>
      </w:r>
      <w:r w:rsidR="001577E2" w:rsidRPr="001577E2">
        <w:rPr>
          <w:i/>
          <w:iCs/>
        </w:rPr>
        <w:t>ervice provision framework: complex needs</w:t>
      </w:r>
      <w:r w:rsidRPr="0048449C">
        <w:t xml:space="preserve"> provides operational guidance to ensure consistent, transparent</w:t>
      </w:r>
      <w:r>
        <w:t>,</w:t>
      </w:r>
      <w:r w:rsidRPr="0048449C">
        <w:t xml:space="preserve"> and high-quality delivery of complex needs services across Victoria, including </w:t>
      </w:r>
      <w:r>
        <w:t>the Multiple and Complex Needs Initiative (</w:t>
      </w:r>
      <w:r w:rsidRPr="0048449C">
        <w:t>MACNI</w:t>
      </w:r>
      <w:r>
        <w:t>)</w:t>
      </w:r>
      <w:r w:rsidRPr="0048449C">
        <w:t xml:space="preserve">, </w:t>
      </w:r>
      <w:r>
        <w:t xml:space="preserve">Support for </w:t>
      </w:r>
      <w:r w:rsidR="00F54D90">
        <w:t>High-Risk</w:t>
      </w:r>
      <w:r>
        <w:t xml:space="preserve"> Tenancies (</w:t>
      </w:r>
      <w:r w:rsidRPr="0048449C">
        <w:t>SfHRT</w:t>
      </w:r>
      <w:r>
        <w:t>)</w:t>
      </w:r>
      <w:r w:rsidRPr="0048449C">
        <w:t xml:space="preserve"> and the </w:t>
      </w:r>
      <w:r w:rsidR="001A4770">
        <w:t>Assertive Outreach and Support</w:t>
      </w:r>
      <w:r>
        <w:t xml:space="preserve"> (</w:t>
      </w:r>
      <w:r w:rsidRPr="0048449C">
        <w:t>AOS</w:t>
      </w:r>
      <w:r>
        <w:t>) pilot program</w:t>
      </w:r>
      <w:r w:rsidRPr="0048449C">
        <w:t xml:space="preserve">. </w:t>
      </w:r>
    </w:p>
    <w:p w14:paraId="60AD9743" w14:textId="01392313" w:rsidR="00B951E1" w:rsidRPr="0048449C" w:rsidRDefault="00B951E1" w:rsidP="007573A1">
      <w:pPr>
        <w:pStyle w:val="Body"/>
      </w:pPr>
      <w:r w:rsidRPr="0048449C">
        <w:t xml:space="preserve">The intended audience for this document is any person </w:t>
      </w:r>
      <w:r w:rsidR="00444104">
        <w:t xml:space="preserve">or service </w:t>
      </w:r>
      <w:r w:rsidRPr="0048449C">
        <w:t xml:space="preserve">providing a service response for </w:t>
      </w:r>
      <w:r w:rsidR="00444104">
        <w:t>people</w:t>
      </w:r>
      <w:r w:rsidRPr="0048449C">
        <w:t xml:space="preserve"> with complex needs. </w:t>
      </w:r>
    </w:p>
    <w:p w14:paraId="1525154E" w14:textId="3EAA0EF6" w:rsidR="00B951E1" w:rsidRPr="00E925AC" w:rsidRDefault="00444104" w:rsidP="00E45E02">
      <w:pPr>
        <w:pStyle w:val="Heading2"/>
        <w:numPr>
          <w:ilvl w:val="1"/>
          <w:numId w:val="5"/>
        </w:numPr>
        <w:tabs>
          <w:tab w:val="num" w:pos="794"/>
        </w:tabs>
        <w:ind w:left="794" w:hanging="794"/>
      </w:pPr>
      <w:bookmarkStart w:id="25" w:name="_Toc137636722"/>
      <w:bookmarkStart w:id="26" w:name="_Toc145318558"/>
      <w:r>
        <w:t>T</w:t>
      </w:r>
      <w:r w:rsidR="00B951E1">
        <w:t>he need for complex service responses</w:t>
      </w:r>
      <w:bookmarkEnd w:id="25"/>
      <w:bookmarkEnd w:id="26"/>
    </w:p>
    <w:p w14:paraId="4AAF0590" w14:textId="1AF69E7F" w:rsidR="00B951E1" w:rsidRPr="00367C0B" w:rsidRDefault="00B951E1" w:rsidP="007573A1">
      <w:pPr>
        <w:pStyle w:val="Body"/>
      </w:pPr>
      <w:r w:rsidRPr="00367C0B">
        <w:t xml:space="preserve">The demand to respond proactively and with flexibility to </w:t>
      </w:r>
      <w:r w:rsidR="00444104">
        <w:t>people</w:t>
      </w:r>
      <w:r w:rsidRPr="00367C0B">
        <w:t xml:space="preserve"> with complex needs is </w:t>
      </w:r>
      <w:r w:rsidR="00444104">
        <w:t xml:space="preserve">ever </w:t>
      </w:r>
      <w:r w:rsidRPr="00367C0B">
        <w:t xml:space="preserve">growing, reflecting the continuing presence, and </w:t>
      </w:r>
      <w:r w:rsidR="00444104">
        <w:t xml:space="preserve">changing </w:t>
      </w:r>
      <w:r w:rsidRPr="00367C0B">
        <w:t xml:space="preserve">complexity in </w:t>
      </w:r>
      <w:r w:rsidR="00444104">
        <w:t>peoples’</w:t>
      </w:r>
      <w:r w:rsidRPr="00367C0B">
        <w:t xml:space="preserve"> presentation, including high-risk behaviours, complex mental health, </w:t>
      </w:r>
      <w:r>
        <w:t xml:space="preserve">trauma, </w:t>
      </w:r>
      <w:r w:rsidRPr="00367C0B">
        <w:t xml:space="preserve">substance misuse and greater concern for community safety. MACNI, SfHRT and the AOS pilot </w:t>
      </w:r>
      <w:r>
        <w:t xml:space="preserve">program </w:t>
      </w:r>
      <w:r w:rsidR="00444104">
        <w:t xml:space="preserve">are programmatic </w:t>
      </w:r>
      <w:r w:rsidRPr="00367C0B">
        <w:t>elements of this complex needs response</w:t>
      </w:r>
      <w:r w:rsidR="00444104">
        <w:t>.</w:t>
      </w:r>
      <w:r w:rsidRPr="00367C0B">
        <w:t xml:space="preserve"> </w:t>
      </w:r>
    </w:p>
    <w:p w14:paraId="25BD0718" w14:textId="592277F8" w:rsidR="00B951E1" w:rsidRDefault="00B951E1" w:rsidP="007573A1">
      <w:pPr>
        <w:pStyle w:val="Body"/>
      </w:pPr>
      <w:r w:rsidRPr="00745E4C">
        <w:t>Complex needs services are delivered through the collaboration of government, Aboriginal community-controlled organisations</w:t>
      </w:r>
      <w:r>
        <w:t>, health</w:t>
      </w:r>
      <w:r w:rsidR="00217D5D">
        <w:t>,</w:t>
      </w:r>
      <w:r w:rsidRPr="00745E4C">
        <w:t xml:space="preserve"> and community service organisations to provide services to people with complex support and coordination needs.</w:t>
      </w:r>
    </w:p>
    <w:p w14:paraId="5FC5F5B0" w14:textId="77777777" w:rsidR="00B951E1" w:rsidRDefault="00B951E1" w:rsidP="00E45E02">
      <w:pPr>
        <w:pStyle w:val="Heading2"/>
        <w:numPr>
          <w:ilvl w:val="1"/>
          <w:numId w:val="5"/>
        </w:numPr>
        <w:tabs>
          <w:tab w:val="num" w:pos="794"/>
        </w:tabs>
        <w:ind w:left="794" w:hanging="794"/>
      </w:pPr>
      <w:bookmarkStart w:id="27" w:name="_Toc137636723"/>
      <w:bookmarkStart w:id="28" w:name="_Toc145318559"/>
      <w:r>
        <w:t>Department of Families, Fairness and Housing</w:t>
      </w:r>
      <w:bookmarkEnd w:id="27"/>
      <w:bookmarkEnd w:id="28"/>
    </w:p>
    <w:p w14:paraId="486F5633" w14:textId="77777777" w:rsidR="00B951E1" w:rsidRDefault="00B951E1" w:rsidP="007573A1">
      <w:pPr>
        <w:pStyle w:val="Body"/>
      </w:pPr>
      <w:r>
        <w:t>The Department of Families, Fairness and Housing (the department) is responsible for the development and delivery of policies, programs and services that support and enhance the wellbeing of all Victorians. We take a broad view of the causes of ill health, the drivers of good health, the social and economic context in which people live, and of the incidence and experience of vulnerability. This allows us to place people at the heart of policymaking, service design and delivery.</w:t>
      </w:r>
    </w:p>
    <w:p w14:paraId="724AC6A1" w14:textId="7B6FF9EE" w:rsidR="00B951E1" w:rsidRPr="00DD4273" w:rsidRDefault="00B951E1" w:rsidP="007573A1">
      <w:pPr>
        <w:pStyle w:val="Body"/>
      </w:pPr>
      <w:r w:rsidRPr="00DD4273">
        <w:t>The department includes Child Protection, Prevention of Family Violence,</w:t>
      </w:r>
      <w:r>
        <w:t xml:space="preserve"> </w:t>
      </w:r>
      <w:r w:rsidRPr="00DD4273">
        <w:t>Family Safety Victoria Homes Victoria, Housing and Disability and Seniors and Carers. The department is also responsible for the key portfolios of Multicultural Affairs, LGBTIQ</w:t>
      </w:r>
      <w:r w:rsidR="001577E2">
        <w:t>A</w:t>
      </w:r>
      <w:r w:rsidRPr="00DD4273">
        <w:t xml:space="preserve">+ communities, Equality, Veterans and </w:t>
      </w:r>
      <w:r w:rsidR="008B3CBA">
        <w:t>the O</w:t>
      </w:r>
      <w:r w:rsidRPr="00DD4273">
        <w:t xml:space="preserve">ffices of Women and Youth, enhancing the alignment with policy areas and portfolios focusing on the recovery and growth of our diverse communities. The department also </w:t>
      </w:r>
      <w:r>
        <w:t>s</w:t>
      </w:r>
      <w:r w:rsidRPr="00DD4273">
        <w:t>upports</w:t>
      </w:r>
      <w:r>
        <w:t xml:space="preserve"> </w:t>
      </w:r>
      <w:r w:rsidR="008B3CBA">
        <w:t xml:space="preserve">the </w:t>
      </w:r>
      <w:r w:rsidRPr="00DD4273">
        <w:t>Victorian</w:t>
      </w:r>
      <w:r>
        <w:t xml:space="preserve"> </w:t>
      </w:r>
      <w:r w:rsidRPr="00DD4273">
        <w:t>Disability</w:t>
      </w:r>
      <w:r>
        <w:t xml:space="preserve"> </w:t>
      </w:r>
      <w:r w:rsidRPr="00DD4273">
        <w:t>Workers</w:t>
      </w:r>
      <w:r>
        <w:t xml:space="preserve"> </w:t>
      </w:r>
      <w:r w:rsidRPr="00DD4273">
        <w:t>Commission</w:t>
      </w:r>
      <w:r>
        <w:t xml:space="preserve"> </w:t>
      </w:r>
      <w:r w:rsidRPr="00DD4273">
        <w:t>and Respect Victoria.</w:t>
      </w:r>
    </w:p>
    <w:p w14:paraId="39B3021A" w14:textId="77777777" w:rsidR="00B951E1" w:rsidRDefault="00B951E1" w:rsidP="007573A1">
      <w:pPr>
        <w:pStyle w:val="Body"/>
      </w:pPr>
      <w:r>
        <w:t>In addition, t</w:t>
      </w:r>
      <w:r w:rsidRPr="00CB629D">
        <w:t xml:space="preserve">he department’s </w:t>
      </w:r>
      <w:r w:rsidRPr="00CB629D">
        <w:rPr>
          <w:i/>
          <w:iCs/>
        </w:rPr>
        <w:t>Korin Korin Balit-Djak</w:t>
      </w:r>
      <w:r w:rsidRPr="00E42674">
        <w:rPr>
          <w:i/>
          <w:iCs/>
        </w:rPr>
        <w:t>: Aboriginal health, wellbeing and safety strategic plan</w:t>
      </w:r>
      <w:r w:rsidRPr="00CB629D">
        <w:t xml:space="preserve"> provides an overarching framework for action to improve the health, wellbeing</w:t>
      </w:r>
      <w:r>
        <w:t>,</w:t>
      </w:r>
      <w:r w:rsidRPr="00CB629D">
        <w:t xml:space="preserve"> and safety of Aboriginal Victorians </w:t>
      </w:r>
      <w:r>
        <w:t>between 2017-2027.</w:t>
      </w:r>
    </w:p>
    <w:p w14:paraId="236483C7" w14:textId="2BBD71CF" w:rsidR="00B951E1" w:rsidRPr="009A3E54" w:rsidRDefault="00B951E1" w:rsidP="007573A1">
      <w:pPr>
        <w:pStyle w:val="Body"/>
      </w:pPr>
      <w:r w:rsidRPr="00CE3AA4">
        <w:t xml:space="preserve">The department provides a range of services to people with complex needs, </w:t>
      </w:r>
      <w:r w:rsidRPr="009A3E54">
        <w:t xml:space="preserve">including inter-departmental initiatives </w:t>
      </w:r>
      <w:r w:rsidR="00444104">
        <w:t>and</w:t>
      </w:r>
      <w:r w:rsidRPr="009A3E54">
        <w:t xml:space="preserve"> funded services provided by the sector. Complex </w:t>
      </w:r>
      <w:r w:rsidR="00CF4ACB">
        <w:t>n</w:t>
      </w:r>
      <w:r w:rsidRPr="009A3E54">
        <w:t>eeds service responses are aligned with the department</w:t>
      </w:r>
      <w:r w:rsidR="001577E2">
        <w:t>’</w:t>
      </w:r>
      <w:r w:rsidRPr="009A3E54">
        <w:t>s key policies, frameworks</w:t>
      </w:r>
      <w:r w:rsidR="00217D5D">
        <w:t>,</w:t>
      </w:r>
      <w:r w:rsidRPr="009A3E54">
        <w:t xml:space="preserve"> and strategic direction.</w:t>
      </w:r>
    </w:p>
    <w:p w14:paraId="62202516" w14:textId="77777777" w:rsidR="00B951E1" w:rsidRPr="009A3E54" w:rsidRDefault="00B951E1" w:rsidP="007573A1">
      <w:pPr>
        <w:pStyle w:val="Body"/>
      </w:pPr>
      <w:r w:rsidRPr="009A3E54">
        <w:t xml:space="preserve">Complex needs interventions support the government’s objectives in working to improve access to services and outcomes for Aboriginal people, including self-determination. From consultation to care </w:t>
      </w:r>
      <w:r w:rsidRPr="009A3E54">
        <w:lastRenderedPageBreak/>
        <w:t>planning, intervention supports Aboriginal people to strengthen connection to culture and community.</w:t>
      </w:r>
    </w:p>
    <w:p w14:paraId="36CB7E6A" w14:textId="13C7E2E0" w:rsidR="00B951E1" w:rsidRDefault="00B951E1" w:rsidP="007573A1">
      <w:pPr>
        <w:pStyle w:val="Body"/>
      </w:pPr>
      <w:r>
        <w:t xml:space="preserve">Refer: </w:t>
      </w:r>
      <w:hyperlink r:id="rId20" w:history="1">
        <w:r w:rsidRPr="00322F37">
          <w:rPr>
            <w:rStyle w:val="Hyperlink"/>
          </w:rPr>
          <w:t>The Department of Families</w:t>
        </w:r>
        <w:r w:rsidR="00CF4ACB" w:rsidRPr="00322F37">
          <w:rPr>
            <w:rStyle w:val="Hyperlink"/>
          </w:rPr>
          <w:t>,</w:t>
        </w:r>
        <w:r w:rsidRPr="00322F37">
          <w:rPr>
            <w:rStyle w:val="Hyperlink"/>
          </w:rPr>
          <w:t xml:space="preserve"> Fairness and Housing 2021 strategic plan</w:t>
        </w:r>
      </w:hyperlink>
      <w:r>
        <w:t xml:space="preserve"> &lt;</w:t>
      </w:r>
      <w:r w:rsidRPr="00322F37">
        <w:t>https://www.dffh.vic.gov.au/sites/default/files/documents/202110/DFFH%202021%20strategic%20plan.pdf</w:t>
      </w:r>
      <w:r>
        <w:t>&gt;</w:t>
      </w:r>
    </w:p>
    <w:p w14:paraId="37BD79F5" w14:textId="26DC30A5" w:rsidR="00B951E1" w:rsidRDefault="00B951E1" w:rsidP="007573A1">
      <w:pPr>
        <w:pStyle w:val="Body"/>
      </w:pPr>
      <w:r>
        <w:t xml:space="preserve">Refer: </w:t>
      </w:r>
      <w:hyperlink r:id="rId21" w:history="1">
        <w:r w:rsidRPr="00322F37">
          <w:rPr>
            <w:rStyle w:val="Hyperlink"/>
          </w:rPr>
          <w:t>Framework for trauma-informed practice</w:t>
        </w:r>
      </w:hyperlink>
      <w:r>
        <w:t xml:space="preserve"> </w:t>
      </w:r>
      <w:r w:rsidR="00D02511">
        <w:t>&lt;</w:t>
      </w:r>
      <w:r w:rsidR="00D02511" w:rsidRPr="00322F37">
        <w:t>https://www.dffh.vic.gov.au/publications/framework-trauma-informed-practice</w:t>
      </w:r>
      <w:r w:rsidR="00D02511">
        <w:t>&gt;</w:t>
      </w:r>
      <w:r w:rsidR="008B5F9D">
        <w:t xml:space="preserve"> </w:t>
      </w:r>
    </w:p>
    <w:p w14:paraId="7AFC707C" w14:textId="0416368A" w:rsidR="00B951E1" w:rsidRDefault="00B951E1" w:rsidP="007573A1">
      <w:pPr>
        <w:pStyle w:val="Body"/>
        <w:rPr>
          <w:rStyle w:val="Hyperlink"/>
        </w:rPr>
      </w:pPr>
      <w:r w:rsidRPr="00292039">
        <w:t xml:space="preserve">Refer: </w:t>
      </w:r>
      <w:hyperlink r:id="rId22" w:history="1">
        <w:r w:rsidRPr="00322F37">
          <w:rPr>
            <w:rStyle w:val="Hyperlink"/>
          </w:rPr>
          <w:t>Korin Korin Balit-Djak</w:t>
        </w:r>
      </w:hyperlink>
      <w:r w:rsidRPr="002504D5">
        <w:t xml:space="preserve"> </w:t>
      </w:r>
      <w:r w:rsidR="00D02511">
        <w:t>&lt;</w:t>
      </w:r>
      <w:r w:rsidR="00D02511" w:rsidRPr="00322F37">
        <w:t>https://www2.health.vic.gov.au/about/health-strategies/aboriginal-health/korin-korin-balit-djak</w:t>
      </w:r>
      <w:r w:rsidR="00D02511">
        <w:t>&gt;</w:t>
      </w:r>
    </w:p>
    <w:p w14:paraId="41744600" w14:textId="2082C4B4" w:rsidR="00B951E1" w:rsidRPr="009B48A5" w:rsidRDefault="00B951E1" w:rsidP="007573A1">
      <w:pPr>
        <w:pStyle w:val="Body"/>
      </w:pPr>
      <w:r w:rsidRPr="009B48A5">
        <w:rPr>
          <w:rStyle w:val="Hyperlink"/>
          <w:color w:val="auto"/>
          <w:u w:val="none"/>
        </w:rPr>
        <w:t xml:space="preserve">Refer: </w:t>
      </w:r>
      <w:hyperlink r:id="rId23" w:history="1">
        <w:r w:rsidRPr="00322F37">
          <w:rPr>
            <w:rStyle w:val="Hyperlink"/>
          </w:rPr>
          <w:t>Aboriginal and Torres Strait Islander cultural safety framework</w:t>
        </w:r>
      </w:hyperlink>
      <w:r w:rsidRPr="009B48A5">
        <w:t xml:space="preserve"> </w:t>
      </w:r>
      <w:r w:rsidR="00D02511">
        <w:t>&lt;</w:t>
      </w:r>
      <w:r w:rsidR="00D02511" w:rsidRPr="00322F37">
        <w:t>https://www.dhhs.vic.gov.au/publications/aboriginal-and-torres-strait-islander-cultural-safety-framework</w:t>
      </w:r>
      <w:r w:rsidR="00D02511">
        <w:t>&gt;</w:t>
      </w:r>
    </w:p>
    <w:p w14:paraId="24AE38B5" w14:textId="1359D49C" w:rsidR="00B951E1" w:rsidRPr="00DD4273" w:rsidRDefault="00B951E1" w:rsidP="007573A1">
      <w:pPr>
        <w:pStyle w:val="Body"/>
      </w:pPr>
      <w:r w:rsidRPr="00C374D5">
        <w:t xml:space="preserve">Refer: </w:t>
      </w:r>
      <w:hyperlink r:id="rId24" w:history="1">
        <w:r w:rsidRPr="00322F37">
          <w:rPr>
            <w:rStyle w:val="Hyperlink"/>
          </w:rPr>
          <w:t>Inclusive Victoria: State disability plan (2022–2026)</w:t>
        </w:r>
      </w:hyperlink>
      <w:r w:rsidRPr="00C374D5">
        <w:t xml:space="preserve"> </w:t>
      </w:r>
      <w:r>
        <w:t>&lt;</w:t>
      </w:r>
      <w:r w:rsidR="008B5F9D" w:rsidRPr="00322F37">
        <w:t>https://www.vic.gov.au/state-disability-plan</w:t>
      </w:r>
      <w:r>
        <w:t>&gt;</w:t>
      </w:r>
      <w:r w:rsidR="008B5F9D">
        <w:t xml:space="preserve"> </w:t>
      </w:r>
    </w:p>
    <w:p w14:paraId="4AC22EE7" w14:textId="0F2D9C90" w:rsidR="00B951E1" w:rsidRPr="002A0D74" w:rsidRDefault="00B951E1" w:rsidP="000E7482">
      <w:pPr>
        <w:pStyle w:val="Heading3"/>
        <w:numPr>
          <w:ilvl w:val="2"/>
          <w:numId w:val="5"/>
        </w:numPr>
      </w:pPr>
      <w:r w:rsidRPr="002A0D74">
        <w:t>Area based</w:t>
      </w:r>
    </w:p>
    <w:p w14:paraId="45F52B9D" w14:textId="77777777" w:rsidR="00875184" w:rsidRDefault="00B951E1" w:rsidP="007573A1">
      <w:pPr>
        <w:pStyle w:val="Body"/>
      </w:pPr>
      <w:r w:rsidRPr="007F40E1">
        <w:t xml:space="preserve">The </w:t>
      </w:r>
      <w:r>
        <w:t>d</w:t>
      </w:r>
      <w:r w:rsidRPr="007F40E1">
        <w:t xml:space="preserve">epartment consists of four </w:t>
      </w:r>
      <w:r>
        <w:t>division</w:t>
      </w:r>
      <w:r w:rsidRPr="007F40E1">
        <w:t xml:space="preserve">s responsible for oversight and coordination of local areas (see Figure </w:t>
      </w:r>
      <w:r>
        <w:t>1</w:t>
      </w:r>
      <w:r w:rsidRPr="007F40E1">
        <w:t xml:space="preserve">). </w:t>
      </w:r>
    </w:p>
    <w:p w14:paraId="168E21C5" w14:textId="4FE34437" w:rsidR="00B951E1" w:rsidRPr="007F40E1" w:rsidRDefault="00875184" w:rsidP="007573A1">
      <w:pPr>
        <w:pStyle w:val="Body"/>
        <w:rPr>
          <w:lang w:val="en-US"/>
        </w:rPr>
      </w:pPr>
      <w:r w:rsidRPr="007F40E1">
        <w:rPr>
          <w:lang w:val="en-US"/>
        </w:rPr>
        <w:t xml:space="preserve">Consistent with localised service delivery principles, people are supported by the </w:t>
      </w:r>
      <w:r>
        <w:rPr>
          <w:lang w:val="en-US"/>
        </w:rPr>
        <w:t>division</w:t>
      </w:r>
      <w:r w:rsidRPr="007F40E1">
        <w:rPr>
          <w:lang w:val="en-US"/>
        </w:rPr>
        <w:t xml:space="preserve"> and area they are most connected to. This is typically determined by the </w:t>
      </w:r>
      <w:r>
        <w:rPr>
          <w:rFonts w:eastAsia="Arial" w:cs="Arial"/>
          <w:color w:val="000000"/>
        </w:rPr>
        <w:t>person</w:t>
      </w:r>
      <w:r w:rsidRPr="007F40E1">
        <w:rPr>
          <w:lang w:val="en-US"/>
        </w:rPr>
        <w:t xml:space="preserve">’s residential address and existing support relationships, or at times of itinerancy or custody, the place the </w:t>
      </w:r>
      <w:r>
        <w:rPr>
          <w:rFonts w:eastAsia="Arial" w:cs="Arial"/>
          <w:color w:val="000000"/>
        </w:rPr>
        <w:t xml:space="preserve">person </w:t>
      </w:r>
      <w:r w:rsidRPr="007F40E1">
        <w:rPr>
          <w:lang w:val="en-US"/>
        </w:rPr>
        <w:t>identifies as preferable.</w:t>
      </w:r>
      <w:r>
        <w:rPr>
          <w:lang w:val="en-US"/>
        </w:rPr>
        <w:t xml:space="preserve"> </w:t>
      </w:r>
      <w:r w:rsidR="00B951E1">
        <w:rPr>
          <w:lang w:val="en-US"/>
        </w:rPr>
        <w:t xml:space="preserve">Complex Needs Coordinators are positioned in each local area to </w:t>
      </w:r>
      <w:r w:rsidR="00B951E1" w:rsidRPr="007F40E1">
        <w:rPr>
          <w:lang w:val="en-US"/>
        </w:rPr>
        <w:t>support local areas establish</w:t>
      </w:r>
      <w:r>
        <w:rPr>
          <w:lang w:val="en-US"/>
        </w:rPr>
        <w:t>ment of</w:t>
      </w:r>
      <w:r w:rsidR="00B951E1" w:rsidRPr="007F40E1">
        <w:rPr>
          <w:lang w:val="en-US"/>
        </w:rPr>
        <w:t xml:space="preserve"> innovative, </w:t>
      </w:r>
      <w:r w:rsidR="00B951E1" w:rsidRPr="00B748B2">
        <w:t>localised</w:t>
      </w:r>
      <w:r w:rsidR="00B951E1">
        <w:t>,</w:t>
      </w:r>
      <w:r w:rsidR="00B951E1" w:rsidRPr="007F40E1">
        <w:rPr>
          <w:lang w:val="en-US"/>
        </w:rPr>
        <w:t xml:space="preserve"> and timely responses to people with complex </w:t>
      </w:r>
      <w:r>
        <w:rPr>
          <w:lang w:val="en-US"/>
        </w:rPr>
        <w:t>needs</w:t>
      </w:r>
      <w:r w:rsidR="00B951E1" w:rsidRPr="007F40E1">
        <w:rPr>
          <w:lang w:val="en-US"/>
        </w:rPr>
        <w:t>.</w:t>
      </w:r>
    </w:p>
    <w:p w14:paraId="04FA85B1" w14:textId="28F04318" w:rsidR="00B951E1" w:rsidRDefault="00B951E1" w:rsidP="007573A1">
      <w:pPr>
        <w:pStyle w:val="Figurecaption"/>
        <w:rPr>
          <w:rFonts w:eastAsia="Arial"/>
        </w:rPr>
      </w:pPr>
      <w:r>
        <w:rPr>
          <w:rFonts w:eastAsia="Arial"/>
        </w:rPr>
        <w:t>Figure 1 – The department’s division and area structure</w:t>
      </w:r>
    </w:p>
    <w:p w14:paraId="19E78FF3" w14:textId="77777777" w:rsidR="00B951E1" w:rsidRPr="00E41490" w:rsidRDefault="00B951E1" w:rsidP="00A27F77">
      <w:pPr>
        <w:pStyle w:val="Body"/>
      </w:pPr>
      <w:r>
        <w:rPr>
          <w:noProof/>
        </w:rPr>
        <w:drawing>
          <wp:inline distT="0" distB="0" distL="0" distR="0" wp14:anchorId="69A8B3A2" wp14:editId="38F55A2A">
            <wp:extent cx="3981450" cy="2485947"/>
            <wp:effectExtent l="0" t="0" r="0" b="0"/>
            <wp:docPr id="1934884903" name="Picture 1934884903" descr="Four DFFH divisions with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3" name="Picture 1934884903" descr="Four DFFH divisions with Areas"/>
                    <pic:cNvPicPr/>
                  </pic:nvPicPr>
                  <pic:blipFill>
                    <a:blip r:embed="rId25"/>
                    <a:stretch>
                      <a:fillRect/>
                    </a:stretch>
                  </pic:blipFill>
                  <pic:spPr>
                    <a:xfrm>
                      <a:off x="0" y="0"/>
                      <a:ext cx="4064256" cy="2537650"/>
                    </a:xfrm>
                    <a:prstGeom prst="rect">
                      <a:avLst/>
                    </a:prstGeom>
                  </pic:spPr>
                </pic:pic>
              </a:graphicData>
            </a:graphic>
          </wp:inline>
        </w:drawing>
      </w:r>
    </w:p>
    <w:p w14:paraId="638A1D0A" w14:textId="780D7134" w:rsidR="00B951E1" w:rsidRDefault="00B951E1" w:rsidP="007573A1">
      <w:pPr>
        <w:pStyle w:val="Heading3"/>
      </w:pPr>
      <w:r>
        <w:t xml:space="preserve">1.3.2 </w:t>
      </w:r>
      <w:r w:rsidR="00350C6F">
        <w:t xml:space="preserve">Area </w:t>
      </w:r>
      <w:r w:rsidRPr="002A0D74">
        <w:t>Executive Director</w:t>
      </w:r>
    </w:p>
    <w:p w14:paraId="4488F893" w14:textId="28A980D3" w:rsidR="00B951E1" w:rsidRPr="0051342D" w:rsidRDefault="00B951E1" w:rsidP="00C940F0">
      <w:pPr>
        <w:pStyle w:val="Body"/>
      </w:pPr>
      <w:r w:rsidRPr="0051342D">
        <w:t xml:space="preserve">The </w:t>
      </w:r>
      <w:r w:rsidR="00350C6F">
        <w:t xml:space="preserve">Area </w:t>
      </w:r>
      <w:r w:rsidRPr="0051342D">
        <w:t xml:space="preserve">Executive Director leads and manages service delivery across their specific </w:t>
      </w:r>
      <w:r>
        <w:t>a</w:t>
      </w:r>
      <w:r w:rsidRPr="0051342D">
        <w:t xml:space="preserve">rea </w:t>
      </w:r>
      <w:r w:rsidR="00B21E5D">
        <w:t>of</w:t>
      </w:r>
      <w:r w:rsidRPr="0051342D">
        <w:t xml:space="preserve"> the department. The role is accountable for client outcomes at a local level </w:t>
      </w:r>
      <w:r w:rsidR="00875184">
        <w:t xml:space="preserve">across </w:t>
      </w:r>
      <w:r w:rsidRPr="0051342D">
        <w:t>a range of integrated services</w:t>
      </w:r>
      <w:r>
        <w:t xml:space="preserve">. </w:t>
      </w:r>
      <w:r w:rsidR="00350C6F">
        <w:t xml:space="preserve">Area </w:t>
      </w:r>
      <w:r>
        <w:t>Executive Directors have</w:t>
      </w:r>
      <w:r w:rsidRPr="0051342D">
        <w:t xml:space="preserve"> responsibility </w:t>
      </w:r>
      <w:r>
        <w:t>to develop</w:t>
      </w:r>
      <w:r w:rsidRPr="0051342D">
        <w:t xml:space="preserve"> and foster strategic partnerships with the local community and external service providers, local businesses</w:t>
      </w:r>
      <w:r w:rsidR="00875184">
        <w:t xml:space="preserve">, </w:t>
      </w:r>
      <w:r w:rsidRPr="0051342D">
        <w:t xml:space="preserve">and other government </w:t>
      </w:r>
      <w:r w:rsidRPr="0051342D">
        <w:lastRenderedPageBreak/>
        <w:t xml:space="preserve">agencies to ensure local issues are understood, </w:t>
      </w:r>
      <w:r w:rsidR="00217D5D" w:rsidRPr="0051342D">
        <w:t>prioritised,</w:t>
      </w:r>
      <w:r w:rsidRPr="0051342D">
        <w:t xml:space="preserve"> and addressed.</w:t>
      </w:r>
      <w:r>
        <w:t xml:space="preserve"> Specific responsibilities include:</w:t>
      </w:r>
    </w:p>
    <w:p w14:paraId="55B5077A" w14:textId="306561E3" w:rsidR="00B951E1" w:rsidRPr="002153E2" w:rsidRDefault="00875184" w:rsidP="00740A47">
      <w:pPr>
        <w:pStyle w:val="Bullet1"/>
      </w:pPr>
      <w:r w:rsidRPr="002153E2">
        <w:t>c</w:t>
      </w:r>
      <w:r w:rsidR="00B951E1" w:rsidRPr="002153E2">
        <w:t>hair</w:t>
      </w:r>
      <w:r w:rsidRPr="002153E2">
        <w:t xml:space="preserve"> of</w:t>
      </w:r>
      <w:r w:rsidR="00B951E1" w:rsidRPr="002153E2">
        <w:t xml:space="preserve"> the Area Complex Needs Panel</w:t>
      </w:r>
      <w:r w:rsidR="00436DB6" w:rsidRPr="002153E2">
        <w:t xml:space="preserve"> (an</w:t>
      </w:r>
      <w:r w:rsidR="003B4552" w:rsidRPr="002153E2">
        <w:t xml:space="preserve">d where unable has an executive </w:t>
      </w:r>
      <w:r w:rsidR="00812440">
        <w:t xml:space="preserve">level </w:t>
      </w:r>
      <w:r w:rsidR="003B4552" w:rsidRPr="002153E2">
        <w:t>proxy chair)</w:t>
      </w:r>
    </w:p>
    <w:p w14:paraId="1CECB8A0" w14:textId="1CCCEA1E" w:rsidR="00B951E1" w:rsidRDefault="00875184" w:rsidP="00740A47">
      <w:pPr>
        <w:pStyle w:val="Bullet1"/>
      </w:pPr>
      <w:r>
        <w:t xml:space="preserve">financial delegation and oversight </w:t>
      </w:r>
      <w:r w:rsidR="00B951E1">
        <w:t xml:space="preserve">of complex needs budget </w:t>
      </w:r>
    </w:p>
    <w:p w14:paraId="40739BC8" w14:textId="5E4B34A4" w:rsidR="00B951E1" w:rsidRPr="004735DD" w:rsidRDefault="00B951E1" w:rsidP="00740A47">
      <w:pPr>
        <w:pStyle w:val="Bullet1"/>
      </w:pPr>
      <w:r w:rsidRPr="004735DD">
        <w:t xml:space="preserve">escalate cases </w:t>
      </w:r>
      <w:r w:rsidR="00875184">
        <w:t>between</w:t>
      </w:r>
      <w:r w:rsidRPr="004735DD">
        <w:t xml:space="preserve"> other specialist panels for consultation (</w:t>
      </w:r>
      <w:r w:rsidR="00875184" w:rsidRPr="004735DD">
        <w:t>e.g.</w:t>
      </w:r>
      <w:r w:rsidR="00740A47">
        <w:t>:</w:t>
      </w:r>
      <w:r w:rsidRPr="004735DD">
        <w:t xml:space="preserve"> High Risk Youth Panels)</w:t>
      </w:r>
    </w:p>
    <w:p w14:paraId="2E2C1057" w14:textId="7A0A6A15" w:rsidR="00B951E1" w:rsidRPr="004735DD" w:rsidRDefault="00B951E1" w:rsidP="00740A47">
      <w:pPr>
        <w:pStyle w:val="Bullet1"/>
      </w:pPr>
      <w:r w:rsidRPr="004735DD">
        <w:t xml:space="preserve">support problem-solving for complex needs cohorts through participation on </w:t>
      </w:r>
      <w:r w:rsidR="00875184">
        <w:t>p</w:t>
      </w:r>
      <w:r w:rsidRPr="004735DD">
        <w:t>anels</w:t>
      </w:r>
    </w:p>
    <w:p w14:paraId="6B7B946C" w14:textId="0ED17641" w:rsidR="00B951E1" w:rsidRDefault="00B951E1" w:rsidP="00740A47">
      <w:pPr>
        <w:pStyle w:val="Bullet1"/>
      </w:pPr>
      <w:r w:rsidRPr="004735DD">
        <w:t xml:space="preserve">delegated functions and powers </w:t>
      </w:r>
      <w:r w:rsidR="00875184">
        <w:t>of</w:t>
      </w:r>
      <w:r w:rsidRPr="004735DD">
        <w:t xml:space="preserve"> the </w:t>
      </w:r>
      <w:r w:rsidRPr="00DB5D58">
        <w:rPr>
          <w:i/>
          <w:iCs/>
        </w:rPr>
        <w:t>Human Services (Complex Needs) Act 2009</w:t>
      </w:r>
      <w:r>
        <w:t xml:space="preserve"> (the Act)</w:t>
      </w:r>
      <w:r w:rsidR="00875184">
        <w:t>:</w:t>
      </w:r>
      <w:r>
        <w:t xml:space="preserve"> </w:t>
      </w:r>
    </w:p>
    <w:p w14:paraId="7EF9E3A0" w14:textId="77777777" w:rsidR="00217D5D" w:rsidRPr="008B255B" w:rsidRDefault="00B951E1" w:rsidP="008B255B">
      <w:pPr>
        <w:pStyle w:val="Bullet2"/>
      </w:pPr>
      <w:r w:rsidRPr="008B255B">
        <w:t>eligibility determination</w:t>
      </w:r>
    </w:p>
    <w:p w14:paraId="3C50AFED" w14:textId="77777777" w:rsidR="00740A47" w:rsidRPr="008B255B" w:rsidRDefault="00B951E1" w:rsidP="008B255B">
      <w:pPr>
        <w:pStyle w:val="Bullet2"/>
      </w:pPr>
      <w:r w:rsidRPr="008B255B">
        <w:t>notifications to client</w:t>
      </w:r>
    </w:p>
    <w:p w14:paraId="7D5518F4" w14:textId="41E2FEAB" w:rsidR="00B951E1" w:rsidRPr="008B255B" w:rsidRDefault="00B951E1" w:rsidP="008B255B">
      <w:pPr>
        <w:pStyle w:val="Bullet2"/>
      </w:pPr>
      <w:r w:rsidRPr="008B255B">
        <w:t>care plan development and review</w:t>
      </w:r>
      <w:r w:rsidR="003A6F6B" w:rsidRPr="008B255B">
        <w:t>.</w:t>
      </w:r>
    </w:p>
    <w:p w14:paraId="44AB41E0" w14:textId="7CF005E8" w:rsidR="00B951E1" w:rsidRPr="002A0D74" w:rsidRDefault="00B951E1" w:rsidP="000E7482">
      <w:pPr>
        <w:pStyle w:val="Heading3"/>
        <w:numPr>
          <w:ilvl w:val="2"/>
          <w:numId w:val="10"/>
        </w:numPr>
      </w:pPr>
      <w:bookmarkStart w:id="29" w:name="_Hlk43896720"/>
      <w:bookmarkStart w:id="30" w:name="_Hlk48550068"/>
      <w:r w:rsidRPr="002A0D74">
        <w:t>Disability, Communities and Emergency Management Division</w:t>
      </w:r>
    </w:p>
    <w:p w14:paraId="30E53932" w14:textId="734948F5" w:rsidR="00B951E1" w:rsidRPr="006F19A4" w:rsidRDefault="00B951E1" w:rsidP="00B21E5D">
      <w:pPr>
        <w:pStyle w:val="Body"/>
      </w:pPr>
      <w:r>
        <w:t xml:space="preserve">The Disability, Communities and Emergency Management division delivers on the Victorian Government’s policy priorities in the areas of disability, seniors, carers, elder abuse reform, community participation, support for vulnerable community members, and emergency management in support of positive community outcomes. The division </w:t>
      </w:r>
      <w:r w:rsidR="00B21E5D">
        <w:t xml:space="preserve">is </w:t>
      </w:r>
      <w:r>
        <w:t>comprise</w:t>
      </w:r>
      <w:r w:rsidR="00B21E5D">
        <w:t xml:space="preserve">d of the </w:t>
      </w:r>
      <w:r w:rsidRPr="006F19A4">
        <w:t>Disability, Seniors, Carers and Communities Branch</w:t>
      </w:r>
      <w:r w:rsidR="00B21E5D">
        <w:t xml:space="preserve">, the </w:t>
      </w:r>
      <w:r w:rsidRPr="006F19A4">
        <w:t>Disability Services, Policy and Support Branch</w:t>
      </w:r>
      <w:r w:rsidR="00B21E5D">
        <w:t xml:space="preserve">, and the </w:t>
      </w:r>
      <w:r w:rsidRPr="006F19A4">
        <w:t>Emergency Management</w:t>
      </w:r>
      <w:r w:rsidR="00B21E5D">
        <w:t xml:space="preserve"> Branch</w:t>
      </w:r>
      <w:r w:rsidRPr="006F19A4">
        <w:t>.</w:t>
      </w:r>
    </w:p>
    <w:bookmarkEnd w:id="29"/>
    <w:bookmarkEnd w:id="30"/>
    <w:p w14:paraId="64CFFD44" w14:textId="3E138BBE" w:rsidR="00B951E1" w:rsidRPr="002A0D74" w:rsidRDefault="00B951E1" w:rsidP="000E7482">
      <w:pPr>
        <w:pStyle w:val="Heading3"/>
        <w:numPr>
          <w:ilvl w:val="2"/>
          <w:numId w:val="10"/>
        </w:numPr>
      </w:pPr>
      <w:r w:rsidRPr="002A0D74">
        <w:t>Disability Services, Policy</w:t>
      </w:r>
      <w:r w:rsidR="0026238D">
        <w:t>,</w:t>
      </w:r>
      <w:r w:rsidRPr="002A0D74">
        <w:t xml:space="preserve"> and Support Branch</w:t>
      </w:r>
    </w:p>
    <w:p w14:paraId="1A340C32" w14:textId="14F96139" w:rsidR="00B951E1" w:rsidRPr="00AC650C" w:rsidRDefault="00B951E1" w:rsidP="006F19A4">
      <w:pPr>
        <w:pStyle w:val="Body"/>
      </w:pPr>
      <w:r w:rsidRPr="00AC650C">
        <w:t xml:space="preserve">Disability Services, Policy and Support Branch brings together the functions associated with delivery of services to </w:t>
      </w:r>
      <w:r w:rsidR="00CF4ACB">
        <w:t>people</w:t>
      </w:r>
      <w:r w:rsidRPr="00AC650C">
        <w:t xml:space="preserve"> with disability and complex needs. The Branch is responsible for policy and oversight of disability services and the NDIS, and major policy and legislative initiatives affecting people with disability. The unit also supports the promotion of the social, economic</w:t>
      </w:r>
      <w:r w:rsidR="0026238D">
        <w:t>,</w:t>
      </w:r>
      <w:r w:rsidRPr="00AC650C">
        <w:t xml:space="preserve"> and civic participation and rights of people with disability through its legislative policy function. The Branch leads the oversight of disability services transferred to the non-government sector</w:t>
      </w:r>
      <w:r w:rsidR="00B21E5D">
        <w:t xml:space="preserve">, comprising </w:t>
      </w:r>
      <w:r w:rsidRPr="00AC650C">
        <w:t xml:space="preserve">post transfer supports </w:t>
      </w:r>
      <w:r w:rsidR="00B21E5D">
        <w:t>(</w:t>
      </w:r>
      <w:r w:rsidRPr="00AC650C">
        <w:t>performance monitoring unit, contract management and quality and safeguards</w:t>
      </w:r>
      <w:r w:rsidR="00B21E5D">
        <w:t>)</w:t>
      </w:r>
      <w:r w:rsidRPr="00AC650C">
        <w:t xml:space="preserve">. </w:t>
      </w:r>
    </w:p>
    <w:p w14:paraId="2F4FD894" w14:textId="2A36E9CA" w:rsidR="00B951E1" w:rsidRPr="002A0D74" w:rsidRDefault="00B951E1" w:rsidP="000E7482">
      <w:pPr>
        <w:pStyle w:val="Heading3"/>
        <w:numPr>
          <w:ilvl w:val="2"/>
          <w:numId w:val="10"/>
        </w:numPr>
      </w:pPr>
      <w:r w:rsidRPr="002A0D74">
        <w:t>Central Complex Needs team</w:t>
      </w:r>
    </w:p>
    <w:p w14:paraId="3A4D8373" w14:textId="2FEE6765" w:rsidR="006F19A4" w:rsidRDefault="006F19A4" w:rsidP="001276D3">
      <w:pPr>
        <w:pStyle w:val="Body"/>
      </w:pPr>
      <w:r>
        <w:t>On complex needs issues and system capacity building, th</w:t>
      </w:r>
      <w:r w:rsidR="00B951E1" w:rsidRPr="00A5610F">
        <w:t>e Complex Needs team</w:t>
      </w:r>
      <w:r>
        <w:t>:</w:t>
      </w:r>
    </w:p>
    <w:p w14:paraId="6CCD54FB" w14:textId="77D0544C" w:rsidR="006F19A4" w:rsidRDefault="006F19A4" w:rsidP="00740A47">
      <w:pPr>
        <w:pStyle w:val="Bullet1"/>
      </w:pPr>
      <w:r>
        <w:t xml:space="preserve">develops and support the implementation of </w:t>
      </w:r>
      <w:r w:rsidR="00B951E1" w:rsidRPr="00A5610F">
        <w:t xml:space="preserve">the </w:t>
      </w:r>
      <w:r>
        <w:t>S</w:t>
      </w:r>
      <w:r w:rsidR="00B951E1" w:rsidRPr="00A5610F">
        <w:t xml:space="preserve">ervice </w:t>
      </w:r>
      <w:r>
        <w:t>P</w:t>
      </w:r>
      <w:r w:rsidR="00B951E1" w:rsidRPr="00A5610F">
        <w:t xml:space="preserve">rovision </w:t>
      </w:r>
      <w:r>
        <w:t>F</w:t>
      </w:r>
      <w:r w:rsidR="00B951E1" w:rsidRPr="00A5610F">
        <w:t>ramework</w:t>
      </w:r>
      <w:r>
        <w:t xml:space="preserve"> for </w:t>
      </w:r>
      <w:r w:rsidR="00B951E1" w:rsidRPr="00A5610F">
        <w:t xml:space="preserve">state-wide </w:t>
      </w:r>
      <w:r>
        <w:t>delivery</w:t>
      </w:r>
      <w:r w:rsidR="00B951E1" w:rsidRPr="00A5610F">
        <w:t xml:space="preserve"> of complex needs responses</w:t>
      </w:r>
      <w:r>
        <w:t>,</w:t>
      </w:r>
      <w:r w:rsidR="00B951E1" w:rsidRPr="00A5610F">
        <w:t xml:space="preserve"> including MACNI</w:t>
      </w:r>
      <w:r>
        <w:t xml:space="preserve">, </w:t>
      </w:r>
      <w:r w:rsidR="00B951E1" w:rsidRPr="00A5610F">
        <w:t>SfHRT</w:t>
      </w:r>
      <w:r>
        <w:t xml:space="preserve"> and AOS</w:t>
      </w:r>
    </w:p>
    <w:p w14:paraId="69C18984" w14:textId="752DC44A" w:rsidR="006F19A4" w:rsidRDefault="006F19A4" w:rsidP="00740A47">
      <w:pPr>
        <w:pStyle w:val="Bullet1"/>
      </w:pPr>
      <w:r>
        <w:t xml:space="preserve">provides </w:t>
      </w:r>
      <w:r w:rsidR="001276D3" w:rsidRPr="00A5610F">
        <w:t xml:space="preserve">quality assurance, practice compliance and systemic </w:t>
      </w:r>
      <w:r>
        <w:t xml:space="preserve">improvement </w:t>
      </w:r>
    </w:p>
    <w:p w14:paraId="7F771D43" w14:textId="7AEC619C" w:rsidR="001276D3" w:rsidRPr="00A5610F" w:rsidRDefault="001276D3" w:rsidP="00C940F0">
      <w:pPr>
        <w:pStyle w:val="lastbullett"/>
      </w:pPr>
      <w:r w:rsidRPr="00A5610F">
        <w:t>develop</w:t>
      </w:r>
      <w:r w:rsidR="006F19A4">
        <w:t>s</w:t>
      </w:r>
      <w:r w:rsidRPr="00A5610F">
        <w:t xml:space="preserve"> and review</w:t>
      </w:r>
      <w:r w:rsidR="006F19A4">
        <w:t xml:space="preserve">s </w:t>
      </w:r>
      <w:r w:rsidRPr="00A5610F">
        <w:t>policies, professional standards</w:t>
      </w:r>
      <w:r w:rsidR="0026238D">
        <w:t>,</w:t>
      </w:r>
      <w:r w:rsidRPr="00A5610F">
        <w:t xml:space="preserve"> and operating practices </w:t>
      </w:r>
      <w:r w:rsidR="006F19A4">
        <w:t>to</w:t>
      </w:r>
      <w:r w:rsidRPr="00A5610F">
        <w:t xml:space="preserve"> enhance service delivery, budget effectiveness, efficiency</w:t>
      </w:r>
      <w:r w:rsidR="0026238D">
        <w:t>,</w:t>
      </w:r>
      <w:r w:rsidRPr="00A5610F">
        <w:t xml:space="preserve"> and improved client outcomes. </w:t>
      </w:r>
    </w:p>
    <w:p w14:paraId="16B86FEC" w14:textId="0E848934" w:rsidR="00A27F77" w:rsidRDefault="001276D3" w:rsidP="00056AFE">
      <w:pPr>
        <w:pStyle w:val="Body"/>
      </w:pPr>
      <w:r w:rsidRPr="006F19A4">
        <w:t>There are instances where consultation with the Central Complex Needs team is required regarding service delivery and the implementation of this framework. This is outlined in Section 9: Quality, safeguards</w:t>
      </w:r>
      <w:r w:rsidR="00C56ED4">
        <w:t>,</w:t>
      </w:r>
      <w:r w:rsidRPr="006F19A4">
        <w:t xml:space="preserve"> and critical events.</w:t>
      </w:r>
      <w:bookmarkStart w:id="31" w:name="_Toc137636724"/>
      <w:r w:rsidR="00A27F77">
        <w:br w:type="page"/>
      </w:r>
    </w:p>
    <w:p w14:paraId="48522DEF" w14:textId="2EFBD57D" w:rsidR="00603A5B" w:rsidRDefault="00603A5B" w:rsidP="00843D94">
      <w:pPr>
        <w:pStyle w:val="Heading1"/>
        <w:numPr>
          <w:ilvl w:val="0"/>
          <w:numId w:val="24"/>
        </w:numPr>
        <w:ind w:left="709" w:hanging="709"/>
      </w:pPr>
      <w:bookmarkStart w:id="32" w:name="_Toc145318560"/>
      <w:r>
        <w:lastRenderedPageBreak/>
        <w:t xml:space="preserve">Key </w:t>
      </w:r>
      <w:r w:rsidR="00312D00">
        <w:t xml:space="preserve">sector partners and </w:t>
      </w:r>
      <w:r w:rsidR="77757CBB">
        <w:t>reform</w:t>
      </w:r>
      <w:r w:rsidR="00685644">
        <w:t>s</w:t>
      </w:r>
      <w:bookmarkEnd w:id="32"/>
      <w:r>
        <w:t xml:space="preserve"> </w:t>
      </w:r>
      <w:bookmarkEnd w:id="31"/>
    </w:p>
    <w:p w14:paraId="6BEF0674" w14:textId="44D63B6D" w:rsidR="00685644" w:rsidRDefault="00685644" w:rsidP="00685644">
      <w:pPr>
        <w:pStyle w:val="Body"/>
      </w:pPr>
      <w:r>
        <w:t>This section identifies the</w:t>
      </w:r>
      <w:r w:rsidR="00312D00">
        <w:t xml:space="preserve"> key service system partners </w:t>
      </w:r>
      <w:r w:rsidR="00D333D4">
        <w:t xml:space="preserve">and critical </w:t>
      </w:r>
      <w:r w:rsidR="002D79D6">
        <w:t xml:space="preserve">strategic </w:t>
      </w:r>
      <w:r w:rsidR="00D333D4">
        <w:t>reforms which</w:t>
      </w:r>
      <w:r w:rsidR="00312D00">
        <w:t xml:space="preserve"> </w:t>
      </w:r>
      <w:r w:rsidR="00D333D4">
        <w:t xml:space="preserve">importantly </w:t>
      </w:r>
      <w:r w:rsidR="00312D00">
        <w:t>interface with the delivery of the complex needs service responses</w:t>
      </w:r>
      <w:r w:rsidR="00D333D4">
        <w:t xml:space="preserve"> for</w:t>
      </w:r>
      <w:r w:rsidR="00EC15AE">
        <w:t xml:space="preserve"> improved client outcomes</w:t>
      </w:r>
      <w:r w:rsidR="00312D00">
        <w:t>.</w:t>
      </w:r>
    </w:p>
    <w:p w14:paraId="425A96A5" w14:textId="59CD4307" w:rsidR="00685644" w:rsidRDefault="00685644" w:rsidP="000E7482">
      <w:pPr>
        <w:pStyle w:val="Heading2"/>
        <w:numPr>
          <w:ilvl w:val="1"/>
          <w:numId w:val="26"/>
        </w:numPr>
      </w:pPr>
      <w:bookmarkStart w:id="33" w:name="_Toc145318561"/>
      <w:r>
        <w:t>Partners</w:t>
      </w:r>
      <w:r w:rsidR="009D6A03">
        <w:t xml:space="preserve"> in service delivery and coordination</w:t>
      </w:r>
      <w:bookmarkEnd w:id="33"/>
      <w:r w:rsidR="009D6A03">
        <w:t xml:space="preserve"> </w:t>
      </w:r>
    </w:p>
    <w:p w14:paraId="13B8FF66" w14:textId="207329A2" w:rsidR="00603A5B" w:rsidRDefault="00603A5B" w:rsidP="000E7482">
      <w:pPr>
        <w:pStyle w:val="Heading3"/>
        <w:numPr>
          <w:ilvl w:val="2"/>
          <w:numId w:val="26"/>
        </w:numPr>
      </w:pPr>
      <w:r w:rsidRPr="00F46F45">
        <w:t>Department of Justice and Community Safety</w:t>
      </w:r>
    </w:p>
    <w:p w14:paraId="3B2AA0CE" w14:textId="77777777" w:rsidR="00603A5B" w:rsidRDefault="00603A5B" w:rsidP="007573A1">
      <w:pPr>
        <w:pStyle w:val="Body"/>
      </w:pPr>
      <w:r>
        <w:t xml:space="preserve">The </w:t>
      </w:r>
      <w:r w:rsidRPr="00F46F45">
        <w:t>Department of Justice and Community Safety</w:t>
      </w:r>
      <w:r>
        <w:t xml:space="preserve"> (DJCS) leads the delivery of justice and community safety services in Victoria by providing policy and organisational management. Its extensive service delivery responsibilities range from managing the State’s prison system, to providing consumer protection and enforcing court warrants. </w:t>
      </w:r>
    </w:p>
    <w:p w14:paraId="6D67D3E1" w14:textId="06E06F6F" w:rsidR="00603A5B" w:rsidRDefault="00603A5B" w:rsidP="007573A1">
      <w:pPr>
        <w:pStyle w:val="Body"/>
      </w:pPr>
      <w:r>
        <w:t xml:space="preserve">DJCS </w:t>
      </w:r>
      <w:r w:rsidRPr="00F46F45">
        <w:t xml:space="preserve">provides </w:t>
      </w:r>
      <w:r w:rsidRPr="007326BC">
        <w:t>fund</w:t>
      </w:r>
      <w:r w:rsidR="008D1299">
        <w:t>ing</w:t>
      </w:r>
      <w:r w:rsidRPr="00F46F45">
        <w:t xml:space="preserve"> for MACNI service provision,</w:t>
      </w:r>
      <w:r>
        <w:t xml:space="preserve"> and many referred </w:t>
      </w:r>
      <w:r w:rsidR="00CF4ACB">
        <w:t>people</w:t>
      </w:r>
      <w:r>
        <w:t xml:space="preserve"> have previous or current contact with the justice system. Each area based Complex Needs Panel has a DJCS representative who</w:t>
      </w:r>
      <w:r w:rsidRPr="00F46F45">
        <w:t xml:space="preserve"> provide</w:t>
      </w:r>
      <w:r>
        <w:t>s</w:t>
      </w:r>
      <w:r w:rsidRPr="00F46F45">
        <w:t xml:space="preserve"> advice on services and supports within the state-wide justice system</w:t>
      </w:r>
      <w:r w:rsidR="003F08AE">
        <w:t xml:space="preserve">. </w:t>
      </w:r>
    </w:p>
    <w:p w14:paraId="43383ECC" w14:textId="63B6AF12" w:rsidR="00603A5B" w:rsidRPr="00F46F45" w:rsidRDefault="00603A5B" w:rsidP="007573A1">
      <w:pPr>
        <w:pStyle w:val="Body"/>
      </w:pPr>
      <w:r>
        <w:t xml:space="preserve">Refer: </w:t>
      </w:r>
      <w:hyperlink r:id="rId26">
        <w:r w:rsidRPr="1651A974">
          <w:rPr>
            <w:rStyle w:val="Hyperlink"/>
          </w:rPr>
          <w:t>Department of Justice and Community Safety</w:t>
        </w:r>
      </w:hyperlink>
      <w:r>
        <w:t xml:space="preserve"> &lt;https://www.justice.vic.gov.au&gt;</w:t>
      </w:r>
    </w:p>
    <w:p w14:paraId="5FCDECDA" w14:textId="54F0BCCB" w:rsidR="00603A5B" w:rsidRDefault="00603A5B" w:rsidP="000E7482">
      <w:pPr>
        <w:pStyle w:val="Heading3"/>
        <w:numPr>
          <w:ilvl w:val="2"/>
          <w:numId w:val="26"/>
        </w:numPr>
      </w:pPr>
      <w:r>
        <w:t>Homes Victoria</w:t>
      </w:r>
    </w:p>
    <w:p w14:paraId="12C0CB1B" w14:textId="6304FB52" w:rsidR="00603A5B" w:rsidRPr="00F32117" w:rsidRDefault="00603A5B" w:rsidP="007573A1">
      <w:pPr>
        <w:pStyle w:val="Body"/>
      </w:pPr>
      <w:r w:rsidRPr="00F32117">
        <w:t>Homes Victoria manage</w:t>
      </w:r>
      <w:r w:rsidR="004579AB">
        <w:t>s</w:t>
      </w:r>
      <w:r w:rsidRPr="00F32117">
        <w:t xml:space="preserve"> Victoria’s social housing portfolio. This includes public housing, community housing, crisis accommodation, transitional accommodation</w:t>
      </w:r>
      <w:r w:rsidR="004579AB">
        <w:t>,</w:t>
      </w:r>
      <w:r w:rsidRPr="00F32117">
        <w:t xml:space="preserve"> affordable housing</w:t>
      </w:r>
      <w:r w:rsidR="005D446D">
        <w:t>, and other associated</w:t>
      </w:r>
      <w:r w:rsidRPr="00F32117">
        <w:t xml:space="preserve"> essential support services. Homes Victoria provides fund</w:t>
      </w:r>
      <w:r w:rsidR="005D446D">
        <w:t>ing</w:t>
      </w:r>
      <w:r w:rsidRPr="00F32117">
        <w:t xml:space="preserve"> for MACNI and solely funds SfHRT. </w:t>
      </w:r>
      <w:r w:rsidR="005D446D">
        <w:t>Homes Victoria has a key role in</w:t>
      </w:r>
      <w:r w:rsidRPr="00F32117">
        <w:t xml:space="preserve"> early identification of potential clients with complex needs and their referral</w:t>
      </w:r>
      <w:r w:rsidR="005D446D">
        <w:t xml:space="preserve"> to </w:t>
      </w:r>
      <w:r w:rsidR="008F6EFE">
        <w:t>the complex needs</w:t>
      </w:r>
      <w:r w:rsidR="00AE5159">
        <w:t xml:space="preserve"> service</w:t>
      </w:r>
      <w:r w:rsidR="008F6EFE">
        <w:t xml:space="preserve"> response</w:t>
      </w:r>
      <w:r w:rsidR="006C07F4">
        <w:t>.</w:t>
      </w:r>
    </w:p>
    <w:p w14:paraId="093C7FA3" w14:textId="73CFCE41" w:rsidR="00603A5B" w:rsidRDefault="00603A5B" w:rsidP="007573A1">
      <w:pPr>
        <w:pStyle w:val="Body"/>
      </w:pPr>
      <w:r>
        <w:t xml:space="preserve">Refer: </w:t>
      </w:r>
      <w:hyperlink r:id="rId27" w:history="1">
        <w:r w:rsidR="00F51945" w:rsidRPr="00322F37">
          <w:rPr>
            <w:rStyle w:val="Hyperlink"/>
          </w:rPr>
          <w:t>Homes Victoria</w:t>
        </w:r>
      </w:hyperlink>
      <w:r>
        <w:t xml:space="preserve"> </w:t>
      </w:r>
      <w:r w:rsidR="00197FCC">
        <w:rPr>
          <w:rStyle w:val="Hyperlink"/>
        </w:rPr>
        <w:t>&lt;</w:t>
      </w:r>
      <w:r w:rsidR="00197FCC" w:rsidRPr="003F464B">
        <w:t>https://www.homes.vic.gov.au</w:t>
      </w:r>
      <w:r w:rsidR="00197FCC">
        <w:t>&gt;</w:t>
      </w:r>
    </w:p>
    <w:p w14:paraId="764374EC" w14:textId="5405D1D7" w:rsidR="00E11AC6" w:rsidRPr="0030399D" w:rsidRDefault="00E11AC6" w:rsidP="000E7482">
      <w:pPr>
        <w:pStyle w:val="Heading3"/>
        <w:numPr>
          <w:ilvl w:val="2"/>
          <w:numId w:val="26"/>
        </w:numPr>
      </w:pPr>
      <w:r>
        <w:t xml:space="preserve">National Disability Insurance Scheme </w:t>
      </w:r>
    </w:p>
    <w:p w14:paraId="14E98B3B" w14:textId="77777777" w:rsidR="00E11AC6" w:rsidRPr="000E2AF1" w:rsidRDefault="00E11AC6" w:rsidP="00E11AC6">
      <w:pPr>
        <w:pStyle w:val="Body"/>
      </w:pPr>
      <w:r w:rsidRPr="00403388">
        <w:t xml:space="preserve">The </w:t>
      </w:r>
      <w:r w:rsidRPr="00FE505C">
        <w:t xml:space="preserve">National Disability Insurance Scheme </w:t>
      </w:r>
      <w:r>
        <w:t>(</w:t>
      </w:r>
      <w:r w:rsidRPr="00403388">
        <w:t>NDIS</w:t>
      </w:r>
      <w:r>
        <w:t>)</w:t>
      </w:r>
      <w:r w:rsidRPr="00403388">
        <w:t xml:space="preserve"> is </w:t>
      </w:r>
      <w:r>
        <w:t>a</w:t>
      </w:r>
      <w:r w:rsidRPr="00403388">
        <w:t xml:space="preserve"> national scheme for people with disability. </w:t>
      </w:r>
      <w:r w:rsidRPr="000E2AF1">
        <w:t>The NDIS provides funding to eligible people with disability to gain greater independence, access to new skills, jobs, or volunteering in their community, and an improved quality of life.</w:t>
      </w:r>
      <w:r>
        <w:t xml:space="preserve"> </w:t>
      </w:r>
      <w:r w:rsidRPr="000E2AF1">
        <w:t>Once a participant reaches 65, engaged services should consider a person’s eligibility and suitability for My Aged Care, noting that supports may only be funded by the NDIS.</w:t>
      </w:r>
    </w:p>
    <w:p w14:paraId="5E8F15E5" w14:textId="77777777" w:rsidR="00E11AC6" w:rsidRPr="00273458" w:rsidRDefault="00E11AC6" w:rsidP="00E11AC6">
      <w:pPr>
        <w:pStyle w:val="Heading4"/>
      </w:pPr>
      <w:r>
        <w:t xml:space="preserve">National Disability Insurance Agency - </w:t>
      </w:r>
      <w:r w:rsidRPr="00926A63">
        <w:t>Complex Support Needs Pathway</w:t>
      </w:r>
      <w:r>
        <w:t xml:space="preserve"> </w:t>
      </w:r>
    </w:p>
    <w:p w14:paraId="3247ECA0" w14:textId="77777777" w:rsidR="00E11AC6" w:rsidRPr="004E51E3" w:rsidRDefault="00E11AC6" w:rsidP="00E11AC6">
      <w:pPr>
        <w:pStyle w:val="Body"/>
      </w:pPr>
      <w:r w:rsidRPr="004E51E3">
        <w:t>The Complex Support Needs Pathway</w:t>
      </w:r>
      <w:r w:rsidRPr="004E51E3">
        <w:rPr>
          <w:rStyle w:val="Strong"/>
          <w:b w:val="0"/>
          <w:bCs w:val="0"/>
        </w:rPr>
        <w:t xml:space="preserve"> </w:t>
      </w:r>
      <w:r w:rsidRPr="004E51E3">
        <w:t>provides specialised support for participants with a disability who have other challenges impacting their lives such as mental health issues, incarceration, or homelessness, and need a higher level of specialised supports in their plan.</w:t>
      </w:r>
      <w:r>
        <w:t xml:space="preserve"> There are</w:t>
      </w:r>
      <w:r w:rsidRPr="004E51E3">
        <w:t xml:space="preserve"> dedicated planning teams and a network of specialised planners with strong experience in high-level coordination and/or allied health experience. </w:t>
      </w:r>
    </w:p>
    <w:p w14:paraId="0C4D8853" w14:textId="77777777" w:rsidR="00E11AC6" w:rsidRDefault="00E11AC6" w:rsidP="00E11AC6">
      <w:pPr>
        <w:pStyle w:val="Body"/>
      </w:pPr>
      <w:r>
        <w:t xml:space="preserve">Refer: </w:t>
      </w:r>
      <w:hyperlink r:id="rId28" w:history="1">
        <w:r w:rsidRPr="007D02D9">
          <w:rPr>
            <w:rStyle w:val="Hyperlink"/>
          </w:rPr>
          <w:t>National Disability Insurance Scheme</w:t>
        </w:r>
      </w:hyperlink>
      <w:r>
        <w:t xml:space="preserve"> &lt;</w:t>
      </w:r>
      <w:r w:rsidRPr="00FE505C">
        <w:t>https://www.ndis.gov.au</w:t>
      </w:r>
      <w:r>
        <w:t xml:space="preserve">&gt; </w:t>
      </w:r>
      <w:hyperlink r:id="rId29" w:history="1">
        <w:r w:rsidRPr="007D02D9">
          <w:rPr>
            <w:rStyle w:val="Hyperlink"/>
          </w:rPr>
          <w:t>email the NDIS</w:t>
        </w:r>
      </w:hyperlink>
      <w:r>
        <w:t xml:space="preserve"> </w:t>
      </w:r>
      <w:r>
        <w:rPr>
          <w:rStyle w:val="Hyperlink"/>
          <w:color w:val="auto"/>
          <w:u w:val="none"/>
        </w:rPr>
        <w:t>&lt;</w:t>
      </w:r>
      <w:r w:rsidRPr="00817641">
        <w:t>enquiries@ndis.gov.au</w:t>
      </w:r>
      <w:r>
        <w:rPr>
          <w:rStyle w:val="Hyperlink"/>
          <w:color w:val="auto"/>
          <w:u w:val="none"/>
        </w:rPr>
        <w:t>&gt;</w:t>
      </w:r>
      <w:r w:rsidRPr="004E51E3">
        <w:rPr>
          <w:rStyle w:val="Hyperlink"/>
          <w:color w:val="auto"/>
          <w:u w:val="none"/>
        </w:rPr>
        <w:t xml:space="preserve"> or</w:t>
      </w:r>
      <w:r w:rsidRPr="004E51E3">
        <w:t xml:space="preserve"> </w:t>
      </w:r>
      <w:r>
        <w:t xml:space="preserve">contact </w:t>
      </w:r>
      <w:r w:rsidRPr="004E51E3">
        <w:t>NDIA on 1800 800 110</w:t>
      </w:r>
      <w:r>
        <w:t>.</w:t>
      </w:r>
    </w:p>
    <w:p w14:paraId="38057C43" w14:textId="4D7D0B23" w:rsidR="00E11AC6" w:rsidRDefault="00E11AC6" w:rsidP="00E11AC6">
      <w:pPr>
        <w:pStyle w:val="Body"/>
      </w:pPr>
      <w:r>
        <w:t xml:space="preserve">Refer: </w:t>
      </w:r>
      <w:hyperlink r:id="rId30" w:history="1">
        <w:r w:rsidRPr="002E6E85">
          <w:rPr>
            <w:rStyle w:val="Hyperlink"/>
          </w:rPr>
          <w:t>My Aged Care</w:t>
        </w:r>
      </w:hyperlink>
      <w:r>
        <w:t xml:space="preserve"> &lt;</w:t>
      </w:r>
      <w:r w:rsidRPr="00817641">
        <w:t>https://www.myagedcare.gov.au</w:t>
      </w:r>
      <w:r>
        <w:t>&gt;</w:t>
      </w:r>
    </w:p>
    <w:p w14:paraId="3C408B28" w14:textId="3C4ED9C7" w:rsidR="00197FCC" w:rsidRDefault="00197FCC" w:rsidP="000E7482">
      <w:pPr>
        <w:pStyle w:val="Heading3"/>
        <w:numPr>
          <w:ilvl w:val="2"/>
          <w:numId w:val="26"/>
        </w:numPr>
      </w:pPr>
      <w:r>
        <w:lastRenderedPageBreak/>
        <w:t>Forensic Disability Services</w:t>
      </w:r>
      <w:r w:rsidR="00A61D4F">
        <w:t xml:space="preserve"> </w:t>
      </w:r>
    </w:p>
    <w:p w14:paraId="13274325" w14:textId="77777777" w:rsidR="00197FCC" w:rsidRDefault="00197FCC" w:rsidP="00197FCC">
      <w:pPr>
        <w:pStyle w:val="Body"/>
      </w:pPr>
      <w:r>
        <w:t>Forensic Disability Services supports people with cognitive impairment involved in the criminal justice system who require specialist support and adapted intervention to address criminogenic needs. The program operates alongside the broader justice and disability service system and other mainstream services to address disability specific factors contributing to a person’s risk of offending.</w:t>
      </w:r>
    </w:p>
    <w:p w14:paraId="64478C1A" w14:textId="77777777" w:rsidR="00197FCC" w:rsidRDefault="00197FCC" w:rsidP="00197FCC">
      <w:pPr>
        <w:pStyle w:val="Bodyafterbullets"/>
      </w:pPr>
      <w:r>
        <w:t>To be eligible, a person must have a cognitive impairment associated with a neurological disability, acquired brain injury or intellectual disability within the definition of the Disability Act. Forensic Disability Services is comprised of:</w:t>
      </w:r>
    </w:p>
    <w:p w14:paraId="27D69AFD" w14:textId="0197B855" w:rsidR="00197FCC" w:rsidRDefault="00197FCC" w:rsidP="00740A47">
      <w:pPr>
        <w:pStyle w:val="Bullet1"/>
      </w:pPr>
      <w:r>
        <w:t xml:space="preserve">Forensic Disability Statewide Access Service - for referrals </w:t>
      </w:r>
    </w:p>
    <w:p w14:paraId="6F0491B5" w14:textId="3C59F5AB" w:rsidR="00197FCC" w:rsidRDefault="00197FCC" w:rsidP="00740A47">
      <w:pPr>
        <w:pStyle w:val="Bullet1"/>
      </w:pPr>
      <w:r>
        <w:t xml:space="preserve">Forensic Residential Services - residential treatment facilities and specialist forensic disability accommodation </w:t>
      </w:r>
    </w:p>
    <w:p w14:paraId="1D56B6A1" w14:textId="10542265" w:rsidR="00197FCC" w:rsidRDefault="00197FCC" w:rsidP="00740A47">
      <w:pPr>
        <w:pStyle w:val="Bullet1"/>
      </w:pPr>
      <w:r>
        <w:t xml:space="preserve">Disability Justice Coordination </w:t>
      </w:r>
    </w:p>
    <w:p w14:paraId="22A90B4B" w14:textId="15D8DE14" w:rsidR="00197FCC" w:rsidRDefault="00197FCC" w:rsidP="00740A47">
      <w:pPr>
        <w:pStyle w:val="Bullet1"/>
      </w:pPr>
      <w:r>
        <w:t>Forensic Clinical Service</w:t>
      </w:r>
      <w:r w:rsidR="00A0174B">
        <w:t>.</w:t>
      </w:r>
    </w:p>
    <w:p w14:paraId="4A22F6B1" w14:textId="102D8A0A" w:rsidR="00197FCC" w:rsidRDefault="00197FCC" w:rsidP="00197FCC">
      <w:pPr>
        <w:pStyle w:val="Bodyafterbullets"/>
        <w:rPr>
          <w:rStyle w:val="BodyChar"/>
        </w:rPr>
      </w:pPr>
      <w:r w:rsidRPr="1651A974">
        <w:rPr>
          <w:rStyle w:val="BodyChar"/>
        </w:rPr>
        <w:t xml:space="preserve">Refer: </w:t>
      </w:r>
      <w:hyperlink r:id="rId31" w:history="1">
        <w:r w:rsidRPr="00A0174B">
          <w:rPr>
            <w:rStyle w:val="Hyperlink"/>
          </w:rPr>
          <w:t>Forensic Disability Services</w:t>
        </w:r>
      </w:hyperlink>
      <w:r w:rsidR="00A0174B">
        <w:t xml:space="preserve"> </w:t>
      </w:r>
      <w:r w:rsidRPr="1651A974">
        <w:rPr>
          <w:rStyle w:val="BodyChar"/>
        </w:rPr>
        <w:t>&lt;https://www.dffh.vic.gov.au/forensic-disability-services&gt;</w:t>
      </w:r>
    </w:p>
    <w:p w14:paraId="2621403D" w14:textId="12C4144B" w:rsidR="00A61D4F" w:rsidRPr="001310C7" w:rsidRDefault="00A61D4F" w:rsidP="000E7482">
      <w:pPr>
        <w:pStyle w:val="Heading3"/>
        <w:numPr>
          <w:ilvl w:val="2"/>
          <w:numId w:val="26"/>
        </w:numPr>
      </w:pPr>
      <w:r w:rsidRPr="001310C7">
        <w:t>Principal Disability Practice Advisor</w:t>
      </w:r>
      <w:r w:rsidR="00E11AC6">
        <w:t>s</w:t>
      </w:r>
      <w:r w:rsidRPr="001310C7">
        <w:t xml:space="preserve"> </w:t>
      </w:r>
    </w:p>
    <w:p w14:paraId="64AA2FFC" w14:textId="77777777" w:rsidR="00A61D4F" w:rsidRPr="001310C7" w:rsidRDefault="00A61D4F" w:rsidP="00A61D4F">
      <w:pPr>
        <w:pStyle w:val="Body"/>
      </w:pPr>
      <w:r>
        <w:t>The department</w:t>
      </w:r>
      <w:r w:rsidRPr="001310C7">
        <w:t xml:space="preserve"> </w:t>
      </w:r>
      <w:r>
        <w:t xml:space="preserve">has </w:t>
      </w:r>
      <w:r w:rsidRPr="00923EB8">
        <w:t xml:space="preserve">Principal Disability Practice Advisor </w:t>
      </w:r>
      <w:r>
        <w:t>(PDPA)</w:t>
      </w:r>
      <w:r w:rsidRPr="001310C7">
        <w:t xml:space="preserve"> roles in </w:t>
      </w:r>
      <w:r>
        <w:t xml:space="preserve">teams in each of </w:t>
      </w:r>
      <w:r w:rsidRPr="001310C7">
        <w:t>the four operational divisions</w:t>
      </w:r>
      <w:r>
        <w:t xml:space="preserve">. These operational teams also include </w:t>
      </w:r>
      <w:r w:rsidRPr="001310C7">
        <w:t>two Disability Practice Advisor</w:t>
      </w:r>
      <w:r>
        <w:t>s</w:t>
      </w:r>
      <w:r w:rsidRPr="001310C7">
        <w:t xml:space="preserve"> (DPA).</w:t>
      </w:r>
      <w:r>
        <w:t xml:space="preserve"> </w:t>
      </w:r>
      <w:r w:rsidRPr="001310C7">
        <w:t>T</w:t>
      </w:r>
      <w:r>
        <w:t>he t</w:t>
      </w:r>
      <w:r w:rsidRPr="001310C7">
        <w:t xml:space="preserve">eams provide oversight of arrangements funded by the Support for Children with Complex Disability Program. The program responds to children who require, or may require in the future, accommodation outside the family home due to their complex disability support needs. PDPAs and DPAs lead the coordination and support to access mainstream services, work with the NDIA to coordinate disability specific supports and identify children in need of early intervention supports to sustain their living arrangements in the family home. </w:t>
      </w:r>
    </w:p>
    <w:p w14:paraId="6FFFCFDA" w14:textId="77777777" w:rsidR="00A61D4F" w:rsidRPr="001310C7" w:rsidRDefault="00A61D4F" w:rsidP="00A61D4F">
      <w:pPr>
        <w:pStyle w:val="Body"/>
      </w:pPr>
      <w:r w:rsidRPr="001310C7">
        <w:t xml:space="preserve">The teams also work with </w:t>
      </w:r>
      <w:r>
        <w:t>C</w:t>
      </w:r>
      <w:r w:rsidRPr="001310C7">
        <w:t xml:space="preserve">hild </w:t>
      </w:r>
      <w:r>
        <w:t>P</w:t>
      </w:r>
      <w:r w:rsidRPr="001310C7">
        <w:t xml:space="preserve">rotection </w:t>
      </w:r>
      <w:r>
        <w:t>Service (CPS)</w:t>
      </w:r>
      <w:r w:rsidRPr="001310C7">
        <w:t xml:space="preserve"> to improve outcomes for children with disability in the statutory system. This includes supporting assessments and decision making </w:t>
      </w:r>
      <w:r>
        <w:t>about</w:t>
      </w:r>
      <w:r w:rsidRPr="001310C7">
        <w:t xml:space="preserve"> individual children in all phases of </w:t>
      </w:r>
      <w:r>
        <w:t>CPS</w:t>
      </w:r>
      <w:r w:rsidRPr="001310C7">
        <w:t xml:space="preserve"> involvement, </w:t>
      </w:r>
      <w:r>
        <w:t xml:space="preserve">workforce </w:t>
      </w:r>
      <w:r w:rsidRPr="001310C7">
        <w:t xml:space="preserve">capacity building to ensure that children are receiving optimal disability supports through the NDIS, </w:t>
      </w:r>
      <w:r>
        <w:t>and</w:t>
      </w:r>
      <w:r w:rsidRPr="001310C7">
        <w:t xml:space="preserve"> escalation of interface and individual client issues to the NDIA as required. Once a young person turns 18, the PDPA transition</w:t>
      </w:r>
      <w:r>
        <w:t>s</w:t>
      </w:r>
      <w:r w:rsidRPr="001310C7">
        <w:t xml:space="preserve"> tasks to the Intensive Support Team if required. </w:t>
      </w:r>
    </w:p>
    <w:tbl>
      <w:tblPr>
        <w:tblStyle w:val="TableGrid"/>
        <w:tblW w:w="0" w:type="auto"/>
        <w:tblLook w:val="04A0" w:firstRow="1" w:lastRow="0" w:firstColumn="1" w:lastColumn="0" w:noHBand="0" w:noVBand="1"/>
      </w:tblPr>
      <w:tblGrid>
        <w:gridCol w:w="1271"/>
        <w:gridCol w:w="4820"/>
      </w:tblGrid>
      <w:tr w:rsidR="00A61D4F" w:rsidRPr="0005081A" w14:paraId="36CB5A70" w14:textId="77777777" w:rsidTr="005A3F87">
        <w:trPr>
          <w:trHeight w:val="300"/>
        </w:trPr>
        <w:tc>
          <w:tcPr>
            <w:tcW w:w="1271" w:type="dxa"/>
          </w:tcPr>
          <w:p w14:paraId="43D5E152" w14:textId="77777777" w:rsidR="00A61D4F" w:rsidRPr="00923EB8" w:rsidRDefault="00A61D4F" w:rsidP="005A3F87">
            <w:pPr>
              <w:pStyle w:val="Tablecolhead"/>
              <w:rPr>
                <w:sz w:val="20"/>
                <w:szCs w:val="18"/>
              </w:rPr>
            </w:pPr>
            <w:r w:rsidRPr="00923EB8">
              <w:rPr>
                <w:sz w:val="20"/>
                <w:szCs w:val="18"/>
              </w:rPr>
              <w:t>Division</w:t>
            </w:r>
          </w:p>
        </w:tc>
        <w:tc>
          <w:tcPr>
            <w:tcW w:w="4820" w:type="dxa"/>
          </w:tcPr>
          <w:p w14:paraId="7F31DBD4" w14:textId="77777777" w:rsidR="00A61D4F" w:rsidRPr="00923EB8" w:rsidRDefault="00A61D4F" w:rsidP="005A3F87">
            <w:pPr>
              <w:pStyle w:val="Tablecolhead"/>
              <w:rPr>
                <w:sz w:val="20"/>
                <w:szCs w:val="18"/>
              </w:rPr>
            </w:pPr>
            <w:r w:rsidRPr="00923EB8">
              <w:rPr>
                <w:sz w:val="20"/>
                <w:szCs w:val="18"/>
              </w:rPr>
              <w:t>Email</w:t>
            </w:r>
          </w:p>
        </w:tc>
      </w:tr>
      <w:tr w:rsidR="00A61D4F" w14:paraId="3A64754E" w14:textId="77777777" w:rsidTr="005A3F87">
        <w:trPr>
          <w:trHeight w:val="300"/>
        </w:trPr>
        <w:tc>
          <w:tcPr>
            <w:tcW w:w="1271" w:type="dxa"/>
          </w:tcPr>
          <w:p w14:paraId="32594F6F" w14:textId="77777777" w:rsidR="00A61D4F" w:rsidRPr="00923EB8" w:rsidRDefault="00A61D4F" w:rsidP="005A3F87">
            <w:pPr>
              <w:pStyle w:val="Tabletext"/>
              <w:rPr>
                <w:sz w:val="20"/>
                <w:szCs w:val="18"/>
              </w:rPr>
            </w:pPr>
            <w:r w:rsidRPr="00923EB8">
              <w:rPr>
                <w:sz w:val="20"/>
                <w:szCs w:val="18"/>
              </w:rPr>
              <w:t>North</w:t>
            </w:r>
          </w:p>
        </w:tc>
        <w:tc>
          <w:tcPr>
            <w:tcW w:w="4820" w:type="dxa"/>
          </w:tcPr>
          <w:p w14:paraId="27491983" w14:textId="77777777" w:rsidR="00A61D4F" w:rsidRPr="00923EB8" w:rsidRDefault="006D511F" w:rsidP="005A3F87">
            <w:pPr>
              <w:pStyle w:val="Body"/>
              <w:rPr>
                <w:sz w:val="20"/>
                <w:szCs w:val="18"/>
              </w:rPr>
            </w:pPr>
            <w:hyperlink r:id="rId32" w:history="1">
              <w:r w:rsidR="00A61D4F" w:rsidRPr="00923EB8">
                <w:rPr>
                  <w:rStyle w:val="Hyperlink"/>
                  <w:sz w:val="20"/>
                  <w:szCs w:val="18"/>
                </w:rPr>
                <w:t>northdisabilitypracticeadvice@dhhs.vic.gov.au</w:t>
              </w:r>
            </w:hyperlink>
          </w:p>
        </w:tc>
      </w:tr>
      <w:tr w:rsidR="00A61D4F" w14:paraId="13BA945A" w14:textId="77777777" w:rsidTr="005A3F87">
        <w:trPr>
          <w:trHeight w:val="300"/>
        </w:trPr>
        <w:tc>
          <w:tcPr>
            <w:tcW w:w="1271" w:type="dxa"/>
          </w:tcPr>
          <w:p w14:paraId="3AF50C73" w14:textId="77777777" w:rsidR="00A61D4F" w:rsidRPr="00923EB8" w:rsidRDefault="00A61D4F" w:rsidP="005A3F87">
            <w:pPr>
              <w:pStyle w:val="Tabletext"/>
              <w:rPr>
                <w:sz w:val="20"/>
                <w:szCs w:val="18"/>
              </w:rPr>
            </w:pPr>
            <w:r w:rsidRPr="00923EB8">
              <w:rPr>
                <w:sz w:val="20"/>
                <w:szCs w:val="18"/>
              </w:rPr>
              <w:t>West</w:t>
            </w:r>
          </w:p>
        </w:tc>
        <w:tc>
          <w:tcPr>
            <w:tcW w:w="4820" w:type="dxa"/>
          </w:tcPr>
          <w:p w14:paraId="65EB6CD2" w14:textId="77777777" w:rsidR="00A61D4F" w:rsidRPr="00923EB8" w:rsidRDefault="006D511F" w:rsidP="005A3F87">
            <w:pPr>
              <w:pStyle w:val="Body"/>
              <w:rPr>
                <w:sz w:val="20"/>
                <w:szCs w:val="18"/>
              </w:rPr>
            </w:pPr>
            <w:hyperlink r:id="rId33" w:history="1">
              <w:r w:rsidR="00A61D4F" w:rsidRPr="00923EB8">
                <w:rPr>
                  <w:rStyle w:val="Hyperlink"/>
                  <w:sz w:val="20"/>
                  <w:szCs w:val="18"/>
                </w:rPr>
                <w:t>westdisability@dhhs.vic.gov.au</w:t>
              </w:r>
            </w:hyperlink>
            <w:r w:rsidR="00A61D4F" w:rsidRPr="00923EB8">
              <w:rPr>
                <w:sz w:val="20"/>
                <w:szCs w:val="18"/>
              </w:rPr>
              <w:t xml:space="preserve"> </w:t>
            </w:r>
          </w:p>
        </w:tc>
      </w:tr>
      <w:tr w:rsidR="00A61D4F" w14:paraId="3ACCCB13" w14:textId="77777777" w:rsidTr="005A3F87">
        <w:trPr>
          <w:trHeight w:val="300"/>
        </w:trPr>
        <w:tc>
          <w:tcPr>
            <w:tcW w:w="1271" w:type="dxa"/>
          </w:tcPr>
          <w:p w14:paraId="77D9EEEC" w14:textId="77777777" w:rsidR="00A61D4F" w:rsidRPr="00923EB8" w:rsidRDefault="00A61D4F" w:rsidP="005A3F87">
            <w:pPr>
              <w:pStyle w:val="Tabletext"/>
              <w:rPr>
                <w:sz w:val="20"/>
                <w:szCs w:val="18"/>
              </w:rPr>
            </w:pPr>
            <w:r w:rsidRPr="00923EB8">
              <w:rPr>
                <w:sz w:val="20"/>
                <w:szCs w:val="18"/>
              </w:rPr>
              <w:t>South</w:t>
            </w:r>
          </w:p>
        </w:tc>
        <w:tc>
          <w:tcPr>
            <w:tcW w:w="4820" w:type="dxa"/>
          </w:tcPr>
          <w:p w14:paraId="7EAFD6B5" w14:textId="77777777" w:rsidR="00A61D4F" w:rsidRPr="00923EB8" w:rsidRDefault="006D511F" w:rsidP="005A3F87">
            <w:pPr>
              <w:pStyle w:val="Body"/>
              <w:rPr>
                <w:sz w:val="20"/>
                <w:szCs w:val="18"/>
              </w:rPr>
            </w:pPr>
            <w:hyperlink r:id="rId34" w:history="1">
              <w:r w:rsidR="00A61D4F" w:rsidRPr="00923EB8">
                <w:rPr>
                  <w:rStyle w:val="Hyperlink"/>
                  <w:sz w:val="20"/>
                  <w:szCs w:val="18"/>
                </w:rPr>
                <w:t>south.disabilitypracticeadvice@dhhs.vic.gov.au</w:t>
              </w:r>
            </w:hyperlink>
          </w:p>
        </w:tc>
      </w:tr>
      <w:tr w:rsidR="00A61D4F" w14:paraId="25AB702E" w14:textId="77777777" w:rsidTr="005A3F87">
        <w:trPr>
          <w:trHeight w:val="300"/>
        </w:trPr>
        <w:tc>
          <w:tcPr>
            <w:tcW w:w="1271" w:type="dxa"/>
          </w:tcPr>
          <w:p w14:paraId="5D977257" w14:textId="77777777" w:rsidR="00A61D4F" w:rsidRPr="00923EB8" w:rsidRDefault="00A61D4F" w:rsidP="005A3F87">
            <w:pPr>
              <w:pStyle w:val="Tabletext"/>
              <w:rPr>
                <w:sz w:val="20"/>
                <w:szCs w:val="18"/>
              </w:rPr>
            </w:pPr>
            <w:r w:rsidRPr="00923EB8">
              <w:rPr>
                <w:sz w:val="20"/>
                <w:szCs w:val="18"/>
              </w:rPr>
              <w:t xml:space="preserve">East </w:t>
            </w:r>
          </w:p>
        </w:tc>
        <w:tc>
          <w:tcPr>
            <w:tcW w:w="4820" w:type="dxa"/>
          </w:tcPr>
          <w:p w14:paraId="160A56AA" w14:textId="77777777" w:rsidR="00A61D4F" w:rsidRPr="00923EB8" w:rsidRDefault="006D511F" w:rsidP="005A3F87">
            <w:pPr>
              <w:pStyle w:val="Body"/>
              <w:rPr>
                <w:sz w:val="20"/>
                <w:szCs w:val="18"/>
              </w:rPr>
            </w:pPr>
            <w:hyperlink r:id="rId35" w:history="1">
              <w:r w:rsidR="00A61D4F" w:rsidRPr="00923EB8">
                <w:rPr>
                  <w:rStyle w:val="Hyperlink"/>
                  <w:sz w:val="20"/>
                  <w:szCs w:val="18"/>
                </w:rPr>
                <w:t>east.disabilitypracticeadvice@dhhs.vic.gov.au</w:t>
              </w:r>
            </w:hyperlink>
          </w:p>
        </w:tc>
      </w:tr>
    </w:tbl>
    <w:p w14:paraId="3CFB65EF" w14:textId="22250B56" w:rsidR="00A61D4F" w:rsidRPr="00E745F8" w:rsidRDefault="00A61D4F" w:rsidP="000E7482">
      <w:pPr>
        <w:pStyle w:val="Heading3"/>
        <w:numPr>
          <w:ilvl w:val="2"/>
          <w:numId w:val="26"/>
        </w:numPr>
      </w:pPr>
      <w:r w:rsidRPr="00D721EC">
        <w:t>Intensive Support Team</w:t>
      </w:r>
      <w:r>
        <w:t xml:space="preserve"> </w:t>
      </w:r>
    </w:p>
    <w:p w14:paraId="138257C5" w14:textId="77777777" w:rsidR="00A61D4F" w:rsidRPr="003F464B" w:rsidRDefault="00A61D4F" w:rsidP="00A61D4F">
      <w:pPr>
        <w:pStyle w:val="Body"/>
      </w:pPr>
      <w:r w:rsidRPr="005C4701">
        <w:t>The IST is a state-wide service established in April 2017 by the Victorian Government to provide a targeted intervention to Victorians with disability experiencing significant and critical issues with the disability service system. The IST was set up in response to the systemic issues experienced by people with complex support needs transitioning to the NDIS.</w:t>
      </w:r>
    </w:p>
    <w:p w14:paraId="0A6DE128" w14:textId="77777777" w:rsidR="00A61D4F" w:rsidRPr="005C4701" w:rsidRDefault="00A61D4F" w:rsidP="00A61D4F">
      <w:pPr>
        <w:pStyle w:val="Body"/>
      </w:pPr>
      <w:r w:rsidRPr="005C4701">
        <w:lastRenderedPageBreak/>
        <w:t>More recently the focus of the IST is on formally developing the capacity of the sector and departmental programs to better navigate and resolve issues with access, planning and plan implementation for people with complex support needs.  This work will include formal and informal capacity building activities and targeted to programs with a priority need.   These services continue to be delivered by the IST program, alongside a current focus on systems and service level capacity building activities for sector partners and state programs.</w:t>
      </w:r>
    </w:p>
    <w:p w14:paraId="34638509" w14:textId="77777777" w:rsidR="00A61D4F" w:rsidRPr="00C01E21" w:rsidRDefault="00A61D4F" w:rsidP="00A61D4F">
      <w:pPr>
        <w:pStyle w:val="Body"/>
      </w:pPr>
      <w:r w:rsidRPr="005C4701">
        <w:t>In 2021, the Continuity of Support program was absorbed by the IST. This program has been expanded to also support Victorian’s Ineligible for NDI</w:t>
      </w:r>
      <w:r>
        <w:t>S</w:t>
      </w:r>
      <w:r w:rsidRPr="005C4701">
        <w:t xml:space="preserve">. </w:t>
      </w:r>
      <w:r>
        <w:t>Both programs</w:t>
      </w:r>
      <w:r w:rsidRPr="005C4701">
        <w:t xml:space="preserve"> offer support for Victorians </w:t>
      </w:r>
      <w:r>
        <w:t xml:space="preserve">who are NDIS </w:t>
      </w:r>
      <w:r w:rsidRPr="005C4701">
        <w:t xml:space="preserve">ineligible </w:t>
      </w:r>
      <w:r>
        <w:t xml:space="preserve">respectively </w:t>
      </w:r>
      <w:r w:rsidRPr="005C4701">
        <w:t xml:space="preserve">due to residency or </w:t>
      </w:r>
      <w:r>
        <w:t>inability</w:t>
      </w:r>
      <w:r w:rsidRPr="005C4701">
        <w:t xml:space="preserve"> to secure disability specific supports following their NDIS transition.</w:t>
      </w:r>
      <w:r>
        <w:t xml:space="preserve"> The IST is currently operating up to 30 June 2024.</w:t>
      </w:r>
    </w:p>
    <w:p w14:paraId="46BA97B2" w14:textId="30F64926" w:rsidR="00A61D4F" w:rsidRDefault="00A61D4F" w:rsidP="00A61D4F">
      <w:pPr>
        <w:pStyle w:val="Body"/>
      </w:pPr>
      <w:r w:rsidRPr="00D721EC">
        <w:rPr>
          <w:lang w:val="en"/>
        </w:rPr>
        <w:t>Refer</w:t>
      </w:r>
      <w:r>
        <w:rPr>
          <w:lang w:val="en"/>
        </w:rPr>
        <w:t xml:space="preserve">: </w:t>
      </w:r>
      <w:hyperlink r:id="rId36" w:history="1">
        <w:r w:rsidRPr="00322F37">
          <w:rPr>
            <w:rStyle w:val="Hyperlink"/>
          </w:rPr>
          <w:t>Intensive Support Team</w:t>
        </w:r>
      </w:hyperlink>
      <w:r>
        <w:t xml:space="preserve"> &lt;</w:t>
      </w:r>
      <w:r w:rsidRPr="008C1BF8">
        <w:t>https://dhhsvicgovau.sharepoint.com/:w:/r/sites/dffh/_layouts/15/Doc.aspx?sourcedoc=%7B97A8F70D-CF23-41B9-B543-8C01CC6E424F%7D&amp;file=Intensive%20Support%20Team%20-%20Factsheet%20outlining%20program%20offerings.docx&amp;action=default&amp;mobileredirect=true&amp;DefaultItemOpen=1</w:t>
      </w:r>
      <w:r>
        <w:t>&gt;</w:t>
      </w:r>
    </w:p>
    <w:p w14:paraId="7C3C2C32" w14:textId="581C0A0E" w:rsidR="002D79D6" w:rsidRDefault="002D79D6" w:rsidP="000E7482">
      <w:pPr>
        <w:pStyle w:val="Heading2"/>
        <w:numPr>
          <w:ilvl w:val="1"/>
          <w:numId w:val="26"/>
        </w:numPr>
      </w:pPr>
      <w:bookmarkStart w:id="34" w:name="_Toc145318562"/>
      <w:r>
        <w:t>Strategic reforms for improved service system</w:t>
      </w:r>
      <w:bookmarkEnd w:id="34"/>
    </w:p>
    <w:p w14:paraId="70F945DC" w14:textId="4021D33F" w:rsidR="00603A5B" w:rsidRDefault="00603A5B" w:rsidP="000E7482">
      <w:pPr>
        <w:pStyle w:val="Heading3"/>
        <w:numPr>
          <w:ilvl w:val="2"/>
          <w:numId w:val="26"/>
        </w:numPr>
      </w:pPr>
      <w:r>
        <w:t>Better</w:t>
      </w:r>
      <w:r w:rsidR="00446BFF">
        <w:t>,</w:t>
      </w:r>
      <w:r>
        <w:t xml:space="preserve"> Connected Care</w:t>
      </w:r>
    </w:p>
    <w:p w14:paraId="25FA0B39" w14:textId="7CB1DD24" w:rsidR="00603A5B" w:rsidRPr="002E5E3A" w:rsidRDefault="00603A5B" w:rsidP="007573A1">
      <w:pPr>
        <w:pStyle w:val="Body"/>
      </w:pPr>
      <w:r>
        <w:t>Better</w:t>
      </w:r>
      <w:r w:rsidR="00A0174B">
        <w:t xml:space="preserve"> </w:t>
      </w:r>
      <w:r>
        <w:t>Connected Care is a whole-of-Victorian-government reform which brings together government departments, entities</w:t>
      </w:r>
      <w:r w:rsidR="00684DAF">
        <w:t>,</w:t>
      </w:r>
      <w:r>
        <w:t xml:space="preserve"> and the community sector to collaboratively deliver more integrated services that meet the needs of </w:t>
      </w:r>
      <w:r w:rsidR="00CF4ACB">
        <w:t>people</w:t>
      </w:r>
      <w:r>
        <w:t xml:space="preserve"> who </w:t>
      </w:r>
      <w:r w:rsidR="00BA1FDA">
        <w:t>encounter</w:t>
      </w:r>
      <w:r>
        <w:t xml:space="preserve"> and use multiple government services. Better</w:t>
      </w:r>
      <w:r w:rsidR="00446BFF">
        <w:t>,</w:t>
      </w:r>
      <w:r>
        <w:t xml:space="preserve"> Connected Care aims to deliver a </w:t>
      </w:r>
      <w:r w:rsidR="00CF4ACB">
        <w:t>person</w:t>
      </w:r>
      <w:r>
        <w:t xml:space="preserve"> centred and integrated service system where </w:t>
      </w:r>
      <w:r w:rsidR="00CF4ACB">
        <w:t>people</w:t>
      </w:r>
      <w:r>
        <w:t xml:space="preserve"> can access services </w:t>
      </w:r>
      <w:r w:rsidR="00047C02">
        <w:t xml:space="preserve">that </w:t>
      </w:r>
      <w:r>
        <w:t>they need to make lasting positive change to their lives. The reform has a focus on building stronger partnerships and earlier intervention, to achieve improved client outcomes and reduce demand on acute systems</w:t>
      </w:r>
    </w:p>
    <w:p w14:paraId="048D5EC1" w14:textId="7F3C35B7" w:rsidR="00603A5B" w:rsidRDefault="00603A5B" w:rsidP="007573A1">
      <w:pPr>
        <w:pStyle w:val="Body"/>
      </w:pPr>
      <w:r w:rsidRPr="009D30E7">
        <w:t>For information</w:t>
      </w:r>
      <w:r w:rsidR="00322F37">
        <w:t xml:space="preserve"> </w:t>
      </w:r>
      <w:r w:rsidR="00322F37" w:rsidRPr="00A0174B">
        <w:t>email</w:t>
      </w:r>
      <w:r w:rsidRPr="00A0174B">
        <w:t xml:space="preserve"> </w:t>
      </w:r>
      <w:hyperlink r:id="rId37" w:history="1">
        <w:r w:rsidR="00F51945" w:rsidRPr="00A0174B">
          <w:rPr>
            <w:rStyle w:val="Hyperlink"/>
          </w:rPr>
          <w:t>Better</w:t>
        </w:r>
        <w:r w:rsidR="00A0174B" w:rsidRPr="00A0174B">
          <w:rPr>
            <w:rStyle w:val="Hyperlink"/>
          </w:rPr>
          <w:t xml:space="preserve"> </w:t>
        </w:r>
        <w:r w:rsidR="00F51945" w:rsidRPr="00A0174B">
          <w:rPr>
            <w:rStyle w:val="Hyperlink"/>
          </w:rPr>
          <w:t>Connected Care</w:t>
        </w:r>
      </w:hyperlink>
      <w:r w:rsidRPr="00F5062A">
        <w:t xml:space="preserve"> </w:t>
      </w:r>
      <w:r>
        <w:t>&lt;</w:t>
      </w:r>
      <w:hyperlink r:id="rId38" w:history="1">
        <w:r w:rsidRPr="009D30E7">
          <w:rPr>
            <w:rStyle w:val="Hyperlink"/>
            <w:color w:val="auto"/>
            <w:u w:val="none"/>
          </w:rPr>
          <w:t>bcc@dffh.vic.gov.au</w:t>
        </w:r>
      </w:hyperlink>
      <w:r>
        <w:t>&gt;</w:t>
      </w:r>
      <w:r w:rsidR="008B5F9D">
        <w:t xml:space="preserve"> </w:t>
      </w:r>
    </w:p>
    <w:p w14:paraId="4BEC05B0" w14:textId="2E7CA53A" w:rsidR="00E11AC6" w:rsidRDefault="00E11AC6" w:rsidP="000E7482">
      <w:pPr>
        <w:pStyle w:val="Heading3"/>
        <w:numPr>
          <w:ilvl w:val="2"/>
          <w:numId w:val="26"/>
        </w:numPr>
        <w:rPr>
          <w:rStyle w:val="eop"/>
          <w:rFonts w:eastAsia="MS Mincho" w:cs="Arial"/>
        </w:rPr>
      </w:pPr>
      <w:r w:rsidRPr="003F464B">
        <w:t>Royal Commission into Victoria’s Mental Health System</w:t>
      </w:r>
    </w:p>
    <w:p w14:paraId="38A30994" w14:textId="77777777" w:rsidR="00E11AC6" w:rsidRDefault="00E11AC6" w:rsidP="00E11AC6">
      <w:pPr>
        <w:pStyle w:val="Body"/>
      </w:pPr>
      <w:r>
        <w:t>The Royal Commission into Victoria’s Mental Health System delivered its final report in 2021 which set out a 10-year vision for a balanced, flexible, and responsive system through 65 recommendations, in addition to nine from its interim report. The reforms aim to rebalance the system so that more services will be delivered in community settings and extend beyond an acute health response to a more holistic approach. There will be significant change to the mental health system governance and associated legislation. These structural changes will help drive the long-term improvements needed across the system. </w:t>
      </w:r>
    </w:p>
    <w:p w14:paraId="40D64455" w14:textId="47BB35CC" w:rsidR="00A61D4F" w:rsidRPr="001310C7" w:rsidRDefault="00A61D4F" w:rsidP="000E7482">
      <w:pPr>
        <w:pStyle w:val="Heading3"/>
        <w:numPr>
          <w:ilvl w:val="2"/>
          <w:numId w:val="26"/>
        </w:numPr>
      </w:pPr>
      <w:r>
        <w:t xml:space="preserve">Complex and Forensic Needs Integrated Response </w:t>
      </w:r>
    </w:p>
    <w:p w14:paraId="77085521" w14:textId="35C4E041" w:rsidR="00A61D4F" w:rsidRPr="001310C7" w:rsidRDefault="00A61D4F" w:rsidP="00A61D4F">
      <w:pPr>
        <w:pStyle w:val="Body"/>
      </w:pPr>
      <w:r>
        <w:t xml:space="preserve">The department </w:t>
      </w:r>
      <w:r w:rsidRPr="001310C7">
        <w:t xml:space="preserve">is responsible for the delivery and coordination of critical services to respond to people with multiple and complex needs. The </w:t>
      </w:r>
      <w:r>
        <w:t>C</w:t>
      </w:r>
      <w:r w:rsidRPr="00923EB8">
        <w:t xml:space="preserve">omplex and Forensic Needs Integrated Response </w:t>
      </w:r>
      <w:r>
        <w:t xml:space="preserve">(the </w:t>
      </w:r>
      <w:r w:rsidRPr="001310C7">
        <w:t>Integrated Response</w:t>
      </w:r>
      <w:r>
        <w:t>)</w:t>
      </w:r>
      <w:r w:rsidRPr="001310C7">
        <w:t xml:space="preserve"> connects to and complements the Better, Connected Care </w:t>
      </w:r>
      <w:r w:rsidR="00446BFF">
        <w:t>F</w:t>
      </w:r>
      <w:r w:rsidRPr="001310C7">
        <w:t>ramework which is the overarching government reform agenda for people with multiple and complex needs using multiple service systems.</w:t>
      </w:r>
    </w:p>
    <w:p w14:paraId="15B6D48B" w14:textId="245796B5" w:rsidR="00A61D4F" w:rsidRPr="001310C7" w:rsidRDefault="00A61D4F" w:rsidP="00A61D4F">
      <w:pPr>
        <w:pStyle w:val="Body"/>
        <w:rPr>
          <w:rStyle w:val="eop"/>
        </w:rPr>
      </w:pPr>
      <w:r w:rsidRPr="001310C7">
        <w:lastRenderedPageBreak/>
        <w:t>The Integrated Response respond</w:t>
      </w:r>
      <w:r w:rsidR="00CE07D8">
        <w:t>s</w:t>
      </w:r>
      <w:r w:rsidRPr="001310C7">
        <w:t xml:space="preserve"> to current challenges in the complex and forensic disability needs service system</w:t>
      </w:r>
      <w:r w:rsidR="00CE07D8">
        <w:t>,</w:t>
      </w:r>
      <w:r w:rsidRPr="001310C7">
        <w:t xml:space="preserve"> including barriers to access and to the effective integration and coordination of services. The aim </w:t>
      </w:r>
      <w:r w:rsidR="00CE07D8">
        <w:t>is</w:t>
      </w:r>
      <w:r w:rsidRPr="001310C7">
        <w:t xml:space="preserve"> to drive improved coordination of supports for people with multiple, complex and/or criminogenic needs</w:t>
      </w:r>
      <w:r w:rsidR="00CE07D8">
        <w:t>,</w:t>
      </w:r>
      <w:r w:rsidRPr="001310C7">
        <w:t xml:space="preserve"> including those supported through MACNI, SfHRT, </w:t>
      </w:r>
      <w:r w:rsidR="001A752B">
        <w:t>f</w:t>
      </w:r>
      <w:r w:rsidRPr="001310C7">
        <w:t xml:space="preserve">orensic </w:t>
      </w:r>
      <w:r w:rsidR="001A752B">
        <w:t>d</w:t>
      </w:r>
      <w:r w:rsidRPr="001310C7">
        <w:t>isability service responses</w:t>
      </w:r>
      <w:r w:rsidR="001A752B">
        <w:t>,</w:t>
      </w:r>
      <w:r w:rsidRPr="001310C7">
        <w:t xml:space="preserve"> and initiatives of the Complex Needs Project.</w:t>
      </w:r>
    </w:p>
    <w:p w14:paraId="3E78CBCF" w14:textId="714221FB" w:rsidR="00603A5B" w:rsidRPr="00273458" w:rsidRDefault="00603A5B" w:rsidP="00E11AC6">
      <w:pPr>
        <w:pStyle w:val="Heading4"/>
      </w:pPr>
      <w:r>
        <w:t xml:space="preserve">Complex Needs Project  </w:t>
      </w:r>
    </w:p>
    <w:p w14:paraId="6A1A1060" w14:textId="3BAF696C" w:rsidR="00603A5B" w:rsidRPr="00923EB8" w:rsidRDefault="00603A5B" w:rsidP="007573A1">
      <w:pPr>
        <w:pStyle w:val="Body"/>
        <w:rPr>
          <w:i/>
          <w:iCs/>
        </w:rPr>
      </w:pPr>
      <w:r>
        <w:t>The Complex Needs Project was established</w:t>
      </w:r>
      <w:r w:rsidR="00FF5BB3">
        <w:t>,</w:t>
      </w:r>
      <w:r>
        <w:t xml:space="preserve"> </w:t>
      </w:r>
      <w:r w:rsidR="00FF5BB3">
        <w:t xml:space="preserve">under the </w:t>
      </w:r>
      <w:r w:rsidR="00FF5BB3" w:rsidRPr="001310C7">
        <w:t>Integrated Response</w:t>
      </w:r>
      <w:r w:rsidR="00FF5BB3">
        <w:t xml:space="preserve">, </w:t>
      </w:r>
      <w:r>
        <w:t xml:space="preserve">to drive policy and service initiatives across </w:t>
      </w:r>
      <w:r w:rsidR="00923EB8">
        <w:t xml:space="preserve">the department </w:t>
      </w:r>
      <w:r>
        <w:t>and the Department of Health to improve the service response for people with complex needs who experience service gaps and present an unacceptable risk of harm to others</w:t>
      </w:r>
      <w:r w:rsidRPr="00F20483">
        <w:t xml:space="preserve">. </w:t>
      </w:r>
      <w:r>
        <w:t>Initiatives of the Complex Needs Project include:</w:t>
      </w:r>
    </w:p>
    <w:p w14:paraId="04F3339B" w14:textId="295FFA43" w:rsidR="00603A5B" w:rsidRPr="00923EB8" w:rsidRDefault="00242F2F" w:rsidP="00740A47">
      <w:pPr>
        <w:pStyle w:val="Bullet1"/>
      </w:pPr>
      <w:r w:rsidRPr="00923EB8">
        <w:t>d</w:t>
      </w:r>
      <w:r w:rsidR="00603A5B" w:rsidRPr="00923EB8">
        <w:t xml:space="preserve">evelopment of new services, including trialling assertive outreach and case management approaches (the AOS pilot program) </w:t>
      </w:r>
    </w:p>
    <w:p w14:paraId="010F7709" w14:textId="6BF349BB" w:rsidR="00603A5B" w:rsidRPr="00923EB8" w:rsidRDefault="00242F2F" w:rsidP="00740A47">
      <w:pPr>
        <w:pStyle w:val="Bullet1"/>
      </w:pPr>
      <w:r w:rsidRPr="00923EB8">
        <w:t>e</w:t>
      </w:r>
      <w:r w:rsidR="00603A5B" w:rsidRPr="00923EB8">
        <w:t xml:space="preserve">stablishing a multidisciplinary clinical panel to advise on overcoming the most significant </w:t>
      </w:r>
      <w:r w:rsidR="008C6ECC" w:rsidRPr="00923EB8">
        <w:t>service</w:t>
      </w:r>
      <w:r w:rsidR="00603A5B" w:rsidRPr="00923EB8">
        <w:t xml:space="preserve"> gaps </w:t>
      </w:r>
    </w:p>
    <w:p w14:paraId="495650D0" w14:textId="6056336A" w:rsidR="00603A5B" w:rsidRDefault="00242F2F" w:rsidP="00740A47">
      <w:pPr>
        <w:pStyle w:val="Bullet1"/>
      </w:pPr>
      <w:r w:rsidRPr="00923EB8">
        <w:t>n</w:t>
      </w:r>
      <w:r w:rsidR="00603A5B" w:rsidRPr="00923EB8">
        <w:t xml:space="preserve">ew policy, clinical and practice leadership functions to enable both </w:t>
      </w:r>
      <w:r w:rsidR="001577E2">
        <w:t xml:space="preserve">the department </w:t>
      </w:r>
      <w:r w:rsidR="00603A5B" w:rsidRPr="00923EB8">
        <w:t xml:space="preserve">and </w:t>
      </w:r>
      <w:r w:rsidR="001577E2">
        <w:t>the Department of Health t</w:t>
      </w:r>
      <w:r w:rsidR="00603A5B" w:rsidRPr="00923EB8">
        <w:t>o collaborat</w:t>
      </w:r>
      <w:r w:rsidR="001577E2">
        <w:t>e</w:t>
      </w:r>
      <w:r w:rsidR="00603A5B">
        <w:t xml:space="preserve"> and support the target cohort</w:t>
      </w:r>
    </w:p>
    <w:p w14:paraId="7F53FD12" w14:textId="3CFE1A67" w:rsidR="00603A5B" w:rsidRPr="003B0B2A" w:rsidRDefault="00242F2F" w:rsidP="00C940F0">
      <w:pPr>
        <w:pStyle w:val="lastbullett"/>
      </w:pPr>
      <w:r>
        <w:t>i</w:t>
      </w:r>
      <w:r w:rsidR="00603A5B">
        <w:t>mproved governance, accountability</w:t>
      </w:r>
      <w:r w:rsidR="005A145E" w:rsidRPr="00B1572A">
        <w:t>,</w:t>
      </w:r>
      <w:r w:rsidR="00603A5B">
        <w:t xml:space="preserve"> and reporting</w:t>
      </w:r>
      <w:r w:rsidR="00B1572A">
        <w:t>.</w:t>
      </w:r>
    </w:p>
    <w:p w14:paraId="0D4AAE18" w14:textId="77777777" w:rsidR="00E11AC6" w:rsidRDefault="00E11AC6">
      <w:pPr>
        <w:spacing w:after="0" w:line="240" w:lineRule="auto"/>
        <w:rPr>
          <w:rFonts w:eastAsia="MS Gothic" w:cs="Arial"/>
          <w:bCs/>
          <w:color w:val="201547"/>
          <w:kern w:val="32"/>
          <w:sz w:val="44"/>
          <w:szCs w:val="44"/>
        </w:rPr>
      </w:pPr>
      <w:bookmarkStart w:id="35" w:name="_Toc137636725"/>
      <w:r>
        <w:br w:type="page"/>
      </w:r>
    </w:p>
    <w:p w14:paraId="328F3756" w14:textId="0161501A" w:rsidR="00417166" w:rsidRPr="00732595" w:rsidRDefault="00417166" w:rsidP="00843D94">
      <w:pPr>
        <w:pStyle w:val="Heading1"/>
        <w:numPr>
          <w:ilvl w:val="0"/>
          <w:numId w:val="24"/>
        </w:numPr>
        <w:ind w:left="709" w:hanging="709"/>
      </w:pPr>
      <w:bookmarkStart w:id="36" w:name="_Toc145318563"/>
      <w:r w:rsidRPr="00732595">
        <w:lastRenderedPageBreak/>
        <w:t>Complex needs service elements</w:t>
      </w:r>
      <w:bookmarkEnd w:id="35"/>
      <w:bookmarkEnd w:id="36"/>
      <w:r w:rsidRPr="00732595">
        <w:t xml:space="preserve"> </w:t>
      </w:r>
    </w:p>
    <w:p w14:paraId="3B4AA919" w14:textId="575356B7" w:rsidR="00417166" w:rsidRDefault="00417166" w:rsidP="007573A1">
      <w:pPr>
        <w:pStyle w:val="Body"/>
      </w:pPr>
      <w:r w:rsidRPr="00366061">
        <w:t xml:space="preserve">This section describes the elements of </w:t>
      </w:r>
      <w:r w:rsidR="00446DE1">
        <w:t xml:space="preserve">the </w:t>
      </w:r>
      <w:r w:rsidR="00FE505C">
        <w:t>department’s</w:t>
      </w:r>
      <w:r w:rsidR="00446DE1">
        <w:t xml:space="preserve"> </w:t>
      </w:r>
      <w:r w:rsidR="009D5C43">
        <w:t>c</w:t>
      </w:r>
      <w:r w:rsidR="00446DE1">
        <w:t xml:space="preserve">omplex </w:t>
      </w:r>
      <w:r w:rsidR="009D5C43">
        <w:t>n</w:t>
      </w:r>
      <w:r w:rsidR="00446DE1">
        <w:t xml:space="preserve">eeds </w:t>
      </w:r>
      <w:r w:rsidR="009D5C43">
        <w:t>service responses</w:t>
      </w:r>
      <w:r w:rsidRPr="00366061">
        <w:t>.</w:t>
      </w:r>
      <w:r w:rsidR="009D5C43" w:rsidRPr="009D5C43">
        <w:t xml:space="preserve"> </w:t>
      </w:r>
      <w:r w:rsidR="00E47319">
        <w:t>Figure 2 shows the service response pathway.</w:t>
      </w:r>
    </w:p>
    <w:p w14:paraId="77A1CB25" w14:textId="5786F29B" w:rsidR="00A27F77" w:rsidRDefault="00A27F77" w:rsidP="00E47319">
      <w:pPr>
        <w:pStyle w:val="Figurecaption"/>
      </w:pPr>
      <w:r>
        <w:t>Figure 2 – Complex Needs service responses</w:t>
      </w:r>
    </w:p>
    <w:p w14:paraId="6F1616DF" w14:textId="5DF56CED" w:rsidR="00D6005C" w:rsidRPr="00D6005C" w:rsidRDefault="00D6005C" w:rsidP="00D6005C">
      <w:pPr>
        <w:pStyle w:val="Body"/>
      </w:pPr>
      <w:r w:rsidRPr="00D6005C">
        <w:drawing>
          <wp:inline distT="0" distB="0" distL="0" distR="0" wp14:anchorId="2B60A926" wp14:editId="72BBF910">
            <wp:extent cx="5812403" cy="4030892"/>
            <wp:effectExtent l="0" t="0" r="0" b="8255"/>
            <wp:docPr id="1" name="Picture 1" descr="The Complex Needs service response pathway, showing options from intake/eligibility to exit into existing service system as described in Sec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omplex Needs service response pathway, showing options from intake/eligibility to exit into existing service system as described in Section 3."/>
                    <pic:cNvPicPr/>
                  </pic:nvPicPr>
                  <pic:blipFill>
                    <a:blip r:embed="rId39"/>
                    <a:stretch>
                      <a:fillRect/>
                    </a:stretch>
                  </pic:blipFill>
                  <pic:spPr>
                    <a:xfrm>
                      <a:off x="0" y="0"/>
                      <a:ext cx="5844808" cy="4053365"/>
                    </a:xfrm>
                    <a:prstGeom prst="rect">
                      <a:avLst/>
                    </a:prstGeom>
                  </pic:spPr>
                </pic:pic>
              </a:graphicData>
            </a:graphic>
          </wp:inline>
        </w:drawing>
      </w:r>
    </w:p>
    <w:p w14:paraId="3A45E92B" w14:textId="71DADDF6" w:rsidR="00417166" w:rsidRDefault="00417166" w:rsidP="000E7482">
      <w:pPr>
        <w:pStyle w:val="Heading2"/>
        <w:numPr>
          <w:ilvl w:val="1"/>
          <w:numId w:val="8"/>
        </w:numPr>
      </w:pPr>
      <w:bookmarkStart w:id="37" w:name="_Toc137636726"/>
      <w:bookmarkStart w:id="38" w:name="_Toc145318564"/>
      <w:r w:rsidRPr="003076B4">
        <w:t>Comp</w:t>
      </w:r>
      <w:r>
        <w:t>lex Needs Coordinators</w:t>
      </w:r>
      <w:bookmarkEnd w:id="37"/>
      <w:bookmarkEnd w:id="38"/>
    </w:p>
    <w:p w14:paraId="270EDC3B" w14:textId="3827B0D5" w:rsidR="00417166" w:rsidRDefault="009D5C43" w:rsidP="007573A1">
      <w:pPr>
        <w:pStyle w:val="Body"/>
      </w:pPr>
      <w:r>
        <w:t xml:space="preserve">There </w:t>
      </w:r>
      <w:r w:rsidR="00446DE1">
        <w:t>are</w:t>
      </w:r>
      <w:r w:rsidR="00417166">
        <w:t xml:space="preserve"> Complex Needs Coordinators </w:t>
      </w:r>
      <w:r>
        <w:t xml:space="preserve">in each of the department’s seventeen areas </w:t>
      </w:r>
      <w:r w:rsidR="00417166">
        <w:t xml:space="preserve">who provide a single point of contact (a `front-door') for service providers, clinicians or </w:t>
      </w:r>
      <w:r w:rsidR="00CF4ACB">
        <w:t xml:space="preserve">people </w:t>
      </w:r>
      <w:r w:rsidR="00417166">
        <w:t xml:space="preserve">seeking information about complex needs service </w:t>
      </w:r>
      <w:r w:rsidR="00417166" w:rsidRPr="00881865">
        <w:t>responses or to discuss a potential referral.</w:t>
      </w:r>
      <w:r w:rsidR="00417166">
        <w:t xml:space="preserve"> </w:t>
      </w:r>
    </w:p>
    <w:p w14:paraId="6FDCC90A" w14:textId="3A6ABEB8" w:rsidR="00417166" w:rsidRDefault="00417166" w:rsidP="007573A1">
      <w:pPr>
        <w:pStyle w:val="Body"/>
      </w:pPr>
      <w:r>
        <w:t xml:space="preserve">The Complex Needs Coordinators provide support to referrers and care teams in </w:t>
      </w:r>
      <w:r w:rsidR="009D5C43">
        <w:t xml:space="preserve">localised problem-solving and assistance in </w:t>
      </w:r>
      <w:r>
        <w:t xml:space="preserve">navigating systemic issues </w:t>
      </w:r>
      <w:r w:rsidR="009D5C43">
        <w:t>for improved service responses to people with complex needs</w:t>
      </w:r>
      <w:r w:rsidR="00CF4ACB">
        <w:t>.</w:t>
      </w:r>
      <w:r>
        <w:t xml:space="preserve"> The </w:t>
      </w:r>
      <w:r w:rsidR="00E47319">
        <w:t>range of responsibilities are</w:t>
      </w:r>
      <w:r>
        <w:t>:</w:t>
      </w:r>
    </w:p>
    <w:p w14:paraId="0419872A" w14:textId="77777777" w:rsidR="00417166" w:rsidRPr="00461585" w:rsidRDefault="00417166" w:rsidP="00740A47">
      <w:pPr>
        <w:pStyle w:val="Bullet1"/>
      </w:pPr>
      <w:r w:rsidRPr="00461585">
        <w:t>provide a contact point for enquiries, information provision and eligibility screening for complex needs responses (MACNI, SfHRT and AOS pilot program)</w:t>
      </w:r>
    </w:p>
    <w:p w14:paraId="626301CA" w14:textId="25F7D21B" w:rsidR="00417166" w:rsidRPr="00461585" w:rsidRDefault="00417166" w:rsidP="00740A47">
      <w:pPr>
        <w:pStyle w:val="Bullet1"/>
      </w:pPr>
      <w:r w:rsidRPr="00461585">
        <w:t xml:space="preserve">provide consultation and facilitate </w:t>
      </w:r>
      <w:r w:rsidR="009D5C43">
        <w:t>improved</w:t>
      </w:r>
      <w:r w:rsidRPr="00461585">
        <w:t xml:space="preserve"> planning </w:t>
      </w:r>
      <w:r w:rsidR="009D5C43">
        <w:t xml:space="preserve">by services as </w:t>
      </w:r>
      <w:r w:rsidRPr="00461585">
        <w:t>a diversionary approach</w:t>
      </w:r>
    </w:p>
    <w:p w14:paraId="0B4890AE" w14:textId="11763B53" w:rsidR="00417166" w:rsidRPr="00461585" w:rsidRDefault="00417166" w:rsidP="00740A47">
      <w:pPr>
        <w:pStyle w:val="Bullet1"/>
      </w:pPr>
      <w:r w:rsidRPr="00461585">
        <w:t xml:space="preserve">identify systems gaps and </w:t>
      </w:r>
      <w:r w:rsidR="00454750" w:rsidRPr="00461585">
        <w:t xml:space="preserve">systemic </w:t>
      </w:r>
      <w:r w:rsidRPr="00461585">
        <w:t xml:space="preserve">risks for </w:t>
      </w:r>
      <w:r w:rsidR="00CF4ACB">
        <w:t xml:space="preserve">people </w:t>
      </w:r>
      <w:r w:rsidRPr="00461585">
        <w:t>with complex needs</w:t>
      </w:r>
    </w:p>
    <w:p w14:paraId="483C26BB" w14:textId="78F1FC7B" w:rsidR="00D5165C" w:rsidRPr="00461585" w:rsidRDefault="00D5165C" w:rsidP="00740A47">
      <w:pPr>
        <w:pStyle w:val="Bullet1"/>
      </w:pPr>
      <w:r w:rsidRPr="00461585">
        <w:t xml:space="preserve">provide capacity building to </w:t>
      </w:r>
      <w:r w:rsidR="00454750" w:rsidRPr="00461585">
        <w:t xml:space="preserve">assist the </w:t>
      </w:r>
      <w:r w:rsidRPr="00461585">
        <w:t>service system</w:t>
      </w:r>
      <w:r w:rsidR="00AE65AB">
        <w:t>’</w:t>
      </w:r>
      <w:r w:rsidR="00801B46" w:rsidRPr="00461585">
        <w:t>s</w:t>
      </w:r>
      <w:r w:rsidR="00AE65AB">
        <w:t xml:space="preserve"> </w:t>
      </w:r>
      <w:r w:rsidRPr="00461585">
        <w:t xml:space="preserve">support for </w:t>
      </w:r>
      <w:r w:rsidR="00CF4ACB">
        <w:t>people</w:t>
      </w:r>
      <w:r w:rsidRPr="00461585">
        <w:t xml:space="preserve"> with complex needs </w:t>
      </w:r>
    </w:p>
    <w:p w14:paraId="79E32512" w14:textId="2BCF3BF6" w:rsidR="00417166" w:rsidRPr="00461585" w:rsidRDefault="00417166" w:rsidP="00740A47">
      <w:pPr>
        <w:pStyle w:val="Bullet1"/>
      </w:pPr>
      <w:r w:rsidRPr="00461585">
        <w:t xml:space="preserve">facilitate relationships between departmental program areas and external services, </w:t>
      </w:r>
    </w:p>
    <w:p w14:paraId="1A1216C8" w14:textId="14378BF0" w:rsidR="00417166" w:rsidRPr="00461585" w:rsidRDefault="009D5C43" w:rsidP="00740A47">
      <w:pPr>
        <w:pStyle w:val="Bullet1"/>
      </w:pPr>
      <w:r>
        <w:t>facilitate</w:t>
      </w:r>
      <w:r w:rsidR="00417166" w:rsidRPr="00461585">
        <w:t xml:space="preserve"> integrated responses with service providers and promote practice excellence</w:t>
      </w:r>
    </w:p>
    <w:p w14:paraId="4300B838" w14:textId="77777777" w:rsidR="00417166" w:rsidRPr="00461585" w:rsidRDefault="00417166" w:rsidP="00740A47">
      <w:pPr>
        <w:pStyle w:val="Bullet1"/>
      </w:pPr>
      <w:r w:rsidRPr="00461585">
        <w:lastRenderedPageBreak/>
        <w:t>support the functions of the Complex Needs Panel and perform the administrative functions required by legislation for MACNI under the Act</w:t>
      </w:r>
    </w:p>
    <w:p w14:paraId="0DA813B7" w14:textId="17B66834" w:rsidR="00417166" w:rsidRPr="00461585" w:rsidRDefault="00E15246" w:rsidP="00740A47">
      <w:pPr>
        <w:pStyle w:val="Bullet1"/>
      </w:pPr>
      <w:r w:rsidRPr="00461585">
        <w:t>action</w:t>
      </w:r>
      <w:r w:rsidR="00417166" w:rsidRPr="00461585">
        <w:t xml:space="preserve">/support the implementation of Area Complex Needs panel </w:t>
      </w:r>
      <w:r w:rsidR="001577E2">
        <w:t xml:space="preserve">decisions </w:t>
      </w:r>
      <w:r w:rsidR="00417166" w:rsidRPr="00461585">
        <w:t xml:space="preserve">with </w:t>
      </w:r>
      <w:r w:rsidR="009D5C43">
        <w:t>c</w:t>
      </w:r>
      <w:r w:rsidR="00417166" w:rsidRPr="00461585">
        <w:t xml:space="preserve">are </w:t>
      </w:r>
      <w:r w:rsidR="009D5C43">
        <w:t>p</w:t>
      </w:r>
      <w:r w:rsidR="00417166" w:rsidRPr="00461585">
        <w:t xml:space="preserve">lan </w:t>
      </w:r>
      <w:r w:rsidR="009D5C43">
        <w:t>c</w:t>
      </w:r>
      <w:r w:rsidR="00417166" w:rsidRPr="00461585">
        <w:t>oordinators and/or care team members</w:t>
      </w:r>
    </w:p>
    <w:p w14:paraId="0408FF05" w14:textId="3BA6ED24" w:rsidR="00417166" w:rsidRPr="001310C7" w:rsidRDefault="00417166" w:rsidP="00C940F0">
      <w:pPr>
        <w:pStyle w:val="lastbullett"/>
      </w:pPr>
      <w:r w:rsidRPr="00461585">
        <w:t>manage</w:t>
      </w:r>
      <w:r w:rsidR="009D5C43">
        <w:t xml:space="preserve"> </w:t>
      </w:r>
      <w:r w:rsidRPr="001310C7">
        <w:t>brokerage processes in line with procurement guidelines.</w:t>
      </w:r>
    </w:p>
    <w:p w14:paraId="682C0462" w14:textId="77777777" w:rsidR="00417166" w:rsidRDefault="00417166" w:rsidP="007573A1">
      <w:pPr>
        <w:pStyle w:val="Bodyafterbullets"/>
      </w:pPr>
      <w:r>
        <w:t xml:space="preserve">Complex Needs Coordinators </w:t>
      </w:r>
      <w:r w:rsidRPr="009D5C43">
        <w:t>do not provide:</w:t>
      </w:r>
    </w:p>
    <w:p w14:paraId="7BB10BD3" w14:textId="77777777" w:rsidR="00417166" w:rsidRDefault="00417166" w:rsidP="00740A47">
      <w:pPr>
        <w:pStyle w:val="Bullet1"/>
      </w:pPr>
      <w:r>
        <w:t>case management</w:t>
      </w:r>
    </w:p>
    <w:p w14:paraId="522DD142" w14:textId="2F36A668" w:rsidR="00995891" w:rsidRDefault="00995891" w:rsidP="00740A47">
      <w:pPr>
        <w:pStyle w:val="Bullet1"/>
      </w:pPr>
      <w:r>
        <w:t>crisis response</w:t>
      </w:r>
    </w:p>
    <w:p w14:paraId="521F90E4" w14:textId="77777777" w:rsidR="00417166" w:rsidRDefault="00417166" w:rsidP="00C940F0">
      <w:pPr>
        <w:pStyle w:val="lastbullett"/>
      </w:pPr>
      <w:r>
        <w:t>direct client work.</w:t>
      </w:r>
    </w:p>
    <w:p w14:paraId="1AC94A58" w14:textId="04174EFB" w:rsidR="00417166" w:rsidRDefault="00417166" w:rsidP="000E7482">
      <w:pPr>
        <w:pStyle w:val="Heading2"/>
        <w:numPr>
          <w:ilvl w:val="1"/>
          <w:numId w:val="8"/>
        </w:numPr>
      </w:pPr>
      <w:bookmarkStart w:id="39" w:name="_Toc137636727"/>
      <w:bookmarkStart w:id="40" w:name="_Toc145318565"/>
      <w:r>
        <w:t>Intake: referral, eligibility, and consent</w:t>
      </w:r>
      <w:bookmarkEnd w:id="39"/>
      <w:bookmarkEnd w:id="40"/>
      <w:r>
        <w:t xml:space="preserve"> </w:t>
      </w:r>
    </w:p>
    <w:p w14:paraId="4877AB66" w14:textId="766FFE2E" w:rsidR="00213E20" w:rsidRDefault="00417166" w:rsidP="007573A1">
      <w:pPr>
        <w:pStyle w:val="Body"/>
      </w:pPr>
      <w:r>
        <w:t xml:space="preserve">At intake the </w:t>
      </w:r>
      <w:r w:rsidRPr="00C3413A">
        <w:t>Complex</w:t>
      </w:r>
      <w:r>
        <w:t xml:space="preserve"> Needs Coordinator provides a tailored response based on the initial identification of client need, </w:t>
      </w:r>
      <w:r w:rsidRPr="18D75DDB">
        <w:t xml:space="preserve">eligibility consideration, </w:t>
      </w:r>
      <w:r>
        <w:t xml:space="preserve">care team functionality, the service system’s capacity to effectively respond to the client’s </w:t>
      </w:r>
      <w:r w:rsidRPr="002E7DC3">
        <w:t xml:space="preserve">support needs, (reflecting on the success of interventions and service responses used to this point), and other case-by-case considerations. </w:t>
      </w:r>
      <w:r w:rsidR="00446DE1">
        <w:t xml:space="preserve">For </w:t>
      </w:r>
      <w:r w:rsidR="0076460B">
        <w:t xml:space="preserve">incoming </w:t>
      </w:r>
      <w:r w:rsidR="00FF75CE">
        <w:t>client</w:t>
      </w:r>
      <w:r w:rsidRPr="002E7DC3">
        <w:t xml:space="preserve"> referrals</w:t>
      </w:r>
      <w:r w:rsidR="00213E20">
        <w:t>, the pathway options will be:</w:t>
      </w:r>
    </w:p>
    <w:p w14:paraId="2533D764" w14:textId="0B29BE8E" w:rsidR="00600ECA" w:rsidRDefault="00600ECA" w:rsidP="00740A47">
      <w:pPr>
        <w:pStyle w:val="Bullet1"/>
      </w:pPr>
      <w:r>
        <w:t>consultation with the Complex Needs Coordinator, which may progress to Pre-MACNI and</w:t>
      </w:r>
      <w:r w:rsidR="00AE65AB">
        <w:t>/or</w:t>
      </w:r>
      <w:r>
        <w:t xml:space="preserve"> formal MACNI</w:t>
      </w:r>
    </w:p>
    <w:p w14:paraId="546BBED9" w14:textId="6187C922" w:rsidR="00E05FE1" w:rsidRDefault="001A4770" w:rsidP="00740A47">
      <w:pPr>
        <w:pStyle w:val="Bullet1"/>
      </w:pPr>
      <w:r>
        <w:t>Assertive Outreach and Support</w:t>
      </w:r>
      <w:r w:rsidR="00944C28">
        <w:t xml:space="preserve"> (</w:t>
      </w:r>
      <w:r w:rsidR="00446DE1">
        <w:t>AOS</w:t>
      </w:r>
      <w:r w:rsidR="00944C28">
        <w:t>)</w:t>
      </w:r>
    </w:p>
    <w:p w14:paraId="185C2814" w14:textId="4F751C3D" w:rsidR="00B407BA" w:rsidRDefault="00B407BA" w:rsidP="00740A47">
      <w:pPr>
        <w:pStyle w:val="Bullet1"/>
      </w:pPr>
      <w:r>
        <w:t xml:space="preserve">Support for </w:t>
      </w:r>
      <w:r w:rsidR="00A77D99">
        <w:t>High-Risk</w:t>
      </w:r>
      <w:r>
        <w:t xml:space="preserve"> Tenancies (SfHRT)</w:t>
      </w:r>
    </w:p>
    <w:p w14:paraId="216E6110" w14:textId="4AEF0601" w:rsidR="00417166" w:rsidRDefault="00446DE1" w:rsidP="00C940F0">
      <w:pPr>
        <w:pStyle w:val="lastbullett"/>
      </w:pPr>
      <w:r>
        <w:t>non-acceptance and referral to alternate existing service system response.</w:t>
      </w:r>
    </w:p>
    <w:p w14:paraId="228E64AD" w14:textId="73A05CB0" w:rsidR="00417166" w:rsidRPr="00553C4F" w:rsidRDefault="00417166" w:rsidP="000E7482">
      <w:pPr>
        <w:pStyle w:val="Heading3"/>
        <w:numPr>
          <w:ilvl w:val="2"/>
          <w:numId w:val="8"/>
        </w:numPr>
      </w:pPr>
      <w:r>
        <w:t>Referral</w:t>
      </w:r>
      <w:r w:rsidR="000D5D60">
        <w:t xml:space="preserve"> and eligibility</w:t>
      </w:r>
    </w:p>
    <w:p w14:paraId="4BB90DB9" w14:textId="6A10C0C0" w:rsidR="00417166" w:rsidRPr="009073EE" w:rsidRDefault="00417166" w:rsidP="007573A1">
      <w:pPr>
        <w:pStyle w:val="Body"/>
      </w:pPr>
      <w:r>
        <w:t>A r</w:t>
      </w:r>
      <w:r w:rsidRPr="009073EE">
        <w:t xml:space="preserve">eferral to </w:t>
      </w:r>
      <w:r w:rsidR="00446DE1">
        <w:t xml:space="preserve">a </w:t>
      </w:r>
      <w:r w:rsidRPr="009073EE">
        <w:t xml:space="preserve">Complex Needs </w:t>
      </w:r>
      <w:r w:rsidR="00446DE1">
        <w:t>t</w:t>
      </w:r>
      <w:r>
        <w:t xml:space="preserve">eam is </w:t>
      </w:r>
      <w:r w:rsidRPr="009073EE">
        <w:t xml:space="preserve">made for </w:t>
      </w:r>
      <w:r>
        <w:t>a person</w:t>
      </w:r>
      <w:r w:rsidRPr="009073EE">
        <w:t xml:space="preserve"> who would benefit from a service response due to:</w:t>
      </w:r>
    </w:p>
    <w:p w14:paraId="155059FC" w14:textId="7E35EA92" w:rsidR="00417166" w:rsidRPr="00AE65AB" w:rsidRDefault="00417166" w:rsidP="00740A47">
      <w:pPr>
        <w:pStyle w:val="Bullet1"/>
      </w:pPr>
      <w:r w:rsidRPr="00AE65AB">
        <w:t>the person needing support with their multiple and/or complex health or social needs. This can include individuals with medical conditions, mental health issues, disabilities, high-risk behaviours, or social issues, such as homelessness or substance use</w:t>
      </w:r>
    </w:p>
    <w:p w14:paraId="7883A50C" w14:textId="11B5FF78" w:rsidR="00E96C7F" w:rsidRPr="00AE65AB" w:rsidRDefault="00E96C7F" w:rsidP="00740A47">
      <w:pPr>
        <w:pStyle w:val="Bullet1"/>
      </w:pPr>
      <w:r w:rsidRPr="00AE65AB">
        <w:t xml:space="preserve">the person </w:t>
      </w:r>
      <w:r w:rsidR="00600ECA" w:rsidRPr="00AE65AB">
        <w:t>may be</w:t>
      </w:r>
      <w:r w:rsidRPr="00AE65AB">
        <w:t xml:space="preserve"> experiencing significant service gaps and/or barriers to service access</w:t>
      </w:r>
    </w:p>
    <w:p w14:paraId="5606CDF9" w14:textId="0B7B5AF0" w:rsidR="00C122B0" w:rsidRDefault="00417166" w:rsidP="00740A47">
      <w:pPr>
        <w:pStyle w:val="Bullet1"/>
      </w:pPr>
      <w:r w:rsidRPr="00AE65AB">
        <w:t xml:space="preserve">existing services needing additional resourcing, service coordination, expert input, and/or shared problem-solving, decision-making, planning to stabilise and continue service provision for </w:t>
      </w:r>
      <w:r>
        <w:t>improved client outcomes</w:t>
      </w:r>
      <w:r w:rsidR="001577E2">
        <w:t>.</w:t>
      </w:r>
    </w:p>
    <w:p w14:paraId="72220DF5" w14:textId="4541608C" w:rsidR="00417166" w:rsidRPr="00314580" w:rsidRDefault="00417166" w:rsidP="0085414C">
      <w:pPr>
        <w:pStyle w:val="Bodyafterbullets"/>
      </w:pPr>
      <w:r w:rsidRPr="008023A7">
        <w:t xml:space="preserve">On contact, the referrer will be asked to </w:t>
      </w:r>
      <w:r w:rsidRPr="007D1801">
        <w:t xml:space="preserve">complete a </w:t>
      </w:r>
      <w:r w:rsidR="005D69F6" w:rsidRPr="007D1801">
        <w:t>referral</w:t>
      </w:r>
      <w:r w:rsidRPr="007D1801">
        <w:t xml:space="preserve"> form to </w:t>
      </w:r>
      <w:r w:rsidR="005D69F6" w:rsidRPr="007D1801">
        <w:t xml:space="preserve">enable the Complex Needs Coordinator to </w:t>
      </w:r>
      <w:r w:rsidRPr="007D1801">
        <w:t>initially assess eligibility and identify</w:t>
      </w:r>
      <w:r>
        <w:t xml:space="preserve"> the client’s support needs. Intake allows for the referral to progress to the most suitable </w:t>
      </w:r>
      <w:r w:rsidRPr="00881865">
        <w:t xml:space="preserve">complex needs services </w:t>
      </w:r>
      <w:r>
        <w:t>response.</w:t>
      </w:r>
    </w:p>
    <w:p w14:paraId="1BDBFEB1" w14:textId="77777777" w:rsidR="00AF142E" w:rsidRDefault="00AF142E" w:rsidP="0085414C">
      <w:pPr>
        <w:pStyle w:val="Bodyafterbullet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596"/>
      </w:tblGrid>
      <w:tr w:rsidR="0067312B" w14:paraId="50080707" w14:textId="77777777">
        <w:trPr>
          <w:trHeight w:val="300"/>
        </w:trPr>
        <w:tc>
          <w:tcPr>
            <w:tcW w:w="0" w:type="auto"/>
            <w:shd w:val="clear" w:color="auto" w:fill="CCE9F8"/>
          </w:tcPr>
          <w:p w14:paraId="303D7846" w14:textId="77777777" w:rsidR="0067312B" w:rsidRPr="006F75D0" w:rsidRDefault="0067312B" w:rsidP="009104F4">
            <w:pPr>
              <w:pStyle w:val="Body"/>
              <w:spacing w:before="120"/>
            </w:pPr>
            <w:r>
              <w:rPr>
                <w:noProof/>
              </w:rPr>
              <w:drawing>
                <wp:inline distT="0" distB="0" distL="0" distR="0" wp14:anchorId="2672AA0E" wp14:editId="41533C4D">
                  <wp:extent cx="540000" cy="54000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13BEBF9" w14:textId="77777777" w:rsidR="0067312B" w:rsidRPr="006F75D0" w:rsidRDefault="0067312B">
            <w:pPr>
              <w:pStyle w:val="Tablecolhead"/>
              <w:rPr>
                <w:rFonts w:eastAsia="Arial"/>
              </w:rPr>
            </w:pPr>
            <w:r w:rsidRPr="006F75D0">
              <w:rPr>
                <w:rFonts w:eastAsia="Arial"/>
              </w:rPr>
              <w:t>Documentation required</w:t>
            </w:r>
          </w:p>
          <w:p w14:paraId="32D8816E" w14:textId="145E5497" w:rsidR="0067312B" w:rsidRDefault="00F06EA4" w:rsidP="00740A47">
            <w:pPr>
              <w:pStyle w:val="Bullet1"/>
            </w:pPr>
            <w:r>
              <w:t xml:space="preserve">1 </w:t>
            </w:r>
            <w:r w:rsidR="001577E2">
              <w:t xml:space="preserve">Complex Needs </w:t>
            </w:r>
            <w:r w:rsidR="001577E2" w:rsidRPr="003C3781">
              <w:t>Referral Form</w:t>
            </w:r>
          </w:p>
          <w:p w14:paraId="36EA27DC" w14:textId="259B1CC7" w:rsidR="0067312B" w:rsidRPr="00AF142E" w:rsidRDefault="00F06EA4" w:rsidP="00740A47">
            <w:pPr>
              <w:pStyle w:val="Bullet1"/>
            </w:pPr>
            <w:r>
              <w:t xml:space="preserve">1a </w:t>
            </w:r>
            <w:r w:rsidR="001577E2" w:rsidRPr="00AF142E">
              <w:t>Complex Needs Intake Form</w:t>
            </w:r>
            <w:r w:rsidR="00513E02">
              <w:t xml:space="preserve"> </w:t>
            </w:r>
          </w:p>
        </w:tc>
      </w:tr>
    </w:tbl>
    <w:p w14:paraId="5F0264CB" w14:textId="77777777" w:rsidR="0067312B" w:rsidRDefault="0067312B" w:rsidP="0067312B">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67312B" w14:paraId="33B44974" w14:textId="77777777">
        <w:trPr>
          <w:trHeight w:val="300"/>
        </w:trPr>
        <w:tc>
          <w:tcPr>
            <w:tcW w:w="0" w:type="auto"/>
            <w:shd w:val="clear" w:color="auto" w:fill="99D3F0"/>
            <w:vAlign w:val="center"/>
          </w:tcPr>
          <w:p w14:paraId="79E1A3FF" w14:textId="77777777" w:rsidR="0067312B" w:rsidRDefault="0067312B">
            <w:pPr>
              <w:pStyle w:val="Body"/>
            </w:pPr>
            <w:r>
              <w:rPr>
                <w:noProof/>
              </w:rPr>
              <w:lastRenderedPageBreak/>
              <w:drawing>
                <wp:inline distT="0" distB="0" distL="0" distR="0" wp14:anchorId="5081CE68" wp14:editId="313D1DD5">
                  <wp:extent cx="540000" cy="5400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05D6F30" w14:textId="77777777" w:rsidR="0067312B" w:rsidRDefault="0067312B">
            <w:pPr>
              <w:pStyle w:val="Tablecolhead"/>
            </w:pPr>
            <w:r>
              <w:t>Coordinator tasks</w:t>
            </w:r>
          </w:p>
          <w:p w14:paraId="7B7F6085" w14:textId="528E33C9" w:rsidR="0067312B" w:rsidRDefault="0067312B" w:rsidP="00740A47">
            <w:pPr>
              <w:pStyle w:val="Bullet1"/>
            </w:pPr>
            <w:r>
              <w:t xml:space="preserve">ensure </w:t>
            </w:r>
            <w:r w:rsidR="00D02EA0">
              <w:t xml:space="preserve">person’s </w:t>
            </w:r>
            <w:r>
              <w:t>consent is obtained/renewed</w:t>
            </w:r>
          </w:p>
          <w:p w14:paraId="08B4A935" w14:textId="6C63245D" w:rsidR="008902C7" w:rsidRPr="000E567E" w:rsidRDefault="008902C7" w:rsidP="00740A47">
            <w:pPr>
              <w:pStyle w:val="Bullet1"/>
            </w:pPr>
            <w:r>
              <w:t xml:space="preserve">reinforce that complex needs interventions are not crisis response but </w:t>
            </w:r>
            <w:r w:rsidR="00AE65AB">
              <w:t>an option of service</w:t>
            </w:r>
            <w:r>
              <w:t xml:space="preserve"> coordination when a </w:t>
            </w:r>
            <w:r w:rsidRPr="7DAFCD5E">
              <w:rPr>
                <w:rFonts w:eastAsia="Arial" w:cs="Arial"/>
                <w:color w:val="000000" w:themeColor="text1"/>
              </w:rPr>
              <w:t>client</w:t>
            </w:r>
            <w:r>
              <w:t>’s support needs are high and facilitated multi-service responses are required</w:t>
            </w:r>
          </w:p>
          <w:p w14:paraId="15CC1CC4" w14:textId="3276E831" w:rsidR="008902C7" w:rsidRDefault="008902C7" w:rsidP="00740A47">
            <w:pPr>
              <w:pStyle w:val="Bullet1"/>
            </w:pPr>
            <w:r w:rsidRPr="7DAFCD5E">
              <w:rPr>
                <w:lang w:eastAsia="en-AU"/>
              </w:rPr>
              <w:t>determine the service system’s capacity to effectively respond to the client’s support needs through exploration of available support</w:t>
            </w:r>
            <w:r>
              <w:t xml:space="preserve"> and service options</w:t>
            </w:r>
          </w:p>
          <w:p w14:paraId="70A86EEF" w14:textId="3B9EF083" w:rsidR="008902C7" w:rsidRDefault="008902C7" w:rsidP="00740A47">
            <w:pPr>
              <w:pStyle w:val="Bullet1"/>
            </w:pPr>
            <w:r>
              <w:t>provide information and advice on support that can be provided, alternate options and/or next steps</w:t>
            </w:r>
          </w:p>
          <w:p w14:paraId="2BB6F1A6" w14:textId="118D665B" w:rsidR="001577E2" w:rsidRDefault="005038DA" w:rsidP="00740A47">
            <w:pPr>
              <w:pStyle w:val="Bullet1"/>
            </w:pPr>
            <w:r>
              <w:t>u</w:t>
            </w:r>
            <w:r w:rsidR="00AE65AB">
              <w:t>se</w:t>
            </w:r>
            <w:r>
              <w:t xml:space="preserve"> information on the </w:t>
            </w:r>
            <w:r w:rsidR="00441397">
              <w:t xml:space="preserve">Complex Needs </w:t>
            </w:r>
            <w:r w:rsidR="00441397" w:rsidRPr="003C3781">
              <w:t>Referral Form</w:t>
            </w:r>
            <w:r w:rsidR="007B3107">
              <w:t xml:space="preserve"> (1)</w:t>
            </w:r>
          </w:p>
          <w:p w14:paraId="7125016B" w14:textId="37E5FF56" w:rsidR="005038DA" w:rsidRDefault="006213FD" w:rsidP="00740A47">
            <w:pPr>
              <w:pStyle w:val="Bullet1"/>
            </w:pPr>
            <w:r>
              <w:t xml:space="preserve">if needed </w:t>
            </w:r>
            <w:r w:rsidR="001577E2" w:rsidRPr="001577E2">
              <w:t>f</w:t>
            </w:r>
            <w:r w:rsidR="005038DA" w:rsidRPr="001577E2">
              <w:t>ollow</w:t>
            </w:r>
            <w:r w:rsidR="005038DA">
              <w:t>-up the refer</w:t>
            </w:r>
            <w:r w:rsidR="00D02EA0">
              <w:t>rer</w:t>
            </w:r>
            <w:r w:rsidR="005038DA">
              <w:t xml:space="preserve"> to complete the </w:t>
            </w:r>
            <w:r w:rsidR="001577E2">
              <w:t>Complex Needs I</w:t>
            </w:r>
            <w:r w:rsidR="005038DA">
              <w:t xml:space="preserve">ntake </w:t>
            </w:r>
            <w:r w:rsidR="001577E2">
              <w:t>F</w:t>
            </w:r>
            <w:r w:rsidR="005038DA">
              <w:t>orm</w:t>
            </w:r>
            <w:r w:rsidR="007B3107">
              <w:t xml:space="preserve"> (1a)</w:t>
            </w:r>
            <w:r w:rsidR="00AE65AB">
              <w:t>.</w:t>
            </w:r>
          </w:p>
        </w:tc>
      </w:tr>
    </w:tbl>
    <w:p w14:paraId="5A50A5ED" w14:textId="55693677" w:rsidR="00417166" w:rsidRPr="004E1360" w:rsidRDefault="001A49D1" w:rsidP="00C940F0">
      <w:pPr>
        <w:pStyle w:val="Heading3"/>
        <w:numPr>
          <w:ilvl w:val="2"/>
          <w:numId w:val="8"/>
        </w:numPr>
      </w:pPr>
      <w:bookmarkStart w:id="41" w:name="_Toc32229316"/>
      <w:bookmarkStart w:id="42" w:name="_Toc65508286"/>
      <w:bookmarkStart w:id="43" w:name="_Toc112856289"/>
      <w:bookmarkStart w:id="44" w:name="_Toc125713773"/>
      <w:bookmarkStart w:id="45" w:name="_Toc32229317"/>
      <w:bookmarkStart w:id="46" w:name="_Toc65508287"/>
      <w:bookmarkStart w:id="47" w:name="_Toc112856290"/>
      <w:bookmarkStart w:id="48" w:name="_Toc125713774"/>
      <w:r>
        <w:t>C</w:t>
      </w:r>
      <w:r w:rsidR="00417166">
        <w:t>onsent</w:t>
      </w:r>
      <w:bookmarkEnd w:id="41"/>
      <w:bookmarkEnd w:id="42"/>
      <w:bookmarkEnd w:id="43"/>
      <w:bookmarkEnd w:id="44"/>
      <w:r w:rsidR="00417166">
        <w:t xml:space="preserve"> </w:t>
      </w:r>
    </w:p>
    <w:p w14:paraId="3AA15D1B" w14:textId="71AAA6C1" w:rsidR="00417166" w:rsidRPr="00441397" w:rsidRDefault="00417166" w:rsidP="00441397">
      <w:pPr>
        <w:pStyle w:val="Body"/>
      </w:pPr>
      <w:r w:rsidRPr="00441397">
        <w:t xml:space="preserve">The referrer is responsible for obtaining consent prior to the referral or consultation unless duty of care overrides this (see Section </w:t>
      </w:r>
      <w:r w:rsidR="003C3781" w:rsidRPr="00441397">
        <w:t>3</w:t>
      </w:r>
      <w:r w:rsidRPr="00441397">
        <w:t>.</w:t>
      </w:r>
      <w:r w:rsidR="003C3781" w:rsidRPr="00441397">
        <w:t>3</w:t>
      </w:r>
      <w:r w:rsidRPr="00441397">
        <w:t xml:space="preserve">). For clients under 18 years of age, consent must also be renewed when the client turns 18. </w:t>
      </w:r>
    </w:p>
    <w:p w14:paraId="5B7DACC6" w14:textId="77777777" w:rsidR="00417166" w:rsidRPr="00441397" w:rsidRDefault="00417166" w:rsidP="00441397">
      <w:pPr>
        <w:pStyle w:val="Body"/>
      </w:pPr>
      <w:r w:rsidRPr="00441397">
        <w:t xml:space="preserve">There is no fixed age rule at which a person aged under 18 years is deemed to be capable of giving legally effective consent to receipt of services or sharing of personal or health information. A young person can provide consent to participate in and receive services, and to the disclosure of their personal or health information, if the department is satisfied that the young person has sufficient maturity and capacity to make an intelligent choice, involving the ability to consider different options and their consequences. </w:t>
      </w:r>
    </w:p>
    <w:p w14:paraId="7F5A0B35" w14:textId="7F40857F" w:rsidR="00417166" w:rsidRPr="00441397" w:rsidRDefault="00417166" w:rsidP="00441397">
      <w:pPr>
        <w:pStyle w:val="Body"/>
      </w:pPr>
      <w:r w:rsidRPr="00441397">
        <w:t xml:space="preserve">For persons aged over 18 years, the department must also be satisfied that the person has capacity to provide consent if the person has an intellectual disability, acquired brain injury, is substance affected or has a mental illness. </w:t>
      </w:r>
    </w:p>
    <w:p w14:paraId="37BA6667" w14:textId="77777777" w:rsidR="00417166" w:rsidRPr="003A1C30"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4647"/>
      </w:tblGrid>
      <w:tr w:rsidR="00417166" w14:paraId="389FB7D1" w14:textId="77777777" w:rsidTr="78F37223">
        <w:trPr>
          <w:trHeight w:val="300"/>
        </w:trPr>
        <w:tc>
          <w:tcPr>
            <w:tcW w:w="0" w:type="auto"/>
            <w:shd w:val="clear" w:color="auto" w:fill="CCE9F8"/>
          </w:tcPr>
          <w:p w14:paraId="38717FC6" w14:textId="77777777" w:rsidR="00417166" w:rsidRPr="006F75D0" w:rsidRDefault="00417166" w:rsidP="00D014F3">
            <w:pPr>
              <w:pStyle w:val="Body"/>
              <w:spacing w:before="120"/>
            </w:pPr>
            <w:r>
              <w:rPr>
                <w:noProof/>
              </w:rPr>
              <w:drawing>
                <wp:inline distT="0" distB="0" distL="0" distR="0" wp14:anchorId="3910B457" wp14:editId="10AE2F47">
                  <wp:extent cx="540000" cy="540000"/>
                  <wp:effectExtent l="0" t="0" r="0" b="0"/>
                  <wp:docPr id="309" name="Picture 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753FA5FE" w14:textId="77777777" w:rsidR="00417166" w:rsidRPr="006F75D0" w:rsidRDefault="00417166">
            <w:pPr>
              <w:pStyle w:val="Tablecolhead"/>
              <w:rPr>
                <w:rFonts w:eastAsia="Arial"/>
              </w:rPr>
            </w:pPr>
            <w:r w:rsidRPr="006F75D0">
              <w:rPr>
                <w:rFonts w:eastAsia="Arial"/>
              </w:rPr>
              <w:t>Documentation required</w:t>
            </w:r>
          </w:p>
          <w:p w14:paraId="1B394543" w14:textId="77777777" w:rsidR="00417166" w:rsidRDefault="00F06EA4" w:rsidP="00740A47">
            <w:pPr>
              <w:pStyle w:val="Bullet1"/>
            </w:pPr>
            <w:r>
              <w:t xml:space="preserve">1 </w:t>
            </w:r>
            <w:r w:rsidR="00441397">
              <w:t xml:space="preserve">Complex Needs </w:t>
            </w:r>
            <w:r w:rsidR="00441397" w:rsidRPr="003C3781">
              <w:t>Referral Form</w:t>
            </w:r>
          </w:p>
          <w:p w14:paraId="383732AC" w14:textId="0478FE4A" w:rsidR="00417166" w:rsidRPr="00F01EE8" w:rsidRDefault="00B17E47" w:rsidP="00740A47">
            <w:pPr>
              <w:pStyle w:val="Bullet1"/>
            </w:pPr>
            <w:r>
              <w:t>5</w:t>
            </w:r>
            <w:r w:rsidR="00CD7E61">
              <w:t>b</w:t>
            </w:r>
            <w:r>
              <w:t xml:space="preserve"> Duty of Care </w:t>
            </w:r>
            <w:r w:rsidR="00E124E3">
              <w:t>R</w:t>
            </w:r>
            <w:r>
              <w:t xml:space="preserve">eferral </w:t>
            </w:r>
            <w:r w:rsidR="00E124E3">
              <w:t>F</w:t>
            </w:r>
            <w:r>
              <w:t>orm (as required)</w:t>
            </w:r>
          </w:p>
        </w:tc>
      </w:tr>
    </w:tbl>
    <w:p w14:paraId="625BA3C4" w14:textId="77777777" w:rsidR="00417166"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2AC36F82" w14:textId="77777777" w:rsidTr="7B36EB4B">
        <w:trPr>
          <w:trHeight w:val="300"/>
        </w:trPr>
        <w:tc>
          <w:tcPr>
            <w:tcW w:w="0" w:type="auto"/>
            <w:shd w:val="clear" w:color="auto" w:fill="99D3F0"/>
            <w:vAlign w:val="center"/>
          </w:tcPr>
          <w:p w14:paraId="70A6840C" w14:textId="77777777" w:rsidR="00417166" w:rsidRDefault="00417166">
            <w:pPr>
              <w:pStyle w:val="Body"/>
            </w:pPr>
            <w:r>
              <w:rPr>
                <w:noProof/>
              </w:rPr>
              <w:drawing>
                <wp:inline distT="0" distB="0" distL="0" distR="0" wp14:anchorId="3BB42104" wp14:editId="0558616E">
                  <wp:extent cx="540000" cy="540000"/>
                  <wp:effectExtent l="0" t="0" r="0" b="0"/>
                  <wp:docPr id="310" name="Picture 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F24A523" w14:textId="77777777" w:rsidR="00417166" w:rsidRDefault="00417166">
            <w:pPr>
              <w:pStyle w:val="Tablecolhead"/>
            </w:pPr>
            <w:r>
              <w:t>Coordinator tasks</w:t>
            </w:r>
          </w:p>
          <w:p w14:paraId="7BE01564" w14:textId="77777777" w:rsidR="00417166" w:rsidRDefault="2798341D" w:rsidP="00740A47">
            <w:pPr>
              <w:pStyle w:val="Bullet1"/>
            </w:pPr>
            <w:r>
              <w:t>ensure consent is obtained/renewed:</w:t>
            </w:r>
          </w:p>
          <w:p w14:paraId="5EA189D3" w14:textId="544FBC30" w:rsidR="00417166" w:rsidRDefault="00417166" w:rsidP="000E7482">
            <w:pPr>
              <w:pStyle w:val="Bullet2"/>
            </w:pPr>
            <w:r w:rsidRPr="00100BB1">
              <w:t xml:space="preserve">upon </w:t>
            </w:r>
            <w:r>
              <w:t>referral to</w:t>
            </w:r>
            <w:r w:rsidRPr="00100BB1">
              <w:t xml:space="preserve"> </w:t>
            </w:r>
            <w:r w:rsidR="00441397">
              <w:t>c</w:t>
            </w:r>
            <w:r w:rsidRPr="00100BB1">
              <w:t xml:space="preserve">omplex </w:t>
            </w:r>
            <w:r w:rsidR="00441397">
              <w:t>n</w:t>
            </w:r>
            <w:r w:rsidRPr="00100BB1">
              <w:t xml:space="preserve">eeds services </w:t>
            </w:r>
          </w:p>
          <w:p w14:paraId="76313E16" w14:textId="79DB42C5" w:rsidR="00417166" w:rsidRPr="00A01AC5" w:rsidRDefault="00417166" w:rsidP="000E7482">
            <w:pPr>
              <w:pStyle w:val="Bullet2"/>
            </w:pPr>
            <w:r w:rsidRPr="00A01AC5">
              <w:t xml:space="preserve">upon recommencing </w:t>
            </w:r>
            <w:r w:rsidR="00441397">
              <w:t>c</w:t>
            </w:r>
            <w:r w:rsidRPr="00A01AC5">
              <w:t xml:space="preserve">omplex </w:t>
            </w:r>
            <w:r w:rsidR="00441397">
              <w:t>n</w:t>
            </w:r>
            <w:r w:rsidRPr="00A01AC5">
              <w:t>eeds services after a period of suspension</w:t>
            </w:r>
          </w:p>
          <w:p w14:paraId="5A27DB69" w14:textId="3F948049" w:rsidR="00417166" w:rsidRPr="00AE65AB" w:rsidRDefault="00417166" w:rsidP="000E7482">
            <w:pPr>
              <w:pStyle w:val="Bullet2"/>
            </w:pPr>
            <w:r w:rsidRPr="00AE65AB">
              <w:t>on engagement of a new service provider from whom the client’s personal or health information will be sought in developing or amending their care plan</w:t>
            </w:r>
          </w:p>
          <w:p w14:paraId="143E07F1" w14:textId="41AD5254" w:rsidR="00417166" w:rsidRDefault="00417166" w:rsidP="000E7482">
            <w:pPr>
              <w:pStyle w:val="Bullet2"/>
            </w:pPr>
            <w:r w:rsidRPr="00AE65AB">
              <w:t>when the client reaches 18 years of age (noting that upon reaching the age of 18, a client may</w:t>
            </w:r>
            <w:r>
              <w:t xml:space="preserve"> still not have capacity to consent).</w:t>
            </w:r>
          </w:p>
        </w:tc>
      </w:tr>
    </w:tbl>
    <w:bookmarkEnd w:id="45"/>
    <w:bookmarkEnd w:id="46"/>
    <w:bookmarkEnd w:id="47"/>
    <w:bookmarkEnd w:id="48"/>
    <w:p w14:paraId="2699A898" w14:textId="7D8E78E1" w:rsidR="00417166" w:rsidRPr="00EE69BF" w:rsidRDefault="00510434" w:rsidP="00C940F0">
      <w:pPr>
        <w:pStyle w:val="Heading3"/>
      </w:pPr>
      <w:r>
        <w:t xml:space="preserve">3.2.3 </w:t>
      </w:r>
      <w:r w:rsidR="00417166">
        <w:t>D</w:t>
      </w:r>
      <w:r w:rsidR="00417166" w:rsidRPr="00EE69BF">
        <w:t>uty of care referrals</w:t>
      </w:r>
      <w:r w:rsidR="00417166">
        <w:t xml:space="preserve"> </w:t>
      </w:r>
    </w:p>
    <w:p w14:paraId="1BD9EB17" w14:textId="39BF1E9A" w:rsidR="00AE65AB" w:rsidRDefault="00417166" w:rsidP="007B2C42">
      <w:pPr>
        <w:pStyle w:val="Body"/>
      </w:pPr>
      <w:r w:rsidRPr="00D90CD6">
        <w:t xml:space="preserve">Where a </w:t>
      </w:r>
      <w:r w:rsidR="00E272FE">
        <w:t>potential referrer</w:t>
      </w:r>
      <w:r w:rsidRPr="00D90CD6">
        <w:t xml:space="preserve"> hold</w:t>
      </w:r>
      <w:r w:rsidR="00E272FE">
        <w:t>s</w:t>
      </w:r>
      <w:r w:rsidRPr="00D90CD6" w:rsidDel="00296EA7">
        <w:t xml:space="preserve"> </w:t>
      </w:r>
      <w:r>
        <w:t>significant</w:t>
      </w:r>
      <w:r w:rsidRPr="00D90CD6">
        <w:t xml:space="preserve"> concern for the welfare or wellbeing of </w:t>
      </w:r>
      <w:r>
        <w:t>a</w:t>
      </w:r>
      <w:r w:rsidRPr="00D90CD6">
        <w:t xml:space="preserve"> client</w:t>
      </w:r>
      <w:r w:rsidR="009F5B73">
        <w:t xml:space="preserve"> or </w:t>
      </w:r>
      <w:r w:rsidR="00222689">
        <w:t>the community</w:t>
      </w:r>
      <w:r w:rsidRPr="00D90CD6">
        <w:t xml:space="preserve">, a duty of care referral may be actioned. Duty of care referrals allow for the disclosure of </w:t>
      </w:r>
      <w:r w:rsidRPr="00D90CD6">
        <w:lastRenderedPageBreak/>
        <w:t xml:space="preserve">client information pursuant to the department’s </w:t>
      </w:r>
      <w:r w:rsidR="004933CD">
        <w:rPr>
          <w:i/>
        </w:rPr>
        <w:t>P</w:t>
      </w:r>
      <w:r w:rsidRPr="00D90CD6">
        <w:rPr>
          <w:i/>
        </w:rPr>
        <w:t>rivacy policy</w:t>
      </w:r>
      <w:r w:rsidRPr="00D90CD6">
        <w:t xml:space="preserve"> without prior consent and without breaching the Information Privacy Principles </w:t>
      </w:r>
      <w:r>
        <w:t xml:space="preserve">under the </w:t>
      </w:r>
      <w:r w:rsidRPr="004933CD">
        <w:rPr>
          <w:i/>
          <w:iCs/>
        </w:rPr>
        <w:t>Privacy and Data Protection Act 2004</w:t>
      </w:r>
      <w:r>
        <w:t>.</w:t>
      </w:r>
      <w:r w:rsidR="004D55B5">
        <w:t xml:space="preserve"> </w:t>
      </w:r>
    </w:p>
    <w:p w14:paraId="080E92BE" w14:textId="77777777" w:rsidR="004E196B" w:rsidRDefault="00417166" w:rsidP="00AE65AB">
      <w:pPr>
        <w:pStyle w:val="Body"/>
      </w:pPr>
      <w:r w:rsidRPr="00D90CD6">
        <w:t xml:space="preserve">A duty of care referral is recommended </w:t>
      </w:r>
      <w:r w:rsidR="00CA634D">
        <w:t xml:space="preserve">where </w:t>
      </w:r>
      <w:r w:rsidR="00B4295A">
        <w:t>a referrer</w:t>
      </w:r>
      <w:r w:rsidR="004E196B">
        <w:t>:</w:t>
      </w:r>
    </w:p>
    <w:p w14:paraId="0B93FD5B" w14:textId="3CC81A49" w:rsidR="00417166" w:rsidRPr="00D90CD6" w:rsidRDefault="00417166" w:rsidP="00C940F0">
      <w:pPr>
        <w:pStyle w:val="Bullet1"/>
      </w:pPr>
      <w:r w:rsidRPr="00D90CD6">
        <w:t xml:space="preserve">reasonably </w:t>
      </w:r>
      <w:r w:rsidRPr="001B7532">
        <w:t>believes</w:t>
      </w:r>
      <w:r w:rsidRPr="00D90CD6">
        <w:t xml:space="preserve"> that the use or disclosure is necessary to lessen or prevent:</w:t>
      </w:r>
    </w:p>
    <w:p w14:paraId="476B3F29" w14:textId="3BD874AF" w:rsidR="00417166" w:rsidRPr="007C6890" w:rsidRDefault="00417166" w:rsidP="00C940F0">
      <w:pPr>
        <w:pStyle w:val="Bullet2"/>
      </w:pPr>
      <w:r w:rsidRPr="007C6890">
        <w:t>a serious threat to an individual’s life, health, safety</w:t>
      </w:r>
      <w:r w:rsidR="00A77D99">
        <w:t>,</w:t>
      </w:r>
      <w:r w:rsidRPr="007C6890">
        <w:t xml:space="preserve"> or welfare; or </w:t>
      </w:r>
    </w:p>
    <w:p w14:paraId="618C70C9" w14:textId="50340E6D" w:rsidR="00D069B9" w:rsidRPr="00D90CD6" w:rsidRDefault="00417166" w:rsidP="00C940F0">
      <w:pPr>
        <w:pStyle w:val="Bullet2"/>
      </w:pPr>
      <w:r w:rsidRPr="007C6890">
        <w:t>a serious</w:t>
      </w:r>
      <w:r w:rsidRPr="00D90CD6">
        <w:t xml:space="preserve"> threat to public health, public safety of public welfare.</w:t>
      </w:r>
    </w:p>
    <w:p w14:paraId="28DA20FD" w14:textId="231BC003" w:rsidR="00803F38" w:rsidRDefault="00803F38" w:rsidP="00C940F0">
      <w:pPr>
        <w:pStyle w:val="Bullet1"/>
      </w:pPr>
      <w:r>
        <w:t xml:space="preserve">the referrer is a health service provider and the Complex Needs </w:t>
      </w:r>
      <w:r w:rsidR="00AE65AB">
        <w:t>Coordinator,</w:t>
      </w:r>
      <w:r>
        <w:t xml:space="preserve"> and their line manager reasonably believes that the collection, use or disclosure of that individual’s health information </w:t>
      </w:r>
      <w:r w:rsidRPr="005915F9">
        <w:t xml:space="preserve">is necessary to prevent </w:t>
      </w:r>
      <w:r>
        <w:t xml:space="preserve">or lessen </w:t>
      </w:r>
      <w:r w:rsidRPr="005915F9">
        <w:t>a serious threat to</w:t>
      </w:r>
      <w:r>
        <w:t>:</w:t>
      </w:r>
      <w:r w:rsidRPr="005915F9">
        <w:t xml:space="preserve"> </w:t>
      </w:r>
    </w:p>
    <w:p w14:paraId="53306014" w14:textId="6E86B392" w:rsidR="00803F38" w:rsidRDefault="00803F38" w:rsidP="00740A47">
      <w:pPr>
        <w:pStyle w:val="secondbullet"/>
        <w:numPr>
          <w:ilvl w:val="0"/>
          <w:numId w:val="52"/>
        </w:numPr>
      </w:pPr>
      <w:r w:rsidRPr="007939B1">
        <w:t>any individual’s life</w:t>
      </w:r>
      <w:r>
        <w:t>, health, safety</w:t>
      </w:r>
      <w:r w:rsidR="004933CD">
        <w:t>,</w:t>
      </w:r>
      <w:r>
        <w:t xml:space="preserve"> or welfare; or</w:t>
      </w:r>
    </w:p>
    <w:p w14:paraId="01E2B4C3" w14:textId="2B51852F" w:rsidR="00803F38" w:rsidRPr="007939B1" w:rsidRDefault="00803F38" w:rsidP="00740A47">
      <w:pPr>
        <w:pStyle w:val="secondbullet"/>
        <w:numPr>
          <w:ilvl w:val="0"/>
          <w:numId w:val="52"/>
        </w:numPr>
      </w:pPr>
      <w:r w:rsidRPr="007939B1">
        <w:t>the public health</w:t>
      </w:r>
      <w:r>
        <w:t>, public</w:t>
      </w:r>
      <w:r w:rsidRPr="007939B1">
        <w:t xml:space="preserve"> safety</w:t>
      </w:r>
      <w:r w:rsidR="004933CD">
        <w:t>,</w:t>
      </w:r>
      <w:r>
        <w:t xml:space="preserve"> or public welfare</w:t>
      </w:r>
      <w:r w:rsidRPr="007939B1">
        <w:t>.</w:t>
      </w:r>
      <w:r>
        <w:rPr>
          <w:rStyle w:val="FootnoteReference"/>
        </w:rPr>
        <w:footnoteReference w:id="2"/>
      </w:r>
      <w:r w:rsidRPr="007939B1">
        <w:t xml:space="preserve"> </w:t>
      </w:r>
    </w:p>
    <w:p w14:paraId="3E55F043" w14:textId="740B92DF" w:rsidR="00417166" w:rsidRPr="00CA4CD8" w:rsidRDefault="00417166" w:rsidP="00C940F0">
      <w:pPr>
        <w:pStyle w:val="Body"/>
        <w:spacing w:before="120"/>
      </w:pPr>
      <w:r w:rsidRPr="0A63CEA1">
        <w:rPr>
          <w:rFonts w:cs="Arial"/>
        </w:rPr>
        <w:t xml:space="preserve">Refer: </w:t>
      </w:r>
      <w:hyperlink r:id="rId44" w:history="1">
        <w:r w:rsidR="001B6B48" w:rsidRPr="0069691B">
          <w:rPr>
            <w:rStyle w:val="Hyperlink"/>
          </w:rPr>
          <w:t>Privacy Policy</w:t>
        </w:r>
      </w:hyperlink>
      <w:r w:rsidRPr="0A63CEA1">
        <w:rPr>
          <w:rFonts w:cs="Arial"/>
        </w:rPr>
        <w:t xml:space="preserve"> </w:t>
      </w:r>
      <w:r>
        <w:t>&lt;https://dhhsvicgovau.sharepoint.com/:w:/r/sites/dffh/_layouts/15/Doc.aspx?sourcedoc=%7B2C14437E-01E0-4508-9E9E-7135C3E6F2A8%7D&amp;action=View&gt;</w:t>
      </w:r>
    </w:p>
    <w:p w14:paraId="4C6D144E" w14:textId="1A63C950" w:rsidR="00417166" w:rsidRPr="00D90CD6" w:rsidRDefault="00417166" w:rsidP="007573A1">
      <w:pPr>
        <w:pStyle w:val="Body"/>
        <w:rPr>
          <w:rFonts w:cs="Arial"/>
        </w:rPr>
      </w:pPr>
      <w:r>
        <w:t>Refer</w:t>
      </w:r>
      <w:r w:rsidRPr="0A63CEA1">
        <w:rPr>
          <w:rFonts w:cs="Arial"/>
        </w:rPr>
        <w:t xml:space="preserve">: </w:t>
      </w:r>
      <w:hyperlink r:id="rId45" w:history="1">
        <w:r w:rsidR="001B6B48" w:rsidRPr="00435DA3">
          <w:rPr>
            <w:rStyle w:val="Hyperlink"/>
          </w:rPr>
          <w:t>Information Privacy Principles</w:t>
        </w:r>
      </w:hyperlink>
      <w:r w:rsidRPr="0A63CEA1">
        <w:rPr>
          <w:rFonts w:cs="Arial"/>
        </w:rPr>
        <w:t xml:space="preserve"> &lt;</w:t>
      </w:r>
      <w:r>
        <w:t>https://ovic.vic.gov.au/privacy/for-agencies/information-privacy-principles&gt;</w:t>
      </w:r>
      <w:r w:rsidRPr="0A63CEA1">
        <w:rPr>
          <w:rFonts w:cs="Arial"/>
        </w:rPr>
        <w:t xml:space="preserve">  </w:t>
      </w:r>
    </w:p>
    <w:p w14:paraId="0CB832FA" w14:textId="77777777" w:rsidR="00F1152B" w:rsidRPr="00D90CD6" w:rsidRDefault="00F1152B" w:rsidP="007573A1">
      <w:pPr>
        <w:pStyle w:val="Body"/>
        <w:rPr>
          <w:rFonts w:cs="Arial"/>
        </w:rPr>
      </w:pPr>
    </w:p>
    <w:tbl>
      <w:tblPr>
        <w:tblStyle w:val="TableGrid"/>
        <w:tblW w:w="4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3537"/>
      </w:tblGrid>
      <w:tr w:rsidR="00417166" w14:paraId="28FEB0A1" w14:textId="77777777" w:rsidTr="00441397">
        <w:trPr>
          <w:trHeight w:val="157"/>
        </w:trPr>
        <w:tc>
          <w:tcPr>
            <w:tcW w:w="0" w:type="auto"/>
            <w:shd w:val="clear" w:color="auto" w:fill="CCE9F8"/>
          </w:tcPr>
          <w:p w14:paraId="0FB0CBDC" w14:textId="77777777" w:rsidR="00417166" w:rsidRPr="001D7D95" w:rsidRDefault="00417166" w:rsidP="009104F4">
            <w:pPr>
              <w:pStyle w:val="Body"/>
              <w:spacing w:before="120"/>
              <w:rPr>
                <w:color w:val="CCE9F8"/>
              </w:rPr>
            </w:pPr>
            <w:r>
              <w:rPr>
                <w:noProof/>
              </w:rPr>
              <w:drawing>
                <wp:inline distT="0" distB="0" distL="0" distR="0" wp14:anchorId="68BE0B97" wp14:editId="2A9E7A00">
                  <wp:extent cx="540000" cy="540000"/>
                  <wp:effectExtent l="0" t="0" r="0" b="0"/>
                  <wp:docPr id="289" name="Picture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0C896109" w14:textId="77777777" w:rsidR="00417166" w:rsidRPr="006F75D0" w:rsidRDefault="00417166">
            <w:pPr>
              <w:pStyle w:val="Tablecolhead"/>
              <w:rPr>
                <w:rFonts w:eastAsia="Arial"/>
              </w:rPr>
            </w:pPr>
            <w:r w:rsidRPr="006F75D0">
              <w:rPr>
                <w:rFonts w:eastAsia="Arial"/>
              </w:rPr>
              <w:t>Documentation required</w:t>
            </w:r>
          </w:p>
          <w:p w14:paraId="0D5C4CE5" w14:textId="55937053" w:rsidR="00417166" w:rsidRPr="006F75D0" w:rsidRDefault="00B17E47" w:rsidP="00740A47">
            <w:pPr>
              <w:pStyle w:val="Bullet1"/>
            </w:pPr>
            <w:r>
              <w:t>5</w:t>
            </w:r>
            <w:r w:rsidR="00CD7E61">
              <w:t>b</w:t>
            </w:r>
            <w:r>
              <w:t xml:space="preserve"> </w:t>
            </w:r>
            <w:r w:rsidR="2798341D">
              <w:t xml:space="preserve">Duty </w:t>
            </w:r>
            <w:r w:rsidR="00E47319">
              <w:t>o</w:t>
            </w:r>
            <w:r w:rsidR="00441397">
              <w:t>f Care Referral Form</w:t>
            </w:r>
          </w:p>
        </w:tc>
      </w:tr>
    </w:tbl>
    <w:p w14:paraId="4DCAD63F" w14:textId="77777777" w:rsidR="00417166"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19F132AC" w14:textId="77777777" w:rsidTr="7B36EB4B">
        <w:trPr>
          <w:trHeight w:val="300"/>
        </w:trPr>
        <w:tc>
          <w:tcPr>
            <w:tcW w:w="0" w:type="auto"/>
            <w:shd w:val="clear" w:color="auto" w:fill="99D3F0"/>
            <w:vAlign w:val="center"/>
          </w:tcPr>
          <w:p w14:paraId="798A0CD8" w14:textId="77777777" w:rsidR="00417166" w:rsidRDefault="00417166">
            <w:pPr>
              <w:pStyle w:val="Body"/>
            </w:pPr>
            <w:r>
              <w:rPr>
                <w:noProof/>
              </w:rPr>
              <w:drawing>
                <wp:inline distT="0" distB="0" distL="0" distR="0" wp14:anchorId="7E735131" wp14:editId="1CBB1EF4">
                  <wp:extent cx="540000" cy="540000"/>
                  <wp:effectExtent l="0" t="0" r="0" b="0"/>
                  <wp:docPr id="297" name="Picture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401BB221" w14:textId="77777777" w:rsidR="00417166" w:rsidRDefault="00417166">
            <w:pPr>
              <w:pStyle w:val="Tablecolhead"/>
            </w:pPr>
            <w:r>
              <w:t>Coordinator tasks</w:t>
            </w:r>
          </w:p>
          <w:p w14:paraId="018D78FA" w14:textId="46B45E65" w:rsidR="00417166" w:rsidRDefault="00AE65AB" w:rsidP="00740A47">
            <w:pPr>
              <w:pStyle w:val="Bullet1"/>
            </w:pPr>
            <w:r>
              <w:t>on</w:t>
            </w:r>
            <w:r w:rsidR="2798341D">
              <w:t xml:space="preserve"> receiving a duty of care referral, provide the referrer with the additional consent for </w:t>
            </w:r>
            <w:r w:rsidR="00441397">
              <w:t xml:space="preserve">Duty of Care Referral Form </w:t>
            </w:r>
          </w:p>
          <w:p w14:paraId="2B66D242" w14:textId="77777777" w:rsidR="00417166" w:rsidRDefault="2798341D" w:rsidP="00740A47">
            <w:pPr>
              <w:pStyle w:val="Bullet1"/>
            </w:pPr>
            <w:r>
              <w:t>ensure the duty of care referral is endorsed by:</w:t>
            </w:r>
          </w:p>
          <w:p w14:paraId="229CF3BD" w14:textId="18935ED2" w:rsidR="00417166" w:rsidRPr="00100BB1" w:rsidRDefault="00981D9B" w:rsidP="00981D9B">
            <w:pPr>
              <w:pStyle w:val="Bullet2"/>
              <w:numPr>
                <w:ilvl w:val="2"/>
                <w:numId w:val="58"/>
              </w:numPr>
              <w:ind w:left="1098"/>
            </w:pPr>
            <w:r>
              <w:t>s</w:t>
            </w:r>
            <w:r w:rsidR="00417166">
              <w:t xml:space="preserve">upervisor / </w:t>
            </w:r>
            <w:r>
              <w:t>t</w:t>
            </w:r>
            <w:r w:rsidR="00417166">
              <w:t xml:space="preserve">eam </w:t>
            </w:r>
            <w:r>
              <w:t>l</w:t>
            </w:r>
            <w:r w:rsidR="00417166">
              <w:t xml:space="preserve">eader / </w:t>
            </w:r>
            <w:r>
              <w:t>m</w:t>
            </w:r>
            <w:r w:rsidR="00417166">
              <w:t>anager of the referrer</w:t>
            </w:r>
          </w:p>
          <w:p w14:paraId="7A3F5CC1" w14:textId="77777777" w:rsidR="00417166" w:rsidRPr="00B22A07" w:rsidRDefault="00417166" w:rsidP="00981D9B">
            <w:pPr>
              <w:pStyle w:val="Bullet2"/>
              <w:numPr>
                <w:ilvl w:val="2"/>
                <w:numId w:val="58"/>
              </w:numPr>
              <w:ind w:left="1098"/>
            </w:pPr>
            <w:r>
              <w:t xml:space="preserve">Manager Client </w:t>
            </w:r>
            <w:r w:rsidRPr="00B22A07">
              <w:t>Support and Housing Services.</w:t>
            </w:r>
          </w:p>
          <w:p w14:paraId="6BD65E6B" w14:textId="7BB2FA19" w:rsidR="00417166" w:rsidRDefault="2798341D" w:rsidP="00740A47">
            <w:pPr>
              <w:pStyle w:val="Bullet1"/>
            </w:pPr>
            <w:r>
              <w:t xml:space="preserve">review duty of care regularly and ensure the Information Privacy Principles are considered </w:t>
            </w:r>
            <w:r w:rsidR="00D805E6">
              <w:t>in</w:t>
            </w:r>
            <w:r>
              <w:t xml:space="preserve"> care team planning / decisions.</w:t>
            </w:r>
          </w:p>
        </w:tc>
      </w:tr>
    </w:tbl>
    <w:p w14:paraId="39299A22" w14:textId="29E277F5" w:rsidR="00417166" w:rsidRDefault="00417166" w:rsidP="000E7482">
      <w:pPr>
        <w:pStyle w:val="Heading2"/>
        <w:numPr>
          <w:ilvl w:val="1"/>
          <w:numId w:val="8"/>
        </w:numPr>
      </w:pPr>
      <w:bookmarkStart w:id="49" w:name="_Toc137636729"/>
      <w:bookmarkStart w:id="50" w:name="_Toc145318566"/>
      <w:r w:rsidRPr="00316114">
        <w:t>Complex Needs Panel</w:t>
      </w:r>
      <w:r>
        <w:t>s</w:t>
      </w:r>
      <w:bookmarkEnd w:id="49"/>
      <w:bookmarkEnd w:id="50"/>
    </w:p>
    <w:p w14:paraId="0C0ACAF1" w14:textId="5A0D03BA" w:rsidR="00417166" w:rsidRDefault="00417166" w:rsidP="007573A1">
      <w:pPr>
        <w:pStyle w:val="Body"/>
      </w:pPr>
      <w:bookmarkStart w:id="51" w:name="_Hlk9946821"/>
      <w:r w:rsidRPr="007F40E1">
        <w:t xml:space="preserve">Each departmental area </w:t>
      </w:r>
      <w:r>
        <w:t>operate</w:t>
      </w:r>
      <w:r w:rsidRPr="007F40E1">
        <w:t xml:space="preserve">s a </w:t>
      </w:r>
      <w:r>
        <w:t xml:space="preserve">Complex Needs Panel </w:t>
      </w:r>
      <w:r w:rsidRPr="007F40E1">
        <w:t>that meets on</w:t>
      </w:r>
      <w:r>
        <w:t xml:space="preserve"> a regular</w:t>
      </w:r>
      <w:r w:rsidRPr="005B0BF2">
        <w:t xml:space="preserve"> schedule</w:t>
      </w:r>
      <w:r>
        <w:t xml:space="preserve"> </w:t>
      </w:r>
      <w:r w:rsidR="00F50842">
        <w:t xml:space="preserve">according to their </w:t>
      </w:r>
      <w:r w:rsidR="00F22723">
        <w:t>local needs.</w:t>
      </w:r>
      <w:r>
        <w:t xml:space="preserve"> The</w:t>
      </w:r>
      <w:r w:rsidR="00E47319">
        <w:t>se</w:t>
      </w:r>
      <w:r>
        <w:t xml:space="preserve"> panel</w:t>
      </w:r>
      <w:r w:rsidR="00E47319">
        <w:t>s</w:t>
      </w:r>
      <w:r>
        <w:t xml:space="preserve"> </w:t>
      </w:r>
      <w:r w:rsidRPr="00891BFC">
        <w:t xml:space="preserve">provide a formal mechanism </w:t>
      </w:r>
      <w:r>
        <w:t xml:space="preserve">to collaboratively discuss and address service delivery options and issues </w:t>
      </w:r>
      <w:r w:rsidRPr="00891BFC">
        <w:t xml:space="preserve">for clients with </w:t>
      </w:r>
      <w:r w:rsidRPr="00891BFC">
        <w:rPr>
          <w:rFonts w:cs="Arial"/>
        </w:rPr>
        <w:t xml:space="preserve">complex needs. </w:t>
      </w:r>
      <w:bookmarkEnd w:id="51"/>
      <w:r w:rsidRPr="00891BFC">
        <w:t>The panel</w:t>
      </w:r>
      <w:r w:rsidR="00E47319">
        <w:t>s</w:t>
      </w:r>
      <w:r w:rsidRPr="00891BFC">
        <w:t xml:space="preserve"> </w:t>
      </w:r>
      <w:r w:rsidR="008F69A8">
        <w:t>consider and</w:t>
      </w:r>
      <w:r>
        <w:t xml:space="preserve"> provide advice and direction on broader policy or service delivery matters relating to each member's service/program </w:t>
      </w:r>
      <w:r w:rsidR="00056AFE">
        <w:t>area and</w:t>
      </w:r>
      <w:r>
        <w:t xml:space="preserve"> undertake systems and trend analysis to influence strategic thinking regarding clients with complex needs.</w:t>
      </w:r>
    </w:p>
    <w:p w14:paraId="75B1D430" w14:textId="52A552AC" w:rsidR="0022751F" w:rsidRDefault="0022751F" w:rsidP="007573A1">
      <w:pPr>
        <w:pStyle w:val="Body"/>
      </w:pPr>
      <w:r>
        <w:lastRenderedPageBreak/>
        <w:t xml:space="preserve">The Complex Needs Panels have in scope </w:t>
      </w:r>
      <w:r w:rsidR="00C5538F">
        <w:t>all</w:t>
      </w:r>
      <w:r>
        <w:t xml:space="preserve"> the complex needs service responses provided </w:t>
      </w:r>
      <w:r w:rsidR="00386BA0">
        <w:t xml:space="preserve">via the Complex Needs teams in the areas – complex needs consultation, SfHRT, </w:t>
      </w:r>
      <w:r w:rsidR="00C5538F">
        <w:t>Pre-MACNI, MACNI and the AOS pilot program.</w:t>
      </w:r>
    </w:p>
    <w:p w14:paraId="01B1E810" w14:textId="4F0C741B" w:rsidR="00C5538F" w:rsidRDefault="00C5538F" w:rsidP="007573A1">
      <w:pPr>
        <w:pStyle w:val="Body"/>
      </w:pPr>
      <w:r>
        <w:t xml:space="preserve">The panels are not limited to Formal MACNI client matters only and this is reflected in the </w:t>
      </w:r>
      <w:r w:rsidR="005D54F2">
        <w:t xml:space="preserve">6f </w:t>
      </w:r>
      <w:r>
        <w:t xml:space="preserve">Panel Agenda Template which opens panels up to </w:t>
      </w:r>
      <w:r w:rsidR="005D54F2">
        <w:t xml:space="preserve">valuable expert input </w:t>
      </w:r>
      <w:r>
        <w:t>on all the service responses.</w:t>
      </w:r>
      <w:r w:rsidR="005D54F2">
        <w:t xml:space="preserve"> </w:t>
      </w:r>
    </w:p>
    <w:p w14:paraId="1518490F" w14:textId="1614F936" w:rsidR="00417166" w:rsidRDefault="00417166" w:rsidP="000E7482">
      <w:pPr>
        <w:pStyle w:val="Heading3"/>
        <w:numPr>
          <w:ilvl w:val="2"/>
          <w:numId w:val="8"/>
        </w:numPr>
      </w:pPr>
      <w:bookmarkStart w:id="52" w:name="_Toc389549392"/>
      <w:bookmarkStart w:id="53" w:name="_Toc387406915"/>
      <w:bookmarkStart w:id="54" w:name="_Toc387406136"/>
      <w:bookmarkStart w:id="55" w:name="_Toc384390190"/>
      <w:bookmarkStart w:id="56" w:name="_Toc384302656"/>
      <w:bookmarkStart w:id="57" w:name="_Toc384302204"/>
      <w:bookmarkStart w:id="58" w:name="_Toc222907590"/>
      <w:r>
        <w:t xml:space="preserve">Responsibilities </w:t>
      </w:r>
    </w:p>
    <w:p w14:paraId="5FB77F31" w14:textId="58E2A03C" w:rsidR="00417166" w:rsidRDefault="00417166" w:rsidP="007573A1">
      <w:pPr>
        <w:pStyle w:val="Body"/>
      </w:pPr>
      <w:r>
        <w:t xml:space="preserve">The key roles and responsibilities of </w:t>
      </w:r>
      <w:r w:rsidR="00E47319">
        <w:t xml:space="preserve">a </w:t>
      </w:r>
      <w:r>
        <w:t xml:space="preserve">panel </w:t>
      </w:r>
      <w:r w:rsidR="00E47319">
        <w:t>are:</w:t>
      </w:r>
    </w:p>
    <w:p w14:paraId="7EDB73E2" w14:textId="0D89B126" w:rsidR="00417166" w:rsidRPr="008F69A8" w:rsidRDefault="54DBD147" w:rsidP="00740A47">
      <w:pPr>
        <w:pStyle w:val="Bullet1"/>
      </w:pPr>
      <w:r w:rsidRPr="008F69A8">
        <w:t>problem solve client and service system issues through robust discussion and critical reflection</w:t>
      </w:r>
    </w:p>
    <w:p w14:paraId="16BD664C" w14:textId="71B9B93F" w:rsidR="00417166" w:rsidRPr="008F69A8" w:rsidRDefault="54DBD147" w:rsidP="00740A47">
      <w:pPr>
        <w:pStyle w:val="Bullet1"/>
      </w:pPr>
      <w:r w:rsidRPr="008F69A8">
        <w:t xml:space="preserve">enhance the service system capacity through cross-program </w:t>
      </w:r>
      <w:r w:rsidR="008C10C6" w:rsidRPr="008F69A8">
        <w:t>/</w:t>
      </w:r>
      <w:r w:rsidRPr="008F69A8">
        <w:t xml:space="preserve"> service partnership and collaborative practice</w:t>
      </w:r>
      <w:r w:rsidR="00891889" w:rsidRPr="008F69A8">
        <w:t>, reflection</w:t>
      </w:r>
      <w:r w:rsidR="00435DA3">
        <w:t>,</w:t>
      </w:r>
      <w:r w:rsidR="00891889" w:rsidRPr="008F69A8">
        <w:t xml:space="preserve"> and learning</w:t>
      </w:r>
    </w:p>
    <w:p w14:paraId="1D97643A" w14:textId="037AF5B3" w:rsidR="00417166" w:rsidRPr="008F69A8" w:rsidRDefault="2798341D" w:rsidP="00740A47">
      <w:pPr>
        <w:pStyle w:val="Bullet1"/>
      </w:pPr>
      <w:r w:rsidRPr="008F69A8">
        <w:t>consider, recommend</w:t>
      </w:r>
      <w:r w:rsidR="00435DA3">
        <w:t>,</w:t>
      </w:r>
      <w:r w:rsidRPr="008F69A8">
        <w:t xml:space="preserve"> and review </w:t>
      </w:r>
      <w:r w:rsidR="00891889" w:rsidRPr="008F69A8">
        <w:t xml:space="preserve">the activity and </w:t>
      </w:r>
      <w:r w:rsidRPr="008F69A8">
        <w:t>brokerage for clients with complex needs</w:t>
      </w:r>
    </w:p>
    <w:p w14:paraId="551D6157" w14:textId="119C8F93" w:rsidR="00417166" w:rsidRPr="008F69A8" w:rsidRDefault="2798341D" w:rsidP="00740A47">
      <w:pPr>
        <w:pStyle w:val="Bullet1"/>
      </w:pPr>
      <w:r w:rsidRPr="008F69A8">
        <w:t>support culturally safe service delivery</w:t>
      </w:r>
      <w:r w:rsidR="00B14FBD" w:rsidRPr="008F69A8">
        <w:t xml:space="preserve"> in the review and recommendation of service delivery </w:t>
      </w:r>
    </w:p>
    <w:p w14:paraId="632C1D5F" w14:textId="77777777" w:rsidR="00417166" w:rsidRDefault="2798341D" w:rsidP="00C940F0">
      <w:pPr>
        <w:pStyle w:val="lastbullett"/>
      </w:pPr>
      <w:r w:rsidRPr="008F69A8">
        <w:t>escalate systemic issues and trend analysis</w:t>
      </w:r>
      <w:r>
        <w:t xml:space="preserve"> findings to the Central Complex Needs Team.</w:t>
      </w:r>
    </w:p>
    <w:p w14:paraId="2E6FAC64" w14:textId="1DFEE079" w:rsidR="00417166" w:rsidRPr="00060594" w:rsidRDefault="00417166" w:rsidP="007573A1">
      <w:pPr>
        <w:pStyle w:val="Bodyafterbullets"/>
      </w:pPr>
      <w:r>
        <w:t>Panels have specific responsibilities depending on the complex needs response</w:t>
      </w:r>
      <w:r w:rsidR="008F69A8">
        <w:t xml:space="preserve"> </w:t>
      </w:r>
      <w:r w:rsidR="00435DA3">
        <w:t xml:space="preserve">being </w:t>
      </w:r>
      <w:r w:rsidR="008F69A8">
        <w:t>used</w:t>
      </w:r>
      <w:r>
        <w:t>. These specific responsibilities are outlined in relevant sections below.</w:t>
      </w:r>
    </w:p>
    <w:p w14:paraId="0D353ADE" w14:textId="3B1F3A6C" w:rsidR="00417166" w:rsidRPr="00C34352" w:rsidRDefault="00417166" w:rsidP="000E7482">
      <w:pPr>
        <w:pStyle w:val="Heading3"/>
        <w:numPr>
          <w:ilvl w:val="2"/>
          <w:numId w:val="8"/>
        </w:numPr>
      </w:pPr>
      <w:r w:rsidRPr="007F40E1">
        <w:t>Membership</w:t>
      </w:r>
      <w:bookmarkEnd w:id="52"/>
      <w:bookmarkEnd w:id="53"/>
      <w:bookmarkEnd w:id="54"/>
      <w:bookmarkEnd w:id="55"/>
      <w:bookmarkEnd w:id="56"/>
      <w:bookmarkEnd w:id="57"/>
      <w:bookmarkEnd w:id="58"/>
      <w:r w:rsidRPr="007F40E1">
        <w:t xml:space="preserve"> </w:t>
      </w:r>
    </w:p>
    <w:p w14:paraId="4E201583" w14:textId="36124B9A" w:rsidR="00417166" w:rsidRPr="007F40E1" w:rsidRDefault="008850E9" w:rsidP="007573A1">
      <w:pPr>
        <w:pStyle w:val="Body"/>
      </w:pPr>
      <w:r w:rsidRPr="00875EBF">
        <w:t xml:space="preserve">The </w:t>
      </w:r>
      <w:r w:rsidR="00A46407">
        <w:t xml:space="preserve">specific </w:t>
      </w:r>
      <w:r w:rsidRPr="00875EBF">
        <w:t xml:space="preserve">make-up of each panel will depend on the local </w:t>
      </w:r>
      <w:r>
        <w:t>are</w:t>
      </w:r>
      <w:r w:rsidR="00A46407">
        <w:t>a</w:t>
      </w:r>
      <w:r>
        <w:t xml:space="preserve"> </w:t>
      </w:r>
      <w:r w:rsidRPr="00875EBF">
        <w:t xml:space="preserve">needs, member availability and </w:t>
      </w:r>
      <w:r w:rsidR="00A46407">
        <w:t>the required subject matter expertise as associated with the presenting clients</w:t>
      </w:r>
      <w:r>
        <w:t xml:space="preserve">. </w:t>
      </w:r>
      <w:r w:rsidR="00A46407" w:rsidRPr="007F40E1">
        <w:t xml:space="preserve">Panels may also invite independent expert </w:t>
      </w:r>
      <w:r w:rsidR="00A46407" w:rsidRPr="00745E4C">
        <w:t xml:space="preserve">advisers to participate in meetings on a case-by-case basis and as determined necessary according to subject expertise. </w:t>
      </w:r>
      <w:r w:rsidR="00417166">
        <w:t>P</w:t>
      </w:r>
      <w:r w:rsidR="00417166" w:rsidRPr="007F40E1">
        <w:t>anels are typically comprised of:</w:t>
      </w:r>
    </w:p>
    <w:p w14:paraId="3FE62BA4" w14:textId="2997E716" w:rsidR="00417166" w:rsidRPr="002153E2" w:rsidRDefault="2798341D" w:rsidP="00740A47">
      <w:pPr>
        <w:pStyle w:val="Bullet1"/>
      </w:pPr>
      <w:bookmarkStart w:id="59" w:name="_Toc387406916"/>
      <w:bookmarkStart w:id="60" w:name="_Toc387406137"/>
      <w:bookmarkStart w:id="61" w:name="_Toc384390192"/>
      <w:bookmarkStart w:id="62" w:name="_Toc384302658"/>
      <w:bookmarkStart w:id="63" w:name="_Toc384302206"/>
      <w:bookmarkStart w:id="64" w:name="_Hlk9944461"/>
      <w:r w:rsidRPr="002153E2">
        <w:t>Executive Director, Area, DFFH (Chair</w:t>
      </w:r>
      <w:r w:rsidR="0078756D" w:rsidRPr="002153E2">
        <w:t>, and where un</w:t>
      </w:r>
      <w:r w:rsidR="007A5819" w:rsidRPr="002153E2">
        <w:t xml:space="preserve">available an executive </w:t>
      </w:r>
      <w:r w:rsidR="00812440">
        <w:t xml:space="preserve">level </w:t>
      </w:r>
      <w:r w:rsidR="007A5819" w:rsidRPr="002153E2">
        <w:t>proxy chair</w:t>
      </w:r>
      <w:r w:rsidRPr="002153E2">
        <w:t>)</w:t>
      </w:r>
    </w:p>
    <w:p w14:paraId="7C24FF60" w14:textId="77777777" w:rsidR="00417166" w:rsidRPr="004A7FA6" w:rsidRDefault="2798341D" w:rsidP="00740A47">
      <w:pPr>
        <w:pStyle w:val="Bullet1"/>
      </w:pPr>
      <w:bookmarkStart w:id="65" w:name="_Hlk31180236"/>
      <w:r>
        <w:t>Assistant Director Child Protection Operations / Operations Manager, Child Protection / Principal Practitioner, Child Protection, Area / Division, DFFH</w:t>
      </w:r>
    </w:p>
    <w:p w14:paraId="32660D0C" w14:textId="2DA9181D" w:rsidR="00417166" w:rsidRPr="004A7FA6" w:rsidRDefault="2798341D" w:rsidP="00740A47">
      <w:pPr>
        <w:pStyle w:val="Bullet1"/>
      </w:pPr>
      <w:r>
        <w:t xml:space="preserve">Manager, Complex Needs, Disability </w:t>
      </w:r>
      <w:r w:rsidR="00BF77F0">
        <w:t>S</w:t>
      </w:r>
      <w:r w:rsidR="008C10C6">
        <w:t>ervices Policy</w:t>
      </w:r>
      <w:r>
        <w:t xml:space="preserve"> Branch, Disability</w:t>
      </w:r>
      <w:r w:rsidR="00F25A56">
        <w:t xml:space="preserve">, Communities and </w:t>
      </w:r>
      <w:r w:rsidR="00BF77F0">
        <w:t>Emergency Division</w:t>
      </w:r>
      <w:r>
        <w:t>, DFFH</w:t>
      </w:r>
    </w:p>
    <w:p w14:paraId="100F52EA" w14:textId="77777777" w:rsidR="00417166" w:rsidRPr="00745E4C" w:rsidRDefault="2798341D" w:rsidP="00740A47">
      <w:pPr>
        <w:pStyle w:val="Bullet1"/>
      </w:pPr>
      <w:r>
        <w:t>Manager, Client Support and Housing Services, Area, DFFH</w:t>
      </w:r>
    </w:p>
    <w:p w14:paraId="36EC8E69" w14:textId="55DF3366" w:rsidR="00417166" w:rsidRPr="00745E4C" w:rsidRDefault="2798341D" w:rsidP="00740A47">
      <w:pPr>
        <w:pStyle w:val="Bullet1"/>
      </w:pPr>
      <w:r>
        <w:t xml:space="preserve">Senior Advisor/Manager, </w:t>
      </w:r>
      <w:bookmarkStart w:id="66" w:name="_Hlk9254828"/>
      <w:r>
        <w:t xml:space="preserve">Population Health </w:t>
      </w:r>
      <w:r w:rsidR="006977E7">
        <w:t xml:space="preserve">and </w:t>
      </w:r>
      <w:r>
        <w:t xml:space="preserve">Community Wellbeing, Area, </w:t>
      </w:r>
      <w:bookmarkEnd w:id="66"/>
      <w:r w:rsidR="00E47319">
        <w:t>D</w:t>
      </w:r>
      <w:r>
        <w:t>H</w:t>
      </w:r>
    </w:p>
    <w:p w14:paraId="2C201CD9" w14:textId="7E9010DE" w:rsidR="00417166" w:rsidRPr="00745E4C" w:rsidRDefault="2798341D" w:rsidP="00740A47">
      <w:pPr>
        <w:pStyle w:val="Bullet1"/>
      </w:pPr>
      <w:bookmarkStart w:id="67" w:name="_Hlk9254859"/>
      <w:r>
        <w:t xml:space="preserve">Principal Disability Practice Adviser, Division, </w:t>
      </w:r>
      <w:bookmarkEnd w:id="67"/>
      <w:r>
        <w:t>DFFH</w:t>
      </w:r>
    </w:p>
    <w:bookmarkEnd w:id="65"/>
    <w:p w14:paraId="66FF8E57" w14:textId="77777777" w:rsidR="00417166" w:rsidRPr="00817292" w:rsidRDefault="2798341D" w:rsidP="00740A47">
      <w:pPr>
        <w:pStyle w:val="Bullet1"/>
      </w:pPr>
      <w:r>
        <w:t xml:space="preserve">Manager, </w:t>
      </w:r>
      <w:bookmarkStart w:id="68" w:name="_Hlk9254843"/>
      <w:r>
        <w:t xml:space="preserve">Agency Performance and System Support, Area, </w:t>
      </w:r>
      <w:bookmarkEnd w:id="68"/>
      <w:r>
        <w:t>DFFH</w:t>
      </w:r>
    </w:p>
    <w:p w14:paraId="750493D1" w14:textId="3A07E78F" w:rsidR="00417166" w:rsidRPr="00817292" w:rsidRDefault="2798341D" w:rsidP="00740A47">
      <w:pPr>
        <w:pStyle w:val="Bullet1"/>
      </w:pPr>
      <w:r>
        <w:t xml:space="preserve">Senior Advisor, Aboriginal Engagement, Area, DFFH </w:t>
      </w:r>
      <w:r w:rsidR="00C0763F">
        <w:t>and/</w:t>
      </w:r>
      <w:r>
        <w:t xml:space="preserve">or a local Aboriginal organisation </w:t>
      </w:r>
    </w:p>
    <w:p w14:paraId="4BA7AE90" w14:textId="696268FE" w:rsidR="00417166" w:rsidRDefault="2798341D" w:rsidP="00740A47">
      <w:pPr>
        <w:pStyle w:val="Bullet1"/>
      </w:pPr>
      <w:r>
        <w:t xml:space="preserve">senior staff from Department of Justice and Community Safety </w:t>
      </w:r>
      <w:r w:rsidR="00E47319">
        <w:t xml:space="preserve">/ </w:t>
      </w:r>
      <w:r>
        <w:t>other departments as required</w:t>
      </w:r>
    </w:p>
    <w:p w14:paraId="1A9698CD" w14:textId="2A5ECBCF" w:rsidR="00A916D8" w:rsidRPr="00817292" w:rsidRDefault="00A916D8" w:rsidP="00740A47">
      <w:pPr>
        <w:pStyle w:val="Bullet1"/>
      </w:pPr>
      <w:r>
        <w:t xml:space="preserve">representative </w:t>
      </w:r>
      <w:r w:rsidRPr="00EA0233">
        <w:t>from the Intensive Support Team, DFFH</w:t>
      </w:r>
    </w:p>
    <w:p w14:paraId="7AE0AB0B" w14:textId="6FCF26FF" w:rsidR="00417166" w:rsidRPr="009F2D0E" w:rsidRDefault="2798341D" w:rsidP="00740A47">
      <w:pPr>
        <w:pStyle w:val="Bullet1"/>
      </w:pPr>
      <w:r>
        <w:t>representation from Orange Door or other peak family violence service in the local area</w:t>
      </w:r>
    </w:p>
    <w:p w14:paraId="180EB1F2" w14:textId="38AF8610" w:rsidR="00417166" w:rsidRPr="00817292" w:rsidRDefault="2798341D" w:rsidP="00740A47">
      <w:pPr>
        <w:pStyle w:val="Bullet1"/>
      </w:pPr>
      <w:r>
        <w:t xml:space="preserve">representation from an appropriate </w:t>
      </w:r>
      <w:r w:rsidR="00E47319">
        <w:t xml:space="preserve">cultural </w:t>
      </w:r>
      <w:r>
        <w:t>service</w:t>
      </w:r>
      <w:r w:rsidR="00E47319">
        <w:t xml:space="preserve"> </w:t>
      </w:r>
      <w:r>
        <w:t>relevant to the local area</w:t>
      </w:r>
      <w:r w:rsidR="00E47319">
        <w:t xml:space="preserve">/client matters </w:t>
      </w:r>
    </w:p>
    <w:p w14:paraId="06CD4897" w14:textId="73483C05" w:rsidR="00417166" w:rsidRPr="00ED2492" w:rsidRDefault="2798341D" w:rsidP="00740A47">
      <w:pPr>
        <w:pStyle w:val="Bullet1"/>
      </w:pPr>
      <w:r>
        <w:t>Director/</w:t>
      </w:r>
      <w:r w:rsidR="006977E7">
        <w:t>s</w:t>
      </w:r>
      <w:r>
        <w:t xml:space="preserve">enior </w:t>
      </w:r>
      <w:r w:rsidR="006977E7">
        <w:t>m</w:t>
      </w:r>
      <w:r>
        <w:t xml:space="preserve">anager, </w:t>
      </w:r>
      <w:r w:rsidR="00435DA3">
        <w:t>a</w:t>
      </w:r>
      <w:r>
        <w:t xml:space="preserve">rea </w:t>
      </w:r>
      <w:r w:rsidR="00435DA3">
        <w:t>m</w:t>
      </w:r>
      <w:r>
        <w:t xml:space="preserve">ental </w:t>
      </w:r>
      <w:r w:rsidR="00435DA3">
        <w:t>h</w:t>
      </w:r>
      <w:r>
        <w:t xml:space="preserve">ealth </w:t>
      </w:r>
      <w:r w:rsidR="00435DA3">
        <w:t>s</w:t>
      </w:r>
      <w:r>
        <w:t>ervice</w:t>
      </w:r>
    </w:p>
    <w:p w14:paraId="0C667AC3" w14:textId="1847C30B" w:rsidR="00417166" w:rsidRPr="00ED2492" w:rsidRDefault="2798341D" w:rsidP="00740A47">
      <w:pPr>
        <w:pStyle w:val="Bullet1"/>
      </w:pPr>
      <w:r>
        <w:t>Director/</w:t>
      </w:r>
      <w:r w:rsidR="006977E7">
        <w:t>s</w:t>
      </w:r>
      <w:r>
        <w:t xml:space="preserve">enior </w:t>
      </w:r>
      <w:r w:rsidR="006977E7">
        <w:t>m</w:t>
      </w:r>
      <w:r>
        <w:t xml:space="preserve">anager, </w:t>
      </w:r>
      <w:r w:rsidR="00E47319">
        <w:t>d</w:t>
      </w:r>
      <w:r>
        <w:t>rug</w:t>
      </w:r>
      <w:r w:rsidR="00435DA3">
        <w:t>,</w:t>
      </w:r>
      <w:r>
        <w:t xml:space="preserve"> and </w:t>
      </w:r>
      <w:r w:rsidR="00E47319">
        <w:t>a</w:t>
      </w:r>
      <w:r>
        <w:t xml:space="preserve">lcohol </w:t>
      </w:r>
      <w:r w:rsidR="00E47319">
        <w:t>s</w:t>
      </w:r>
      <w:r>
        <w:t>ervice</w:t>
      </w:r>
    </w:p>
    <w:p w14:paraId="52803D44" w14:textId="75D1FAA0" w:rsidR="00417166" w:rsidRPr="001F7D56" w:rsidRDefault="2798341D" w:rsidP="00740A47">
      <w:pPr>
        <w:pStyle w:val="Bullet1"/>
      </w:pPr>
      <w:bookmarkStart w:id="69" w:name="_Hlk13744976"/>
      <w:r>
        <w:t>Director/</w:t>
      </w:r>
      <w:r w:rsidR="006977E7">
        <w:t>s</w:t>
      </w:r>
      <w:r>
        <w:t xml:space="preserve">enior </w:t>
      </w:r>
      <w:r w:rsidR="006977E7">
        <w:t>m</w:t>
      </w:r>
      <w:r>
        <w:t xml:space="preserve">anager, </w:t>
      </w:r>
      <w:r w:rsidR="00E47319">
        <w:t>youth and/or family service</w:t>
      </w:r>
      <w:bookmarkEnd w:id="69"/>
    </w:p>
    <w:p w14:paraId="1CBB3CE9" w14:textId="6EC0E595" w:rsidR="00417166" w:rsidRPr="00ED2492" w:rsidRDefault="2798341D" w:rsidP="00C940F0">
      <w:pPr>
        <w:pStyle w:val="lastbullett"/>
      </w:pPr>
      <w:r>
        <w:t>1 - 3 senior representatives of sector organisations (</w:t>
      </w:r>
      <w:r w:rsidR="00E47319">
        <w:t>e.g</w:t>
      </w:r>
      <w:r w:rsidR="00DA6B27">
        <w:t>.</w:t>
      </w:r>
      <w:r w:rsidR="0029554A">
        <w:t>:</w:t>
      </w:r>
      <w:r w:rsidR="00E47319">
        <w:t xml:space="preserve"> </w:t>
      </w:r>
      <w:r>
        <w:t>homelessness, community mental health, offender support, neuropsychology</w:t>
      </w:r>
      <w:r w:rsidR="006977E7">
        <w:t xml:space="preserve">, </w:t>
      </w:r>
      <w:r w:rsidR="008850E9">
        <w:t xml:space="preserve">and/or </w:t>
      </w:r>
      <w:r w:rsidR="00A46407">
        <w:t>culturally</w:t>
      </w:r>
      <w:r w:rsidR="006977E7">
        <w:t xml:space="preserve"> specific services/workers</w:t>
      </w:r>
      <w:r>
        <w:t>)</w:t>
      </w:r>
      <w:r w:rsidR="008850E9">
        <w:t>.</w:t>
      </w:r>
      <w:r>
        <w:t xml:space="preserve"> </w:t>
      </w:r>
    </w:p>
    <w:bookmarkEnd w:id="59"/>
    <w:bookmarkEnd w:id="60"/>
    <w:bookmarkEnd w:id="61"/>
    <w:bookmarkEnd w:id="62"/>
    <w:bookmarkEnd w:id="63"/>
    <w:bookmarkEnd w:id="64"/>
    <w:p w14:paraId="3B96B558" w14:textId="77777777" w:rsidR="004618B9" w:rsidRDefault="00417166" w:rsidP="007573A1">
      <w:pPr>
        <w:pStyle w:val="Body"/>
      </w:pPr>
      <w:r>
        <w:t>Panel members with lived</w:t>
      </w:r>
      <w:r w:rsidR="00113162">
        <w:t xml:space="preserve">/living </w:t>
      </w:r>
      <w:r>
        <w:t>experienced are encouraged.</w:t>
      </w:r>
    </w:p>
    <w:p w14:paraId="7B1994FD" w14:textId="6B514C94" w:rsidR="00E30D08" w:rsidRDefault="00E30D08" w:rsidP="000E7482">
      <w:pPr>
        <w:pStyle w:val="Heading3"/>
        <w:numPr>
          <w:ilvl w:val="2"/>
          <w:numId w:val="8"/>
        </w:numPr>
      </w:pPr>
      <w:r>
        <w:lastRenderedPageBreak/>
        <w:t xml:space="preserve">Panel member </w:t>
      </w:r>
      <w:r w:rsidR="00627AC5">
        <w:t xml:space="preserve">onboarding and ongoing </w:t>
      </w:r>
      <w:r>
        <w:t>support</w:t>
      </w:r>
    </w:p>
    <w:p w14:paraId="0585501F" w14:textId="5F4FD179" w:rsidR="00627AC5" w:rsidRPr="00E83ED4" w:rsidRDefault="00627AC5" w:rsidP="00627AC5">
      <w:pPr>
        <w:pStyle w:val="Body"/>
      </w:pPr>
      <w:r w:rsidRPr="00E83ED4">
        <w:t>The Complex Needs Coordinator</w:t>
      </w:r>
      <w:r w:rsidR="00C0763F" w:rsidRPr="00E83ED4">
        <w:t>, with the Client Services and Housing Support Manager</w:t>
      </w:r>
      <w:r w:rsidR="00636949" w:rsidRPr="00E83ED4">
        <w:t>,</w:t>
      </w:r>
      <w:r w:rsidRPr="00E83ED4">
        <w:t xml:space="preserve"> </w:t>
      </w:r>
      <w:r w:rsidR="00636949" w:rsidRPr="00E83ED4">
        <w:t xml:space="preserve">maintain </w:t>
      </w:r>
      <w:r w:rsidRPr="00E83ED4">
        <w:t>engag</w:t>
      </w:r>
      <w:r w:rsidR="00636949" w:rsidRPr="00E83ED4">
        <w:t xml:space="preserve">ement </w:t>
      </w:r>
      <w:r w:rsidRPr="00E83ED4">
        <w:t xml:space="preserve">with new and regular panel members to ensure they are supported with their role </w:t>
      </w:r>
      <w:r w:rsidR="00493802" w:rsidRPr="00E83ED4">
        <w:t>a</w:t>
      </w:r>
      <w:r w:rsidRPr="00E83ED4">
        <w:t>nd functions.</w:t>
      </w:r>
    </w:p>
    <w:p w14:paraId="61EC99D5" w14:textId="0E6D3607" w:rsidR="00C039DF" w:rsidRDefault="00C039DF" w:rsidP="00C039DF">
      <w:pPr>
        <w:pStyle w:val="Heading4"/>
      </w:pPr>
      <w:r>
        <w:t>Prior to panel member commencing</w:t>
      </w:r>
    </w:p>
    <w:p w14:paraId="0923E149" w14:textId="308A199D" w:rsidR="00CD20FA" w:rsidRPr="00E83ED4" w:rsidRDefault="00636949" w:rsidP="00CD20FA">
      <w:pPr>
        <w:pStyle w:val="Body"/>
      </w:pPr>
      <w:r w:rsidRPr="00E83ED4">
        <w:t xml:space="preserve">When panel members are first invited to </w:t>
      </w:r>
      <w:r w:rsidR="00463173">
        <w:t xml:space="preserve">consider joining </w:t>
      </w:r>
      <w:r w:rsidRPr="00E83ED4">
        <w:t xml:space="preserve">the </w:t>
      </w:r>
      <w:r w:rsidR="00463173">
        <w:t>panel</w:t>
      </w:r>
      <w:r w:rsidRPr="00E83ED4">
        <w:t xml:space="preserve">, they should be </w:t>
      </w:r>
      <w:r w:rsidR="00463173">
        <w:t>briefed on the</w:t>
      </w:r>
      <w:r w:rsidRPr="00E83ED4">
        <w:t xml:space="preserve"> </w:t>
      </w:r>
      <w:r w:rsidR="00D02679" w:rsidRPr="00E83ED4">
        <w:t xml:space="preserve">panel </w:t>
      </w:r>
      <w:r w:rsidR="00463173">
        <w:t>and member roles</w:t>
      </w:r>
      <w:r w:rsidR="00D02679" w:rsidRPr="00E83ED4">
        <w:t xml:space="preserve"> to assist their decision </w:t>
      </w:r>
      <w:r w:rsidR="00463173">
        <w:t xml:space="preserve">about </w:t>
      </w:r>
      <w:r w:rsidR="00D02679" w:rsidRPr="00E83ED4">
        <w:t xml:space="preserve">their capacity to meet panel requirements. </w:t>
      </w:r>
      <w:r w:rsidR="00CD20FA" w:rsidRPr="00E83ED4">
        <w:t xml:space="preserve">This may include a meeting to describe the panel purpose and functions. In some cases, senior staff and/or the chair may prefer to initiate </w:t>
      </w:r>
      <w:r w:rsidR="00463173">
        <w:t xml:space="preserve">and undertake </w:t>
      </w:r>
      <w:r w:rsidR="00CD20FA" w:rsidRPr="00E83ED4">
        <w:t>this engagement</w:t>
      </w:r>
      <w:r w:rsidR="00463173">
        <w:t>, and who will take this responsibility must be clarified locally to ensure it occurs</w:t>
      </w:r>
      <w:r w:rsidR="00F64B31">
        <w:t xml:space="preserve">. </w:t>
      </w:r>
    </w:p>
    <w:p w14:paraId="68B810C9" w14:textId="20761A87" w:rsidR="00C039DF" w:rsidRDefault="00F64B31" w:rsidP="00C039DF">
      <w:pPr>
        <w:pStyle w:val="Heading4"/>
      </w:pPr>
      <w:r>
        <w:t>For</w:t>
      </w:r>
      <w:r w:rsidR="00C039DF">
        <w:t xml:space="preserve"> commencement </w:t>
      </w:r>
    </w:p>
    <w:p w14:paraId="1922D187" w14:textId="33E4B9C9" w:rsidR="009A0219" w:rsidRPr="00E83ED4" w:rsidRDefault="009E7497" w:rsidP="00627AC5">
      <w:pPr>
        <w:pStyle w:val="Body"/>
      </w:pPr>
      <w:r w:rsidRPr="00E83ED4">
        <w:t xml:space="preserve">Complex Needs Coordinators </w:t>
      </w:r>
      <w:r w:rsidR="00093C13" w:rsidRPr="00E83ED4">
        <w:t xml:space="preserve">need to ensure that </w:t>
      </w:r>
      <w:r w:rsidR="00627AC5" w:rsidRPr="00E83ED4">
        <w:t xml:space="preserve">all panel members </w:t>
      </w:r>
      <w:r w:rsidR="00FB03AD" w:rsidRPr="00E83ED4">
        <w:t xml:space="preserve">have </w:t>
      </w:r>
      <w:r w:rsidR="00627AC5" w:rsidRPr="00E83ED4">
        <w:t>receive</w:t>
      </w:r>
      <w:r w:rsidR="00FB03AD" w:rsidRPr="00E83ED4">
        <w:t>d</w:t>
      </w:r>
      <w:r w:rsidR="00627AC5" w:rsidRPr="00E83ED4">
        <w:t xml:space="preserve"> </w:t>
      </w:r>
      <w:r w:rsidR="00FB03AD" w:rsidRPr="00E83ED4">
        <w:t>the</w:t>
      </w:r>
      <w:r w:rsidR="00627AC5" w:rsidRPr="00E83ED4">
        <w:t xml:space="preserve"> panel induction</w:t>
      </w:r>
      <w:r w:rsidR="00093C13" w:rsidRPr="00E83ED4">
        <w:t xml:space="preserve"> pack</w:t>
      </w:r>
      <w:r w:rsidR="00B14D63" w:rsidRPr="00E83ED4">
        <w:t xml:space="preserve"> </w:t>
      </w:r>
      <w:r w:rsidR="00FB03AD" w:rsidRPr="00E83ED4">
        <w:t xml:space="preserve">on their role commencement </w:t>
      </w:r>
      <w:r w:rsidR="00B14D63" w:rsidRPr="00E83ED4">
        <w:t xml:space="preserve">to support </w:t>
      </w:r>
      <w:r w:rsidR="00FB03AD" w:rsidRPr="00E83ED4">
        <w:t>them to perform effectively. The pack is</w:t>
      </w:r>
      <w:r w:rsidR="009A0219" w:rsidRPr="00E83ED4">
        <w:t>:</w:t>
      </w:r>
    </w:p>
    <w:p w14:paraId="0E1C178A" w14:textId="1BB107CB" w:rsidR="009A0219" w:rsidRPr="00E83ED4" w:rsidRDefault="00FB03AD" w:rsidP="00740A47">
      <w:pPr>
        <w:pStyle w:val="Bullet1"/>
      </w:pPr>
      <w:r w:rsidRPr="00E83ED4">
        <w:t>c</w:t>
      </w:r>
      <w:r w:rsidR="009A0219" w:rsidRPr="00E83ED4">
        <w:t>opy of the Service provision framework: complex needs</w:t>
      </w:r>
    </w:p>
    <w:p w14:paraId="22405AC1" w14:textId="3DCA1F35" w:rsidR="009A0219" w:rsidRPr="00E83ED4" w:rsidRDefault="009A0219" w:rsidP="00740A47">
      <w:pPr>
        <w:pStyle w:val="Bullet1"/>
      </w:pPr>
      <w:r w:rsidRPr="00E83ED4">
        <w:t>6a Complex Needs Panel information pack checklist</w:t>
      </w:r>
    </w:p>
    <w:p w14:paraId="19E67243" w14:textId="77777777" w:rsidR="009A0219" w:rsidRPr="00E83ED4" w:rsidRDefault="009A0219" w:rsidP="00740A47">
      <w:pPr>
        <w:pStyle w:val="Bullet1"/>
      </w:pPr>
      <w:r w:rsidRPr="00E83ED4">
        <w:t>6b Complex Needs Panel Manual</w:t>
      </w:r>
    </w:p>
    <w:p w14:paraId="38BA2724" w14:textId="77777777" w:rsidR="009A0219" w:rsidRPr="00E83ED4" w:rsidRDefault="009A0219" w:rsidP="00740A47">
      <w:pPr>
        <w:pStyle w:val="Bullet1"/>
      </w:pPr>
      <w:r w:rsidRPr="00E83ED4">
        <w:t>6c Complex Needs Panel Terms of Reference</w:t>
      </w:r>
    </w:p>
    <w:p w14:paraId="4E9B2DC2" w14:textId="72A41C33" w:rsidR="00F64B31" w:rsidRDefault="009A0219" w:rsidP="00C940F0">
      <w:pPr>
        <w:pStyle w:val="lastbullett"/>
      </w:pPr>
      <w:r w:rsidRPr="00E83ED4">
        <w:t>6d Complex Needs Panel member prompt sheet</w:t>
      </w:r>
      <w:r w:rsidR="00F64B31">
        <w:t>.</w:t>
      </w:r>
    </w:p>
    <w:p w14:paraId="0F3ED82F" w14:textId="77777777" w:rsidR="00F64B31" w:rsidRDefault="00F64B31" w:rsidP="00627AC5">
      <w:pPr>
        <w:pStyle w:val="Body"/>
      </w:pPr>
      <w:r w:rsidRPr="00E83ED4">
        <w:t xml:space="preserve">Any new panel members must be provided and return the </w:t>
      </w:r>
      <w:r>
        <w:t>(</w:t>
      </w:r>
      <w:r w:rsidRPr="00E83ED4">
        <w:t>6e</w:t>
      </w:r>
      <w:r>
        <w:t>)</w:t>
      </w:r>
      <w:r w:rsidRPr="00E83ED4">
        <w:t xml:space="preserve"> Complex Needs Panel Deed of Confidentiality (only non-VPS employees are required to sign this document) prior to panel commencement.</w:t>
      </w:r>
    </w:p>
    <w:p w14:paraId="60BC73C6" w14:textId="4F346F79" w:rsidR="00627AC5" w:rsidRPr="00E83ED4" w:rsidRDefault="002B079A" w:rsidP="00627AC5">
      <w:pPr>
        <w:pStyle w:val="Body"/>
      </w:pPr>
      <w:r>
        <w:t xml:space="preserve">The </w:t>
      </w:r>
      <w:r w:rsidRPr="00E83ED4">
        <w:t>Complex Needs Coordinator, with the Client Services and Housing Support Manager</w:t>
      </w:r>
      <w:r>
        <w:t xml:space="preserve"> </w:t>
      </w:r>
      <w:r w:rsidR="00627AC5" w:rsidRPr="00E83ED4">
        <w:t xml:space="preserve">should </w:t>
      </w:r>
      <w:r w:rsidR="00CB2B97">
        <w:t xml:space="preserve">also </w:t>
      </w:r>
      <w:r>
        <w:t xml:space="preserve">ensure there is </w:t>
      </w:r>
      <w:r w:rsidR="00627AC5" w:rsidRPr="00E83ED4">
        <w:t xml:space="preserve">a focused meeting </w:t>
      </w:r>
      <w:r>
        <w:t xml:space="preserve">with a single or group of new panel members </w:t>
      </w:r>
      <w:r w:rsidR="00627AC5" w:rsidRPr="00E83ED4">
        <w:t>to introduce the</w:t>
      </w:r>
      <w:r>
        <w:t xml:space="preserve"> panel pack</w:t>
      </w:r>
      <w:r w:rsidR="00ED49F2">
        <w:t>, including discussion on the</w:t>
      </w:r>
      <w:r w:rsidR="00627AC5" w:rsidRPr="00E83ED4">
        <w:t>:</w:t>
      </w:r>
    </w:p>
    <w:p w14:paraId="38B24A39" w14:textId="4746D4F1" w:rsidR="00627AC5" w:rsidRPr="00E83ED4" w:rsidRDefault="00627AC5" w:rsidP="00C940F0">
      <w:pPr>
        <w:pStyle w:val="Bullet1"/>
      </w:pPr>
      <w:r w:rsidRPr="00E83ED4">
        <w:t>complex needs service responses in scope of the Complex Needs Team</w:t>
      </w:r>
      <w:r w:rsidR="00ED49F2">
        <w:t xml:space="preserve"> and panel</w:t>
      </w:r>
    </w:p>
    <w:p w14:paraId="43C000BD" w14:textId="4FAAFB35" w:rsidR="00C039DF" w:rsidRDefault="00627AC5" w:rsidP="00C940F0">
      <w:pPr>
        <w:pStyle w:val="Bullet1"/>
      </w:pPr>
      <w:r w:rsidRPr="00E83ED4">
        <w:t>role and functions of panels and panel members</w:t>
      </w:r>
      <w:r w:rsidR="00ED49F2">
        <w:t xml:space="preserve">, including the </w:t>
      </w:r>
      <w:r w:rsidR="001C362B">
        <w:t>subject matter deliberations and brokerage request recommendations required</w:t>
      </w:r>
    </w:p>
    <w:p w14:paraId="006C371A" w14:textId="2D30AF05" w:rsidR="00C039DF" w:rsidRDefault="00C039DF" w:rsidP="00C940F0">
      <w:pPr>
        <w:pStyle w:val="lastbullett"/>
      </w:pPr>
      <w:r>
        <w:t>panel processes.</w:t>
      </w:r>
    </w:p>
    <w:p w14:paraId="0580C07A" w14:textId="776B9590" w:rsidR="00AC46B6" w:rsidRDefault="00AC46B6" w:rsidP="00AC46B6">
      <w:pPr>
        <w:pStyle w:val="Heading4"/>
      </w:pPr>
      <w:r>
        <w:t>Ongoing support</w:t>
      </w:r>
    </w:p>
    <w:p w14:paraId="3318333D" w14:textId="2CC7175D" w:rsidR="00AC46B6" w:rsidRDefault="00303D39" w:rsidP="00AC46B6">
      <w:pPr>
        <w:pStyle w:val="Body"/>
      </w:pPr>
      <w:r>
        <w:t>Complex Needs Coordinators ensure the panel pack</w:t>
      </w:r>
      <w:r w:rsidR="00BD7D0F">
        <w:t xml:space="preserve"> (the set of documents) are available as standing attachments to the agenda for the panel members. This can be in the form of a link on the agenda, actual attachments to the </w:t>
      </w:r>
      <w:r w:rsidR="007E7BAB">
        <w:t xml:space="preserve">agenda and/or meeting invitation, or as documents in the meeting </w:t>
      </w:r>
      <w:r w:rsidR="006C432A">
        <w:t>Teams chat as relevant.</w:t>
      </w:r>
    </w:p>
    <w:p w14:paraId="007D221E" w14:textId="1AEF41EC" w:rsidR="00042290" w:rsidRPr="00AC46B6" w:rsidRDefault="00042290" w:rsidP="00AC46B6">
      <w:pPr>
        <w:pStyle w:val="Body"/>
      </w:pPr>
      <w:r>
        <w:t xml:space="preserve">Should panel members request or appear to </w:t>
      </w:r>
      <w:r w:rsidR="00D76617">
        <w:t>need</w:t>
      </w:r>
      <w:r>
        <w:t xml:space="preserve"> support to perform their functions</w:t>
      </w:r>
      <w:r w:rsidR="00290872">
        <w:t xml:space="preserve">, any of the Complex Needs Coordinator, </w:t>
      </w:r>
      <w:r w:rsidR="00290872" w:rsidRPr="00E83ED4">
        <w:t>the Client Services and Housing Support Manager</w:t>
      </w:r>
      <w:r w:rsidR="00A740BA">
        <w:t xml:space="preserve">, and/or the </w:t>
      </w:r>
      <w:r w:rsidR="008B09B7">
        <w:t>A</w:t>
      </w:r>
      <w:r w:rsidR="00A740BA">
        <w:t>rea Executive Director</w:t>
      </w:r>
      <w:r w:rsidR="00472EB5">
        <w:t xml:space="preserve"> can provide additional information </w:t>
      </w:r>
      <w:r w:rsidR="008B09B7">
        <w:t>and direction as is needed</w:t>
      </w:r>
      <w:r w:rsidR="00D76617">
        <w:t xml:space="preserve">. Who will take on this responsibility must be clarified locally to ensure it occurs. </w:t>
      </w:r>
    </w:p>
    <w:p w14:paraId="41EDFEA9" w14:textId="587FF9B5" w:rsidR="00417166" w:rsidRPr="00210FB9" w:rsidRDefault="00F64B31" w:rsidP="000E7482">
      <w:pPr>
        <w:pStyle w:val="Heading3"/>
        <w:numPr>
          <w:ilvl w:val="2"/>
          <w:numId w:val="8"/>
        </w:numPr>
      </w:pPr>
      <w:r>
        <w:t>Panel m</w:t>
      </w:r>
      <w:r w:rsidR="00417166" w:rsidRPr="00210FB9">
        <w:t>eeting procedures</w:t>
      </w:r>
      <w:r w:rsidR="00417166">
        <w:t>, quorum</w:t>
      </w:r>
      <w:r w:rsidR="000061D7">
        <w:t>,</w:t>
      </w:r>
      <w:r w:rsidR="00417166">
        <w:t xml:space="preserve"> and accountability</w:t>
      </w:r>
      <w:r w:rsidR="00417166" w:rsidRPr="00210FB9">
        <w:t xml:space="preserve"> </w:t>
      </w:r>
    </w:p>
    <w:p w14:paraId="624F794D" w14:textId="71E2C60D" w:rsidR="00417166" w:rsidRPr="00684DC5" w:rsidRDefault="00417166" w:rsidP="007573A1">
      <w:pPr>
        <w:pStyle w:val="Body"/>
      </w:pPr>
      <w:r w:rsidRPr="00684DC5">
        <w:t xml:space="preserve">Each panel has established </w:t>
      </w:r>
      <w:r w:rsidR="002F01EF">
        <w:t xml:space="preserve">local </w:t>
      </w:r>
      <w:r w:rsidRPr="00684DC5">
        <w:t>terms of reference which detail the</w:t>
      </w:r>
      <w:r w:rsidR="00113162">
        <w:t>ir</w:t>
      </w:r>
      <w:r w:rsidRPr="00684DC5">
        <w:t xml:space="preserve"> operation</w:t>
      </w:r>
      <w:r w:rsidR="00113162">
        <w:t>,</w:t>
      </w:r>
      <w:r w:rsidRPr="00684DC5">
        <w:t xml:space="preserve"> including dispute resolution, quorum, accountability</w:t>
      </w:r>
      <w:r w:rsidR="000061D7">
        <w:t>,</w:t>
      </w:r>
      <w:r w:rsidRPr="00684DC5">
        <w:t xml:space="preserve"> and reporting procedures. </w:t>
      </w:r>
    </w:p>
    <w:p w14:paraId="69CA75DE" w14:textId="77777777" w:rsidR="002F01EF" w:rsidRDefault="00417166" w:rsidP="007573A1">
      <w:pPr>
        <w:pStyle w:val="Body"/>
      </w:pPr>
      <w:r w:rsidRPr="00171FA4">
        <w:lastRenderedPageBreak/>
        <w:t xml:space="preserve">On quorum, it is anticipated that the quorum determination will </w:t>
      </w:r>
      <w:r w:rsidR="00141D42">
        <w:t>be</w:t>
      </w:r>
      <w:r w:rsidRPr="00171FA4">
        <w:t xml:space="preserve"> </w:t>
      </w:r>
      <w:r w:rsidR="00141D42">
        <w:t>eight</w:t>
      </w:r>
      <w:r>
        <w:t xml:space="preserve"> panel members, </w:t>
      </w:r>
      <w:r w:rsidR="002F01EF">
        <w:t xml:space="preserve">irrespective </w:t>
      </w:r>
      <w:r>
        <w:t xml:space="preserve">of whether internal or external </w:t>
      </w:r>
      <w:r w:rsidR="002F01EF">
        <w:t>members</w:t>
      </w:r>
      <w:r>
        <w:t>.</w:t>
      </w:r>
      <w:r w:rsidRPr="00171FA4">
        <w:t xml:space="preserve"> </w:t>
      </w:r>
    </w:p>
    <w:p w14:paraId="1DED6BFF" w14:textId="4982EE97" w:rsidR="00417166" w:rsidRPr="00171FA4" w:rsidRDefault="00963420" w:rsidP="007573A1">
      <w:pPr>
        <w:pStyle w:val="Body"/>
      </w:pPr>
      <w:r>
        <w:t xml:space="preserve">Panel members will </w:t>
      </w:r>
      <w:r w:rsidR="002F01EF">
        <w:t xml:space="preserve">prior </w:t>
      </w:r>
      <w:r>
        <w:t xml:space="preserve">receive an agenda </w:t>
      </w:r>
      <w:r w:rsidR="00DF05BE">
        <w:t xml:space="preserve">with associated client related papers and panel member </w:t>
      </w:r>
      <w:r w:rsidR="000A13D3">
        <w:t xml:space="preserve">guiding documents. </w:t>
      </w:r>
      <w:r>
        <w:t xml:space="preserve"> </w:t>
      </w:r>
    </w:p>
    <w:p w14:paraId="0B2CE9E3" w14:textId="77777777" w:rsidR="005D272B" w:rsidRDefault="00417166" w:rsidP="007573A1">
      <w:pPr>
        <w:pStyle w:val="Body"/>
      </w:pPr>
      <w:r>
        <w:t>P</w:t>
      </w:r>
      <w:r w:rsidRPr="00171FA4">
        <w:t xml:space="preserve">anels </w:t>
      </w:r>
      <w:r w:rsidR="005D272B">
        <w:t xml:space="preserve">meetings are </w:t>
      </w:r>
      <w:r w:rsidRPr="00171FA4">
        <w:t>record</w:t>
      </w:r>
      <w:r w:rsidR="005D272B">
        <w:t xml:space="preserve">ed in minutes, including </w:t>
      </w:r>
      <w:r w:rsidRPr="00171FA4">
        <w:t>client-related decisions and actions</w:t>
      </w:r>
      <w:r w:rsidR="005D272B">
        <w:t xml:space="preserve"> and </w:t>
      </w:r>
      <w:r w:rsidRPr="00171FA4">
        <w:t xml:space="preserve">the allocation of brokerage. </w:t>
      </w:r>
    </w:p>
    <w:p w14:paraId="66A70FD6" w14:textId="0A2F4C2A" w:rsidR="002F2FD5" w:rsidRPr="00745E4C" w:rsidRDefault="00417166" w:rsidP="002F2FD5">
      <w:pPr>
        <w:pStyle w:val="Body"/>
      </w:pPr>
      <w:r w:rsidRPr="00171FA4">
        <w:t xml:space="preserve">The </w:t>
      </w:r>
      <w:r>
        <w:t>Complex Needs Coordinator</w:t>
      </w:r>
      <w:r w:rsidRPr="00171FA4">
        <w:t xml:space="preserve"> reports to the panel </w:t>
      </w:r>
      <w:r w:rsidR="005D272B">
        <w:t>on</w:t>
      </w:r>
      <w:r w:rsidRPr="00171FA4">
        <w:t xml:space="preserve"> client activity and brokerage budget updates</w:t>
      </w:r>
      <w:r w:rsidR="00006AD0">
        <w:t xml:space="preserve">, including the tabling of </w:t>
      </w:r>
      <w:r w:rsidR="002F2FD5">
        <w:t>7d brokerage Notification Form</w:t>
      </w:r>
      <w:r w:rsidR="00006AD0">
        <w:t xml:space="preserve"> and the Monthly Snapshot Report provided to the division from the Central Complex Needs Team.</w:t>
      </w:r>
    </w:p>
    <w:p w14:paraId="295ABC33" w14:textId="321778CF" w:rsidR="00417166" w:rsidRDefault="00417166" w:rsidP="002F2FD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274"/>
      </w:tblGrid>
      <w:tr w:rsidR="00417166" w14:paraId="353EB618" w14:textId="77777777" w:rsidTr="2099BB7D">
        <w:trPr>
          <w:trHeight w:val="300"/>
        </w:trPr>
        <w:tc>
          <w:tcPr>
            <w:tcW w:w="0" w:type="auto"/>
            <w:shd w:val="clear" w:color="auto" w:fill="CCE9F8"/>
            <w:vAlign w:val="center"/>
          </w:tcPr>
          <w:p w14:paraId="18F2AB93" w14:textId="77777777" w:rsidR="00417166" w:rsidRDefault="00417166">
            <w:pPr>
              <w:pStyle w:val="Body"/>
            </w:pPr>
            <w:r>
              <w:rPr>
                <w:noProof/>
              </w:rPr>
              <w:drawing>
                <wp:inline distT="0" distB="0" distL="0" distR="0" wp14:anchorId="5C4E4213" wp14:editId="519F3F05">
                  <wp:extent cx="540000" cy="540000"/>
                  <wp:effectExtent l="0" t="0" r="0" b="0"/>
                  <wp:docPr id="114"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30ACDEF9" w14:textId="77777777" w:rsidR="00417166" w:rsidRDefault="00417166">
            <w:pPr>
              <w:pStyle w:val="Tablecolhead"/>
              <w:rPr>
                <w:rFonts w:eastAsia="Arial"/>
              </w:rPr>
            </w:pPr>
            <w:r>
              <w:rPr>
                <w:rFonts w:eastAsia="Arial"/>
              </w:rPr>
              <w:t>Documentation required</w:t>
            </w:r>
          </w:p>
          <w:p w14:paraId="72F2D59D" w14:textId="0A992207" w:rsidR="00417166" w:rsidRPr="00D0604B" w:rsidRDefault="00417166" w:rsidP="00D0604B">
            <w:pPr>
              <w:pStyle w:val="Body"/>
              <w:rPr>
                <w:b/>
                <w:bCs/>
              </w:rPr>
            </w:pPr>
            <w:r w:rsidRPr="00D0604B">
              <w:rPr>
                <w:b/>
                <w:bCs/>
              </w:rPr>
              <w:t>Standing documents</w:t>
            </w:r>
            <w:r w:rsidR="00864C8D" w:rsidRPr="00D0604B">
              <w:rPr>
                <w:b/>
                <w:bCs/>
              </w:rPr>
              <w:t xml:space="preserve"> </w:t>
            </w:r>
          </w:p>
          <w:p w14:paraId="257EC6E3" w14:textId="57DDC7C2" w:rsidR="005640ED" w:rsidRDefault="00303D39" w:rsidP="00740A47">
            <w:pPr>
              <w:pStyle w:val="Bullet1"/>
            </w:pPr>
            <w:r>
              <w:t>a</w:t>
            </w:r>
            <w:r w:rsidR="005640ED">
              <w:t xml:space="preserve">ttach or link to </w:t>
            </w:r>
            <w:r w:rsidR="005640ED" w:rsidRPr="00E83ED4">
              <w:t xml:space="preserve">the </w:t>
            </w:r>
            <w:r w:rsidR="005640ED" w:rsidRPr="00CB21BD">
              <w:rPr>
                <w:i/>
                <w:iCs/>
              </w:rPr>
              <w:t>Service provision framework: complex needs</w:t>
            </w:r>
          </w:p>
          <w:p w14:paraId="68F9DC19" w14:textId="14169564" w:rsidR="00417166" w:rsidRDefault="00B17E47" w:rsidP="00740A47">
            <w:pPr>
              <w:pStyle w:val="Bullet1"/>
            </w:pPr>
            <w:r>
              <w:t xml:space="preserve">6a </w:t>
            </w:r>
            <w:r w:rsidR="2798341D">
              <w:t xml:space="preserve">Complex Needs Panel </w:t>
            </w:r>
            <w:r w:rsidR="00CB21BD">
              <w:t>Information Pack Checklist</w:t>
            </w:r>
          </w:p>
          <w:p w14:paraId="547D92DB" w14:textId="4E08B1FF" w:rsidR="00417166" w:rsidRDefault="00352CC7" w:rsidP="00740A47">
            <w:pPr>
              <w:pStyle w:val="Bullet1"/>
            </w:pPr>
            <w:r>
              <w:t xml:space="preserve">6b </w:t>
            </w:r>
            <w:r w:rsidR="2798341D">
              <w:t xml:space="preserve">Complex Needs Panel </w:t>
            </w:r>
            <w:r w:rsidR="00EA02E5">
              <w:t>M</w:t>
            </w:r>
            <w:r w:rsidR="2798341D">
              <w:t>anual</w:t>
            </w:r>
          </w:p>
          <w:p w14:paraId="7077CB59" w14:textId="449902D1" w:rsidR="00417166" w:rsidRDefault="00352CC7" w:rsidP="00740A47">
            <w:pPr>
              <w:pStyle w:val="Bullet1"/>
            </w:pPr>
            <w:r>
              <w:t xml:space="preserve">6c </w:t>
            </w:r>
            <w:r w:rsidR="2798341D">
              <w:t>Complex Needs Panel Terms of Reference</w:t>
            </w:r>
          </w:p>
          <w:p w14:paraId="3EC115D6" w14:textId="2E40A862" w:rsidR="00417166" w:rsidRDefault="00352CC7" w:rsidP="00740A47">
            <w:pPr>
              <w:pStyle w:val="Bullet1"/>
            </w:pPr>
            <w:r>
              <w:t>6d</w:t>
            </w:r>
            <w:r w:rsidR="00B23FDE">
              <w:t xml:space="preserve"> </w:t>
            </w:r>
            <w:r w:rsidR="2798341D">
              <w:t xml:space="preserve">Complex Needs Panel </w:t>
            </w:r>
            <w:r w:rsidR="00CB21BD">
              <w:t>Member Prompt Sheet</w:t>
            </w:r>
          </w:p>
          <w:p w14:paraId="1FA821E0" w14:textId="77777777" w:rsidR="00417166" w:rsidRPr="00D0604B" w:rsidRDefault="00417166" w:rsidP="00D0604B">
            <w:pPr>
              <w:pStyle w:val="Body"/>
              <w:rPr>
                <w:b/>
                <w:bCs/>
              </w:rPr>
            </w:pPr>
            <w:r w:rsidRPr="00D0604B">
              <w:rPr>
                <w:b/>
                <w:bCs/>
              </w:rPr>
              <w:t>Before each panel</w:t>
            </w:r>
          </w:p>
          <w:p w14:paraId="102859FB" w14:textId="79B8AEAC" w:rsidR="00417166" w:rsidRPr="00745E4C" w:rsidRDefault="00352CC7" w:rsidP="00740A47">
            <w:pPr>
              <w:pStyle w:val="Bullet1"/>
            </w:pPr>
            <w:r>
              <w:t xml:space="preserve">6f </w:t>
            </w:r>
            <w:r w:rsidR="2798341D">
              <w:t xml:space="preserve">Complex Needs Panel </w:t>
            </w:r>
            <w:r w:rsidR="0057746F">
              <w:t>A</w:t>
            </w:r>
            <w:r w:rsidR="2798341D">
              <w:t>genda</w:t>
            </w:r>
            <w:r w:rsidR="0057746F">
              <w:t xml:space="preserve"> </w:t>
            </w:r>
          </w:p>
          <w:p w14:paraId="3B0061F5" w14:textId="6A8EE3C7" w:rsidR="00963420" w:rsidRPr="00A95CF4" w:rsidRDefault="00963420" w:rsidP="00740A47">
            <w:pPr>
              <w:pStyle w:val="Bullet1"/>
            </w:pPr>
            <w:r>
              <w:t xml:space="preserve">Monthly Snapshot Report </w:t>
            </w:r>
            <w:r w:rsidR="00CB21BD">
              <w:t>(</w:t>
            </w:r>
            <w:r>
              <w:t>for the division</w:t>
            </w:r>
            <w:r w:rsidR="00CB21BD">
              <w:t>)</w:t>
            </w:r>
            <w:r>
              <w:t xml:space="preserve"> </w:t>
            </w:r>
          </w:p>
          <w:p w14:paraId="7710B039" w14:textId="52359C23" w:rsidR="00417166" w:rsidRPr="00745E4C" w:rsidRDefault="00352CC7" w:rsidP="00740A47">
            <w:pPr>
              <w:pStyle w:val="Bullet1"/>
            </w:pPr>
            <w:r>
              <w:t>7</w:t>
            </w:r>
            <w:r w:rsidR="007E4527">
              <w:t>d</w:t>
            </w:r>
            <w:r>
              <w:t xml:space="preserve"> </w:t>
            </w:r>
            <w:r w:rsidR="2798341D">
              <w:t xml:space="preserve">brokerage </w:t>
            </w:r>
            <w:r w:rsidR="000174D4">
              <w:t>N</w:t>
            </w:r>
            <w:r w:rsidR="2798341D">
              <w:t xml:space="preserve">otification </w:t>
            </w:r>
            <w:r w:rsidR="0057746F">
              <w:t>Form</w:t>
            </w:r>
          </w:p>
          <w:p w14:paraId="564563D5" w14:textId="24362C94" w:rsidR="00417166" w:rsidRPr="00745E4C" w:rsidRDefault="2798341D" w:rsidP="00740A47">
            <w:pPr>
              <w:pStyle w:val="Bullet1"/>
            </w:pPr>
            <w:r>
              <w:t xml:space="preserve">supporting brokerage documentation </w:t>
            </w:r>
            <w:r w:rsidR="00CB21BD">
              <w:t>(</w:t>
            </w:r>
            <w:r>
              <w:t>e.g., quotes, brokerage requests</w:t>
            </w:r>
            <w:r w:rsidR="00CB21BD">
              <w:t>)</w:t>
            </w:r>
            <w:r>
              <w:t>.</w:t>
            </w:r>
          </w:p>
          <w:p w14:paraId="3F13B639" w14:textId="77777777" w:rsidR="00417166" w:rsidRPr="00D0604B" w:rsidRDefault="00417166" w:rsidP="00D0604B">
            <w:pPr>
              <w:pStyle w:val="Body"/>
              <w:rPr>
                <w:b/>
                <w:bCs/>
              </w:rPr>
            </w:pPr>
            <w:r w:rsidRPr="00D0604B">
              <w:rPr>
                <w:b/>
                <w:bCs/>
              </w:rPr>
              <w:t>Following each panel</w:t>
            </w:r>
          </w:p>
          <w:p w14:paraId="72428C5C" w14:textId="6E9DA69F" w:rsidR="00417166" w:rsidRDefault="007E4527" w:rsidP="00740A47">
            <w:pPr>
              <w:pStyle w:val="Bullet1"/>
            </w:pPr>
            <w:r>
              <w:t xml:space="preserve">6g </w:t>
            </w:r>
            <w:r w:rsidR="2798341D">
              <w:t xml:space="preserve">Complex Needs Panel </w:t>
            </w:r>
            <w:r w:rsidR="00A304FC">
              <w:t>M</w:t>
            </w:r>
            <w:r w:rsidR="2798341D">
              <w:t>inutes</w:t>
            </w:r>
          </w:p>
          <w:p w14:paraId="7E0F9596" w14:textId="568DFDA7" w:rsidR="00417166" w:rsidRDefault="007E4527" w:rsidP="00740A47">
            <w:pPr>
              <w:pStyle w:val="Bullet1"/>
            </w:pPr>
            <w:r>
              <w:t xml:space="preserve">6h </w:t>
            </w:r>
            <w:r w:rsidR="2798341D">
              <w:t xml:space="preserve">Complex Needs Panel </w:t>
            </w:r>
            <w:r w:rsidR="007631B1">
              <w:t>Session Report</w:t>
            </w:r>
          </w:p>
          <w:p w14:paraId="36EA988C" w14:textId="174EFAD6" w:rsidR="00417166" w:rsidRDefault="2798341D" w:rsidP="00740A47">
            <w:pPr>
              <w:pStyle w:val="Bullet1"/>
            </w:pPr>
            <w:r>
              <w:t>brokerage documentation</w:t>
            </w:r>
            <w:r w:rsidR="006F2A36">
              <w:t xml:space="preserve"> (</w:t>
            </w:r>
            <w:r w:rsidR="007631B1">
              <w:t>e.g.</w:t>
            </w:r>
            <w:r w:rsidR="00B34420">
              <w:t xml:space="preserve">: </w:t>
            </w:r>
            <w:r w:rsidR="007631B1">
              <w:t>Brokerage Agreement</w:t>
            </w:r>
            <w:r w:rsidR="006F2A36">
              <w:t xml:space="preserve">, </w:t>
            </w:r>
            <w:r w:rsidR="00AA5419">
              <w:t>SAMS variation)</w:t>
            </w:r>
          </w:p>
          <w:p w14:paraId="60EB12D7" w14:textId="64C43ABD" w:rsidR="00417166" w:rsidRPr="00B83D2D" w:rsidRDefault="2798341D" w:rsidP="00740A47">
            <w:pPr>
              <w:pStyle w:val="Bullet1"/>
            </w:pPr>
            <w:r>
              <w:t xml:space="preserve">memorandums </w:t>
            </w:r>
            <w:r w:rsidR="009137E6">
              <w:t xml:space="preserve">for Formal MACNI clients </w:t>
            </w:r>
            <w:r w:rsidR="00CB21BD">
              <w:t>(if</w:t>
            </w:r>
            <w:r>
              <w:t xml:space="preserve"> required</w:t>
            </w:r>
            <w:r w:rsidR="009137E6">
              <w:t xml:space="preserve"> by the </w:t>
            </w:r>
            <w:r w:rsidR="00CB21BD">
              <w:t>a</w:t>
            </w:r>
            <w:r w:rsidR="009137E6">
              <w:t>rea</w:t>
            </w:r>
            <w:r w:rsidR="00CB21BD">
              <w:t>)</w:t>
            </w:r>
            <w:r>
              <w:t>.</w:t>
            </w:r>
          </w:p>
        </w:tc>
      </w:tr>
    </w:tbl>
    <w:p w14:paraId="41DC9774" w14:textId="77777777" w:rsidR="00417166"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2234A123" w14:textId="77777777" w:rsidTr="4A0301FD">
        <w:tc>
          <w:tcPr>
            <w:tcW w:w="0" w:type="auto"/>
            <w:shd w:val="clear" w:color="auto" w:fill="99D3F0"/>
            <w:vAlign w:val="center"/>
          </w:tcPr>
          <w:p w14:paraId="46AB03B9" w14:textId="77777777" w:rsidR="00417166" w:rsidRDefault="00417166">
            <w:pPr>
              <w:pStyle w:val="Body"/>
            </w:pPr>
            <w:r>
              <w:rPr>
                <w:noProof/>
              </w:rPr>
              <w:drawing>
                <wp:inline distT="0" distB="0" distL="0" distR="0" wp14:anchorId="44940E41" wp14:editId="65418E7D">
                  <wp:extent cx="540000" cy="540000"/>
                  <wp:effectExtent l="0" t="0" r="0" b="0"/>
                  <wp:docPr id="115" name="Picture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9BAAE18" w14:textId="77777777" w:rsidR="00417166" w:rsidRDefault="00417166">
            <w:pPr>
              <w:pStyle w:val="Tablecolhead"/>
            </w:pPr>
            <w:r>
              <w:t>Coordinator tasks</w:t>
            </w:r>
          </w:p>
          <w:p w14:paraId="71403150" w14:textId="10F7D474" w:rsidR="00DF55A3" w:rsidRPr="00DF55A3" w:rsidRDefault="00DF55A3" w:rsidP="00740A47">
            <w:pPr>
              <w:pStyle w:val="Bullet1"/>
            </w:pPr>
            <w:r w:rsidRPr="00DF55A3">
              <w:t>facilitate</w:t>
            </w:r>
            <w:r w:rsidR="007F2626">
              <w:t xml:space="preserve"> </w:t>
            </w:r>
            <w:r w:rsidRPr="00DF55A3">
              <w:t>Complex Needs Panel induction session</w:t>
            </w:r>
            <w:r w:rsidR="007F2626">
              <w:t>s</w:t>
            </w:r>
            <w:r w:rsidRPr="00DF55A3">
              <w:t xml:space="preserve"> </w:t>
            </w:r>
            <w:r w:rsidR="007F2626">
              <w:t xml:space="preserve">for panel members </w:t>
            </w:r>
            <w:r w:rsidRPr="00DF55A3">
              <w:t xml:space="preserve">(may be supported by </w:t>
            </w:r>
            <w:r w:rsidR="005640ED">
              <w:t xml:space="preserve">CSHSM and/or </w:t>
            </w:r>
            <w:r w:rsidRPr="00DF55A3">
              <w:t>Area Executive Director)</w:t>
            </w:r>
          </w:p>
          <w:p w14:paraId="79B5990B" w14:textId="1711D8AB" w:rsidR="00417166" w:rsidRPr="00DF55A3" w:rsidRDefault="00DF55A3" w:rsidP="00740A47">
            <w:pPr>
              <w:pStyle w:val="Bullet1"/>
            </w:pPr>
            <w:r>
              <w:t>circulate</w:t>
            </w:r>
            <w:r w:rsidR="2798341D" w:rsidRPr="00DF55A3">
              <w:t xml:space="preserve"> all panel documentation (including client documentation) to panel members </w:t>
            </w:r>
            <w:r w:rsidR="2798341D" w:rsidRPr="005640ED">
              <w:t>securely.</w:t>
            </w:r>
            <w:r w:rsidR="2798341D" w:rsidRPr="00DF55A3">
              <w:t xml:space="preserve"> This includes </w:t>
            </w:r>
            <w:r w:rsidR="005640ED">
              <w:t>use of</w:t>
            </w:r>
            <w:r w:rsidR="2798341D" w:rsidRPr="00DF55A3">
              <w:t xml:space="preserve"> protective markings, password protected documents (password sent separately) and ensuring emails are marked PROTECTED to prevent forwarding/copying. </w:t>
            </w:r>
          </w:p>
          <w:p w14:paraId="3623C51C" w14:textId="25E9C833" w:rsidR="00475FC0" w:rsidRPr="00DF55A3" w:rsidRDefault="00836EF3" w:rsidP="00740A47">
            <w:pPr>
              <w:pStyle w:val="Bullet1"/>
            </w:pPr>
            <w:r w:rsidRPr="00DF55A3">
              <w:t>r</w:t>
            </w:r>
            <w:r w:rsidR="00E1208A" w:rsidRPr="00DF55A3">
              <w:t>eview panel documentation (</w:t>
            </w:r>
            <w:r w:rsidR="008F69A8" w:rsidRPr="00DF55A3">
              <w:t>i.e</w:t>
            </w:r>
            <w:r w:rsidR="00DA6B27">
              <w:t>.</w:t>
            </w:r>
            <w:r w:rsidR="006B0AC7">
              <w:t>:</w:t>
            </w:r>
            <w:r w:rsidR="006B10ED" w:rsidRPr="00DF55A3">
              <w:t xml:space="preserve"> </w:t>
            </w:r>
            <w:r w:rsidR="008402E2">
              <w:t>t</w:t>
            </w:r>
            <w:r w:rsidR="006B10ED" w:rsidRPr="00DF55A3">
              <w:t xml:space="preserve">erms of </w:t>
            </w:r>
            <w:r w:rsidR="008402E2">
              <w:t>r</w:t>
            </w:r>
            <w:r w:rsidR="006B10ED" w:rsidRPr="00DF55A3">
              <w:t xml:space="preserve">eference and </w:t>
            </w:r>
            <w:r w:rsidR="008402E2">
              <w:t>m</w:t>
            </w:r>
            <w:r w:rsidR="006B10ED" w:rsidRPr="00DF55A3">
              <w:t>anual) annually or on change of membership</w:t>
            </w:r>
            <w:r w:rsidR="00AB3F7B" w:rsidRPr="00DF55A3">
              <w:t>.</w:t>
            </w:r>
          </w:p>
          <w:p w14:paraId="767B4A63" w14:textId="66DB4409" w:rsidR="0049721E" w:rsidRPr="0049721E" w:rsidRDefault="00836EF3" w:rsidP="004669CA">
            <w:pPr>
              <w:pStyle w:val="Bullet1"/>
            </w:pPr>
            <w:r w:rsidRPr="00DF55A3">
              <w:t>r</w:t>
            </w:r>
            <w:r w:rsidR="2798341D" w:rsidRPr="00DF55A3">
              <w:t xml:space="preserve">efer to </w:t>
            </w:r>
            <w:hyperlink r:id="rId46" w:history="1">
              <w:r w:rsidR="2798341D" w:rsidRPr="00AF7EA4">
                <w:rPr>
                  <w:rStyle w:val="Hyperlink"/>
                </w:rPr>
                <w:t>Help on protective markings</w:t>
              </w:r>
              <w:r w:rsidR="008402E2" w:rsidRPr="00AF7EA4">
                <w:rPr>
                  <w:rStyle w:val="Hyperlink"/>
                </w:rPr>
                <w:t xml:space="preserve">  </w:t>
              </w:r>
            </w:hyperlink>
            <w:r w:rsidR="008402E2" w:rsidRPr="0049721E">
              <w:rPr>
                <w:rStyle w:val="BodyChar"/>
              </w:rPr>
              <w:t xml:space="preserve"> </w:t>
            </w:r>
            <w:r w:rsidR="0049721E">
              <w:rPr>
                <w:rStyle w:val="Hyperlink"/>
              </w:rPr>
              <w:t>&lt;</w:t>
            </w:r>
            <w:r w:rsidR="0049721E" w:rsidRPr="0049721E">
              <w:t>https://dhhsvicgovau.sharepoint.com/sites/dffh/SitePages/Protective-markings.aspx</w:t>
            </w:r>
            <w:r w:rsidR="0049721E">
              <w:t>&gt;</w:t>
            </w:r>
          </w:p>
          <w:p w14:paraId="65A8D8DB" w14:textId="781270B8" w:rsidR="00417166" w:rsidRDefault="00417166" w:rsidP="004669CA">
            <w:pPr>
              <w:pStyle w:val="Heading5"/>
            </w:pPr>
            <w:r w:rsidRPr="00D45CCE">
              <w:lastRenderedPageBreak/>
              <w:t>Annual tasks</w:t>
            </w:r>
          </w:p>
          <w:p w14:paraId="1994444B" w14:textId="7C2D562A" w:rsidR="00417166" w:rsidRDefault="2798341D" w:rsidP="00740A47">
            <w:pPr>
              <w:pStyle w:val="Bullet1"/>
            </w:pPr>
            <w:r>
              <w:t xml:space="preserve">renew </w:t>
            </w:r>
            <w:r w:rsidR="00C43C58">
              <w:t xml:space="preserve">all </w:t>
            </w:r>
            <w:r>
              <w:t>panel documentation and membership agreements as required</w:t>
            </w:r>
          </w:p>
          <w:p w14:paraId="6D318A07" w14:textId="12D7B7FA" w:rsidR="00C43C58" w:rsidRPr="00B83D2D" w:rsidRDefault="008C02AE" w:rsidP="00740A47">
            <w:pPr>
              <w:pStyle w:val="Bullet1"/>
            </w:pPr>
            <w:r>
              <w:t xml:space="preserve">review </w:t>
            </w:r>
            <w:r w:rsidR="00C43C58">
              <w:t xml:space="preserve">all panel </w:t>
            </w:r>
            <w:r w:rsidR="00C43C58" w:rsidRPr="00DF55A3">
              <w:t>documentation</w:t>
            </w:r>
            <w:r w:rsidR="00C43C58">
              <w:t xml:space="preserve"> with each change of membership.</w:t>
            </w:r>
          </w:p>
          <w:p w14:paraId="680CB8F3" w14:textId="77777777" w:rsidR="00417166" w:rsidRDefault="00417166" w:rsidP="004669CA">
            <w:pPr>
              <w:pStyle w:val="Heading5"/>
            </w:pPr>
            <w:r>
              <w:t>Before each panel</w:t>
            </w:r>
          </w:p>
          <w:p w14:paraId="4B203BF6" w14:textId="65B95CF5" w:rsidR="00417166" w:rsidRPr="00DF55A3" w:rsidRDefault="2798341D" w:rsidP="00740A47">
            <w:pPr>
              <w:pStyle w:val="Bullet1"/>
            </w:pPr>
            <w:r w:rsidRPr="00DF55A3">
              <w:t>schedule panel dates, send invitations to panel members and care team members</w:t>
            </w:r>
          </w:p>
          <w:p w14:paraId="2EA9259C" w14:textId="33A256ED" w:rsidR="00417166" w:rsidRPr="00DF55A3" w:rsidRDefault="2798341D" w:rsidP="00740A47">
            <w:pPr>
              <w:pStyle w:val="Bullet1"/>
            </w:pPr>
            <w:r w:rsidRPr="00DF55A3">
              <w:t xml:space="preserve">prepare and circulate the panel agenda (minimum </w:t>
            </w:r>
            <w:r w:rsidR="008F69A8" w:rsidRPr="00DF55A3">
              <w:t>3</w:t>
            </w:r>
            <w:r w:rsidRPr="00DF55A3">
              <w:t xml:space="preserve"> business days prior) and panel member prompt document</w:t>
            </w:r>
          </w:p>
          <w:p w14:paraId="2A1491F6" w14:textId="2B265187" w:rsidR="00417166" w:rsidRPr="00DF55A3" w:rsidRDefault="2798341D" w:rsidP="00740A47">
            <w:pPr>
              <w:pStyle w:val="Bullet1"/>
            </w:pPr>
            <w:r w:rsidRPr="00DF55A3">
              <w:t xml:space="preserve">send </w:t>
            </w:r>
            <w:r w:rsidR="008C02AE">
              <w:t>(</w:t>
            </w:r>
            <w:r w:rsidR="008C02AE" w:rsidRPr="00DF55A3">
              <w:t>securely</w:t>
            </w:r>
            <w:r w:rsidR="008C02AE">
              <w:t>)</w:t>
            </w:r>
            <w:r w:rsidR="008C02AE" w:rsidRPr="00DF55A3">
              <w:t xml:space="preserve"> </w:t>
            </w:r>
            <w:r w:rsidRPr="00DF55A3">
              <w:t xml:space="preserve">brokerage and client documentation to members (minimum </w:t>
            </w:r>
            <w:r w:rsidR="0049721E">
              <w:t>3</w:t>
            </w:r>
            <w:r w:rsidRPr="00DF55A3">
              <w:t xml:space="preserve"> business days prior) u</w:t>
            </w:r>
            <w:r w:rsidR="00975CF7">
              <w:t xml:space="preserve">sing </w:t>
            </w:r>
            <w:r w:rsidRPr="00DF55A3">
              <w:t>protective markings</w:t>
            </w:r>
          </w:p>
          <w:p w14:paraId="72305E5C" w14:textId="77777777" w:rsidR="00417166" w:rsidRPr="00DF55A3" w:rsidRDefault="2798341D" w:rsidP="00740A47">
            <w:pPr>
              <w:pStyle w:val="Bullet1"/>
            </w:pPr>
            <w:r w:rsidRPr="00DF55A3">
              <w:t>assist in the preparation of care plan</w:t>
            </w:r>
          </w:p>
          <w:p w14:paraId="44A0E103" w14:textId="3FFAE457" w:rsidR="00417166" w:rsidRPr="00DF55A3" w:rsidRDefault="2798341D" w:rsidP="00740A47">
            <w:pPr>
              <w:pStyle w:val="Bullet1"/>
            </w:pPr>
            <w:r w:rsidRPr="00DF55A3">
              <w:t xml:space="preserve">prepare brokerage requests and notifications (Pre-MACNI and </w:t>
            </w:r>
            <w:r w:rsidR="00975CF7">
              <w:t>c</w:t>
            </w:r>
            <w:r w:rsidRPr="00DF55A3">
              <w:t>onsultation)</w:t>
            </w:r>
          </w:p>
          <w:p w14:paraId="6AE51803" w14:textId="5B1CC8EA" w:rsidR="00417166" w:rsidRPr="00DF55A3" w:rsidRDefault="2798341D" w:rsidP="00740A47">
            <w:pPr>
              <w:pStyle w:val="Bullet1"/>
            </w:pPr>
            <w:r w:rsidRPr="00DF55A3">
              <w:t xml:space="preserve">prepare Care Plan Coordinators, AOS providers and care team members to present to </w:t>
            </w:r>
            <w:r w:rsidR="00975CF7">
              <w:t>p</w:t>
            </w:r>
            <w:r w:rsidRPr="00DF55A3">
              <w:t>anels as relevant</w:t>
            </w:r>
          </w:p>
          <w:p w14:paraId="71D728D1" w14:textId="08053A28" w:rsidR="00417166" w:rsidRPr="00DF55A3" w:rsidRDefault="2798341D" w:rsidP="00740A47">
            <w:pPr>
              <w:pStyle w:val="Bullet1"/>
            </w:pPr>
            <w:r w:rsidRPr="00DF55A3">
              <w:t xml:space="preserve">meet with </w:t>
            </w:r>
            <w:r w:rsidR="008F69A8" w:rsidRPr="00DF55A3">
              <w:t xml:space="preserve">Area </w:t>
            </w:r>
            <w:r w:rsidRPr="00DF55A3">
              <w:t>Executive Director to confirm brokerage requests are in budget</w:t>
            </w:r>
          </w:p>
          <w:p w14:paraId="6645D255" w14:textId="77777777" w:rsidR="00417166" w:rsidRDefault="2798341D" w:rsidP="00740A47">
            <w:pPr>
              <w:pStyle w:val="Bullet1"/>
            </w:pPr>
            <w:r w:rsidRPr="00DF55A3">
              <w:t>ensure</w:t>
            </w:r>
            <w:r>
              <w:t xml:space="preserve"> the Deed of Confidentiality is signed by all non-VPS panel members.</w:t>
            </w:r>
          </w:p>
          <w:p w14:paraId="1FA30330" w14:textId="77777777" w:rsidR="00417166" w:rsidRDefault="00417166" w:rsidP="004669CA">
            <w:pPr>
              <w:pStyle w:val="Heading5"/>
            </w:pPr>
            <w:r>
              <w:t>Following each panel</w:t>
            </w:r>
          </w:p>
          <w:p w14:paraId="4BBE0906" w14:textId="3167814E" w:rsidR="00417166" w:rsidRPr="00DF55A3" w:rsidRDefault="2798341D" w:rsidP="00740A47">
            <w:pPr>
              <w:pStyle w:val="Bullet1"/>
            </w:pPr>
            <w:r w:rsidRPr="00DF55A3">
              <w:t>prepare and circulate minutes and session report to members and care teams</w:t>
            </w:r>
          </w:p>
          <w:p w14:paraId="546D1B0C" w14:textId="77777777" w:rsidR="00417166" w:rsidRPr="00DF55A3" w:rsidRDefault="2798341D" w:rsidP="00740A47">
            <w:pPr>
              <w:pStyle w:val="Bullet1"/>
            </w:pPr>
            <w:r w:rsidRPr="00DF55A3">
              <w:t>prepare memorandums as required</w:t>
            </w:r>
          </w:p>
          <w:p w14:paraId="78B37C77" w14:textId="77777777" w:rsidR="00417166" w:rsidRPr="00DF55A3" w:rsidRDefault="2798341D" w:rsidP="00740A47">
            <w:pPr>
              <w:pStyle w:val="Bullet1"/>
            </w:pPr>
            <w:r w:rsidRPr="00DF55A3">
              <w:t>prepare brokerage agreements as required</w:t>
            </w:r>
          </w:p>
          <w:p w14:paraId="18BACAA8" w14:textId="77777777" w:rsidR="00417166" w:rsidRPr="00DF55A3" w:rsidRDefault="2798341D" w:rsidP="00740A47">
            <w:pPr>
              <w:pStyle w:val="Bullet1"/>
            </w:pPr>
            <w:r w:rsidRPr="00DF55A3">
              <w:t>update the SharePoint databases with the relevant care plan dates and brokerage</w:t>
            </w:r>
          </w:p>
          <w:p w14:paraId="50FD5863" w14:textId="77777777" w:rsidR="00417166" w:rsidRDefault="2798341D" w:rsidP="00740A47">
            <w:pPr>
              <w:pStyle w:val="Bullet1"/>
            </w:pPr>
            <w:r w:rsidRPr="00DF55A3">
              <w:t>ensure</w:t>
            </w:r>
            <w:r>
              <w:t xml:space="preserve"> panel recommendations are implemented/addressed in care plans.</w:t>
            </w:r>
          </w:p>
        </w:tc>
      </w:tr>
    </w:tbl>
    <w:p w14:paraId="58168704" w14:textId="150F099F" w:rsidR="00417166" w:rsidRPr="00F50B6D" w:rsidRDefault="00417166" w:rsidP="000E7482">
      <w:pPr>
        <w:pStyle w:val="Heading3"/>
        <w:numPr>
          <w:ilvl w:val="2"/>
          <w:numId w:val="8"/>
        </w:numPr>
      </w:pPr>
      <w:r w:rsidRPr="00F50B6D">
        <w:lastRenderedPageBreak/>
        <w:t>Out of session</w:t>
      </w:r>
      <w:r w:rsidR="00330A5E">
        <w:t xml:space="preserve"> panel</w:t>
      </w:r>
      <w:r w:rsidRPr="00F50B6D">
        <w:t xml:space="preserve"> requests</w:t>
      </w:r>
    </w:p>
    <w:p w14:paraId="73469358" w14:textId="4869AE5A" w:rsidR="00417166" w:rsidRPr="00745E4C" w:rsidRDefault="00417166" w:rsidP="007573A1">
      <w:pPr>
        <w:pStyle w:val="Body"/>
      </w:pPr>
      <w:bookmarkStart w:id="70" w:name="_Hlk13745029"/>
      <w:bookmarkStart w:id="71" w:name="_Hlk13489419"/>
      <w:r w:rsidRPr="00745E4C">
        <w:t>Out</w:t>
      </w:r>
      <w:r w:rsidR="006A5921">
        <w:t xml:space="preserve"> </w:t>
      </w:r>
      <w:r w:rsidRPr="00745E4C">
        <w:t>of</w:t>
      </w:r>
      <w:r w:rsidR="006A5921">
        <w:t xml:space="preserve"> </w:t>
      </w:r>
      <w:r w:rsidRPr="00745E4C">
        <w:t xml:space="preserve">session requests </w:t>
      </w:r>
      <w:r w:rsidR="006A5921">
        <w:t xml:space="preserve">relate </w:t>
      </w:r>
      <w:r w:rsidRPr="00745E4C">
        <w:t xml:space="preserve">are </w:t>
      </w:r>
      <w:r w:rsidR="00A71BD7">
        <w:t>matters</w:t>
      </w:r>
      <w:r w:rsidRPr="00745E4C">
        <w:t xml:space="preserve"> that could not be presented </w:t>
      </w:r>
      <w:r w:rsidR="005C1146">
        <w:t>to a</w:t>
      </w:r>
      <w:r w:rsidRPr="00745E4C">
        <w:t xml:space="preserve"> panel </w:t>
      </w:r>
      <w:r w:rsidR="005C1146">
        <w:t xml:space="preserve">meeting </w:t>
      </w:r>
      <w:r w:rsidR="00D42852">
        <w:t>as they have arisen between</w:t>
      </w:r>
      <w:r w:rsidRPr="00745E4C">
        <w:t xml:space="preserve"> scheduled </w:t>
      </w:r>
      <w:r w:rsidR="00D42852">
        <w:t>meetings.</w:t>
      </w:r>
      <w:r w:rsidRPr="00745E4C">
        <w:t xml:space="preserve"> Out of session requests may </w:t>
      </w:r>
      <w:r w:rsidR="007F7421">
        <w:t>seek</w:t>
      </w:r>
      <w:r w:rsidRPr="00745E4C">
        <w:t xml:space="preserve">: </w:t>
      </w:r>
    </w:p>
    <w:p w14:paraId="26E2AC7B" w14:textId="605B7CC4" w:rsidR="00D42852" w:rsidRDefault="00096F6F" w:rsidP="00740A47">
      <w:pPr>
        <w:pStyle w:val="Bullet1"/>
      </w:pPr>
      <w:r>
        <w:t>a</w:t>
      </w:r>
      <w:r w:rsidR="002C5F9A">
        <w:t>dvice and decisions on new emergent risks or service delivery (or other) issues</w:t>
      </w:r>
    </w:p>
    <w:p w14:paraId="1FAA501D" w14:textId="38165690" w:rsidR="00417166" w:rsidRPr="00D41E2A" w:rsidRDefault="007F7421" w:rsidP="00740A47">
      <w:pPr>
        <w:pStyle w:val="Bullet1"/>
      </w:pPr>
      <w:r>
        <w:t xml:space="preserve">recommend for </w:t>
      </w:r>
      <w:r w:rsidR="2798341D">
        <w:t>the appointment of a care plan develop</w:t>
      </w:r>
      <w:r>
        <w:t>er /</w:t>
      </w:r>
      <w:r w:rsidR="2798341D">
        <w:t xml:space="preserve"> coordinat</w:t>
      </w:r>
      <w:r>
        <w:t xml:space="preserve">or </w:t>
      </w:r>
    </w:p>
    <w:p w14:paraId="63D033FC" w14:textId="58DD570C" w:rsidR="00417166" w:rsidRPr="00D41E2A" w:rsidRDefault="00905E2B" w:rsidP="00740A47">
      <w:pPr>
        <w:pStyle w:val="Bullet1"/>
      </w:pPr>
      <w:r>
        <w:t xml:space="preserve">views and recommend on </w:t>
      </w:r>
      <w:r w:rsidR="2798341D">
        <w:t>care plans (new, variations or closure)</w:t>
      </w:r>
    </w:p>
    <w:p w14:paraId="45674761" w14:textId="22A4BABF" w:rsidR="00417166" w:rsidRPr="00745E4C" w:rsidRDefault="00905E2B" w:rsidP="00740A47">
      <w:pPr>
        <w:pStyle w:val="Bullet1"/>
      </w:pPr>
      <w:r>
        <w:t>consider and recommend</w:t>
      </w:r>
      <w:r w:rsidR="00E47319">
        <w:t xml:space="preserve"> </w:t>
      </w:r>
      <w:r w:rsidR="2798341D">
        <w:t xml:space="preserve">brokerage </w:t>
      </w:r>
      <w:r w:rsidR="00FA18AF">
        <w:t>requests</w:t>
      </w:r>
    </w:p>
    <w:bookmarkEnd w:id="70"/>
    <w:p w14:paraId="4336935D" w14:textId="56DA2053" w:rsidR="0001200A" w:rsidRPr="004F4A93" w:rsidRDefault="0001200A" w:rsidP="00740A47">
      <w:pPr>
        <w:pStyle w:val="Bullet1"/>
      </w:pPr>
      <w:r>
        <w:t>(AOS</w:t>
      </w:r>
      <w:r w:rsidR="008F69A8">
        <w:t xml:space="preserve"> specific</w:t>
      </w:r>
      <w:r>
        <w:t xml:space="preserve">) </w:t>
      </w:r>
      <w:r w:rsidRPr="004F4A93">
        <w:t>endorse</w:t>
      </w:r>
      <w:r w:rsidR="00E47319">
        <w:t xml:space="preserve"> </w:t>
      </w:r>
      <w:r w:rsidRPr="004F4A93">
        <w:t>proposed response to clients who have not consented to receive services after 6 weeks of attempted engagement (</w:t>
      </w:r>
      <w:r w:rsidR="008F69A8">
        <w:t>to</w:t>
      </w:r>
      <w:r w:rsidRPr="004F4A93">
        <w:t xml:space="preserve"> ensur</w:t>
      </w:r>
      <w:r w:rsidR="008F69A8">
        <w:t>e</w:t>
      </w:r>
      <w:r w:rsidRPr="004F4A93">
        <w:t xml:space="preserve"> appropriate balance between privacy</w:t>
      </w:r>
      <w:r>
        <w:t>/right to refuse services</w:t>
      </w:r>
      <w:r w:rsidRPr="004F4A93">
        <w:t xml:space="preserve"> and risk of harm considerations)</w:t>
      </w:r>
    </w:p>
    <w:p w14:paraId="57A3F311" w14:textId="006C285B" w:rsidR="0001200A" w:rsidRPr="00745E4C" w:rsidRDefault="0001200A" w:rsidP="00740A47">
      <w:pPr>
        <w:pStyle w:val="Bullet1"/>
      </w:pPr>
      <w:r>
        <w:t>(AOS</w:t>
      </w:r>
      <w:r w:rsidR="008F69A8">
        <w:t xml:space="preserve"> specific</w:t>
      </w:r>
      <w:r>
        <w:t>)</w:t>
      </w:r>
      <w:r w:rsidR="008F69A8">
        <w:t xml:space="preserve"> </w:t>
      </w:r>
      <w:r w:rsidR="007C2416" w:rsidRPr="004F4A93">
        <w:t>endorse</w:t>
      </w:r>
      <w:r w:rsidR="00E47319">
        <w:t xml:space="preserve"> </w:t>
      </w:r>
      <w:r w:rsidR="007C2416" w:rsidRPr="004F4A93">
        <w:t>proposed case closure for clients who continue to pose high risk of harm to others but no longer require or will benefit from AOS</w:t>
      </w:r>
      <w:r w:rsidR="0092154C">
        <w:t>.</w:t>
      </w:r>
    </w:p>
    <w:p w14:paraId="494FE1D6" w14:textId="385C46C8" w:rsidR="00417166" w:rsidRPr="00D14940" w:rsidRDefault="00417166" w:rsidP="007573A1">
      <w:pPr>
        <w:pStyle w:val="Bodyafterbullets"/>
      </w:pPr>
      <w:r w:rsidRPr="00745E4C">
        <w:t xml:space="preserve">The Complex Needs Coordinator is responsible for </w:t>
      </w:r>
      <w:r w:rsidR="00004FB4">
        <w:t>preparing</w:t>
      </w:r>
      <w:r w:rsidRPr="00745E4C">
        <w:t xml:space="preserve"> out of session </w:t>
      </w:r>
      <w:r w:rsidR="00905E2B">
        <w:t>information and</w:t>
      </w:r>
      <w:r w:rsidRPr="00745E4C">
        <w:t xml:space="preserve"> requests </w:t>
      </w:r>
      <w:r w:rsidR="009A5AAA">
        <w:t>with the endorsement of their line management</w:t>
      </w:r>
      <w:r w:rsidRPr="00745E4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361702AE" w14:textId="77777777" w:rsidTr="4A0301FD">
        <w:tc>
          <w:tcPr>
            <w:tcW w:w="0" w:type="auto"/>
            <w:shd w:val="clear" w:color="auto" w:fill="CCE9F8"/>
            <w:vAlign w:val="center"/>
          </w:tcPr>
          <w:p w14:paraId="6675B9D7" w14:textId="77777777" w:rsidR="00417166" w:rsidRDefault="00417166">
            <w:pPr>
              <w:pStyle w:val="Body"/>
            </w:pPr>
            <w:r>
              <w:rPr>
                <w:noProof/>
              </w:rPr>
              <w:drawing>
                <wp:inline distT="0" distB="0" distL="0" distR="0" wp14:anchorId="638341A2" wp14:editId="1F042BED">
                  <wp:extent cx="540000" cy="540000"/>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D67661D" w14:textId="77777777" w:rsidR="00417166" w:rsidRDefault="00417166">
            <w:pPr>
              <w:pStyle w:val="Tablecolhead"/>
              <w:rPr>
                <w:rFonts w:eastAsia="Arial"/>
              </w:rPr>
            </w:pPr>
            <w:r>
              <w:rPr>
                <w:rFonts w:eastAsia="Arial"/>
              </w:rPr>
              <w:t>Documentation required</w:t>
            </w:r>
          </w:p>
          <w:p w14:paraId="12C54DCA" w14:textId="66D8FC16" w:rsidR="00417166" w:rsidRPr="00745E4C" w:rsidRDefault="00EA02E5" w:rsidP="00740A47">
            <w:pPr>
              <w:pStyle w:val="Bullet1"/>
            </w:pPr>
            <w:r>
              <w:t xml:space="preserve">6m </w:t>
            </w:r>
            <w:r w:rsidR="2798341D">
              <w:t xml:space="preserve">Complex Needs Panel </w:t>
            </w:r>
            <w:r w:rsidR="00E47319">
              <w:t>Out of Session Request Form</w:t>
            </w:r>
          </w:p>
          <w:p w14:paraId="3645FD66" w14:textId="1CA81221" w:rsidR="00417166" w:rsidRPr="00B83D2D" w:rsidRDefault="2798341D" w:rsidP="00740A47">
            <w:pPr>
              <w:pStyle w:val="Bullet1"/>
            </w:pPr>
            <w:r>
              <w:t xml:space="preserve">documentation relevant to the request </w:t>
            </w:r>
            <w:r w:rsidRPr="000C5AC9">
              <w:t>(</w:t>
            </w:r>
            <w:r w:rsidR="0049721E">
              <w:t xml:space="preserve">i.e.: </w:t>
            </w:r>
            <w:r w:rsidRPr="000C5AC9">
              <w:t xml:space="preserve">MACNI </w:t>
            </w:r>
            <w:r w:rsidR="0049721E" w:rsidRPr="000C5AC9">
              <w:t xml:space="preserve">Eligibility Consideration Request Form, Care Plan, Brokerage Request Form, </w:t>
            </w:r>
            <w:r w:rsidR="007C068B" w:rsidRPr="000C5AC9">
              <w:t xml:space="preserve">Complex Needs </w:t>
            </w:r>
            <w:r w:rsidR="0049721E" w:rsidRPr="000C5AC9">
              <w:t xml:space="preserve">Client </w:t>
            </w:r>
            <w:r w:rsidR="0049721E" w:rsidRPr="000C5AC9">
              <w:lastRenderedPageBreak/>
              <w:t>Presentation Template,</w:t>
            </w:r>
            <w:r w:rsidR="0049721E">
              <w:t xml:space="preserve"> Complex Needs Recommendations and</w:t>
            </w:r>
            <w:r w:rsidR="0049721E" w:rsidRPr="000C5AC9">
              <w:t xml:space="preserve"> Closure </w:t>
            </w:r>
            <w:r w:rsidR="0049721E">
              <w:t>Summary</w:t>
            </w:r>
            <w:r w:rsidRPr="000C5AC9">
              <w:t>).</w:t>
            </w:r>
          </w:p>
        </w:tc>
      </w:tr>
    </w:tbl>
    <w:p w14:paraId="2BCE91C6" w14:textId="77777777" w:rsidR="00417166" w:rsidRDefault="00417166"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417166" w14:paraId="0D8D0E50" w14:textId="77777777" w:rsidTr="4A0301FD">
        <w:tc>
          <w:tcPr>
            <w:tcW w:w="0" w:type="auto"/>
            <w:shd w:val="clear" w:color="auto" w:fill="99D3F0"/>
            <w:vAlign w:val="center"/>
          </w:tcPr>
          <w:p w14:paraId="2EBB1420" w14:textId="77777777" w:rsidR="00417166" w:rsidRPr="00684DC5" w:rsidRDefault="00417166">
            <w:pPr>
              <w:pStyle w:val="Body"/>
            </w:pPr>
            <w:r>
              <w:rPr>
                <w:noProof/>
              </w:rPr>
              <w:drawing>
                <wp:inline distT="0" distB="0" distL="0" distR="0" wp14:anchorId="0412AE18" wp14:editId="7E15E6C1">
                  <wp:extent cx="540000" cy="540000"/>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9FFD622" w14:textId="77777777" w:rsidR="00417166" w:rsidRDefault="00417166">
            <w:pPr>
              <w:pStyle w:val="Tablecolhead"/>
            </w:pPr>
            <w:r>
              <w:t>Coordinator tasks</w:t>
            </w:r>
          </w:p>
          <w:p w14:paraId="46C6AD45" w14:textId="74A637DB" w:rsidR="00417166" w:rsidRPr="00590061" w:rsidRDefault="2798341D" w:rsidP="00740A47">
            <w:pPr>
              <w:pStyle w:val="Bullet1"/>
            </w:pPr>
            <w:r>
              <w:t xml:space="preserve">ensure </w:t>
            </w:r>
            <w:r w:rsidR="0049721E">
              <w:t xml:space="preserve">completion of </w:t>
            </w:r>
            <w:r>
              <w:t xml:space="preserve">the </w:t>
            </w:r>
            <w:r w:rsidR="00E47319">
              <w:t xml:space="preserve">Out of Session Request Form </w:t>
            </w:r>
          </w:p>
          <w:p w14:paraId="4EF1FE84" w14:textId="4134E726" w:rsidR="00417166" w:rsidRPr="00745E4C" w:rsidRDefault="2798341D" w:rsidP="00740A47">
            <w:pPr>
              <w:pStyle w:val="Bullet1"/>
            </w:pPr>
            <w:r>
              <w:t xml:space="preserve">consult with the </w:t>
            </w:r>
            <w:r w:rsidR="004B14F8">
              <w:t xml:space="preserve">Area </w:t>
            </w:r>
            <w:r>
              <w:t>Executive Director to ensure brokerage requests are within the allocated area / divisional complex needs budget</w:t>
            </w:r>
          </w:p>
          <w:p w14:paraId="34BDEE9D" w14:textId="0A02E6E3" w:rsidR="00417166" w:rsidRPr="00745E4C" w:rsidRDefault="2798341D" w:rsidP="00740A47">
            <w:pPr>
              <w:pStyle w:val="Bullet1"/>
            </w:pPr>
            <w:r>
              <w:t xml:space="preserve">email </w:t>
            </w:r>
            <w:r w:rsidR="0049721E">
              <w:t xml:space="preserve">the request to </w:t>
            </w:r>
            <w:r>
              <w:t>the Panel members</w:t>
            </w:r>
            <w:r w:rsidR="0049721E">
              <w:t xml:space="preserve"> with a due</w:t>
            </w:r>
            <w:r>
              <w:t xml:space="preserve"> date </w:t>
            </w:r>
            <w:r w:rsidR="0049721E">
              <w:t xml:space="preserve">for </w:t>
            </w:r>
            <w:r>
              <w:t xml:space="preserve">responses </w:t>
            </w:r>
          </w:p>
          <w:p w14:paraId="7577BCA5" w14:textId="6C910006" w:rsidR="00417166" w:rsidRDefault="2798341D" w:rsidP="00740A47">
            <w:pPr>
              <w:pStyle w:val="Bullet1"/>
            </w:pPr>
            <w:r>
              <w:t xml:space="preserve">seek </w:t>
            </w:r>
            <w:r w:rsidR="008F69A8">
              <w:t xml:space="preserve">Area </w:t>
            </w:r>
            <w:r>
              <w:t>Executive Director approval as relevant.</w:t>
            </w:r>
          </w:p>
        </w:tc>
      </w:tr>
    </w:tbl>
    <w:p w14:paraId="0F90A8DF" w14:textId="7C584018" w:rsidR="00417166" w:rsidRDefault="00417166" w:rsidP="000E7482">
      <w:pPr>
        <w:pStyle w:val="Heading2"/>
        <w:numPr>
          <w:ilvl w:val="1"/>
          <w:numId w:val="8"/>
        </w:numPr>
      </w:pPr>
      <w:bookmarkStart w:id="72" w:name="_Toc137636731"/>
      <w:bookmarkStart w:id="73" w:name="_Toc145318567"/>
      <w:bookmarkEnd w:id="71"/>
      <w:r w:rsidRPr="000D0CDD">
        <w:t>Brokera</w:t>
      </w:r>
      <w:r>
        <w:t>g</w:t>
      </w:r>
      <w:r w:rsidRPr="000D0CDD">
        <w:t>e</w:t>
      </w:r>
      <w:bookmarkEnd w:id="72"/>
      <w:bookmarkEnd w:id="73"/>
    </w:p>
    <w:p w14:paraId="3BAB21FE" w14:textId="0A7D5E4B" w:rsidR="00417166" w:rsidRDefault="00417166" w:rsidP="007573A1">
      <w:pPr>
        <w:pStyle w:val="Body"/>
      </w:pPr>
      <w:r w:rsidRPr="0040658A">
        <w:t xml:space="preserve">The complex needs </w:t>
      </w:r>
      <w:r w:rsidR="008F69A8">
        <w:t>service response</w:t>
      </w:r>
      <w:r w:rsidRPr="0040658A">
        <w:t xml:space="preserve"> allows for the provision of discretionary client-attached brokerage to purchase </w:t>
      </w:r>
      <w:r>
        <w:t xml:space="preserve">items such as </w:t>
      </w:r>
      <w:r w:rsidRPr="0040658A">
        <w:t>specialist assessments, services</w:t>
      </w:r>
      <w:r w:rsidR="00FF3E9F">
        <w:t>,</w:t>
      </w:r>
      <w:r w:rsidRPr="0040658A">
        <w:t xml:space="preserve"> and interventions to support the</w:t>
      </w:r>
      <w:r>
        <w:t xml:space="preserve"> implementation and</w:t>
      </w:r>
      <w:r w:rsidRPr="0040658A">
        <w:t xml:space="preserve"> delivery of the care plan</w:t>
      </w:r>
      <w:r>
        <w:t xml:space="preserve"> or to improve client </w:t>
      </w:r>
      <w:r w:rsidRPr="001F5C36">
        <w:t>outcomes. The availability and use of brokerage varies according to the service response type</w:t>
      </w:r>
      <w:r>
        <w:t>.</w:t>
      </w:r>
    </w:p>
    <w:p w14:paraId="240247A0" w14:textId="49BDB89F" w:rsidR="00A50DFF" w:rsidRDefault="00417166" w:rsidP="007573A1">
      <w:pPr>
        <w:pStyle w:val="Body"/>
      </w:pPr>
      <w:r>
        <w:t>Eligibility, principles</w:t>
      </w:r>
      <w:r w:rsidR="00AF7EA4">
        <w:t>,</w:t>
      </w:r>
      <w:r>
        <w:t xml:space="preserve"> and processes </w:t>
      </w:r>
      <w:r w:rsidR="008F69A8">
        <w:t>for</w:t>
      </w:r>
      <w:r>
        <w:t xml:space="preserve"> the use of brokerage are </w:t>
      </w:r>
      <w:r w:rsidRPr="00025EC7">
        <w:t>provided in Section 8.</w:t>
      </w:r>
      <w:r w:rsidR="00327586">
        <w:t xml:space="preserve"> </w:t>
      </w:r>
    </w:p>
    <w:p w14:paraId="1A7AC9B8" w14:textId="77777777" w:rsidR="00A0116C" w:rsidRPr="00F1152B" w:rsidRDefault="00A0116C" w:rsidP="00F1152B">
      <w:pPr>
        <w:pStyle w:val="Body"/>
      </w:pPr>
      <w:bookmarkStart w:id="74" w:name="_Toc137636732"/>
      <w:bookmarkStart w:id="75" w:name="_Toc32229281"/>
      <w:bookmarkStart w:id="76" w:name="_Toc65508248"/>
      <w:bookmarkStart w:id="77" w:name="_Toc112856248"/>
      <w:bookmarkStart w:id="78" w:name="_Toc125713729"/>
      <w:bookmarkStart w:id="79" w:name="_Toc17799054"/>
      <w:r>
        <w:br w:type="page"/>
      </w:r>
    </w:p>
    <w:p w14:paraId="488695C4" w14:textId="77777777" w:rsidR="007631B1" w:rsidRDefault="00B2538E" w:rsidP="00843D94">
      <w:pPr>
        <w:pStyle w:val="Heading1"/>
        <w:numPr>
          <w:ilvl w:val="0"/>
          <w:numId w:val="24"/>
        </w:numPr>
        <w:ind w:left="709" w:hanging="709"/>
      </w:pPr>
      <w:bookmarkStart w:id="80" w:name="_Toc145318568"/>
      <w:r>
        <w:lastRenderedPageBreak/>
        <w:t>Consultation</w:t>
      </w:r>
      <w:bookmarkEnd w:id="74"/>
      <w:bookmarkEnd w:id="80"/>
    </w:p>
    <w:p w14:paraId="15CC51B1" w14:textId="0B4CC8A1" w:rsidR="00B2538E" w:rsidRDefault="00B2538E" w:rsidP="007631B1">
      <w:pPr>
        <w:pStyle w:val="Body"/>
      </w:pPr>
      <w:r>
        <w:t>Complex Needs Coordinators</w:t>
      </w:r>
      <w:r w:rsidR="008335D5">
        <w:t>’</w:t>
      </w:r>
      <w:r>
        <w:t xml:space="preserve"> work is </w:t>
      </w:r>
      <w:r w:rsidR="008335D5">
        <w:t xml:space="preserve">predominantly </w:t>
      </w:r>
      <w:r>
        <w:t xml:space="preserve">in </w:t>
      </w:r>
      <w:r w:rsidR="008335D5">
        <w:t xml:space="preserve">the </w:t>
      </w:r>
      <w:r>
        <w:t>consultation</w:t>
      </w:r>
      <w:r w:rsidR="008335D5">
        <w:t xml:space="preserve"> support phase</w:t>
      </w:r>
      <w:r>
        <w:t xml:space="preserve">. </w:t>
      </w:r>
    </w:p>
    <w:p w14:paraId="69A3DCB3" w14:textId="38526C1D" w:rsidR="00DA360E" w:rsidRDefault="00DA360E" w:rsidP="000E7482">
      <w:pPr>
        <w:pStyle w:val="Heading2"/>
        <w:numPr>
          <w:ilvl w:val="1"/>
          <w:numId w:val="11"/>
        </w:numPr>
      </w:pPr>
      <w:bookmarkStart w:id="81" w:name="_Toc145318569"/>
      <w:r>
        <w:t>Consultation work</w:t>
      </w:r>
      <w:bookmarkEnd w:id="81"/>
    </w:p>
    <w:p w14:paraId="5A66C199" w14:textId="4AAA5DAC" w:rsidR="00B2538E" w:rsidRPr="009721F5" w:rsidRDefault="00500F06" w:rsidP="007573A1">
      <w:pPr>
        <w:pStyle w:val="Bodyafterbullets"/>
      </w:pPr>
      <w:r>
        <w:t>Including</w:t>
      </w:r>
      <w:r w:rsidR="00B2538E">
        <w:t xml:space="preserve"> intake, c</w:t>
      </w:r>
      <w:r w:rsidR="00B2538E" w:rsidRPr="00745E4C">
        <w:t>onsultation services are provided for clients who have complex support needs</w:t>
      </w:r>
      <w:r w:rsidR="008F69A8">
        <w:t xml:space="preserve"> which are not being suitably supported within the existing service system</w:t>
      </w:r>
      <w:r w:rsidR="00B2538E" w:rsidRPr="00745E4C">
        <w:t xml:space="preserve">. </w:t>
      </w:r>
      <w:r w:rsidR="00ED7AF6">
        <w:t>C</w:t>
      </w:r>
      <w:r w:rsidR="00B2538E" w:rsidRPr="009721F5">
        <w:t xml:space="preserve">onsultation is intended </w:t>
      </w:r>
      <w:r w:rsidR="00B2538E">
        <w:t>to</w:t>
      </w:r>
      <w:r w:rsidR="00B2538E" w:rsidRPr="009721F5">
        <w:t xml:space="preserve"> </w:t>
      </w:r>
      <w:r w:rsidR="00B2538E">
        <w:t xml:space="preserve">complement and enhance </w:t>
      </w:r>
      <w:r w:rsidR="00B2538E" w:rsidRPr="009721F5">
        <w:t>the sustainability of the existing service system</w:t>
      </w:r>
      <w:r w:rsidR="00B2538E">
        <w:t>,</w:t>
      </w:r>
      <w:r w:rsidR="00B2538E" w:rsidRPr="009721F5">
        <w:t xml:space="preserve"> rather than replace or duplicate </w:t>
      </w:r>
      <w:r w:rsidR="00B2538E">
        <w:t xml:space="preserve">specific </w:t>
      </w:r>
      <w:r w:rsidR="00B2538E" w:rsidRPr="009721F5">
        <w:t>service responses. The primary function is to improve client outcomes through support and guidance to engaged services to maximise flexibility and responsiveness of support options</w:t>
      </w:r>
      <w:r w:rsidR="00B2538E">
        <w:t xml:space="preserve"> in the standard service system</w:t>
      </w:r>
      <w:r w:rsidR="00B2538E" w:rsidRPr="009721F5">
        <w:t xml:space="preserve">. </w:t>
      </w:r>
    </w:p>
    <w:p w14:paraId="331E03AB" w14:textId="206614C9" w:rsidR="00B2538E" w:rsidRPr="00745E4C" w:rsidRDefault="00B2538E" w:rsidP="007573A1">
      <w:pPr>
        <w:pStyle w:val="Bodyafterbullets"/>
      </w:pPr>
      <w:r w:rsidRPr="00745E4C">
        <w:t xml:space="preserve">The </w:t>
      </w:r>
      <w:r>
        <w:t>Complex Needs C</w:t>
      </w:r>
      <w:r w:rsidRPr="00745E4C">
        <w:t>oordinator’s tasks at this stage are:</w:t>
      </w:r>
    </w:p>
    <w:p w14:paraId="217F7EFB" w14:textId="77777777" w:rsidR="00B2538E" w:rsidRPr="00FB04FB" w:rsidRDefault="539DB6E1" w:rsidP="00740A47">
      <w:pPr>
        <w:pStyle w:val="Bullet1"/>
      </w:pPr>
      <w:r>
        <w:t>information and practice advice</w:t>
      </w:r>
    </w:p>
    <w:p w14:paraId="33371E14" w14:textId="77777777" w:rsidR="00B2538E" w:rsidRPr="00FB04FB" w:rsidRDefault="539DB6E1" w:rsidP="00740A47">
      <w:pPr>
        <w:pStyle w:val="Bullet1"/>
      </w:pPr>
      <w:r>
        <w:t>system navigation and problem-solving</w:t>
      </w:r>
    </w:p>
    <w:p w14:paraId="6489B643" w14:textId="77777777" w:rsidR="00B2538E" w:rsidRDefault="539DB6E1" w:rsidP="00740A47">
      <w:pPr>
        <w:pStyle w:val="Bullet1"/>
      </w:pPr>
      <w:r>
        <w:t>capacity-building</w:t>
      </w:r>
    </w:p>
    <w:p w14:paraId="12220FBE" w14:textId="61DBD1FD" w:rsidR="00B2538E" w:rsidRPr="00745E4C" w:rsidRDefault="539DB6E1" w:rsidP="00740A47">
      <w:pPr>
        <w:pStyle w:val="Bullet1"/>
      </w:pPr>
      <w:r>
        <w:t xml:space="preserve">facilitate assessment for diagnostic clarity and </w:t>
      </w:r>
      <w:r w:rsidR="00231F22">
        <w:t xml:space="preserve">to </w:t>
      </w:r>
      <w:r w:rsidR="00EB5551">
        <w:t xml:space="preserve">drive required </w:t>
      </w:r>
      <w:r>
        <w:t xml:space="preserve">service </w:t>
      </w:r>
      <w:r w:rsidR="00EB5551">
        <w:t>responses</w:t>
      </w:r>
    </w:p>
    <w:p w14:paraId="3FC2B8FA" w14:textId="01839519" w:rsidR="00B2538E" w:rsidRPr="00745E4C" w:rsidRDefault="539DB6E1" w:rsidP="0049721E">
      <w:pPr>
        <w:pStyle w:val="lastbullett"/>
      </w:pPr>
      <w:r>
        <w:t xml:space="preserve">service coordination </w:t>
      </w:r>
      <w:r w:rsidR="00AC5DB7">
        <w:t>(time-limited</w:t>
      </w:r>
      <w:r w:rsidR="00EB5551">
        <w:t xml:space="preserve"> and less than </w:t>
      </w:r>
      <w:r>
        <w:t>4 hours per week).</w:t>
      </w:r>
    </w:p>
    <w:p w14:paraId="5C21A8C3" w14:textId="515D230D" w:rsidR="008F69A8" w:rsidRDefault="008F69A8" w:rsidP="008F69A8">
      <w:pPr>
        <w:pStyle w:val="Body"/>
      </w:pPr>
      <w:r>
        <w:t xml:space="preserve">The Complex Needs Coordinator </w:t>
      </w:r>
      <w:r w:rsidR="004B14F8">
        <w:t>does</w:t>
      </w:r>
      <w:r>
        <w:t xml:space="preserve"> not </w:t>
      </w:r>
      <w:r w:rsidR="00CD2DDA">
        <w:t xml:space="preserve">directly engage with, </w:t>
      </w:r>
      <w:r>
        <w:t xml:space="preserve">provide direct </w:t>
      </w:r>
      <w:r w:rsidR="00DD43C2">
        <w:t>support,</w:t>
      </w:r>
      <w:r>
        <w:t xml:space="preserve"> or case </w:t>
      </w:r>
      <w:r w:rsidR="000B002D">
        <w:t xml:space="preserve">management </w:t>
      </w:r>
      <w:r w:rsidR="00CD2DDA">
        <w:t>with</w:t>
      </w:r>
      <w:r w:rsidR="000B002D">
        <w:t xml:space="preserve"> individuals and families</w:t>
      </w:r>
      <w:r w:rsidR="00713836">
        <w:t>. There may be contact if people self-</w:t>
      </w:r>
      <w:r w:rsidR="00DD43C2">
        <w:t>refer</w:t>
      </w:r>
      <w:r w:rsidR="00713836">
        <w:t>/families refer</w:t>
      </w:r>
      <w:r w:rsidR="000B002D">
        <w:t xml:space="preserve"> </w:t>
      </w:r>
      <w:r w:rsidR="00DD43C2">
        <w:t xml:space="preserve">or </w:t>
      </w:r>
      <w:r w:rsidR="000B002D">
        <w:t>are in a care team.</w:t>
      </w:r>
      <w:r w:rsidR="00CA7E0F">
        <w:t xml:space="preserve"> </w:t>
      </w:r>
    </w:p>
    <w:p w14:paraId="2C3F1734" w14:textId="65C7E640" w:rsidR="00B2538E" w:rsidRDefault="00B2538E" w:rsidP="007573A1">
      <w:pPr>
        <w:pStyle w:val="Bodyafterbullets"/>
      </w:pPr>
      <w:r>
        <w:t xml:space="preserve">During consultation, it may become apparent that the client or care team’s needs cannot be effectively supported without a more specific response or higher level of </w:t>
      </w:r>
      <w:r w:rsidR="008F69A8">
        <w:t xml:space="preserve">service or care </w:t>
      </w:r>
      <w:r>
        <w:t xml:space="preserve">coordination. </w:t>
      </w:r>
      <w:r w:rsidR="00A75550">
        <w:t>If so</w:t>
      </w:r>
      <w:r>
        <w:t>, the Complex Needs Coordinator will work with involved services to determine the next steps of either a referral for:</w:t>
      </w:r>
    </w:p>
    <w:p w14:paraId="0B69EB34" w14:textId="77777777" w:rsidR="00B2538E" w:rsidRPr="003F1944" w:rsidRDefault="539DB6E1" w:rsidP="00740A47">
      <w:pPr>
        <w:pStyle w:val="Bullet1"/>
      </w:pPr>
      <w:r>
        <w:t xml:space="preserve">Pre-MACNI </w:t>
      </w:r>
    </w:p>
    <w:p w14:paraId="7970DE0A" w14:textId="279D3F13" w:rsidR="00B2538E" w:rsidRDefault="539DB6E1" w:rsidP="00740A47">
      <w:pPr>
        <w:pStyle w:val="Bullet1"/>
      </w:pPr>
      <w:r>
        <w:t>MACNI eligibility determination to receive formal care plan coordination under the Act.</w:t>
      </w:r>
    </w:p>
    <w:p w14:paraId="7A030FA7" w14:textId="3B96EA09" w:rsidR="00B2538E" w:rsidRPr="00713AE9" w:rsidRDefault="00B2538E" w:rsidP="000E7482">
      <w:pPr>
        <w:pStyle w:val="Heading2"/>
        <w:numPr>
          <w:ilvl w:val="1"/>
          <w:numId w:val="11"/>
        </w:numPr>
      </w:pPr>
      <w:bookmarkStart w:id="82" w:name="_Toc32229264"/>
      <w:bookmarkStart w:id="83" w:name="_Toc65508231"/>
      <w:bookmarkStart w:id="84" w:name="_Toc112856231"/>
      <w:bookmarkStart w:id="85" w:name="_Toc125713712"/>
      <w:bookmarkStart w:id="86" w:name="_Toc145318570"/>
      <w:r>
        <w:t>Complex Needs Panel</w:t>
      </w:r>
      <w:bookmarkEnd w:id="86"/>
      <w:r>
        <w:t xml:space="preserve"> </w:t>
      </w:r>
      <w:bookmarkEnd w:id="82"/>
      <w:bookmarkEnd w:id="83"/>
      <w:bookmarkEnd w:id="84"/>
      <w:bookmarkEnd w:id="85"/>
    </w:p>
    <w:p w14:paraId="627C7AC5" w14:textId="30E3A8E7" w:rsidR="00B2538E" w:rsidRDefault="00B2538E" w:rsidP="007573A1">
      <w:pPr>
        <w:pStyle w:val="Body"/>
      </w:pPr>
      <w:r>
        <w:t xml:space="preserve">Consultation clients may be presented to panels by the Complex Needs Coordinator for expert advice on service planning, monitoring </w:t>
      </w:r>
      <w:r w:rsidRPr="005B0BF2">
        <w:t xml:space="preserve">and the identification of systemic issues. Not all </w:t>
      </w:r>
      <w:r>
        <w:t>consultation</w:t>
      </w:r>
      <w:r w:rsidRPr="005B0BF2">
        <w:t xml:space="preserve"> clients </w:t>
      </w:r>
      <w:r>
        <w:t xml:space="preserve">are </w:t>
      </w:r>
      <w:r w:rsidRPr="005B0BF2">
        <w:t>require</w:t>
      </w:r>
      <w:r>
        <w:t>d</w:t>
      </w:r>
      <w:r w:rsidRPr="005B0BF2">
        <w:t xml:space="preserve"> to be presented</w:t>
      </w:r>
      <w:r w:rsidR="008F69A8">
        <w:t>;</w:t>
      </w:r>
      <w:r w:rsidRPr="005B0BF2">
        <w:t xml:space="preserve"> however</w:t>
      </w:r>
      <w:r>
        <w:t>,</w:t>
      </w:r>
      <w:r w:rsidRPr="005B0BF2">
        <w:t xml:space="preserve"> </w:t>
      </w:r>
      <w:r>
        <w:t>the panel should be consulted where there are:</w:t>
      </w:r>
    </w:p>
    <w:p w14:paraId="5C7EB035" w14:textId="77777777" w:rsidR="00B2538E" w:rsidRDefault="539DB6E1" w:rsidP="00740A47">
      <w:pPr>
        <w:pStyle w:val="Bullet1"/>
      </w:pPr>
      <w:r>
        <w:t>particularly challenging or unusual circumstances</w:t>
      </w:r>
    </w:p>
    <w:p w14:paraId="033AB687" w14:textId="77777777" w:rsidR="00B2538E" w:rsidRDefault="539DB6E1" w:rsidP="00740A47">
      <w:pPr>
        <w:pStyle w:val="Bullet1"/>
      </w:pPr>
      <w:r>
        <w:t>systemic issues</w:t>
      </w:r>
    </w:p>
    <w:p w14:paraId="0332EF65" w14:textId="28D37FAF" w:rsidR="00B2538E" w:rsidRDefault="539DB6E1" w:rsidP="00740A47">
      <w:pPr>
        <w:pStyle w:val="Bullet1"/>
      </w:pPr>
      <w:r>
        <w:t>concerns around risk management</w:t>
      </w:r>
      <w:r w:rsidR="004C3E38">
        <w:t>.</w:t>
      </w:r>
    </w:p>
    <w:p w14:paraId="3FB7FA30" w14:textId="01446156" w:rsidR="008F69A8" w:rsidRDefault="008F69A8" w:rsidP="00AE47F2">
      <w:pPr>
        <w:pStyle w:val="Bodyafterbullets"/>
      </w:pPr>
      <w:r w:rsidRPr="00AE47F2">
        <w:t xml:space="preserve">Consultation activity and brokerage expenditure information is provided to panel members on </w:t>
      </w:r>
      <w:r w:rsidR="00AE47F2" w:rsidRPr="00AE47F2">
        <w:t xml:space="preserve">7d Brokerage </w:t>
      </w:r>
      <w:r w:rsidR="00CD12B4">
        <w:t>N</w:t>
      </w:r>
      <w:r w:rsidR="00AE47F2" w:rsidRPr="00AE47F2">
        <w:t xml:space="preserve">otification </w:t>
      </w:r>
      <w:r w:rsidR="00CD12B4">
        <w:t xml:space="preserve">Form </w:t>
      </w:r>
      <w:r w:rsidR="00A50DFF" w:rsidRPr="00AE47F2">
        <w:t xml:space="preserve">at each </w:t>
      </w:r>
      <w:r w:rsidR="00AE47F2" w:rsidRPr="00AE47F2">
        <w:t xml:space="preserve">panel </w:t>
      </w:r>
      <w:r w:rsidR="00A50DFF" w:rsidRPr="00AE47F2">
        <w:t>meeting</w:t>
      </w:r>
      <w:r w:rsidRPr="00AE47F2">
        <w:t>.</w:t>
      </w:r>
      <w:r w:rsidR="003F3EBD">
        <w:t xml:space="preserve"> The Monthly Snapshot</w:t>
      </w:r>
      <w:r w:rsidR="005B4C45">
        <w:t xml:space="preserve"> Report</w:t>
      </w:r>
      <w:r w:rsidR="003F3EBD">
        <w:t xml:space="preserve"> forwarded to divisions from the Central Complex Needs team is also</w:t>
      </w:r>
      <w:r w:rsidR="005B4C45">
        <w:t xml:space="preserve"> recommended for panel to note.</w:t>
      </w:r>
    </w:p>
    <w:p w14:paraId="54169DC7" w14:textId="51AB6660" w:rsidR="00B2538E" w:rsidRDefault="00B2538E" w:rsidP="000E7482">
      <w:pPr>
        <w:pStyle w:val="Heading2"/>
        <w:numPr>
          <w:ilvl w:val="1"/>
          <w:numId w:val="11"/>
        </w:numPr>
      </w:pPr>
      <w:bookmarkStart w:id="87" w:name="_Toc32229266"/>
      <w:bookmarkStart w:id="88" w:name="_Toc65508233"/>
      <w:bookmarkStart w:id="89" w:name="_Toc112856233"/>
      <w:bookmarkStart w:id="90" w:name="_Toc125713714"/>
      <w:bookmarkStart w:id="91" w:name="_Toc145318571"/>
      <w:r>
        <w:t>Consultation closure</w:t>
      </w:r>
      <w:bookmarkEnd w:id="87"/>
      <w:bookmarkEnd w:id="88"/>
      <w:bookmarkEnd w:id="89"/>
      <w:bookmarkEnd w:id="90"/>
      <w:bookmarkEnd w:id="91"/>
    </w:p>
    <w:p w14:paraId="02AFBBF5" w14:textId="3DC4FF86" w:rsidR="00B2538E" w:rsidRPr="009343CF" w:rsidRDefault="006902C6" w:rsidP="007573A1">
      <w:pPr>
        <w:pStyle w:val="Body"/>
      </w:pPr>
      <w:r w:rsidRPr="009343CF">
        <w:t>Cl</w:t>
      </w:r>
      <w:r w:rsidR="00B2538E" w:rsidRPr="009343CF">
        <w:t xml:space="preserve">osure </w:t>
      </w:r>
      <w:r w:rsidRPr="009343CF">
        <w:t xml:space="preserve">is required when: </w:t>
      </w:r>
    </w:p>
    <w:p w14:paraId="2ACA5642" w14:textId="00EA80C7" w:rsidR="00B2538E" w:rsidRDefault="539DB6E1" w:rsidP="00740A47">
      <w:pPr>
        <w:pStyle w:val="Bullet1"/>
      </w:pPr>
      <w:r>
        <w:lastRenderedPageBreak/>
        <w:t>the matter is believed to be resolved</w:t>
      </w:r>
      <w:r w:rsidR="008F69A8">
        <w:t>, and/or</w:t>
      </w:r>
      <w:r>
        <w:t xml:space="preserve"> </w:t>
      </w:r>
    </w:p>
    <w:p w14:paraId="2F5BFAEC" w14:textId="77777777" w:rsidR="00B2538E" w:rsidRDefault="539DB6E1" w:rsidP="00740A47">
      <w:pPr>
        <w:pStyle w:val="Bullet1"/>
      </w:pPr>
      <w:r>
        <w:t>the involved services have not required further consultation support for 3 months</w:t>
      </w:r>
    </w:p>
    <w:p w14:paraId="76B5EB26" w14:textId="77777777" w:rsidR="00B2538E" w:rsidRDefault="539DB6E1" w:rsidP="00740A47">
      <w:pPr>
        <w:pStyle w:val="Bullet1"/>
      </w:pPr>
      <w:r>
        <w:t>no further tasks have been generated for the Complex Needs Coordinator for 3 months</w:t>
      </w:r>
    </w:p>
    <w:p w14:paraId="77D5E79F" w14:textId="60872B1B" w:rsidR="00C1563D" w:rsidRDefault="004B5968" w:rsidP="00740A47">
      <w:pPr>
        <w:pStyle w:val="Bullet1"/>
      </w:pPr>
      <w:r>
        <w:t>the service response has escalated to Pre-MACNI or formal MACNI</w:t>
      </w:r>
    </w:p>
    <w:p w14:paraId="0FD4A8B0" w14:textId="1DCF683B" w:rsidR="00B2538E" w:rsidRPr="002412A3" w:rsidRDefault="539DB6E1" w:rsidP="0049721E">
      <w:pPr>
        <w:pStyle w:val="lastbullett"/>
      </w:pPr>
      <w:r>
        <w:t>the client decides to withdraw</w:t>
      </w:r>
      <w:r w:rsidR="00F941B2">
        <w:t>.</w:t>
      </w:r>
    </w:p>
    <w:p w14:paraId="6C581125" w14:textId="69A86ED7" w:rsidR="00B2538E" w:rsidRDefault="00B2538E" w:rsidP="007573A1">
      <w:pPr>
        <w:pStyle w:val="Body"/>
      </w:pPr>
      <w:r w:rsidRPr="009343CF">
        <w:t xml:space="preserve">The client can be re-referred </w:t>
      </w:r>
      <w:r w:rsidR="008F69A8">
        <w:t>if</w:t>
      </w:r>
      <w:r w:rsidRPr="009343CF">
        <w:t xml:space="preserve"> the need arises. If the client is re-referred, </w:t>
      </w:r>
      <w:r w:rsidR="009343CF">
        <w:t xml:space="preserve">the Complex Needs Coordinator opens </w:t>
      </w:r>
      <w:r w:rsidRPr="009343CF">
        <w:t>a new consultation record (ensuring client details are updated), reflecting the current reason/goal of consultation, service system issues and service involvement.</w:t>
      </w:r>
      <w:r>
        <w:t xml:space="preserve"> </w:t>
      </w:r>
    </w:p>
    <w:p w14:paraId="0996B4E7"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254"/>
      </w:tblGrid>
      <w:tr w:rsidR="00B2538E" w14:paraId="2FADB029" w14:textId="77777777" w:rsidTr="4A0301FD">
        <w:tc>
          <w:tcPr>
            <w:tcW w:w="0" w:type="auto"/>
            <w:shd w:val="clear" w:color="auto" w:fill="CCE9F8"/>
            <w:vAlign w:val="center"/>
          </w:tcPr>
          <w:p w14:paraId="75A6AA27" w14:textId="77777777" w:rsidR="00B2538E" w:rsidRDefault="00B2538E" w:rsidP="009104F4">
            <w:pPr>
              <w:pStyle w:val="Body"/>
              <w:spacing w:before="120"/>
            </w:pPr>
            <w:r>
              <w:rPr>
                <w:noProof/>
              </w:rPr>
              <w:drawing>
                <wp:inline distT="0" distB="0" distL="0" distR="0" wp14:anchorId="4CD72355" wp14:editId="29427B24">
                  <wp:extent cx="540000" cy="540000"/>
                  <wp:effectExtent l="0" t="0" r="0" b="0"/>
                  <wp:docPr id="291" name="Picture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15DA88C4" w14:textId="77777777" w:rsidR="00B2538E" w:rsidRDefault="00B2538E">
            <w:pPr>
              <w:pStyle w:val="Tablecolhead"/>
              <w:rPr>
                <w:rFonts w:eastAsia="Arial"/>
              </w:rPr>
            </w:pPr>
            <w:r w:rsidRPr="00DF0E4E">
              <w:rPr>
                <w:rFonts w:eastAsia="Arial"/>
              </w:rPr>
              <w:t>Documentation</w:t>
            </w:r>
            <w:r>
              <w:rPr>
                <w:rFonts w:eastAsia="Arial"/>
              </w:rPr>
              <w:t xml:space="preserve"> required</w:t>
            </w:r>
          </w:p>
          <w:p w14:paraId="7BBD7E92" w14:textId="2331366A" w:rsidR="00B2538E" w:rsidRPr="00B83D2D" w:rsidRDefault="0057732D" w:rsidP="00740A47">
            <w:pPr>
              <w:pStyle w:val="Bullet1"/>
            </w:pPr>
            <w:r>
              <w:t>1c C</w:t>
            </w:r>
            <w:r w:rsidR="539DB6E1">
              <w:t>omplex needs recommendations/closure form</w:t>
            </w:r>
          </w:p>
        </w:tc>
      </w:tr>
    </w:tbl>
    <w:p w14:paraId="354BD7F5"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2538E" w14:paraId="413DE9A6" w14:textId="77777777" w:rsidTr="4A0301FD">
        <w:tc>
          <w:tcPr>
            <w:tcW w:w="0" w:type="auto"/>
            <w:shd w:val="clear" w:color="auto" w:fill="99D3F0"/>
            <w:vAlign w:val="center"/>
          </w:tcPr>
          <w:p w14:paraId="39A89B49" w14:textId="77777777" w:rsidR="00B2538E" w:rsidRDefault="00B2538E">
            <w:pPr>
              <w:pStyle w:val="Body"/>
            </w:pPr>
            <w:bookmarkStart w:id="92" w:name="_vx1227" w:colFirst="0" w:colLast="0"/>
            <w:bookmarkEnd w:id="92"/>
            <w:r>
              <w:rPr>
                <w:noProof/>
              </w:rPr>
              <w:drawing>
                <wp:inline distT="0" distB="0" distL="0" distR="0" wp14:anchorId="09FA352B" wp14:editId="767AE5D2">
                  <wp:extent cx="540000" cy="54000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45A0BB9" w14:textId="77777777" w:rsidR="00B2538E" w:rsidRDefault="00B2538E">
            <w:pPr>
              <w:pStyle w:val="Tablecolhead"/>
            </w:pPr>
            <w:r>
              <w:t>Coordinator tasks</w:t>
            </w:r>
          </w:p>
          <w:p w14:paraId="5D8087A1" w14:textId="77777777" w:rsidR="00B2538E" w:rsidRPr="00590061" w:rsidRDefault="539DB6E1" w:rsidP="00740A47">
            <w:pPr>
              <w:pStyle w:val="Bullet1"/>
            </w:pPr>
            <w:r>
              <w:t xml:space="preserve">complete and provide complex needs recommendations/closure form to the referrer </w:t>
            </w:r>
          </w:p>
          <w:p w14:paraId="26E01A02" w14:textId="77777777" w:rsidR="00B2538E" w:rsidRPr="00590061" w:rsidRDefault="539DB6E1" w:rsidP="00740A47">
            <w:pPr>
              <w:pStyle w:val="Bullet1"/>
            </w:pPr>
            <w:r>
              <w:t xml:space="preserve">contact referrer to advise of the closure </w:t>
            </w:r>
          </w:p>
          <w:p w14:paraId="7E52957D" w14:textId="490DECEE" w:rsidR="00B2538E" w:rsidRDefault="539DB6E1" w:rsidP="00740A47">
            <w:pPr>
              <w:pStyle w:val="Bullet1"/>
            </w:pPr>
            <w:r>
              <w:t>update the SharePoint client database, ensuring the closure date is recorded</w:t>
            </w:r>
            <w:r w:rsidR="0049721E">
              <w:t>.</w:t>
            </w:r>
          </w:p>
        </w:tc>
      </w:tr>
    </w:tbl>
    <w:p w14:paraId="5AAEFD2D" w14:textId="77777777" w:rsidR="00A0116C" w:rsidRPr="008C6DEE" w:rsidRDefault="00A0116C" w:rsidP="008C6DEE">
      <w:pPr>
        <w:pStyle w:val="Body"/>
      </w:pPr>
      <w:bookmarkStart w:id="93" w:name="_Toc137636733"/>
      <w:r>
        <w:br w:type="page"/>
      </w:r>
    </w:p>
    <w:p w14:paraId="7F396E47" w14:textId="739949BE" w:rsidR="00B2538E" w:rsidRPr="001279F7" w:rsidRDefault="00B2538E" w:rsidP="00843D94">
      <w:pPr>
        <w:pStyle w:val="Heading1"/>
        <w:numPr>
          <w:ilvl w:val="0"/>
          <w:numId w:val="24"/>
        </w:numPr>
        <w:ind w:left="709" w:hanging="709"/>
      </w:pPr>
      <w:bookmarkStart w:id="94" w:name="_Toc145318572"/>
      <w:r>
        <w:lastRenderedPageBreak/>
        <w:t>Support for High-</w:t>
      </w:r>
      <w:r w:rsidRPr="001279F7">
        <w:t>Risk Tenancies (SfHRT)</w:t>
      </w:r>
      <w:bookmarkEnd w:id="75"/>
      <w:bookmarkEnd w:id="76"/>
      <w:bookmarkEnd w:id="77"/>
      <w:bookmarkEnd w:id="78"/>
      <w:bookmarkEnd w:id="93"/>
      <w:bookmarkEnd w:id="94"/>
      <w:r w:rsidRPr="001279F7">
        <w:t xml:space="preserve"> </w:t>
      </w:r>
      <w:bookmarkEnd w:id="79"/>
    </w:p>
    <w:p w14:paraId="44CC4029" w14:textId="77777777" w:rsidR="00A50DFF" w:rsidRDefault="00A50DFF" w:rsidP="00A50DFF">
      <w:pPr>
        <w:pStyle w:val="Body"/>
        <w:rPr>
          <w:lang w:eastAsia="en-AU"/>
        </w:rPr>
      </w:pPr>
      <w:bookmarkStart w:id="95" w:name="_Hlk23923485"/>
      <w:bookmarkStart w:id="96" w:name="_Toc32229283"/>
      <w:bookmarkStart w:id="97" w:name="_Toc65508250"/>
      <w:bookmarkStart w:id="98" w:name="_Toc112856250"/>
      <w:bookmarkStart w:id="99" w:name="_Toc125713731"/>
      <w:bookmarkStart w:id="100" w:name="_Toc137636736"/>
      <w:bookmarkStart w:id="101" w:name="_Toc17799055"/>
      <w:bookmarkStart w:id="102" w:name="_Toc32229282"/>
      <w:bookmarkStart w:id="103" w:name="_Toc65508249"/>
      <w:bookmarkStart w:id="104" w:name="_Toc112856249"/>
      <w:bookmarkStart w:id="105" w:name="_Toc125713730"/>
      <w:bookmarkStart w:id="106" w:name="_Toc137636734"/>
      <w:r w:rsidRPr="001279F7">
        <w:t>SfHRT provides targeted support</w:t>
      </w:r>
      <w:r>
        <w:t>s</w:t>
      </w:r>
      <w:r w:rsidRPr="001279F7">
        <w:t xml:space="preserve"> for people with complex needs who are at risk of losing their tenancy. This support includes </w:t>
      </w:r>
      <w:r w:rsidRPr="001279F7">
        <w:rPr>
          <w:lang w:eastAsia="en-AU"/>
        </w:rPr>
        <w:t xml:space="preserve">information, consultation, </w:t>
      </w:r>
      <w:r>
        <w:rPr>
          <w:lang w:eastAsia="en-AU"/>
        </w:rPr>
        <w:t>service</w:t>
      </w:r>
      <w:r w:rsidRPr="001279F7">
        <w:rPr>
          <w:lang w:eastAsia="en-AU"/>
        </w:rPr>
        <w:t xml:space="preserve"> coordination and/or provision of brokerage to maintain a tenancy. </w:t>
      </w:r>
      <w:bookmarkEnd w:id="95"/>
    </w:p>
    <w:p w14:paraId="73B7C743" w14:textId="473AC188" w:rsidR="00A50DFF" w:rsidRPr="000E1091" w:rsidRDefault="00A50DFF" w:rsidP="000E7482">
      <w:pPr>
        <w:pStyle w:val="Heading2"/>
        <w:numPr>
          <w:ilvl w:val="1"/>
          <w:numId w:val="20"/>
        </w:numPr>
      </w:pPr>
      <w:bookmarkStart w:id="107" w:name="_Toc145318573"/>
      <w:r w:rsidRPr="000E1091">
        <w:t>Eligibility</w:t>
      </w:r>
      <w:bookmarkEnd w:id="96"/>
      <w:bookmarkEnd w:id="97"/>
      <w:bookmarkEnd w:id="98"/>
      <w:bookmarkEnd w:id="99"/>
      <w:bookmarkEnd w:id="100"/>
      <w:bookmarkEnd w:id="107"/>
    </w:p>
    <w:p w14:paraId="6C64491A" w14:textId="074EE71D" w:rsidR="00A50DFF" w:rsidRPr="000E1091" w:rsidRDefault="00A50DFF" w:rsidP="00A50DFF">
      <w:pPr>
        <w:pStyle w:val="Body"/>
      </w:pPr>
      <w:bookmarkStart w:id="108" w:name="_Hlk23923497"/>
      <w:bookmarkStart w:id="109" w:name="_Hlk25138278"/>
      <w:r>
        <w:t xml:space="preserve">Eligible clients </w:t>
      </w:r>
      <w:r w:rsidRPr="000E1091">
        <w:t xml:space="preserve">are predominantly public housing </w:t>
      </w:r>
      <w:r>
        <w:t>renters</w:t>
      </w:r>
      <w:r w:rsidRPr="000E1091">
        <w:t xml:space="preserve">, </w:t>
      </w:r>
      <w:r>
        <w:t xml:space="preserve">although </w:t>
      </w:r>
      <w:r w:rsidRPr="000E1091">
        <w:t xml:space="preserve">services are also offered to </w:t>
      </w:r>
      <w:r>
        <w:t>renters</w:t>
      </w:r>
      <w:r w:rsidRPr="000E1091">
        <w:t xml:space="preserve"> in community housing</w:t>
      </w:r>
      <w:bookmarkEnd w:id="108"/>
      <w:r>
        <w:t xml:space="preserve"> when</w:t>
      </w:r>
      <w:r w:rsidRPr="000E1091">
        <w:t>:</w:t>
      </w:r>
    </w:p>
    <w:p w14:paraId="5E555CB6" w14:textId="77777777" w:rsidR="00A50DFF" w:rsidRPr="000E1091" w:rsidRDefault="00A50DFF" w:rsidP="00740A47">
      <w:pPr>
        <w:pStyle w:val="Bullet1"/>
      </w:pPr>
      <w:r>
        <w:t>the tenancy is at imminent risk of failure</w:t>
      </w:r>
    </w:p>
    <w:p w14:paraId="0BD28C1C" w14:textId="77777777" w:rsidR="00A50DFF" w:rsidRPr="000E1091" w:rsidRDefault="00A50DFF" w:rsidP="00740A47">
      <w:pPr>
        <w:pStyle w:val="Bullet1"/>
      </w:pPr>
      <w:r>
        <w:t>the renter is not responding to multiple intervention attempts from housing support services or the tenancy support service provider</w:t>
      </w:r>
    </w:p>
    <w:p w14:paraId="2755C76B" w14:textId="77777777" w:rsidR="00A50DFF" w:rsidRPr="000E1091" w:rsidRDefault="00A50DFF" w:rsidP="00740A47">
      <w:pPr>
        <w:pStyle w:val="Bullet1"/>
      </w:pPr>
      <w:r>
        <w:t xml:space="preserve">circumstances make it difficult for them to establish their tenancy and there are no other service options. These renters will have complex behaviours that prevent them from engaging with support services. </w:t>
      </w:r>
    </w:p>
    <w:p w14:paraId="20D02505" w14:textId="77777777" w:rsidR="00A50DFF" w:rsidRPr="000E1091" w:rsidRDefault="00A50DFF" w:rsidP="008D0041">
      <w:pPr>
        <w:pStyle w:val="lastbullett"/>
      </w:pPr>
      <w:r>
        <w:t>the renter has complex support needs including but not limited to mental health, drug and alcohol and behavioural issues require intensive support from a range of programs and services to assist them to maintain their tenancy.</w:t>
      </w:r>
    </w:p>
    <w:p w14:paraId="541371AE" w14:textId="3ED58507" w:rsidR="00777FA5" w:rsidRDefault="00541391" w:rsidP="00843D94">
      <w:pPr>
        <w:pStyle w:val="Heading2"/>
        <w:numPr>
          <w:ilvl w:val="1"/>
          <w:numId w:val="20"/>
        </w:numPr>
      </w:pPr>
      <w:bookmarkStart w:id="110" w:name="_Toc32229284"/>
      <w:bookmarkStart w:id="111" w:name="_Toc65508251"/>
      <w:bookmarkStart w:id="112" w:name="_Toc112856251"/>
      <w:bookmarkStart w:id="113" w:name="_Toc125713732"/>
      <w:bookmarkStart w:id="114" w:name="_Toc137636737"/>
      <w:bookmarkStart w:id="115" w:name="_Toc145318574"/>
      <w:bookmarkEnd w:id="101"/>
      <w:bookmarkEnd w:id="102"/>
      <w:bookmarkEnd w:id="103"/>
      <w:bookmarkEnd w:id="104"/>
      <w:bookmarkEnd w:id="105"/>
      <w:bookmarkEnd w:id="106"/>
      <w:bookmarkEnd w:id="109"/>
      <w:r>
        <w:t>R</w:t>
      </w:r>
      <w:r w:rsidR="00777FA5">
        <w:t>esponse</w:t>
      </w:r>
      <w:bookmarkEnd w:id="115"/>
    </w:p>
    <w:p w14:paraId="03B38B27" w14:textId="77777777" w:rsidR="00777FA5" w:rsidRPr="001279F7" w:rsidRDefault="00777FA5" w:rsidP="00777FA5">
      <w:pPr>
        <w:pStyle w:val="Body"/>
      </w:pPr>
      <w:r w:rsidRPr="001279F7">
        <w:t>SfHRT offers a variety of responses to a referral, these include:</w:t>
      </w:r>
    </w:p>
    <w:p w14:paraId="19EE131D" w14:textId="77777777" w:rsidR="00777FA5" w:rsidRPr="001279F7" w:rsidRDefault="00777FA5" w:rsidP="00740A47">
      <w:pPr>
        <w:pStyle w:val="Bullet1"/>
      </w:pPr>
      <w:r>
        <w:t>consultation, information and advice</w:t>
      </w:r>
    </w:p>
    <w:p w14:paraId="5D600D5F" w14:textId="77777777" w:rsidR="00777FA5" w:rsidRPr="001279F7" w:rsidRDefault="00777FA5" w:rsidP="00740A47">
      <w:pPr>
        <w:pStyle w:val="Bullet1"/>
      </w:pPr>
      <w:r>
        <w:t>advocacy or liaison within the department</w:t>
      </w:r>
    </w:p>
    <w:p w14:paraId="48EDD442" w14:textId="77777777" w:rsidR="00777FA5" w:rsidRPr="001279F7" w:rsidRDefault="00777FA5" w:rsidP="00740A47">
      <w:pPr>
        <w:pStyle w:val="Bullet1"/>
      </w:pPr>
      <w:r>
        <w:t>brokerage to assist in ways that will maintain the tenancy</w:t>
      </w:r>
    </w:p>
    <w:p w14:paraId="66F4C8EF" w14:textId="77777777" w:rsidR="00777FA5" w:rsidRPr="001279F7" w:rsidRDefault="00777FA5" w:rsidP="008D0041">
      <w:pPr>
        <w:pStyle w:val="lastbullett"/>
      </w:pPr>
      <w:r w:rsidRPr="00777FA5">
        <w:t>coordinating</w:t>
      </w:r>
      <w:r>
        <w:t xml:space="preserve"> care teams to establish supports and/or a care plan.</w:t>
      </w:r>
    </w:p>
    <w:p w14:paraId="3093C0F8" w14:textId="1B6FC219" w:rsidR="00777FA5" w:rsidRDefault="00777FA5" w:rsidP="00777FA5">
      <w:pPr>
        <w:pStyle w:val="Bodyafterbullets"/>
      </w:pPr>
      <w:r w:rsidRPr="001279F7">
        <w:t>SfHRT is not a case management or direct service delivery response</w:t>
      </w:r>
      <w:r>
        <w:t>. SfHRT eligible renters</w:t>
      </w:r>
      <w:r w:rsidRPr="000E1091">
        <w:t xml:space="preserve"> may already be receiving support from a range of service providers, </w:t>
      </w:r>
      <w:r>
        <w:t xml:space="preserve">and </w:t>
      </w:r>
      <w:r w:rsidRPr="000E1091">
        <w:t xml:space="preserve">a referral to SfHRT </w:t>
      </w:r>
      <w:r>
        <w:t xml:space="preserve">aims to </w:t>
      </w:r>
      <w:r w:rsidRPr="000E1091">
        <w:t xml:space="preserve">enhance </w:t>
      </w:r>
      <w:r>
        <w:t>service</w:t>
      </w:r>
      <w:r w:rsidRPr="000E1091">
        <w:t xml:space="preserve"> coordination and the development of a shared care plan</w:t>
      </w:r>
      <w:r>
        <w:t xml:space="preserve"> for a limited period</w:t>
      </w:r>
      <w:r w:rsidRPr="000E1091">
        <w:t xml:space="preserve">. </w:t>
      </w:r>
    </w:p>
    <w:p w14:paraId="5FC167BE" w14:textId="6C5897EC" w:rsidR="00777FA5" w:rsidRDefault="00777FA5" w:rsidP="00777FA5">
      <w:pPr>
        <w:pStyle w:val="Body"/>
      </w:pPr>
      <w:r w:rsidRPr="000E1091">
        <w:t xml:space="preserve">Note: </w:t>
      </w:r>
      <w:r>
        <w:t>Renters</w:t>
      </w:r>
      <w:r w:rsidRPr="000E1091">
        <w:t xml:space="preserve"> in community housing are offered all SfHRT service responses excluding brokerage.</w:t>
      </w:r>
    </w:p>
    <w:p w14:paraId="276C8F74" w14:textId="54EDF4EB" w:rsidR="00777FA5" w:rsidRPr="00777FA5" w:rsidRDefault="00777FA5" w:rsidP="00777FA5">
      <w:pPr>
        <w:pStyle w:val="Body"/>
        <w:rPr>
          <w:lang w:eastAsia="en-AU"/>
        </w:rPr>
      </w:pPr>
      <w:r>
        <w:t>T</w:t>
      </w:r>
      <w:r w:rsidRPr="001279F7">
        <w:t xml:space="preserve">emplates are provided in the </w:t>
      </w:r>
      <w:r w:rsidRPr="007631B1">
        <w:t>appendi</w:t>
      </w:r>
      <w:r w:rsidR="007631B1" w:rsidRPr="007631B1">
        <w:t>ces</w:t>
      </w:r>
      <w:r w:rsidRPr="001279F7">
        <w:t xml:space="preserve"> to assist </w:t>
      </w:r>
      <w:r>
        <w:t>a</w:t>
      </w:r>
      <w:r w:rsidRPr="001279F7">
        <w:t>reas</w:t>
      </w:r>
      <w:r>
        <w:t xml:space="preserve"> to</w:t>
      </w:r>
      <w:r w:rsidRPr="001279F7">
        <w:t xml:space="preserve"> implement SfHRT. The templates used by Complex Needs Coordinators to enhance consistency and promote adherence to legislation and operational guidelines.</w:t>
      </w:r>
    </w:p>
    <w:p w14:paraId="29BF4A11" w14:textId="77355539" w:rsidR="00777FA5" w:rsidRDefault="00777FA5" w:rsidP="00843D94">
      <w:pPr>
        <w:pStyle w:val="Heading2"/>
        <w:numPr>
          <w:ilvl w:val="1"/>
          <w:numId w:val="20"/>
        </w:numPr>
      </w:pPr>
      <w:bookmarkStart w:id="116" w:name="_Toc145318575"/>
      <w:r>
        <w:t>Collaboration</w:t>
      </w:r>
      <w:bookmarkEnd w:id="116"/>
    </w:p>
    <w:p w14:paraId="41D5BCC5" w14:textId="77777777" w:rsidR="00777FA5" w:rsidRDefault="00777FA5" w:rsidP="00777FA5">
      <w:pPr>
        <w:pStyle w:val="Body"/>
        <w:rPr>
          <w:lang w:eastAsia="en-AU"/>
        </w:rPr>
      </w:pPr>
      <w:r>
        <w:rPr>
          <w:lang w:eastAsia="en-AU"/>
        </w:rPr>
        <w:t>SfHRT is a c</w:t>
      </w:r>
      <w:r w:rsidRPr="001279F7">
        <w:rPr>
          <w:lang w:eastAsia="en-AU"/>
        </w:rPr>
        <w:t xml:space="preserve">ollaborative practice with departmental property and tenancy staff, Tenancy Plus providers and other housing support services is crucial in the understanding and relationship with the tenant. </w:t>
      </w:r>
    </w:p>
    <w:p w14:paraId="0E74B2F7" w14:textId="63CE78CC" w:rsidR="00777FA5" w:rsidRPr="00777FA5" w:rsidRDefault="00777FA5" w:rsidP="00777FA5">
      <w:pPr>
        <w:pStyle w:val="Body"/>
        <w:rPr>
          <w:lang w:eastAsia="en-AU"/>
        </w:rPr>
      </w:pPr>
      <w:r w:rsidRPr="005C2F20">
        <w:rPr>
          <w:rFonts w:cs="Arial"/>
        </w:rPr>
        <w:t>SfHRT</w:t>
      </w:r>
      <w:r>
        <w:rPr>
          <w:rFonts w:cs="Arial"/>
        </w:rPr>
        <w:t xml:space="preserve"> also </w:t>
      </w:r>
      <w:r w:rsidRPr="005C2F20">
        <w:rPr>
          <w:rFonts w:cs="Arial"/>
        </w:rPr>
        <w:t>complements the integrated community services system model, family violence initiatives and broader reform agenda.</w:t>
      </w:r>
    </w:p>
    <w:p w14:paraId="00009DE0" w14:textId="5AF369E8" w:rsidR="00777FA5" w:rsidRPr="000E1091" w:rsidRDefault="00777FA5" w:rsidP="00777FA5">
      <w:pPr>
        <w:pStyle w:val="Bodyafterbullets"/>
      </w:pPr>
      <w:r>
        <w:t>I</w:t>
      </w:r>
      <w:r w:rsidRPr="001279F7">
        <w:t xml:space="preserve">t is expected that </w:t>
      </w:r>
      <w:r>
        <w:t xml:space="preserve">a renter’s </w:t>
      </w:r>
      <w:r w:rsidRPr="001279F7">
        <w:t xml:space="preserve">lead service provider/key worker will continue to maintain the role as primary contact/liaison for the client throughout the involvement of the </w:t>
      </w:r>
      <w:r>
        <w:t>Complex Needs C</w:t>
      </w:r>
      <w:r w:rsidRPr="001279F7">
        <w:t xml:space="preserve">oordinator. </w:t>
      </w:r>
      <w:r w:rsidRPr="001279F7">
        <w:lastRenderedPageBreak/>
        <w:t>The Complex Needs Coordinator involvement is only active if the referrer or lead support organisation remains in contact.</w:t>
      </w:r>
    </w:p>
    <w:p w14:paraId="3E3B4BF0" w14:textId="77777777" w:rsidR="00777FA5" w:rsidRDefault="00777FA5" w:rsidP="00777FA5">
      <w:pPr>
        <w:pStyle w:val="Body"/>
      </w:pPr>
      <w:r w:rsidRPr="001279F7">
        <w:t xml:space="preserve">There are various services that </w:t>
      </w:r>
      <w:r>
        <w:t>should</w:t>
      </w:r>
      <w:r w:rsidRPr="001279F7">
        <w:t xml:space="preserve"> be accessed for tenancy assistance prior to referral to SfHRT services. </w:t>
      </w:r>
      <w:r>
        <w:t>As such, i</w:t>
      </w:r>
      <w:r w:rsidRPr="001279F7">
        <w:t xml:space="preserve">t is anticipated that other tenancy management options have been attempted or explored prior to a referral to SfHRT, and the referring program has tried to resolve the tenancy issue through active communication with the relevant support links. </w:t>
      </w:r>
    </w:p>
    <w:p w14:paraId="7F6257EE" w14:textId="4732D088" w:rsidR="00777FA5" w:rsidRPr="00777FA5" w:rsidRDefault="00777FA5" w:rsidP="00777FA5">
      <w:pPr>
        <w:pStyle w:val="Body"/>
      </w:pPr>
      <w:r w:rsidRPr="001279F7">
        <w:t xml:space="preserve">The primary provider of support to social housing </w:t>
      </w:r>
      <w:r>
        <w:t>renters</w:t>
      </w:r>
      <w:r w:rsidRPr="001279F7">
        <w:t xml:space="preserve"> is the department</w:t>
      </w:r>
      <w:r>
        <w:t xml:space="preserve"> </w:t>
      </w:r>
      <w:r w:rsidRPr="001279F7">
        <w:t>funded Tenancy Plus. Support providers offering Tenancy Plus provide early intervention and work in partnership with the department’s housing program, other department program areas, community housing agencies and the general service sector.</w:t>
      </w:r>
    </w:p>
    <w:p w14:paraId="2AB97DC2" w14:textId="2FE5FABF" w:rsidR="00B2538E" w:rsidRPr="000E1091" w:rsidRDefault="00541391" w:rsidP="00843D94">
      <w:pPr>
        <w:pStyle w:val="Heading2"/>
        <w:numPr>
          <w:ilvl w:val="1"/>
          <w:numId w:val="20"/>
        </w:numPr>
      </w:pPr>
      <w:bookmarkStart w:id="117" w:name="_Toc145318576"/>
      <w:r>
        <w:t>I</w:t>
      </w:r>
      <w:r w:rsidR="00B2538E" w:rsidRPr="000E1091">
        <w:t>dentification and referral</w:t>
      </w:r>
      <w:bookmarkEnd w:id="110"/>
      <w:bookmarkEnd w:id="111"/>
      <w:bookmarkEnd w:id="112"/>
      <w:bookmarkEnd w:id="113"/>
      <w:bookmarkEnd w:id="114"/>
      <w:bookmarkEnd w:id="117"/>
    </w:p>
    <w:p w14:paraId="291A4FC6" w14:textId="1CCFCE41" w:rsidR="00B2538E" w:rsidRPr="000E1091" w:rsidRDefault="00B2538E" w:rsidP="007573A1">
      <w:pPr>
        <w:pStyle w:val="Body"/>
      </w:pPr>
      <w:r w:rsidRPr="000E1091">
        <w:t xml:space="preserve">Common </w:t>
      </w:r>
      <w:r w:rsidR="00777FA5">
        <w:t xml:space="preserve">reasons for </w:t>
      </w:r>
      <w:r w:rsidRPr="000E1091">
        <w:t>referral to SfHRT</w:t>
      </w:r>
      <w:r w:rsidR="00777FA5">
        <w:t xml:space="preserve"> are</w:t>
      </w:r>
      <w:r w:rsidRPr="000E1091">
        <w:t xml:space="preserve"> hoarding, antisocial behaviour (mental health or substance misuse), environmental neglect and/or family violence. In some cases, the department may have already breached the client or are indicating that legal action is imminent. </w:t>
      </w:r>
    </w:p>
    <w:p w14:paraId="71731FAA" w14:textId="77777777" w:rsidR="00B2538E" w:rsidRPr="000E1091" w:rsidRDefault="00B2538E" w:rsidP="007573A1">
      <w:pPr>
        <w:pStyle w:val="Body"/>
      </w:pPr>
      <w:r w:rsidRPr="000E1091">
        <w:t>SfHRT has the capacity to provide prompt advice and consultation to referrers in time pressured situations via phone, email or in person</w:t>
      </w:r>
      <w:r w:rsidRPr="000E1091">
        <w:rPr>
          <w:rFonts w:cs="Arial"/>
        </w:rPr>
        <w:t xml:space="preserve">. </w:t>
      </w:r>
      <w:r w:rsidRPr="000E1091">
        <w:t xml:space="preserve">This initial contact will determine if the client is eligible for SfHRT and if a more detailed referral form is required. This function aims to support the early identification of tenancies at-risk and focus on prevention, whilst providing capacity building to housing services. </w:t>
      </w:r>
    </w:p>
    <w:p w14:paraId="6892BA8F" w14:textId="0B275A7F" w:rsidR="00B2538E" w:rsidRPr="000E1091" w:rsidRDefault="00B2538E" w:rsidP="007573A1">
      <w:pPr>
        <w:pStyle w:val="Body"/>
      </w:pPr>
      <w:r w:rsidRPr="000E1091">
        <w:t xml:space="preserve">Where it is determined during initial contact that a more intensive advocacy, brokerage or </w:t>
      </w:r>
      <w:r>
        <w:t>service</w:t>
      </w:r>
      <w:r w:rsidRPr="000E1091">
        <w:t xml:space="preserve"> coordination may be required, </w:t>
      </w:r>
      <w:r w:rsidRPr="000E1091">
        <w:rPr>
          <w:rFonts w:cs="Arial"/>
        </w:rPr>
        <w:t xml:space="preserve">a </w:t>
      </w:r>
      <w:r w:rsidRPr="000E1091">
        <w:t xml:space="preserve">completed Complex Needs </w:t>
      </w:r>
      <w:r w:rsidR="003944C3" w:rsidRPr="00B66A85">
        <w:t>referral</w:t>
      </w:r>
      <w:r w:rsidRPr="00B66A85">
        <w:t xml:space="preserve"> form</w:t>
      </w:r>
      <w:r w:rsidRPr="000E1091">
        <w:t xml:space="preserve"> is required. This </w:t>
      </w:r>
      <w:r w:rsidR="003944C3" w:rsidRPr="00B66A85">
        <w:t>referral</w:t>
      </w:r>
      <w:r w:rsidRPr="00B66A85">
        <w:t xml:space="preserve"> form</w:t>
      </w:r>
      <w:r w:rsidRPr="000E1091">
        <w:t xml:space="preserve"> also enables requests for brokerage to be documented. </w:t>
      </w:r>
    </w:p>
    <w:p w14:paraId="600BFF40" w14:textId="77777777" w:rsidR="00B2538E" w:rsidRPr="000E1091" w:rsidRDefault="00B2538E" w:rsidP="007573A1">
      <w:pPr>
        <w:pStyle w:val="Body"/>
      </w:pPr>
      <w:r w:rsidRPr="000E1091">
        <w:t xml:space="preserve">Any contact or correspondence that requires the Complex Needs Coordinator to provide information, practice advice, system navigation, problem solving, referral or coordination is regarded as a consultation. </w:t>
      </w:r>
    </w:p>
    <w:p w14:paraId="474C2B64" w14:textId="77777777" w:rsidR="00B2538E" w:rsidRPr="00ED797A"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429"/>
      </w:tblGrid>
      <w:tr w:rsidR="00B2538E" w14:paraId="3CBC1E87" w14:textId="77777777" w:rsidTr="002122B4">
        <w:tc>
          <w:tcPr>
            <w:tcW w:w="0" w:type="auto"/>
            <w:shd w:val="clear" w:color="auto" w:fill="CCE9F8"/>
            <w:vAlign w:val="center"/>
          </w:tcPr>
          <w:p w14:paraId="50297FCE" w14:textId="77777777" w:rsidR="00B2538E" w:rsidRDefault="00B2538E">
            <w:pPr>
              <w:pStyle w:val="Body"/>
            </w:pPr>
            <w:r>
              <w:rPr>
                <w:noProof/>
              </w:rPr>
              <w:drawing>
                <wp:inline distT="0" distB="0" distL="0" distR="0" wp14:anchorId="64D4FF32" wp14:editId="63CFB002">
                  <wp:extent cx="540000" cy="540000"/>
                  <wp:effectExtent l="0" t="0" r="0" b="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6318F1ED" w14:textId="77777777" w:rsidR="00B2538E" w:rsidRDefault="00B2538E">
            <w:pPr>
              <w:pStyle w:val="Tablecolhead"/>
              <w:rPr>
                <w:rFonts w:eastAsia="Arial"/>
              </w:rPr>
            </w:pPr>
            <w:r>
              <w:rPr>
                <w:rFonts w:eastAsia="Arial"/>
              </w:rPr>
              <w:t>Documentation required</w:t>
            </w:r>
          </w:p>
          <w:p w14:paraId="4F06071C" w14:textId="5281B5C9" w:rsidR="00B2538E" w:rsidRDefault="0057732D" w:rsidP="00740A47">
            <w:pPr>
              <w:pStyle w:val="Bullet1"/>
            </w:pPr>
            <w:r>
              <w:t>1 C</w:t>
            </w:r>
            <w:r w:rsidR="539DB6E1">
              <w:t xml:space="preserve">omplex needs </w:t>
            </w:r>
            <w:r w:rsidR="008D0041" w:rsidRPr="00B66A85">
              <w:t>Referral Form</w:t>
            </w:r>
          </w:p>
          <w:p w14:paraId="354B9A3C" w14:textId="4D3E475F" w:rsidR="00B2538E" w:rsidRPr="00745E4C" w:rsidRDefault="0057732D" w:rsidP="00740A47">
            <w:pPr>
              <w:pStyle w:val="Bullet1"/>
            </w:pPr>
            <w:r>
              <w:t>5</w:t>
            </w:r>
            <w:r w:rsidR="00CD7E61">
              <w:t>b</w:t>
            </w:r>
            <w:r>
              <w:t xml:space="preserve"> Duty of Care </w:t>
            </w:r>
            <w:r w:rsidR="008D0041">
              <w:t xml:space="preserve">Referral Form </w:t>
            </w:r>
            <w:r>
              <w:t>(as required)</w:t>
            </w:r>
          </w:p>
          <w:p w14:paraId="3068BA34" w14:textId="0C8BFF0B" w:rsidR="00B2538E" w:rsidRPr="00B83D2D" w:rsidRDefault="00FF55D5" w:rsidP="00740A47">
            <w:pPr>
              <w:pStyle w:val="Bullet1"/>
            </w:pPr>
            <w:r>
              <w:t xml:space="preserve">1c </w:t>
            </w:r>
            <w:r w:rsidR="0057732D">
              <w:t>C</w:t>
            </w:r>
            <w:r w:rsidR="539DB6E1">
              <w:t>omplex needs recommendations / closure form.</w:t>
            </w:r>
          </w:p>
        </w:tc>
      </w:tr>
    </w:tbl>
    <w:p w14:paraId="17EBFF61"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2538E" w14:paraId="5D640754" w14:textId="77777777" w:rsidTr="002122B4">
        <w:tc>
          <w:tcPr>
            <w:tcW w:w="0" w:type="auto"/>
            <w:shd w:val="clear" w:color="auto" w:fill="99D3F0"/>
            <w:vAlign w:val="center"/>
          </w:tcPr>
          <w:p w14:paraId="53B0FA03" w14:textId="77777777" w:rsidR="00B2538E" w:rsidRDefault="00B2538E">
            <w:pPr>
              <w:pStyle w:val="Body"/>
            </w:pPr>
            <w:r>
              <w:rPr>
                <w:noProof/>
              </w:rPr>
              <w:drawing>
                <wp:inline distT="0" distB="0" distL="0" distR="0" wp14:anchorId="27783391" wp14:editId="31A02D58">
                  <wp:extent cx="540000" cy="540000"/>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477433C2" w14:textId="77777777" w:rsidR="00B2538E" w:rsidRDefault="00B2538E">
            <w:pPr>
              <w:pStyle w:val="Tablecolhead"/>
            </w:pPr>
            <w:r>
              <w:t>Coordinator tasks</w:t>
            </w:r>
          </w:p>
          <w:p w14:paraId="4FF27E2E" w14:textId="7306A841" w:rsidR="00B2538E" w:rsidRPr="00590061" w:rsidRDefault="539DB6E1" w:rsidP="00740A47">
            <w:pPr>
              <w:pStyle w:val="Bullet1"/>
            </w:pPr>
            <w:r>
              <w:t xml:space="preserve">ensure the Complex Needs </w:t>
            </w:r>
            <w:r w:rsidR="008D0041" w:rsidRPr="00B66A85">
              <w:t>Referral Form</w:t>
            </w:r>
            <w:r w:rsidR="008D0041">
              <w:t xml:space="preserve"> </w:t>
            </w:r>
            <w:r>
              <w:t>is completed</w:t>
            </w:r>
          </w:p>
          <w:p w14:paraId="24DF8959" w14:textId="77777777" w:rsidR="00B2538E" w:rsidRPr="00590061" w:rsidRDefault="539DB6E1" w:rsidP="00740A47">
            <w:pPr>
              <w:pStyle w:val="Bullet1"/>
            </w:pPr>
            <w:r>
              <w:t>provide referral advice and consultation as required</w:t>
            </w:r>
          </w:p>
          <w:p w14:paraId="2EA4DE9E" w14:textId="11F8D15D" w:rsidR="00B2538E" w:rsidRPr="000E1091" w:rsidRDefault="539DB6E1" w:rsidP="00740A47">
            <w:pPr>
              <w:pStyle w:val="Bullet1"/>
            </w:pPr>
            <w:r>
              <w:t xml:space="preserve">record the contact under the </w:t>
            </w:r>
            <w:r w:rsidR="008D0041">
              <w:t>renter</w:t>
            </w:r>
            <w:r>
              <w:t xml:space="preserve">’s client number in HiiP and note the advice provided </w:t>
            </w:r>
          </w:p>
          <w:p w14:paraId="05FD3196" w14:textId="77777777" w:rsidR="00B2538E" w:rsidRPr="00EB2222" w:rsidRDefault="539DB6E1" w:rsidP="00740A47">
            <w:pPr>
              <w:pStyle w:val="Bullet1"/>
            </w:pPr>
            <w:r>
              <w:t>update the SharePoint SfHRT client database.</w:t>
            </w:r>
          </w:p>
        </w:tc>
      </w:tr>
    </w:tbl>
    <w:p w14:paraId="617A186D" w14:textId="2DAB34B5" w:rsidR="00B2538E" w:rsidRDefault="00541391" w:rsidP="00843D94">
      <w:pPr>
        <w:pStyle w:val="Heading2"/>
        <w:numPr>
          <w:ilvl w:val="1"/>
          <w:numId w:val="20"/>
        </w:numPr>
      </w:pPr>
      <w:bookmarkStart w:id="118" w:name="_Toc17799058"/>
      <w:bookmarkStart w:id="119" w:name="_Toc32229285"/>
      <w:bookmarkStart w:id="120" w:name="_Toc65508252"/>
      <w:bookmarkStart w:id="121" w:name="_Toc112856252"/>
      <w:bookmarkStart w:id="122" w:name="_Toc125713733"/>
      <w:bookmarkStart w:id="123" w:name="_Toc137636738"/>
      <w:bookmarkStart w:id="124" w:name="_Toc145318577"/>
      <w:r>
        <w:lastRenderedPageBreak/>
        <w:t>C</w:t>
      </w:r>
      <w:r w:rsidR="00B2538E" w:rsidRPr="000E1091">
        <w:t>onsultation</w:t>
      </w:r>
      <w:bookmarkEnd w:id="118"/>
      <w:bookmarkEnd w:id="119"/>
      <w:bookmarkEnd w:id="120"/>
      <w:bookmarkEnd w:id="121"/>
      <w:bookmarkEnd w:id="122"/>
      <w:bookmarkEnd w:id="123"/>
      <w:bookmarkEnd w:id="124"/>
    </w:p>
    <w:p w14:paraId="2407F18E" w14:textId="546FFEFE" w:rsidR="00B2538E" w:rsidRPr="000E1091" w:rsidRDefault="00B2538E" w:rsidP="007573A1">
      <w:pPr>
        <w:pStyle w:val="Body"/>
      </w:pPr>
      <w:r w:rsidRPr="000E1091">
        <w:t xml:space="preserve">Where the department’s housing staff or community organisations, including the tenancy support service providers, need advice regarding a public housing </w:t>
      </w:r>
      <w:r w:rsidR="00777FA5">
        <w:t xml:space="preserve">renter </w:t>
      </w:r>
      <w:r w:rsidRPr="000E1091">
        <w:t>with complex behaviours/needs, the Complex Needs Coordinator should be consulted.</w:t>
      </w:r>
    </w:p>
    <w:p w14:paraId="5FCA93E6" w14:textId="3CE47DC2" w:rsidR="00B2538E" w:rsidRPr="000E1091" w:rsidRDefault="00B2538E" w:rsidP="007573A1">
      <w:pPr>
        <w:pStyle w:val="Body"/>
      </w:pPr>
      <w:r w:rsidRPr="000E1091">
        <w:t xml:space="preserve">SfHRT consultation </w:t>
      </w:r>
      <w:r w:rsidR="009D54BF">
        <w:t>includes advice on</w:t>
      </w:r>
      <w:r w:rsidRPr="000E1091">
        <w:t>:</w:t>
      </w:r>
    </w:p>
    <w:p w14:paraId="7998CB0C" w14:textId="77777777" w:rsidR="00B2538E" w:rsidRPr="00FF7F00" w:rsidRDefault="539DB6E1" w:rsidP="00740A47">
      <w:pPr>
        <w:pStyle w:val="Bullet1"/>
      </w:pPr>
      <w:r w:rsidRPr="00FF7F00">
        <w:t xml:space="preserve">best practice </w:t>
      </w:r>
    </w:p>
    <w:p w14:paraId="75B28C28" w14:textId="77777777" w:rsidR="00B2538E" w:rsidRPr="00FF7F00" w:rsidRDefault="539DB6E1" w:rsidP="00740A47">
      <w:pPr>
        <w:pStyle w:val="Bullet1"/>
      </w:pPr>
      <w:r w:rsidRPr="00FF7F00">
        <w:t>service coordination</w:t>
      </w:r>
    </w:p>
    <w:p w14:paraId="5DB7E406" w14:textId="77777777" w:rsidR="00B2538E" w:rsidRPr="00FF7F00" w:rsidRDefault="539DB6E1" w:rsidP="00740A47">
      <w:pPr>
        <w:pStyle w:val="Bullet1"/>
      </w:pPr>
      <w:r w:rsidRPr="00FF7F00">
        <w:t>system navigation</w:t>
      </w:r>
    </w:p>
    <w:p w14:paraId="72B3A001" w14:textId="77777777" w:rsidR="00B2538E" w:rsidRPr="00FF7F00" w:rsidRDefault="539DB6E1" w:rsidP="00740A47">
      <w:pPr>
        <w:pStyle w:val="Bullet1"/>
      </w:pPr>
      <w:r w:rsidRPr="00FF7F00">
        <w:t>care planning</w:t>
      </w:r>
    </w:p>
    <w:p w14:paraId="700E40CB" w14:textId="77777777" w:rsidR="00B2538E" w:rsidRPr="00FF7F00" w:rsidRDefault="539DB6E1" w:rsidP="00740A47">
      <w:pPr>
        <w:pStyle w:val="Bullet1"/>
      </w:pPr>
      <w:r w:rsidRPr="00FF7F00">
        <w:t>capacity building.</w:t>
      </w:r>
    </w:p>
    <w:p w14:paraId="6DD8A474"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215"/>
      </w:tblGrid>
      <w:tr w:rsidR="00B2538E" w14:paraId="294E6A21" w14:textId="77777777" w:rsidTr="002122B4">
        <w:tc>
          <w:tcPr>
            <w:tcW w:w="0" w:type="auto"/>
            <w:shd w:val="clear" w:color="auto" w:fill="99D3F0"/>
            <w:vAlign w:val="center"/>
          </w:tcPr>
          <w:p w14:paraId="2B29E7F5" w14:textId="77777777" w:rsidR="00B2538E" w:rsidRDefault="00B2538E">
            <w:pPr>
              <w:pStyle w:val="Body"/>
            </w:pPr>
            <w:r>
              <w:rPr>
                <w:noProof/>
              </w:rPr>
              <w:drawing>
                <wp:inline distT="0" distB="0" distL="0" distR="0" wp14:anchorId="5C489B52" wp14:editId="68F86308">
                  <wp:extent cx="540000" cy="540000"/>
                  <wp:effectExtent l="0" t="0" r="0" b="0"/>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01B4788D" w14:textId="77777777" w:rsidR="00B2538E" w:rsidRDefault="00B2538E">
            <w:pPr>
              <w:pStyle w:val="Tablecolhead"/>
            </w:pPr>
            <w:r>
              <w:t>Coordinator tasks</w:t>
            </w:r>
          </w:p>
          <w:p w14:paraId="038164D6" w14:textId="77777777" w:rsidR="00B2538E" w:rsidRPr="000E1091" w:rsidRDefault="539DB6E1" w:rsidP="00740A47">
            <w:pPr>
              <w:pStyle w:val="Bullet1"/>
            </w:pPr>
            <w:r>
              <w:t>provide services as specified</w:t>
            </w:r>
          </w:p>
          <w:p w14:paraId="16060E49" w14:textId="77777777" w:rsidR="00B2538E" w:rsidRPr="000E1091" w:rsidRDefault="539DB6E1" w:rsidP="00740A47">
            <w:pPr>
              <w:pStyle w:val="Bullet1"/>
            </w:pPr>
            <w:r>
              <w:t>convene and chair care team meetings as required</w:t>
            </w:r>
          </w:p>
          <w:p w14:paraId="015EB4E5" w14:textId="77777777" w:rsidR="00B2538E" w:rsidRPr="00CC668B" w:rsidRDefault="539DB6E1" w:rsidP="00740A47">
            <w:pPr>
              <w:pStyle w:val="Bullet1"/>
              <w:rPr>
                <w:color w:val="FF0000"/>
              </w:rPr>
            </w:pPr>
            <w:r>
              <w:t>identify staff member / agency to take the lead post SfHRT intervention.</w:t>
            </w:r>
          </w:p>
        </w:tc>
      </w:tr>
    </w:tbl>
    <w:p w14:paraId="404A4746" w14:textId="7C3F89B1" w:rsidR="00B2538E" w:rsidRDefault="00B2538E" w:rsidP="00F30972">
      <w:pPr>
        <w:pStyle w:val="Heading3"/>
        <w:numPr>
          <w:ilvl w:val="2"/>
          <w:numId w:val="20"/>
        </w:numPr>
      </w:pPr>
      <w:bookmarkStart w:id="125" w:name="_Toc137636739"/>
      <w:r>
        <w:t xml:space="preserve">Duration of SfHRT consultation </w:t>
      </w:r>
      <w:bookmarkEnd w:id="125"/>
    </w:p>
    <w:p w14:paraId="7C9D1680" w14:textId="243F878B" w:rsidR="00B2538E" w:rsidRDefault="00B2538E" w:rsidP="007573A1">
      <w:pPr>
        <w:pStyle w:val="Body"/>
      </w:pPr>
      <w:r w:rsidRPr="000E1091">
        <w:t>The duration of a SfHRT consultation is flexible and may vary between referrals. Some consultations entail a single interaction</w:t>
      </w:r>
      <w:r w:rsidR="00FF7F00">
        <w:t xml:space="preserve"> while </w:t>
      </w:r>
      <w:r w:rsidRPr="000E1091">
        <w:t>others requir</w:t>
      </w:r>
      <w:r w:rsidR="00FF7F00">
        <w:t>e</w:t>
      </w:r>
      <w:r w:rsidRPr="000E1091">
        <w:t xml:space="preserve"> longer-term support and oversight. SfHRT interventions are considered short, medium</w:t>
      </w:r>
      <w:r w:rsidR="007559B8">
        <w:t>,</w:t>
      </w:r>
      <w:r w:rsidRPr="000E1091">
        <w:t xml:space="preserve"> or long-term</w:t>
      </w:r>
      <w:r w:rsidR="000F23E0">
        <w:t xml:space="preserve"> as outlined below</w:t>
      </w:r>
      <w:r w:rsidRPr="000E1091">
        <w:t xml:space="preserve">. </w:t>
      </w:r>
    </w:p>
    <w:tbl>
      <w:tblPr>
        <w:tblStyle w:val="TableGrid"/>
        <w:tblW w:w="5000" w:type="pct"/>
        <w:tblLook w:val="04A0" w:firstRow="1" w:lastRow="0" w:firstColumn="1" w:lastColumn="0" w:noHBand="0" w:noVBand="1"/>
      </w:tblPr>
      <w:tblGrid>
        <w:gridCol w:w="2121"/>
        <w:gridCol w:w="7167"/>
      </w:tblGrid>
      <w:tr w:rsidR="00B2538E" w:rsidRPr="00E149AA" w14:paraId="7D197EFB" w14:textId="77777777" w:rsidTr="002122B4">
        <w:tc>
          <w:tcPr>
            <w:tcW w:w="1142" w:type="pct"/>
            <w:shd w:val="clear" w:color="auto" w:fill="auto"/>
          </w:tcPr>
          <w:p w14:paraId="3175370B" w14:textId="77777777" w:rsidR="00B2538E" w:rsidRPr="00E149AA" w:rsidRDefault="00B2538E">
            <w:pPr>
              <w:pStyle w:val="Tablecolhead"/>
              <w:rPr>
                <w:rFonts w:eastAsia="Arial"/>
              </w:rPr>
            </w:pPr>
            <w:r>
              <w:rPr>
                <w:rFonts w:eastAsia="Arial"/>
              </w:rPr>
              <w:t>Duration</w:t>
            </w:r>
          </w:p>
        </w:tc>
        <w:tc>
          <w:tcPr>
            <w:tcW w:w="3858" w:type="pct"/>
            <w:shd w:val="clear" w:color="auto" w:fill="auto"/>
          </w:tcPr>
          <w:p w14:paraId="78CD754A" w14:textId="77777777" w:rsidR="00B2538E" w:rsidRPr="00E149AA" w:rsidRDefault="00B2538E">
            <w:pPr>
              <w:pStyle w:val="Tablecolhead"/>
              <w:rPr>
                <w:rFonts w:eastAsia="Arial"/>
              </w:rPr>
            </w:pPr>
            <w:r w:rsidRPr="00E149AA">
              <w:rPr>
                <w:rFonts w:eastAsia="Arial"/>
              </w:rPr>
              <w:t>Description</w:t>
            </w:r>
            <w:r>
              <w:rPr>
                <w:rFonts w:eastAsia="Arial"/>
              </w:rPr>
              <w:t xml:space="preserve"> and examples</w:t>
            </w:r>
          </w:p>
        </w:tc>
      </w:tr>
      <w:tr w:rsidR="00B2538E" w14:paraId="342CABEB" w14:textId="77777777" w:rsidTr="002122B4">
        <w:tc>
          <w:tcPr>
            <w:tcW w:w="1142" w:type="pct"/>
            <w:vAlign w:val="center"/>
          </w:tcPr>
          <w:p w14:paraId="562960FD" w14:textId="77777777" w:rsidR="00B2538E" w:rsidRPr="005F65E2" w:rsidRDefault="00B2538E">
            <w:pPr>
              <w:pStyle w:val="Tabletext"/>
              <w:rPr>
                <w:rFonts w:eastAsia="Arial"/>
                <w:b/>
                <w:bCs/>
              </w:rPr>
            </w:pPr>
            <w:r w:rsidRPr="005F65E2">
              <w:rPr>
                <w:rFonts w:eastAsia="Arial"/>
                <w:b/>
                <w:bCs/>
              </w:rPr>
              <w:t>Short-term</w:t>
            </w:r>
          </w:p>
          <w:p w14:paraId="0C7AA2DA" w14:textId="77777777" w:rsidR="00B2538E" w:rsidRPr="005F65E2" w:rsidRDefault="00B2538E">
            <w:pPr>
              <w:pStyle w:val="Tabletext"/>
              <w:rPr>
                <w:rFonts w:eastAsia="Arial"/>
              </w:rPr>
            </w:pPr>
            <w:r w:rsidRPr="005F65E2">
              <w:rPr>
                <w:rFonts w:eastAsia="Arial"/>
              </w:rPr>
              <w:t>Less than 2 weeks</w:t>
            </w:r>
          </w:p>
        </w:tc>
        <w:tc>
          <w:tcPr>
            <w:tcW w:w="3858" w:type="pct"/>
            <w:vAlign w:val="center"/>
          </w:tcPr>
          <w:p w14:paraId="57C64FF9" w14:textId="483741B8" w:rsidR="00B2538E" w:rsidRPr="005F65E2" w:rsidRDefault="00FF7F00">
            <w:pPr>
              <w:pStyle w:val="Tabletext"/>
              <w:rPr>
                <w:rFonts w:eastAsia="Arial"/>
              </w:rPr>
            </w:pPr>
            <w:r>
              <w:rPr>
                <w:rFonts w:eastAsia="Arial"/>
              </w:rPr>
              <w:t>B</w:t>
            </w:r>
            <w:r w:rsidR="00B2538E" w:rsidRPr="005F65E2">
              <w:rPr>
                <w:rFonts w:eastAsia="Arial"/>
              </w:rPr>
              <w:t xml:space="preserve">rokerage </w:t>
            </w:r>
            <w:r>
              <w:rPr>
                <w:rFonts w:eastAsia="Arial"/>
              </w:rPr>
              <w:t xml:space="preserve">referrals </w:t>
            </w:r>
            <w:r w:rsidR="00B2538E" w:rsidRPr="005F65E2">
              <w:rPr>
                <w:rFonts w:eastAsia="Arial"/>
              </w:rPr>
              <w:t>only (e.g.</w:t>
            </w:r>
            <w:r w:rsidR="00B2538E">
              <w:rPr>
                <w:rFonts w:eastAsia="Arial"/>
              </w:rPr>
              <w:t>,</w:t>
            </w:r>
            <w:r w:rsidR="00B2538E" w:rsidRPr="005F65E2">
              <w:rPr>
                <w:rFonts w:eastAsia="Arial"/>
              </w:rPr>
              <w:t xml:space="preserve"> property clean, rubbish removal, skip hire)</w:t>
            </w:r>
            <w:r>
              <w:rPr>
                <w:rFonts w:eastAsia="Arial"/>
              </w:rPr>
              <w:t>.</w:t>
            </w:r>
          </w:p>
          <w:p w14:paraId="6DF6E7EF" w14:textId="77777777" w:rsidR="00B2538E" w:rsidRPr="005F65E2" w:rsidRDefault="00B2538E">
            <w:pPr>
              <w:pStyle w:val="Tabletext"/>
              <w:rPr>
                <w:rFonts w:eastAsia="Arial"/>
              </w:rPr>
            </w:pPr>
            <w:r w:rsidRPr="005F65E2">
              <w:rPr>
                <w:rFonts w:eastAsia="Arial"/>
              </w:rPr>
              <w:t>Referrers seeking information, advice or referrals to specialist services.</w:t>
            </w:r>
          </w:p>
        </w:tc>
      </w:tr>
      <w:tr w:rsidR="00B2538E" w14:paraId="022CB3BA" w14:textId="77777777" w:rsidTr="002122B4">
        <w:tc>
          <w:tcPr>
            <w:tcW w:w="1142" w:type="pct"/>
            <w:vAlign w:val="center"/>
          </w:tcPr>
          <w:p w14:paraId="30CC2605" w14:textId="77777777" w:rsidR="00B2538E" w:rsidRPr="005F65E2" w:rsidRDefault="00B2538E">
            <w:pPr>
              <w:pStyle w:val="Tabletext"/>
              <w:rPr>
                <w:rFonts w:eastAsia="Arial"/>
                <w:b/>
                <w:bCs/>
              </w:rPr>
            </w:pPr>
            <w:r w:rsidRPr="005F65E2">
              <w:rPr>
                <w:rFonts w:eastAsia="Arial"/>
                <w:b/>
                <w:bCs/>
              </w:rPr>
              <w:t>Medium</w:t>
            </w:r>
          </w:p>
          <w:p w14:paraId="22DB6AE1" w14:textId="77777777" w:rsidR="00B2538E" w:rsidRPr="005F65E2" w:rsidRDefault="00B2538E">
            <w:pPr>
              <w:pStyle w:val="Body"/>
            </w:pPr>
            <w:r w:rsidRPr="005F65E2">
              <w:t>Less than 3 months</w:t>
            </w:r>
          </w:p>
        </w:tc>
        <w:tc>
          <w:tcPr>
            <w:tcW w:w="3858" w:type="pct"/>
            <w:vAlign w:val="center"/>
          </w:tcPr>
          <w:p w14:paraId="56A00424" w14:textId="3481195F" w:rsidR="00B2538E" w:rsidRPr="005F65E2" w:rsidRDefault="00B2538E">
            <w:pPr>
              <w:pStyle w:val="Body"/>
            </w:pPr>
            <w:r w:rsidRPr="005F65E2">
              <w:t xml:space="preserve">Requirement for multiple case conferences and </w:t>
            </w:r>
            <w:r>
              <w:t>service</w:t>
            </w:r>
            <w:r w:rsidRPr="005F65E2">
              <w:t xml:space="preserve"> coordination</w:t>
            </w:r>
            <w:r w:rsidR="00FF7F00">
              <w:t>.</w:t>
            </w:r>
          </w:p>
          <w:p w14:paraId="53CBC114" w14:textId="42DFCB50" w:rsidR="00B2538E" w:rsidRPr="005F65E2" w:rsidRDefault="00B2538E">
            <w:pPr>
              <w:pStyle w:val="Tabletext"/>
              <w:rPr>
                <w:rFonts w:eastAsia="Arial"/>
              </w:rPr>
            </w:pPr>
            <w:r w:rsidRPr="005F65E2">
              <w:rPr>
                <w:rFonts w:eastAsia="Arial"/>
              </w:rPr>
              <w:t>Care team requires support/guidance/leadership to develop and implement a multidisciplinary plan</w:t>
            </w:r>
            <w:r w:rsidR="00FF7F00">
              <w:rPr>
                <w:rFonts w:eastAsia="Arial"/>
              </w:rPr>
              <w:t>.</w:t>
            </w:r>
          </w:p>
          <w:p w14:paraId="4ABAFA9A" w14:textId="77777777" w:rsidR="00B2538E" w:rsidRPr="005F65E2" w:rsidRDefault="00B2538E">
            <w:pPr>
              <w:pStyle w:val="Tabletext"/>
              <w:rPr>
                <w:rFonts w:eastAsia="Arial"/>
              </w:rPr>
            </w:pPr>
            <w:r w:rsidRPr="005F65E2">
              <w:rPr>
                <w:rFonts w:eastAsia="Arial"/>
              </w:rPr>
              <w:t>E.g.</w:t>
            </w:r>
            <w:r>
              <w:rPr>
                <w:rFonts w:eastAsia="Arial"/>
              </w:rPr>
              <w:t>,</w:t>
            </w:r>
            <w:r w:rsidRPr="005F65E2">
              <w:rPr>
                <w:rFonts w:eastAsia="Arial"/>
              </w:rPr>
              <w:t xml:space="preserve"> clients who reside in a property that requires multiple or staged cleans with or without therapeutic intervention.</w:t>
            </w:r>
          </w:p>
        </w:tc>
      </w:tr>
      <w:tr w:rsidR="00B2538E" w14:paraId="20257686" w14:textId="77777777" w:rsidTr="002122B4">
        <w:tc>
          <w:tcPr>
            <w:tcW w:w="1142" w:type="pct"/>
            <w:vAlign w:val="center"/>
          </w:tcPr>
          <w:p w14:paraId="07F78884" w14:textId="77777777" w:rsidR="00B2538E" w:rsidRPr="005F65E2" w:rsidRDefault="00B2538E">
            <w:pPr>
              <w:pStyle w:val="Tabletext"/>
              <w:rPr>
                <w:rFonts w:eastAsia="Arial"/>
                <w:b/>
                <w:bCs/>
              </w:rPr>
            </w:pPr>
            <w:r w:rsidRPr="005F65E2">
              <w:rPr>
                <w:rFonts w:eastAsia="Arial"/>
                <w:b/>
                <w:bCs/>
              </w:rPr>
              <w:t>Long-term</w:t>
            </w:r>
          </w:p>
          <w:p w14:paraId="3E3CEE4C" w14:textId="77777777" w:rsidR="00B2538E" w:rsidRPr="005F65E2" w:rsidRDefault="00B2538E">
            <w:pPr>
              <w:pStyle w:val="Body"/>
            </w:pPr>
            <w:r w:rsidRPr="005F65E2">
              <w:t>More than 3 months</w:t>
            </w:r>
          </w:p>
        </w:tc>
        <w:tc>
          <w:tcPr>
            <w:tcW w:w="3858" w:type="pct"/>
            <w:vAlign w:val="center"/>
          </w:tcPr>
          <w:p w14:paraId="428EA8E0" w14:textId="1E879681" w:rsidR="00B2538E" w:rsidRPr="005F65E2" w:rsidRDefault="00B2538E">
            <w:pPr>
              <w:pStyle w:val="Body"/>
            </w:pPr>
            <w:r w:rsidRPr="005F65E2">
              <w:t xml:space="preserve">Requirement for multiple case conferences and extended </w:t>
            </w:r>
            <w:r>
              <w:t>service</w:t>
            </w:r>
            <w:r w:rsidRPr="005F65E2">
              <w:t xml:space="preserve"> coordination</w:t>
            </w:r>
            <w:r w:rsidR="00FF7F00">
              <w:t>.</w:t>
            </w:r>
          </w:p>
          <w:p w14:paraId="75F16AAB" w14:textId="52A58F8E" w:rsidR="00B2538E" w:rsidRPr="005F65E2" w:rsidRDefault="00B2538E">
            <w:pPr>
              <w:pStyle w:val="Tabletext"/>
              <w:rPr>
                <w:rFonts w:eastAsia="Arial"/>
              </w:rPr>
            </w:pPr>
            <w:r w:rsidRPr="005F65E2">
              <w:rPr>
                <w:rFonts w:eastAsia="Arial"/>
              </w:rPr>
              <w:t>Client may present with significant hoarding behaviours and require a staged cleaning process supported by therapeutic intervention</w:t>
            </w:r>
            <w:r w:rsidR="00FF7F00">
              <w:rPr>
                <w:rFonts w:eastAsia="Arial"/>
              </w:rPr>
              <w:t>.</w:t>
            </w:r>
            <w:r w:rsidRPr="005F65E2">
              <w:rPr>
                <w:rFonts w:eastAsia="Arial"/>
              </w:rPr>
              <w:t xml:space="preserve"> </w:t>
            </w:r>
          </w:p>
          <w:p w14:paraId="49962565" w14:textId="77777777" w:rsidR="00B2538E" w:rsidRPr="005F65E2" w:rsidRDefault="00B2538E">
            <w:pPr>
              <w:pStyle w:val="Tabletext"/>
              <w:rPr>
                <w:rFonts w:eastAsia="Arial"/>
              </w:rPr>
            </w:pPr>
            <w:r w:rsidRPr="005F65E2">
              <w:rPr>
                <w:rFonts w:eastAsia="Arial"/>
              </w:rPr>
              <w:t>May involve a significant transition to social housing (e.g.</w:t>
            </w:r>
            <w:r>
              <w:rPr>
                <w:rFonts w:eastAsia="Arial"/>
              </w:rPr>
              <w:t>,</w:t>
            </w:r>
            <w:r w:rsidRPr="005F65E2">
              <w:rPr>
                <w:rFonts w:eastAsia="Arial"/>
              </w:rPr>
              <w:t xml:space="preserve"> client with history of arson/fire-setting who is returning to public housing in the community from prison or other secure facility).</w:t>
            </w:r>
          </w:p>
        </w:tc>
      </w:tr>
    </w:tbl>
    <w:p w14:paraId="5840BC8F" w14:textId="1EED8696" w:rsidR="00B2538E" w:rsidRPr="00D90CD6" w:rsidRDefault="00B2538E" w:rsidP="00F30972">
      <w:pPr>
        <w:pStyle w:val="Heading2"/>
        <w:numPr>
          <w:ilvl w:val="1"/>
          <w:numId w:val="20"/>
        </w:numPr>
      </w:pPr>
      <w:bookmarkStart w:id="126" w:name="_Toc17799060"/>
      <w:bookmarkStart w:id="127" w:name="_Toc32229287"/>
      <w:bookmarkStart w:id="128" w:name="_Toc65508254"/>
      <w:bookmarkStart w:id="129" w:name="_Toc112856254"/>
      <w:bookmarkStart w:id="130" w:name="_Toc125713735"/>
      <w:bookmarkStart w:id="131" w:name="_Toc137636740"/>
      <w:bookmarkStart w:id="132" w:name="_Toc145318578"/>
      <w:r w:rsidRPr="00D90CD6">
        <w:t>Interface with Tenancy Plus</w:t>
      </w:r>
      <w:bookmarkEnd w:id="126"/>
      <w:bookmarkEnd w:id="127"/>
      <w:bookmarkEnd w:id="128"/>
      <w:bookmarkEnd w:id="129"/>
      <w:bookmarkEnd w:id="130"/>
      <w:bookmarkEnd w:id="131"/>
      <w:bookmarkEnd w:id="132"/>
    </w:p>
    <w:p w14:paraId="468E9789" w14:textId="7BCA82BD" w:rsidR="00B2538E" w:rsidRPr="00D90CD6" w:rsidRDefault="00B2538E" w:rsidP="007573A1">
      <w:pPr>
        <w:pStyle w:val="Body"/>
      </w:pPr>
      <w:r w:rsidRPr="00D90CD6">
        <w:t xml:space="preserve">The Tenancy Plus support program assists social housing </w:t>
      </w:r>
      <w:r w:rsidR="004622AC">
        <w:t>renters</w:t>
      </w:r>
      <w:r w:rsidRPr="00D90CD6">
        <w:t xml:space="preserve"> by providing early intervention when a tenancy is at risk to sustain their tenancy and reduce the risk of homelessness. This program offers assertive outreach, case management, local area referral and interim intervention </w:t>
      </w:r>
      <w:r w:rsidRPr="00D90CD6">
        <w:lastRenderedPageBreak/>
        <w:t xml:space="preserve">support to assist </w:t>
      </w:r>
      <w:r w:rsidR="004622AC">
        <w:t>renters</w:t>
      </w:r>
      <w:r w:rsidRPr="00D90CD6">
        <w:t xml:space="preserve"> to maintain housing and prevent homelessness. Tenancy Plus should commence when a housing issue is identified, rather than when the tenancy is at the point of failure.</w:t>
      </w:r>
    </w:p>
    <w:p w14:paraId="67583796" w14:textId="6D631C59" w:rsidR="00B2538E" w:rsidRPr="00B66A85" w:rsidRDefault="00B2538E" w:rsidP="007573A1">
      <w:pPr>
        <w:pStyle w:val="Body"/>
      </w:pPr>
      <w:r w:rsidRPr="00D90CD6">
        <w:t>Tenancy Plus providers intervene where a social housing tenancy is at risk to identify and assist the tenant to address and resolve the underlying factors that are placing the tenancies at risk</w:t>
      </w:r>
      <w:r w:rsidR="00FF7F00">
        <w:t xml:space="preserve">, including: </w:t>
      </w:r>
    </w:p>
    <w:p w14:paraId="3E596702" w14:textId="77777777" w:rsidR="00B2538E" w:rsidRPr="00FF7F00" w:rsidRDefault="539DB6E1" w:rsidP="00740A47">
      <w:pPr>
        <w:pStyle w:val="Bullet1"/>
      </w:pPr>
      <w:r w:rsidRPr="00FF7F00">
        <w:t>developing a client support plan with the tenant</w:t>
      </w:r>
    </w:p>
    <w:p w14:paraId="06D198B0" w14:textId="77777777" w:rsidR="00B2538E" w:rsidRPr="00FF7F00" w:rsidRDefault="539DB6E1" w:rsidP="00740A47">
      <w:pPr>
        <w:pStyle w:val="Bullet1"/>
      </w:pPr>
      <w:r w:rsidRPr="00FF7F00">
        <w:t>providing direct support to the tenant</w:t>
      </w:r>
    </w:p>
    <w:p w14:paraId="31DB4D10" w14:textId="77777777" w:rsidR="00B2538E" w:rsidRPr="00FF7F00" w:rsidRDefault="539DB6E1" w:rsidP="00740A47">
      <w:pPr>
        <w:pStyle w:val="Bullet1"/>
      </w:pPr>
      <w:r w:rsidRPr="00FF7F00">
        <w:t>actively engaging with appropriate organisations or department program areas to address the underlying issues that are causing the tenancy to be at risk</w:t>
      </w:r>
    </w:p>
    <w:p w14:paraId="45283056" w14:textId="77777777" w:rsidR="00B2538E" w:rsidRPr="00FF7F00" w:rsidRDefault="539DB6E1" w:rsidP="00740A47">
      <w:pPr>
        <w:pStyle w:val="Bullet1"/>
      </w:pPr>
      <w:r w:rsidRPr="00FF7F00">
        <w:t>convening a meeting with support providers to determine who will be responsible for actions listed in the plan</w:t>
      </w:r>
    </w:p>
    <w:p w14:paraId="31D31EB2" w14:textId="1A31CF37" w:rsidR="00B2538E" w:rsidRPr="00FF7F00" w:rsidRDefault="539DB6E1" w:rsidP="009D54BF">
      <w:pPr>
        <w:pStyle w:val="lastbullett"/>
      </w:pPr>
      <w:r w:rsidRPr="00FF7F00">
        <w:t>oversight, coordination</w:t>
      </w:r>
      <w:r w:rsidR="009D54BF">
        <w:t>,</w:t>
      </w:r>
      <w:r w:rsidRPr="00FF7F00">
        <w:t xml:space="preserve"> and implementation of the plan.</w:t>
      </w:r>
    </w:p>
    <w:p w14:paraId="0B4D6923" w14:textId="4C2D783D" w:rsidR="00B2538E" w:rsidRPr="00B66A85" w:rsidRDefault="00B2538E" w:rsidP="007573A1">
      <w:pPr>
        <w:pStyle w:val="Bodyafterbullets"/>
      </w:pPr>
      <w:r w:rsidRPr="00B66A85">
        <w:t>Tenancy Plus service locations align with the department</w:t>
      </w:r>
      <w:r w:rsidR="00FF7F00">
        <w:t>’</w:t>
      </w:r>
      <w:r w:rsidRPr="00B66A85">
        <w:t>s areas and have a close relationship with local housing offices, community housing providers and SfHRT.</w:t>
      </w:r>
    </w:p>
    <w:p w14:paraId="33C7085B" w14:textId="41EC06D1" w:rsidR="00B2538E" w:rsidRPr="00D90CD6" w:rsidRDefault="00B2538E" w:rsidP="007573A1">
      <w:pPr>
        <w:pStyle w:val="Body"/>
      </w:pPr>
      <w:r w:rsidRPr="00D90CD6">
        <w:t>At any stage of Tenancy Plus support, it may become apparent that the tenant’s needs cannot be effectively met without a higher level of coordination or intervention</w:t>
      </w:r>
      <w:r w:rsidR="00FF7F00">
        <w:t xml:space="preserve">. </w:t>
      </w:r>
      <w:r w:rsidRPr="00D90CD6">
        <w:t>SfHRT provides this escalated service response.</w:t>
      </w:r>
    </w:p>
    <w:p w14:paraId="675A5A06" w14:textId="4369BE44" w:rsidR="002122B4" w:rsidRDefault="002122B4" w:rsidP="007573A1">
      <w:pPr>
        <w:pStyle w:val="Body"/>
      </w:pPr>
      <w:r w:rsidRPr="00D90CD6">
        <w:t xml:space="preserve">Refer: </w:t>
      </w:r>
      <w:hyperlink r:id="rId47" w:history="1">
        <w:r w:rsidRPr="000F23E0">
          <w:rPr>
            <w:rStyle w:val="Hyperlink"/>
          </w:rPr>
          <w:t>Tenancy Plus – Tenancy support program operational guidelines</w:t>
        </w:r>
      </w:hyperlink>
      <w:r>
        <w:rPr>
          <w:color w:val="FF0000"/>
        </w:rPr>
        <w:t xml:space="preserve"> </w:t>
      </w:r>
      <w:r w:rsidRPr="00D90CD6">
        <w:t>&lt;https://providers.dhhs.vic.gov.au/tenancy-plus-tenancy-support-operational-</w:t>
      </w:r>
      <w:r w:rsidRPr="001D2B72">
        <w:t>guidelines&gt;</w:t>
      </w:r>
    </w:p>
    <w:p w14:paraId="2F4E173B" w14:textId="6FA2CDD3" w:rsidR="002122B4" w:rsidRDefault="002122B4" w:rsidP="002122B4">
      <w:pPr>
        <w:pStyle w:val="Figurecaption"/>
      </w:pPr>
      <w:r w:rsidRPr="002601EE">
        <w:t xml:space="preserve">Figure </w:t>
      </w:r>
      <w:r w:rsidR="002601EE" w:rsidRPr="002601EE">
        <w:t>4</w:t>
      </w:r>
      <w:r w:rsidRPr="002601EE">
        <w:t xml:space="preserve"> – The escalation of service response when a tenancy becomes at risk</w:t>
      </w:r>
    </w:p>
    <w:p w14:paraId="61DDF1D2" w14:textId="77777777" w:rsidR="002122B4" w:rsidRPr="00D311BB" w:rsidRDefault="002122B4" w:rsidP="002122B4">
      <w:pPr>
        <w:pStyle w:val="Body"/>
      </w:pPr>
      <w:r>
        <w:rPr>
          <w:noProof/>
        </w:rPr>
        <w:drawing>
          <wp:inline distT="0" distB="0" distL="0" distR="0" wp14:anchorId="1A92F8C2" wp14:editId="6CC01C0D">
            <wp:extent cx="5872144" cy="1162050"/>
            <wp:effectExtent l="0" t="0" r="0" b="0"/>
            <wp:docPr id="1934884909" name="Picture 1934884909" descr="The escalation of service response when a tenancy becomes at risk. Escalates from DFFH housing services to tenancy plus and finally to SfH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9" name="Picture 1934884909" descr="The escalation of service response when a tenancy becomes at risk. Escalates from DFFH housing services to tenancy plus and finally to SfHRT."/>
                    <pic:cNvPicPr/>
                  </pic:nvPicPr>
                  <pic:blipFill>
                    <a:blip r:embed="rId48"/>
                    <a:stretch>
                      <a:fillRect/>
                    </a:stretch>
                  </pic:blipFill>
                  <pic:spPr>
                    <a:xfrm>
                      <a:off x="0" y="0"/>
                      <a:ext cx="5953506" cy="1178151"/>
                    </a:xfrm>
                    <a:prstGeom prst="rect">
                      <a:avLst/>
                    </a:prstGeom>
                  </pic:spPr>
                </pic:pic>
              </a:graphicData>
            </a:graphic>
          </wp:inline>
        </w:drawing>
      </w:r>
    </w:p>
    <w:p w14:paraId="75985E14" w14:textId="1D45D7CE" w:rsidR="00B2538E" w:rsidRPr="001D2B72"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2538E" w14:paraId="76C05BF6" w14:textId="77777777" w:rsidTr="002122B4">
        <w:tc>
          <w:tcPr>
            <w:tcW w:w="0" w:type="auto"/>
            <w:shd w:val="clear" w:color="auto" w:fill="99D3F0"/>
            <w:vAlign w:val="center"/>
          </w:tcPr>
          <w:p w14:paraId="715E08FE" w14:textId="77777777" w:rsidR="00B2538E" w:rsidRDefault="00B2538E">
            <w:pPr>
              <w:pStyle w:val="Body"/>
            </w:pPr>
            <w:r>
              <w:rPr>
                <w:noProof/>
              </w:rPr>
              <w:drawing>
                <wp:inline distT="0" distB="0" distL="0" distR="0" wp14:anchorId="637915B1" wp14:editId="21010334">
                  <wp:extent cx="540000" cy="540000"/>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F8BEF7C" w14:textId="77777777" w:rsidR="00B2538E" w:rsidRDefault="00B2538E">
            <w:pPr>
              <w:pStyle w:val="Tablecolhead"/>
            </w:pPr>
            <w:r>
              <w:t>Coordinator tasks</w:t>
            </w:r>
          </w:p>
          <w:p w14:paraId="766F4195" w14:textId="77777777" w:rsidR="00B2538E" w:rsidRPr="00D90CD6" w:rsidRDefault="539DB6E1" w:rsidP="00740A47">
            <w:pPr>
              <w:pStyle w:val="Bullet1"/>
            </w:pPr>
            <w:r>
              <w:t>maintain a collaborative relationship with Tenancy Plus, encourage referrals and provide capacity building as required/requested</w:t>
            </w:r>
          </w:p>
          <w:p w14:paraId="2533F3A8" w14:textId="77777777" w:rsidR="00B2538E" w:rsidRPr="00D90CD6" w:rsidRDefault="539DB6E1" w:rsidP="00740A47">
            <w:pPr>
              <w:pStyle w:val="Bullet1"/>
            </w:pPr>
            <w:r>
              <w:t>support departmental housing staff to engage and collaborate with Tenancy Plus</w:t>
            </w:r>
          </w:p>
          <w:p w14:paraId="551737B1" w14:textId="03E73AA4" w:rsidR="00B2538E" w:rsidRDefault="539DB6E1" w:rsidP="00740A47">
            <w:pPr>
              <w:pStyle w:val="Bullet1"/>
            </w:pPr>
            <w:r>
              <w:t>provide specific advice, referral</w:t>
            </w:r>
            <w:r w:rsidR="009D54BF">
              <w:t>,</w:t>
            </w:r>
            <w:r>
              <w:t xml:space="preserve"> and service coordination for cases where hoarding and squalor are prominent/present.</w:t>
            </w:r>
          </w:p>
        </w:tc>
      </w:tr>
    </w:tbl>
    <w:p w14:paraId="62197567" w14:textId="5DAF8095" w:rsidR="00B2538E" w:rsidRDefault="00B2538E" w:rsidP="00F30972">
      <w:pPr>
        <w:pStyle w:val="Heading2"/>
        <w:numPr>
          <w:ilvl w:val="1"/>
          <w:numId w:val="20"/>
        </w:numPr>
      </w:pPr>
      <w:bookmarkStart w:id="133" w:name="_Toc32229288"/>
      <w:bookmarkStart w:id="134" w:name="_Toc65508255"/>
      <w:bookmarkStart w:id="135" w:name="_Toc112856255"/>
      <w:bookmarkStart w:id="136" w:name="_Toc125713736"/>
      <w:bookmarkStart w:id="137" w:name="_Toc137636741"/>
      <w:bookmarkStart w:id="138" w:name="_Toc145318579"/>
      <w:r w:rsidRPr="000E1091">
        <w:t>Interface with Indigenous Tenants at Risk</w:t>
      </w:r>
      <w:bookmarkEnd w:id="138"/>
      <w:r w:rsidRPr="000E1091">
        <w:t xml:space="preserve"> </w:t>
      </w:r>
      <w:bookmarkEnd w:id="133"/>
      <w:bookmarkEnd w:id="134"/>
      <w:bookmarkEnd w:id="135"/>
      <w:bookmarkEnd w:id="136"/>
      <w:bookmarkEnd w:id="137"/>
    </w:p>
    <w:p w14:paraId="05B9DE0B" w14:textId="4F4535CA" w:rsidR="00B2538E" w:rsidRPr="004D0D24" w:rsidRDefault="00B2538E" w:rsidP="007573A1">
      <w:pPr>
        <w:pStyle w:val="Body"/>
      </w:pPr>
      <w:r w:rsidRPr="004D0D24">
        <w:t xml:space="preserve">The Indigenous Tenants at Risk (ITAR) program, also referred to as Aboriginal </w:t>
      </w:r>
      <w:r w:rsidR="004622AC">
        <w:t>Renters</w:t>
      </w:r>
      <w:r w:rsidRPr="004D0D24">
        <w:t xml:space="preserve"> at Risk (ATAR), uses an intensive case management and support service model to assist Indigenous people living in mainstream, public housing, community housing or Aboriginal Housing Victoria (AHV) properties whose tenancies are at risk </w:t>
      </w:r>
      <w:r w:rsidR="005F5085" w:rsidRPr="004D0D24">
        <w:t>because of</w:t>
      </w:r>
      <w:r w:rsidRPr="004D0D24">
        <w:t xml:space="preserve"> issues such as financial difficulty, neighbourhood disputes, drug and alcohol and mental health issues. Households are supported to stabilise their housing and retain their tenancies rather than leave the property or risk eviction. </w:t>
      </w:r>
    </w:p>
    <w:p w14:paraId="4687F582" w14:textId="591471D7" w:rsidR="00B2538E" w:rsidRPr="004D0D24" w:rsidRDefault="005F5085" w:rsidP="007573A1">
      <w:pPr>
        <w:pStyle w:val="Body"/>
      </w:pPr>
      <w:r>
        <w:lastRenderedPageBreak/>
        <w:t xml:space="preserve">An ITAR support worker </w:t>
      </w:r>
      <w:r w:rsidR="00B2538E" w:rsidRPr="004D0D24">
        <w:t>intervene</w:t>
      </w:r>
      <w:r>
        <w:t>s</w:t>
      </w:r>
      <w:r w:rsidR="00B2538E" w:rsidRPr="004D0D24">
        <w:t xml:space="preserve"> where a public housing tenancy is breaking down to resolve factors placing the tenancy at risk. </w:t>
      </w:r>
      <w:r>
        <w:t xml:space="preserve">The intervention </w:t>
      </w:r>
      <w:r w:rsidR="00B2538E" w:rsidRPr="004D0D24">
        <w:t>also involve</w:t>
      </w:r>
      <w:r>
        <w:t>s</w:t>
      </w:r>
      <w:r w:rsidR="00B2538E" w:rsidRPr="004D0D24">
        <w:t xml:space="preserve"> </w:t>
      </w:r>
      <w:r>
        <w:t xml:space="preserve">the </w:t>
      </w:r>
      <w:r w:rsidR="00B2538E" w:rsidRPr="004D0D24">
        <w:t>provision of intensive individual support to tenancies identified at ris</w:t>
      </w:r>
      <w:r w:rsidR="00777FA5">
        <w:t xml:space="preserve">k. </w:t>
      </w:r>
      <w:r w:rsidR="00B2538E" w:rsidRPr="004D0D24">
        <w:t xml:space="preserve">It </w:t>
      </w:r>
      <w:r>
        <w:t>is</w:t>
      </w:r>
      <w:r w:rsidR="00B2538E" w:rsidRPr="004D0D24">
        <w:t xml:space="preserve"> expected that where the issues relate to non-housing </w:t>
      </w:r>
      <w:r>
        <w:t>issues that</w:t>
      </w:r>
      <w:r w:rsidR="00B2538E" w:rsidRPr="004D0D24">
        <w:t xml:space="preserve"> referrals will be made to those programs.</w:t>
      </w:r>
    </w:p>
    <w:p w14:paraId="68E247D4" w14:textId="77777777" w:rsidR="00B2538E" w:rsidRDefault="00B2538E" w:rsidP="007573A1">
      <w:pPr>
        <w:pStyle w:val="Body"/>
      </w:pPr>
      <w:r w:rsidRPr="000E1091">
        <w:t xml:space="preserve">Flexible brokerage is available through this program and its primary uses include: </w:t>
      </w:r>
    </w:p>
    <w:p w14:paraId="4BEA746B" w14:textId="09EFFD61" w:rsidR="00B2538E" w:rsidRPr="000E1091" w:rsidRDefault="539DB6E1" w:rsidP="00740A47">
      <w:pPr>
        <w:pStyle w:val="Bullet1"/>
      </w:pPr>
      <w:r>
        <w:t>household expenses, e.g.</w:t>
      </w:r>
      <w:r w:rsidR="009D54BF">
        <w:t>:</w:t>
      </w:r>
      <w:r>
        <w:t xml:space="preserve"> electricity, gas and water bills, repairs to whitegoods</w:t>
      </w:r>
    </w:p>
    <w:p w14:paraId="7F35AB67" w14:textId="3ACD2A71" w:rsidR="00B2538E" w:rsidRPr="000E1091" w:rsidRDefault="539DB6E1" w:rsidP="00740A47">
      <w:pPr>
        <w:pStyle w:val="Bullet1"/>
      </w:pPr>
      <w:r>
        <w:t>life skills e.g.</w:t>
      </w:r>
      <w:r w:rsidR="009D54BF">
        <w:t>:</w:t>
      </w:r>
      <w:r>
        <w:t xml:space="preserve"> financial services, cooking courses, cleaning skills</w:t>
      </w:r>
    </w:p>
    <w:p w14:paraId="48FD919E" w14:textId="5CED0F48" w:rsidR="00B2538E" w:rsidRPr="000E1091" w:rsidRDefault="539DB6E1" w:rsidP="00740A47">
      <w:pPr>
        <w:pStyle w:val="Bullet1"/>
      </w:pPr>
      <w:r>
        <w:t xml:space="preserve">recreation activities, </w:t>
      </w:r>
      <w:r w:rsidR="001053CF">
        <w:t xml:space="preserve">e.g.: </w:t>
      </w:r>
      <w:r>
        <w:t>sporting and fitness, join in community groups, cultur</w:t>
      </w:r>
      <w:r w:rsidR="001053CF">
        <w:t>al</w:t>
      </w:r>
      <w:r>
        <w:t xml:space="preserve"> events, children holiday clubs, camps, after school activities</w:t>
      </w:r>
    </w:p>
    <w:p w14:paraId="42C83656" w14:textId="6A92A743" w:rsidR="00B2538E" w:rsidRPr="000E1091" w:rsidRDefault="539DB6E1" w:rsidP="00740A47">
      <w:pPr>
        <w:pStyle w:val="Bullet1"/>
      </w:pPr>
      <w:r>
        <w:t>education</w:t>
      </w:r>
      <w:r w:rsidR="001371E3">
        <w:t xml:space="preserve"> and </w:t>
      </w:r>
      <w:r>
        <w:t xml:space="preserve">training, </w:t>
      </w:r>
      <w:r w:rsidR="001371E3">
        <w:t xml:space="preserve">e.g.: </w:t>
      </w:r>
      <w:r>
        <w:t>language classes, literacy and numeracy, job coaching</w:t>
      </w:r>
    </w:p>
    <w:p w14:paraId="15D95637" w14:textId="57CBD564" w:rsidR="00B2538E" w:rsidRPr="000E1091" w:rsidRDefault="539DB6E1" w:rsidP="00740A47">
      <w:pPr>
        <w:pStyle w:val="Bullet1"/>
      </w:pPr>
      <w:r>
        <w:t>material aid, e.g.</w:t>
      </w:r>
      <w:r w:rsidR="009D54BF">
        <w:t>:</w:t>
      </w:r>
      <w:r>
        <w:t xml:space="preserve"> food, travel, clothing expenses</w:t>
      </w:r>
    </w:p>
    <w:p w14:paraId="4DCD2EB5" w14:textId="30912371" w:rsidR="00B2538E" w:rsidRPr="000E1091" w:rsidRDefault="539DB6E1" w:rsidP="00740A47">
      <w:pPr>
        <w:pStyle w:val="Bullet1"/>
      </w:pPr>
      <w:r>
        <w:t xml:space="preserve">medical, </w:t>
      </w:r>
      <w:r w:rsidR="001053CF">
        <w:t>e.g.: GP</w:t>
      </w:r>
      <w:r>
        <w:t>, dentist, optometrist, podiatrist</w:t>
      </w:r>
    </w:p>
    <w:p w14:paraId="5385AE78" w14:textId="012CFB7F" w:rsidR="00B2538E" w:rsidRPr="000E1091" w:rsidRDefault="539DB6E1" w:rsidP="00740A47">
      <w:pPr>
        <w:pStyle w:val="Bullet1"/>
      </w:pPr>
      <w:r>
        <w:t>pharmaceutical requirements</w:t>
      </w:r>
      <w:r w:rsidR="001053CF" w:rsidRPr="001053CF">
        <w:t xml:space="preserve"> </w:t>
      </w:r>
      <w:r w:rsidR="001053CF">
        <w:t>as indicated for use by a prescriber</w:t>
      </w:r>
      <w:r>
        <w:t xml:space="preserve">, </w:t>
      </w:r>
      <w:r w:rsidR="001053CF">
        <w:t xml:space="preserve">e.g.: </w:t>
      </w:r>
      <w:r>
        <w:t>glasses, prescriptions</w:t>
      </w:r>
    </w:p>
    <w:p w14:paraId="63C43585" w14:textId="7D635B17" w:rsidR="00777FA5" w:rsidRDefault="539DB6E1" w:rsidP="009D54BF">
      <w:pPr>
        <w:pStyle w:val="lastbullett"/>
      </w:pPr>
      <w:r>
        <w:t>therapeutic intervention</w:t>
      </w:r>
      <w:r w:rsidR="001053CF">
        <w:t>s</w:t>
      </w:r>
      <w:r>
        <w:t xml:space="preserve">, </w:t>
      </w:r>
      <w:r w:rsidR="001053CF">
        <w:t xml:space="preserve">e.g.: </w:t>
      </w:r>
      <w:r>
        <w:t xml:space="preserve">counselling, </w:t>
      </w:r>
      <w:r w:rsidR="001053CF">
        <w:t xml:space="preserve">life skills or personal development </w:t>
      </w:r>
      <w:r>
        <w:t>courses, speech therapy</w:t>
      </w:r>
      <w:r w:rsidR="005F5085">
        <w:t xml:space="preserve">, AOD </w:t>
      </w:r>
      <w:r w:rsidR="001053CF">
        <w:t>support</w:t>
      </w:r>
      <w:r w:rsidR="005F5085">
        <w:t>.</w:t>
      </w:r>
    </w:p>
    <w:p w14:paraId="20B66EDC" w14:textId="40F46E43" w:rsidR="00B2538E" w:rsidRDefault="00777FA5" w:rsidP="009D54BF">
      <w:pPr>
        <w:pStyle w:val="Body"/>
      </w:pPr>
      <w:r w:rsidRPr="009D54BF">
        <w:t>SfHRT</w:t>
      </w:r>
      <w:r w:rsidRPr="000E1091">
        <w:t xml:space="preserve"> </w:t>
      </w:r>
      <w:r>
        <w:t xml:space="preserve">can </w:t>
      </w:r>
      <w:r w:rsidRPr="000E1091">
        <w:t xml:space="preserve">provide </w:t>
      </w:r>
      <w:r>
        <w:t xml:space="preserve">an </w:t>
      </w:r>
      <w:r w:rsidRPr="000E1091">
        <w:t>escalated service response</w:t>
      </w:r>
      <w:r>
        <w:t xml:space="preserve"> i</w:t>
      </w:r>
      <w:r w:rsidR="00B2538E" w:rsidRPr="000E1091">
        <w:t xml:space="preserve">f at any stage of ITAR/ATAR support, it </w:t>
      </w:r>
      <w:r>
        <w:t>appears</w:t>
      </w:r>
      <w:r w:rsidR="00B2538E" w:rsidRPr="000E1091">
        <w:t xml:space="preserve"> that the </w:t>
      </w:r>
      <w:r>
        <w:t>renter’</w:t>
      </w:r>
      <w:r w:rsidR="00B2538E" w:rsidRPr="000E1091">
        <w:t>s needs cannot be effectively met without higher level of coordination or intervention</w:t>
      </w:r>
      <w:r>
        <w:t xml:space="preserve">. </w:t>
      </w:r>
    </w:p>
    <w:p w14:paraId="11C7B688" w14:textId="33B285C9" w:rsidR="00B2538E" w:rsidRPr="00D54A5F" w:rsidRDefault="00B2538E" w:rsidP="007573A1">
      <w:pPr>
        <w:pStyle w:val="Body"/>
      </w:pPr>
      <w:r>
        <w:t xml:space="preserve">Refer: </w:t>
      </w:r>
      <w:hyperlink r:id="rId49" w:history="1">
        <w:r w:rsidRPr="000F23E0">
          <w:rPr>
            <w:rStyle w:val="Hyperlink"/>
          </w:rPr>
          <w:t>Homelessness services guidelines and conditions of funding</w:t>
        </w:r>
      </w:hyperlink>
      <w:r w:rsidRPr="46A48B71">
        <w:rPr>
          <w:color w:val="00B050"/>
        </w:rPr>
        <w:t xml:space="preserve"> </w:t>
      </w:r>
      <w:r>
        <w:t>&lt;</w:t>
      </w:r>
      <w:r w:rsidRPr="00233E8C">
        <w:t>https://www.dhhs.vic.gov.au/sites/default/files/documents/201705/Homelessness-Services-Guidelines-and-Conditions-of-Funding-May-2014.pdf</w:t>
      </w:r>
      <w:r>
        <w:t>&gt;</w:t>
      </w:r>
    </w:p>
    <w:p w14:paraId="35B23342" w14:textId="51FEBA3A" w:rsidR="00B2538E" w:rsidRDefault="00B2538E" w:rsidP="00F30972">
      <w:pPr>
        <w:pStyle w:val="Heading2"/>
        <w:numPr>
          <w:ilvl w:val="1"/>
          <w:numId w:val="20"/>
        </w:numPr>
      </w:pPr>
      <w:bookmarkStart w:id="139" w:name="_Toc137636742"/>
      <w:bookmarkStart w:id="140" w:name="_Toc145318580"/>
      <w:r>
        <w:t xml:space="preserve">Public </w:t>
      </w:r>
      <w:r w:rsidR="005F5085">
        <w:t>h</w:t>
      </w:r>
      <w:r>
        <w:t>ousing and the NDIS</w:t>
      </w:r>
      <w:bookmarkEnd w:id="139"/>
      <w:bookmarkEnd w:id="140"/>
    </w:p>
    <w:p w14:paraId="10653921" w14:textId="3F0DF0AF" w:rsidR="00B2538E" w:rsidRDefault="00B2538E" w:rsidP="007573A1">
      <w:pPr>
        <w:pStyle w:val="Body"/>
        <w:rPr>
          <w:rFonts w:cs="Arial"/>
        </w:rPr>
      </w:pPr>
      <w:r w:rsidRPr="46A48B71">
        <w:rPr>
          <w:rStyle w:val="BodyChar"/>
        </w:rPr>
        <w:t xml:space="preserve">There are a range of scenarios </w:t>
      </w:r>
      <w:r w:rsidR="005F5085">
        <w:rPr>
          <w:rStyle w:val="BodyChar"/>
        </w:rPr>
        <w:t>where</w:t>
      </w:r>
      <w:r w:rsidRPr="46A48B71">
        <w:rPr>
          <w:rStyle w:val="BodyChar"/>
        </w:rPr>
        <w:t xml:space="preserve"> public housing clients will interface with the NDIS, which may impact the SfHRT service response. This includes public housing applicants and </w:t>
      </w:r>
      <w:r w:rsidR="004622AC">
        <w:rPr>
          <w:rStyle w:val="BodyChar"/>
        </w:rPr>
        <w:t>renters</w:t>
      </w:r>
      <w:r w:rsidRPr="46A48B71">
        <w:rPr>
          <w:rStyle w:val="BodyChar"/>
        </w:rPr>
        <w:t xml:space="preserve"> </w:t>
      </w:r>
      <w:r w:rsidRPr="46A48B71">
        <w:rPr>
          <w:rFonts w:cs="Arial"/>
        </w:rPr>
        <w:t xml:space="preserve">who have a disability or are carers </w:t>
      </w:r>
      <w:r w:rsidR="005F5085">
        <w:rPr>
          <w:rFonts w:cs="Arial"/>
        </w:rPr>
        <w:t xml:space="preserve">or a family member </w:t>
      </w:r>
      <w:r w:rsidRPr="46A48B71">
        <w:rPr>
          <w:rFonts w:cs="Arial"/>
        </w:rPr>
        <w:t>of a person with disability, who:</w:t>
      </w:r>
    </w:p>
    <w:p w14:paraId="164D6BC6" w14:textId="7C93E391" w:rsidR="00B2538E" w:rsidRDefault="539DB6E1" w:rsidP="00740A47">
      <w:pPr>
        <w:pStyle w:val="Bullet1"/>
      </w:pPr>
      <w:r>
        <w:t>ha</w:t>
      </w:r>
      <w:r w:rsidR="005F5085">
        <w:t>s</w:t>
      </w:r>
      <w:r>
        <w:t xml:space="preserve"> </w:t>
      </w:r>
      <w:r w:rsidR="005F5085">
        <w:t xml:space="preserve">NDIS </w:t>
      </w:r>
      <w:r>
        <w:t xml:space="preserve">transitioned </w:t>
      </w:r>
      <w:r w:rsidR="005F5085">
        <w:t>but</w:t>
      </w:r>
      <w:r>
        <w:t xml:space="preserve"> need to remain connected with access and planning processes</w:t>
      </w:r>
    </w:p>
    <w:p w14:paraId="332C5B07" w14:textId="648FB3D0" w:rsidR="00B2538E" w:rsidRDefault="539DB6E1" w:rsidP="00740A47">
      <w:pPr>
        <w:pStyle w:val="Bullet1"/>
      </w:pPr>
      <w:r>
        <w:t>ha</w:t>
      </w:r>
      <w:r w:rsidR="005F5085">
        <w:t>s</w:t>
      </w:r>
      <w:r>
        <w:t xml:space="preserve"> not accessed services before or are not yet an NDIS participant and may need assistance to engage with the NDIS application process</w:t>
      </w:r>
    </w:p>
    <w:p w14:paraId="47ACFC0D" w14:textId="426B0F94" w:rsidR="00B2538E" w:rsidRDefault="005F5085" w:rsidP="00740A47">
      <w:pPr>
        <w:pStyle w:val="Bullet1"/>
      </w:pPr>
      <w:r>
        <w:t>is</w:t>
      </w:r>
      <w:r w:rsidR="539DB6E1">
        <w:t xml:space="preserve"> an NDIS participant but not accessing support, </w:t>
      </w:r>
      <w:r>
        <w:t xml:space="preserve">and </w:t>
      </w:r>
      <w:r w:rsidR="539DB6E1">
        <w:t>either needing assistance to re-engage with the NDIS and implement their plan, or to seek a review if their plan is no longer meeting their needs</w:t>
      </w:r>
    </w:p>
    <w:p w14:paraId="524E56C3" w14:textId="7C125F5E" w:rsidR="00B2538E" w:rsidRDefault="539DB6E1" w:rsidP="00740A47">
      <w:pPr>
        <w:pStyle w:val="Bullet1"/>
      </w:pPr>
      <w:r>
        <w:t>ha</w:t>
      </w:r>
      <w:r w:rsidR="005F5085">
        <w:t>s</w:t>
      </w:r>
      <w:r>
        <w:t xml:space="preserve"> an active NDIS plan and </w:t>
      </w:r>
      <w:r w:rsidR="005F5085">
        <w:t>is</w:t>
      </w:r>
      <w:r>
        <w:t xml:space="preserve"> accessing NDIS funded services and may need help coordinating between NDIS and other mainstream supports (such as health)</w:t>
      </w:r>
    </w:p>
    <w:p w14:paraId="22636117" w14:textId="6852CBF0" w:rsidR="00B2538E" w:rsidRDefault="005F5085" w:rsidP="001053CF">
      <w:pPr>
        <w:pStyle w:val="lastbullett"/>
      </w:pPr>
      <w:r>
        <w:t>is</w:t>
      </w:r>
      <w:r w:rsidR="539DB6E1">
        <w:t xml:space="preserve"> not likely to meet the NDIS access requirements</w:t>
      </w:r>
      <w:r w:rsidR="00A478DA">
        <w:t xml:space="preserve"> - a</w:t>
      </w:r>
      <w:r w:rsidR="539DB6E1">
        <w:t xml:space="preserve"> Local Area Coordinator may connect </w:t>
      </w:r>
      <w:r>
        <w:t xml:space="preserve">the </w:t>
      </w:r>
      <w:r w:rsidR="539DB6E1">
        <w:t>person to services, supports and activities in the community and other government services.</w:t>
      </w:r>
    </w:p>
    <w:p w14:paraId="166DF18D" w14:textId="028E0C25" w:rsidR="00B2538E" w:rsidRDefault="00B2538E" w:rsidP="007573A1">
      <w:pPr>
        <w:pStyle w:val="Body"/>
      </w:pPr>
      <w:r w:rsidRPr="46A48B71">
        <w:rPr>
          <w:rStyle w:val="field-wrapper"/>
        </w:rPr>
        <w:t xml:space="preserve">Refer: </w:t>
      </w:r>
      <w:hyperlink r:id="rId50" w:history="1">
        <w:r w:rsidRPr="000F23E0">
          <w:rPr>
            <w:rStyle w:val="Hyperlink"/>
          </w:rPr>
          <w:t>Public Housing and the National Disability Insurance Scheme: Roles and responsibilities operational guidelines</w:t>
        </w:r>
      </w:hyperlink>
      <w:r w:rsidRPr="46A48B71">
        <w:rPr>
          <w:rStyle w:val="field-wrapper"/>
        </w:rPr>
        <w:t xml:space="preserve"> &lt;https://providers.dhhs.vic.gov.au/public-housing-and-national-disability-insurance-scheme-roles-and-responsibilities-operational&gt;</w:t>
      </w:r>
    </w:p>
    <w:p w14:paraId="44A98B9D" w14:textId="705F24AA" w:rsidR="00A50DFF" w:rsidRPr="00D63031" w:rsidRDefault="00A50DFF" w:rsidP="00F30972">
      <w:pPr>
        <w:pStyle w:val="Heading2"/>
        <w:numPr>
          <w:ilvl w:val="1"/>
          <w:numId w:val="20"/>
        </w:numPr>
      </w:pPr>
      <w:bookmarkStart w:id="141" w:name="_Toc137636735"/>
      <w:bookmarkStart w:id="142" w:name="_Toc32229289"/>
      <w:bookmarkStart w:id="143" w:name="_Toc65508256"/>
      <w:bookmarkStart w:id="144" w:name="_Toc112856256"/>
      <w:bookmarkStart w:id="145" w:name="_Toc125713737"/>
      <w:bookmarkStart w:id="146" w:name="_Toc137636743"/>
      <w:bookmarkStart w:id="147" w:name="_Toc145318581"/>
      <w:r>
        <w:lastRenderedPageBreak/>
        <w:t>Complex Needs Panel</w:t>
      </w:r>
      <w:bookmarkEnd w:id="141"/>
      <w:bookmarkEnd w:id="147"/>
    </w:p>
    <w:p w14:paraId="375DF1A2" w14:textId="77777777" w:rsidR="00A50DFF" w:rsidRDefault="00A50DFF" w:rsidP="00A50DFF">
      <w:pPr>
        <w:pStyle w:val="Body"/>
      </w:pPr>
      <w:r>
        <w:t xml:space="preserve">SfHRT clients may be presented to panels by the Complex Needs Coordinator for expert advice on service planning, problem-solving </w:t>
      </w:r>
      <w:r w:rsidRPr="005B0BF2">
        <w:t xml:space="preserve">and the identification of systemic issues. Not all </w:t>
      </w:r>
      <w:r>
        <w:t>SfHRT</w:t>
      </w:r>
      <w:r w:rsidRPr="005B0BF2">
        <w:t xml:space="preserve"> clients </w:t>
      </w:r>
      <w:r>
        <w:t xml:space="preserve">are </w:t>
      </w:r>
      <w:r w:rsidRPr="005B0BF2">
        <w:t>require</w:t>
      </w:r>
      <w:r>
        <w:t>d</w:t>
      </w:r>
      <w:r w:rsidRPr="005B0BF2">
        <w:t xml:space="preserve"> to be presented</w:t>
      </w:r>
      <w:r>
        <w:t>;</w:t>
      </w:r>
      <w:r w:rsidRPr="005B0BF2">
        <w:t xml:space="preserve"> however</w:t>
      </w:r>
      <w:r>
        <w:t>,</w:t>
      </w:r>
      <w:r w:rsidRPr="005B0BF2">
        <w:t xml:space="preserve"> </w:t>
      </w:r>
      <w:r>
        <w:t>the panel should be consulted where there are:</w:t>
      </w:r>
    </w:p>
    <w:p w14:paraId="2A0BA766" w14:textId="77777777" w:rsidR="00A50DFF" w:rsidRDefault="00A50DFF" w:rsidP="00740A47">
      <w:pPr>
        <w:pStyle w:val="Bullet1"/>
      </w:pPr>
      <w:r>
        <w:t>particularly challenging or unusual circumstances</w:t>
      </w:r>
    </w:p>
    <w:p w14:paraId="1C21BBD7" w14:textId="77777777" w:rsidR="00A50DFF" w:rsidRDefault="00A50DFF" w:rsidP="00740A47">
      <w:pPr>
        <w:pStyle w:val="Bullet1"/>
      </w:pPr>
      <w:r>
        <w:t>systemic issues</w:t>
      </w:r>
    </w:p>
    <w:p w14:paraId="552FDB08" w14:textId="77777777" w:rsidR="00A50DFF" w:rsidRDefault="00A50DFF" w:rsidP="00740A47">
      <w:pPr>
        <w:pStyle w:val="Bullet1"/>
      </w:pPr>
      <w:r>
        <w:t>concerns around risk management.</w:t>
      </w:r>
    </w:p>
    <w:p w14:paraId="3E292662" w14:textId="44A775C6" w:rsidR="000F23E0" w:rsidRPr="000F23E0" w:rsidRDefault="000F23E0" w:rsidP="000F23E0">
      <w:pPr>
        <w:pStyle w:val="Bodyafterbullets"/>
      </w:pPr>
      <w:r>
        <w:t>SfHRT</w:t>
      </w:r>
      <w:r w:rsidRPr="000F23E0">
        <w:t xml:space="preserve"> activity and brokerage expenditure information is provided to panel members on 7d Brokerage </w:t>
      </w:r>
      <w:r w:rsidR="0042698D" w:rsidRPr="000F23E0">
        <w:t xml:space="preserve">Notification </w:t>
      </w:r>
      <w:r w:rsidR="00F164AC">
        <w:t>Form</w:t>
      </w:r>
      <w:r w:rsidR="0042698D" w:rsidRPr="000F23E0">
        <w:t xml:space="preserve"> </w:t>
      </w:r>
      <w:r w:rsidRPr="000F23E0">
        <w:t>at each panel meeting.</w:t>
      </w:r>
      <w:r w:rsidR="00F164AC">
        <w:t xml:space="preserve"> </w:t>
      </w:r>
      <w:r w:rsidR="006814B9">
        <w:t>The Monthly Snapshot Report forwarded to divisions from the Central Complex Needs team is also recommended for panel to note.</w:t>
      </w:r>
    </w:p>
    <w:p w14:paraId="12D85B68" w14:textId="5030A1D1" w:rsidR="00B2538E" w:rsidRPr="000E1091" w:rsidRDefault="00B2538E" w:rsidP="00F30972">
      <w:pPr>
        <w:pStyle w:val="Heading2"/>
        <w:numPr>
          <w:ilvl w:val="1"/>
          <w:numId w:val="20"/>
        </w:numPr>
      </w:pPr>
      <w:bookmarkStart w:id="148" w:name="_Toc145318582"/>
      <w:r w:rsidRPr="000E1091">
        <w:t>SfHRT consultation closure</w:t>
      </w:r>
      <w:bookmarkEnd w:id="142"/>
      <w:bookmarkEnd w:id="143"/>
      <w:bookmarkEnd w:id="144"/>
      <w:bookmarkEnd w:id="145"/>
      <w:bookmarkEnd w:id="146"/>
      <w:bookmarkEnd w:id="148"/>
    </w:p>
    <w:p w14:paraId="11376C91" w14:textId="77777777" w:rsidR="00B2538E" w:rsidRPr="000E1091" w:rsidRDefault="00B2538E" w:rsidP="007573A1">
      <w:pPr>
        <w:pStyle w:val="Body"/>
      </w:pPr>
      <w:r w:rsidRPr="000E1091">
        <w:t>A SfHRT consultation should be considered for closure in the following circumstances:</w:t>
      </w:r>
    </w:p>
    <w:p w14:paraId="164CAA9B" w14:textId="77777777" w:rsidR="00B2538E" w:rsidRPr="000E1091" w:rsidRDefault="539DB6E1" w:rsidP="00740A47">
      <w:pPr>
        <w:pStyle w:val="Bullet1"/>
      </w:pPr>
      <w:r>
        <w:t>the matter is believed to be resolved</w:t>
      </w:r>
    </w:p>
    <w:p w14:paraId="1639AB11" w14:textId="77777777" w:rsidR="00B2538E" w:rsidRPr="000E1091" w:rsidRDefault="539DB6E1" w:rsidP="00740A47">
      <w:pPr>
        <w:pStyle w:val="Bullet1"/>
      </w:pPr>
      <w:r>
        <w:t>the involved services have not required further consultation support for 3 months</w:t>
      </w:r>
    </w:p>
    <w:p w14:paraId="3D646BD7" w14:textId="77777777" w:rsidR="00B2538E" w:rsidRPr="000E1091" w:rsidRDefault="539DB6E1" w:rsidP="00740A47">
      <w:pPr>
        <w:pStyle w:val="Bullet1"/>
      </w:pPr>
      <w:r>
        <w:t>no further tasks have been generated for the Complex Needs Coordinator for 3 months</w:t>
      </w:r>
    </w:p>
    <w:p w14:paraId="5089E794" w14:textId="53EBAA8C" w:rsidR="00B2538E" w:rsidRPr="000E1091" w:rsidRDefault="539DB6E1" w:rsidP="00740A47">
      <w:pPr>
        <w:pStyle w:val="Bullet1"/>
      </w:pPr>
      <w:r>
        <w:t>the referring/lead</w:t>
      </w:r>
      <w:r w:rsidR="00F84EF7">
        <w:t xml:space="preserve"> service</w:t>
      </w:r>
      <w:r>
        <w:t xml:space="preserve"> has withdrawn</w:t>
      </w:r>
    </w:p>
    <w:p w14:paraId="5585F5C0" w14:textId="77777777" w:rsidR="00B2538E" w:rsidRPr="000E1091" w:rsidRDefault="539DB6E1" w:rsidP="00740A47">
      <w:pPr>
        <w:pStyle w:val="Bullet1"/>
      </w:pPr>
      <w:r>
        <w:t>the client decides to withdraw.</w:t>
      </w:r>
    </w:p>
    <w:p w14:paraId="0F31B08D" w14:textId="444E4192" w:rsidR="00B2538E" w:rsidRPr="000E1091" w:rsidRDefault="00B2538E" w:rsidP="007573A1">
      <w:pPr>
        <w:pStyle w:val="Body"/>
      </w:pPr>
      <w:r w:rsidRPr="000E1091">
        <w:t xml:space="preserve">The client can be re-referred </w:t>
      </w:r>
      <w:r w:rsidR="005F5085">
        <w:t xml:space="preserve">if </w:t>
      </w:r>
      <w:r w:rsidRPr="000E1091">
        <w:t xml:space="preserve">the need arises. If the client is re-referred, a new consultation record is opened (ensuring client details are updated), reflecting the current reason/goal of </w:t>
      </w:r>
      <w:r w:rsidRPr="005F65E2">
        <w:t>consultation</w:t>
      </w:r>
      <w:r w:rsidRPr="000E1091">
        <w:t xml:space="preserve">, current service system issues and current service involvement. </w:t>
      </w:r>
    </w:p>
    <w:p w14:paraId="004ED6FC" w14:textId="77777777" w:rsidR="00B2538E"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545"/>
      </w:tblGrid>
      <w:tr w:rsidR="00B2538E" w14:paraId="1D1EF6E9" w14:textId="77777777" w:rsidTr="00DD619F">
        <w:tc>
          <w:tcPr>
            <w:tcW w:w="0" w:type="auto"/>
            <w:shd w:val="clear" w:color="auto" w:fill="CCE9F8"/>
            <w:vAlign w:val="center"/>
          </w:tcPr>
          <w:p w14:paraId="6B9A3924" w14:textId="77777777" w:rsidR="00B2538E" w:rsidRDefault="00B2538E" w:rsidP="009104F4">
            <w:pPr>
              <w:pStyle w:val="Body"/>
              <w:spacing w:before="120"/>
            </w:pPr>
            <w:r>
              <w:rPr>
                <w:noProof/>
              </w:rPr>
              <w:drawing>
                <wp:inline distT="0" distB="0" distL="0" distR="0" wp14:anchorId="2E3A6174" wp14:editId="3EE4ABB2">
                  <wp:extent cx="540000" cy="540000"/>
                  <wp:effectExtent l="0" t="0" r="0" b="0"/>
                  <wp:docPr id="295" name="Picture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168F11BE" w14:textId="77777777" w:rsidR="00B2538E" w:rsidRDefault="00B2538E">
            <w:pPr>
              <w:pStyle w:val="Tablecolhead"/>
              <w:rPr>
                <w:rFonts w:eastAsia="Arial"/>
              </w:rPr>
            </w:pPr>
            <w:r w:rsidRPr="00DF0E4E">
              <w:rPr>
                <w:rFonts w:eastAsia="Arial"/>
              </w:rPr>
              <w:t>Documentation</w:t>
            </w:r>
            <w:r>
              <w:rPr>
                <w:rFonts w:eastAsia="Arial"/>
              </w:rPr>
              <w:t xml:space="preserve"> required</w:t>
            </w:r>
          </w:p>
          <w:p w14:paraId="09A86B09" w14:textId="732F46AC" w:rsidR="00B2538E" w:rsidRPr="00B83D2D" w:rsidRDefault="000A3130" w:rsidP="00740A47">
            <w:pPr>
              <w:pStyle w:val="Bullet1"/>
            </w:pPr>
            <w:r>
              <w:t xml:space="preserve">1c </w:t>
            </w:r>
            <w:r w:rsidR="00777FA5">
              <w:t>Complex Needs Recommendations/Closure Form</w:t>
            </w:r>
            <w:r w:rsidR="539DB6E1">
              <w:t>.</w:t>
            </w:r>
          </w:p>
        </w:tc>
      </w:tr>
    </w:tbl>
    <w:p w14:paraId="47F31CCA" w14:textId="77777777" w:rsidR="00B2538E" w:rsidRPr="00590061" w:rsidRDefault="00B2538E" w:rsidP="007573A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2538E" w14:paraId="6EDBFA7C" w14:textId="77777777" w:rsidTr="00DD619F">
        <w:tc>
          <w:tcPr>
            <w:tcW w:w="0" w:type="auto"/>
            <w:shd w:val="clear" w:color="auto" w:fill="99D3F0"/>
            <w:vAlign w:val="center"/>
          </w:tcPr>
          <w:p w14:paraId="54A44A8C" w14:textId="77777777" w:rsidR="00B2538E" w:rsidRDefault="00B2538E">
            <w:pPr>
              <w:pStyle w:val="Body"/>
            </w:pPr>
            <w:r>
              <w:rPr>
                <w:noProof/>
              </w:rPr>
              <w:drawing>
                <wp:inline distT="0" distB="0" distL="0" distR="0" wp14:anchorId="354673A9" wp14:editId="659BA247">
                  <wp:extent cx="540000" cy="540000"/>
                  <wp:effectExtent l="0" t="0" r="0" b="0"/>
                  <wp:docPr id="296" name="Picture 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DCCBC8B" w14:textId="77777777" w:rsidR="00B2538E" w:rsidRDefault="00B2538E">
            <w:pPr>
              <w:pStyle w:val="Tablecolhead"/>
            </w:pPr>
            <w:r>
              <w:t>Coordinator tasks</w:t>
            </w:r>
          </w:p>
          <w:p w14:paraId="7269F89C" w14:textId="24E53C5A" w:rsidR="00B2538E" w:rsidRPr="00590061" w:rsidRDefault="539DB6E1" w:rsidP="00740A47">
            <w:pPr>
              <w:pStyle w:val="Bullet1"/>
            </w:pPr>
            <w:r>
              <w:t xml:space="preserve">complete and provide </w:t>
            </w:r>
            <w:r w:rsidR="00777FA5">
              <w:t xml:space="preserve">Complex Needs Recommendations/Closure Form </w:t>
            </w:r>
            <w:r>
              <w:t xml:space="preserve">to the referrer </w:t>
            </w:r>
          </w:p>
          <w:p w14:paraId="667369E3" w14:textId="516085C0" w:rsidR="00B2538E" w:rsidRPr="000E1091" w:rsidRDefault="539DB6E1" w:rsidP="00740A47">
            <w:pPr>
              <w:pStyle w:val="Bullet1"/>
            </w:pPr>
            <w:r>
              <w:t xml:space="preserve">update HiiP, uploading the </w:t>
            </w:r>
            <w:r w:rsidR="00777FA5">
              <w:t>Complex Needs Recommendations/Closure Form</w:t>
            </w:r>
            <w:r>
              <w:t>.</w:t>
            </w:r>
          </w:p>
          <w:p w14:paraId="74B214FC" w14:textId="77777777" w:rsidR="00B2538E" w:rsidRPr="006C7B59" w:rsidRDefault="539DB6E1" w:rsidP="00740A47">
            <w:pPr>
              <w:pStyle w:val="Bullet1"/>
            </w:pPr>
            <w:r>
              <w:t>update the SharePoint SfHRT client database, ensuring the closure date is recorded.</w:t>
            </w:r>
          </w:p>
        </w:tc>
      </w:tr>
    </w:tbl>
    <w:p w14:paraId="67707E33" w14:textId="77777777" w:rsidR="004D137D" w:rsidRDefault="004D137D" w:rsidP="004D137D">
      <w:pPr>
        <w:pStyle w:val="Body"/>
      </w:pPr>
      <w:bookmarkStart w:id="149" w:name="_Toc125713738"/>
      <w:bookmarkStart w:id="150" w:name="_Toc137636745"/>
    </w:p>
    <w:p w14:paraId="45375DB0" w14:textId="77777777" w:rsidR="004D137D" w:rsidRPr="00F30972" w:rsidRDefault="004D137D" w:rsidP="00F30972">
      <w:pPr>
        <w:pStyle w:val="Body"/>
      </w:pPr>
      <w:r w:rsidRPr="00F30972">
        <w:br w:type="page"/>
      </w:r>
    </w:p>
    <w:p w14:paraId="447FC665" w14:textId="7CA530CD" w:rsidR="00BC45CE" w:rsidRPr="001F24BE" w:rsidRDefault="001A4770" w:rsidP="00843D94">
      <w:pPr>
        <w:pStyle w:val="Heading1"/>
        <w:numPr>
          <w:ilvl w:val="0"/>
          <w:numId w:val="24"/>
        </w:numPr>
        <w:ind w:left="709" w:hanging="709"/>
      </w:pPr>
      <w:bookmarkStart w:id="151" w:name="_Toc145318583"/>
      <w:bookmarkEnd w:id="149"/>
      <w:bookmarkEnd w:id="150"/>
      <w:r>
        <w:lastRenderedPageBreak/>
        <w:t>Assertive Outreach and Support</w:t>
      </w:r>
      <w:bookmarkEnd w:id="151"/>
    </w:p>
    <w:p w14:paraId="328EC25B" w14:textId="1075CB8B" w:rsidR="00BC45CE" w:rsidRPr="00441397" w:rsidRDefault="00626388" w:rsidP="007573A1">
      <w:pPr>
        <w:pStyle w:val="Body"/>
        <w:rPr>
          <w:rFonts w:eastAsia="Arial" w:cs="Arial"/>
          <w:color w:val="000000" w:themeColor="text1"/>
        </w:rPr>
      </w:pPr>
      <w:r w:rsidRPr="002D5536">
        <w:t xml:space="preserve">The </w:t>
      </w:r>
      <w:r w:rsidR="001A4770">
        <w:t>Assertive Outreach and Support</w:t>
      </w:r>
      <w:r w:rsidR="0098619D">
        <w:t xml:space="preserve"> (</w:t>
      </w:r>
      <w:r w:rsidRPr="002D5536">
        <w:t>AOS</w:t>
      </w:r>
      <w:r w:rsidR="0098619D">
        <w:t>)</w:t>
      </w:r>
      <w:r w:rsidRPr="002D5536">
        <w:t xml:space="preserve"> </w:t>
      </w:r>
      <w:r w:rsidR="000C4022">
        <w:t>is a</w:t>
      </w:r>
      <w:r>
        <w:t xml:space="preserve"> </w:t>
      </w:r>
      <w:r w:rsidRPr="002D5536">
        <w:t xml:space="preserve">pilot program </w:t>
      </w:r>
      <w:r w:rsidR="000C4022">
        <w:t xml:space="preserve">which </w:t>
      </w:r>
      <w:r w:rsidRPr="002D5536">
        <w:t xml:space="preserve">will operate until 30 June 2024 in </w:t>
      </w:r>
      <w:r w:rsidRPr="00EB4397">
        <w:t>metropolitan areas only</w:t>
      </w:r>
      <w:r w:rsidR="74E81A6F" w:rsidRPr="00EB4397">
        <w:t>.</w:t>
      </w:r>
      <w:r w:rsidR="74E81A6F" w:rsidRPr="002D5536">
        <w:t xml:space="preserve"> </w:t>
      </w:r>
    </w:p>
    <w:p w14:paraId="24A61960" w14:textId="1F88863D" w:rsidR="004A2017" w:rsidRDefault="74E81A6F" w:rsidP="007573A1">
      <w:pPr>
        <w:pStyle w:val="Body"/>
        <w:rPr>
          <w:rFonts w:eastAsia="Arial" w:cs="Arial"/>
          <w:color w:val="000000" w:themeColor="text1"/>
          <w:szCs w:val="21"/>
        </w:rPr>
      </w:pPr>
      <w:r w:rsidRPr="00E95B31">
        <w:rPr>
          <w:rFonts w:eastAsia="Arial" w:cs="Arial"/>
          <w:szCs w:val="21"/>
        </w:rPr>
        <w:t xml:space="preserve">The </w:t>
      </w:r>
      <w:r w:rsidR="00A0116C">
        <w:rPr>
          <w:rFonts w:eastAsia="Arial" w:cs="Arial"/>
          <w:szCs w:val="21"/>
        </w:rPr>
        <w:t>AOS</w:t>
      </w:r>
      <w:r w:rsidRPr="00E95B31">
        <w:rPr>
          <w:rFonts w:eastAsia="Arial" w:cs="Arial"/>
          <w:szCs w:val="21"/>
        </w:rPr>
        <w:t xml:space="preserve"> </w:t>
      </w:r>
      <w:r w:rsidR="004A2017" w:rsidRPr="00E95B31">
        <w:rPr>
          <w:rFonts w:eastAsia="Arial" w:cs="Arial"/>
          <w:szCs w:val="21"/>
        </w:rPr>
        <w:t>is</w:t>
      </w:r>
      <w:r w:rsidRPr="00E95B31">
        <w:rPr>
          <w:rFonts w:eastAsia="Arial" w:cs="Arial"/>
          <w:szCs w:val="21"/>
        </w:rPr>
        <w:t xml:space="preserve"> delivered by </w:t>
      </w:r>
      <w:r w:rsidRPr="638F93E6">
        <w:rPr>
          <w:rFonts w:eastAsia="Arial" w:cs="Arial"/>
          <w:color w:val="000000" w:themeColor="text1"/>
          <w:szCs w:val="21"/>
        </w:rPr>
        <w:t>two funded providers</w:t>
      </w:r>
      <w:r w:rsidR="004A2017">
        <w:rPr>
          <w:rFonts w:eastAsia="Arial" w:cs="Arial"/>
          <w:color w:val="000000" w:themeColor="text1"/>
          <w:szCs w:val="21"/>
        </w:rPr>
        <w:t>:</w:t>
      </w:r>
    </w:p>
    <w:p w14:paraId="466586A5" w14:textId="5667E324" w:rsidR="00441397" w:rsidRDefault="00441397" w:rsidP="00A50B0C">
      <w:pPr>
        <w:pStyle w:val="Bodyafterbullets"/>
      </w:pPr>
      <w:r w:rsidRPr="00DC607A">
        <w:rPr>
          <w:noProof/>
        </w:rPr>
        <w:drawing>
          <wp:inline distT="0" distB="0" distL="0" distR="0" wp14:anchorId="301DE1A5" wp14:editId="4AF76CA1">
            <wp:extent cx="4484217" cy="1343730"/>
            <wp:effectExtent l="0" t="0" r="0" b="8890"/>
            <wp:docPr id="18" name="Picture 18" descr="Image displays 2 boxes which shows the 2 AOS service providers and their respective pilot program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displays 2 boxes which shows the 2 AOS service providers and their respective pilot program areas."/>
                    <pic:cNvPicPr/>
                  </pic:nvPicPr>
                  <pic:blipFill>
                    <a:blip r:embed="rId51"/>
                    <a:stretch>
                      <a:fillRect/>
                    </a:stretch>
                  </pic:blipFill>
                  <pic:spPr>
                    <a:xfrm>
                      <a:off x="0" y="0"/>
                      <a:ext cx="4633749" cy="1388538"/>
                    </a:xfrm>
                    <a:prstGeom prst="rect">
                      <a:avLst/>
                    </a:prstGeom>
                  </pic:spPr>
                </pic:pic>
              </a:graphicData>
            </a:graphic>
          </wp:inline>
        </w:drawing>
      </w:r>
    </w:p>
    <w:p w14:paraId="7367F2BF" w14:textId="644C18E0" w:rsidR="00BC45CE" w:rsidRPr="001F24BE" w:rsidRDefault="0098619D" w:rsidP="001F24BE">
      <w:pPr>
        <w:pStyle w:val="Heading2"/>
      </w:pPr>
      <w:bookmarkStart w:id="152" w:name="_Toc112856258"/>
      <w:bookmarkStart w:id="153" w:name="_Toc125713739"/>
      <w:bookmarkStart w:id="154" w:name="_Toc137636746"/>
      <w:bookmarkStart w:id="155" w:name="_Toc145318584"/>
      <w:r>
        <w:t>6.1</w:t>
      </w:r>
      <w:r w:rsidR="00A73F81">
        <w:tab/>
      </w:r>
      <w:r w:rsidR="00BC45CE" w:rsidRPr="001F24BE">
        <w:t>Service model</w:t>
      </w:r>
      <w:bookmarkEnd w:id="152"/>
      <w:bookmarkEnd w:id="153"/>
      <w:bookmarkEnd w:id="154"/>
      <w:bookmarkEnd w:id="155"/>
    </w:p>
    <w:p w14:paraId="0E8A42DC" w14:textId="53929FDC" w:rsidR="005A720B" w:rsidRDefault="005A720B" w:rsidP="00A0116C">
      <w:pPr>
        <w:pStyle w:val="Body"/>
      </w:pPr>
      <w:r w:rsidRPr="638F93E6">
        <w:t xml:space="preserve">The AOS </w:t>
      </w:r>
      <w:r>
        <w:t>delivers</w:t>
      </w:r>
      <w:r w:rsidRPr="638F93E6">
        <w:t xml:space="preserve"> assertive outreach and case management support to people with complex needs who experience significant service gaps and present an unacceptable risk of harm to others. </w:t>
      </w:r>
    </w:p>
    <w:p w14:paraId="3B9B152B" w14:textId="2CBC6A23" w:rsidR="005E03BE" w:rsidRPr="005E03BE" w:rsidRDefault="005E03BE" w:rsidP="00A0116C">
      <w:pPr>
        <w:pStyle w:val="Body"/>
      </w:pPr>
      <w:r w:rsidRPr="00EB4397">
        <w:t>Assertive outreach will</w:t>
      </w:r>
      <w:r w:rsidRPr="7B2A9E0A">
        <w:t xml:space="preserve"> support people to overcome barriers to accessing services and is provided flexibly in the place of residence or community, to build capacity for people with complex needs and improve their engagement with targeted interventions and services. Assertive outreach will provide:</w:t>
      </w:r>
    </w:p>
    <w:p w14:paraId="4787DDA0" w14:textId="00121F40" w:rsidR="005E03BE" w:rsidRPr="005E03BE" w:rsidRDefault="00A0116C" w:rsidP="00740A47">
      <w:pPr>
        <w:pStyle w:val="Bullet1"/>
      </w:pPr>
      <w:r w:rsidRPr="005E03BE">
        <w:t>intervention at the time a person needs it to address barriers to access, including service refusal and avoidance</w:t>
      </w:r>
    </w:p>
    <w:p w14:paraId="424E1625" w14:textId="524579A5" w:rsidR="005E03BE" w:rsidRPr="005E03BE" w:rsidRDefault="00A0116C" w:rsidP="00740A47">
      <w:pPr>
        <w:pStyle w:val="Bullet1"/>
      </w:pPr>
      <w:r w:rsidRPr="005E03BE">
        <w:t>intensive and flexible support addressing barriers to accessing services, including environmental, social, and criminogenic barriers</w:t>
      </w:r>
    </w:p>
    <w:p w14:paraId="48B46D2C" w14:textId="362258DA" w:rsidR="005E03BE" w:rsidRPr="005E03BE" w:rsidRDefault="00A0116C" w:rsidP="00740A47">
      <w:pPr>
        <w:pStyle w:val="Bullet1"/>
      </w:pPr>
      <w:r w:rsidRPr="005E03BE">
        <w:t>recognition of the potentially difficult, chaotic, and challenging life circumstances which make it difficult for people to engage in conventional treatment settings</w:t>
      </w:r>
    </w:p>
    <w:p w14:paraId="4CCD01C2" w14:textId="4110AAC2" w:rsidR="005E03BE" w:rsidRPr="005E03BE" w:rsidRDefault="00A0116C" w:rsidP="00740A47">
      <w:pPr>
        <w:pStyle w:val="Bullet1"/>
      </w:pPr>
      <w:r w:rsidRPr="005E03BE">
        <w:t xml:space="preserve">proactive approaches and acknowledgement that for some people it is not simple to access relevant services </w:t>
      </w:r>
      <w:r w:rsidR="005E03BE" w:rsidRPr="005E03BE">
        <w:t>required to address their needs</w:t>
      </w:r>
      <w:r>
        <w:t>.</w:t>
      </w:r>
    </w:p>
    <w:p w14:paraId="6FC941F8" w14:textId="77777777" w:rsidR="005E03BE" w:rsidRDefault="005E03BE" w:rsidP="00EB23E4">
      <w:pPr>
        <w:pStyle w:val="Bodyafterbullets"/>
      </w:pPr>
      <w:r w:rsidRPr="00A0116C">
        <w:t xml:space="preserve">Case management will enhance a person’s access to services through a collaborative, structured process of assessment, planning, intervention, and review of services delivered, that responds to the risk and needs of a person with complex needs. </w:t>
      </w:r>
    </w:p>
    <w:p w14:paraId="51CBF101" w14:textId="7D4B0A73" w:rsidR="006F3666" w:rsidRPr="00A0116C" w:rsidRDefault="006F3666" w:rsidP="006F3666">
      <w:pPr>
        <w:pStyle w:val="Body"/>
      </w:pPr>
      <w:r>
        <w:t xml:space="preserve">The </w:t>
      </w:r>
      <w:r w:rsidRPr="00A0185A">
        <w:t>AOS process workflow</w:t>
      </w:r>
      <w:r>
        <w:t xml:space="preserve"> outlines the key process steps for AOS </w:t>
      </w:r>
      <w:r w:rsidRPr="00297833">
        <w:t>(</w:t>
      </w:r>
      <w:r w:rsidRPr="00297833">
        <w:rPr>
          <w:bCs/>
        </w:rPr>
        <w:t>Appendix 1</w:t>
      </w:r>
      <w:r w:rsidRPr="00297833">
        <w:t>).</w:t>
      </w:r>
    </w:p>
    <w:p w14:paraId="669BD48E" w14:textId="135F3168" w:rsidR="0032682E" w:rsidRPr="00A0116C" w:rsidRDefault="002656FC" w:rsidP="00A0116C">
      <w:pPr>
        <w:pStyle w:val="Body"/>
      </w:pPr>
      <w:r w:rsidRPr="00A0116C">
        <w:t xml:space="preserve">AOS providers will </w:t>
      </w:r>
      <w:r w:rsidR="00F503C3" w:rsidRPr="00A0116C">
        <w:t xml:space="preserve">deliver assertive outreach and case management support to the </w:t>
      </w:r>
      <w:r w:rsidR="00191CDD" w:rsidRPr="00A0116C">
        <w:t>person</w:t>
      </w:r>
      <w:r w:rsidR="00BC3575" w:rsidRPr="00A0116C">
        <w:t xml:space="preserve">. </w:t>
      </w:r>
      <w:r w:rsidR="0032682E" w:rsidRPr="00A0116C">
        <w:t xml:space="preserve">It is not expected that AOS providers will be the primary </w:t>
      </w:r>
      <w:r w:rsidR="004D6CF7" w:rsidRPr="00A0116C">
        <w:t>service delivery</w:t>
      </w:r>
      <w:r w:rsidR="006A0CA7" w:rsidRPr="00A0116C">
        <w:t xml:space="preserve"> </w:t>
      </w:r>
      <w:r w:rsidR="00A0116C" w:rsidRPr="00A0116C">
        <w:t>agency but</w:t>
      </w:r>
      <w:r w:rsidR="0032682E" w:rsidRPr="00A0116C">
        <w:t xml:space="preserve"> will facilitate the </w:t>
      </w:r>
      <w:r w:rsidR="006A0CA7" w:rsidRPr="00A0116C">
        <w:t>person</w:t>
      </w:r>
      <w:r w:rsidR="0032682E" w:rsidRPr="00A0116C">
        <w:t>s’ access to existing mainstream and specialist services through warm and facilitated referrals; and through identifying and resolving any barriers preventing their access.</w:t>
      </w:r>
    </w:p>
    <w:p w14:paraId="53BEA4CC" w14:textId="17AF3F19" w:rsidR="0032682E" w:rsidRPr="00A0116C" w:rsidRDefault="0032682E" w:rsidP="00A0116C">
      <w:pPr>
        <w:pStyle w:val="Body"/>
      </w:pPr>
      <w:r w:rsidRPr="00A0116C">
        <w:t xml:space="preserve">Where existing services are not available to the </w:t>
      </w:r>
      <w:r w:rsidR="006A0CA7" w:rsidRPr="00A0116C">
        <w:t>person</w:t>
      </w:r>
      <w:r w:rsidRPr="00A0116C">
        <w:t xml:space="preserve">, AOS providers </w:t>
      </w:r>
      <w:r w:rsidR="0034788E" w:rsidRPr="00A0116C">
        <w:t xml:space="preserve">will manage a flexible brokerage allocation to </w:t>
      </w:r>
      <w:r w:rsidRPr="00A0116C">
        <w:t xml:space="preserve">support </w:t>
      </w:r>
      <w:r w:rsidR="006A0CA7" w:rsidRPr="00A0116C">
        <w:t>people to</w:t>
      </w:r>
      <w:r w:rsidRPr="00A0116C">
        <w:t xml:space="preserve"> achieve their goals. </w:t>
      </w:r>
    </w:p>
    <w:p w14:paraId="0B56D6A5" w14:textId="77777777" w:rsidR="003A4EB4" w:rsidRDefault="003A4EB4" w:rsidP="00E95B31">
      <w:pPr>
        <w:spacing w:before="80" w:after="60" w:line="240" w:lineRule="auto"/>
        <w:rPr>
          <w:rFonts w:eastAsia="Arial" w:cs="Arial"/>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D25DA0" w14:paraId="63871351" w14:textId="77777777">
        <w:tc>
          <w:tcPr>
            <w:tcW w:w="0" w:type="auto"/>
            <w:shd w:val="clear" w:color="auto" w:fill="99D3F0"/>
            <w:vAlign w:val="center"/>
          </w:tcPr>
          <w:p w14:paraId="431FFCCB" w14:textId="77777777" w:rsidR="00020CB6" w:rsidRDefault="00020CB6">
            <w:pPr>
              <w:pStyle w:val="Body"/>
            </w:pPr>
            <w:r>
              <w:rPr>
                <w:noProof/>
              </w:rPr>
              <w:drawing>
                <wp:inline distT="0" distB="0" distL="0" distR="0" wp14:anchorId="4FFCE5C3" wp14:editId="1EAD7D19">
                  <wp:extent cx="540000" cy="540000"/>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D31D46F" w14:textId="77777777" w:rsidR="00020CB6" w:rsidRDefault="00020CB6">
            <w:pPr>
              <w:pStyle w:val="Tablecolhead"/>
            </w:pPr>
            <w:r>
              <w:t>Coordinator tasks</w:t>
            </w:r>
          </w:p>
          <w:p w14:paraId="061CEBAE" w14:textId="6D850F11" w:rsidR="00D25DA0" w:rsidRDefault="00D25DA0" w:rsidP="00740A47">
            <w:pPr>
              <w:pStyle w:val="Bullet1"/>
            </w:pPr>
            <w:r>
              <w:t>receive referrals and screen/assess eligibility for AOS</w:t>
            </w:r>
          </w:p>
          <w:p w14:paraId="73C459AB" w14:textId="77777777" w:rsidR="00D25DA0" w:rsidRDefault="00D25DA0" w:rsidP="00740A47">
            <w:pPr>
              <w:pStyle w:val="Bullet1"/>
            </w:pPr>
            <w:r>
              <w:t>allocate AOS eligible referrals to the relevant AOS provider</w:t>
            </w:r>
          </w:p>
          <w:p w14:paraId="27822387" w14:textId="26D4EDF8" w:rsidR="354F1441" w:rsidRPr="00D717B5" w:rsidRDefault="00D25DA0" w:rsidP="00740A47">
            <w:pPr>
              <w:pStyle w:val="Bullet1"/>
              <w:rPr>
                <w:color w:val="FF0000"/>
              </w:rPr>
            </w:pPr>
            <w:r>
              <w:lastRenderedPageBreak/>
              <w:t xml:space="preserve">provide </w:t>
            </w:r>
            <w:r w:rsidRPr="00D717B5">
              <w:t>consultation support as the person is receiving services from the provider</w:t>
            </w:r>
            <w:r w:rsidR="00D717B5" w:rsidRPr="00D717B5">
              <w:t xml:space="preserve"> </w:t>
            </w:r>
          </w:p>
          <w:p w14:paraId="2AF3BC2F" w14:textId="224FF195" w:rsidR="00D25DA0" w:rsidRDefault="001C4D06" w:rsidP="00740A47">
            <w:pPr>
              <w:pStyle w:val="Bullet1"/>
            </w:pPr>
            <w:r>
              <w:t>prepare AOS matters for presentation at Complex Needs Panels</w:t>
            </w:r>
            <w:r w:rsidR="0064637F">
              <w:t xml:space="preserve"> in collaboration with the AOS provider</w:t>
            </w:r>
            <w:r>
              <w:t>.</w:t>
            </w:r>
          </w:p>
        </w:tc>
      </w:tr>
    </w:tbl>
    <w:p w14:paraId="366D76FB" w14:textId="357004ED" w:rsidR="002E1E5F" w:rsidRPr="002E1E5F" w:rsidRDefault="00495B83" w:rsidP="001F24BE">
      <w:pPr>
        <w:pStyle w:val="Heading2"/>
        <w:rPr>
          <w:rFonts w:eastAsia="Arial"/>
          <w:bCs/>
        </w:rPr>
      </w:pPr>
      <w:bookmarkStart w:id="156" w:name="_Toc145318585"/>
      <w:r>
        <w:rPr>
          <w:rFonts w:eastAsia="Arial"/>
        </w:rPr>
        <w:lastRenderedPageBreak/>
        <w:t>6.2</w:t>
      </w:r>
      <w:r w:rsidR="00A73F81">
        <w:rPr>
          <w:rFonts w:eastAsia="Arial"/>
        </w:rPr>
        <w:tab/>
      </w:r>
      <w:r w:rsidR="002E1E5F" w:rsidRPr="002E1E5F">
        <w:rPr>
          <w:rFonts w:eastAsia="Arial"/>
          <w:bCs/>
        </w:rPr>
        <w:t>Service delivery principles</w:t>
      </w:r>
      <w:bookmarkEnd w:id="156"/>
    </w:p>
    <w:p w14:paraId="2A496B8A" w14:textId="42D784EF" w:rsidR="007C2933" w:rsidRDefault="0094460D" w:rsidP="007C2933">
      <w:pPr>
        <w:pStyle w:val="Body"/>
        <w:rPr>
          <w:lang w:val="en-US"/>
        </w:rPr>
      </w:pPr>
      <w:r>
        <w:rPr>
          <w:lang w:val="en-US"/>
        </w:rPr>
        <w:t>AOS se</w:t>
      </w:r>
      <w:r w:rsidR="007C2933">
        <w:rPr>
          <w:lang w:val="en-US"/>
        </w:rPr>
        <w:t xml:space="preserve">rvice </w:t>
      </w:r>
      <w:r w:rsidR="004B3A28">
        <w:rPr>
          <w:lang w:val="en-US"/>
        </w:rPr>
        <w:t>delivery</w:t>
      </w:r>
      <w:r>
        <w:rPr>
          <w:lang w:val="en-US"/>
        </w:rPr>
        <w:t xml:space="preserve"> will </w:t>
      </w:r>
      <w:r w:rsidR="00843D42">
        <w:rPr>
          <w:lang w:val="en-US"/>
        </w:rPr>
        <w:t>align with</w:t>
      </w:r>
      <w:r>
        <w:rPr>
          <w:lang w:val="en-US"/>
        </w:rPr>
        <w:t xml:space="preserve"> the following principles:</w:t>
      </w:r>
      <w:r w:rsidR="007C2933">
        <w:rPr>
          <w:lang w:val="en-US"/>
        </w:rPr>
        <w:t xml:space="preserve"> </w:t>
      </w:r>
    </w:p>
    <w:p w14:paraId="5DAF5224" w14:textId="72B84648" w:rsidR="007C2933" w:rsidRPr="00A0116C" w:rsidRDefault="00106403" w:rsidP="00740A47">
      <w:pPr>
        <w:pStyle w:val="Bullet1"/>
      </w:pPr>
      <w:r w:rsidRPr="00A0116C">
        <w:t>h</w:t>
      </w:r>
      <w:r w:rsidR="007C2933" w:rsidRPr="00A0116C">
        <w:t>uman rights foc</w:t>
      </w:r>
      <w:r w:rsidR="009B68DD" w:rsidRPr="00A0116C">
        <w:t>us</w:t>
      </w:r>
    </w:p>
    <w:p w14:paraId="29EF1415" w14:textId="35F11CD1" w:rsidR="007C2933" w:rsidRPr="00A0116C" w:rsidRDefault="00106403" w:rsidP="00740A47">
      <w:pPr>
        <w:pStyle w:val="Bullet1"/>
      </w:pPr>
      <w:r w:rsidRPr="00A0116C">
        <w:t>p</w:t>
      </w:r>
      <w:r w:rsidR="007C2933" w:rsidRPr="00A0116C">
        <w:t xml:space="preserve">erson-centered, including peer-led design and delivery </w:t>
      </w:r>
    </w:p>
    <w:p w14:paraId="53E23DC6" w14:textId="0C2785BA" w:rsidR="007C2933" w:rsidRPr="00A0116C" w:rsidRDefault="00106403" w:rsidP="00740A47">
      <w:pPr>
        <w:pStyle w:val="Bullet1"/>
      </w:pPr>
      <w:r w:rsidRPr="00A0116C">
        <w:t>t</w:t>
      </w:r>
      <w:r w:rsidR="007C2933" w:rsidRPr="00A0116C">
        <w:t xml:space="preserve">rauma-informed </w:t>
      </w:r>
    </w:p>
    <w:p w14:paraId="2968AE19" w14:textId="3F84B4A0" w:rsidR="007C2933" w:rsidRPr="00A0116C" w:rsidRDefault="00106403" w:rsidP="00740A47">
      <w:pPr>
        <w:pStyle w:val="Bullet1"/>
      </w:pPr>
      <w:r w:rsidRPr="00A0116C">
        <w:t>e</w:t>
      </w:r>
      <w:r w:rsidR="007C2933" w:rsidRPr="00A0116C">
        <w:t xml:space="preserve">vidence-based and outcomes focus </w:t>
      </w:r>
    </w:p>
    <w:p w14:paraId="2FEBAE67" w14:textId="4D0E2469" w:rsidR="007C2933" w:rsidRPr="00A0116C" w:rsidRDefault="00106403" w:rsidP="00740A47">
      <w:pPr>
        <w:pStyle w:val="Bullet1"/>
      </w:pPr>
      <w:r w:rsidRPr="00A0116C">
        <w:t>f</w:t>
      </w:r>
      <w:r w:rsidR="007C2933" w:rsidRPr="00A0116C">
        <w:t>amily and carer-inclusive</w:t>
      </w:r>
    </w:p>
    <w:p w14:paraId="7F8E7D88" w14:textId="0963DC5B" w:rsidR="007C2933" w:rsidRPr="00A0116C" w:rsidRDefault="00106403" w:rsidP="00740A47">
      <w:pPr>
        <w:pStyle w:val="Bullet1"/>
      </w:pPr>
      <w:r w:rsidRPr="00A0116C">
        <w:t>r</w:t>
      </w:r>
      <w:r w:rsidR="007C2933" w:rsidRPr="00A0116C">
        <w:t>esponsive to diversity.</w:t>
      </w:r>
    </w:p>
    <w:p w14:paraId="064E0F01" w14:textId="4C7221A1" w:rsidR="00911570" w:rsidRPr="00911570" w:rsidRDefault="00495B83" w:rsidP="001F24BE">
      <w:pPr>
        <w:pStyle w:val="Heading2"/>
        <w:rPr>
          <w:rFonts w:eastAsia="Arial"/>
        </w:rPr>
      </w:pPr>
      <w:bookmarkStart w:id="157" w:name="_Toc145318586"/>
      <w:r>
        <w:rPr>
          <w:rFonts w:eastAsia="Arial"/>
        </w:rPr>
        <w:t>6.3</w:t>
      </w:r>
      <w:r w:rsidR="00A73F81">
        <w:rPr>
          <w:rFonts w:eastAsia="Arial"/>
        </w:rPr>
        <w:tab/>
      </w:r>
      <w:r w:rsidR="00911570" w:rsidRPr="00911570">
        <w:rPr>
          <w:rFonts w:eastAsia="Arial"/>
        </w:rPr>
        <w:t xml:space="preserve">AOS </w:t>
      </w:r>
      <w:r w:rsidR="00A0116C">
        <w:rPr>
          <w:rFonts w:eastAsia="Arial"/>
        </w:rPr>
        <w:t>p</w:t>
      </w:r>
      <w:r w:rsidR="00911570" w:rsidRPr="00911570">
        <w:rPr>
          <w:rFonts w:eastAsia="Arial"/>
        </w:rPr>
        <w:t>rovider service delivery frameworks</w:t>
      </w:r>
      <w:bookmarkEnd w:id="157"/>
    </w:p>
    <w:p w14:paraId="35BB9AD8" w14:textId="6D9F734C" w:rsidR="005945C6" w:rsidRDefault="00C07D3A" w:rsidP="005945C6">
      <w:pPr>
        <w:pStyle w:val="Body"/>
      </w:pPr>
      <w:r>
        <w:t xml:space="preserve">AOS providers </w:t>
      </w:r>
      <w:r w:rsidR="005945C6">
        <w:t xml:space="preserve">have </w:t>
      </w:r>
      <w:r>
        <w:t xml:space="preserve">developed service delivery frameworks </w:t>
      </w:r>
      <w:r w:rsidR="007C2970">
        <w:t>that outline how they will deliver</w:t>
      </w:r>
      <w:r w:rsidR="005945C6">
        <w:t xml:space="preserve"> </w:t>
      </w:r>
      <w:r w:rsidR="007C2970">
        <w:t>AOS to clients</w:t>
      </w:r>
      <w:r w:rsidR="005945C6">
        <w:t>.</w:t>
      </w:r>
      <w:r w:rsidR="005945C6" w:rsidRPr="005945C6">
        <w:t xml:space="preserve"> </w:t>
      </w:r>
      <w:r w:rsidR="005945C6">
        <w:t>The frameworks include:</w:t>
      </w:r>
    </w:p>
    <w:p w14:paraId="79492497" w14:textId="06A75B3B" w:rsidR="00F0358C" w:rsidRPr="00A0116C" w:rsidRDefault="00BD3917" w:rsidP="00740A47">
      <w:pPr>
        <w:pStyle w:val="Bullet1"/>
      </w:pPr>
      <w:r w:rsidRPr="00A0116C">
        <w:t>i</w:t>
      </w:r>
      <w:r w:rsidR="007D0EED" w:rsidRPr="00A0116C">
        <w:t>nitial engagement and service delivery</w:t>
      </w:r>
    </w:p>
    <w:p w14:paraId="3005B771" w14:textId="0E0871B9" w:rsidR="007D0EED" w:rsidRPr="00A0116C" w:rsidRDefault="00BD3917" w:rsidP="00740A47">
      <w:pPr>
        <w:pStyle w:val="Bullet1"/>
      </w:pPr>
      <w:r w:rsidRPr="00A0116C">
        <w:t>a</w:t>
      </w:r>
      <w:r w:rsidR="007D0EED" w:rsidRPr="00A0116C">
        <w:t xml:space="preserve">ssessment </w:t>
      </w:r>
      <w:r w:rsidR="00B95CD4" w:rsidRPr="00A0116C">
        <w:t>of client needs and risk</w:t>
      </w:r>
    </w:p>
    <w:p w14:paraId="32C38128" w14:textId="34579BB0" w:rsidR="0070262D" w:rsidRPr="00A0116C" w:rsidRDefault="00BD3917" w:rsidP="00740A47">
      <w:pPr>
        <w:pStyle w:val="Bullet1"/>
      </w:pPr>
      <w:r w:rsidRPr="00A0116C">
        <w:t>d</w:t>
      </w:r>
      <w:r w:rsidR="0070262D" w:rsidRPr="00A0116C">
        <w:t xml:space="preserve">evelopment of </w:t>
      </w:r>
      <w:r w:rsidR="005945C6">
        <w:t xml:space="preserve">a </w:t>
      </w:r>
      <w:r w:rsidR="0070262D" w:rsidRPr="00A0116C">
        <w:t xml:space="preserve">tailored </w:t>
      </w:r>
      <w:r w:rsidR="005945C6">
        <w:t>e</w:t>
      </w:r>
      <w:r w:rsidR="0070262D" w:rsidRPr="00A0116C">
        <w:t xml:space="preserve">ngagement </w:t>
      </w:r>
      <w:r w:rsidR="005945C6">
        <w:t>p</w:t>
      </w:r>
      <w:r w:rsidR="0070262D" w:rsidRPr="00A0116C">
        <w:t xml:space="preserve">lan and/or </w:t>
      </w:r>
      <w:r w:rsidR="005945C6">
        <w:t>in</w:t>
      </w:r>
      <w:r w:rsidR="0070262D" w:rsidRPr="00A0116C">
        <w:t xml:space="preserve">dividual </w:t>
      </w:r>
      <w:r w:rsidR="005945C6">
        <w:t>s</w:t>
      </w:r>
      <w:r w:rsidR="0070262D" w:rsidRPr="00A0116C">
        <w:t xml:space="preserve">upport </w:t>
      </w:r>
      <w:r w:rsidR="005945C6">
        <w:t>p</w:t>
      </w:r>
      <w:r w:rsidR="0070262D" w:rsidRPr="00A0116C">
        <w:t xml:space="preserve">lan </w:t>
      </w:r>
    </w:p>
    <w:p w14:paraId="3CE56D24" w14:textId="37BD5742" w:rsidR="0070262D" w:rsidRPr="00A0116C" w:rsidRDefault="00BD3917" w:rsidP="00740A47">
      <w:pPr>
        <w:pStyle w:val="Bullet1"/>
      </w:pPr>
      <w:r w:rsidRPr="00A0116C">
        <w:t>i</w:t>
      </w:r>
      <w:r w:rsidR="00B96A8A" w:rsidRPr="00A0116C">
        <w:t>nteraction with</w:t>
      </w:r>
      <w:r w:rsidR="00546E31" w:rsidRPr="00A0116C">
        <w:t xml:space="preserve"> Complex Needs teams, including </w:t>
      </w:r>
      <w:r w:rsidRPr="00A0116C">
        <w:t xml:space="preserve">the area </w:t>
      </w:r>
      <w:r w:rsidR="00A0116C">
        <w:t>Complex Needs P</w:t>
      </w:r>
      <w:r w:rsidRPr="00A0116C">
        <w:t>anel</w:t>
      </w:r>
    </w:p>
    <w:p w14:paraId="613B57A4" w14:textId="2259F326" w:rsidR="00E33702" w:rsidRPr="00A0116C" w:rsidRDefault="00E33702" w:rsidP="00740A47">
      <w:pPr>
        <w:pStyle w:val="Bullet1"/>
      </w:pPr>
      <w:r w:rsidRPr="00A0116C">
        <w:t xml:space="preserve">exit planning and </w:t>
      </w:r>
      <w:r w:rsidR="0053614A" w:rsidRPr="00A0116C">
        <w:t>transitioning to</w:t>
      </w:r>
      <w:r w:rsidRPr="00A0116C">
        <w:t xml:space="preserve"> AOS closure </w:t>
      </w:r>
    </w:p>
    <w:p w14:paraId="004FA8F1" w14:textId="5581C9BC" w:rsidR="00E81B95" w:rsidRPr="00A0116C" w:rsidRDefault="00E81B95" w:rsidP="00740A47">
      <w:pPr>
        <w:pStyle w:val="Bullet1"/>
      </w:pPr>
      <w:r w:rsidRPr="00A0116C">
        <w:t>service response, duration</w:t>
      </w:r>
      <w:r w:rsidR="00A67772">
        <w:t>,</w:t>
      </w:r>
      <w:r w:rsidRPr="00A0116C">
        <w:t xml:space="preserve"> and environment </w:t>
      </w:r>
    </w:p>
    <w:p w14:paraId="584E82F7" w14:textId="56371EE6" w:rsidR="00E81B95" w:rsidRPr="00A0116C" w:rsidRDefault="005E4007" w:rsidP="00740A47">
      <w:pPr>
        <w:pStyle w:val="Bullet1"/>
      </w:pPr>
      <w:r w:rsidRPr="00A0116C">
        <w:t>risk management approach.</w:t>
      </w:r>
    </w:p>
    <w:p w14:paraId="24DE0A56" w14:textId="5A4152D6" w:rsidR="0013457A" w:rsidRDefault="00004BCE" w:rsidP="00FF6F86">
      <w:pPr>
        <w:pStyle w:val="Heading2"/>
      </w:pPr>
      <w:bookmarkStart w:id="158" w:name="_Toc140737961"/>
      <w:bookmarkStart w:id="159" w:name="_Toc137636747"/>
      <w:bookmarkStart w:id="160" w:name="_Toc145318587"/>
      <w:bookmarkEnd w:id="158"/>
      <w:r>
        <w:t>6.4</w:t>
      </w:r>
      <w:r w:rsidR="00A73F81">
        <w:tab/>
      </w:r>
      <w:r w:rsidR="0013457A" w:rsidRPr="00E95B31">
        <w:t>Operational Managem</w:t>
      </w:r>
      <w:r w:rsidR="0013457A" w:rsidRPr="002D5536">
        <w:t>ent Group</w:t>
      </w:r>
      <w:bookmarkEnd w:id="160"/>
    </w:p>
    <w:p w14:paraId="7FC76369" w14:textId="1F45DA2B" w:rsidR="00D72342" w:rsidRDefault="00A46F3C" w:rsidP="00A46F3C">
      <w:pPr>
        <w:pStyle w:val="Body"/>
      </w:pPr>
      <w:r>
        <w:t xml:space="preserve">The primary purpose of the </w:t>
      </w:r>
      <w:r w:rsidR="00BD4B2E" w:rsidRPr="00BD4B2E">
        <w:t>Operational Management Group</w:t>
      </w:r>
      <w:r w:rsidR="00BD4B2E">
        <w:t xml:space="preserve"> (</w:t>
      </w:r>
      <w:r>
        <w:t>OMG</w:t>
      </w:r>
      <w:r w:rsidR="00BD4B2E">
        <w:t>)</w:t>
      </w:r>
      <w:r>
        <w:t xml:space="preserve"> is to support consistent and timely implementation of the AOS Pilot Program, particularly in the </w:t>
      </w:r>
      <w:bookmarkStart w:id="161" w:name="_Int_weqGVoyI"/>
      <w:r>
        <w:t>early stages</w:t>
      </w:r>
      <w:bookmarkEnd w:id="161"/>
      <w:r>
        <w:t xml:space="preserve"> of AOS service delivery to clients.</w:t>
      </w:r>
      <w:r w:rsidRPr="00C25CCF">
        <w:t xml:space="preserve"> </w:t>
      </w:r>
    </w:p>
    <w:p w14:paraId="5C49A2A4" w14:textId="567A6621" w:rsidR="00D72342" w:rsidRDefault="00D72342" w:rsidP="00D72342">
      <w:pPr>
        <w:pStyle w:val="Body"/>
      </w:pPr>
      <w:r>
        <w:t>The relevant department area is responsible for determining a person’s eligibility for AOS</w:t>
      </w:r>
      <w:r w:rsidR="000B58A9">
        <w:t xml:space="preserve">, noting the </w:t>
      </w:r>
      <w:r>
        <w:t xml:space="preserve">determination will consider the input of the OMG and be consistent with application of eligibility criteria across other </w:t>
      </w:r>
      <w:r w:rsidR="000B58A9">
        <w:t>a</w:t>
      </w:r>
      <w:r>
        <w:t xml:space="preserve">reas with the AOS </w:t>
      </w:r>
      <w:r w:rsidR="001337A6">
        <w:t>p</w:t>
      </w:r>
      <w:r>
        <w:t xml:space="preserve">ilot </w:t>
      </w:r>
      <w:r w:rsidR="001337A6">
        <w:t>p</w:t>
      </w:r>
      <w:r>
        <w:t>rogram.</w:t>
      </w:r>
    </w:p>
    <w:p w14:paraId="0FF14493" w14:textId="77777777" w:rsidR="00D72342" w:rsidRPr="004F4A93" w:rsidRDefault="00D72342" w:rsidP="00D72342">
      <w:pPr>
        <w:pStyle w:val="Body"/>
      </w:pPr>
      <w:r>
        <w:t>OMG members representing the AOS provider are responsible for providing updates on current allocated clients and escalating current risk and issues for discussion as required.</w:t>
      </w:r>
    </w:p>
    <w:p w14:paraId="24C6B4BA" w14:textId="7B6D9E3F" w:rsidR="00A46F3C" w:rsidRDefault="00A46F3C" w:rsidP="00A46F3C">
      <w:pPr>
        <w:pStyle w:val="Body"/>
      </w:pPr>
      <w:r>
        <w:t xml:space="preserve">The OMG </w:t>
      </w:r>
      <w:r w:rsidR="0067467B">
        <w:t>t</w:t>
      </w:r>
      <w:r>
        <w:t xml:space="preserve">erms of </w:t>
      </w:r>
      <w:r w:rsidR="0067467B">
        <w:t>r</w:t>
      </w:r>
      <w:r>
        <w:t>eference will be reviewed after eight weeks of service delivery.</w:t>
      </w:r>
    </w:p>
    <w:p w14:paraId="3800D45F" w14:textId="7C078191" w:rsidR="000D2846" w:rsidRDefault="000D2846" w:rsidP="000D2846">
      <w:pPr>
        <w:pStyle w:val="Body"/>
      </w:pPr>
      <w:r>
        <w:t xml:space="preserve">The </w:t>
      </w:r>
      <w:r w:rsidR="0067467B">
        <w:t>purpose</w:t>
      </w:r>
      <w:r>
        <w:t xml:space="preserve"> of the OMG </w:t>
      </w:r>
      <w:r w:rsidR="0067467B">
        <w:t xml:space="preserve">is </w:t>
      </w:r>
      <w:r>
        <w:t>to:</w:t>
      </w:r>
    </w:p>
    <w:p w14:paraId="12E018DB" w14:textId="36DF07B9" w:rsidR="000D2846" w:rsidRDefault="000D2846" w:rsidP="00740A47">
      <w:pPr>
        <w:pStyle w:val="Bullet1"/>
      </w:pPr>
      <w:r>
        <w:t>provide a forum for discussion of incoming referrals</w:t>
      </w:r>
      <w:r w:rsidR="005C3CFF">
        <w:t>’</w:t>
      </w:r>
      <w:r>
        <w:t xml:space="preserve"> </w:t>
      </w:r>
      <w:r w:rsidRPr="004F4A93">
        <w:t>eligibility assessment outcomes and allocation to the provider</w:t>
      </w:r>
      <w:r>
        <w:t xml:space="preserve"> </w:t>
      </w:r>
    </w:p>
    <w:p w14:paraId="3A2642F4" w14:textId="1F1650CB" w:rsidR="000D2846" w:rsidRDefault="000D2846" w:rsidP="00740A47">
      <w:pPr>
        <w:pStyle w:val="Bullet1"/>
      </w:pPr>
      <w:r>
        <w:t>support consistent and timely decision</w:t>
      </w:r>
      <w:r w:rsidR="00983103">
        <w:t>-</w:t>
      </w:r>
      <w:r>
        <w:t>making across the pilot area</w:t>
      </w:r>
      <w:r w:rsidR="00983103">
        <w:t>s</w:t>
      </w:r>
    </w:p>
    <w:p w14:paraId="68E369B9" w14:textId="73AEF2B3" w:rsidR="000D2846" w:rsidRDefault="000D2846" w:rsidP="00740A47">
      <w:pPr>
        <w:pStyle w:val="Bullet1"/>
      </w:pPr>
      <w:r>
        <w:t>receive p</w:t>
      </w:r>
      <w:r w:rsidRPr="004F4A93">
        <w:t xml:space="preserve">rogress updates on clients previously allocated </w:t>
      </w:r>
      <w:r>
        <w:t>to the provider</w:t>
      </w:r>
      <w:r w:rsidR="00983103">
        <w:t>, including</w:t>
      </w:r>
      <w:r>
        <w:t xml:space="preserve"> </w:t>
      </w:r>
      <w:r w:rsidRPr="004F4A93">
        <w:t>brokerage expenditure, discussion of risks, issues</w:t>
      </w:r>
      <w:r>
        <w:t>,</w:t>
      </w:r>
      <w:r w:rsidRPr="004F4A93">
        <w:t xml:space="preserve"> and mitigation strategies</w:t>
      </w:r>
    </w:p>
    <w:p w14:paraId="7DF37A56" w14:textId="31325CB4" w:rsidR="00BD594C" w:rsidRDefault="00BD594C" w:rsidP="00740A47">
      <w:pPr>
        <w:pStyle w:val="Bullet1"/>
      </w:pPr>
      <w:r>
        <w:lastRenderedPageBreak/>
        <w:t>provide advice</w:t>
      </w:r>
      <w:r w:rsidR="00F555D6">
        <w:t xml:space="preserve"> and </w:t>
      </w:r>
      <w:r>
        <w:t>feedback on referrals</w:t>
      </w:r>
      <w:r w:rsidR="00F555D6">
        <w:t>,</w:t>
      </w:r>
      <w:r>
        <w:t xml:space="preserve"> eligibility considerations and specific issues raised at meetings to ensure consistent and timely implementation of AOS and services to AOS clients </w:t>
      </w:r>
    </w:p>
    <w:p w14:paraId="775BCB4D" w14:textId="36FFAB38" w:rsidR="000D2846" w:rsidRDefault="00171652" w:rsidP="00740A47">
      <w:pPr>
        <w:pStyle w:val="Bullet1"/>
      </w:pPr>
      <w:r>
        <w:t xml:space="preserve">facilitate </w:t>
      </w:r>
      <w:r w:rsidR="000D2846">
        <w:t>l</w:t>
      </w:r>
      <w:r w:rsidR="000D2846" w:rsidRPr="004F4A93">
        <w:t xml:space="preserve">ocal resolution of risk and issues </w:t>
      </w:r>
      <w:r>
        <w:t>if needed (</w:t>
      </w:r>
      <w:r w:rsidR="000D2846">
        <w:t xml:space="preserve">Complex Needs Coordinators </w:t>
      </w:r>
      <w:r w:rsidR="000D2846" w:rsidRPr="004F4A93">
        <w:t xml:space="preserve">can </w:t>
      </w:r>
      <w:r>
        <w:t xml:space="preserve">provide </w:t>
      </w:r>
      <w:r w:rsidR="000D2846" w:rsidRPr="004F4A93">
        <w:t xml:space="preserve">support </w:t>
      </w:r>
      <w:r>
        <w:t xml:space="preserve">via </w:t>
      </w:r>
      <w:r w:rsidR="000D2846" w:rsidRPr="004F4A93">
        <w:t>information</w:t>
      </w:r>
      <w:r>
        <w:t>/</w:t>
      </w:r>
      <w:r w:rsidR="000D2846" w:rsidRPr="004F4A93">
        <w:t>practice advice, system navigation</w:t>
      </w:r>
      <w:r>
        <w:t xml:space="preserve">, </w:t>
      </w:r>
      <w:r w:rsidR="000D2846" w:rsidRPr="004F4A93">
        <w:t>problem-solving</w:t>
      </w:r>
      <w:r>
        <w:t xml:space="preserve">, </w:t>
      </w:r>
      <w:r w:rsidR="000D2846" w:rsidRPr="004F4A93">
        <w:t>capacity building</w:t>
      </w:r>
      <w:r>
        <w:t>)</w:t>
      </w:r>
    </w:p>
    <w:p w14:paraId="1E69D225" w14:textId="3FEA2ED2" w:rsidR="00D6667A" w:rsidRDefault="000D2846" w:rsidP="00740A47">
      <w:pPr>
        <w:pStyle w:val="Bullet1"/>
      </w:pPr>
      <w:r>
        <w:t xml:space="preserve">identify AOS clients that should be escalated to the </w:t>
      </w:r>
      <w:r w:rsidRPr="004F4A93">
        <w:t xml:space="preserve">relevant </w:t>
      </w:r>
      <w:r>
        <w:t>Complex Needs</w:t>
      </w:r>
      <w:r w:rsidRPr="004F4A93">
        <w:t xml:space="preserve"> Panel and/or the </w:t>
      </w:r>
      <w:r>
        <w:t xml:space="preserve">Statewide </w:t>
      </w:r>
      <w:r w:rsidRPr="004F4A93">
        <w:t>Complex Needs Advisory Panel (</w:t>
      </w:r>
      <w:r>
        <w:t>S</w:t>
      </w:r>
      <w:r w:rsidRPr="004F4A93">
        <w:t>CNAP)</w:t>
      </w:r>
      <w:r w:rsidR="00555DC9">
        <w:t xml:space="preserve"> - </w:t>
      </w:r>
      <w:r w:rsidR="00D6667A">
        <w:t xml:space="preserve">cases </w:t>
      </w:r>
      <w:r w:rsidRPr="00172C37">
        <w:t>where there is high</w:t>
      </w:r>
      <w:r w:rsidR="00D6667A">
        <w:t xml:space="preserve"> </w:t>
      </w:r>
      <w:r w:rsidRPr="00172C37">
        <w:t xml:space="preserve">level of risk and a clear purpose </w:t>
      </w:r>
      <w:r w:rsidR="00D6667A">
        <w:t xml:space="preserve">for </w:t>
      </w:r>
      <w:r w:rsidRPr="00172C37">
        <w:t>the escalation</w:t>
      </w:r>
    </w:p>
    <w:p w14:paraId="2CAAAA9C" w14:textId="606091FD" w:rsidR="00091D2F" w:rsidRDefault="007A5102" w:rsidP="00740A47">
      <w:pPr>
        <w:pStyle w:val="Bullet1"/>
      </w:pPr>
      <w:r>
        <w:t>e</w:t>
      </w:r>
      <w:r w:rsidR="000D2846" w:rsidRPr="004F4A93">
        <w:t>scalate</w:t>
      </w:r>
      <w:r>
        <w:t xml:space="preserve"> </w:t>
      </w:r>
      <w:r w:rsidRPr="007A5102">
        <w:t>issues</w:t>
      </w:r>
      <w:r w:rsidR="000D2846" w:rsidRPr="004F4A93">
        <w:t xml:space="preserve"> to the </w:t>
      </w:r>
      <w:r>
        <w:t>C</w:t>
      </w:r>
      <w:r w:rsidR="000D2846" w:rsidRPr="004F4A93">
        <w:t xml:space="preserve">entral Complex Needs </w:t>
      </w:r>
      <w:r>
        <w:t>T</w:t>
      </w:r>
      <w:r w:rsidR="000D2846" w:rsidRPr="004F4A93">
        <w:t>eam if there is a procedural or practice issue to be resolved</w:t>
      </w:r>
    </w:p>
    <w:p w14:paraId="055D3846" w14:textId="0A214B27" w:rsidR="000D2846" w:rsidRDefault="00091D2F" w:rsidP="00740A47">
      <w:pPr>
        <w:pStyle w:val="Bullet1"/>
      </w:pPr>
      <w:r>
        <w:t>provide a</w:t>
      </w:r>
      <w:r w:rsidR="000D2846">
        <w:t>dvice when products to support implementation of the AOS Pilot Program are developed or reviewed.</w:t>
      </w:r>
    </w:p>
    <w:p w14:paraId="6D50F912" w14:textId="77777777" w:rsidR="00F1152B" w:rsidRDefault="00F1152B" w:rsidP="00B97C1D">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235"/>
      </w:tblGrid>
      <w:tr w:rsidR="003A4EB4" w14:paraId="59A95BD2" w14:textId="77777777">
        <w:tc>
          <w:tcPr>
            <w:tcW w:w="0" w:type="auto"/>
            <w:shd w:val="clear" w:color="auto" w:fill="CCE9F8"/>
            <w:vAlign w:val="center"/>
          </w:tcPr>
          <w:p w14:paraId="647AAFC7" w14:textId="77777777" w:rsidR="003A4EB4" w:rsidRDefault="003A4EB4">
            <w:pPr>
              <w:pStyle w:val="Body"/>
            </w:pPr>
            <w:r>
              <w:rPr>
                <w:noProof/>
              </w:rPr>
              <w:drawing>
                <wp:inline distT="0" distB="0" distL="0" distR="0" wp14:anchorId="5134761B" wp14:editId="00A4F2DD">
                  <wp:extent cx="540000" cy="540000"/>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51B65383" w14:textId="77777777" w:rsidR="003A4EB4" w:rsidRDefault="003A4EB4">
            <w:pPr>
              <w:pStyle w:val="Tablecolhead"/>
              <w:rPr>
                <w:rFonts w:eastAsia="Arial"/>
              </w:rPr>
            </w:pPr>
            <w:r w:rsidRPr="00DF0E4E">
              <w:rPr>
                <w:rFonts w:eastAsia="Arial"/>
              </w:rPr>
              <w:t>Documentation</w:t>
            </w:r>
            <w:r>
              <w:rPr>
                <w:rFonts w:eastAsia="Arial"/>
              </w:rPr>
              <w:t xml:space="preserve"> required</w:t>
            </w:r>
          </w:p>
          <w:p w14:paraId="5AAEA9D8" w14:textId="7C7B3E4C" w:rsidR="003A4EB4" w:rsidRDefault="00EB23E4" w:rsidP="00740A47">
            <w:pPr>
              <w:pStyle w:val="Bullet1"/>
            </w:pPr>
            <w:r>
              <w:t xml:space="preserve">1 </w:t>
            </w:r>
            <w:r w:rsidR="00667CE0">
              <w:t>Complex Needs Referral Form</w:t>
            </w:r>
          </w:p>
          <w:p w14:paraId="79B6BAD4" w14:textId="68ABA5F7" w:rsidR="003A4EB4" w:rsidRDefault="00EB23E4" w:rsidP="00740A47">
            <w:pPr>
              <w:pStyle w:val="Bullet1"/>
            </w:pPr>
            <w:r>
              <w:t xml:space="preserve">1a </w:t>
            </w:r>
            <w:r w:rsidR="00667CE0">
              <w:t xml:space="preserve">Complex Needs Intake </w:t>
            </w:r>
            <w:r w:rsidR="00667CE0" w:rsidRPr="00D717B5">
              <w:t>Form</w:t>
            </w:r>
          </w:p>
          <w:p w14:paraId="0F20672B" w14:textId="0CAF12C4" w:rsidR="003A4EB4" w:rsidRPr="00D717B5" w:rsidRDefault="5E768FFF" w:rsidP="00740A47">
            <w:pPr>
              <w:pStyle w:val="Bullet1"/>
            </w:pPr>
            <w:r w:rsidRPr="00D717B5">
              <w:t xml:space="preserve">AOS </w:t>
            </w:r>
            <w:r w:rsidR="00667CE0" w:rsidRPr="00D717B5">
              <w:t xml:space="preserve">Engagement Plan </w:t>
            </w:r>
            <w:r w:rsidRPr="00D717B5">
              <w:t>(provider’s own), where present</w:t>
            </w:r>
          </w:p>
          <w:p w14:paraId="722A3E6A" w14:textId="737C44BB" w:rsidR="003A4EB4" w:rsidRPr="00B83D2D" w:rsidRDefault="5E768FFF" w:rsidP="00740A47">
            <w:pPr>
              <w:pStyle w:val="Bullet1"/>
              <w:rPr>
                <w:color w:val="FF0000"/>
                <w:szCs w:val="21"/>
              </w:rPr>
            </w:pPr>
            <w:r w:rsidRPr="00D717B5">
              <w:t xml:space="preserve">AOS </w:t>
            </w:r>
            <w:r w:rsidR="00667CE0" w:rsidRPr="00D717B5">
              <w:t xml:space="preserve">Individual Support Plan </w:t>
            </w:r>
            <w:r w:rsidRPr="00D717B5">
              <w:t>(provider’s own), where present</w:t>
            </w:r>
          </w:p>
        </w:tc>
      </w:tr>
    </w:tbl>
    <w:p w14:paraId="4529825B" w14:textId="77777777" w:rsidR="003A4EB4" w:rsidRDefault="003A4EB4" w:rsidP="00E93BDA">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19"/>
      </w:tblGrid>
      <w:tr w:rsidR="000413B9" w14:paraId="001B19F3" w14:textId="77777777">
        <w:tc>
          <w:tcPr>
            <w:tcW w:w="0" w:type="auto"/>
            <w:shd w:val="clear" w:color="auto" w:fill="99D3F0"/>
            <w:vAlign w:val="center"/>
          </w:tcPr>
          <w:p w14:paraId="1D43872C" w14:textId="77777777" w:rsidR="004819A7" w:rsidRDefault="004819A7">
            <w:pPr>
              <w:pStyle w:val="Body"/>
            </w:pPr>
            <w:r>
              <w:rPr>
                <w:noProof/>
              </w:rPr>
              <w:drawing>
                <wp:inline distT="0" distB="0" distL="0" distR="0" wp14:anchorId="2ABF1E99" wp14:editId="5305C666">
                  <wp:extent cx="540000" cy="540000"/>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42A55A48" w14:textId="3B052709" w:rsidR="004819A7" w:rsidRDefault="004819A7">
            <w:pPr>
              <w:pStyle w:val="Tablecolhead"/>
            </w:pPr>
            <w:r>
              <w:t>Coordinator tasks</w:t>
            </w:r>
          </w:p>
          <w:p w14:paraId="129315DB" w14:textId="5399B417" w:rsidR="004819A7" w:rsidRDefault="004819A7" w:rsidP="00740A47">
            <w:pPr>
              <w:pStyle w:val="Bullet1"/>
            </w:pPr>
            <w:r>
              <w:t xml:space="preserve">prepare AOS matters for presentation at </w:t>
            </w:r>
            <w:r w:rsidR="00E600EF">
              <w:t xml:space="preserve">the </w:t>
            </w:r>
            <w:r w:rsidR="00E33218">
              <w:t>OMG</w:t>
            </w:r>
          </w:p>
          <w:p w14:paraId="3FC53532" w14:textId="77777777" w:rsidR="00B97C1D" w:rsidRDefault="00B97C1D" w:rsidP="00740A47">
            <w:pPr>
              <w:pStyle w:val="Bullet1"/>
            </w:pPr>
            <w:r>
              <w:t>present the AOS referral</w:t>
            </w:r>
          </w:p>
          <w:p w14:paraId="227F137B" w14:textId="1D18A50F" w:rsidR="000413B9" w:rsidRDefault="00AE1825" w:rsidP="00740A47">
            <w:pPr>
              <w:pStyle w:val="Bullet1"/>
              <w:rPr>
                <w:color w:val="FF0000"/>
              </w:rPr>
            </w:pPr>
            <w:r>
              <w:t xml:space="preserve">finalise </w:t>
            </w:r>
            <w:r w:rsidR="00101659">
              <w:t>service response recommendation</w:t>
            </w:r>
            <w:r w:rsidR="00BD4B2E">
              <w:t>s</w:t>
            </w:r>
            <w:r w:rsidR="00101659">
              <w:t xml:space="preserve"> for the person consider</w:t>
            </w:r>
            <w:r w:rsidR="002E6930">
              <w:t xml:space="preserve">ing </w:t>
            </w:r>
            <w:r w:rsidR="00101659">
              <w:t>OMG input</w:t>
            </w:r>
            <w:r w:rsidR="00BD4B2E">
              <w:t>.</w:t>
            </w:r>
          </w:p>
        </w:tc>
      </w:tr>
    </w:tbl>
    <w:p w14:paraId="28C3A652" w14:textId="6A15C7B4" w:rsidR="00BC45CE" w:rsidRDefault="00004BCE" w:rsidP="002D5536">
      <w:pPr>
        <w:pStyle w:val="Heading2"/>
      </w:pPr>
      <w:bookmarkStart w:id="162" w:name="_Toc145318588"/>
      <w:r>
        <w:t>6.5</w:t>
      </w:r>
      <w:r w:rsidR="00A73F81">
        <w:tab/>
      </w:r>
      <w:r w:rsidR="00BC45CE" w:rsidRPr="002D5536">
        <w:t>Complex Needs Panel</w:t>
      </w:r>
      <w:bookmarkStart w:id="163" w:name="_Toc112856259"/>
      <w:bookmarkStart w:id="164" w:name="_Toc125713740"/>
      <w:bookmarkEnd w:id="159"/>
      <w:bookmarkEnd w:id="162"/>
    </w:p>
    <w:p w14:paraId="105C0382" w14:textId="164F1F3A" w:rsidR="007D489F" w:rsidRDefault="001D1E04" w:rsidP="00B97C1D">
      <w:pPr>
        <w:pStyle w:val="Body"/>
      </w:pPr>
      <w:r>
        <w:t>The AOS</w:t>
      </w:r>
      <w:r w:rsidR="007A59B5">
        <w:t xml:space="preserve"> provider</w:t>
      </w:r>
      <w:r>
        <w:t xml:space="preserve"> </w:t>
      </w:r>
      <w:r w:rsidR="0036155D">
        <w:t xml:space="preserve">can </w:t>
      </w:r>
      <w:r w:rsidR="007A59B5">
        <w:t xml:space="preserve">request to </w:t>
      </w:r>
      <w:r w:rsidR="0036155D">
        <w:t>escalate matters</w:t>
      </w:r>
      <w:r w:rsidR="007D489F">
        <w:t xml:space="preserve"> to </w:t>
      </w:r>
      <w:r w:rsidR="00403534">
        <w:t>a</w:t>
      </w:r>
      <w:r w:rsidR="002906B5">
        <w:t>rea</w:t>
      </w:r>
      <w:r w:rsidR="00EC01BC">
        <w:t xml:space="preserve"> </w:t>
      </w:r>
      <w:r w:rsidR="007D489F">
        <w:t>Complex Needs Panels</w:t>
      </w:r>
      <w:r w:rsidR="001027C3">
        <w:t xml:space="preserve"> </w:t>
      </w:r>
      <w:r w:rsidR="00403534">
        <w:t>via Complex Needs Coordinators</w:t>
      </w:r>
      <w:r>
        <w:t>.</w:t>
      </w:r>
      <w:r w:rsidR="007D489F">
        <w:t xml:space="preserve"> </w:t>
      </w:r>
    </w:p>
    <w:p w14:paraId="3A8CA37F" w14:textId="64B202C0" w:rsidR="002906B5" w:rsidRPr="004F4A93" w:rsidRDefault="001411DC" w:rsidP="00214F0E">
      <w:pPr>
        <w:pStyle w:val="Body"/>
      </w:pPr>
      <w:r>
        <w:t>Complex Needs</w:t>
      </w:r>
      <w:r w:rsidR="002906B5">
        <w:t xml:space="preserve"> </w:t>
      </w:r>
      <w:r w:rsidR="002906B5" w:rsidRPr="004F4A93">
        <w:t xml:space="preserve">Panels will receive </w:t>
      </w:r>
      <w:r w:rsidR="00515DD4">
        <w:t xml:space="preserve">an </w:t>
      </w:r>
      <w:r w:rsidR="0001627E">
        <w:t>AOS</w:t>
      </w:r>
      <w:r w:rsidR="002906B5" w:rsidRPr="004F4A93">
        <w:t xml:space="preserve"> progress </w:t>
      </w:r>
      <w:r w:rsidR="00515DD4">
        <w:t>summary</w:t>
      </w:r>
      <w:r w:rsidR="002906B5" w:rsidRPr="004F4A93">
        <w:t xml:space="preserve"> </w:t>
      </w:r>
      <w:r w:rsidR="00403534">
        <w:t xml:space="preserve">in the form of </w:t>
      </w:r>
      <w:r w:rsidR="002906B5" w:rsidRPr="004F4A93">
        <w:t>a tabled document</w:t>
      </w:r>
      <w:r w:rsidR="00403534">
        <w:t xml:space="preserve"> </w:t>
      </w:r>
      <w:r w:rsidR="002906B5" w:rsidRPr="004F4A93">
        <w:t xml:space="preserve">on AOS clients </w:t>
      </w:r>
      <w:r w:rsidR="00403534">
        <w:t xml:space="preserve">for </w:t>
      </w:r>
      <w:r w:rsidR="002906B5" w:rsidRPr="004F4A93">
        <w:t xml:space="preserve">the </w:t>
      </w:r>
      <w:r w:rsidR="002906B5">
        <w:t xml:space="preserve">relevant </w:t>
      </w:r>
      <w:r w:rsidR="00403534">
        <w:t xml:space="preserve">pilot area, including the </w:t>
      </w:r>
      <w:r w:rsidR="002906B5" w:rsidRPr="004F4A93">
        <w:t>number of referrals, allocations, closures, high/critical risks</w:t>
      </w:r>
      <w:r w:rsidR="00C661AD">
        <w:t>,</w:t>
      </w:r>
      <w:r w:rsidR="002906B5" w:rsidRPr="004F4A93">
        <w:t xml:space="preserve"> and issues)</w:t>
      </w:r>
      <w:r w:rsidR="0083786A">
        <w:t>.</w:t>
      </w:r>
      <w:r w:rsidR="002906B5">
        <w:t xml:space="preserve"> </w:t>
      </w:r>
      <w:r w:rsidR="002906B5" w:rsidRPr="004F4A93">
        <w:t xml:space="preserve">Panels will </w:t>
      </w:r>
      <w:r w:rsidR="00004BCE">
        <w:t xml:space="preserve">also </w:t>
      </w:r>
      <w:r w:rsidR="002906B5" w:rsidRPr="004F4A93">
        <w:t xml:space="preserve">consider </w:t>
      </w:r>
      <w:r w:rsidR="00004BCE">
        <w:t>individual</w:t>
      </w:r>
      <w:r w:rsidR="002906B5" w:rsidRPr="004F4A93">
        <w:t xml:space="preserve"> cases escalated by the OMG if risks/issues have been unable to be resolved</w:t>
      </w:r>
      <w:r>
        <w:t>.</w:t>
      </w:r>
    </w:p>
    <w:p w14:paraId="4069063E" w14:textId="570A831E" w:rsidR="002906B5" w:rsidRPr="004F4A93" w:rsidRDefault="002906B5" w:rsidP="00214F0E">
      <w:pPr>
        <w:pStyle w:val="Body"/>
      </w:pPr>
      <w:r w:rsidRPr="004F4A93">
        <w:t>Escalated cases will include</w:t>
      </w:r>
      <w:r w:rsidR="001E23B8">
        <w:t xml:space="preserve"> </w:t>
      </w:r>
      <w:r w:rsidR="000C5518">
        <w:t>scenarios</w:t>
      </w:r>
      <w:r w:rsidR="00E04054">
        <w:t xml:space="preserve"> where</w:t>
      </w:r>
      <w:r w:rsidRPr="004F4A93">
        <w:t>:</w:t>
      </w:r>
    </w:p>
    <w:p w14:paraId="182160D4" w14:textId="266A3E29" w:rsidR="002906B5" w:rsidRPr="004F4A93" w:rsidRDefault="00985A91" w:rsidP="00740A47">
      <w:pPr>
        <w:pStyle w:val="Bullet1"/>
      </w:pPr>
      <w:r>
        <w:t>individuals</w:t>
      </w:r>
      <w:r w:rsidR="002906B5" w:rsidRPr="004F4A93">
        <w:t xml:space="preserve"> have not consented to receive </w:t>
      </w:r>
      <w:r>
        <w:t xml:space="preserve">AOS </w:t>
      </w:r>
      <w:r w:rsidR="002906B5" w:rsidRPr="004F4A93">
        <w:t xml:space="preserve">services after </w:t>
      </w:r>
      <w:r w:rsidR="002906B5" w:rsidRPr="00716205">
        <w:t>6</w:t>
      </w:r>
      <w:r w:rsidR="002906B5" w:rsidRPr="004F4A93">
        <w:t xml:space="preserve"> weeks of attempted engagement</w:t>
      </w:r>
      <w:r w:rsidR="00403534">
        <w:t xml:space="preserve">. The purpose is to ensure an </w:t>
      </w:r>
      <w:r w:rsidR="002906B5" w:rsidRPr="004F4A93">
        <w:t>appropriate balance between privacy</w:t>
      </w:r>
      <w:r w:rsidR="002906B5">
        <w:t>/right to refuse services</w:t>
      </w:r>
      <w:r w:rsidR="002906B5" w:rsidRPr="004F4A93">
        <w:t xml:space="preserve"> and risk of harm considerations</w:t>
      </w:r>
      <w:r w:rsidR="00403534">
        <w:t>.</w:t>
      </w:r>
    </w:p>
    <w:p w14:paraId="538C527F" w14:textId="577BBBF0" w:rsidR="002906B5" w:rsidRPr="004F4A93" w:rsidRDefault="002906B5" w:rsidP="00740A47">
      <w:pPr>
        <w:pStyle w:val="Bullet1"/>
      </w:pPr>
      <w:r w:rsidRPr="004F4A93">
        <w:t>access to</w:t>
      </w:r>
      <w:r w:rsidR="00985A91">
        <w:t xml:space="preserve"> </w:t>
      </w:r>
      <w:r w:rsidRPr="005C44D1">
        <w:t>/</w:t>
      </w:r>
      <w:r w:rsidR="00985A91">
        <w:t xml:space="preserve"> </w:t>
      </w:r>
      <w:r w:rsidRPr="004F4A93">
        <w:t>cooperation between specific local services is unable to be resolved</w:t>
      </w:r>
    </w:p>
    <w:p w14:paraId="4945B5CB" w14:textId="163CD1CE" w:rsidR="002906B5" w:rsidRPr="004F4A93" w:rsidRDefault="002906B5" w:rsidP="00740A47">
      <w:pPr>
        <w:pStyle w:val="Bullet1"/>
      </w:pPr>
      <w:r w:rsidRPr="004F4A93">
        <w:t>appropriate awareness and oversight</w:t>
      </w:r>
      <w:r w:rsidR="001E23B8">
        <w:t xml:space="preserve"> within the area</w:t>
      </w:r>
      <w:r w:rsidR="00617B47">
        <w:t xml:space="preserve"> </w:t>
      </w:r>
      <w:r w:rsidR="00CB4854">
        <w:t>is</w:t>
      </w:r>
      <w:r w:rsidR="00617B47">
        <w:t xml:space="preserve"> required due to escalation or level of risk</w:t>
      </w:r>
    </w:p>
    <w:p w14:paraId="1F8DA13E" w14:textId="7D75D23B" w:rsidR="00597406" w:rsidRDefault="002906B5" w:rsidP="001053CF">
      <w:pPr>
        <w:pStyle w:val="lastbullett"/>
      </w:pPr>
      <w:r w:rsidRPr="005C44D1">
        <w:t xml:space="preserve">closure </w:t>
      </w:r>
      <w:r w:rsidR="000C5518">
        <w:t xml:space="preserve">is proposed </w:t>
      </w:r>
      <w:r w:rsidRPr="005C44D1">
        <w:t xml:space="preserve">for </w:t>
      </w:r>
      <w:r w:rsidR="00403534">
        <w:t>clients</w:t>
      </w:r>
      <w:r w:rsidRPr="005C44D1">
        <w:t xml:space="preserve"> who continue to pose high risk of harm to others but no longer require or will </w:t>
      </w:r>
      <w:r w:rsidR="00CB4854">
        <w:t xml:space="preserve">derive </w:t>
      </w:r>
      <w:r w:rsidRPr="005C44D1">
        <w:t>benefit from AOS</w:t>
      </w:r>
      <w:r w:rsidRPr="004F4A9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235"/>
      </w:tblGrid>
      <w:tr w:rsidR="00597406" w14:paraId="0CBAA089" w14:textId="77777777" w:rsidTr="00F1152B">
        <w:trPr>
          <w:trHeight w:val="1248"/>
        </w:trPr>
        <w:tc>
          <w:tcPr>
            <w:tcW w:w="0" w:type="auto"/>
            <w:shd w:val="clear" w:color="auto" w:fill="CCE9F8"/>
            <w:vAlign w:val="center"/>
          </w:tcPr>
          <w:p w14:paraId="266FA997" w14:textId="77777777" w:rsidR="00597406" w:rsidRDefault="00597406">
            <w:pPr>
              <w:pStyle w:val="Body"/>
            </w:pPr>
            <w:r>
              <w:rPr>
                <w:noProof/>
              </w:rPr>
              <w:drawing>
                <wp:inline distT="0" distB="0" distL="0" distR="0" wp14:anchorId="6EAD50E7" wp14:editId="1F992727">
                  <wp:extent cx="540000" cy="540000"/>
                  <wp:effectExtent l="0" t="0" r="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4C9C1CD" w14:textId="5065AB3E" w:rsidR="00597406" w:rsidRDefault="00597406">
            <w:pPr>
              <w:pStyle w:val="Tablecolhead"/>
              <w:rPr>
                <w:rFonts w:eastAsia="Arial"/>
              </w:rPr>
            </w:pPr>
            <w:r w:rsidRPr="00DF0E4E">
              <w:rPr>
                <w:rFonts w:eastAsia="Arial"/>
              </w:rPr>
              <w:t>Documentation</w:t>
            </w:r>
            <w:r>
              <w:rPr>
                <w:rFonts w:eastAsia="Arial"/>
              </w:rPr>
              <w:t xml:space="preserve"> required</w:t>
            </w:r>
          </w:p>
          <w:p w14:paraId="6B1C94EF" w14:textId="6B074AA2" w:rsidR="00597406" w:rsidRDefault="00EB23E4" w:rsidP="00740A47">
            <w:pPr>
              <w:pStyle w:val="Bullet1"/>
            </w:pPr>
            <w:r>
              <w:t xml:space="preserve">1 </w:t>
            </w:r>
            <w:r w:rsidR="00667CE0">
              <w:t>Complex Needs Referral Form</w:t>
            </w:r>
          </w:p>
          <w:p w14:paraId="428A8F42" w14:textId="6EAF6BF4" w:rsidR="00597406" w:rsidRDefault="00EB23E4" w:rsidP="00740A47">
            <w:pPr>
              <w:pStyle w:val="Bullet1"/>
            </w:pPr>
            <w:r>
              <w:t xml:space="preserve">1a </w:t>
            </w:r>
            <w:r w:rsidR="00667CE0">
              <w:t>Complex Needs Intake Form</w:t>
            </w:r>
          </w:p>
          <w:p w14:paraId="56693092" w14:textId="7DC11332" w:rsidR="00597406" w:rsidRPr="00B83D2D" w:rsidRDefault="009138C9" w:rsidP="00740A47">
            <w:pPr>
              <w:pStyle w:val="Bullet1"/>
              <w:rPr>
                <w:szCs w:val="21"/>
              </w:rPr>
            </w:pPr>
            <w:r>
              <w:lastRenderedPageBreak/>
              <w:t xml:space="preserve">6n </w:t>
            </w:r>
            <w:r w:rsidR="00667CE0">
              <w:t>Complex Needs Case Presentation Template</w:t>
            </w:r>
          </w:p>
          <w:p w14:paraId="2535ACB0" w14:textId="2D1B4F43" w:rsidR="00515DD4" w:rsidRDefault="00515DD4" w:rsidP="00740A47">
            <w:pPr>
              <w:pStyle w:val="Bullet1"/>
            </w:pPr>
            <w:r>
              <w:t>AOS Progress Summary (provider’s own)</w:t>
            </w:r>
          </w:p>
          <w:p w14:paraId="5DB76D0B" w14:textId="1C207BAF" w:rsidR="00597406" w:rsidRPr="00B83D2D" w:rsidRDefault="47BBB422" w:rsidP="00740A47">
            <w:pPr>
              <w:pStyle w:val="Bullet1"/>
            </w:pPr>
            <w:r>
              <w:t xml:space="preserve">AOS </w:t>
            </w:r>
            <w:r w:rsidR="00667CE0">
              <w:t xml:space="preserve">Engagement Plan </w:t>
            </w:r>
            <w:r>
              <w:t>(provider’s own), where present</w:t>
            </w:r>
          </w:p>
          <w:p w14:paraId="630832DC" w14:textId="54C698B6" w:rsidR="00597406" w:rsidRPr="00F1152B" w:rsidRDefault="47BBB422" w:rsidP="00740A47">
            <w:pPr>
              <w:pStyle w:val="Bullet1"/>
            </w:pPr>
            <w:r>
              <w:t xml:space="preserve">AOS </w:t>
            </w:r>
            <w:r w:rsidR="00667CE0">
              <w:t xml:space="preserve">Individual Support Plan </w:t>
            </w:r>
            <w:r>
              <w:t>(provider’s own), where present</w:t>
            </w:r>
          </w:p>
          <w:p w14:paraId="58A6A952" w14:textId="4B9A383C" w:rsidR="00597406" w:rsidRPr="00E21A6D" w:rsidRDefault="002F7B76" w:rsidP="00740A47">
            <w:pPr>
              <w:pStyle w:val="Bullet1"/>
              <w:rPr>
                <w:szCs w:val="21"/>
              </w:rPr>
            </w:pPr>
            <w:r w:rsidRPr="00F1152B">
              <w:t xml:space="preserve">1e </w:t>
            </w:r>
            <w:r w:rsidR="00AB5C6B">
              <w:t xml:space="preserve">AOS </w:t>
            </w:r>
            <w:r w:rsidR="00667CE0">
              <w:t>Closure Report</w:t>
            </w:r>
          </w:p>
        </w:tc>
      </w:tr>
    </w:tbl>
    <w:p w14:paraId="3526A408" w14:textId="77777777" w:rsidR="00597406" w:rsidRDefault="00597406" w:rsidP="002E6930">
      <w:pPr>
        <w:pStyle w:val="Bullet1"/>
        <w:numPr>
          <w:ilvl w:val="0"/>
          <w:numId w:val="0"/>
        </w:numPr>
        <w:ind w:left="35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97C1D" w14:paraId="4DC88972" w14:textId="77777777">
        <w:tc>
          <w:tcPr>
            <w:tcW w:w="0" w:type="auto"/>
            <w:shd w:val="clear" w:color="auto" w:fill="99D3F0"/>
            <w:vAlign w:val="center"/>
          </w:tcPr>
          <w:p w14:paraId="112A8821" w14:textId="77777777" w:rsidR="00B97C1D" w:rsidRDefault="00B97C1D">
            <w:pPr>
              <w:pStyle w:val="Body"/>
            </w:pPr>
            <w:r>
              <w:rPr>
                <w:noProof/>
              </w:rPr>
              <w:drawing>
                <wp:inline distT="0" distB="0" distL="0" distR="0" wp14:anchorId="214DBD66" wp14:editId="517FB7EB">
                  <wp:extent cx="540000" cy="540000"/>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7B509F2" w14:textId="01508737" w:rsidR="00B97C1D" w:rsidRDefault="00B97C1D">
            <w:pPr>
              <w:pStyle w:val="Tablecolhead"/>
            </w:pPr>
            <w:r>
              <w:t>Coordinator tasks</w:t>
            </w:r>
          </w:p>
          <w:p w14:paraId="4C3806D8" w14:textId="2B682E23" w:rsidR="770021F8" w:rsidRPr="006F1DE9" w:rsidRDefault="770021F8" w:rsidP="00740A47">
            <w:pPr>
              <w:pStyle w:val="Bullet1"/>
            </w:pPr>
            <w:r w:rsidRPr="006F1DE9">
              <w:t xml:space="preserve">provide </w:t>
            </w:r>
            <w:r w:rsidR="006F1DE9" w:rsidRPr="006F1DE9">
              <w:t>Complex Needs</w:t>
            </w:r>
            <w:r w:rsidR="007A59B5">
              <w:t xml:space="preserve"> Case Presentation Template</w:t>
            </w:r>
            <w:r w:rsidR="006F1DE9" w:rsidRPr="006F1DE9">
              <w:t xml:space="preserve"> </w:t>
            </w:r>
            <w:r w:rsidRPr="006F1DE9">
              <w:t xml:space="preserve">to the </w:t>
            </w:r>
            <w:r w:rsidR="007A59B5">
              <w:t xml:space="preserve">AOS </w:t>
            </w:r>
            <w:r w:rsidRPr="006F1DE9">
              <w:t xml:space="preserve">provider </w:t>
            </w:r>
            <w:r w:rsidR="004668FB">
              <w:t xml:space="preserve">to </w:t>
            </w:r>
            <w:r w:rsidRPr="006F1DE9">
              <w:t>complet</w:t>
            </w:r>
            <w:r w:rsidR="004668FB">
              <w:t>e</w:t>
            </w:r>
          </w:p>
          <w:p w14:paraId="067E727F" w14:textId="75AEC93B" w:rsidR="00B97C1D" w:rsidRDefault="003206D2" w:rsidP="00740A47">
            <w:pPr>
              <w:pStyle w:val="Bullet1"/>
            </w:pPr>
            <w:r>
              <w:t xml:space="preserve">support the </w:t>
            </w:r>
            <w:r w:rsidR="2BB95EDA">
              <w:t>AOS provider</w:t>
            </w:r>
            <w:r w:rsidR="00B97C1D">
              <w:t xml:space="preserve"> </w:t>
            </w:r>
            <w:r>
              <w:t xml:space="preserve">for presentation </w:t>
            </w:r>
            <w:r w:rsidR="00B97C1D">
              <w:t>at Complex Needs Panels</w:t>
            </w:r>
          </w:p>
          <w:p w14:paraId="674B45FB" w14:textId="5D11B654" w:rsidR="002F0D9A" w:rsidRDefault="002F0D9A" w:rsidP="00740A47">
            <w:pPr>
              <w:pStyle w:val="Bullet1"/>
            </w:pPr>
            <w:r>
              <w:t xml:space="preserve">discuss outcome of panel deliberation with AOS provider </w:t>
            </w:r>
            <w:r w:rsidR="36AF81D1">
              <w:t>and any actions arising, where needed.</w:t>
            </w:r>
          </w:p>
        </w:tc>
      </w:tr>
    </w:tbl>
    <w:p w14:paraId="517C7030" w14:textId="106F59F5" w:rsidR="00BC45CE" w:rsidRPr="00C844D8" w:rsidRDefault="00BC45CE" w:rsidP="000E7482">
      <w:pPr>
        <w:pStyle w:val="Heading2"/>
        <w:numPr>
          <w:ilvl w:val="1"/>
          <w:numId w:val="19"/>
        </w:numPr>
      </w:pPr>
      <w:bookmarkStart w:id="165" w:name="_Toc137636748"/>
      <w:bookmarkStart w:id="166" w:name="_Toc145318589"/>
      <w:r w:rsidRPr="00C844D8">
        <w:t>Eligibility</w:t>
      </w:r>
      <w:bookmarkEnd w:id="163"/>
      <w:bookmarkEnd w:id="164"/>
      <w:bookmarkEnd w:id="165"/>
      <w:r w:rsidR="004A5A0A">
        <w:t xml:space="preserve"> for AOS</w:t>
      </w:r>
      <w:bookmarkEnd w:id="166"/>
    </w:p>
    <w:p w14:paraId="2DE8B223" w14:textId="06490995" w:rsidR="00BC45CE" w:rsidRPr="00F1152B" w:rsidRDefault="00BC45CE" w:rsidP="007573A1">
      <w:pPr>
        <w:pStyle w:val="Body"/>
      </w:pPr>
      <w:bookmarkStart w:id="167" w:name="_Toc112856260"/>
      <w:r>
        <w:t xml:space="preserve">The </w:t>
      </w:r>
      <w:r w:rsidR="004A5A0A">
        <w:t>AOS</w:t>
      </w:r>
      <w:r>
        <w:t xml:space="preserve"> target cohort is people aged 16 years and over who</w:t>
      </w:r>
      <w:r w:rsidR="00B41FF8">
        <w:t xml:space="preserve"> appear to have </w:t>
      </w:r>
      <w:r w:rsidR="00403534">
        <w:t>all</w:t>
      </w:r>
      <w:r w:rsidR="00B41FF8">
        <w:t xml:space="preserve"> the following</w:t>
      </w:r>
      <w:r>
        <w:t>:</w:t>
      </w:r>
    </w:p>
    <w:p w14:paraId="5306B43E" w14:textId="0EC2E753" w:rsidR="00BC45CE" w:rsidRPr="001053CF" w:rsidRDefault="00995B83" w:rsidP="001053CF">
      <w:pPr>
        <w:pStyle w:val="Bullet1"/>
      </w:pPr>
      <w:r w:rsidRPr="001053CF">
        <w:t>c</w:t>
      </w:r>
      <w:r w:rsidR="00BC45CE" w:rsidRPr="001053CF">
        <w:t>omplex functional needs that are causally linked to mental illness, psychological distress, cognitive impairment, neurodiversity, substance use or trauma</w:t>
      </w:r>
    </w:p>
    <w:p w14:paraId="10CDDE4E" w14:textId="04EDF270" w:rsidR="00BC45CE" w:rsidRPr="001053CF" w:rsidRDefault="00995B83" w:rsidP="001053CF">
      <w:pPr>
        <w:pStyle w:val="Bullet1"/>
      </w:pPr>
      <w:r w:rsidRPr="001053CF">
        <w:t>p</w:t>
      </w:r>
      <w:r w:rsidR="00BC45CE" w:rsidRPr="001053CF">
        <w:t>ose an unacceptable risk of harm to others, and</w:t>
      </w:r>
    </w:p>
    <w:p w14:paraId="2B2F2340" w14:textId="6D57EECF" w:rsidR="00BC45CE" w:rsidRPr="00403534" w:rsidRDefault="00995B83" w:rsidP="001053CF">
      <w:pPr>
        <w:pStyle w:val="lastbullett"/>
      </w:pPr>
      <w:r w:rsidRPr="00403534">
        <w:t>a</w:t>
      </w:r>
      <w:r w:rsidR="00BC45CE" w:rsidRPr="00403534">
        <w:t>re experiencing significant service gaps such that the current service system is not addressing their needs or reducing the risk to community safety. </w:t>
      </w:r>
    </w:p>
    <w:p w14:paraId="3BC4F803" w14:textId="6D7F558C" w:rsidR="638F93E6" w:rsidRDefault="002D3CA3" w:rsidP="00995B83">
      <w:pPr>
        <w:pStyle w:val="Bodyafterbullets"/>
      </w:pPr>
      <w:r w:rsidRPr="004A5A0A">
        <w:t xml:space="preserve">The </w:t>
      </w:r>
      <w:r w:rsidR="0047079F">
        <w:t>C</w:t>
      </w:r>
      <w:r w:rsidRPr="004A5A0A">
        <w:t xml:space="preserve">omplex </w:t>
      </w:r>
      <w:r w:rsidR="0047079F">
        <w:t>N</w:t>
      </w:r>
      <w:r w:rsidRPr="004A5A0A">
        <w:t xml:space="preserve">eeds </w:t>
      </w:r>
      <w:r w:rsidR="0047079F">
        <w:t>I</w:t>
      </w:r>
      <w:r w:rsidRPr="004A5A0A">
        <w:t xml:space="preserve">ntake </w:t>
      </w:r>
      <w:r w:rsidR="0047079F">
        <w:t>F</w:t>
      </w:r>
      <w:r w:rsidRPr="004A5A0A">
        <w:t xml:space="preserve">orm should be used to </w:t>
      </w:r>
      <w:r w:rsidR="00A96B42">
        <w:t>determine</w:t>
      </w:r>
      <w:r w:rsidRPr="004A5A0A">
        <w:t xml:space="preserve"> if </w:t>
      </w:r>
      <w:r w:rsidR="00FA58B2">
        <w:t>a</w:t>
      </w:r>
      <w:r w:rsidRPr="004A5A0A">
        <w:t xml:space="preserve"> person meets the criteria </w:t>
      </w:r>
      <w:r w:rsidR="00A96B42">
        <w:t>for AOS</w:t>
      </w:r>
      <w:r w:rsidR="00FA58B2">
        <w:t xml:space="preserve"> based on information provided</w:t>
      </w:r>
      <w:r w:rsidR="0047079F">
        <w:t xml:space="preserve"> in the Complex Needs Referral Form</w:t>
      </w:r>
      <w:r w:rsidRPr="004A5A0A">
        <w:t>.</w:t>
      </w:r>
      <w:r w:rsidR="009F75EC" w:rsidRPr="00061CE3">
        <w:t xml:space="preserve"> </w:t>
      </w:r>
      <w:r w:rsidR="00725D62">
        <w:t xml:space="preserve">Complex Needs </w:t>
      </w:r>
      <w:r w:rsidR="00890914">
        <w:t>Coordinators</w:t>
      </w:r>
      <w:r w:rsidR="00725D62">
        <w:t xml:space="preserve"> </w:t>
      </w:r>
      <w:r>
        <w:t>will</w:t>
      </w:r>
      <w:r w:rsidR="009F75EC" w:rsidRPr="00061CE3">
        <w:t xml:space="preserve"> consider </w:t>
      </w:r>
      <w:r>
        <w:t>factors</w:t>
      </w:r>
      <w:r w:rsidR="009F75EC" w:rsidRPr="00061CE3">
        <w:t xml:space="preserve"> </w:t>
      </w:r>
      <w:r>
        <w:t>outlined below when</w:t>
      </w:r>
      <w:r w:rsidR="009F75EC" w:rsidRPr="00061CE3">
        <w:t xml:space="preserve"> determining </w:t>
      </w:r>
      <w:r>
        <w:t>a person’s</w:t>
      </w:r>
      <w:r w:rsidR="009F75EC" w:rsidRPr="00061CE3">
        <w:t xml:space="preserve"> eligibility </w:t>
      </w:r>
      <w:r>
        <w:t>for AOS.</w:t>
      </w:r>
      <w:r w:rsidR="006D0173">
        <w:t xml:space="preserve"> </w:t>
      </w:r>
    </w:p>
    <w:p w14:paraId="413CEE08" w14:textId="2AA882FE" w:rsidR="0047065A" w:rsidRPr="00C41486" w:rsidRDefault="0047065A" w:rsidP="00C41486">
      <w:pPr>
        <w:pStyle w:val="Heading3"/>
      </w:pPr>
      <w:r w:rsidRPr="00C41486">
        <w:t>6.</w:t>
      </w:r>
      <w:r w:rsidR="00C41486" w:rsidRPr="00C41486">
        <w:t>6</w:t>
      </w:r>
      <w:r w:rsidRPr="00C41486">
        <w:t>.1 Complex functional needs</w:t>
      </w:r>
    </w:p>
    <w:p w14:paraId="17DF9727" w14:textId="2B805A6E" w:rsidR="00BC45CE" w:rsidRPr="00F1152B" w:rsidRDefault="00BC45CE" w:rsidP="007573A1">
      <w:pPr>
        <w:pStyle w:val="Body"/>
        <w:rPr>
          <w:b/>
        </w:rPr>
      </w:pPr>
      <w:r>
        <w:t>A person may meet the eligibility criteria for AOS if they appear to have at least one of</w:t>
      </w:r>
      <w:r w:rsidR="008249F9">
        <w:t xml:space="preserve"> the following</w:t>
      </w:r>
      <w:r>
        <w:t>:</w:t>
      </w:r>
    </w:p>
    <w:p w14:paraId="77B66F55" w14:textId="2403E267" w:rsidR="00BC45CE" w:rsidRPr="00403534" w:rsidRDefault="00BC45CE" w:rsidP="00740A47">
      <w:pPr>
        <w:pStyle w:val="Bullet1"/>
      </w:pPr>
      <w:r w:rsidRPr="00403534">
        <w:t>mental illness</w:t>
      </w:r>
      <w:r w:rsidR="00403534">
        <w:t>,</w:t>
      </w:r>
      <w:r w:rsidRPr="00403534">
        <w:t xml:space="preserve"> including personality disorder</w:t>
      </w:r>
    </w:p>
    <w:p w14:paraId="2CDA0A9D" w14:textId="77777777" w:rsidR="00BC45CE" w:rsidRPr="00403534" w:rsidRDefault="00BC45CE" w:rsidP="00740A47">
      <w:pPr>
        <w:pStyle w:val="Bullet1"/>
      </w:pPr>
      <w:r w:rsidRPr="00403534">
        <w:t>psychological distress</w:t>
      </w:r>
    </w:p>
    <w:p w14:paraId="43D5F0E4" w14:textId="05C3F0E7" w:rsidR="00BC45CE" w:rsidRPr="00403534" w:rsidRDefault="00BC45CE" w:rsidP="00740A47">
      <w:pPr>
        <w:pStyle w:val="Bullet1"/>
      </w:pPr>
      <w:r w:rsidRPr="00403534">
        <w:t>cognitive impairment</w:t>
      </w:r>
      <w:r w:rsidR="001A00E3">
        <w:t>,</w:t>
      </w:r>
      <w:r w:rsidRPr="00403534">
        <w:t xml:space="preserve"> including acquired brain injury and intellectual disability </w:t>
      </w:r>
    </w:p>
    <w:p w14:paraId="01873C17" w14:textId="2B417C74" w:rsidR="00BC45CE" w:rsidRPr="00403534" w:rsidRDefault="00BC45CE" w:rsidP="00740A47">
      <w:pPr>
        <w:pStyle w:val="Bullet1"/>
      </w:pPr>
      <w:r w:rsidRPr="00403534">
        <w:t>neurodiversity</w:t>
      </w:r>
      <w:r w:rsidR="00403534">
        <w:t>,</w:t>
      </w:r>
      <w:r w:rsidRPr="00403534">
        <w:t xml:space="preserve"> </w:t>
      </w:r>
      <w:r w:rsidR="006B0AC7">
        <w:t>i.e.:</w:t>
      </w:r>
      <w:r w:rsidRPr="00403534">
        <w:t xml:space="preserve"> </w:t>
      </w:r>
      <w:bookmarkStart w:id="168" w:name="_Int_eIm7l3Wu"/>
      <w:r w:rsidR="00403534">
        <w:t>a</w:t>
      </w:r>
      <w:r w:rsidRPr="00403534">
        <w:t xml:space="preserve">utism </w:t>
      </w:r>
      <w:r w:rsidR="00403534">
        <w:t>s</w:t>
      </w:r>
      <w:r w:rsidRPr="00403534">
        <w:t xml:space="preserve">pectrum </w:t>
      </w:r>
      <w:r w:rsidR="00403534">
        <w:t>d</w:t>
      </w:r>
      <w:r w:rsidRPr="00403534">
        <w:t>isorder</w:t>
      </w:r>
      <w:bookmarkEnd w:id="168"/>
      <w:r w:rsidRPr="00403534">
        <w:t xml:space="preserve"> </w:t>
      </w:r>
    </w:p>
    <w:p w14:paraId="3C18E8FE" w14:textId="77777777" w:rsidR="00BC45CE" w:rsidRPr="00403534" w:rsidRDefault="00BC45CE" w:rsidP="00740A47">
      <w:pPr>
        <w:pStyle w:val="Bullet1"/>
      </w:pPr>
      <w:r w:rsidRPr="00403534">
        <w:t>problematic substance use</w:t>
      </w:r>
    </w:p>
    <w:p w14:paraId="22AF1951" w14:textId="77777777" w:rsidR="00BC45CE" w:rsidRPr="00403534" w:rsidRDefault="00BC45CE" w:rsidP="00631F44">
      <w:pPr>
        <w:pStyle w:val="lastbullett"/>
      </w:pPr>
      <w:r w:rsidRPr="00403534">
        <w:t>experience of trauma.</w:t>
      </w:r>
    </w:p>
    <w:p w14:paraId="326AEA7B" w14:textId="3134ED52" w:rsidR="00BC45CE" w:rsidRPr="00F1152B" w:rsidRDefault="00BC45CE" w:rsidP="00995B83">
      <w:pPr>
        <w:pStyle w:val="Bodyafterbullets"/>
        <w:rPr>
          <w:b/>
        </w:rPr>
      </w:pPr>
      <w:r w:rsidRPr="638F93E6">
        <w:rPr>
          <w:b/>
        </w:rPr>
        <w:t>And</w:t>
      </w:r>
      <w:r>
        <w:t xml:space="preserve"> they have complex functional needs causally linked to their mental illness, psychological distress, cognitive impairment, neurodiversity, substance use or trauma, </w:t>
      </w:r>
      <w:r w:rsidR="006B0AC7">
        <w:t>i.e.:</w:t>
      </w:r>
    </w:p>
    <w:p w14:paraId="4AB2310C" w14:textId="77777777" w:rsidR="00BC45CE" w:rsidRPr="00631F44" w:rsidRDefault="00BC45CE" w:rsidP="00631F44">
      <w:pPr>
        <w:pStyle w:val="Bullet1"/>
      </w:pPr>
      <w:r w:rsidRPr="00631F44">
        <w:t>behavioural challenges, including behaviours of concern, socially inappropriate behaviours and difficulty coping with change</w:t>
      </w:r>
    </w:p>
    <w:p w14:paraId="31107453" w14:textId="77777777" w:rsidR="00BC45CE" w:rsidRPr="00631F44" w:rsidRDefault="00BC45CE" w:rsidP="00631F44">
      <w:pPr>
        <w:pStyle w:val="Bullet1"/>
      </w:pPr>
      <w:r w:rsidRPr="00631F44">
        <w:t>social challenges, including having difficulty maintaining relationships with family and friends</w:t>
      </w:r>
    </w:p>
    <w:p w14:paraId="5F4B5B42" w14:textId="6A00B30F" w:rsidR="00BC45CE" w:rsidRPr="00631F44" w:rsidRDefault="00BC45CE" w:rsidP="00631F44">
      <w:pPr>
        <w:pStyle w:val="Bullet1"/>
      </w:pPr>
      <w:r w:rsidRPr="00631F44">
        <w:t>challenges making decisions and organising tasks (</w:t>
      </w:r>
      <w:r w:rsidR="006B0AC7" w:rsidRPr="00631F44">
        <w:t>i.e.:</w:t>
      </w:r>
      <w:r w:rsidRPr="00631F44">
        <w:t xml:space="preserve"> taking medication or attending appointments)</w:t>
      </w:r>
    </w:p>
    <w:p w14:paraId="68F8DB46" w14:textId="77777777" w:rsidR="00BC45CE" w:rsidRPr="00631F44" w:rsidRDefault="00BC45CE" w:rsidP="00631F44">
      <w:pPr>
        <w:pStyle w:val="Bullet1"/>
      </w:pPr>
      <w:r w:rsidRPr="00631F44">
        <w:t>challenges with communicating, learning or memory</w:t>
      </w:r>
    </w:p>
    <w:p w14:paraId="2E0106A4" w14:textId="659D6733" w:rsidR="00BC45CE" w:rsidRPr="00631F44" w:rsidRDefault="00BC45CE" w:rsidP="00631F44">
      <w:pPr>
        <w:pStyle w:val="Bullet1"/>
      </w:pPr>
      <w:r w:rsidRPr="00631F44">
        <w:t>challenges maintaining a healthy lifestyle, including eating a healthy diet, getting exercise</w:t>
      </w:r>
      <w:r w:rsidR="0066363C" w:rsidRPr="00631F44">
        <w:t>,</w:t>
      </w:r>
      <w:r w:rsidRPr="00631F44">
        <w:t xml:space="preserve"> and avoiding harmful use of alcohol and other drugs</w:t>
      </w:r>
    </w:p>
    <w:p w14:paraId="78687EDE" w14:textId="77777777" w:rsidR="00BC45CE" w:rsidRPr="00631F44" w:rsidRDefault="00BC45CE" w:rsidP="00631F44">
      <w:pPr>
        <w:pStyle w:val="Bullet1"/>
      </w:pPr>
      <w:r w:rsidRPr="00631F44">
        <w:lastRenderedPageBreak/>
        <w:t>physical health needs, including chronic conditions</w:t>
      </w:r>
    </w:p>
    <w:p w14:paraId="2258F36B" w14:textId="2721CB4D" w:rsidR="00D23F6A" w:rsidRDefault="00BC45CE" w:rsidP="00631F44">
      <w:pPr>
        <w:pStyle w:val="lastbullett"/>
      </w:pPr>
      <w:r>
        <w:t>housing needs, including being homeless or lacking stable housing, poverty, social isolation</w:t>
      </w:r>
      <w:r w:rsidR="0066363C">
        <w:t>,</w:t>
      </w:r>
      <w:r>
        <w:t xml:space="preserve"> or loneliness.</w:t>
      </w:r>
    </w:p>
    <w:p w14:paraId="07BDFA9F" w14:textId="4285E080" w:rsidR="00BC45CE" w:rsidRPr="00961166" w:rsidRDefault="0018284B" w:rsidP="00C661AD">
      <w:pPr>
        <w:pStyle w:val="Heading3"/>
      </w:pPr>
      <w:r>
        <w:t xml:space="preserve">6.6.2 </w:t>
      </w:r>
      <w:r w:rsidR="00BC45CE" w:rsidRPr="00961166">
        <w:t>Unacceptable risk of harm to others</w:t>
      </w:r>
    </w:p>
    <w:p w14:paraId="1E445F4F" w14:textId="77777777" w:rsidR="00BC45CE" w:rsidRPr="00F1152B" w:rsidRDefault="00BC45CE" w:rsidP="001A00E3">
      <w:pPr>
        <w:pStyle w:val="Body"/>
      </w:pPr>
      <w:r>
        <w:t xml:space="preserve">A person may meet the eligibility criteria for AOS if </w:t>
      </w:r>
      <w:r w:rsidRPr="001A00E3">
        <w:t>they</w:t>
      </w:r>
      <w:r>
        <w:t xml:space="preserve"> appear to pose an unacceptable risk of harm to others based on their:</w:t>
      </w:r>
    </w:p>
    <w:p w14:paraId="4009205B" w14:textId="77777777" w:rsidR="00BC45CE" w:rsidRPr="00995B83" w:rsidRDefault="00BC45CE" w:rsidP="00740A47">
      <w:pPr>
        <w:pStyle w:val="Bullet1"/>
      </w:pPr>
      <w:r>
        <w:t>presentation</w:t>
      </w:r>
    </w:p>
    <w:p w14:paraId="392B27EA" w14:textId="77777777" w:rsidR="00BC45CE" w:rsidRPr="00995B83" w:rsidRDefault="00BC45CE" w:rsidP="00740A47">
      <w:pPr>
        <w:pStyle w:val="Bullet1"/>
      </w:pPr>
      <w:r>
        <w:t xml:space="preserve">unique circumstances and environment </w:t>
      </w:r>
    </w:p>
    <w:p w14:paraId="47A70237" w14:textId="1EEFDE8E" w:rsidR="00BC45CE" w:rsidRPr="00961166" w:rsidRDefault="00BC45CE" w:rsidP="00631F44">
      <w:pPr>
        <w:pStyle w:val="lastbullett"/>
      </w:pPr>
      <w:r>
        <w:t>diagnoses or clinical assessments</w:t>
      </w:r>
      <w:r w:rsidR="001A00E3">
        <w:t>.</w:t>
      </w:r>
    </w:p>
    <w:p w14:paraId="20FC89E7" w14:textId="6B877F79" w:rsidR="00BC45CE" w:rsidRPr="00961166" w:rsidRDefault="001A00E3" w:rsidP="001A00E3">
      <w:pPr>
        <w:pStyle w:val="Body"/>
      </w:pPr>
      <w:r>
        <w:rPr>
          <w:b/>
        </w:rPr>
        <w:t>U</w:t>
      </w:r>
      <w:r w:rsidR="00BC45CE" w:rsidRPr="638F93E6">
        <w:rPr>
          <w:b/>
        </w:rPr>
        <w:t xml:space="preserve">nless </w:t>
      </w:r>
      <w:r w:rsidR="00BC45CE">
        <w:t>therapeutic interventions to reduce the risk are put in place (</w:t>
      </w:r>
      <w:r w:rsidR="006B0AC7">
        <w:t>e.g.:</w:t>
      </w:r>
      <w:r w:rsidR="00BC45CE">
        <w:t xml:space="preserve"> treatment, secure accommodation</w:t>
      </w:r>
      <w:r w:rsidR="0066363C">
        <w:t>,</w:t>
      </w:r>
      <w:r w:rsidR="00BC45CE">
        <w:t xml:space="preserve"> or behavioural supports). </w:t>
      </w:r>
    </w:p>
    <w:p w14:paraId="6D6D13D3" w14:textId="680AB662" w:rsidR="00741657" w:rsidRDefault="00F75ECF" w:rsidP="001A00E3">
      <w:pPr>
        <w:pStyle w:val="Body"/>
      </w:pPr>
      <w:r>
        <w:t xml:space="preserve">The </w:t>
      </w:r>
      <w:r w:rsidR="008A2962" w:rsidRPr="00B73929">
        <w:rPr>
          <w:i/>
        </w:rPr>
        <w:t xml:space="preserve">AOS </w:t>
      </w:r>
      <w:r w:rsidR="0066363C" w:rsidRPr="00B73929">
        <w:rPr>
          <w:i/>
        </w:rPr>
        <w:t>risk assessment and management framework</w:t>
      </w:r>
      <w:r w:rsidR="0066363C">
        <w:t xml:space="preserve"> </w:t>
      </w:r>
      <w:r w:rsidR="00F17ABC" w:rsidRPr="00FF02BD">
        <w:t>provide</w:t>
      </w:r>
      <w:r w:rsidR="00F17ABC">
        <w:t>s</w:t>
      </w:r>
      <w:r w:rsidR="00F17ABC" w:rsidRPr="00FF02BD">
        <w:t xml:space="preserve"> guidance to Complex Needs Coordinators</w:t>
      </w:r>
      <w:r w:rsidR="00F17ABC">
        <w:t xml:space="preserve">, </w:t>
      </w:r>
      <w:r w:rsidR="00F17ABC" w:rsidRPr="00FF02BD">
        <w:t xml:space="preserve">AOS </w:t>
      </w:r>
      <w:r w:rsidR="00F17ABC">
        <w:t>service</w:t>
      </w:r>
      <w:r w:rsidR="00F17ABC" w:rsidRPr="00FF02BD">
        <w:t xml:space="preserve"> providers </w:t>
      </w:r>
      <w:r w:rsidR="00F17ABC">
        <w:t>and other key stakeholders on</w:t>
      </w:r>
      <w:r w:rsidR="00F17ABC" w:rsidRPr="00FF02BD">
        <w:t xml:space="preserve"> the </w:t>
      </w:r>
      <w:r w:rsidR="00F17ABC">
        <w:t xml:space="preserve">screening, </w:t>
      </w:r>
      <w:r w:rsidR="00F17ABC" w:rsidRPr="00FF02BD">
        <w:t>assessment, monitoring, and management of risk</w:t>
      </w:r>
      <w:r w:rsidR="00F17ABC">
        <w:t xml:space="preserve"> for </w:t>
      </w:r>
      <w:r w:rsidR="009F57FD">
        <w:t>AOS</w:t>
      </w:r>
      <w:r w:rsidR="00F17ABC">
        <w:t xml:space="preserve"> clients</w:t>
      </w:r>
      <w:r w:rsidR="003E3BCA">
        <w:t xml:space="preserve">. </w:t>
      </w:r>
    </w:p>
    <w:p w14:paraId="36F4CA87" w14:textId="77777777" w:rsidR="003B1291" w:rsidRDefault="003B1291" w:rsidP="001A00E3">
      <w:pPr>
        <w:pStyle w:val="Body"/>
      </w:pPr>
      <w:r w:rsidRPr="008B7002">
        <w:t>Determining if a risk is unacceptable involves considering the gravity of the consequences of potential actions against community standards, and the probability of those actions occurring. An unacceptable risk of harm may exist even where the likelihood of the harm occurring is low.</w:t>
      </w:r>
      <w:r>
        <w:t xml:space="preserve"> </w:t>
      </w:r>
    </w:p>
    <w:p w14:paraId="190A879B" w14:textId="00F09B46" w:rsidR="00237936" w:rsidRDefault="00BC00C1" w:rsidP="001A00E3">
      <w:pPr>
        <w:pStyle w:val="Body"/>
      </w:pPr>
      <w:r>
        <w:t xml:space="preserve">Complex Needs Coordinators </w:t>
      </w:r>
      <w:r w:rsidR="00C45DF5" w:rsidRPr="00C325C2">
        <w:t>are required</w:t>
      </w:r>
      <w:r w:rsidR="00C45DF5">
        <w:t xml:space="preserve"> to consider risk to determin</w:t>
      </w:r>
      <w:r w:rsidR="00C45DF5" w:rsidRPr="00FF02BD">
        <w:t xml:space="preserve">e </w:t>
      </w:r>
      <w:r w:rsidR="00C45DF5">
        <w:t xml:space="preserve">if a person meets the </w:t>
      </w:r>
      <w:r w:rsidR="00237936">
        <w:t xml:space="preserve">‘unacceptable risk of harm to others’ criteria </w:t>
      </w:r>
      <w:r w:rsidR="00CA0678">
        <w:t xml:space="preserve">based on information provided by the referrer. </w:t>
      </w:r>
    </w:p>
    <w:p w14:paraId="392716FA" w14:textId="08CD379F" w:rsidR="00CA0678" w:rsidRPr="003B1151" w:rsidRDefault="00CA0678" w:rsidP="001A00E3">
      <w:pPr>
        <w:pStyle w:val="Body"/>
      </w:pPr>
      <w:r>
        <w:t xml:space="preserve">When considering the information, particular attention should be given to information that indicates the presence of personal characteristics and environmental factors that are most strongly associated with violence. A history of violence, combined with indicators that the trajectory of violent behaviour is increasing are particularly important. </w:t>
      </w:r>
      <w:r w:rsidR="006F756B">
        <w:t>Q</w:t>
      </w:r>
      <w:r>
        <w:t xml:space="preserve">uestions for </w:t>
      </w:r>
      <w:r w:rsidR="00124AE8">
        <w:t xml:space="preserve">Complex Needs Coordinators </w:t>
      </w:r>
      <w:r>
        <w:t xml:space="preserve">to consider when reviewing the referral information and during follow-up conversations with the referrer are </w:t>
      </w:r>
      <w:r w:rsidR="00124AE8">
        <w:t xml:space="preserve">included in the </w:t>
      </w:r>
      <w:r w:rsidR="004D3172">
        <w:t xml:space="preserve">Complex Needs Referral </w:t>
      </w:r>
      <w:r w:rsidR="007013C2">
        <w:t xml:space="preserve">and Intake </w:t>
      </w:r>
      <w:r w:rsidR="006F293A">
        <w:t>F</w:t>
      </w:r>
      <w:r w:rsidR="007013C2">
        <w:t xml:space="preserve">orms. More information </w:t>
      </w:r>
      <w:r w:rsidR="00E038B4">
        <w:t xml:space="preserve">is available in </w:t>
      </w:r>
      <w:r w:rsidR="00124AE8">
        <w:t xml:space="preserve">the </w:t>
      </w:r>
      <w:r w:rsidR="00124AE8" w:rsidRPr="00B73929">
        <w:rPr>
          <w:i/>
        </w:rPr>
        <w:t xml:space="preserve">AOS </w:t>
      </w:r>
      <w:r w:rsidR="00BD4B2E" w:rsidRPr="00B73929">
        <w:rPr>
          <w:i/>
        </w:rPr>
        <w:t>risk assessment and management framework</w:t>
      </w:r>
      <w:r w:rsidR="003B1151" w:rsidDel="0013163A">
        <w:rPr>
          <w:i/>
        </w:rPr>
        <w:t>.</w:t>
      </w:r>
    </w:p>
    <w:p w14:paraId="2F327B4E" w14:textId="46679D89" w:rsidR="00BC45CE" w:rsidRPr="00961166" w:rsidRDefault="00BC45CE" w:rsidP="007573A1">
      <w:pPr>
        <w:pStyle w:val="Heading3"/>
      </w:pPr>
      <w:r>
        <w:t>6.</w:t>
      </w:r>
      <w:r w:rsidR="0047065A">
        <w:t>3</w:t>
      </w:r>
      <w:r>
        <w:t>.</w:t>
      </w:r>
      <w:r w:rsidR="00231A91">
        <w:t>4</w:t>
      </w:r>
      <w:r>
        <w:t xml:space="preserve"> </w:t>
      </w:r>
      <w:r w:rsidRPr="00961166">
        <w:t>Experiencing significant service gaps </w:t>
      </w:r>
    </w:p>
    <w:p w14:paraId="1F3B9B33" w14:textId="0062834A" w:rsidR="002F0EDA" w:rsidRPr="001A00E3" w:rsidRDefault="00E7395D" w:rsidP="001A00E3">
      <w:pPr>
        <w:pStyle w:val="Body"/>
      </w:pPr>
      <w:r w:rsidRPr="001A00E3">
        <w:t>This criteri</w:t>
      </w:r>
      <w:r w:rsidR="001A00E3" w:rsidRPr="001A00E3">
        <w:t>on</w:t>
      </w:r>
      <w:r w:rsidRPr="001A00E3">
        <w:t xml:space="preserve"> is likely to be the one that most often determines if AOS is the recommended complex needs response.</w:t>
      </w:r>
      <w:r w:rsidR="005B1214" w:rsidRPr="001A00E3">
        <w:t xml:space="preserve"> AOS is not intended to </w:t>
      </w:r>
      <w:r w:rsidR="002F0EDA" w:rsidRPr="001A00E3">
        <w:t xml:space="preserve">divert people from services for which they are eligible and should be able to access including </w:t>
      </w:r>
      <w:r w:rsidRPr="001A00E3">
        <w:t>existing mainstream or specialist service responses and other complex needs responses offered by the department.</w:t>
      </w:r>
      <w:r w:rsidR="00D550AD" w:rsidRPr="001A00E3">
        <w:t xml:space="preserve"> </w:t>
      </w:r>
    </w:p>
    <w:p w14:paraId="44381D8D" w14:textId="77777777" w:rsidR="007A1A19" w:rsidRPr="001A00E3" w:rsidRDefault="007A1A19" w:rsidP="001A00E3">
      <w:pPr>
        <w:pStyle w:val="Body"/>
      </w:pPr>
      <w:r w:rsidRPr="001A00E3">
        <w:t>A significant service gap means that the person is not receiving services that are meeting their complex needs or appropriately managing their unacceptable risk of harm to others. This could be due to a range of factors, including:</w:t>
      </w:r>
    </w:p>
    <w:p w14:paraId="37D28436" w14:textId="3419DDD6" w:rsidR="007A1A19" w:rsidRPr="001A00E3" w:rsidRDefault="00454536" w:rsidP="006B0AC7">
      <w:pPr>
        <w:pStyle w:val="Bullet1"/>
      </w:pPr>
      <w:r w:rsidRPr="001A00E3">
        <w:t>a</w:t>
      </w:r>
      <w:r w:rsidR="007A1A19" w:rsidRPr="001A00E3">
        <w:t xml:space="preserve">ppropriate services aren’t available because the person’s needs fall outside existing service </w:t>
      </w:r>
      <w:r w:rsidR="007A1A19" w:rsidRPr="006B0AC7">
        <w:t>responses</w:t>
      </w:r>
    </w:p>
    <w:p w14:paraId="2226EB3A" w14:textId="090D46F6" w:rsidR="007A1A19" w:rsidRPr="001A00E3" w:rsidRDefault="00454536" w:rsidP="00740A47">
      <w:pPr>
        <w:pStyle w:val="Bullet1"/>
      </w:pPr>
      <w:r w:rsidRPr="001A00E3">
        <w:t>t</w:t>
      </w:r>
      <w:r w:rsidR="007A1A19" w:rsidRPr="001A00E3">
        <w:t>he person doesn’t meet eligibility criteria for existing services</w:t>
      </w:r>
    </w:p>
    <w:p w14:paraId="4A1AE138" w14:textId="21297483" w:rsidR="007A1A19" w:rsidRPr="001A00E3" w:rsidRDefault="00AB2226" w:rsidP="00740A47">
      <w:pPr>
        <w:pStyle w:val="Bullet1"/>
      </w:pPr>
      <w:r w:rsidRPr="001A00E3">
        <w:t>p</w:t>
      </w:r>
      <w:r w:rsidR="007A1A19" w:rsidRPr="001A00E3">
        <w:t xml:space="preserve">roviders refuse to </w:t>
      </w:r>
      <w:r w:rsidRPr="001A00E3">
        <w:t>offer/</w:t>
      </w:r>
      <w:r w:rsidR="007A1A19" w:rsidRPr="001A00E3">
        <w:t>provide services to the person because of perceived risk</w:t>
      </w:r>
    </w:p>
    <w:p w14:paraId="043EF052" w14:textId="76A7244A" w:rsidR="007A1A19" w:rsidRPr="001A00E3" w:rsidRDefault="00AB2226" w:rsidP="00740A47">
      <w:pPr>
        <w:pStyle w:val="Bullet1"/>
      </w:pPr>
      <w:r w:rsidRPr="001A00E3">
        <w:t>t</w:t>
      </w:r>
      <w:r w:rsidR="007A1A19" w:rsidRPr="001A00E3">
        <w:t>he person refuses to access services</w:t>
      </w:r>
    </w:p>
    <w:p w14:paraId="7D963E7F" w14:textId="01DF3F4D" w:rsidR="007A1A19" w:rsidRPr="001A00E3" w:rsidRDefault="00AB2226" w:rsidP="00740A47">
      <w:pPr>
        <w:pStyle w:val="Bullet1"/>
      </w:pPr>
      <w:r w:rsidRPr="001A00E3">
        <w:t>t</w:t>
      </w:r>
      <w:r w:rsidR="007A1A19" w:rsidRPr="001A00E3">
        <w:t>here are behavioural barriers to accessing appropriate services, including motivation, communication</w:t>
      </w:r>
      <w:r w:rsidR="001A00E3">
        <w:t>,</w:t>
      </w:r>
      <w:r w:rsidR="007A1A19" w:rsidRPr="001A00E3">
        <w:t xml:space="preserve"> or lack of organisational skills to attend appointments </w:t>
      </w:r>
    </w:p>
    <w:p w14:paraId="07E87DA2" w14:textId="48B205F4" w:rsidR="007A1A19" w:rsidRPr="001A00E3" w:rsidRDefault="00AB2226" w:rsidP="00740A47">
      <w:pPr>
        <w:pStyle w:val="Bullet1"/>
      </w:pPr>
      <w:r w:rsidRPr="001A00E3">
        <w:lastRenderedPageBreak/>
        <w:t>t</w:t>
      </w:r>
      <w:r w:rsidR="007A1A19" w:rsidRPr="001A00E3">
        <w:t>he services the person is receiving are demonstrably ineffective or unsustainable, or don’t have the capacity to meet the persons needs or manage the risk of harm to others, perhaps due to a lack of clinical treatment or evidence-based models of care</w:t>
      </w:r>
    </w:p>
    <w:p w14:paraId="7D286E1D" w14:textId="56BA2DF8" w:rsidR="007A1A19" w:rsidRPr="001A00E3" w:rsidRDefault="00AB2226" w:rsidP="006F293A">
      <w:pPr>
        <w:pStyle w:val="lastbullett"/>
      </w:pPr>
      <w:r w:rsidRPr="001A00E3">
        <w:t>t</w:t>
      </w:r>
      <w:r w:rsidR="007A1A19" w:rsidRPr="001A00E3">
        <w:t>he person is receiving appropriate services, but they are not effective due to a lack of coordination and collaborative planning (and they are not consenting to or eligible for MACNI).</w:t>
      </w:r>
    </w:p>
    <w:p w14:paraId="13154C91" w14:textId="0750CD35" w:rsidR="007A1A19" w:rsidRDefault="003539EB" w:rsidP="001A00E3">
      <w:pPr>
        <w:pStyle w:val="Body"/>
      </w:pPr>
      <w:r>
        <w:t>It is intended th</w:t>
      </w:r>
      <w:r w:rsidR="007A1A19">
        <w:t xml:space="preserve">e AOS provider will support the person to overcome those barriers </w:t>
      </w:r>
      <w:r w:rsidR="001A00E3">
        <w:t>to</w:t>
      </w:r>
      <w:r w:rsidR="007A1A19">
        <w:t xml:space="preserve"> improve the persons access to existing mainstream or specialist service responses.</w:t>
      </w:r>
    </w:p>
    <w:p w14:paraId="197ED16A" w14:textId="47F21D35" w:rsidR="00E7395D" w:rsidRDefault="002F0EDA" w:rsidP="001A00E3">
      <w:pPr>
        <w:pStyle w:val="Body"/>
      </w:pPr>
      <w:r w:rsidRPr="009E60F1">
        <w:t xml:space="preserve">It is </w:t>
      </w:r>
      <w:r w:rsidRPr="00AB2226">
        <w:t>only</w:t>
      </w:r>
      <w:r w:rsidRPr="009E60F1">
        <w:t xml:space="preserve"> when there are sign</w:t>
      </w:r>
      <w:r w:rsidR="007058DB" w:rsidRPr="009E60F1">
        <w:t>ificant barriers in accessing those services</w:t>
      </w:r>
      <w:r w:rsidR="000221B3" w:rsidRPr="009E60F1">
        <w:t>, or a significant service gap,</w:t>
      </w:r>
      <w:r w:rsidR="007058DB" w:rsidRPr="009E60F1">
        <w:t xml:space="preserve"> that a person should b</w:t>
      </w:r>
      <w:r w:rsidR="008C5752" w:rsidRPr="009E60F1">
        <w:t>e</w:t>
      </w:r>
      <w:r w:rsidR="007058DB" w:rsidRPr="009E60F1">
        <w:t xml:space="preserve"> considered </w:t>
      </w:r>
      <w:r w:rsidR="00A31878" w:rsidRPr="009E60F1">
        <w:t xml:space="preserve">as being eligible </w:t>
      </w:r>
      <w:r w:rsidR="007058DB" w:rsidRPr="009E60F1">
        <w:t>for AOS</w:t>
      </w:r>
      <w:r w:rsidR="000542CF" w:rsidRPr="009E60F1">
        <w:t xml:space="preserve">. </w:t>
      </w:r>
      <w:r w:rsidR="00FB78B6" w:rsidRPr="009E60F1">
        <w:t xml:space="preserve">Complex Needs Coordinators should also </w:t>
      </w:r>
      <w:r w:rsidR="009872A8" w:rsidRPr="009E60F1">
        <w:t>consider</w:t>
      </w:r>
      <w:r w:rsidR="00FB78B6" w:rsidRPr="009E60F1">
        <w:t xml:space="preserve"> other </w:t>
      </w:r>
      <w:r w:rsidR="00DB6F35" w:rsidRPr="009E60F1">
        <w:t xml:space="preserve">less intensive measures for addressing service barriers or gaps that should be </w:t>
      </w:r>
      <w:r w:rsidR="009E7C5D" w:rsidRPr="009E60F1">
        <w:t>investigated before a person is recommended for AOS.</w:t>
      </w:r>
      <w:r w:rsidR="000F42E6" w:rsidRPr="009E60F1">
        <w:t xml:space="preserve"> This may determine </w:t>
      </w:r>
      <w:r w:rsidR="006268FF" w:rsidRPr="009E60F1">
        <w:t>for</w:t>
      </w:r>
      <w:r w:rsidR="000F42E6" w:rsidRPr="009E60F1">
        <w:t xml:space="preserve"> example, if a person </w:t>
      </w:r>
      <w:r w:rsidR="006268FF" w:rsidRPr="009E60F1">
        <w:t xml:space="preserve">should receive consultation support as first response, </w:t>
      </w:r>
      <w:r w:rsidR="00BD28AB" w:rsidRPr="009E60F1">
        <w:t>and only be recommended for AOS if attempts to address service barriers and gaps has been unsuccessful.</w:t>
      </w:r>
      <w:r w:rsidR="006268FF">
        <w:t xml:space="preserve"> </w:t>
      </w:r>
    </w:p>
    <w:p w14:paraId="67BDB87B" w14:textId="39DD71AB" w:rsidR="00BC45CE" w:rsidRPr="007874F6" w:rsidRDefault="0066363C" w:rsidP="000E7482">
      <w:pPr>
        <w:pStyle w:val="Heading2"/>
        <w:numPr>
          <w:ilvl w:val="1"/>
          <w:numId w:val="19"/>
        </w:numPr>
      </w:pPr>
      <w:bookmarkStart w:id="169" w:name="_Toc145318590"/>
      <w:bookmarkEnd w:id="167"/>
      <w:r>
        <w:t>Referral process</w:t>
      </w:r>
      <w:bookmarkEnd w:id="169"/>
      <w:r w:rsidR="004613F9">
        <w:t xml:space="preserve"> </w:t>
      </w:r>
    </w:p>
    <w:p w14:paraId="70D9086D" w14:textId="166890C1" w:rsidR="00F705CE" w:rsidRDefault="005F3D72" w:rsidP="00F705CE">
      <w:pPr>
        <w:pStyle w:val="Body"/>
      </w:pPr>
      <w:r>
        <w:t xml:space="preserve">People will be identified in the community and </w:t>
      </w:r>
      <w:r w:rsidR="001A00E3">
        <w:t xml:space="preserve">can be </w:t>
      </w:r>
      <w:r>
        <w:t xml:space="preserve">referred to Complex Needs teams </w:t>
      </w:r>
      <w:r w:rsidR="001A00E3">
        <w:t>via self-referral</w:t>
      </w:r>
      <w:r>
        <w:t>, family, friends, health, community, or emergency services</w:t>
      </w:r>
      <w:r w:rsidR="0005341E">
        <w:t>.</w:t>
      </w:r>
      <w:r w:rsidR="00E824A6">
        <w:t xml:space="preserve"> As with all complex needs</w:t>
      </w:r>
      <w:r w:rsidR="001A00E3">
        <w:t>’</w:t>
      </w:r>
      <w:r w:rsidR="00E824A6">
        <w:t xml:space="preserve"> referrals, t</w:t>
      </w:r>
      <w:r w:rsidR="00F705CE">
        <w:t>he referrer is responsible for obtaining the person</w:t>
      </w:r>
      <w:r w:rsidR="001A00E3">
        <w:t>’</w:t>
      </w:r>
      <w:r w:rsidR="00F705CE">
        <w:t xml:space="preserve">s consent to collect and use their personal information </w:t>
      </w:r>
      <w:r w:rsidR="00F705CE" w:rsidRPr="008F1708">
        <w:t>for the purpose of making a referral</w:t>
      </w:r>
      <w:r w:rsidR="00E55169">
        <w:t xml:space="preserve"> </w:t>
      </w:r>
      <w:r w:rsidR="00146B50">
        <w:t>and providing their information to a service provider who will deliver the recommended complex needs response</w:t>
      </w:r>
      <w:r w:rsidR="00E55169">
        <w:t xml:space="preserve"> (</w:t>
      </w:r>
      <w:r w:rsidR="00F705CE">
        <w:t xml:space="preserve">Refer section </w:t>
      </w:r>
      <w:r w:rsidR="00705FDC">
        <w:t>3.2 and 3.3).</w:t>
      </w:r>
    </w:p>
    <w:p w14:paraId="3E30BD40" w14:textId="221B49D9" w:rsidR="005F3D72" w:rsidRPr="00F1152B" w:rsidRDefault="005F3D72" w:rsidP="005F3D72">
      <w:pPr>
        <w:pStyle w:val="Body"/>
      </w:pPr>
      <w:r>
        <w:t xml:space="preserve">Complex Needs teams in the AOS pilot areas will manage incoming enquiries about the AOS response and will screen enquiries </w:t>
      </w:r>
      <w:r w:rsidR="001A00E3">
        <w:t xml:space="preserve">and referrals </w:t>
      </w:r>
      <w:r>
        <w:t xml:space="preserve">for AOS </w:t>
      </w:r>
      <w:r w:rsidR="001A00E3">
        <w:t>eligibility</w:t>
      </w:r>
      <w:r>
        <w:t xml:space="preserve">. </w:t>
      </w:r>
    </w:p>
    <w:p w14:paraId="75B794C4" w14:textId="76BB40F5" w:rsidR="00B10274" w:rsidRPr="00B10274" w:rsidRDefault="00B10274" w:rsidP="001A00E3">
      <w:pPr>
        <w:pStyle w:val="Heading3"/>
      </w:pPr>
      <w:r w:rsidRPr="00B10274">
        <w:t xml:space="preserve">Step 1 </w:t>
      </w:r>
      <w:r w:rsidR="005F3D72">
        <w:t>Assess eligibility</w:t>
      </w:r>
    </w:p>
    <w:p w14:paraId="07AE151C" w14:textId="20DE780B" w:rsidR="00B1348E" w:rsidRDefault="00905605" w:rsidP="007573A1">
      <w:pPr>
        <w:pStyle w:val="Body"/>
      </w:pPr>
      <w:r w:rsidRPr="006B0AC7">
        <w:t>R</w:t>
      </w:r>
      <w:r w:rsidR="00BC45CE" w:rsidRPr="006B0AC7">
        <w:t xml:space="preserve">eferrers </w:t>
      </w:r>
      <w:r w:rsidR="006B0AC7">
        <w:t xml:space="preserve">may directly </w:t>
      </w:r>
      <w:r w:rsidR="00BC45CE" w:rsidRPr="006B0AC7">
        <w:t xml:space="preserve">contact </w:t>
      </w:r>
      <w:r w:rsidR="00713023">
        <w:t>a</w:t>
      </w:r>
      <w:r w:rsidR="001A00E3" w:rsidRPr="006B0AC7">
        <w:t xml:space="preserve"> </w:t>
      </w:r>
      <w:r w:rsidR="00BC45CE" w:rsidRPr="006B0AC7">
        <w:t>Complex Needs Coordinator to discuss a potential referral</w:t>
      </w:r>
      <w:r w:rsidRPr="006B0AC7">
        <w:t xml:space="preserve"> </w:t>
      </w:r>
      <w:r w:rsidR="0062164C" w:rsidRPr="006B0AC7">
        <w:t xml:space="preserve">for </w:t>
      </w:r>
      <w:r w:rsidR="006B0AC7">
        <w:t>c</w:t>
      </w:r>
      <w:r w:rsidR="0062164C" w:rsidRPr="006B0AC7">
        <w:t xml:space="preserve">omplex </w:t>
      </w:r>
      <w:r w:rsidR="006B0AC7">
        <w:t>n</w:t>
      </w:r>
      <w:r w:rsidR="0062164C" w:rsidRPr="006B0AC7">
        <w:t>eeds</w:t>
      </w:r>
      <w:r w:rsidR="006B0AC7">
        <w:t xml:space="preserve"> s</w:t>
      </w:r>
      <w:r w:rsidR="0062164C" w:rsidRPr="006B0AC7">
        <w:t>upport</w:t>
      </w:r>
      <w:r w:rsidR="00A31FBB">
        <w:t xml:space="preserve">. The </w:t>
      </w:r>
      <w:r w:rsidR="001A00E3">
        <w:t xml:space="preserve">Complex Needs Coordinator </w:t>
      </w:r>
      <w:r w:rsidR="00A31FBB">
        <w:t xml:space="preserve">will </w:t>
      </w:r>
      <w:r w:rsidR="00713023">
        <w:t>request</w:t>
      </w:r>
      <w:r w:rsidR="001A00E3">
        <w:t xml:space="preserve"> the referrer</w:t>
      </w:r>
      <w:r w:rsidR="00BC45CE">
        <w:t xml:space="preserve"> to complete a Complex Needs </w:t>
      </w:r>
      <w:r w:rsidR="005718C4" w:rsidRPr="00096ECD">
        <w:t xml:space="preserve">Referral </w:t>
      </w:r>
      <w:r w:rsidR="003E6453">
        <w:t>F</w:t>
      </w:r>
      <w:r w:rsidR="00BC45CE" w:rsidRPr="00096ECD">
        <w:t>orm</w:t>
      </w:r>
      <w:r w:rsidR="001A00E3">
        <w:t xml:space="preserve">. </w:t>
      </w:r>
      <w:r w:rsidR="00F931EF">
        <w:t>Th</w:t>
      </w:r>
      <w:r w:rsidR="00713023">
        <w:t xml:space="preserve">is </w:t>
      </w:r>
      <w:r w:rsidR="00F931EF">
        <w:t xml:space="preserve">form includes questions </w:t>
      </w:r>
      <w:r w:rsidR="00FB0E59">
        <w:t>that assist to identify eligibility for AOS</w:t>
      </w:r>
      <w:r w:rsidR="00713023">
        <w:t>,</w:t>
      </w:r>
      <w:r w:rsidR="00FB0E59">
        <w:t xml:space="preserve"> including questions </w:t>
      </w:r>
      <w:r w:rsidR="00DD3353">
        <w:t>about</w:t>
      </w:r>
      <w:r w:rsidR="00FB0E59">
        <w:t xml:space="preserve"> violence towards others. </w:t>
      </w:r>
      <w:r w:rsidR="008577B5">
        <w:t xml:space="preserve">Equally, some referrers directly submit a referral for a complex needs </w:t>
      </w:r>
      <w:r w:rsidR="00A31FBB">
        <w:t>service response</w:t>
      </w:r>
      <w:r w:rsidR="008577B5" w:rsidRPr="006B0AC7">
        <w:t>.</w:t>
      </w:r>
      <w:r w:rsidR="00713023">
        <w:t xml:space="preserve"> In this scenario, the Complex Needs Coordinator </w:t>
      </w:r>
      <w:r w:rsidR="00A31FBB">
        <w:t xml:space="preserve">will </w:t>
      </w:r>
      <w:r w:rsidR="00713023">
        <w:t>follow</w:t>
      </w:r>
      <w:r w:rsidR="00A31FBB">
        <w:t>-</w:t>
      </w:r>
      <w:r w:rsidR="00713023">
        <w:t>up with the referrer to discuss the information submitted as per usual practice.</w:t>
      </w:r>
    </w:p>
    <w:p w14:paraId="04C3CB0E" w14:textId="11B00601" w:rsidR="00920D05" w:rsidRDefault="003C1019" w:rsidP="007573A1">
      <w:pPr>
        <w:pStyle w:val="Body"/>
      </w:pPr>
      <w:r>
        <w:t xml:space="preserve">The </w:t>
      </w:r>
      <w:r w:rsidR="00B1348E">
        <w:t xml:space="preserve">Complex Needs </w:t>
      </w:r>
      <w:r w:rsidR="00CE77DB">
        <w:t>Coordinator</w:t>
      </w:r>
      <w:r w:rsidR="00B1348E">
        <w:t xml:space="preserve"> </w:t>
      </w:r>
      <w:r w:rsidR="00713023">
        <w:t>subsequently</w:t>
      </w:r>
      <w:r w:rsidR="00B1348E">
        <w:t xml:space="preserve"> </w:t>
      </w:r>
      <w:r>
        <w:t>completes</w:t>
      </w:r>
      <w:r w:rsidR="00B1348E">
        <w:t xml:space="preserve"> the </w:t>
      </w:r>
      <w:r>
        <w:t xml:space="preserve">Complex Needs </w:t>
      </w:r>
      <w:r w:rsidR="00B1348E">
        <w:t>Intake Fo</w:t>
      </w:r>
      <w:r w:rsidR="008935DD">
        <w:t>r</w:t>
      </w:r>
      <w:r w:rsidR="00B1348E">
        <w:t xml:space="preserve">m to consider </w:t>
      </w:r>
      <w:r w:rsidR="00F04AF0">
        <w:t xml:space="preserve">make </w:t>
      </w:r>
      <w:r w:rsidR="00920D05">
        <w:t>recommendation</w:t>
      </w:r>
      <w:r w:rsidR="00F04AF0">
        <w:t xml:space="preserve"> </w:t>
      </w:r>
      <w:r w:rsidR="00920D05">
        <w:t xml:space="preserve">on </w:t>
      </w:r>
      <w:r w:rsidR="00B1348E">
        <w:t xml:space="preserve">the service response </w:t>
      </w:r>
      <w:r>
        <w:t>best suited</w:t>
      </w:r>
      <w:r w:rsidR="00DB4DA9">
        <w:t xml:space="preserve"> to the person</w:t>
      </w:r>
      <w:r w:rsidR="00B1348E">
        <w:t>.</w:t>
      </w:r>
      <w:r w:rsidR="00CE77DB">
        <w:t xml:space="preserve"> </w:t>
      </w:r>
    </w:p>
    <w:p w14:paraId="20459993" w14:textId="37D21D30" w:rsidR="00B1348E" w:rsidRDefault="00CE77DB" w:rsidP="007573A1">
      <w:pPr>
        <w:pStyle w:val="Body"/>
      </w:pPr>
      <w:r>
        <w:t xml:space="preserve">If </w:t>
      </w:r>
      <w:r w:rsidR="007D1917">
        <w:t>the</w:t>
      </w:r>
      <w:r>
        <w:t xml:space="preserve"> person is eligible for other complex needs responses such as Complex Needs Consultation, th</w:t>
      </w:r>
      <w:r w:rsidR="008935DD">
        <w:t>is</w:t>
      </w:r>
      <w:r>
        <w:t xml:space="preserve"> should be considered for </w:t>
      </w:r>
      <w:r w:rsidR="007D1917">
        <w:t>recommendation</w:t>
      </w:r>
      <w:r>
        <w:t xml:space="preserve"> before AOS</w:t>
      </w:r>
      <w:r w:rsidR="00582930">
        <w:t xml:space="preserve"> eligibility is considered</w:t>
      </w:r>
      <w:r>
        <w:t>.</w:t>
      </w:r>
      <w:r w:rsidR="007D1917">
        <w:t xml:space="preserve"> AOS is not intended to replace existing service responses</w:t>
      </w:r>
      <w:r w:rsidR="000E1FE1">
        <w:t xml:space="preserve"> the person should be able to access</w:t>
      </w:r>
      <w:r w:rsidR="00920D05">
        <w:t>,</w:t>
      </w:r>
      <w:r w:rsidR="007D1917">
        <w:t xml:space="preserve"> including mainstream, spe</w:t>
      </w:r>
      <w:r w:rsidR="00910A50">
        <w:t xml:space="preserve">cialist </w:t>
      </w:r>
      <w:r w:rsidR="007D1917">
        <w:t xml:space="preserve">and </w:t>
      </w:r>
      <w:r w:rsidR="00910A50">
        <w:t xml:space="preserve">other complex needs responses offered by the department. </w:t>
      </w:r>
    </w:p>
    <w:p w14:paraId="15D60D10" w14:textId="5B9BAE7A" w:rsidR="00F92712" w:rsidRDefault="005439C7" w:rsidP="007573A1">
      <w:pPr>
        <w:pStyle w:val="Body"/>
      </w:pPr>
      <w:r>
        <w:t xml:space="preserve">Where the </w:t>
      </w:r>
      <w:r w:rsidR="00920D05">
        <w:t xml:space="preserve">Complex Needs </w:t>
      </w:r>
      <w:r w:rsidR="00920D05" w:rsidRPr="00096ECD">
        <w:t xml:space="preserve">Referral </w:t>
      </w:r>
      <w:r w:rsidR="00920D05">
        <w:t>F</w:t>
      </w:r>
      <w:r w:rsidR="00920D05" w:rsidRPr="00096ECD">
        <w:t>orm</w:t>
      </w:r>
      <w:r w:rsidR="00920D05">
        <w:t xml:space="preserve"> </w:t>
      </w:r>
      <w:r>
        <w:t xml:space="preserve">indicates that </w:t>
      </w:r>
      <w:r w:rsidR="004A6536">
        <w:t>the person present</w:t>
      </w:r>
      <w:r w:rsidR="009D5AD2">
        <w:t>s</w:t>
      </w:r>
      <w:r w:rsidR="004A6536">
        <w:t xml:space="preserve"> an </w:t>
      </w:r>
      <w:r w:rsidR="0000442C">
        <w:t>unacceptable</w:t>
      </w:r>
      <w:r w:rsidR="004A6536">
        <w:t xml:space="preserve"> risk to others </w:t>
      </w:r>
      <w:r w:rsidR="004A6536" w:rsidRPr="007C255B">
        <w:t>or</w:t>
      </w:r>
      <w:r w:rsidR="004A6536">
        <w:t xml:space="preserve"> </w:t>
      </w:r>
      <w:r w:rsidR="0000442C">
        <w:t>more</w:t>
      </w:r>
      <w:r w:rsidR="004A6536">
        <w:t xml:space="preserve"> information is required to </w:t>
      </w:r>
      <w:r w:rsidR="0044452B">
        <w:t>make this decision</w:t>
      </w:r>
      <w:r w:rsidR="00CD4726">
        <w:t>, the Complex Needs Coordinator will seek further information fr</w:t>
      </w:r>
      <w:r w:rsidR="00273F1E">
        <w:t>o</w:t>
      </w:r>
      <w:r w:rsidR="00CD4726">
        <w:t xml:space="preserve">m the referrer using the </w:t>
      </w:r>
      <w:r w:rsidR="007D52C1">
        <w:t>Complex Needs Intake Form</w:t>
      </w:r>
      <w:r w:rsidR="009C5348">
        <w:t>’s</w:t>
      </w:r>
      <w:r w:rsidR="007D52C1">
        <w:t xml:space="preserve"> Attachment 1 </w:t>
      </w:r>
      <w:r w:rsidR="00CD4726" w:rsidRPr="00E64FDC">
        <w:t xml:space="preserve">AOS </w:t>
      </w:r>
      <w:r w:rsidR="00E64FDC" w:rsidRPr="00E64FDC">
        <w:t>Additional Risk Questions</w:t>
      </w:r>
      <w:r w:rsidR="00E64FDC">
        <w:t xml:space="preserve">. This </w:t>
      </w:r>
      <w:r w:rsidR="003D0B9E">
        <w:t xml:space="preserve">will </w:t>
      </w:r>
      <w:r w:rsidR="00F92712">
        <w:t>assist</w:t>
      </w:r>
      <w:r w:rsidR="003D0B9E">
        <w:t xml:space="preserve"> </w:t>
      </w:r>
      <w:r w:rsidR="00F715B3">
        <w:t xml:space="preserve">the Complex Needs Coordinator </w:t>
      </w:r>
      <w:r w:rsidR="00E64FDC">
        <w:t xml:space="preserve">to </w:t>
      </w:r>
      <w:r w:rsidR="003D0B9E">
        <w:t xml:space="preserve">confirm if the person is </w:t>
      </w:r>
      <w:r w:rsidR="00F92712">
        <w:t>eligible</w:t>
      </w:r>
      <w:r w:rsidR="003D0B9E">
        <w:t xml:space="preserve"> for </w:t>
      </w:r>
      <w:r w:rsidR="006F293A">
        <w:t>AOS and</w:t>
      </w:r>
      <w:r w:rsidR="00F92712">
        <w:t xml:space="preserve"> </w:t>
      </w:r>
      <w:r w:rsidR="00F715B3">
        <w:t xml:space="preserve">will </w:t>
      </w:r>
      <w:r w:rsidR="00F92712">
        <w:t xml:space="preserve">provide critical information </w:t>
      </w:r>
      <w:r w:rsidR="007C255B">
        <w:t>for</w:t>
      </w:r>
      <w:r w:rsidR="00F92712">
        <w:t xml:space="preserve"> the AOS service provider.</w:t>
      </w:r>
    </w:p>
    <w:p w14:paraId="47BD4E6D" w14:textId="7201DFFA" w:rsidR="00D67332" w:rsidRPr="00D67332" w:rsidRDefault="00D67332" w:rsidP="001A00E3">
      <w:pPr>
        <w:pStyle w:val="Heading3"/>
      </w:pPr>
      <w:r w:rsidRPr="00D67332">
        <w:lastRenderedPageBreak/>
        <w:t xml:space="preserve">Step </w:t>
      </w:r>
      <w:r w:rsidR="001F232D">
        <w:t>2</w:t>
      </w:r>
      <w:r w:rsidRPr="00D67332">
        <w:t xml:space="preserve"> Operational Management Group</w:t>
      </w:r>
      <w:r w:rsidR="00871930">
        <w:t xml:space="preserve"> and recommendation</w:t>
      </w:r>
      <w:r w:rsidR="00C11A3D">
        <w:t xml:space="preserve"> to </w:t>
      </w:r>
      <w:r w:rsidR="00871930" w:rsidRPr="00F95E1C">
        <w:t xml:space="preserve">AOS </w:t>
      </w:r>
    </w:p>
    <w:p w14:paraId="0DB8687B" w14:textId="46F7A834" w:rsidR="00741D57" w:rsidRDefault="00741D57" w:rsidP="00DB413C">
      <w:pPr>
        <w:pStyle w:val="Body"/>
      </w:pPr>
      <w:r>
        <w:t xml:space="preserve">The </w:t>
      </w:r>
      <w:r w:rsidR="007854FF">
        <w:t>pilot</w:t>
      </w:r>
      <w:r>
        <w:t xml:space="preserve"> </w:t>
      </w:r>
      <w:r w:rsidR="00C11A3D">
        <w:t>a</w:t>
      </w:r>
      <w:r>
        <w:t>rea is responsible for determining if a person will be recommended</w:t>
      </w:r>
      <w:r w:rsidR="00021C54">
        <w:t xml:space="preserve"> for AOS</w:t>
      </w:r>
      <w:r>
        <w:t>. However, prior to confirmation that a person will be referred to AOS, the recommendation should be discussed with members of the Operational Management Group</w:t>
      </w:r>
      <w:r w:rsidR="005726C9">
        <w:t xml:space="preserve"> (OMG)</w:t>
      </w:r>
      <w:r>
        <w:t xml:space="preserve">. The </w:t>
      </w:r>
      <w:r w:rsidR="007715D4">
        <w:t xml:space="preserve">purpose of this is </w:t>
      </w:r>
      <w:r>
        <w:t>to identify if the recommendation is consistent with decision</w:t>
      </w:r>
      <w:r w:rsidR="005726C9">
        <w:t>-</w:t>
      </w:r>
      <w:r>
        <w:t xml:space="preserve">making across other </w:t>
      </w:r>
      <w:r w:rsidR="00021C54">
        <w:t>a</w:t>
      </w:r>
      <w:r>
        <w:t>reas in the pilot and if there is a need for further information</w:t>
      </w:r>
      <w:r w:rsidDel="00E61587">
        <w:t>.</w:t>
      </w:r>
      <w:r w:rsidR="00877FB1">
        <w:t xml:space="preserve"> If no consent has been provided</w:t>
      </w:r>
      <w:r w:rsidR="004E205A">
        <w:t>,</w:t>
      </w:r>
      <w:r w:rsidR="0081012F">
        <w:t xml:space="preserve"> </w:t>
      </w:r>
      <w:r w:rsidR="006F293A">
        <w:t>i.e.:</w:t>
      </w:r>
      <w:r w:rsidR="0081012F">
        <w:t xml:space="preserve"> </w:t>
      </w:r>
      <w:r w:rsidR="004E205A">
        <w:t xml:space="preserve">it </w:t>
      </w:r>
      <w:r w:rsidR="0081012F">
        <w:t xml:space="preserve">was a duty of care referral, </w:t>
      </w:r>
      <w:r w:rsidR="00062667">
        <w:t>the presentation should be de-identified</w:t>
      </w:r>
      <w:r w:rsidR="001B4E7D">
        <w:t xml:space="preserve"> and remain de-identified until </w:t>
      </w:r>
      <w:r w:rsidR="00961285">
        <w:t>it is confirmed that the person will be recommended for AOS</w:t>
      </w:r>
      <w:r w:rsidR="00062667">
        <w:t>.</w:t>
      </w:r>
    </w:p>
    <w:p w14:paraId="45A13E53" w14:textId="1C965EAF" w:rsidR="00F95E1C" w:rsidRDefault="00F95E1C" w:rsidP="00F95E1C">
      <w:pPr>
        <w:pStyle w:val="Body"/>
      </w:pPr>
      <w:r>
        <w:t xml:space="preserve">Following consideration of the OMG, the </w:t>
      </w:r>
      <w:r w:rsidR="00CB26B9">
        <w:t>C</w:t>
      </w:r>
      <w:r w:rsidR="4119AA91">
        <w:t xml:space="preserve">omplex </w:t>
      </w:r>
      <w:r w:rsidR="00CB26B9">
        <w:t>N</w:t>
      </w:r>
      <w:r w:rsidR="4119AA91">
        <w:t xml:space="preserve">eeds </w:t>
      </w:r>
      <w:r w:rsidR="00CB26B9">
        <w:t>I</w:t>
      </w:r>
      <w:r w:rsidR="4119AA91">
        <w:t xml:space="preserve">ntake </w:t>
      </w:r>
      <w:r w:rsidR="00CB26B9">
        <w:t>F</w:t>
      </w:r>
      <w:r w:rsidR="4119AA91">
        <w:t>orm</w:t>
      </w:r>
      <w:r>
        <w:t xml:space="preserve"> </w:t>
      </w:r>
      <w:r w:rsidR="004E205A">
        <w:t>is</w:t>
      </w:r>
      <w:r>
        <w:t xml:space="preserve"> finalised</w:t>
      </w:r>
      <w:r w:rsidR="009B74B5">
        <w:t>,</w:t>
      </w:r>
      <w:r>
        <w:t xml:space="preserve"> including the final recommendation and line manager approval. </w:t>
      </w:r>
    </w:p>
    <w:p w14:paraId="753F8F3A" w14:textId="1AE07AC4" w:rsidR="00982F55" w:rsidRDefault="00982F55" w:rsidP="00F95E1C">
      <w:pPr>
        <w:pStyle w:val="Body"/>
      </w:pPr>
      <w:r>
        <w:t xml:space="preserve">If </w:t>
      </w:r>
      <w:r w:rsidR="00D31E79">
        <w:t xml:space="preserve">the person </w:t>
      </w:r>
      <w:r w:rsidR="000B02D2">
        <w:t xml:space="preserve">is </w:t>
      </w:r>
      <w:r w:rsidR="00D31E79">
        <w:t>not recommended to receive AOS following</w:t>
      </w:r>
      <w:r w:rsidR="0016243A">
        <w:t xml:space="preserve"> the OMG,</w:t>
      </w:r>
      <w:r w:rsidR="00D31E79">
        <w:t xml:space="preserve"> Complex Needs </w:t>
      </w:r>
      <w:r w:rsidR="0016243A">
        <w:t>Coordinators</w:t>
      </w:r>
      <w:r w:rsidR="00D31E79">
        <w:t xml:space="preserve"> </w:t>
      </w:r>
      <w:r w:rsidR="006E2DE9">
        <w:t>will</w:t>
      </w:r>
      <w:r w:rsidR="00D31E79">
        <w:t xml:space="preserve"> </w:t>
      </w:r>
      <w:r w:rsidR="0016243A">
        <w:t>provide advice and support to the referrer in line with their consultation role.</w:t>
      </w:r>
    </w:p>
    <w:p w14:paraId="74A64D71" w14:textId="4FBB2209" w:rsidR="007715D4" w:rsidRPr="00982F55" w:rsidRDefault="007715D4" w:rsidP="001A00E3">
      <w:pPr>
        <w:pStyle w:val="Heading3"/>
      </w:pPr>
      <w:r w:rsidRPr="00982F55">
        <w:t xml:space="preserve">Step </w:t>
      </w:r>
      <w:r w:rsidR="00CC1F80">
        <w:t>3</w:t>
      </w:r>
      <w:r w:rsidRPr="00982F55">
        <w:t xml:space="preserve"> Noti</w:t>
      </w:r>
      <w:r w:rsidR="00982F55" w:rsidRPr="00982F55">
        <w:t>fy the referrer of outcome</w:t>
      </w:r>
    </w:p>
    <w:p w14:paraId="471EEB3A" w14:textId="22B99CA5" w:rsidR="00577017" w:rsidRDefault="001A00E3" w:rsidP="001A00E3">
      <w:pPr>
        <w:pStyle w:val="Body"/>
      </w:pPr>
      <w:r>
        <w:t xml:space="preserve">The </w:t>
      </w:r>
      <w:r w:rsidR="00261958">
        <w:t>C</w:t>
      </w:r>
      <w:r>
        <w:t>omplex Needs Coordinator is</w:t>
      </w:r>
      <w:r w:rsidR="00397B96" w:rsidRPr="001A00E3">
        <w:t xml:space="preserve"> responsible for informing the referrer of the </w:t>
      </w:r>
      <w:r w:rsidR="00261958" w:rsidRPr="001A00E3">
        <w:t>outcome</w:t>
      </w:r>
      <w:r w:rsidR="00577017">
        <w:t>.</w:t>
      </w:r>
      <w:r w:rsidR="00577017" w:rsidRPr="00577017">
        <w:t xml:space="preserve"> </w:t>
      </w:r>
      <w:r w:rsidR="00577017">
        <w:t xml:space="preserve">If the </w:t>
      </w:r>
      <w:r w:rsidR="007B769E">
        <w:t xml:space="preserve">referral was a duty of care referral, the </w:t>
      </w:r>
      <w:r w:rsidR="00577017">
        <w:t xml:space="preserve">referrer should again seek </w:t>
      </w:r>
      <w:r w:rsidR="000751E1">
        <w:t>the person</w:t>
      </w:r>
      <w:r w:rsidR="009B74B5">
        <w:t>’</w:t>
      </w:r>
      <w:r w:rsidR="000751E1">
        <w:t xml:space="preserve">s </w:t>
      </w:r>
      <w:r w:rsidR="00577017">
        <w:t>consent</w:t>
      </w:r>
      <w:r w:rsidR="002D1451">
        <w:t xml:space="preserve"> and let </w:t>
      </w:r>
      <w:r w:rsidR="005A7DC5">
        <w:t>them</w:t>
      </w:r>
      <w:r w:rsidR="002D1451">
        <w:t xml:space="preserve"> know that their information has been provided to </w:t>
      </w:r>
      <w:r w:rsidR="00BA02A0">
        <w:t>the AOS provider</w:t>
      </w:r>
      <w:r w:rsidR="005A7DC5">
        <w:t>,</w:t>
      </w:r>
      <w:r w:rsidR="00BA02A0">
        <w:t xml:space="preserve"> </w:t>
      </w:r>
      <w:r w:rsidR="00EB3DED">
        <w:t xml:space="preserve">excluding </w:t>
      </w:r>
      <w:r w:rsidR="005A7DC5">
        <w:t xml:space="preserve">the </w:t>
      </w:r>
      <w:r w:rsidR="00EB3DED">
        <w:t>provision of sensitive information if consent was not provided</w:t>
      </w:r>
      <w:r w:rsidR="005A7DC5">
        <w:t xml:space="preserve">, </w:t>
      </w:r>
      <w:r w:rsidR="00BA02A0">
        <w:t xml:space="preserve">who will be </w:t>
      </w:r>
      <w:r w:rsidR="00080F83">
        <w:t xml:space="preserve">in contact with them to explain </w:t>
      </w:r>
      <w:r w:rsidR="00551F22">
        <w:t>supports available through AOS.</w:t>
      </w:r>
    </w:p>
    <w:p w14:paraId="1F9D0640" w14:textId="49C2AE68" w:rsidR="00F1152B" w:rsidRDefault="00752701" w:rsidP="001A00E3">
      <w:pPr>
        <w:pStyle w:val="Body"/>
      </w:pPr>
      <w:r w:rsidRPr="001A00E3">
        <w:t>Once</w:t>
      </w:r>
      <w:r w:rsidR="009E0CB4" w:rsidRPr="001A00E3">
        <w:t xml:space="preserve"> the </w:t>
      </w:r>
      <w:r w:rsidRPr="001A00E3">
        <w:t>person is allocated</w:t>
      </w:r>
      <w:r w:rsidR="00EA4FFC" w:rsidRPr="001A00E3">
        <w:t xml:space="preserve"> to </w:t>
      </w:r>
      <w:r w:rsidR="00CC1F80">
        <w:t xml:space="preserve">an </w:t>
      </w:r>
      <w:r w:rsidR="00EA4FFC" w:rsidRPr="001A00E3">
        <w:t>AOS</w:t>
      </w:r>
      <w:r w:rsidR="00CC1F80">
        <w:t xml:space="preserve"> provider</w:t>
      </w:r>
      <w:r w:rsidR="00EA4FFC" w:rsidRPr="001A00E3">
        <w:t xml:space="preserve">, the provider </w:t>
      </w:r>
      <w:r w:rsidR="004A1E16" w:rsidRPr="001A00E3">
        <w:t>will</w:t>
      </w:r>
      <w:r w:rsidR="00EA4FFC" w:rsidRPr="001A00E3">
        <w:t xml:space="preserve"> contact the referrer to confirm that the client has been informed</w:t>
      </w:r>
      <w:r w:rsidR="00551F22">
        <w:t>, confirm if consent has been provided</w:t>
      </w:r>
      <w:r w:rsidR="004A1E16" w:rsidRPr="001A00E3">
        <w:t xml:space="preserve"> and to plan for initial engagement with the </w:t>
      </w:r>
      <w:r w:rsidR="00A1094A" w:rsidRPr="001A00E3">
        <w:t>person</w:t>
      </w:r>
      <w:r w:rsidR="004A1E16" w:rsidRPr="001A00E3">
        <w:t>.</w:t>
      </w:r>
      <w:r w:rsidR="00363ACE">
        <w:t xml:space="preserve"> </w:t>
      </w:r>
    </w:p>
    <w:p w14:paraId="369FA5F9" w14:textId="77777777" w:rsidR="005A7DC5" w:rsidRPr="001A00E3" w:rsidRDefault="005A7DC5" w:rsidP="001A00E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92158" w:rsidRPr="00E64FDC" w14:paraId="47FB064C" w14:textId="77777777">
        <w:tc>
          <w:tcPr>
            <w:tcW w:w="0" w:type="auto"/>
            <w:shd w:val="clear" w:color="auto" w:fill="CCE9F8"/>
            <w:vAlign w:val="center"/>
          </w:tcPr>
          <w:p w14:paraId="2349366D" w14:textId="77777777" w:rsidR="00E92158" w:rsidRDefault="00E92158">
            <w:pPr>
              <w:pStyle w:val="Body"/>
            </w:pPr>
            <w:r>
              <w:rPr>
                <w:noProof/>
              </w:rPr>
              <w:drawing>
                <wp:inline distT="0" distB="0" distL="0" distR="0" wp14:anchorId="0BFA5DDE" wp14:editId="2BBF876B">
                  <wp:extent cx="540000" cy="540000"/>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AB9B070" w14:textId="77777777" w:rsidR="00E92158" w:rsidRPr="00E64FDC" w:rsidRDefault="00E92158">
            <w:pPr>
              <w:pStyle w:val="Tablecolhead"/>
              <w:rPr>
                <w:rFonts w:eastAsia="Arial"/>
              </w:rPr>
            </w:pPr>
            <w:r w:rsidRPr="00E64FDC">
              <w:rPr>
                <w:rFonts w:eastAsia="Arial"/>
              </w:rPr>
              <w:t>Documentation required</w:t>
            </w:r>
          </w:p>
          <w:p w14:paraId="77FF421D" w14:textId="10D0BFDE" w:rsidR="00E92158" w:rsidRPr="00E64FDC" w:rsidRDefault="00AF4708" w:rsidP="00740A47">
            <w:pPr>
              <w:pStyle w:val="Bullet1"/>
            </w:pPr>
            <w:r w:rsidRPr="00E64FDC">
              <w:t xml:space="preserve">1 </w:t>
            </w:r>
            <w:r w:rsidR="00E92158" w:rsidRPr="00E64FDC">
              <w:t xml:space="preserve">Complex Needs </w:t>
            </w:r>
            <w:r w:rsidR="00261958" w:rsidRPr="00E64FDC">
              <w:t>Referral Form</w:t>
            </w:r>
          </w:p>
          <w:p w14:paraId="1DC920C6" w14:textId="3610352F" w:rsidR="00E92158" w:rsidRPr="00E64FDC" w:rsidRDefault="00AF4708" w:rsidP="00FD256B">
            <w:pPr>
              <w:pStyle w:val="Bullet1"/>
            </w:pPr>
            <w:r w:rsidRPr="00E64FDC">
              <w:t xml:space="preserve">1a </w:t>
            </w:r>
            <w:r w:rsidR="00E92158" w:rsidRPr="00E64FDC" w:rsidDel="0030394A">
              <w:t xml:space="preserve">Complex </w:t>
            </w:r>
            <w:r w:rsidR="00E92158" w:rsidRPr="00E64FDC">
              <w:t xml:space="preserve">Needs </w:t>
            </w:r>
            <w:r w:rsidR="00261958" w:rsidRPr="00E64FDC">
              <w:t>Intake Form</w:t>
            </w:r>
            <w:r w:rsidR="003B3BFE" w:rsidRPr="00E64FDC">
              <w:t xml:space="preserve">, </w:t>
            </w:r>
            <w:r w:rsidR="00A068C1" w:rsidRPr="00E64FDC">
              <w:t>includ</w:t>
            </w:r>
            <w:r w:rsidR="003B3BFE" w:rsidRPr="00E64FDC">
              <w:t xml:space="preserve">ing </w:t>
            </w:r>
            <w:r w:rsidR="006F32EE">
              <w:t xml:space="preserve">Attachment 1 </w:t>
            </w:r>
            <w:r w:rsidR="00A068C1" w:rsidRPr="00E64FDC">
              <w:t xml:space="preserve">AOS </w:t>
            </w:r>
            <w:r w:rsidR="00E64FDC" w:rsidRPr="00E64FDC">
              <w:t>Additional Risk Questions</w:t>
            </w:r>
            <w:r w:rsidR="00FD256B">
              <w:t>.</w:t>
            </w:r>
            <w:r w:rsidR="00A068C1" w:rsidRPr="00E64FDC">
              <w:t xml:space="preserve"> </w:t>
            </w:r>
          </w:p>
        </w:tc>
      </w:tr>
    </w:tbl>
    <w:p w14:paraId="042D7E8F" w14:textId="77777777" w:rsidR="00BC45CE" w:rsidRPr="00961166" w:rsidRDefault="00BC45CE" w:rsidP="008F2D4E">
      <w:pPr>
        <w:pStyle w:val="Bullet1"/>
        <w:numPr>
          <w:ilvl w:val="0"/>
          <w:numId w:val="0"/>
        </w:numPr>
        <w:ind w:left="357" w:hanging="35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92158" w14:paraId="6F57879C" w14:textId="77777777">
        <w:tc>
          <w:tcPr>
            <w:tcW w:w="0" w:type="auto"/>
            <w:shd w:val="clear" w:color="auto" w:fill="99D3F0"/>
            <w:vAlign w:val="center"/>
          </w:tcPr>
          <w:p w14:paraId="605CEB78" w14:textId="77777777" w:rsidR="00E92158" w:rsidRDefault="00E92158">
            <w:pPr>
              <w:pStyle w:val="Body"/>
            </w:pPr>
            <w:bookmarkStart w:id="170" w:name="_Toc125713742"/>
            <w:bookmarkStart w:id="171" w:name="_Toc137636750"/>
            <w:bookmarkStart w:id="172" w:name="_Toc112856261"/>
            <w:r>
              <w:rPr>
                <w:noProof/>
              </w:rPr>
              <w:drawing>
                <wp:inline distT="0" distB="0" distL="0" distR="0" wp14:anchorId="6DC84631" wp14:editId="6DBACD90">
                  <wp:extent cx="540000" cy="540000"/>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7C24B49" w14:textId="77777777" w:rsidR="00E92158" w:rsidRDefault="00E92158">
            <w:pPr>
              <w:pStyle w:val="Tablecolhead"/>
            </w:pPr>
            <w:r>
              <w:t>Coordinator tasks</w:t>
            </w:r>
          </w:p>
          <w:p w14:paraId="74489CD2" w14:textId="29E630E8" w:rsidR="00E92158" w:rsidRPr="00961166" w:rsidRDefault="00E92158" w:rsidP="00740A47">
            <w:pPr>
              <w:pStyle w:val="Bullet1"/>
            </w:pPr>
            <w:r>
              <w:t>provide referral advice and consultation as required</w:t>
            </w:r>
          </w:p>
          <w:p w14:paraId="5D93E68F" w14:textId="2B7E0C8F" w:rsidR="00E92158" w:rsidRDefault="007A6029" w:rsidP="00740A47">
            <w:pPr>
              <w:pStyle w:val="Bullet1"/>
            </w:pPr>
            <w:r>
              <w:t>receive referral</w:t>
            </w:r>
            <w:r w:rsidR="00E17932">
              <w:t xml:space="preserve"> and seek further information if required </w:t>
            </w:r>
            <w:r w:rsidR="00877FB1">
              <w:t>to determine AOS eligibility</w:t>
            </w:r>
          </w:p>
          <w:p w14:paraId="0E00D3EB" w14:textId="3CED94DD" w:rsidR="00E92158" w:rsidRDefault="00E92158" w:rsidP="00740A47">
            <w:pPr>
              <w:pStyle w:val="Bullet1"/>
            </w:pPr>
            <w:r>
              <w:t xml:space="preserve">complete the </w:t>
            </w:r>
            <w:r w:rsidR="00261958">
              <w:t xml:space="preserve">Complex Needs Intake Form with </w:t>
            </w:r>
            <w:r>
              <w:t xml:space="preserve">line manager approval for AOS </w:t>
            </w:r>
          </w:p>
          <w:p w14:paraId="496C8FF8" w14:textId="6D8A88DB" w:rsidR="00667CE0" w:rsidRDefault="00E92158" w:rsidP="00740A47">
            <w:pPr>
              <w:pStyle w:val="Bullet1"/>
            </w:pPr>
            <w:r>
              <w:t xml:space="preserve">present at the </w:t>
            </w:r>
            <w:r w:rsidR="00261958">
              <w:t>next</w:t>
            </w:r>
            <w:r>
              <w:t xml:space="preserve"> </w:t>
            </w:r>
            <w:r w:rsidR="00261958">
              <w:t>OMG</w:t>
            </w:r>
            <w:r>
              <w:t xml:space="preserve"> for discussion</w:t>
            </w:r>
            <w:r w:rsidR="008F2D4E">
              <w:t xml:space="preserve">, and if </w:t>
            </w:r>
            <w:r w:rsidR="00CC7F1E">
              <w:t>there is no consent, present</w:t>
            </w:r>
            <w:r w:rsidR="008F2D4E">
              <w:t xml:space="preserve"> as</w:t>
            </w:r>
            <w:r w:rsidR="00CC7F1E">
              <w:t xml:space="preserve"> de-identified </w:t>
            </w:r>
            <w:r w:rsidR="008F2D4E">
              <w:t xml:space="preserve">and without </w:t>
            </w:r>
            <w:r w:rsidR="00CC7F1E">
              <w:t xml:space="preserve">sensitive information </w:t>
            </w:r>
          </w:p>
          <w:p w14:paraId="50CE9B49" w14:textId="0610760A" w:rsidR="00E92158" w:rsidRDefault="00E92158" w:rsidP="00740A47">
            <w:pPr>
              <w:pStyle w:val="Bullet1"/>
            </w:pPr>
            <w:r>
              <w:t>allocat</w:t>
            </w:r>
            <w:r w:rsidR="00667CE0">
              <w:t>e</w:t>
            </w:r>
            <w:r>
              <w:t xml:space="preserve"> to the pilot area AOS provider</w:t>
            </w:r>
          </w:p>
          <w:p w14:paraId="5E96D888" w14:textId="77777777" w:rsidR="0003613F" w:rsidRDefault="00890E68" w:rsidP="00740A47">
            <w:pPr>
              <w:pStyle w:val="Bullet1"/>
            </w:pPr>
            <w:r>
              <w:t xml:space="preserve">update the referrer on the outcome </w:t>
            </w:r>
            <w:r w:rsidR="008A7659">
              <w:t xml:space="preserve">and </w:t>
            </w:r>
            <w:r w:rsidR="003F149A">
              <w:t>next steps</w:t>
            </w:r>
            <w:r w:rsidR="00D27A70">
              <w:t xml:space="preserve"> </w:t>
            </w:r>
            <w:r w:rsidR="00261958">
              <w:t>for</w:t>
            </w:r>
            <w:r w:rsidR="00D27A70">
              <w:t xml:space="preserve"> contacting the </w:t>
            </w:r>
            <w:r w:rsidR="00261958">
              <w:t>client</w:t>
            </w:r>
          </w:p>
          <w:p w14:paraId="4567A1C6" w14:textId="339EC0CB" w:rsidR="00890E68" w:rsidRDefault="0003613F" w:rsidP="00740A47">
            <w:pPr>
              <w:pStyle w:val="Bullet1"/>
            </w:pPr>
            <w:r>
              <w:t>request referrer to make further attempt to obtain consent</w:t>
            </w:r>
            <w:r w:rsidR="00261958">
              <w:t xml:space="preserve"> </w:t>
            </w:r>
          </w:p>
          <w:p w14:paraId="59BAD3AD" w14:textId="7EEF04FA" w:rsidR="00E92158" w:rsidRDefault="00E92158" w:rsidP="00740A47">
            <w:pPr>
              <w:pStyle w:val="Bullet1"/>
            </w:pPr>
            <w:r>
              <w:t>update the SharePoint client database</w:t>
            </w:r>
            <w:r w:rsidR="00111F82">
              <w:t>.</w:t>
            </w:r>
          </w:p>
        </w:tc>
      </w:tr>
    </w:tbl>
    <w:p w14:paraId="428E82F4" w14:textId="3E24FE17" w:rsidR="00BC45CE" w:rsidRPr="00F5023C" w:rsidRDefault="00F5023C" w:rsidP="00F5023C">
      <w:pPr>
        <w:pStyle w:val="Heading2"/>
      </w:pPr>
      <w:bookmarkStart w:id="173" w:name="_Toc145318591"/>
      <w:r>
        <w:lastRenderedPageBreak/>
        <w:t>6.8</w:t>
      </w:r>
      <w:r w:rsidR="00A73F81">
        <w:tab/>
      </w:r>
      <w:r w:rsidR="00BC45CE" w:rsidRPr="00F5023C">
        <w:t>Allocation</w:t>
      </w:r>
      <w:bookmarkEnd w:id="170"/>
      <w:bookmarkEnd w:id="171"/>
      <w:r w:rsidR="00201F82" w:rsidRPr="00F5023C">
        <w:t xml:space="preserve"> to an AOS provider</w:t>
      </w:r>
      <w:bookmarkEnd w:id="173"/>
    </w:p>
    <w:p w14:paraId="62B44235" w14:textId="59327E01" w:rsidR="00BF46AF" w:rsidRPr="00261958" w:rsidRDefault="00BF46AF" w:rsidP="00BF46AF">
      <w:pPr>
        <w:pStyle w:val="Body"/>
      </w:pPr>
      <w:r w:rsidRPr="00261958">
        <w:t>Allocation will include provision of the Complex Needs Referral</w:t>
      </w:r>
      <w:r>
        <w:t xml:space="preserve"> Form, </w:t>
      </w:r>
      <w:r w:rsidRPr="00261958">
        <w:t>evidence provided by the referrer to support the referral</w:t>
      </w:r>
      <w:r>
        <w:t xml:space="preserve">, and the </w:t>
      </w:r>
      <w:r w:rsidRPr="00261958">
        <w:t>Complex Needs Intake Form</w:t>
      </w:r>
      <w:r w:rsidR="00E64FDC">
        <w:t>,</w:t>
      </w:r>
      <w:r>
        <w:t xml:space="preserve"> </w:t>
      </w:r>
      <w:r w:rsidR="00377FEC">
        <w:t xml:space="preserve">including the completed </w:t>
      </w:r>
      <w:r w:rsidR="003B1B0F">
        <w:t>Att</w:t>
      </w:r>
      <w:r w:rsidR="007D52C1">
        <w:t xml:space="preserve">achment 1 </w:t>
      </w:r>
      <w:r w:rsidR="00377FEC" w:rsidRPr="00E64FDC">
        <w:t xml:space="preserve">AOS </w:t>
      </w:r>
      <w:r w:rsidR="006F32EE">
        <w:t>A</w:t>
      </w:r>
      <w:r w:rsidR="007D52C1" w:rsidRPr="00E64FDC">
        <w:t xml:space="preserve">dditional </w:t>
      </w:r>
      <w:r w:rsidR="006F32EE">
        <w:t>R</w:t>
      </w:r>
      <w:r w:rsidR="007D52C1" w:rsidRPr="00E64FDC">
        <w:t xml:space="preserve">isk </w:t>
      </w:r>
      <w:r w:rsidR="006F32EE">
        <w:t>Q</w:t>
      </w:r>
      <w:r w:rsidR="007D52C1" w:rsidRPr="00E64FDC">
        <w:t>uestions</w:t>
      </w:r>
      <w:r w:rsidR="008F2D4E" w:rsidRPr="00E64FDC">
        <w:t>.</w:t>
      </w:r>
    </w:p>
    <w:p w14:paraId="065B3705" w14:textId="73E2C9E9" w:rsidR="00B31CED" w:rsidRPr="00261958" w:rsidRDefault="001C0F18" w:rsidP="00261958">
      <w:pPr>
        <w:pStyle w:val="Body"/>
      </w:pPr>
      <w:r w:rsidRPr="00261958">
        <w:t xml:space="preserve">Prior to </w:t>
      </w:r>
      <w:r w:rsidR="00A802F8" w:rsidRPr="00261958">
        <w:t>sharing</w:t>
      </w:r>
      <w:r w:rsidRPr="00261958">
        <w:t xml:space="preserve"> client information </w:t>
      </w:r>
      <w:r w:rsidR="00A802F8" w:rsidRPr="00261958">
        <w:t xml:space="preserve">with </w:t>
      </w:r>
      <w:r w:rsidRPr="00261958">
        <w:t xml:space="preserve">an AOS </w:t>
      </w:r>
      <w:r w:rsidR="000F46D0" w:rsidRPr="00261958">
        <w:t>provide</w:t>
      </w:r>
      <w:r w:rsidR="004C5D04" w:rsidRPr="00261958">
        <w:t>r</w:t>
      </w:r>
      <w:r w:rsidRPr="00261958">
        <w:t xml:space="preserve">, </w:t>
      </w:r>
      <w:r w:rsidR="0063231A" w:rsidRPr="00261958">
        <w:t xml:space="preserve">Complex Needs Coordinators </w:t>
      </w:r>
      <w:r w:rsidR="002A6B42" w:rsidRPr="00261958">
        <w:t xml:space="preserve">review the referral and intake documents </w:t>
      </w:r>
      <w:r w:rsidR="00162D34" w:rsidRPr="00261958">
        <w:t xml:space="preserve">to </w:t>
      </w:r>
      <w:r w:rsidR="000F46D0" w:rsidRPr="00261958">
        <w:t xml:space="preserve">ensure </w:t>
      </w:r>
      <w:r w:rsidR="00894D72" w:rsidRPr="00261958">
        <w:t xml:space="preserve">any sensitive information </w:t>
      </w:r>
      <w:r w:rsidR="0095132F" w:rsidRPr="00261958">
        <w:t>has been</w:t>
      </w:r>
      <w:r w:rsidR="00B80556" w:rsidRPr="00261958">
        <w:t xml:space="preserve"> removed</w:t>
      </w:r>
      <w:r w:rsidR="009B0009">
        <w:t xml:space="preserve"> if consent has not been provided by the client</w:t>
      </w:r>
      <w:r w:rsidR="00B80556" w:rsidRPr="00261958">
        <w:t>.</w:t>
      </w:r>
    </w:p>
    <w:p w14:paraId="259A449E" w14:textId="6A746ABD" w:rsidR="00996D10" w:rsidRPr="00261958" w:rsidRDefault="00996D10" w:rsidP="00261958">
      <w:pPr>
        <w:pStyle w:val="Body"/>
      </w:pPr>
      <w:r w:rsidRPr="00261958">
        <w:t xml:space="preserve">Complex Needs Coordinators will notify the AOS provider when they can access SharePoint. </w:t>
      </w:r>
    </w:p>
    <w:p w14:paraId="1A2FA919" w14:textId="739B6355" w:rsidR="00996D10" w:rsidRPr="00261958" w:rsidRDefault="00261958" w:rsidP="00261958">
      <w:pPr>
        <w:pStyle w:val="Body"/>
      </w:pPr>
      <w:r>
        <w:t xml:space="preserve">AOS </w:t>
      </w:r>
      <w:r w:rsidR="00BC45CE" w:rsidRPr="00261958">
        <w:t xml:space="preserve">providers will acknowledge receipt of a referral with the Complex Needs team within </w:t>
      </w:r>
      <w:r w:rsidR="00667CE0">
        <w:t>one</w:t>
      </w:r>
      <w:r w:rsidR="002E012A" w:rsidRPr="00261958">
        <w:t xml:space="preserve"> business day</w:t>
      </w:r>
      <w:r w:rsidR="00BC45CE" w:rsidRPr="00261958">
        <w:t xml:space="preserve"> and make initial contact with the </w:t>
      </w:r>
      <w:r w:rsidR="00C67EB1" w:rsidRPr="00261958">
        <w:t xml:space="preserve">referrer </w:t>
      </w:r>
      <w:r w:rsidR="00BC45CE" w:rsidRPr="00261958">
        <w:t xml:space="preserve">within </w:t>
      </w:r>
      <w:r w:rsidR="00667CE0">
        <w:t>two</w:t>
      </w:r>
      <w:r w:rsidR="002E012A" w:rsidRPr="00261958">
        <w:t xml:space="preserve"> business days</w:t>
      </w:r>
      <w:r w:rsidR="00BC45CE" w:rsidRPr="00261958">
        <w:t>.</w:t>
      </w:r>
    </w:p>
    <w:p w14:paraId="6991A62D" w14:textId="59485F5E" w:rsidR="00F1152B" w:rsidRPr="00261958" w:rsidRDefault="00C67EB1" w:rsidP="00261958">
      <w:pPr>
        <w:pStyle w:val="Body"/>
      </w:pPr>
      <w:r w:rsidRPr="00261958">
        <w:t xml:space="preserve">The purpose of </w:t>
      </w:r>
      <w:r w:rsidR="00104F48" w:rsidRPr="00261958">
        <w:t>the</w:t>
      </w:r>
      <w:r w:rsidRPr="00261958">
        <w:t xml:space="preserve"> contact is to confirm the </w:t>
      </w:r>
      <w:r w:rsidR="00B016DB">
        <w:t>person</w:t>
      </w:r>
      <w:r w:rsidRPr="00261958">
        <w:t xml:space="preserve"> has been informed that they have been recommended </w:t>
      </w:r>
      <w:r w:rsidR="006909B5" w:rsidRPr="00261958">
        <w:t>to</w:t>
      </w:r>
      <w:r w:rsidRPr="00261958">
        <w:t xml:space="preserve"> AOS </w:t>
      </w:r>
      <w:r w:rsidR="00261958">
        <w:t xml:space="preserve">and that </w:t>
      </w:r>
      <w:r w:rsidRPr="00261958">
        <w:t xml:space="preserve">the AOS provider will contact them. </w:t>
      </w:r>
      <w:r w:rsidR="00F06AA8">
        <w:t>The AOS provider will also gather information from the referrer to support planning for the initial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484"/>
      </w:tblGrid>
      <w:tr w:rsidR="00F01EE8" w14:paraId="46E54A97" w14:textId="77777777">
        <w:tc>
          <w:tcPr>
            <w:tcW w:w="0" w:type="auto"/>
            <w:shd w:val="clear" w:color="auto" w:fill="CCE9F8"/>
            <w:vAlign w:val="center"/>
          </w:tcPr>
          <w:p w14:paraId="3B00F3A6" w14:textId="77777777" w:rsidR="00F01EE8" w:rsidRDefault="00F01EE8">
            <w:pPr>
              <w:pStyle w:val="Body"/>
            </w:pPr>
            <w:r>
              <w:rPr>
                <w:noProof/>
              </w:rPr>
              <w:drawing>
                <wp:inline distT="0" distB="0" distL="0" distR="0" wp14:anchorId="656B6C0E" wp14:editId="326D0845">
                  <wp:extent cx="540000" cy="540000"/>
                  <wp:effectExtent l="0" t="0" r="0" b="0"/>
                  <wp:docPr id="264910464" name="Picture 2649104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10464" name="Picture 264910464">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E8FFCE0" w14:textId="77777777" w:rsidR="00F01EE8" w:rsidRDefault="00F01EE8">
            <w:pPr>
              <w:pStyle w:val="Tablecolhead"/>
              <w:rPr>
                <w:rFonts w:eastAsia="Arial"/>
              </w:rPr>
            </w:pPr>
            <w:r w:rsidRPr="00DF0E4E">
              <w:rPr>
                <w:rFonts w:eastAsia="Arial"/>
              </w:rPr>
              <w:t>Documentation</w:t>
            </w:r>
            <w:r>
              <w:rPr>
                <w:rFonts w:eastAsia="Arial"/>
              </w:rPr>
              <w:t xml:space="preserve"> required</w:t>
            </w:r>
          </w:p>
          <w:p w14:paraId="289BAE1E" w14:textId="6AB2E5D3" w:rsidR="00F01EE8" w:rsidRDefault="00AF4708" w:rsidP="00740A47">
            <w:pPr>
              <w:pStyle w:val="Bullet1"/>
            </w:pPr>
            <w:r>
              <w:t xml:space="preserve">1 </w:t>
            </w:r>
            <w:r w:rsidR="00261958">
              <w:t xml:space="preserve">Complex Needs Referral Form </w:t>
            </w:r>
            <w:r w:rsidR="00F01EE8">
              <w:t>and evidence provided to support referral</w:t>
            </w:r>
          </w:p>
          <w:p w14:paraId="49AB2CDF" w14:textId="04227D27" w:rsidR="00F01EE8" w:rsidRPr="00B83D2D" w:rsidRDefault="00AF4708" w:rsidP="00740A47">
            <w:pPr>
              <w:pStyle w:val="Bullet1"/>
            </w:pPr>
            <w:r>
              <w:t xml:space="preserve">1a </w:t>
            </w:r>
            <w:r w:rsidR="00F01EE8" w:rsidRPr="00D014F3">
              <w:t xml:space="preserve">Complex Needs </w:t>
            </w:r>
            <w:r w:rsidR="00261958" w:rsidRPr="00D014F3" w:rsidDel="009E3163">
              <w:t>Intake Form</w:t>
            </w:r>
            <w:r w:rsidR="00FD1A58">
              <w:t xml:space="preserve"> </w:t>
            </w:r>
          </w:p>
        </w:tc>
      </w:tr>
    </w:tbl>
    <w:p w14:paraId="525A6576" w14:textId="77777777" w:rsidR="00F01EE8" w:rsidRDefault="00F01EE8" w:rsidP="00853CBF">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638F93E6" w14:paraId="4AFFEB4A" w14:textId="77777777" w:rsidTr="7DAFCD5E">
        <w:trPr>
          <w:trHeight w:val="300"/>
        </w:trPr>
        <w:tc>
          <w:tcPr>
            <w:tcW w:w="1066" w:type="dxa"/>
            <w:shd w:val="clear" w:color="auto" w:fill="99D3F0"/>
            <w:vAlign w:val="center"/>
          </w:tcPr>
          <w:p w14:paraId="2F7DA94F" w14:textId="77777777" w:rsidR="638F93E6" w:rsidRDefault="638F93E6" w:rsidP="638F93E6">
            <w:pPr>
              <w:pStyle w:val="Body"/>
              <w:rPr>
                <w:color w:val="FF0000"/>
              </w:rPr>
            </w:pPr>
            <w:r>
              <w:rPr>
                <w:noProof/>
              </w:rPr>
              <w:drawing>
                <wp:inline distT="0" distB="0" distL="0" distR="0" wp14:anchorId="32CD67D9" wp14:editId="1BE31BC1">
                  <wp:extent cx="540000" cy="540000"/>
                  <wp:effectExtent l="0" t="0" r="0" b="0"/>
                  <wp:docPr id="264910489" name="Picture 2649104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10489" name="Picture 26491048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8232" w:type="dxa"/>
          </w:tcPr>
          <w:p w14:paraId="3659C121" w14:textId="77777777" w:rsidR="638F93E6" w:rsidRDefault="638F93E6" w:rsidP="638F93E6">
            <w:pPr>
              <w:pStyle w:val="Tablecolhead"/>
              <w:rPr>
                <w:color w:val="auto"/>
              </w:rPr>
            </w:pPr>
            <w:r w:rsidRPr="638F93E6">
              <w:rPr>
                <w:color w:val="auto"/>
              </w:rPr>
              <w:t>Coordinator tasks</w:t>
            </w:r>
          </w:p>
          <w:p w14:paraId="70FDD069" w14:textId="480EB6BB" w:rsidR="638F93E6" w:rsidRDefault="5ABFA1C1" w:rsidP="00740A47">
            <w:pPr>
              <w:pStyle w:val="Bullet1"/>
            </w:pPr>
            <w:r>
              <w:t xml:space="preserve">review </w:t>
            </w:r>
            <w:r w:rsidR="3B1D29F6">
              <w:t>information provided by the referrer and remove any sensitive information that may have been shared without consent</w:t>
            </w:r>
          </w:p>
          <w:p w14:paraId="4E4E45CF" w14:textId="4AE7A6EB" w:rsidR="008327CA" w:rsidRDefault="1464C5BD" w:rsidP="00740A47">
            <w:pPr>
              <w:pStyle w:val="Bullet1"/>
            </w:pPr>
            <w:r>
              <w:t>n</w:t>
            </w:r>
            <w:r w:rsidR="008327CA">
              <w:t>otify AOS provider that client information is available in SharePoint</w:t>
            </w:r>
          </w:p>
          <w:p w14:paraId="0D867238" w14:textId="6F26A8AA" w:rsidR="638F93E6" w:rsidRDefault="0FE6BA4E" w:rsidP="00740A47">
            <w:pPr>
              <w:pStyle w:val="Bullet1"/>
            </w:pPr>
            <w:r>
              <w:t>update the SharePoint client database</w:t>
            </w:r>
            <w:r w:rsidR="00261958">
              <w:t>.</w:t>
            </w:r>
          </w:p>
        </w:tc>
      </w:tr>
    </w:tbl>
    <w:p w14:paraId="2FBFC9D6" w14:textId="796EA799" w:rsidR="008327CA" w:rsidRPr="00487C87" w:rsidRDefault="00487C87" w:rsidP="00487C87">
      <w:pPr>
        <w:pStyle w:val="Heading2"/>
      </w:pPr>
      <w:bookmarkStart w:id="174" w:name="_Toc125713744"/>
      <w:bookmarkStart w:id="175" w:name="_Toc137636752"/>
      <w:bookmarkStart w:id="176" w:name="_Toc112856262"/>
      <w:bookmarkStart w:id="177" w:name="_Toc145318592"/>
      <w:bookmarkEnd w:id="172"/>
      <w:r>
        <w:t>6.9</w:t>
      </w:r>
      <w:r w:rsidR="00A73F81">
        <w:tab/>
      </w:r>
      <w:r w:rsidR="008327CA" w:rsidRPr="00487C87">
        <w:t>Individual Support Plan</w:t>
      </w:r>
      <w:bookmarkEnd w:id="177"/>
      <w:r w:rsidR="008327CA" w:rsidRPr="00487C87">
        <w:t xml:space="preserve"> </w:t>
      </w:r>
    </w:p>
    <w:p w14:paraId="1E8D495C" w14:textId="77777777" w:rsidR="00DD0122" w:rsidRDefault="007E628B" w:rsidP="00FD56EA">
      <w:pPr>
        <w:pStyle w:val="Body"/>
      </w:pPr>
      <w:r>
        <w:rPr>
          <w:lang w:val="en-US" w:eastAsia="ja-JP"/>
        </w:rPr>
        <w:t xml:space="preserve">For clients who have </w:t>
      </w:r>
      <w:r w:rsidR="00487C87">
        <w:rPr>
          <w:lang w:val="en-US" w:eastAsia="ja-JP"/>
        </w:rPr>
        <w:t xml:space="preserve">provided consent, </w:t>
      </w:r>
      <w:r w:rsidR="00C1729B">
        <w:rPr>
          <w:lang w:val="en-US" w:eastAsia="ja-JP"/>
        </w:rPr>
        <w:t xml:space="preserve">AOS </w:t>
      </w:r>
      <w:r w:rsidR="008327CA" w:rsidRPr="79ACB399">
        <w:rPr>
          <w:lang w:val="en-US" w:eastAsia="ja-JP"/>
        </w:rPr>
        <w:t xml:space="preserve">providers will work with each client to develop an Individual Support Plan </w:t>
      </w:r>
      <w:r w:rsidR="007952ED">
        <w:rPr>
          <w:lang w:val="en-US" w:eastAsia="ja-JP"/>
        </w:rPr>
        <w:t>(ISP)</w:t>
      </w:r>
      <w:r w:rsidR="00FD56EA">
        <w:rPr>
          <w:lang w:val="en-US" w:eastAsia="ja-JP"/>
        </w:rPr>
        <w:t>.</w:t>
      </w:r>
      <w:r w:rsidR="007952ED">
        <w:rPr>
          <w:lang w:val="en-US" w:eastAsia="ja-JP"/>
        </w:rPr>
        <w:t xml:space="preserve"> </w:t>
      </w:r>
      <w:r w:rsidR="00FD56EA">
        <w:t xml:space="preserve">An </w:t>
      </w:r>
      <w:r w:rsidR="00423B58">
        <w:t>ISP</w:t>
      </w:r>
      <w:r w:rsidR="00FD56EA">
        <w:t xml:space="preserve"> is a person-centred planning document used in AOS. It includes</w:t>
      </w:r>
      <w:r w:rsidR="00DD0122">
        <w:t>:</w:t>
      </w:r>
    </w:p>
    <w:p w14:paraId="514322E2" w14:textId="77777777" w:rsidR="00DD0122" w:rsidRDefault="00FD56EA" w:rsidP="00130F6C">
      <w:pPr>
        <w:pStyle w:val="Bullet1"/>
      </w:pPr>
      <w:r>
        <w:t>client’s goals</w:t>
      </w:r>
    </w:p>
    <w:p w14:paraId="5FE48454" w14:textId="03EA1D0A" w:rsidR="00DD0122" w:rsidRDefault="00FD56EA" w:rsidP="00130F6C">
      <w:pPr>
        <w:pStyle w:val="Bullet1"/>
      </w:pPr>
      <w:r>
        <w:t>supports needed to achieve goals</w:t>
      </w:r>
      <w:r w:rsidR="001E47EF">
        <w:t xml:space="preserve"> (</w:t>
      </w:r>
      <w:r w:rsidR="00130F6C">
        <w:t>e.g.:</w:t>
      </w:r>
      <w:r w:rsidR="001E47EF">
        <w:t xml:space="preserve"> to address service gaps and barriers or to </w:t>
      </w:r>
      <w:r w:rsidR="00DD0122">
        <w:t>increase protective factors)</w:t>
      </w:r>
    </w:p>
    <w:p w14:paraId="441D7D86" w14:textId="77777777" w:rsidR="00DD0122" w:rsidRDefault="00FD56EA" w:rsidP="00130F6C">
      <w:pPr>
        <w:pStyle w:val="Bullet1"/>
      </w:pPr>
      <w:r>
        <w:t>implementation strategies</w:t>
      </w:r>
    </w:p>
    <w:p w14:paraId="707D899B" w14:textId="1A3B965F" w:rsidR="00DD0122" w:rsidRPr="00130F6C" w:rsidRDefault="00FD56EA" w:rsidP="00130F6C">
      <w:pPr>
        <w:pStyle w:val="Bullet1"/>
        <w:rPr>
          <w:lang w:val="en-US" w:eastAsia="ja-JP"/>
        </w:rPr>
      </w:pPr>
      <w:r>
        <w:t xml:space="preserve">how the service provider will support goal achievement </w:t>
      </w:r>
    </w:p>
    <w:p w14:paraId="39FEA2C1" w14:textId="77777777" w:rsidR="00CD2DDA" w:rsidRDefault="00FD56EA" w:rsidP="00CD2DDA">
      <w:pPr>
        <w:pStyle w:val="lastbullett"/>
      </w:pPr>
      <w:r>
        <w:t>the next review date.</w:t>
      </w:r>
    </w:p>
    <w:p w14:paraId="2D6802CF" w14:textId="38F8C086" w:rsidR="008327CA" w:rsidRDefault="008327CA" w:rsidP="00261958">
      <w:pPr>
        <w:pStyle w:val="Body"/>
      </w:pPr>
      <w:r w:rsidRPr="79ACB399">
        <w:t xml:space="preserve">Central to the development of an effective </w:t>
      </w:r>
      <w:r w:rsidR="007952ED">
        <w:t>ISP</w:t>
      </w:r>
      <w:r w:rsidRPr="79ACB399">
        <w:t xml:space="preserve"> is a strong understanding of the client’s needs and goals. Assessments including clinical assessments and past interventions should inform future </w:t>
      </w:r>
      <w:r w:rsidR="000134C6">
        <w:t xml:space="preserve">planning and </w:t>
      </w:r>
      <w:r w:rsidRPr="79ACB399">
        <w:t xml:space="preserve">service delivery. </w:t>
      </w:r>
    </w:p>
    <w:p w14:paraId="1365DE88" w14:textId="4768CADF" w:rsidR="003422F8" w:rsidRPr="00C16FB3" w:rsidRDefault="007D5116" w:rsidP="00261958">
      <w:pPr>
        <w:pStyle w:val="Body"/>
      </w:pPr>
      <w:r>
        <w:t xml:space="preserve">Provision of consent to receive AOS services </w:t>
      </w:r>
      <w:r w:rsidR="00F27F7F" w:rsidRPr="00C16FB3">
        <w:t>also includes</w:t>
      </w:r>
      <w:r>
        <w:t xml:space="preserve"> consent for a risk assessment to be undertaken by the AOS provider</w:t>
      </w:r>
      <w:r w:rsidR="00DE01AD">
        <w:t>.</w:t>
      </w:r>
      <w:r w:rsidR="00A54CA8" w:rsidRPr="00A54CA8">
        <w:t xml:space="preserve"> </w:t>
      </w:r>
      <w:r w:rsidR="00A54CA8">
        <w:t>This</w:t>
      </w:r>
      <w:r w:rsidR="007215FC">
        <w:t xml:space="preserve"> risk assessment will inform the </w:t>
      </w:r>
      <w:r w:rsidR="00A54CA8">
        <w:t xml:space="preserve">development of risk planning and management strategies, inform the client’s </w:t>
      </w:r>
      <w:r w:rsidR="00423B58">
        <w:t>ISP</w:t>
      </w:r>
      <w:r w:rsidR="00A54CA8">
        <w:t>, and establish key risk factors that should be monitored during service provision.</w:t>
      </w:r>
      <w:r w:rsidR="00F36DA3" w:rsidRPr="00C16FB3">
        <w:t xml:space="preserve"> </w:t>
      </w:r>
      <w:r w:rsidR="000134C6" w:rsidRPr="00C16FB3">
        <w:t>T</w:t>
      </w:r>
      <w:r w:rsidR="00434EBA" w:rsidRPr="00C16FB3">
        <w:t>he</w:t>
      </w:r>
      <w:r w:rsidR="00434EBA">
        <w:t xml:space="preserve"> </w:t>
      </w:r>
      <w:r w:rsidR="00434EBA" w:rsidRPr="007952ED">
        <w:rPr>
          <w:i/>
        </w:rPr>
        <w:t xml:space="preserve">AOS Risk </w:t>
      </w:r>
      <w:r w:rsidR="00D87F3B" w:rsidRPr="007952ED">
        <w:rPr>
          <w:i/>
        </w:rPr>
        <w:t>Assessment and Management Framework</w:t>
      </w:r>
      <w:r w:rsidR="00D87F3B">
        <w:t xml:space="preserve"> to guide how they </w:t>
      </w:r>
      <w:r w:rsidR="00117F9B">
        <w:t xml:space="preserve">assess risk </w:t>
      </w:r>
      <w:r w:rsidR="00AF2807">
        <w:t xml:space="preserve">for this </w:t>
      </w:r>
      <w:r w:rsidR="00381577">
        <w:t>purpose.</w:t>
      </w:r>
      <w:r w:rsidR="00381577" w:rsidRPr="4A0301FD">
        <w:t xml:space="preserve"> </w:t>
      </w:r>
    </w:p>
    <w:p w14:paraId="14F08F06" w14:textId="5EDC6198" w:rsidR="00C16FB3" w:rsidRPr="00C16FB3" w:rsidRDefault="007952ED" w:rsidP="00C16FB3">
      <w:pPr>
        <w:pStyle w:val="Body"/>
      </w:pPr>
      <w:r>
        <w:lastRenderedPageBreak/>
        <w:t>ISPs</w:t>
      </w:r>
      <w:r w:rsidR="00C16FB3" w:rsidRPr="00C16FB3">
        <w:t xml:space="preserve"> should be completed within six weeks of the person providing consent to AOS. </w:t>
      </w:r>
      <w:r w:rsidR="00B016DB">
        <w:t>The person</w:t>
      </w:r>
      <w:r w:rsidR="00C16FB3" w:rsidRPr="00C16FB3">
        <w:t xml:space="preserve"> must receive a copy of their ISP in the format and language they are most likely to understand.</w:t>
      </w:r>
      <w:r w:rsidR="00622654">
        <w:t xml:space="preserve"> A</w:t>
      </w:r>
      <w:r w:rsidR="00C16FB3" w:rsidRPr="00C16FB3">
        <w:t xml:space="preserve">OS </w:t>
      </w:r>
      <w:r w:rsidR="00C025CA">
        <w:t>providers</w:t>
      </w:r>
      <w:r w:rsidR="00C16FB3" w:rsidRPr="00C16FB3">
        <w:t xml:space="preserve"> </w:t>
      </w:r>
      <w:r w:rsidR="00C025CA">
        <w:t>u</w:t>
      </w:r>
      <w:r w:rsidR="00B016DB">
        <w:t>se</w:t>
      </w:r>
      <w:r w:rsidR="00C16FB3" w:rsidRPr="00C16FB3">
        <w:t xml:space="preserve"> their own ISP templates</w:t>
      </w:r>
      <w:r w:rsidR="00364214">
        <w:t xml:space="preserve"> and may refer to the ISP by a different name if preferred</w:t>
      </w:r>
      <w:r w:rsidR="00C16FB3" w:rsidRPr="00C16FB3">
        <w:t>.</w:t>
      </w:r>
    </w:p>
    <w:p w14:paraId="61787770" w14:textId="77777777" w:rsidR="00B016DB" w:rsidRDefault="00FA42B6" w:rsidP="00C16FB3">
      <w:pPr>
        <w:pStyle w:val="Body"/>
      </w:pPr>
      <w:r w:rsidRPr="00C16FB3">
        <w:t>Whil</w:t>
      </w:r>
      <w:r w:rsidR="00B016DB">
        <w:t>e</w:t>
      </w:r>
      <w:r w:rsidRPr="00C16FB3">
        <w:t xml:space="preserve"> the </w:t>
      </w:r>
      <w:r w:rsidR="007952ED">
        <w:t>ISP</w:t>
      </w:r>
      <w:r w:rsidRPr="00C16FB3">
        <w:t xml:space="preserve"> is being developed and implemented, </w:t>
      </w:r>
      <w:r w:rsidR="003422F8" w:rsidRPr="00C16FB3">
        <w:t xml:space="preserve">AOS providers </w:t>
      </w:r>
      <w:r w:rsidR="003A6D3E" w:rsidRPr="00C16FB3">
        <w:t>update Complex Needs Coordinators on t</w:t>
      </w:r>
      <w:r w:rsidR="0046150E" w:rsidRPr="00C16FB3">
        <w:t xml:space="preserve">he progress of AOS clients, including regular check-ins, </w:t>
      </w:r>
      <w:r w:rsidR="00836207">
        <w:t xml:space="preserve">risks relating to the </w:t>
      </w:r>
      <w:r w:rsidR="00B016DB">
        <w:t xml:space="preserve">client </w:t>
      </w:r>
      <w:r w:rsidR="00836207" w:rsidRPr="00C16FB3">
        <w:t xml:space="preserve">and </w:t>
      </w:r>
      <w:r w:rsidR="00836207">
        <w:t xml:space="preserve">any other </w:t>
      </w:r>
      <w:r w:rsidR="00836207" w:rsidRPr="00C16FB3">
        <w:t xml:space="preserve">presenting </w:t>
      </w:r>
      <w:r w:rsidR="001277B8" w:rsidRPr="00C16FB3">
        <w:t>issues</w:t>
      </w:r>
      <w:r w:rsidR="00B016DB">
        <w:t>.</w:t>
      </w:r>
      <w:r w:rsidR="001277B8" w:rsidRPr="00C16FB3">
        <w:t xml:space="preserve"> </w:t>
      </w:r>
    </w:p>
    <w:p w14:paraId="28B4E848" w14:textId="78470725" w:rsidR="0078609A" w:rsidRDefault="0040796C" w:rsidP="00C16FB3">
      <w:pPr>
        <w:pStyle w:val="Body"/>
      </w:pPr>
      <w:r w:rsidRPr="00C16FB3">
        <w:t xml:space="preserve">Where issues are escalating </w:t>
      </w:r>
      <w:r w:rsidR="00D3676E" w:rsidRPr="00C16FB3">
        <w:t xml:space="preserve">and/or </w:t>
      </w:r>
      <w:r w:rsidR="00EE3F06">
        <w:t xml:space="preserve">there are barriers to accessing </w:t>
      </w:r>
      <w:r w:rsidR="00B016DB" w:rsidRPr="00EE3F06">
        <w:t>service</w:t>
      </w:r>
      <w:r w:rsidR="00EE3F06" w:rsidRPr="00EE3F06">
        <w:t>s</w:t>
      </w:r>
      <w:r w:rsidR="00D3676E" w:rsidRPr="00EE3F06">
        <w:t>,</w:t>
      </w:r>
      <w:r w:rsidR="00D3676E" w:rsidRPr="00C16FB3">
        <w:t xml:space="preserve"> t</w:t>
      </w:r>
      <w:r w:rsidR="001277B8" w:rsidRPr="00C16FB3">
        <w:t xml:space="preserve">he Complex Needs Coordinator may </w:t>
      </w:r>
      <w:r w:rsidR="004B1E0E" w:rsidRPr="007C2C06">
        <w:t xml:space="preserve">provide information and practice advice, system navigation, problem solving and capacity building. </w:t>
      </w:r>
      <w:r w:rsidR="002B18BF" w:rsidRPr="007C2C06">
        <w:t xml:space="preserve">This support may be </w:t>
      </w:r>
      <w:r w:rsidR="00013787" w:rsidRPr="007C2C06">
        <w:t>sought</w:t>
      </w:r>
      <w:r w:rsidR="002B18BF" w:rsidRPr="007C2C06">
        <w:t xml:space="preserve"> on a </w:t>
      </w:r>
      <w:r w:rsidR="00130F6C">
        <w:t xml:space="preserve">on to one </w:t>
      </w:r>
      <w:r w:rsidR="002B18BF" w:rsidRPr="007C2C06">
        <w:t>basis</w:t>
      </w:r>
      <w:r w:rsidR="00013787" w:rsidRPr="007C2C06">
        <w:t xml:space="preserve"> between the AOS provider and the Complex Needs</w:t>
      </w:r>
      <w:r w:rsidR="00013787">
        <w:t xml:space="preserve"> Coordinator</w:t>
      </w:r>
      <w:r w:rsidR="002B18BF">
        <w:t xml:space="preserve">, or as part of the </w:t>
      </w:r>
      <w:r w:rsidR="00013787">
        <w:t xml:space="preserve">broader discussion and regular updates at the OMG. </w:t>
      </w:r>
    </w:p>
    <w:p w14:paraId="5DE5BDCD" w14:textId="5E532ED3" w:rsidR="00EF0614" w:rsidRPr="00C16FB3" w:rsidRDefault="007018E6" w:rsidP="00C16FB3">
      <w:pPr>
        <w:pStyle w:val="Body"/>
      </w:pPr>
      <w:r w:rsidRPr="00C16FB3">
        <w:t xml:space="preserve">Where </w:t>
      </w:r>
      <w:r w:rsidR="004A707A" w:rsidRPr="00C16FB3">
        <w:t xml:space="preserve">any emerging risks or issues are unable to resolved through the OMG or </w:t>
      </w:r>
      <w:r w:rsidR="00B016DB">
        <w:t xml:space="preserve">the </w:t>
      </w:r>
      <w:r w:rsidR="00E76F08" w:rsidRPr="00C16FB3">
        <w:t xml:space="preserve">informal </w:t>
      </w:r>
      <w:r w:rsidR="00C02F43" w:rsidRPr="00C16FB3">
        <w:t xml:space="preserve">methods, escalation to Area Panel may be determined the most appropriate response. </w:t>
      </w:r>
      <w:r w:rsidR="0046176B" w:rsidRPr="00C16FB3">
        <w:t xml:space="preserve">The Complex Needs Coordinator will support the AOS provider </w:t>
      </w:r>
      <w:r w:rsidR="00AA4175" w:rsidRPr="00C16FB3">
        <w:t xml:space="preserve">to </w:t>
      </w:r>
      <w:r w:rsidR="00B016DB">
        <w:t xml:space="preserve">access </w:t>
      </w:r>
      <w:r w:rsidR="00AA4175" w:rsidRPr="00C16FB3">
        <w:t xml:space="preserve">forms and templates required </w:t>
      </w:r>
      <w:r w:rsidR="00B016DB">
        <w:t>for panel presentations</w:t>
      </w:r>
      <w:r w:rsidR="00AA4175" w:rsidRPr="00C16FB3">
        <w:t xml:space="preserve">, and if required </w:t>
      </w:r>
      <w:r w:rsidR="00F552BC" w:rsidRPr="00C16FB3">
        <w:t xml:space="preserve">additional guidance </w:t>
      </w:r>
      <w:r w:rsidR="002662DF" w:rsidRPr="00C16FB3">
        <w:t>to prepare and support the AOS client presentation at the Panel</w:t>
      </w:r>
      <w:r w:rsidR="00A03B16" w:rsidRPr="00C16FB3">
        <w:t>.</w:t>
      </w:r>
    </w:p>
    <w:p w14:paraId="67A40FB0" w14:textId="77777777" w:rsidR="008327CA" w:rsidRPr="00961166" w:rsidRDefault="008327CA" w:rsidP="008327CA">
      <w:pPr>
        <w:spacing w:line="270" w:lineRule="atLeast"/>
        <w:rPr>
          <w:rFonts w:eastAsia="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8327CA" w14:paraId="5A855946" w14:textId="77777777" w:rsidTr="00710AE9">
        <w:tc>
          <w:tcPr>
            <w:tcW w:w="0" w:type="auto"/>
            <w:shd w:val="clear" w:color="auto" w:fill="CCE9F8"/>
            <w:vAlign w:val="center"/>
          </w:tcPr>
          <w:p w14:paraId="1BFABAB7" w14:textId="77777777" w:rsidR="008327CA" w:rsidRPr="00961166" w:rsidRDefault="008327CA" w:rsidP="00710AE9">
            <w:pPr>
              <w:pStyle w:val="Body"/>
            </w:pPr>
            <w:r>
              <w:rPr>
                <w:noProof/>
              </w:rPr>
              <w:drawing>
                <wp:inline distT="0" distB="0" distL="0" distR="0" wp14:anchorId="65FB6585" wp14:editId="72AC8909">
                  <wp:extent cx="540000" cy="540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7CD9C7E8" w14:textId="77777777" w:rsidR="008327CA" w:rsidRPr="00961166" w:rsidRDefault="008327CA" w:rsidP="00710AE9">
            <w:pPr>
              <w:pStyle w:val="Tablecolhead"/>
              <w:rPr>
                <w:rFonts w:eastAsia="Arial"/>
                <w:color w:val="auto"/>
              </w:rPr>
            </w:pPr>
            <w:r w:rsidRPr="79ACB399">
              <w:rPr>
                <w:rFonts w:eastAsia="Arial"/>
                <w:color w:val="auto"/>
              </w:rPr>
              <w:t>Documentation required</w:t>
            </w:r>
          </w:p>
          <w:p w14:paraId="6257CD9E" w14:textId="4BD519DB" w:rsidR="008327CA" w:rsidRDefault="008327CA" w:rsidP="00740A47">
            <w:pPr>
              <w:pStyle w:val="Bullet1"/>
            </w:pPr>
            <w:r>
              <w:t xml:space="preserve">Individual Support Plan </w:t>
            </w:r>
            <w:r w:rsidR="00130F6C">
              <w:t>T</w:t>
            </w:r>
            <w:r>
              <w:t>emplate – AOS provider specific</w:t>
            </w:r>
          </w:p>
          <w:p w14:paraId="49D70FC8" w14:textId="60DFF60F" w:rsidR="00AF2807" w:rsidRPr="00961166" w:rsidRDefault="0058502D" w:rsidP="00740A47">
            <w:pPr>
              <w:pStyle w:val="Bullet1"/>
            </w:pPr>
            <w:r>
              <w:t>6n Complex Needs Case</w:t>
            </w:r>
            <w:r w:rsidR="3969029A">
              <w:t xml:space="preserve"> Presentation Template</w:t>
            </w:r>
            <w:r w:rsidR="71E30A63">
              <w:t xml:space="preserve"> (if escalated to Complex Needs Panel)</w:t>
            </w:r>
          </w:p>
        </w:tc>
      </w:tr>
    </w:tbl>
    <w:p w14:paraId="48BEC8AB" w14:textId="77777777" w:rsidR="008327CA" w:rsidRPr="00961166" w:rsidRDefault="008327CA" w:rsidP="008327CA">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939"/>
      </w:tblGrid>
      <w:tr w:rsidR="008327CA" w14:paraId="07AF2A6E" w14:textId="77777777" w:rsidTr="00710AE9">
        <w:tc>
          <w:tcPr>
            <w:tcW w:w="0" w:type="auto"/>
            <w:shd w:val="clear" w:color="auto" w:fill="99D3F0"/>
            <w:vAlign w:val="center"/>
          </w:tcPr>
          <w:p w14:paraId="5A2513B9" w14:textId="77777777" w:rsidR="008327CA" w:rsidRPr="00961166" w:rsidRDefault="008327CA" w:rsidP="00710AE9">
            <w:pPr>
              <w:pStyle w:val="Body"/>
            </w:pPr>
            <w:r>
              <w:rPr>
                <w:noProof/>
              </w:rPr>
              <w:drawing>
                <wp:inline distT="0" distB="0" distL="0" distR="0" wp14:anchorId="5FD48932" wp14:editId="60121AE0">
                  <wp:extent cx="540000" cy="5400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B72849C" w14:textId="77777777" w:rsidR="008327CA" w:rsidRPr="00961166" w:rsidRDefault="008327CA" w:rsidP="00710AE9">
            <w:pPr>
              <w:pStyle w:val="Tablecolhead"/>
              <w:rPr>
                <w:color w:val="auto"/>
              </w:rPr>
            </w:pPr>
            <w:r w:rsidRPr="79ACB399">
              <w:rPr>
                <w:color w:val="auto"/>
              </w:rPr>
              <w:t>Coordinator tasks</w:t>
            </w:r>
          </w:p>
          <w:p w14:paraId="53563DCC" w14:textId="494DC5B8" w:rsidR="008327CA" w:rsidRPr="00961166" w:rsidRDefault="17E6E840" w:rsidP="00740A47">
            <w:pPr>
              <w:pStyle w:val="Bullet1"/>
            </w:pPr>
            <w:r>
              <w:t xml:space="preserve">monitor completion of </w:t>
            </w:r>
            <w:r w:rsidR="00996A3D">
              <w:t>ISPs</w:t>
            </w:r>
            <w:r w:rsidR="008327CA">
              <w:t xml:space="preserve"> within six weeks of a </w:t>
            </w:r>
            <w:r w:rsidR="00C27703">
              <w:t xml:space="preserve">client </w:t>
            </w:r>
            <w:r w:rsidR="008327CA">
              <w:t>having provided consent</w:t>
            </w:r>
          </w:p>
          <w:p w14:paraId="058C2B67" w14:textId="00F5B73D" w:rsidR="008327CA" w:rsidRDefault="008327CA" w:rsidP="00740A47">
            <w:pPr>
              <w:pStyle w:val="Bullet1"/>
            </w:pPr>
            <w:r>
              <w:t xml:space="preserve">update SharePoint client database, ensuring the initial </w:t>
            </w:r>
            <w:r w:rsidR="00996A3D">
              <w:t>ISP</w:t>
            </w:r>
            <w:r>
              <w:t xml:space="preserve"> date is recorded</w:t>
            </w:r>
          </w:p>
          <w:p w14:paraId="36096550" w14:textId="77777777" w:rsidR="00130F6C" w:rsidRDefault="16515DEE" w:rsidP="00740A47">
            <w:pPr>
              <w:pStyle w:val="Bullet1"/>
            </w:pPr>
            <w:r>
              <w:t xml:space="preserve">supply AOS provider with </w:t>
            </w:r>
            <w:r w:rsidR="00103E35">
              <w:t xml:space="preserve">required panel </w:t>
            </w:r>
            <w:r>
              <w:t>documents</w:t>
            </w:r>
          </w:p>
          <w:p w14:paraId="2E8D8EE1" w14:textId="607CFD2C" w:rsidR="008327CA" w:rsidRPr="007B2296" w:rsidRDefault="00103E35" w:rsidP="00740A47">
            <w:pPr>
              <w:pStyle w:val="Bullet1"/>
            </w:pPr>
            <w:r>
              <w:t>support the AOS provider to prepare for panel</w:t>
            </w:r>
            <w:r w:rsidR="00C27703">
              <w:t xml:space="preserve"> if/when required</w:t>
            </w:r>
            <w:r w:rsidR="008F32F4">
              <w:t>.</w:t>
            </w:r>
            <w:r w:rsidR="16515DEE">
              <w:t xml:space="preserve"> </w:t>
            </w:r>
          </w:p>
        </w:tc>
      </w:tr>
    </w:tbl>
    <w:p w14:paraId="023564C1" w14:textId="6DA95350" w:rsidR="00BC45CE" w:rsidRPr="00487C87" w:rsidRDefault="009B3853" w:rsidP="003C3A7D">
      <w:pPr>
        <w:pStyle w:val="Heading2"/>
      </w:pPr>
      <w:bookmarkStart w:id="178" w:name="_Toc145318593"/>
      <w:r w:rsidRPr="00487C87">
        <w:t>6.10</w:t>
      </w:r>
      <w:r w:rsidR="00A73F81">
        <w:tab/>
      </w:r>
      <w:r w:rsidR="00BC45CE" w:rsidRPr="00487C87">
        <w:t>Engagement Pla</w:t>
      </w:r>
      <w:r w:rsidR="00BC45CE">
        <w:t>n</w:t>
      </w:r>
      <w:bookmarkEnd w:id="178"/>
      <w:r w:rsidR="00BC45CE">
        <w:t xml:space="preserve"> </w:t>
      </w:r>
      <w:bookmarkEnd w:id="174"/>
      <w:bookmarkEnd w:id="175"/>
    </w:p>
    <w:p w14:paraId="5566EEA5" w14:textId="52809D54" w:rsidR="00BC45CE" w:rsidRPr="00EE3F06" w:rsidRDefault="008F32F4" w:rsidP="79ACB399">
      <w:pPr>
        <w:pStyle w:val="Body"/>
      </w:pPr>
      <w:r>
        <w:rPr>
          <w:lang w:val="en-US"/>
        </w:rPr>
        <w:t xml:space="preserve">Where a </w:t>
      </w:r>
      <w:r w:rsidR="00F87B00">
        <w:rPr>
          <w:lang w:val="en-US"/>
        </w:rPr>
        <w:t>person has</w:t>
      </w:r>
      <w:r w:rsidR="00A410C0">
        <w:rPr>
          <w:lang w:val="en-US"/>
        </w:rPr>
        <w:t xml:space="preserve"> not provided consent </w:t>
      </w:r>
      <w:r w:rsidR="00F87B00">
        <w:rPr>
          <w:lang w:val="en-US"/>
        </w:rPr>
        <w:t xml:space="preserve">for AOS, but is recommended for the </w:t>
      </w:r>
      <w:r w:rsidR="00C27703">
        <w:rPr>
          <w:lang w:val="en-US"/>
        </w:rPr>
        <w:t>AOS</w:t>
      </w:r>
      <w:r w:rsidR="00F87B00">
        <w:rPr>
          <w:lang w:val="en-US"/>
        </w:rPr>
        <w:t xml:space="preserve">, </w:t>
      </w:r>
      <w:r w:rsidR="00C27703">
        <w:rPr>
          <w:lang w:val="en-US"/>
        </w:rPr>
        <w:t xml:space="preserve">the </w:t>
      </w:r>
      <w:r w:rsidR="508C7071" w:rsidRPr="79ACB399">
        <w:rPr>
          <w:lang w:val="en-US"/>
        </w:rPr>
        <w:t xml:space="preserve">AOS provider will </w:t>
      </w:r>
      <w:r w:rsidR="001142A4">
        <w:rPr>
          <w:lang w:val="en-US"/>
        </w:rPr>
        <w:t>create an</w:t>
      </w:r>
      <w:r w:rsidR="54BE2B2A" w:rsidRPr="79ACB399">
        <w:rPr>
          <w:lang w:val="en-US"/>
        </w:rPr>
        <w:t xml:space="preserve"> Engagement Plan </w:t>
      </w:r>
      <w:r w:rsidR="007952ED">
        <w:rPr>
          <w:lang w:val="en-US"/>
        </w:rPr>
        <w:t>(EP)</w:t>
      </w:r>
      <w:r w:rsidR="48922071" w:rsidRPr="79ACB399">
        <w:rPr>
          <w:lang w:val="en-US"/>
        </w:rPr>
        <w:t xml:space="preserve"> within </w:t>
      </w:r>
      <w:r w:rsidR="00667CE0">
        <w:rPr>
          <w:lang w:val="en-US"/>
        </w:rPr>
        <w:t>two</w:t>
      </w:r>
      <w:r w:rsidR="48922071" w:rsidRPr="79ACB399">
        <w:rPr>
          <w:lang w:val="en-US"/>
        </w:rPr>
        <w:t xml:space="preserve"> weeks of allocation</w:t>
      </w:r>
      <w:r w:rsidR="00933803">
        <w:rPr>
          <w:lang w:val="en-US"/>
        </w:rPr>
        <w:t xml:space="preserve">. </w:t>
      </w:r>
      <w:r w:rsidR="009B29D1">
        <w:rPr>
          <w:lang w:val="en-US"/>
        </w:rPr>
        <w:t>This plan details t</w:t>
      </w:r>
      <w:r w:rsidR="115A3EB0" w:rsidRPr="79ACB399">
        <w:rPr>
          <w:lang w:val="en-US"/>
        </w:rPr>
        <w:t>ailored</w:t>
      </w:r>
      <w:r w:rsidR="009B29D1">
        <w:rPr>
          <w:lang w:val="en-US"/>
        </w:rPr>
        <w:t>, creative</w:t>
      </w:r>
      <w:r w:rsidR="54BE2B2A" w:rsidRPr="79ACB399">
        <w:rPr>
          <w:lang w:val="en-US"/>
        </w:rPr>
        <w:t xml:space="preserve"> </w:t>
      </w:r>
      <w:r w:rsidR="009B29D1">
        <w:rPr>
          <w:lang w:val="en-US"/>
        </w:rPr>
        <w:t xml:space="preserve">strategies for communication and </w:t>
      </w:r>
      <w:r w:rsidR="54BE2B2A" w:rsidRPr="00EE3F06">
        <w:t xml:space="preserve">engagement for </w:t>
      </w:r>
      <w:r w:rsidR="009B29D1" w:rsidRPr="00EE3F06">
        <w:t xml:space="preserve">each </w:t>
      </w:r>
      <w:r w:rsidR="00C27703" w:rsidRPr="00EE3F06">
        <w:t xml:space="preserve">client of </w:t>
      </w:r>
      <w:r w:rsidR="009B29D1" w:rsidRPr="00EE3F06">
        <w:t xml:space="preserve">AOS. </w:t>
      </w:r>
      <w:r w:rsidR="00933803" w:rsidRPr="00EE3F06">
        <w:t>A</w:t>
      </w:r>
      <w:r w:rsidR="54BE2B2A" w:rsidRPr="00EE3F06">
        <w:t xml:space="preserve"> copy of the</w:t>
      </w:r>
      <w:r w:rsidR="7085F46A" w:rsidRPr="00EE3F06">
        <w:t xml:space="preserve"> </w:t>
      </w:r>
      <w:r w:rsidR="00996A3D" w:rsidRPr="00EE3F06">
        <w:t>EP</w:t>
      </w:r>
      <w:r w:rsidR="7085F46A" w:rsidRPr="00EE3F06">
        <w:t xml:space="preserve"> will be provided to the Complex Needs Coordinator.</w:t>
      </w:r>
      <w:r w:rsidR="00BC45CE" w:rsidRPr="00EE3F06">
        <w:t xml:space="preserve"> </w:t>
      </w:r>
    </w:p>
    <w:p w14:paraId="7A00AC1B" w14:textId="20226298" w:rsidR="00BC7B95" w:rsidRDefault="00BC45CE" w:rsidP="79ACB399">
      <w:pPr>
        <w:pStyle w:val="Body"/>
        <w:rPr>
          <w:lang w:val="en-US"/>
        </w:rPr>
      </w:pPr>
      <w:r w:rsidRPr="00EE3F06">
        <w:t>E</w:t>
      </w:r>
      <w:r w:rsidR="00996A3D" w:rsidRPr="00EE3F06">
        <w:t>Ps</w:t>
      </w:r>
      <w:r w:rsidRPr="00EE3F06">
        <w:t xml:space="preserve"> </w:t>
      </w:r>
      <w:r w:rsidR="005D25EB" w:rsidRPr="00EE3F06">
        <w:t>are</w:t>
      </w:r>
      <w:r w:rsidR="41BB5BDF" w:rsidRPr="00EE3F06">
        <w:t xml:space="preserve"> a </w:t>
      </w:r>
      <w:r w:rsidR="005D25EB" w:rsidRPr="00EE3F06">
        <w:t>‘live’</w:t>
      </w:r>
      <w:r w:rsidR="41BB5BDF" w:rsidRPr="00EE3F06">
        <w:t xml:space="preserve"> document for </w:t>
      </w:r>
      <w:r w:rsidR="005F7CE6" w:rsidRPr="00EE3F06">
        <w:t>the engagement</w:t>
      </w:r>
      <w:r w:rsidR="00D602DC" w:rsidRPr="00EE3F06">
        <w:t xml:space="preserve">/assertive outreach </w:t>
      </w:r>
      <w:r w:rsidR="005F7CE6" w:rsidRPr="00EE3F06">
        <w:t xml:space="preserve">phase </w:t>
      </w:r>
      <w:r w:rsidR="005D25EB" w:rsidRPr="00EE3F06">
        <w:t>of</w:t>
      </w:r>
      <w:r w:rsidR="41BB5BDF" w:rsidRPr="00EE3F06">
        <w:t xml:space="preserve"> AOS </w:t>
      </w:r>
      <w:r w:rsidR="005D25EB" w:rsidRPr="00EE3F06">
        <w:t>service provision</w:t>
      </w:r>
      <w:r w:rsidR="00C27703" w:rsidRPr="00EE3F06">
        <w:t xml:space="preserve"> </w:t>
      </w:r>
      <w:r w:rsidR="001F5665" w:rsidRPr="00EE3F06">
        <w:t xml:space="preserve">until </w:t>
      </w:r>
      <w:r w:rsidR="00C27703" w:rsidRPr="00EE3F06">
        <w:t>the client</w:t>
      </w:r>
      <w:r w:rsidR="001F5665" w:rsidRPr="00EE3F06">
        <w:t xml:space="preserve"> </w:t>
      </w:r>
      <w:r w:rsidR="40F626AD" w:rsidRPr="00EE3F06">
        <w:t>provides consent</w:t>
      </w:r>
      <w:r w:rsidR="00C27703" w:rsidRPr="00EE3F06">
        <w:t xml:space="preserve">. Following consent provision, </w:t>
      </w:r>
      <w:r w:rsidR="40F626AD" w:rsidRPr="00EE3F06">
        <w:t>the</w:t>
      </w:r>
      <w:r w:rsidR="40F626AD" w:rsidRPr="79ACB399">
        <w:rPr>
          <w:lang w:val="en-US"/>
        </w:rPr>
        <w:t xml:space="preserve"> AOS provider </w:t>
      </w:r>
      <w:r w:rsidR="00D602DC">
        <w:rPr>
          <w:lang w:val="en-US"/>
        </w:rPr>
        <w:t>can</w:t>
      </w:r>
      <w:r w:rsidR="001F5665">
        <w:rPr>
          <w:lang w:val="en-US"/>
        </w:rPr>
        <w:t xml:space="preserve"> commence</w:t>
      </w:r>
      <w:r w:rsidR="40F626AD" w:rsidRPr="79ACB399">
        <w:rPr>
          <w:lang w:val="en-US"/>
        </w:rPr>
        <w:t xml:space="preserve"> </w:t>
      </w:r>
      <w:r w:rsidR="00C27703">
        <w:rPr>
          <w:lang w:val="en-US"/>
        </w:rPr>
        <w:t>i</w:t>
      </w:r>
      <w:r w:rsidR="40F626AD" w:rsidRPr="79ACB399">
        <w:rPr>
          <w:lang w:val="en-US"/>
        </w:rPr>
        <w:t xml:space="preserve">ndividual </w:t>
      </w:r>
      <w:r w:rsidR="00C27703">
        <w:rPr>
          <w:lang w:val="en-US"/>
        </w:rPr>
        <w:t>s</w:t>
      </w:r>
      <w:r w:rsidR="40F626AD" w:rsidRPr="79ACB399">
        <w:rPr>
          <w:lang w:val="en-US"/>
        </w:rPr>
        <w:t xml:space="preserve">upport </w:t>
      </w:r>
      <w:r w:rsidR="00C27703">
        <w:rPr>
          <w:lang w:val="en-US"/>
        </w:rPr>
        <w:t>p</w:t>
      </w:r>
      <w:r w:rsidR="40F626AD" w:rsidRPr="79ACB399">
        <w:rPr>
          <w:lang w:val="en-US"/>
        </w:rPr>
        <w:t>lanning</w:t>
      </w:r>
      <w:r w:rsidRPr="79ACB399">
        <w:rPr>
          <w:lang w:val="en-US"/>
        </w:rPr>
        <w:t>. Where the</w:t>
      </w:r>
      <w:r w:rsidRPr="79ACB399" w:rsidDel="00A36621">
        <w:rPr>
          <w:lang w:val="en-US"/>
        </w:rPr>
        <w:t xml:space="preserve"> </w:t>
      </w:r>
      <w:r w:rsidR="00A36621">
        <w:rPr>
          <w:lang w:val="en-US"/>
        </w:rPr>
        <w:t>engagement</w:t>
      </w:r>
      <w:r w:rsidR="00A36621" w:rsidRPr="79ACB399">
        <w:rPr>
          <w:lang w:val="en-US"/>
        </w:rPr>
        <w:t xml:space="preserve"> </w:t>
      </w:r>
      <w:r w:rsidRPr="79ACB399">
        <w:rPr>
          <w:lang w:val="en-US"/>
        </w:rPr>
        <w:t>strateg</w:t>
      </w:r>
      <w:r w:rsidR="00A36621">
        <w:rPr>
          <w:lang w:val="en-US"/>
        </w:rPr>
        <w:t>ies</w:t>
      </w:r>
      <w:r w:rsidRPr="79ACB399">
        <w:rPr>
          <w:lang w:val="en-US"/>
        </w:rPr>
        <w:t xml:space="preserve"> set out in the </w:t>
      </w:r>
      <w:r w:rsidR="00996A3D">
        <w:rPr>
          <w:lang w:val="en-US"/>
        </w:rPr>
        <w:t>EP</w:t>
      </w:r>
      <w:r w:rsidRPr="79ACB399">
        <w:rPr>
          <w:lang w:val="en-US"/>
        </w:rPr>
        <w:t xml:space="preserve"> </w:t>
      </w:r>
      <w:r w:rsidR="0405ED1C" w:rsidRPr="79ACB399">
        <w:rPr>
          <w:lang w:val="en-US"/>
        </w:rPr>
        <w:t>ha</w:t>
      </w:r>
      <w:r w:rsidR="00FF48A3">
        <w:rPr>
          <w:lang w:val="en-US"/>
        </w:rPr>
        <w:t>ve</w:t>
      </w:r>
      <w:r w:rsidR="0405ED1C" w:rsidRPr="79ACB399">
        <w:rPr>
          <w:lang w:val="en-US"/>
        </w:rPr>
        <w:t xml:space="preserve"> not resulted in client consent</w:t>
      </w:r>
      <w:r w:rsidRPr="79ACB399">
        <w:rPr>
          <w:lang w:val="en-US"/>
        </w:rPr>
        <w:t xml:space="preserve">, the </w:t>
      </w:r>
      <w:r w:rsidR="00C27703">
        <w:rPr>
          <w:lang w:val="en-US"/>
        </w:rPr>
        <w:t xml:space="preserve">AOS </w:t>
      </w:r>
      <w:r w:rsidRPr="79ACB399">
        <w:rPr>
          <w:lang w:val="en-US"/>
        </w:rPr>
        <w:t>provider will</w:t>
      </w:r>
      <w:r w:rsidR="78940CC1" w:rsidRPr="79ACB399">
        <w:rPr>
          <w:lang w:val="en-US"/>
        </w:rPr>
        <w:t xml:space="preserve"> review, </w:t>
      </w:r>
      <w:r w:rsidR="01C5B087" w:rsidRPr="79ACB399">
        <w:rPr>
          <w:lang w:val="en-US"/>
        </w:rPr>
        <w:t>refine,</w:t>
      </w:r>
      <w:r w:rsidR="78940CC1" w:rsidRPr="79ACB399">
        <w:rPr>
          <w:lang w:val="en-US"/>
        </w:rPr>
        <w:t xml:space="preserve"> and adjust the </w:t>
      </w:r>
      <w:r w:rsidR="00996A3D">
        <w:rPr>
          <w:lang w:val="en-US"/>
        </w:rPr>
        <w:t>EP</w:t>
      </w:r>
      <w:r w:rsidR="78940CC1" w:rsidRPr="79ACB399">
        <w:rPr>
          <w:lang w:val="en-US"/>
        </w:rPr>
        <w:t xml:space="preserve"> as necessary</w:t>
      </w:r>
      <w:r w:rsidR="007B2DFE">
        <w:rPr>
          <w:lang w:val="en-US"/>
        </w:rPr>
        <w:t>. T</w:t>
      </w:r>
      <w:r w:rsidR="78940CC1" w:rsidRPr="79ACB399">
        <w:rPr>
          <w:lang w:val="en-US"/>
        </w:rPr>
        <w:t>he AOS provider may seek advice from within their organisation and</w:t>
      </w:r>
      <w:r w:rsidRPr="79ACB399">
        <w:rPr>
          <w:lang w:val="en-US"/>
        </w:rPr>
        <w:t xml:space="preserve"> use the </w:t>
      </w:r>
      <w:r w:rsidR="00C27703">
        <w:rPr>
          <w:lang w:val="en-US"/>
        </w:rPr>
        <w:t xml:space="preserve">Complex Needs Coordinator and/or </w:t>
      </w:r>
      <w:r w:rsidR="00996A3D">
        <w:rPr>
          <w:lang w:val="en-US"/>
        </w:rPr>
        <w:t>OMG</w:t>
      </w:r>
      <w:r w:rsidRPr="79ACB399">
        <w:rPr>
          <w:lang w:val="en-US"/>
        </w:rPr>
        <w:t xml:space="preserve"> to </w:t>
      </w:r>
      <w:r w:rsidR="6921E5A3" w:rsidRPr="79ACB399">
        <w:rPr>
          <w:lang w:val="en-US"/>
        </w:rPr>
        <w:t>discuss</w:t>
      </w:r>
      <w:r w:rsidRPr="79ACB399">
        <w:rPr>
          <w:lang w:val="en-US"/>
        </w:rPr>
        <w:t xml:space="preserve">. </w:t>
      </w:r>
    </w:p>
    <w:p w14:paraId="09DF9B99" w14:textId="55914AB8" w:rsidR="00861E24" w:rsidRDefault="00861E24" w:rsidP="00130F6C">
      <w:pPr>
        <w:pStyle w:val="Body"/>
        <w:rPr>
          <w:lang w:val="en-US"/>
        </w:rPr>
      </w:pPr>
      <w:r w:rsidRPr="00667CE0">
        <w:t xml:space="preserve">During the EP implementation, AOS providers will update the Complex Needs Coordinator on the progress of AOS clients, including regular check-ins, risks relating to the person and any other presenting issues. </w:t>
      </w:r>
      <w:r>
        <w:t xml:space="preserve">AOS providers may seek </w:t>
      </w:r>
      <w:r w:rsidRPr="00667CE0">
        <w:t xml:space="preserve">information and practice advice, system navigation, </w:t>
      </w:r>
      <w:r w:rsidRPr="00667CE0">
        <w:lastRenderedPageBreak/>
        <w:t xml:space="preserve">problem solving and </w:t>
      </w:r>
      <w:r w:rsidRPr="00130F6C">
        <w:t>capacity</w:t>
      </w:r>
      <w:r w:rsidRPr="00667CE0">
        <w:t xml:space="preserve"> building</w:t>
      </w:r>
      <w:r>
        <w:t xml:space="preserve"> through this period</w:t>
      </w:r>
      <w:r w:rsidRPr="00667CE0">
        <w:t xml:space="preserve">. This support may be sought on a </w:t>
      </w:r>
      <w:r w:rsidR="00C852A5">
        <w:t xml:space="preserve">one to one </w:t>
      </w:r>
      <w:r w:rsidRPr="00667CE0">
        <w:t>basis between the AOS provider and the Complex Needs Coordinator, or as part of the broader discussion and regular updates at the OMG. AOS providers will update the OMG on the progress of active EPs with a view to review and refine the engagement strategy.</w:t>
      </w:r>
    </w:p>
    <w:p w14:paraId="5748905C" w14:textId="09CC9E3F" w:rsidR="002B56B1" w:rsidRDefault="00BC45CE" w:rsidP="79ACB399">
      <w:pPr>
        <w:pStyle w:val="Body"/>
        <w:rPr>
          <w:lang w:val="en-US"/>
        </w:rPr>
      </w:pPr>
      <w:r w:rsidRPr="79ACB399">
        <w:rPr>
          <w:lang w:val="en-US"/>
        </w:rPr>
        <w:t>If the</w:t>
      </w:r>
      <w:r w:rsidR="003D328E">
        <w:rPr>
          <w:lang w:val="en-US"/>
        </w:rPr>
        <w:t xml:space="preserve"> </w:t>
      </w:r>
      <w:r w:rsidR="00A66CFE">
        <w:rPr>
          <w:lang w:val="en-US"/>
        </w:rPr>
        <w:t xml:space="preserve">AOS provider </w:t>
      </w:r>
      <w:r w:rsidR="003D328E">
        <w:rPr>
          <w:lang w:val="en-US"/>
        </w:rPr>
        <w:t xml:space="preserve">has been </w:t>
      </w:r>
      <w:r w:rsidR="006B230C">
        <w:rPr>
          <w:lang w:val="en-US"/>
        </w:rPr>
        <w:t>un</w:t>
      </w:r>
      <w:r w:rsidR="003D328E">
        <w:rPr>
          <w:lang w:val="en-US"/>
        </w:rPr>
        <w:t xml:space="preserve">successful in obtaining consent </w:t>
      </w:r>
      <w:r w:rsidRPr="79ACB399">
        <w:rPr>
          <w:lang w:val="en-US"/>
        </w:rPr>
        <w:t xml:space="preserve">within six weeks of the </w:t>
      </w:r>
      <w:r w:rsidR="008404E4">
        <w:rPr>
          <w:lang w:val="en-US"/>
        </w:rPr>
        <w:t xml:space="preserve">EP </w:t>
      </w:r>
      <w:r w:rsidRPr="79ACB399">
        <w:rPr>
          <w:lang w:val="en-US"/>
        </w:rPr>
        <w:t>implementation</w:t>
      </w:r>
      <w:r w:rsidR="006B230C">
        <w:rPr>
          <w:lang w:val="en-US"/>
        </w:rPr>
        <w:t>,</w:t>
      </w:r>
      <w:r w:rsidRPr="79ACB399">
        <w:rPr>
          <w:lang w:val="en-US"/>
        </w:rPr>
        <w:t xml:space="preserve"> or if </w:t>
      </w:r>
      <w:r w:rsidR="001E59A1">
        <w:rPr>
          <w:lang w:val="en-US"/>
        </w:rPr>
        <w:t>the AOS provider conside</w:t>
      </w:r>
      <w:r w:rsidR="0073366F">
        <w:rPr>
          <w:lang w:val="en-US"/>
        </w:rPr>
        <w:t xml:space="preserve">rs that continued attempts to engage with the client </w:t>
      </w:r>
      <w:r w:rsidR="00604C20">
        <w:rPr>
          <w:lang w:val="en-US"/>
        </w:rPr>
        <w:t xml:space="preserve">are </w:t>
      </w:r>
      <w:r w:rsidR="00C8697F">
        <w:rPr>
          <w:lang w:val="en-US"/>
        </w:rPr>
        <w:t xml:space="preserve">increasing </w:t>
      </w:r>
      <w:r w:rsidR="00BA7BC9">
        <w:rPr>
          <w:lang w:val="en-US"/>
        </w:rPr>
        <w:t xml:space="preserve">the risk </w:t>
      </w:r>
      <w:r w:rsidR="00346159">
        <w:rPr>
          <w:lang w:val="en-US"/>
        </w:rPr>
        <w:t>of harm to others</w:t>
      </w:r>
      <w:r w:rsidR="000E6C3B">
        <w:rPr>
          <w:lang w:val="en-US"/>
        </w:rPr>
        <w:t xml:space="preserve">, escalation to the </w:t>
      </w:r>
      <w:r w:rsidR="006B230C">
        <w:rPr>
          <w:lang w:val="en-US"/>
        </w:rPr>
        <w:t>Complex Needs Panel</w:t>
      </w:r>
      <w:r w:rsidR="001F3A13">
        <w:rPr>
          <w:lang w:val="en-US"/>
        </w:rPr>
        <w:t xml:space="preserve"> should occur. The </w:t>
      </w:r>
      <w:r w:rsidR="00A87969">
        <w:rPr>
          <w:lang w:val="en-US"/>
        </w:rPr>
        <w:t>purpose</w:t>
      </w:r>
      <w:r w:rsidR="001F3A13">
        <w:rPr>
          <w:lang w:val="en-US"/>
        </w:rPr>
        <w:t xml:space="preserve"> of this escalation is to seek </w:t>
      </w:r>
      <w:r w:rsidR="00A87969">
        <w:rPr>
          <w:lang w:val="en-US"/>
        </w:rPr>
        <w:t xml:space="preserve">advice about whether </w:t>
      </w:r>
      <w:r w:rsidR="00DF7A9F">
        <w:rPr>
          <w:lang w:val="en-US"/>
        </w:rPr>
        <w:t xml:space="preserve">there is benefit in the AOS provider </w:t>
      </w:r>
      <w:r w:rsidR="001A3E2B">
        <w:rPr>
          <w:lang w:val="en-US"/>
        </w:rPr>
        <w:t xml:space="preserve">continuing to attempt engaging with the person or if the case should be closed and the person referred to a different </w:t>
      </w:r>
      <w:r w:rsidR="006B230C">
        <w:rPr>
          <w:lang w:val="en-US"/>
        </w:rPr>
        <w:t>service r</w:t>
      </w:r>
      <w:r w:rsidR="001A3E2B">
        <w:rPr>
          <w:lang w:val="en-US"/>
        </w:rPr>
        <w:t>esponse</w:t>
      </w:r>
      <w:r w:rsidR="008C2D02">
        <w:rPr>
          <w:lang w:val="en-US"/>
        </w:rPr>
        <w:t>.</w:t>
      </w:r>
    </w:p>
    <w:p w14:paraId="280213A7" w14:textId="65E6A60A" w:rsidR="00BC45CE" w:rsidRDefault="00816994" w:rsidP="00C852A5">
      <w:pPr>
        <w:pStyle w:val="Body"/>
        <w:rPr>
          <w:rStyle w:val="BodyChar"/>
        </w:rPr>
      </w:pPr>
      <w:r w:rsidRPr="00667CE0">
        <w:t xml:space="preserve">The Complex Needs Coordinator will </w:t>
      </w:r>
      <w:r w:rsidRPr="00C852A5">
        <w:t>support</w:t>
      </w:r>
      <w:r w:rsidRPr="00667CE0">
        <w:t xml:space="preserve"> the AOS provider with access to forms and templates required to be presented to panel, a</w:t>
      </w:r>
      <w:r w:rsidRPr="00EE3F06">
        <w:rPr>
          <w:rStyle w:val="BodyChar"/>
        </w:rPr>
        <w:t>nd if required additional guidance to prepare and support the AOS presentation at the Panel</w:t>
      </w:r>
      <w:r w:rsidR="00FE1402" w:rsidRPr="00EE3F06">
        <w:rPr>
          <w:rStyle w:val="BodyChar"/>
        </w:rPr>
        <w:t>.</w:t>
      </w:r>
    </w:p>
    <w:p w14:paraId="7AC18B91" w14:textId="77777777" w:rsidR="00F1152B" w:rsidRPr="00EE3F06" w:rsidRDefault="00F1152B" w:rsidP="00667CE0">
      <w:pPr>
        <w:spacing w:line="270" w:lineRule="atLeast"/>
        <w:rPr>
          <w:rStyle w:val="BodyCh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C45CE" w14:paraId="13A56926" w14:textId="77777777" w:rsidTr="7DAFCD5E">
        <w:tc>
          <w:tcPr>
            <w:tcW w:w="0" w:type="auto"/>
            <w:shd w:val="clear" w:color="auto" w:fill="CCE9F8"/>
            <w:vAlign w:val="center"/>
          </w:tcPr>
          <w:p w14:paraId="72B8C076" w14:textId="77777777" w:rsidR="00BC45CE" w:rsidRPr="00961166" w:rsidRDefault="00BC45CE" w:rsidP="009104F4">
            <w:pPr>
              <w:pStyle w:val="Body"/>
              <w:spacing w:before="120"/>
              <w:rPr>
                <w:color w:val="FF0000"/>
              </w:rPr>
            </w:pPr>
            <w:r w:rsidRPr="00961166">
              <w:rPr>
                <w:noProof/>
                <w:color w:val="FF0000"/>
              </w:rPr>
              <w:drawing>
                <wp:inline distT="0" distB="0" distL="0" distR="0" wp14:anchorId="411954F5" wp14:editId="319DDFEA">
                  <wp:extent cx="540000" cy="540000"/>
                  <wp:effectExtent l="0" t="0" r="0" b="0"/>
                  <wp:docPr id="304" name="Picture 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34BC640E" w14:textId="77777777" w:rsidR="00BC45CE" w:rsidRPr="00961166" w:rsidRDefault="00BC45CE" w:rsidP="79ACB399">
            <w:pPr>
              <w:pStyle w:val="Tablecolhead"/>
              <w:rPr>
                <w:rFonts w:eastAsia="Arial"/>
                <w:color w:val="auto"/>
              </w:rPr>
            </w:pPr>
            <w:r w:rsidRPr="79ACB399">
              <w:rPr>
                <w:rFonts w:eastAsia="Arial"/>
                <w:color w:val="auto"/>
              </w:rPr>
              <w:t>Documentation required</w:t>
            </w:r>
          </w:p>
          <w:p w14:paraId="3A574A39" w14:textId="21517ACE" w:rsidR="00BC45CE" w:rsidRDefault="00BC45CE" w:rsidP="00740A47">
            <w:pPr>
              <w:pStyle w:val="Bullet1"/>
            </w:pPr>
            <w:r>
              <w:t xml:space="preserve">Engagement Plan </w:t>
            </w:r>
            <w:r w:rsidR="008404E4">
              <w:t xml:space="preserve">Template </w:t>
            </w:r>
            <w:r w:rsidR="6F4A61F0">
              <w:t>(supplied by AOS provider)</w:t>
            </w:r>
          </w:p>
          <w:p w14:paraId="41C73E14" w14:textId="0CEBE4B2" w:rsidR="00BC45CE" w:rsidRPr="00961166" w:rsidRDefault="0058502D" w:rsidP="00740A47">
            <w:pPr>
              <w:pStyle w:val="Bullet1"/>
            </w:pPr>
            <w:r>
              <w:t xml:space="preserve">6n </w:t>
            </w:r>
            <w:r w:rsidR="581E612A">
              <w:t xml:space="preserve">Complex Needs </w:t>
            </w:r>
            <w:r w:rsidR="008404E4">
              <w:t xml:space="preserve">Case Presentation Template </w:t>
            </w:r>
            <w:r w:rsidR="5EC4F7D0">
              <w:t>(if escalated to Complex Needs Area Panel)</w:t>
            </w:r>
          </w:p>
        </w:tc>
      </w:tr>
    </w:tbl>
    <w:p w14:paraId="4BBF8F26" w14:textId="77777777" w:rsidR="00BC45CE" w:rsidRPr="00EE3F06" w:rsidRDefault="00BC45CE" w:rsidP="00BC45CE">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BC45CE" w14:paraId="28CBD491" w14:textId="77777777" w:rsidTr="7DAFCD5E">
        <w:tc>
          <w:tcPr>
            <w:tcW w:w="0" w:type="auto"/>
            <w:shd w:val="clear" w:color="auto" w:fill="99D3F0"/>
            <w:vAlign w:val="center"/>
          </w:tcPr>
          <w:p w14:paraId="0EE3956D" w14:textId="77777777" w:rsidR="00BC45CE" w:rsidRPr="00961166" w:rsidRDefault="00BC45CE" w:rsidP="79ACB399">
            <w:pPr>
              <w:pStyle w:val="Body"/>
            </w:pPr>
            <w:r>
              <w:rPr>
                <w:noProof/>
              </w:rPr>
              <w:drawing>
                <wp:inline distT="0" distB="0" distL="0" distR="0" wp14:anchorId="527B5F64" wp14:editId="10A3D400">
                  <wp:extent cx="540000" cy="540000"/>
                  <wp:effectExtent l="0" t="0" r="0" b="0"/>
                  <wp:docPr id="123" name="Pictur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4BE82A4C" w14:textId="77777777" w:rsidR="00BC45CE" w:rsidRPr="00961166" w:rsidRDefault="00BC45CE" w:rsidP="79ACB399">
            <w:pPr>
              <w:pStyle w:val="Tablecolhead"/>
              <w:rPr>
                <w:color w:val="auto"/>
              </w:rPr>
            </w:pPr>
            <w:r w:rsidRPr="79ACB399">
              <w:rPr>
                <w:color w:val="auto"/>
              </w:rPr>
              <w:t>Coordinator tasks</w:t>
            </w:r>
          </w:p>
          <w:p w14:paraId="642DDA76" w14:textId="6362AD80" w:rsidR="00BC45CE" w:rsidRPr="00961166" w:rsidRDefault="5EC4F7D0" w:rsidP="00740A47">
            <w:pPr>
              <w:pStyle w:val="Bullet1"/>
            </w:pPr>
            <w:r>
              <w:t>monitor completion of</w:t>
            </w:r>
            <w:r w:rsidR="00BC45CE">
              <w:t xml:space="preserve"> </w:t>
            </w:r>
            <w:r w:rsidR="003202BD">
              <w:t>EPs</w:t>
            </w:r>
            <w:r w:rsidR="00BC45CE">
              <w:t xml:space="preserve"> within two weeks of </w:t>
            </w:r>
            <w:r w:rsidR="008404E4">
              <w:t>client</w:t>
            </w:r>
            <w:r w:rsidR="00BC45CE">
              <w:t xml:space="preserve"> commencing </w:t>
            </w:r>
            <w:r w:rsidR="008404E4">
              <w:t>AOS</w:t>
            </w:r>
            <w:r w:rsidR="00BC45CE">
              <w:t>, where they have not yet provided consent</w:t>
            </w:r>
          </w:p>
          <w:p w14:paraId="7406D5AE" w14:textId="77777777" w:rsidR="008404E4" w:rsidRDefault="00BC45CE" w:rsidP="00740A47">
            <w:pPr>
              <w:pStyle w:val="Bullet1"/>
            </w:pPr>
            <w:r>
              <w:t xml:space="preserve">consult with </w:t>
            </w:r>
            <w:r w:rsidR="008404E4">
              <w:t xml:space="preserve">AOS </w:t>
            </w:r>
            <w:r>
              <w:t>provider between implementation and six weeks post implementation</w:t>
            </w:r>
          </w:p>
          <w:p w14:paraId="4E22D694" w14:textId="394F6B2F" w:rsidR="00BC45CE" w:rsidRDefault="008404E4" w:rsidP="00740A47">
            <w:pPr>
              <w:pStyle w:val="Bullet1"/>
            </w:pPr>
            <w:r>
              <w:t xml:space="preserve">provide </w:t>
            </w:r>
            <w:r w:rsidR="002F02D5">
              <w:t xml:space="preserve">client EP progress </w:t>
            </w:r>
            <w:r w:rsidR="6DF25FAC">
              <w:t xml:space="preserve">updates </w:t>
            </w:r>
            <w:r>
              <w:t>to</w:t>
            </w:r>
            <w:r w:rsidR="6DF25FAC">
              <w:t xml:space="preserve"> </w:t>
            </w:r>
            <w:r w:rsidR="2C7C71DE">
              <w:t>O</w:t>
            </w:r>
            <w:r w:rsidR="18D6FEAD">
              <w:t>MG</w:t>
            </w:r>
            <w:r w:rsidR="00BC45CE">
              <w:t xml:space="preserve"> </w:t>
            </w:r>
          </w:p>
          <w:p w14:paraId="674DA550" w14:textId="36111E24" w:rsidR="00BC45CE" w:rsidRPr="007B2296" w:rsidRDefault="00BC45CE" w:rsidP="00740A47">
            <w:pPr>
              <w:pStyle w:val="Bullet1"/>
            </w:pPr>
            <w:r>
              <w:t>update SharePoint client database</w:t>
            </w:r>
            <w:r w:rsidR="0818C973">
              <w:t xml:space="preserve"> with </w:t>
            </w:r>
            <w:r w:rsidR="5C9C3F77">
              <w:t>EP information</w:t>
            </w:r>
            <w:r w:rsidR="0DB6B2A3">
              <w:t>.</w:t>
            </w:r>
          </w:p>
        </w:tc>
      </w:tr>
    </w:tbl>
    <w:p w14:paraId="10513021" w14:textId="323FB309" w:rsidR="00BC45CE" w:rsidRPr="0053309B" w:rsidRDefault="0053309B" w:rsidP="0053309B">
      <w:pPr>
        <w:pStyle w:val="Heading2"/>
      </w:pPr>
      <w:bookmarkStart w:id="179" w:name="_Toc137636754"/>
      <w:bookmarkStart w:id="180" w:name="_Toc125713745"/>
      <w:bookmarkStart w:id="181" w:name="_Toc145318594"/>
      <w:r>
        <w:t>6.11</w:t>
      </w:r>
      <w:r w:rsidR="00A73F81">
        <w:tab/>
      </w:r>
      <w:r w:rsidR="00BC45CE" w:rsidRPr="0053309B">
        <w:t>AOS closure</w:t>
      </w:r>
      <w:bookmarkEnd w:id="179"/>
      <w:bookmarkEnd w:id="181"/>
      <w:r w:rsidR="00BC45CE" w:rsidRPr="0053309B">
        <w:t xml:space="preserve"> </w:t>
      </w:r>
    </w:p>
    <w:p w14:paraId="15B00C7A" w14:textId="2389C194" w:rsidR="00BC45CE" w:rsidRDefault="002C0DAA" w:rsidP="79ACB399">
      <w:pPr>
        <w:rPr>
          <w:rFonts w:eastAsia="Arial" w:cs="Arial"/>
        </w:rPr>
      </w:pPr>
      <w:r>
        <w:rPr>
          <w:rFonts w:eastAsia="Arial" w:cs="Arial"/>
        </w:rPr>
        <w:t>AOS will close service when the client</w:t>
      </w:r>
      <w:r w:rsidR="00BC45CE" w:rsidRPr="00D307F7">
        <w:rPr>
          <w:rFonts w:eastAsia="Arial" w:cs="Arial"/>
        </w:rPr>
        <w:t>:</w:t>
      </w:r>
      <w:r w:rsidR="00BC45CE" w:rsidRPr="00594EEC">
        <w:rPr>
          <w:rFonts w:eastAsia="Arial" w:cs="Arial"/>
        </w:rPr>
        <w:t xml:space="preserve"> </w:t>
      </w:r>
    </w:p>
    <w:p w14:paraId="3C52BEA3" w14:textId="1F4FB35F" w:rsidR="00C5684F" w:rsidRPr="00744AC3" w:rsidRDefault="00C5684F" w:rsidP="00740A47">
      <w:pPr>
        <w:pStyle w:val="Bullet1"/>
      </w:pPr>
      <w:r>
        <w:t xml:space="preserve">achieves </w:t>
      </w:r>
      <w:r w:rsidR="002C0DAA">
        <w:t xml:space="preserve">their </w:t>
      </w:r>
      <w:r w:rsidR="00744AC3">
        <w:t xml:space="preserve">ISP </w:t>
      </w:r>
      <w:r>
        <w:t>goals and is sustainably linked to existing and mainstream services</w:t>
      </w:r>
    </w:p>
    <w:p w14:paraId="6A08CCD0" w14:textId="71D80E6E" w:rsidR="00BA3EE4" w:rsidRDefault="00AE5ADA" w:rsidP="00740A47">
      <w:pPr>
        <w:pStyle w:val="Bullet1"/>
      </w:pPr>
      <w:r>
        <w:t xml:space="preserve">is no longer deriving benefit from AOS </w:t>
      </w:r>
      <w:r w:rsidR="00BA3EE4">
        <w:t>services</w:t>
      </w:r>
      <w:r w:rsidR="00CF3BA2">
        <w:t xml:space="preserve"> and</w:t>
      </w:r>
      <w:r w:rsidR="00A97CFF">
        <w:t>/or</w:t>
      </w:r>
      <w:r w:rsidR="00CF3BA2">
        <w:t xml:space="preserve"> a different service response is required</w:t>
      </w:r>
      <w:r w:rsidR="00744AC3">
        <w:t xml:space="preserve"> (n</w:t>
      </w:r>
      <w:r w:rsidR="003B452A" w:rsidRPr="00744AC3">
        <w:t>ote</w:t>
      </w:r>
      <w:r w:rsidR="00744AC3">
        <w:t>:</w:t>
      </w:r>
      <w:r w:rsidR="002E3621">
        <w:t xml:space="preserve"> transition to </w:t>
      </w:r>
      <w:r w:rsidR="003B452A" w:rsidRPr="00744AC3">
        <w:t>the alternate</w:t>
      </w:r>
      <w:r w:rsidR="002E3621">
        <w:t xml:space="preserve"> response </w:t>
      </w:r>
      <w:r w:rsidR="00BA6A56">
        <w:t>should occur prior to closure</w:t>
      </w:r>
      <w:r w:rsidR="00744AC3">
        <w:t>)</w:t>
      </w:r>
    </w:p>
    <w:p w14:paraId="441ECDC6" w14:textId="6E71B632" w:rsidR="00C5684F" w:rsidRPr="00744AC3" w:rsidRDefault="003B452A" w:rsidP="00740A47">
      <w:pPr>
        <w:pStyle w:val="Bullet1"/>
      </w:pPr>
      <w:r w:rsidRPr="00744AC3">
        <w:t>withdraws consent</w:t>
      </w:r>
      <w:r w:rsidR="00286326">
        <w:t xml:space="preserve"> after ISP commenced and repeated attempts to re-engage and panel </w:t>
      </w:r>
      <w:r w:rsidR="002064BD">
        <w:t>endorses/recommends</w:t>
      </w:r>
      <w:r w:rsidR="00286326">
        <w:t xml:space="preserve"> closure and </w:t>
      </w:r>
      <w:r w:rsidR="00C36FC6">
        <w:t>an alternate</w:t>
      </w:r>
      <w:r w:rsidR="00286326">
        <w:t xml:space="preserve"> service response</w:t>
      </w:r>
    </w:p>
    <w:p w14:paraId="45947550" w14:textId="76B56B2F" w:rsidR="00286326" w:rsidRPr="00744AC3" w:rsidRDefault="002C0DAA" w:rsidP="00C852A5">
      <w:pPr>
        <w:pStyle w:val="lastbullett"/>
      </w:pPr>
      <w:r>
        <w:t xml:space="preserve">does not consent </w:t>
      </w:r>
      <w:r w:rsidR="00286326">
        <w:t xml:space="preserve">after 6 weeks, attempted engagement </w:t>
      </w:r>
      <w:r w:rsidR="00C36FC6">
        <w:t xml:space="preserve">is </w:t>
      </w:r>
      <w:r w:rsidR="00286326">
        <w:t xml:space="preserve">increasing risk and panel </w:t>
      </w:r>
      <w:r w:rsidR="002064BD">
        <w:t>endorses</w:t>
      </w:r>
      <w:r w:rsidR="007B16D1">
        <w:t>/</w:t>
      </w:r>
      <w:r w:rsidR="00286326">
        <w:t xml:space="preserve">recommends closure and </w:t>
      </w:r>
      <w:r w:rsidR="00C36FC6">
        <w:t>an alternate</w:t>
      </w:r>
      <w:r w:rsidR="00286326">
        <w:t xml:space="preserve"> service response.</w:t>
      </w:r>
    </w:p>
    <w:p w14:paraId="1F15F265" w14:textId="27F8BE4F" w:rsidR="00BC45CE" w:rsidRPr="00343D25" w:rsidRDefault="003B452A" w:rsidP="00C36FC6">
      <w:pPr>
        <w:pStyle w:val="Bodyafterbullets"/>
      </w:pPr>
      <w:r w:rsidRPr="00D307F7">
        <w:t xml:space="preserve">The AOS provider recommends to the Complex Needs </w:t>
      </w:r>
      <w:r w:rsidR="002C0DAA">
        <w:t xml:space="preserve">Coordinator </w:t>
      </w:r>
      <w:r w:rsidRPr="00D307F7">
        <w:t>the timing of AOS client</w:t>
      </w:r>
      <w:r w:rsidR="002C0DAA">
        <w:t>’</w:t>
      </w:r>
      <w:r w:rsidRPr="00D307F7">
        <w:t xml:space="preserve">s transition to closure. </w:t>
      </w:r>
      <w:r w:rsidR="00126B4F">
        <w:t>In liaison with t</w:t>
      </w:r>
      <w:r w:rsidR="00BC45CE" w:rsidRPr="00343D25">
        <w:t xml:space="preserve">he </w:t>
      </w:r>
      <w:r w:rsidR="00126B4F">
        <w:t xml:space="preserve">Complex Needs Coordinator, the </w:t>
      </w:r>
      <w:r w:rsidR="00807D06" w:rsidRPr="00343D25">
        <w:t>AOS provider</w:t>
      </w:r>
      <w:r w:rsidR="002C0DAA">
        <w:t xml:space="preserve"> develops</w:t>
      </w:r>
      <w:r w:rsidR="00BC45CE" w:rsidRPr="00343D25">
        <w:t xml:space="preserve"> a closure report to assist with the final review of the </w:t>
      </w:r>
      <w:r w:rsidR="00E81285" w:rsidRPr="00343D25">
        <w:t>AOS period of support</w:t>
      </w:r>
      <w:r w:rsidR="00BC45CE" w:rsidRPr="00343D25">
        <w:t xml:space="preserve">. </w:t>
      </w:r>
    </w:p>
    <w:p w14:paraId="531E305B" w14:textId="77777777" w:rsidR="00994E47" w:rsidRDefault="00994E47" w:rsidP="00994E47">
      <w:pPr>
        <w:pStyle w:val="Body"/>
        <w:rPr>
          <w:rFonts w:eastAsia="Arial" w:cs="Arial"/>
        </w:rPr>
      </w:pPr>
      <w:r>
        <w:rPr>
          <w:rFonts w:eastAsia="Arial" w:cs="Arial"/>
        </w:rPr>
        <w:t xml:space="preserve">If a client is continuing to present unacceptable risk to others </w:t>
      </w:r>
      <w:r w:rsidRPr="005C44D1">
        <w:t>but no longer require</w:t>
      </w:r>
      <w:r>
        <w:t>s</w:t>
      </w:r>
      <w:r w:rsidRPr="005C44D1">
        <w:t xml:space="preserve"> or will </w:t>
      </w:r>
      <w:r>
        <w:t xml:space="preserve">derive </w:t>
      </w:r>
      <w:r w:rsidRPr="005C44D1">
        <w:t>benefit from AOS</w:t>
      </w:r>
      <w:r>
        <w:t xml:space="preserve"> </w:t>
      </w:r>
      <w:r>
        <w:rPr>
          <w:rFonts w:eastAsia="Arial" w:cs="Arial"/>
        </w:rPr>
        <w:t>at the time closure is recommended, the closure report will be presented to panel.</w:t>
      </w:r>
    </w:p>
    <w:p w14:paraId="2800DAA8" w14:textId="4CBB4D91" w:rsidR="00BC45CE" w:rsidRDefault="00BC45CE" w:rsidP="00C36FC6">
      <w:pPr>
        <w:pStyle w:val="Body"/>
        <w:rPr>
          <w:rFonts w:eastAsia="Arial" w:cs="Arial"/>
        </w:rPr>
      </w:pPr>
      <w:r w:rsidRPr="00343D25">
        <w:rPr>
          <w:rFonts w:eastAsia="Arial" w:cs="Arial"/>
        </w:rPr>
        <w:lastRenderedPageBreak/>
        <w:t xml:space="preserve">The </w:t>
      </w:r>
      <w:r w:rsidR="002C0DAA">
        <w:rPr>
          <w:rFonts w:eastAsia="Arial" w:cs="Arial"/>
        </w:rPr>
        <w:t xml:space="preserve">closure </w:t>
      </w:r>
      <w:r w:rsidRPr="00343D25">
        <w:rPr>
          <w:rFonts w:eastAsia="Arial" w:cs="Arial"/>
        </w:rPr>
        <w:t xml:space="preserve">report reflects on the role </w:t>
      </w:r>
      <w:r w:rsidR="00D72BD2">
        <w:rPr>
          <w:rFonts w:eastAsia="Arial" w:cs="Arial"/>
        </w:rPr>
        <w:t xml:space="preserve">of </w:t>
      </w:r>
      <w:r w:rsidR="002C0DAA">
        <w:rPr>
          <w:rFonts w:eastAsia="Arial" w:cs="Arial"/>
        </w:rPr>
        <w:t xml:space="preserve">the </w:t>
      </w:r>
      <w:r w:rsidR="006B690C" w:rsidRPr="00343D25">
        <w:rPr>
          <w:rFonts w:eastAsia="Arial" w:cs="Arial"/>
        </w:rPr>
        <w:t xml:space="preserve">AOS </w:t>
      </w:r>
      <w:r w:rsidR="00D72BD2">
        <w:rPr>
          <w:rFonts w:eastAsia="Arial" w:cs="Arial"/>
        </w:rPr>
        <w:t xml:space="preserve">service provision </w:t>
      </w:r>
      <w:r w:rsidRPr="00343D25">
        <w:rPr>
          <w:rFonts w:eastAsia="Arial" w:cs="Arial"/>
        </w:rPr>
        <w:t>in improving the client’s outcomes</w:t>
      </w:r>
      <w:r w:rsidR="00D72BD2">
        <w:rPr>
          <w:rFonts w:eastAsia="Arial" w:cs="Arial"/>
        </w:rPr>
        <w:t xml:space="preserve">, including enhanced </w:t>
      </w:r>
      <w:r w:rsidRPr="00343D25">
        <w:rPr>
          <w:rFonts w:eastAsia="Arial" w:cs="Arial"/>
        </w:rPr>
        <w:t xml:space="preserve">service integration and collaboration. In addition, the closure report forms an assessment and analysis of the </w:t>
      </w:r>
      <w:r w:rsidR="006B690C" w:rsidRPr="00343D25">
        <w:rPr>
          <w:rFonts w:eastAsia="Arial" w:cs="Arial"/>
        </w:rPr>
        <w:t>AOS</w:t>
      </w:r>
      <w:r w:rsidRPr="00343D25">
        <w:rPr>
          <w:rFonts w:eastAsia="Arial" w:cs="Arial"/>
        </w:rPr>
        <w:t xml:space="preserve"> service period</w:t>
      </w:r>
      <w:r w:rsidR="006B690C" w:rsidRPr="00343D25">
        <w:rPr>
          <w:rFonts w:eastAsia="Arial" w:cs="Arial"/>
        </w:rPr>
        <w:t xml:space="preserve"> and the </w:t>
      </w:r>
      <w:r w:rsidR="002B4826" w:rsidRPr="00343D25">
        <w:rPr>
          <w:rFonts w:eastAsia="Arial" w:cs="Arial"/>
        </w:rPr>
        <w:t xml:space="preserve">risk present at </w:t>
      </w:r>
      <w:r w:rsidR="00594EEC" w:rsidRPr="00343D25">
        <w:rPr>
          <w:rFonts w:eastAsia="Arial" w:cs="Arial"/>
        </w:rPr>
        <w:t xml:space="preserve">referral, </w:t>
      </w:r>
      <w:r w:rsidR="00D72BD2">
        <w:rPr>
          <w:rFonts w:eastAsia="Arial" w:cs="Arial"/>
        </w:rPr>
        <w:t>during service provision</w:t>
      </w:r>
      <w:r w:rsidR="00594EEC" w:rsidRPr="00343D25">
        <w:rPr>
          <w:rFonts w:eastAsia="Arial" w:cs="Arial"/>
        </w:rPr>
        <w:t xml:space="preserve"> and on closure</w:t>
      </w:r>
      <w:r w:rsidRPr="00343D25">
        <w:rPr>
          <w:rFonts w:eastAsia="Arial" w:cs="Arial"/>
        </w:rPr>
        <w:t xml:space="preserve">. </w:t>
      </w:r>
    </w:p>
    <w:p w14:paraId="2D3C84AA" w14:textId="1A0BF7A1" w:rsidR="00A333C0" w:rsidRDefault="00DA6B27" w:rsidP="00C36FC6">
      <w:pPr>
        <w:pStyle w:val="Body"/>
        <w:rPr>
          <w:rFonts w:eastAsia="Arial" w:cs="Arial"/>
        </w:rPr>
      </w:pPr>
      <w:r>
        <w:rPr>
          <w:rFonts w:eastAsia="Arial" w:cs="Arial"/>
        </w:rPr>
        <w:t xml:space="preserve">Note that </w:t>
      </w:r>
      <w:r w:rsidR="00C852A5">
        <w:rPr>
          <w:rFonts w:eastAsia="Arial" w:cs="Arial"/>
        </w:rPr>
        <w:t>mo</w:t>
      </w:r>
      <w:r w:rsidR="00A333C0">
        <w:rPr>
          <w:rFonts w:eastAsia="Arial" w:cs="Arial"/>
        </w:rPr>
        <w:t xml:space="preserve">vement of AOS clients to a restricted facility </w:t>
      </w:r>
      <w:r>
        <w:rPr>
          <w:rFonts w:eastAsia="Arial" w:cs="Arial"/>
        </w:rPr>
        <w:t>such as prison</w:t>
      </w:r>
      <w:r w:rsidR="00A333C0">
        <w:rPr>
          <w:rFonts w:eastAsia="Arial" w:cs="Arial"/>
        </w:rPr>
        <w:t xml:space="preserve"> is not a reason for closure if it is still </w:t>
      </w:r>
      <w:r w:rsidR="00A333C0">
        <w:t xml:space="preserve">appropriate for the AOS provider to continue to </w:t>
      </w:r>
      <w:r>
        <w:t>engage and plan with the client</w:t>
      </w:r>
      <w:r w:rsidR="00A333C0">
        <w:t xml:space="preserve">. This may include facilitating access to suitable supports within the </w:t>
      </w:r>
      <w:r w:rsidR="00377449">
        <w:t xml:space="preserve">suite of </w:t>
      </w:r>
      <w:r w:rsidR="00A333C0">
        <w:t>standard services available to the client (e.g.</w:t>
      </w:r>
      <w:r w:rsidR="00377449">
        <w:t xml:space="preserve">: a </w:t>
      </w:r>
      <w:r w:rsidR="00A333C0">
        <w:t>hospital</w:t>
      </w:r>
      <w:r w:rsidR="00377449">
        <w:t xml:space="preserve"> or prison may </w:t>
      </w:r>
      <w:r w:rsidR="00A333C0">
        <w:t xml:space="preserve">provide access to therapeutic supports or assessments. </w:t>
      </w:r>
    </w:p>
    <w:p w14:paraId="0F8D60FF" w14:textId="039E797A" w:rsidR="00BC45CE" w:rsidRDefault="00196081" w:rsidP="009651CC">
      <w:pPr>
        <w:pStyle w:val="Body"/>
        <w:rPr>
          <w:rFonts w:eastAsia="Arial" w:cs="Arial"/>
        </w:rPr>
      </w:pPr>
      <w:r>
        <w:rPr>
          <w:rFonts w:eastAsia="Arial" w:cs="Arial"/>
        </w:rPr>
        <w:t xml:space="preserve">Increased risk of </w:t>
      </w:r>
      <w:r w:rsidR="008731C8">
        <w:rPr>
          <w:rFonts w:eastAsia="Arial" w:cs="Arial"/>
        </w:rPr>
        <w:t xml:space="preserve">unacceptable harm is not a reason </w:t>
      </w:r>
      <w:r w:rsidR="00887F04">
        <w:rPr>
          <w:rFonts w:eastAsia="Arial" w:cs="Arial"/>
        </w:rPr>
        <w:t>for</w:t>
      </w:r>
      <w:r w:rsidR="008731C8">
        <w:rPr>
          <w:rFonts w:eastAsia="Arial" w:cs="Arial"/>
        </w:rPr>
        <w:t xml:space="preserve"> closure unless the</w:t>
      </w:r>
      <w:r w:rsidR="00646D49">
        <w:rPr>
          <w:rFonts w:eastAsia="Arial" w:cs="Arial"/>
        </w:rPr>
        <w:t xml:space="preserve"> AOS service r</w:t>
      </w:r>
      <w:r w:rsidR="00887F04">
        <w:rPr>
          <w:rFonts w:eastAsia="Arial" w:cs="Arial"/>
        </w:rPr>
        <w:t xml:space="preserve">esponse </w:t>
      </w:r>
      <w:r w:rsidR="00646D49">
        <w:rPr>
          <w:rFonts w:eastAsia="Arial" w:cs="Arial"/>
        </w:rPr>
        <w:t>is contributing to that increased risk</w:t>
      </w:r>
      <w:r w:rsidR="00D72BD2">
        <w:rPr>
          <w:rFonts w:eastAsia="Arial" w:cs="Arial"/>
        </w:rPr>
        <w:t xml:space="preserve">, </w:t>
      </w:r>
      <w:r w:rsidR="00DA6B27">
        <w:rPr>
          <w:rFonts w:eastAsia="Arial" w:cs="Arial"/>
        </w:rPr>
        <w:t xml:space="preserve">for example </w:t>
      </w:r>
      <w:r w:rsidR="00646D49">
        <w:rPr>
          <w:rFonts w:eastAsia="Arial" w:cs="Arial"/>
        </w:rPr>
        <w:t xml:space="preserve">the </w:t>
      </w:r>
      <w:r w:rsidR="00887F04">
        <w:rPr>
          <w:rFonts w:eastAsia="Arial" w:cs="Arial"/>
        </w:rPr>
        <w:t>client</w:t>
      </w:r>
      <w:r w:rsidR="00646D49">
        <w:rPr>
          <w:rFonts w:eastAsia="Arial" w:cs="Arial"/>
        </w:rPr>
        <w:t xml:space="preserve"> is </w:t>
      </w:r>
      <w:r w:rsidR="00040EE7">
        <w:rPr>
          <w:rFonts w:eastAsia="Arial" w:cs="Arial"/>
        </w:rPr>
        <w:t xml:space="preserve">agitated by continuing attempts to </w:t>
      </w:r>
      <w:r w:rsidR="00887F04">
        <w:rPr>
          <w:rFonts w:eastAsia="Arial" w:cs="Arial"/>
        </w:rPr>
        <w:t>engage</w:t>
      </w:r>
      <w:r w:rsidR="00040EE7">
        <w:rPr>
          <w:rFonts w:eastAsia="Arial" w:cs="Arial"/>
        </w:rPr>
        <w:t xml:space="preserve"> with them</w:t>
      </w:r>
      <w:r w:rsidR="00DA6B27">
        <w:rPr>
          <w:rFonts w:eastAsia="Arial" w:cs="Arial"/>
        </w:rPr>
        <w:t xml:space="preserve"> and risk of harm to others is increasing as a result and the risk cannot be managed by modifying how the AOS provider engages with the person such as reducing the frequency of contact for a period.</w:t>
      </w:r>
    </w:p>
    <w:p w14:paraId="54FCED00" w14:textId="77777777" w:rsidR="009651CC" w:rsidRPr="009651CC" w:rsidRDefault="009651CC" w:rsidP="009651CC">
      <w:pPr>
        <w:pStyle w:val="Body"/>
        <w:rPr>
          <w:rFonts w:eastAsia="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79ACB399" w14:paraId="6272DE89" w14:textId="77777777" w:rsidTr="00F840DC">
        <w:trPr>
          <w:trHeight w:val="300"/>
        </w:trPr>
        <w:tc>
          <w:tcPr>
            <w:tcW w:w="534" w:type="pct"/>
            <w:shd w:val="clear" w:color="auto" w:fill="CCE9F8"/>
            <w:vAlign w:val="center"/>
          </w:tcPr>
          <w:p w14:paraId="2E170270" w14:textId="77777777" w:rsidR="79ACB399" w:rsidRDefault="79ACB399" w:rsidP="79ACB399">
            <w:pPr>
              <w:pStyle w:val="Body"/>
            </w:pPr>
            <w:r>
              <w:rPr>
                <w:noProof/>
              </w:rPr>
              <w:drawing>
                <wp:inline distT="0" distB="0" distL="0" distR="0" wp14:anchorId="46ACB90A" wp14:editId="7808BC1E">
                  <wp:extent cx="540000" cy="540000"/>
                  <wp:effectExtent l="0" t="0" r="0" b="0"/>
                  <wp:docPr id="1486052837" name="Picture 1486052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52837" name="Picture 1486052837">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4466" w:type="pct"/>
          </w:tcPr>
          <w:p w14:paraId="400B5121" w14:textId="77777777" w:rsidR="79ACB399" w:rsidRDefault="79ACB399" w:rsidP="79ACB399">
            <w:pPr>
              <w:pStyle w:val="Tablecolhead"/>
              <w:rPr>
                <w:rFonts w:eastAsia="Arial"/>
                <w:color w:val="auto"/>
              </w:rPr>
            </w:pPr>
            <w:r w:rsidRPr="79ACB399">
              <w:rPr>
                <w:rFonts w:eastAsia="Arial"/>
                <w:color w:val="auto"/>
              </w:rPr>
              <w:t>Documentation required</w:t>
            </w:r>
          </w:p>
          <w:p w14:paraId="7AB9889E" w14:textId="48095182" w:rsidR="7545D5D8" w:rsidRDefault="00B3191F" w:rsidP="00740A47">
            <w:pPr>
              <w:pStyle w:val="Bullet1"/>
            </w:pPr>
            <w:r>
              <w:t xml:space="preserve">1e </w:t>
            </w:r>
            <w:r w:rsidR="006C0D15">
              <w:t xml:space="preserve">AOS </w:t>
            </w:r>
            <w:r w:rsidR="00D72BD2">
              <w:t>Closure Report</w:t>
            </w:r>
            <w:r w:rsidR="00F840DC">
              <w:t>.</w:t>
            </w:r>
          </w:p>
        </w:tc>
      </w:tr>
    </w:tbl>
    <w:p w14:paraId="26EBDF45" w14:textId="77777777" w:rsidR="79ACB399" w:rsidRDefault="79ACB399" w:rsidP="79ACB399">
      <w:pPr>
        <w:pStyle w:val="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79ACB399" w14:paraId="72B42B28" w14:textId="77777777" w:rsidTr="00F840DC">
        <w:trPr>
          <w:trHeight w:val="300"/>
        </w:trPr>
        <w:tc>
          <w:tcPr>
            <w:tcW w:w="573" w:type="pct"/>
            <w:shd w:val="clear" w:color="auto" w:fill="99D3F0"/>
            <w:vAlign w:val="center"/>
          </w:tcPr>
          <w:p w14:paraId="7337CFCC" w14:textId="77777777" w:rsidR="79ACB399" w:rsidRDefault="79ACB399" w:rsidP="79ACB399">
            <w:pPr>
              <w:pStyle w:val="Body"/>
            </w:pPr>
            <w:r>
              <w:rPr>
                <w:noProof/>
              </w:rPr>
              <w:drawing>
                <wp:inline distT="0" distB="0" distL="0" distR="0" wp14:anchorId="3CC77AF2" wp14:editId="50294D25">
                  <wp:extent cx="540000" cy="540000"/>
                  <wp:effectExtent l="0" t="0" r="0" b="0"/>
                  <wp:docPr id="1254293122" name="Picture 1254293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93122" name="Picture 125429312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4427" w:type="pct"/>
          </w:tcPr>
          <w:p w14:paraId="20F40C55" w14:textId="77777777" w:rsidR="79ACB399" w:rsidRDefault="79ACB399" w:rsidP="79ACB399">
            <w:pPr>
              <w:pStyle w:val="Tablecolhead"/>
              <w:rPr>
                <w:color w:val="auto"/>
              </w:rPr>
            </w:pPr>
            <w:r w:rsidRPr="79ACB399">
              <w:rPr>
                <w:color w:val="auto"/>
              </w:rPr>
              <w:t>Coordinator tasks</w:t>
            </w:r>
          </w:p>
          <w:p w14:paraId="7E6684CB" w14:textId="682AF780" w:rsidR="00E4C277" w:rsidRDefault="535ECF3A" w:rsidP="00740A47">
            <w:pPr>
              <w:pStyle w:val="Bullet1"/>
            </w:pPr>
            <w:r>
              <w:t xml:space="preserve">provide </w:t>
            </w:r>
            <w:r w:rsidR="001F1F4B">
              <w:t xml:space="preserve">AOS closure report </w:t>
            </w:r>
            <w:r>
              <w:t>template</w:t>
            </w:r>
            <w:r w:rsidR="00F840DC">
              <w:t xml:space="preserve"> to AOS provider</w:t>
            </w:r>
          </w:p>
          <w:p w14:paraId="5C772163" w14:textId="233AC465" w:rsidR="00E4C277" w:rsidRPr="00667CE0" w:rsidRDefault="053AF884" w:rsidP="00740A47">
            <w:pPr>
              <w:pStyle w:val="Bullet1"/>
            </w:pPr>
            <w:r w:rsidRPr="00667CE0">
              <w:t>ensure all AOS clients have a</w:t>
            </w:r>
            <w:r w:rsidR="001F1F4B" w:rsidRPr="00667CE0">
              <w:t>n</w:t>
            </w:r>
            <w:r w:rsidRPr="00667CE0">
              <w:t xml:space="preserve"> </w:t>
            </w:r>
            <w:r w:rsidR="001F1F4B" w:rsidRPr="00667CE0">
              <w:t>AOS closure report</w:t>
            </w:r>
          </w:p>
          <w:p w14:paraId="27BB75D1" w14:textId="77777777" w:rsidR="00D72BD2" w:rsidRPr="00D72BD2" w:rsidRDefault="00D72BD2" w:rsidP="00740A47">
            <w:pPr>
              <w:pStyle w:val="Bullet1"/>
              <w:rPr>
                <w:szCs w:val="21"/>
              </w:rPr>
            </w:pPr>
            <w:r>
              <w:t>ensure</w:t>
            </w:r>
            <w:r w:rsidR="053AF884">
              <w:t xml:space="preserve"> the AOS </w:t>
            </w:r>
            <w:r>
              <w:t>p</w:t>
            </w:r>
            <w:r w:rsidR="053AF884">
              <w:t xml:space="preserve">rovider </w:t>
            </w:r>
            <w:r>
              <w:t>has completed required documents</w:t>
            </w:r>
          </w:p>
          <w:p w14:paraId="171188D5" w14:textId="1C594512" w:rsidR="00E4C277" w:rsidRDefault="053AF884" w:rsidP="00740A47">
            <w:pPr>
              <w:pStyle w:val="Bullet1"/>
              <w:rPr>
                <w:szCs w:val="21"/>
              </w:rPr>
            </w:pPr>
            <w:r>
              <w:t xml:space="preserve">escalate AOS clients to the Complex Needs Area Panel where </w:t>
            </w:r>
            <w:r w:rsidR="00613564">
              <w:t>the AOS provider:</w:t>
            </w:r>
          </w:p>
          <w:p w14:paraId="7D1ACF98" w14:textId="06C59FD5" w:rsidR="00E4C277" w:rsidRDefault="00E4C277" w:rsidP="000E7482">
            <w:pPr>
              <w:pStyle w:val="Bullet2"/>
            </w:pPr>
            <w:r w:rsidRPr="79ACB399">
              <w:t>recommend</w:t>
            </w:r>
            <w:r w:rsidR="00682737">
              <w:t>s</w:t>
            </w:r>
            <w:r w:rsidRPr="79ACB399">
              <w:t xml:space="preserve"> closure due to no engagement </w:t>
            </w:r>
          </w:p>
          <w:p w14:paraId="4F09DE0C" w14:textId="1167BC85" w:rsidR="00E4C277" w:rsidRDefault="00E4C277" w:rsidP="000E7482">
            <w:pPr>
              <w:pStyle w:val="Bullet2"/>
            </w:pPr>
            <w:r w:rsidRPr="79ACB399">
              <w:t>is recommend</w:t>
            </w:r>
            <w:r w:rsidR="00682737">
              <w:t>s</w:t>
            </w:r>
            <w:r w:rsidRPr="79ACB399">
              <w:t xml:space="preserve"> closure following AOS service delivery and the client remains a</w:t>
            </w:r>
            <w:r w:rsidR="00DA6B27">
              <w:t xml:space="preserve">n </w:t>
            </w:r>
            <w:r w:rsidRPr="79ACB399">
              <w:t>unacceptable risk to others</w:t>
            </w:r>
          </w:p>
          <w:p w14:paraId="4B4B1FA5" w14:textId="0FEA6927" w:rsidR="79ACB399" w:rsidRDefault="4DD89922" w:rsidP="00740A47">
            <w:pPr>
              <w:pStyle w:val="Bullet1"/>
            </w:pPr>
            <w:r>
              <w:t xml:space="preserve">ensure </w:t>
            </w:r>
            <w:r w:rsidR="1A5D0FFB">
              <w:t xml:space="preserve">all documents are filed in TRIM </w:t>
            </w:r>
          </w:p>
          <w:p w14:paraId="0F6F60A8" w14:textId="7876EA3F" w:rsidR="79ACB399" w:rsidRDefault="4DD89922" w:rsidP="00740A47">
            <w:pPr>
              <w:pStyle w:val="Bullet1"/>
            </w:pPr>
            <w:r>
              <w:t xml:space="preserve">update SharePoint client database, ensuring the </w:t>
            </w:r>
            <w:r w:rsidR="61F5966C">
              <w:t>closure</w:t>
            </w:r>
            <w:r>
              <w:t xml:space="preserve"> date is recorded.</w:t>
            </w:r>
          </w:p>
        </w:tc>
      </w:tr>
    </w:tbl>
    <w:p w14:paraId="315B5C89" w14:textId="77777777" w:rsidR="00682737" w:rsidRDefault="00682737" w:rsidP="00C76654">
      <w:pPr>
        <w:pStyle w:val="Body"/>
      </w:pPr>
      <w:bookmarkStart w:id="182" w:name="_Toc137636758"/>
      <w:bookmarkEnd w:id="176"/>
      <w:bookmarkEnd w:id="180"/>
    </w:p>
    <w:p w14:paraId="4015A514" w14:textId="77777777" w:rsidR="00682737" w:rsidRPr="00A4476A" w:rsidRDefault="00682737" w:rsidP="00A4476A">
      <w:pPr>
        <w:pStyle w:val="Body"/>
      </w:pPr>
      <w:r w:rsidRPr="00A4476A">
        <w:br w:type="page"/>
      </w:r>
    </w:p>
    <w:p w14:paraId="63270FAE" w14:textId="18F9BEB3" w:rsidR="00E37383" w:rsidRPr="001F58D6" w:rsidRDefault="00E37383" w:rsidP="00843D94">
      <w:pPr>
        <w:pStyle w:val="Heading1"/>
        <w:numPr>
          <w:ilvl w:val="0"/>
          <w:numId w:val="24"/>
        </w:numPr>
        <w:ind w:left="709" w:hanging="709"/>
      </w:pPr>
      <w:bookmarkStart w:id="183" w:name="_Toc145318595"/>
      <w:r w:rsidRPr="001F58D6">
        <w:lastRenderedPageBreak/>
        <w:t>Multiple and Complex Needs Initiative</w:t>
      </w:r>
      <w:bookmarkEnd w:id="182"/>
      <w:bookmarkEnd w:id="183"/>
    </w:p>
    <w:p w14:paraId="6C9166A4" w14:textId="75CFB6CE" w:rsidR="00E37383" w:rsidRPr="00745E4C" w:rsidRDefault="00E37383" w:rsidP="00E37383">
      <w:pPr>
        <w:pStyle w:val="Body"/>
        <w:rPr>
          <w:lang w:eastAsia="en-AU"/>
        </w:rPr>
      </w:pPr>
      <w:r w:rsidRPr="003E4A23">
        <w:rPr>
          <w:lang w:eastAsia="en-AU"/>
        </w:rPr>
        <w:t xml:space="preserve">MACNI </w:t>
      </w:r>
      <w:r w:rsidRPr="00DF45BE">
        <w:rPr>
          <w:lang w:eastAsia="en-AU"/>
        </w:rPr>
        <w:t>provides a range of targeted</w:t>
      </w:r>
      <w:r w:rsidRPr="003E4A23">
        <w:rPr>
          <w:lang w:eastAsia="en-AU"/>
        </w:rPr>
        <w:t xml:space="preserve"> support</w:t>
      </w:r>
      <w:r>
        <w:rPr>
          <w:lang w:eastAsia="en-AU"/>
        </w:rPr>
        <w:t>s</w:t>
      </w:r>
      <w:r w:rsidRPr="003E4A23">
        <w:rPr>
          <w:lang w:eastAsia="en-AU"/>
        </w:rPr>
        <w:t xml:space="preserve"> for people with multiple and complex needs ranging from information</w:t>
      </w:r>
      <w:r>
        <w:rPr>
          <w:lang w:eastAsia="en-AU"/>
        </w:rPr>
        <w:t xml:space="preserve">, </w:t>
      </w:r>
      <w:r w:rsidRPr="00745E4C">
        <w:rPr>
          <w:lang w:eastAsia="en-AU"/>
        </w:rPr>
        <w:t>consultation, coordination</w:t>
      </w:r>
      <w:r>
        <w:rPr>
          <w:lang w:eastAsia="en-AU"/>
        </w:rPr>
        <w:t>,</w:t>
      </w:r>
      <w:r w:rsidRPr="00745E4C">
        <w:rPr>
          <w:lang w:eastAsia="en-AU"/>
        </w:rPr>
        <w:t xml:space="preserve"> and referral through to care plan development and coordination for those determined eligible under the Act. </w:t>
      </w:r>
    </w:p>
    <w:p w14:paraId="211B9904" w14:textId="38FF960A" w:rsidR="00E37383" w:rsidRDefault="00E37383" w:rsidP="00E37383">
      <w:pPr>
        <w:pStyle w:val="Body"/>
      </w:pPr>
      <w:r w:rsidRPr="00745E4C">
        <w:t xml:space="preserve">At any stage of MACNI where a critical need arises, the Complex Needs Coordinator will work with the involved services and </w:t>
      </w:r>
      <w:r>
        <w:t>the</w:t>
      </w:r>
      <w:r w:rsidR="003172FF">
        <w:t xml:space="preserve"> area </w:t>
      </w:r>
      <w:r>
        <w:t>p</w:t>
      </w:r>
      <w:r w:rsidRPr="00745E4C">
        <w:t>anel to determine the most appropriate level of support</w:t>
      </w:r>
      <w:r>
        <w:t xml:space="preserve"> required</w:t>
      </w:r>
      <w:r w:rsidRPr="00745E4C">
        <w:t xml:space="preserve">. Similarly, a </w:t>
      </w:r>
      <w:r>
        <w:t xml:space="preserve">client’s </w:t>
      </w:r>
      <w:r w:rsidRPr="00745E4C">
        <w:t>case may be closed at any stage and are not required to progress through stages before closure is recommended.</w:t>
      </w:r>
    </w:p>
    <w:p w14:paraId="3AC9F69C" w14:textId="77777777" w:rsidR="00E37383" w:rsidRPr="006C45F5" w:rsidRDefault="00E37383" w:rsidP="00E37383">
      <w:pPr>
        <w:pStyle w:val="Body"/>
      </w:pPr>
      <w:r w:rsidRPr="006C45F5">
        <w:t>MACNI</w:t>
      </w:r>
      <w:r>
        <w:t>’s operating model</w:t>
      </w:r>
      <w:r w:rsidRPr="006C45F5">
        <w:t xml:space="preserve"> is not strictly linear</w:t>
      </w:r>
      <w:r>
        <w:t>, and all clients begin as a consultation. At</w:t>
      </w:r>
      <w:r w:rsidRPr="006C45F5">
        <w:t xml:space="preserve"> any stage, it may become apparent that the client’s needs cannot be effectively met without a higher level of coordination or intervention. At this point, the Complex Needs Coordinator will work with the involved services to determine the next steps of either a referral for:</w:t>
      </w:r>
    </w:p>
    <w:p w14:paraId="71069570" w14:textId="77777777" w:rsidR="00E37383" w:rsidRPr="006C45F5" w:rsidRDefault="48AED0DF" w:rsidP="00740A47">
      <w:pPr>
        <w:pStyle w:val="Bullet1"/>
      </w:pPr>
      <w:r>
        <w:t>Pre-MACNI</w:t>
      </w:r>
    </w:p>
    <w:p w14:paraId="249FD091" w14:textId="77777777" w:rsidR="00E37383" w:rsidRPr="006C45F5" w:rsidRDefault="48AED0DF" w:rsidP="00740A47">
      <w:pPr>
        <w:pStyle w:val="Bullet1"/>
      </w:pPr>
      <w:r>
        <w:t>MACNI eligibility determination to receive care plan coordination under the Act.</w:t>
      </w:r>
    </w:p>
    <w:p w14:paraId="22110D4A" w14:textId="358125A8" w:rsidR="00E37383" w:rsidRDefault="00E37383" w:rsidP="00E37383">
      <w:pPr>
        <w:pStyle w:val="Bodyafterbullets"/>
      </w:pPr>
      <w:r w:rsidRPr="00745E4C">
        <w:t>Standardised templates are provided in the appendi</w:t>
      </w:r>
      <w:r w:rsidR="003172FF">
        <w:t xml:space="preserve">ces </w:t>
      </w:r>
      <w:r w:rsidRPr="00745E4C">
        <w:t xml:space="preserve">to assist </w:t>
      </w:r>
      <w:r w:rsidR="003172FF">
        <w:t>a</w:t>
      </w:r>
      <w:r w:rsidRPr="00745E4C">
        <w:t xml:space="preserve">reas implement MACNI. These templates are used by Complex Needs Coordinators to enhance consistency and promote adherence to legislation and operational </w:t>
      </w:r>
      <w:r>
        <w:t>guidelines. Where appropriate, t</w:t>
      </w:r>
      <w:r w:rsidRPr="00D12A75">
        <w:t xml:space="preserve">emplates </w:t>
      </w:r>
      <w:r w:rsidR="00CF28A8">
        <w:t xml:space="preserve">for clients </w:t>
      </w:r>
      <w:r>
        <w:t>can</w:t>
      </w:r>
      <w:r w:rsidRPr="00D12A75">
        <w:t xml:space="preserve"> be adjusted to </w:t>
      </w:r>
      <w:r w:rsidR="00CF28A8">
        <w:t>suit their</w:t>
      </w:r>
      <w:r w:rsidRPr="00D12A75">
        <w:t xml:space="preserve"> communication </w:t>
      </w:r>
      <w:r w:rsidR="00CF28A8">
        <w:t>requirements</w:t>
      </w:r>
      <w:r w:rsidRPr="00D12A75">
        <w:t>.</w:t>
      </w:r>
    </w:p>
    <w:p w14:paraId="033795B8" w14:textId="0FCE5A30" w:rsidR="00E37383" w:rsidRDefault="00D018BB" w:rsidP="00D018BB">
      <w:pPr>
        <w:pStyle w:val="Heading2"/>
      </w:pPr>
      <w:bookmarkStart w:id="184" w:name="_Toc137636759"/>
      <w:bookmarkStart w:id="185" w:name="_Toc145318596"/>
      <w:r>
        <w:t>7.1</w:t>
      </w:r>
      <w:r w:rsidR="00A73F81">
        <w:tab/>
      </w:r>
      <w:r w:rsidR="00CF28A8" w:rsidRPr="00CF28A8">
        <w:rPr>
          <w:iCs/>
        </w:rPr>
        <w:t>Human Services (Complex Needs) Act 2009</w:t>
      </w:r>
      <w:bookmarkEnd w:id="184"/>
      <w:bookmarkEnd w:id="185"/>
    </w:p>
    <w:p w14:paraId="0677726A" w14:textId="13E5C40C" w:rsidR="00E37383" w:rsidRDefault="00E37383" w:rsidP="00E37383">
      <w:pPr>
        <w:pStyle w:val="Body"/>
      </w:pPr>
      <w:r>
        <w:t xml:space="preserve">MACNI is underpinned by the </w:t>
      </w:r>
      <w:r>
        <w:rPr>
          <w:i/>
        </w:rPr>
        <w:t xml:space="preserve">Human Services (Complex Needs) Act 2009 </w:t>
      </w:r>
      <w:r>
        <w:t xml:space="preserve">(the Act) which establishes the authority for a coordinated approach to service delivery for people with multiple and complex needs. Appendix </w:t>
      </w:r>
      <w:r w:rsidR="006D479F">
        <w:t>2</w:t>
      </w:r>
      <w:r>
        <w:t xml:space="preserve"> </w:t>
      </w:r>
      <w:r w:rsidR="006D479F">
        <w:t xml:space="preserve">is a summary of the MACNI service provision </w:t>
      </w:r>
      <w:r>
        <w:t>legislative requirements.</w:t>
      </w:r>
    </w:p>
    <w:p w14:paraId="2F6CF353" w14:textId="77777777" w:rsidR="00E37383" w:rsidRDefault="00E37383" w:rsidP="00E37383">
      <w:pPr>
        <w:pStyle w:val="Body"/>
      </w:pPr>
      <w:r>
        <w:t xml:space="preserve">The Act outlines specific principles with respect to the determination of eligibility and the development and implementation of a care plan. These principles ensure client wellbeing, highlight the importance of care plan development based on a comprehensive assessment, as well as the benefits of sharing information and a coordinated approach to service delivery. </w:t>
      </w:r>
    </w:p>
    <w:p w14:paraId="1FC9B38D" w14:textId="0E1726C5" w:rsidR="005547C4" w:rsidRDefault="00E37383" w:rsidP="006D479F">
      <w:pPr>
        <w:pStyle w:val="Body"/>
      </w:pPr>
      <w:bookmarkStart w:id="186" w:name="_Toc32229251"/>
      <w:bookmarkStart w:id="187" w:name="_Toc65508218"/>
      <w:bookmarkStart w:id="188" w:name="_Toc112856219"/>
      <w:bookmarkStart w:id="189" w:name="_Toc125713700"/>
      <w:r>
        <w:t>To allow for the effective implementation of MACNI, the Act enables the Secretary to delegate any of their powers or functions except for the power of delegation. To give practical effect to the operation of MACNI, an instrument of delegation specifies the delegation of powers and functions to nominated departmental officers.</w:t>
      </w:r>
    </w:p>
    <w:p w14:paraId="2B60CA89" w14:textId="38488376" w:rsidR="00E37383" w:rsidRDefault="00E37383" w:rsidP="00CE6024">
      <w:pPr>
        <w:pStyle w:val="Bullet1"/>
        <w:numPr>
          <w:ilvl w:val="0"/>
          <w:numId w:val="0"/>
        </w:numPr>
      </w:pPr>
      <w:r>
        <w:t xml:space="preserve">Refer: </w:t>
      </w:r>
      <w:hyperlink r:id="rId52" w:history="1">
        <w:r w:rsidRPr="00CE6024">
          <w:rPr>
            <w:rStyle w:val="Hyperlink"/>
          </w:rPr>
          <w:t>Instrument of Delegation</w:t>
        </w:r>
      </w:hyperlink>
      <w:r w:rsidR="00CF28A8">
        <w:t xml:space="preserve"> </w:t>
      </w:r>
      <w:r>
        <w:t xml:space="preserve">&lt;https://dhhsvicgovau.sharepoint.com/sites/dffh/SitePages/Delegations%20and%20Authorisations.aspx&gt;  </w:t>
      </w:r>
    </w:p>
    <w:p w14:paraId="3B46B470" w14:textId="3CDC289E" w:rsidR="00E37383" w:rsidRDefault="00D018BB" w:rsidP="00E37383">
      <w:pPr>
        <w:pStyle w:val="Heading3"/>
      </w:pPr>
      <w:r>
        <w:t>7</w:t>
      </w:r>
      <w:r w:rsidR="00E37383">
        <w:t>.1.1 Information sharing provisions under the Act</w:t>
      </w:r>
    </w:p>
    <w:p w14:paraId="22850A8A" w14:textId="5995050A" w:rsidR="00E37383" w:rsidRDefault="00E37383" w:rsidP="00E37383">
      <w:pPr>
        <w:pStyle w:val="Body"/>
      </w:pPr>
      <w:r>
        <w:t xml:space="preserve">The </w:t>
      </w:r>
      <w:r w:rsidRPr="00CA2218">
        <w:t>Act</w:t>
      </w:r>
      <w:r w:rsidRPr="63B2C9DF">
        <w:rPr>
          <w:i/>
          <w:iCs/>
        </w:rPr>
        <w:t xml:space="preserve"> </w:t>
      </w:r>
      <w:r>
        <w:t xml:space="preserve">aims to achieve an appropriate balance between the protection of personal information and the need for disclosure in the best interests of the client. </w:t>
      </w:r>
      <w:r w:rsidR="00CA2218">
        <w:t>For</w:t>
      </w:r>
      <w:r>
        <w:t xml:space="preserve"> the MACNI client group much of the existing information available about a client may be sensitive. </w:t>
      </w:r>
    </w:p>
    <w:p w14:paraId="64F203D5" w14:textId="77777777" w:rsidR="00E37383" w:rsidRDefault="00E37383" w:rsidP="00E37383">
      <w:pPr>
        <w:pStyle w:val="Bodyafterbullets"/>
      </w:pPr>
      <w:r>
        <w:t xml:space="preserve">The Act specifically allows the Secretary and, if contracted by the Secretary, a service provider to seek information about the client from any person or organisation for the purpose of developing a </w:t>
      </w:r>
      <w:r>
        <w:lastRenderedPageBreak/>
        <w:t>care plan. The Act authorises any person or organisation providing services to the eligible client to disclose information about this person for the purpose of care plan development.</w:t>
      </w:r>
    </w:p>
    <w:p w14:paraId="3389E8F5" w14:textId="55F472B2" w:rsidR="00E37383" w:rsidRDefault="00E37383" w:rsidP="00E37383">
      <w:pPr>
        <w:pStyle w:val="Body"/>
      </w:pPr>
      <w:r>
        <w:t>The Act also allows service providers identified in the care plan to disclose information about a client to another service provider identified in the care plan when it will assist in giving effect to the care plan (</w:t>
      </w:r>
      <w:r w:rsidR="00CA2218">
        <w:t>i.e.,</w:t>
      </w:r>
      <w:r>
        <w:t xml:space="preserve"> care plan development, implementation, monitoring and review).</w:t>
      </w:r>
    </w:p>
    <w:p w14:paraId="4CBACC08" w14:textId="77777777" w:rsidR="00E37383" w:rsidRDefault="00E37383" w:rsidP="00E37383">
      <w:pPr>
        <w:pStyle w:val="Body"/>
      </w:pPr>
      <w:r>
        <w:t>The Act does not compel service providers to exchange information, rather it allows them to make a professional judgement based on what they believe will be in the best interests of the client.</w:t>
      </w:r>
    </w:p>
    <w:p w14:paraId="35321E42" w14:textId="77777777" w:rsidR="00E37383" w:rsidRDefault="00E37383" w:rsidP="00E37383">
      <w:pPr>
        <w:pStyle w:val="Body"/>
      </w:pPr>
      <w:r>
        <w:t>The</w:t>
      </w:r>
      <w:r>
        <w:rPr>
          <w:i/>
        </w:rPr>
        <w:t xml:space="preserve"> </w:t>
      </w:r>
      <w:bookmarkStart w:id="190" w:name="_Hlk30495847"/>
      <w:r>
        <w:rPr>
          <w:i/>
        </w:rPr>
        <w:t xml:space="preserve">Privacy and Data Protection Act 2014 </w:t>
      </w:r>
      <w:r>
        <w:t>and the</w:t>
      </w:r>
      <w:r>
        <w:rPr>
          <w:i/>
        </w:rPr>
        <w:t xml:space="preserve"> Health Records Act 2001 </w:t>
      </w:r>
      <w:bookmarkEnd w:id="190"/>
      <w:r>
        <w:t>provide additional obligations to confidentiality and nothing in this Act affects those obligations.</w:t>
      </w:r>
    </w:p>
    <w:p w14:paraId="5EBF8B2A" w14:textId="77777777" w:rsidR="00E37383" w:rsidRDefault="00E37383" w:rsidP="00E37383">
      <w:pPr>
        <w:pStyle w:val="Body"/>
      </w:pPr>
      <w:r>
        <w:t>More broadly, there are a range of policies and resources at the department level to guide practice for appropriate information-sharing and privacy protection.</w:t>
      </w:r>
    </w:p>
    <w:p w14:paraId="754AA525" w14:textId="76069C80" w:rsidR="00E37383" w:rsidRDefault="00D23F6A" w:rsidP="00E37383">
      <w:pPr>
        <w:pStyle w:val="Bodyafterbullets"/>
      </w:pPr>
      <w:r>
        <w:t>R</w:t>
      </w:r>
      <w:r w:rsidR="00E37383" w:rsidRPr="00FC72E2">
        <w:t>efer</w:t>
      </w:r>
      <w:r w:rsidR="00CE6024">
        <w:t>:</w:t>
      </w:r>
      <w:r w:rsidR="00E37383">
        <w:t xml:space="preserve"> </w:t>
      </w:r>
      <w:hyperlink r:id="rId53" w:history="1">
        <w:r w:rsidR="00E37383" w:rsidRPr="00D23F6A">
          <w:rPr>
            <w:rStyle w:val="Hyperlink"/>
          </w:rPr>
          <w:t>Victorian Legislation and Parliamentary Documents</w:t>
        </w:r>
      </w:hyperlink>
      <w:r w:rsidR="00E37383" w:rsidRPr="00BD18FD">
        <w:t xml:space="preserve"> </w:t>
      </w:r>
      <w:r w:rsidR="00E37383">
        <w:rPr>
          <w:rStyle w:val="Hyperlink"/>
        </w:rPr>
        <w:t>&lt;</w:t>
      </w:r>
      <w:r w:rsidR="00E37383" w:rsidRPr="00FC72E2">
        <w:t>http://www.legislation.vic.gov.au/</w:t>
      </w:r>
      <w:r w:rsidR="00E37383">
        <w:t>&gt;</w:t>
      </w:r>
    </w:p>
    <w:p w14:paraId="4BAE62F1"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D3F0"/>
        <w:tblLook w:val="04A0" w:firstRow="1" w:lastRow="0" w:firstColumn="1" w:lastColumn="0" w:noHBand="0" w:noVBand="1"/>
      </w:tblPr>
      <w:tblGrid>
        <w:gridCol w:w="1066"/>
        <w:gridCol w:w="8232"/>
      </w:tblGrid>
      <w:tr w:rsidR="00E37383" w:rsidRPr="00613EC9" w14:paraId="2EB61D6D" w14:textId="77777777">
        <w:tc>
          <w:tcPr>
            <w:tcW w:w="0" w:type="auto"/>
            <w:shd w:val="clear" w:color="auto" w:fill="99D3F0"/>
            <w:vAlign w:val="center"/>
          </w:tcPr>
          <w:p w14:paraId="7C16A3F8" w14:textId="77777777" w:rsidR="00E37383" w:rsidRPr="00613EC9" w:rsidRDefault="00E37383" w:rsidP="00D014F3">
            <w:pPr>
              <w:pStyle w:val="Body"/>
              <w:spacing w:before="120"/>
            </w:pPr>
            <w:bookmarkStart w:id="191" w:name="_Hlk14694625"/>
            <w:r>
              <w:rPr>
                <w:noProof/>
              </w:rPr>
              <w:drawing>
                <wp:inline distT="0" distB="0" distL="0" distR="0" wp14:anchorId="4AA0D357" wp14:editId="5B81603A">
                  <wp:extent cx="539750" cy="539750"/>
                  <wp:effectExtent l="0" t="0" r="0" b="0"/>
                  <wp:docPr id="308" name="Picture 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539750" cy="539750"/>
                          </a:xfrm>
                          <a:prstGeom prst="rect">
                            <a:avLst/>
                          </a:prstGeom>
                        </pic:spPr>
                      </pic:pic>
                    </a:graphicData>
                  </a:graphic>
                </wp:inline>
              </w:drawing>
            </w:r>
          </w:p>
        </w:tc>
        <w:tc>
          <w:tcPr>
            <w:tcW w:w="0" w:type="auto"/>
            <w:shd w:val="clear" w:color="auto" w:fill="99D3F0"/>
            <w:vAlign w:val="center"/>
          </w:tcPr>
          <w:p w14:paraId="0B9D5AEE" w14:textId="6FDE5298" w:rsidR="00E37383" w:rsidRPr="00613EC9" w:rsidRDefault="00E37383">
            <w:pPr>
              <w:pStyle w:val="Body"/>
            </w:pPr>
            <w:r w:rsidRPr="00613EC9">
              <w:t>Where the request to share or release information with a third party is declined, the Care Plan Coordinator or Complex Needs Coordinator is required to escalate the issue through the relevant service provider (</w:t>
            </w:r>
            <w:r w:rsidR="00CA2218" w:rsidRPr="00613EC9">
              <w:t>e.g.,</w:t>
            </w:r>
            <w:r w:rsidRPr="00613EC9">
              <w:t xml:space="preserve"> </w:t>
            </w:r>
            <w:r w:rsidR="00CA2218">
              <w:t>h</w:t>
            </w:r>
            <w:r w:rsidRPr="00613EC9">
              <w:t xml:space="preserve">ospital, </w:t>
            </w:r>
            <w:r w:rsidR="00CA2218">
              <w:t>j</w:t>
            </w:r>
            <w:r w:rsidRPr="00613EC9">
              <w:t xml:space="preserve">ustice </w:t>
            </w:r>
            <w:r w:rsidR="00CA2218">
              <w:t>h</w:t>
            </w:r>
            <w:r w:rsidRPr="00613EC9">
              <w:t>ealth)</w:t>
            </w:r>
            <w:r>
              <w:t>.</w:t>
            </w:r>
          </w:p>
        </w:tc>
      </w:tr>
    </w:tbl>
    <w:p w14:paraId="0A1DB4A2" w14:textId="4DB8352B" w:rsidR="00E37383" w:rsidRPr="001C02CC" w:rsidRDefault="00D018BB" w:rsidP="00D018BB">
      <w:pPr>
        <w:pStyle w:val="Heading2"/>
      </w:pPr>
      <w:bookmarkStart w:id="192" w:name="_Toc499892542"/>
      <w:bookmarkStart w:id="193" w:name="_Toc502126052"/>
      <w:bookmarkStart w:id="194" w:name="_Toc32229252"/>
      <w:bookmarkStart w:id="195" w:name="_Toc65508219"/>
      <w:bookmarkStart w:id="196" w:name="_Toc112856220"/>
      <w:bookmarkStart w:id="197" w:name="_Toc125713701"/>
      <w:bookmarkStart w:id="198" w:name="_Toc137636760"/>
      <w:bookmarkStart w:id="199" w:name="_Toc145318597"/>
      <w:bookmarkEnd w:id="186"/>
      <w:bookmarkEnd w:id="187"/>
      <w:bookmarkEnd w:id="188"/>
      <w:bookmarkEnd w:id="189"/>
      <w:bookmarkEnd w:id="191"/>
      <w:r>
        <w:t>7.2</w:t>
      </w:r>
      <w:r w:rsidR="00A73F81">
        <w:tab/>
      </w:r>
      <w:r w:rsidR="00E37383" w:rsidRPr="001C02CC">
        <w:t>MACNI eligibility criteria</w:t>
      </w:r>
      <w:bookmarkEnd w:id="192"/>
      <w:bookmarkEnd w:id="193"/>
      <w:bookmarkEnd w:id="194"/>
      <w:bookmarkEnd w:id="195"/>
      <w:bookmarkEnd w:id="196"/>
      <w:bookmarkEnd w:id="197"/>
      <w:bookmarkEnd w:id="198"/>
      <w:bookmarkEnd w:id="199"/>
    </w:p>
    <w:p w14:paraId="30A76FC9" w14:textId="77777777" w:rsidR="00E37383" w:rsidRPr="00684DC5" w:rsidRDefault="00E37383" w:rsidP="00E37383">
      <w:pPr>
        <w:pStyle w:val="Body"/>
      </w:pPr>
      <w:r w:rsidRPr="00684DC5">
        <w:t>An eligible client is a person who:</w:t>
      </w:r>
    </w:p>
    <w:p w14:paraId="2278500F" w14:textId="1CBB37D1" w:rsidR="00E37383" w:rsidRPr="007F40E1" w:rsidRDefault="00E37383" w:rsidP="000E7482">
      <w:pPr>
        <w:pStyle w:val="Numberloweralpha"/>
        <w:numPr>
          <w:ilvl w:val="0"/>
          <w:numId w:val="4"/>
        </w:numPr>
      </w:pPr>
      <w:r w:rsidRPr="007F40E1">
        <w:t>has attained 16 years of age; and</w:t>
      </w:r>
    </w:p>
    <w:p w14:paraId="7CA40159" w14:textId="68FE992C" w:rsidR="00E37383" w:rsidRPr="007F40E1" w:rsidRDefault="00E37383" w:rsidP="000E7482">
      <w:pPr>
        <w:pStyle w:val="Numberloweralpha"/>
        <w:numPr>
          <w:ilvl w:val="0"/>
          <w:numId w:val="4"/>
        </w:numPr>
      </w:pPr>
      <w:r w:rsidRPr="007F40E1">
        <w:t>appears to satisfy 2 or more of the following criteria</w:t>
      </w:r>
      <w:r w:rsidR="00CA2218">
        <w:t>:</w:t>
      </w:r>
    </w:p>
    <w:p w14:paraId="3AD4B27C" w14:textId="77777777" w:rsidR="00E37383" w:rsidRPr="007F40E1" w:rsidRDefault="00E37383" w:rsidP="000E7482">
      <w:pPr>
        <w:pStyle w:val="Numberlowerromanindent"/>
      </w:pPr>
      <w:r w:rsidRPr="007F40E1">
        <w:t xml:space="preserve">has mental illness within the meaning of the </w:t>
      </w:r>
      <w:r w:rsidRPr="00A4089D">
        <w:t>Mental Health Act 2022</w:t>
      </w:r>
    </w:p>
    <w:p w14:paraId="0CD02255" w14:textId="77777777" w:rsidR="00E37383" w:rsidRPr="007F40E1" w:rsidRDefault="00E37383" w:rsidP="000E7482">
      <w:pPr>
        <w:pStyle w:val="Numberlowerromanindent"/>
      </w:pPr>
      <w:r w:rsidRPr="007F40E1">
        <w:t>has an acquired brain injury</w:t>
      </w:r>
    </w:p>
    <w:p w14:paraId="27C1BDD8" w14:textId="77777777" w:rsidR="00E37383" w:rsidRPr="007F40E1" w:rsidRDefault="00E37383" w:rsidP="000E7482">
      <w:pPr>
        <w:pStyle w:val="Numberlowerromanindent"/>
      </w:pPr>
      <w:r w:rsidRPr="007F40E1">
        <w:t>has an intellectual impairment</w:t>
      </w:r>
    </w:p>
    <w:p w14:paraId="4E9CCC54" w14:textId="77777777" w:rsidR="00E37383" w:rsidRPr="007F40E1" w:rsidRDefault="00E37383" w:rsidP="000E7482">
      <w:pPr>
        <w:pStyle w:val="Numberlowerromanindent"/>
      </w:pPr>
      <w:r w:rsidRPr="007F40E1">
        <w:t xml:space="preserve">has a severe substance dependence within the meaning of section 5 of the </w:t>
      </w:r>
      <w:r w:rsidRPr="00A4089D">
        <w:t>Severe Substance Dependence Treatment Act 2010</w:t>
      </w:r>
      <w:r w:rsidRPr="007F40E1">
        <w:t>; and</w:t>
      </w:r>
    </w:p>
    <w:p w14:paraId="70578994" w14:textId="77777777" w:rsidR="00E37383" w:rsidRPr="007F40E1" w:rsidRDefault="00E37383" w:rsidP="000E7482">
      <w:pPr>
        <w:pStyle w:val="Numberloweralpha"/>
        <w:numPr>
          <w:ilvl w:val="0"/>
          <w:numId w:val="4"/>
        </w:numPr>
      </w:pPr>
      <w:r w:rsidRPr="007F40E1">
        <w:t xml:space="preserve">has exhibited violent or dangerous behaviour that caused serious harm to himself or herself or some other person or is exhibiting behaviour which is </w:t>
      </w:r>
      <w:bookmarkStart w:id="200" w:name="_Int_OgdC2FC3"/>
      <w:r w:rsidRPr="007F40E1">
        <w:t>reasonably likely</w:t>
      </w:r>
      <w:bookmarkEnd w:id="200"/>
      <w:r w:rsidRPr="007F40E1">
        <w:t xml:space="preserve"> to place himself or herself or some other person at risk of serious harm, and</w:t>
      </w:r>
    </w:p>
    <w:p w14:paraId="6945F583" w14:textId="77777777" w:rsidR="00E37383" w:rsidRDefault="00E37383" w:rsidP="000E7482">
      <w:pPr>
        <w:pStyle w:val="Numberloweralpha"/>
        <w:numPr>
          <w:ilvl w:val="0"/>
          <w:numId w:val="4"/>
        </w:numPr>
      </w:pPr>
      <w:r w:rsidRPr="007F40E1">
        <w:t>is in need of intensive supervision and support and would derive benefit from receiving coordinated services in accordance with a care plan that may include welfare services, health services, mental health services, disability services, drug and alcohol treatment services or housing and support services.</w:t>
      </w:r>
    </w:p>
    <w:p w14:paraId="3BE8A172" w14:textId="59EE4EB3" w:rsidR="00E37383" w:rsidRPr="00DC0EF9" w:rsidRDefault="00D018BB" w:rsidP="00E37383">
      <w:pPr>
        <w:pStyle w:val="Heading3"/>
      </w:pPr>
      <w:bookmarkStart w:id="201" w:name="_Toc32229253"/>
      <w:r>
        <w:t>7</w:t>
      </w:r>
      <w:r w:rsidR="00E37383">
        <w:t xml:space="preserve">.2.1 </w:t>
      </w:r>
      <w:r w:rsidR="00E37383" w:rsidRPr="00DC0EF9">
        <w:t>Interpretation of diagnostic criteria</w:t>
      </w:r>
      <w:bookmarkEnd w:id="201"/>
    </w:p>
    <w:p w14:paraId="668659BE" w14:textId="77777777" w:rsidR="00E37383" w:rsidRPr="00CA2218" w:rsidRDefault="00E37383" w:rsidP="00CA2218">
      <w:pPr>
        <w:pStyle w:val="Body"/>
      </w:pPr>
      <w:r w:rsidRPr="00CA2218">
        <w:t>Since the inception of MACNI, it has been recognised that the interpretation of the eligibility criteria relies on an inclusive position with respect to criterion b) (i) (ii) (iii) (iv) to ensure the intent of the legislation and initiative is met. That is, it is available to those most in need and is used for people where significant effort to assist has been unsuccessfully tried by the current service system. The role of the panel is not to determine eligibility only against formal diagnoses made by a professional.</w:t>
      </w:r>
    </w:p>
    <w:p w14:paraId="4B2DCB3A" w14:textId="5CC4AFA1" w:rsidR="00E37383" w:rsidRDefault="00E37383" w:rsidP="00E37383">
      <w:pPr>
        <w:pStyle w:val="Body"/>
      </w:pPr>
      <w:r w:rsidRPr="00745E4C">
        <w:lastRenderedPageBreak/>
        <w:t xml:space="preserve">Many clients have </w:t>
      </w:r>
      <w:r>
        <w:t>had</w:t>
      </w:r>
      <w:r w:rsidRPr="00745E4C">
        <w:t xml:space="preserve"> numerous assessments and diagnoses over their life</w:t>
      </w:r>
      <w:r>
        <w:t>.</w:t>
      </w:r>
      <w:r w:rsidRPr="00745E4C">
        <w:t xml:space="preserve"> These clients may be presented to MACNI with a clear diagnosis</w:t>
      </w:r>
      <w:r>
        <w:t xml:space="preserve"> and the panel</w:t>
      </w:r>
      <w:r w:rsidRPr="00745E4C">
        <w:t xml:space="preserve"> may determine that </w:t>
      </w:r>
      <w:r>
        <w:t>specific</w:t>
      </w:r>
      <w:r w:rsidRPr="00745E4C">
        <w:t xml:space="preserve"> diagnostic eligibility criteri</w:t>
      </w:r>
      <w:r>
        <w:t xml:space="preserve">on is </w:t>
      </w:r>
      <w:r w:rsidRPr="00745E4C">
        <w:t>met</w:t>
      </w:r>
      <w:r>
        <w:t>,</w:t>
      </w:r>
      <w:r w:rsidRPr="00745E4C">
        <w:t xml:space="preserve"> and further assessments are not needed. </w:t>
      </w:r>
    </w:p>
    <w:p w14:paraId="36DA5DEB" w14:textId="638ABEC0" w:rsidR="00E37383" w:rsidRPr="00745E4C" w:rsidRDefault="00E37383" w:rsidP="00E37383">
      <w:pPr>
        <w:pStyle w:val="Body"/>
      </w:pPr>
      <w:r w:rsidRPr="00745E4C">
        <w:t xml:space="preserve">In </w:t>
      </w:r>
      <w:r>
        <w:t>other</w:t>
      </w:r>
      <w:r w:rsidRPr="00745E4C">
        <w:t xml:space="preserve"> cases, due to the plethora of assessments and</w:t>
      </w:r>
      <w:r>
        <w:t xml:space="preserve">/or </w:t>
      </w:r>
      <w:r w:rsidRPr="00745E4C">
        <w:t>diagnoses</w:t>
      </w:r>
      <w:r>
        <w:t>,</w:t>
      </w:r>
      <w:r w:rsidRPr="00745E4C">
        <w:t xml:space="preserve"> a panel may determine that a synthesis of existing information for the purpose of developing tailored interventions is required.</w:t>
      </w:r>
    </w:p>
    <w:p w14:paraId="7251BEC9" w14:textId="77777777" w:rsidR="00E37383" w:rsidRDefault="00E37383" w:rsidP="00E37383">
      <w:pPr>
        <w:pStyle w:val="Body"/>
      </w:pPr>
      <w:r w:rsidRPr="00745E4C">
        <w:t>For other clients, evidence of prior assessments and diagnoses may not be available, or the information contain</w:t>
      </w:r>
      <w:r>
        <w:t>s</w:t>
      </w:r>
      <w:r w:rsidRPr="00745E4C">
        <w:t xml:space="preserve"> contradictions that necessitate </w:t>
      </w:r>
      <w:r>
        <w:t xml:space="preserve">an </w:t>
      </w:r>
      <w:r w:rsidRPr="00745E4C">
        <w:t xml:space="preserve">integrated assessment. </w:t>
      </w:r>
      <w:r>
        <w:t>R</w:t>
      </w:r>
      <w:r w:rsidRPr="00745E4C">
        <w:t>elying on the legislation</w:t>
      </w:r>
      <w:r>
        <w:t>’s wording of `</w:t>
      </w:r>
      <w:r w:rsidRPr="00745E4C">
        <w:t>appears to have</w:t>
      </w:r>
      <w:r>
        <w:t xml:space="preserve">’ </w:t>
      </w:r>
      <w:r w:rsidRPr="00745E4C">
        <w:t xml:space="preserve">enables the use of judgement about the diagnoses which errs on the side of inclusion. </w:t>
      </w:r>
    </w:p>
    <w:p w14:paraId="45110A9F" w14:textId="77777777" w:rsidR="00E37383" w:rsidRDefault="00E37383" w:rsidP="00AB4050">
      <w:pPr>
        <w:pStyle w:val="Heading4"/>
      </w:pPr>
      <w:r w:rsidRPr="00745E4C">
        <w:t>Mental Health Act 20</w:t>
      </w:r>
      <w:r>
        <w:t>22</w:t>
      </w:r>
      <w:r w:rsidRPr="00745E4C">
        <w:t xml:space="preserve"> and Severe Substance Dependence Treatment Act 2010</w:t>
      </w:r>
    </w:p>
    <w:p w14:paraId="39D15B4A" w14:textId="77777777" w:rsidR="00E37383" w:rsidRPr="00CA2218" w:rsidRDefault="00E37383" w:rsidP="00CA2218">
      <w:pPr>
        <w:pStyle w:val="Body"/>
      </w:pPr>
      <w:r w:rsidRPr="00CA2218">
        <w:t xml:space="preserve">Further supporting less stringent interpretation of eligibility, is the requirement to establish diagnoses consistent with the definitions of `mental illness’ and `severe substance dependence’ in the </w:t>
      </w:r>
      <w:r w:rsidRPr="00EA19D3">
        <w:rPr>
          <w:i/>
          <w:iCs/>
        </w:rPr>
        <w:t>Mental Health Act 2022</w:t>
      </w:r>
      <w:r w:rsidRPr="00CA2218">
        <w:t xml:space="preserve"> and </w:t>
      </w:r>
      <w:r w:rsidRPr="00EA19D3">
        <w:rPr>
          <w:i/>
          <w:iCs/>
        </w:rPr>
        <w:t>Severe Substance Dependence Treatment Act 2010</w:t>
      </w:r>
      <w:r w:rsidRPr="00CA2218">
        <w:t xml:space="preserve">. Both Acts provide definitions that narrowly establish the requirements for the compulsory/mandated treatment of persons. </w:t>
      </w:r>
    </w:p>
    <w:p w14:paraId="2FA80472" w14:textId="77777777" w:rsidR="00E37383" w:rsidRPr="00CA2218" w:rsidRDefault="00E37383" w:rsidP="00CA2218">
      <w:pPr>
        <w:pStyle w:val="Body"/>
      </w:pPr>
      <w:r w:rsidRPr="00CA2218">
        <w:t xml:space="preserve">Section 4 of the </w:t>
      </w:r>
      <w:r w:rsidRPr="00EA19D3">
        <w:rPr>
          <w:i/>
          <w:iCs/>
        </w:rPr>
        <w:t>Mental Health Act 2022</w:t>
      </w:r>
      <w:r w:rsidRPr="00CA2218">
        <w:t xml:space="preserve"> defines mental illness as `…a medical condition that is characterised by a significant disturbance of thought, mood, perception or memory’. The Act establishes a supported decision-making model that will enable and support compulsory patients to make or participate in decisions about their treatment and determine their individual path to recovery. </w:t>
      </w:r>
    </w:p>
    <w:p w14:paraId="5BBF45BB" w14:textId="77777777" w:rsidR="00E37383" w:rsidRPr="00CA2218" w:rsidRDefault="00E37383" w:rsidP="00CA2218">
      <w:pPr>
        <w:pStyle w:val="Body"/>
      </w:pPr>
      <w:r w:rsidRPr="00CA2218">
        <w:t xml:space="preserve">The </w:t>
      </w:r>
      <w:r w:rsidRPr="00EA19D3">
        <w:rPr>
          <w:i/>
          <w:iCs/>
        </w:rPr>
        <w:t>Severe Substance Dependence Treatment Act 2010</w:t>
      </w:r>
      <w:r w:rsidRPr="00CA2218">
        <w:t xml:space="preserve"> targets a very small group of people affected by the most severe substance dependence who urgently require treatment to save their lives or prevent serious damage to their health. Section 5 of the Act defines that a person has a ‘severe substance dependence’:</w:t>
      </w:r>
    </w:p>
    <w:p w14:paraId="53E2F93D" w14:textId="77777777" w:rsidR="00E37383" w:rsidRPr="00E300E0" w:rsidRDefault="00E37383" w:rsidP="00740A47">
      <w:pPr>
        <w:pStyle w:val="Bullet1"/>
        <w:rPr>
          <w:lang w:val="en"/>
        </w:rPr>
      </w:pPr>
      <w:r w:rsidRPr="00E300E0">
        <w:rPr>
          <w:lang w:val="en"/>
        </w:rPr>
        <w:t>if the person has a tolerance to a substance; and</w:t>
      </w:r>
    </w:p>
    <w:p w14:paraId="45807EFD" w14:textId="41AEB9A7" w:rsidR="00E37383" w:rsidRDefault="00E37383" w:rsidP="00740A47">
      <w:pPr>
        <w:pStyle w:val="Bullet1"/>
        <w:rPr>
          <w:lang w:val="en"/>
        </w:rPr>
      </w:pPr>
      <w:r w:rsidRPr="00745E4C">
        <w:rPr>
          <w:lang w:val="en"/>
        </w:rPr>
        <w:t>the person shows withdrawal symptoms when they stop using or reduce the level of use of</w:t>
      </w:r>
      <w:r w:rsidR="005A3F87">
        <w:rPr>
          <w:lang w:val="en"/>
        </w:rPr>
        <w:t xml:space="preserve"> </w:t>
      </w:r>
      <w:r w:rsidRPr="00745E4C">
        <w:rPr>
          <w:lang w:val="en"/>
        </w:rPr>
        <w:t>the substance; and</w:t>
      </w:r>
    </w:p>
    <w:p w14:paraId="6D9483FA" w14:textId="76AEDCB9" w:rsidR="00E37383" w:rsidRPr="00E300E0" w:rsidRDefault="00E37383" w:rsidP="00740A47">
      <w:pPr>
        <w:pStyle w:val="Bullet1"/>
        <w:rPr>
          <w:lang w:val="en"/>
        </w:rPr>
      </w:pPr>
      <w:r w:rsidRPr="00E300E0">
        <w:rPr>
          <w:lang w:val="en"/>
        </w:rPr>
        <w:t>the person is incapable of making decisions about his or her substance use and personal health, welfare</w:t>
      </w:r>
      <w:r w:rsidR="00CE6024">
        <w:rPr>
          <w:lang w:val="en"/>
        </w:rPr>
        <w:t>,</w:t>
      </w:r>
      <w:r w:rsidRPr="00E300E0">
        <w:rPr>
          <w:lang w:val="en"/>
        </w:rPr>
        <w:t xml:space="preserve"> and safety due primarily to the person’s dependence on the substance.</w:t>
      </w:r>
    </w:p>
    <w:p w14:paraId="64399B1E" w14:textId="06701029" w:rsidR="00E37383" w:rsidRPr="00CA2218" w:rsidRDefault="00E37383" w:rsidP="00CA2218">
      <w:pPr>
        <w:pStyle w:val="Body"/>
      </w:pPr>
      <w:r w:rsidRPr="00CA2218">
        <w:t>The respective definitions enable an Area Complex Needs Panel to use its collective knowledge and experience to consider the available information about the client. Therefore, the Area Complex Needs Panel’s role is to establish an `apparent’ presence of diagnostic criteria, even if it is to the extent that the panel notes information deficiencies/contradictions that require attention for clarification during the development of a care plan.</w:t>
      </w:r>
    </w:p>
    <w:p w14:paraId="1100ACB0" w14:textId="4F3219B9" w:rsidR="00E37383" w:rsidRPr="003216C8" w:rsidRDefault="00E37383" w:rsidP="000E7482">
      <w:pPr>
        <w:pStyle w:val="Heading2"/>
        <w:numPr>
          <w:ilvl w:val="1"/>
          <w:numId w:val="12"/>
        </w:numPr>
      </w:pPr>
      <w:bookmarkStart w:id="202" w:name="_Toc32229267"/>
      <w:bookmarkStart w:id="203" w:name="_Toc65508234"/>
      <w:bookmarkStart w:id="204" w:name="_Toc112856234"/>
      <w:bookmarkStart w:id="205" w:name="_Toc125713715"/>
      <w:bookmarkStart w:id="206" w:name="_Toc137636761"/>
      <w:bookmarkStart w:id="207" w:name="_Toc145318598"/>
      <w:r w:rsidRPr="00ED5DCE">
        <w:t>Pre</w:t>
      </w:r>
      <w:r w:rsidRPr="003216C8">
        <w:t>-MACNI</w:t>
      </w:r>
      <w:bookmarkEnd w:id="202"/>
      <w:bookmarkEnd w:id="203"/>
      <w:bookmarkEnd w:id="204"/>
      <w:bookmarkEnd w:id="205"/>
      <w:bookmarkEnd w:id="206"/>
      <w:bookmarkEnd w:id="207"/>
      <w:r w:rsidRPr="003216C8">
        <w:t xml:space="preserve"> </w:t>
      </w:r>
    </w:p>
    <w:p w14:paraId="61ED86CB" w14:textId="77777777" w:rsidR="00E37383" w:rsidRPr="00745E4C" w:rsidRDefault="00E37383" w:rsidP="00E37383">
      <w:pPr>
        <w:pStyle w:val="Body"/>
      </w:pPr>
      <w:bookmarkStart w:id="208" w:name="_Hlk15042275"/>
      <w:r>
        <w:t>Pre-</w:t>
      </w:r>
      <w:r w:rsidRPr="00745E4C">
        <w:t>MACNI is indicated where:</w:t>
      </w:r>
    </w:p>
    <w:p w14:paraId="7059160D" w14:textId="77777777" w:rsidR="00E37383" w:rsidRPr="00590061" w:rsidRDefault="48AED0DF" w:rsidP="00740A47">
      <w:pPr>
        <w:pStyle w:val="Bullet1"/>
      </w:pPr>
      <w:r>
        <w:t xml:space="preserve">a client appears to meet the </w:t>
      </w:r>
      <w:r w:rsidRPr="7DAFCD5E">
        <w:rPr>
          <w:i/>
          <w:iCs/>
        </w:rPr>
        <w:t>Human Services (Complex Needs) Act 2009</w:t>
      </w:r>
      <w:r>
        <w:t xml:space="preserve"> eligibility criteria (does not require to be confirmed by formal assessment)</w:t>
      </w:r>
    </w:p>
    <w:p w14:paraId="24AFD7AD" w14:textId="77777777" w:rsidR="00E37383" w:rsidRPr="00745E4C" w:rsidRDefault="48AED0DF" w:rsidP="00740A47">
      <w:pPr>
        <w:pStyle w:val="Bullet1"/>
      </w:pPr>
      <w:r>
        <w:t xml:space="preserve">the </w:t>
      </w:r>
      <w:r w:rsidRPr="7DAFCD5E">
        <w:rPr>
          <w:rFonts w:eastAsia="Arial" w:cs="Arial"/>
        </w:rPr>
        <w:t>client</w:t>
      </w:r>
      <w:r>
        <w:t>’s presenting issues were not able to be adequately resolved through consultation, local problem-solving and collaboration</w:t>
      </w:r>
    </w:p>
    <w:p w14:paraId="08F1D181" w14:textId="7BD33CEC" w:rsidR="00E37383" w:rsidRPr="00745E4C" w:rsidRDefault="48AED0DF" w:rsidP="00740A47">
      <w:pPr>
        <w:pStyle w:val="Bullet1"/>
      </w:pPr>
      <w:r>
        <w:t>the client and care team would benefit from service coordination (</w:t>
      </w:r>
      <w:r w:rsidR="00CA2218">
        <w:t xml:space="preserve">time-limited at less than </w:t>
      </w:r>
      <w:r>
        <w:t>4 hours per week)</w:t>
      </w:r>
    </w:p>
    <w:p w14:paraId="3FFF0A8B" w14:textId="79D119B2" w:rsidR="00E37383" w:rsidRDefault="48AED0DF" w:rsidP="00CE6024">
      <w:pPr>
        <w:pStyle w:val="lastbullett"/>
      </w:pPr>
      <w:r>
        <w:lastRenderedPageBreak/>
        <w:t xml:space="preserve">there is evidence to suggest that a particular support intervention is likely to positively impact on the </w:t>
      </w:r>
      <w:r w:rsidRPr="7DAFCD5E">
        <w:rPr>
          <w:rFonts w:eastAsia="Arial" w:cs="Arial"/>
          <w:color w:val="000000" w:themeColor="text1"/>
        </w:rPr>
        <w:t>client</w:t>
      </w:r>
      <w:r>
        <w:t xml:space="preserve">’s situation and longer-term outcome and can only be achieved </w:t>
      </w:r>
      <w:r w:rsidR="002B25F4">
        <w:t>using</w:t>
      </w:r>
      <w:r>
        <w:t xml:space="preserve"> Pre-MACNI brokerage funding.</w:t>
      </w:r>
    </w:p>
    <w:p w14:paraId="76E4783D" w14:textId="4643EF27" w:rsidR="00E37383" w:rsidRPr="004F42FA" w:rsidRDefault="0070494B" w:rsidP="004B14F8">
      <w:pPr>
        <w:pStyle w:val="Bodyafterbullets"/>
      </w:pPr>
      <w:r>
        <w:t>Therefore</w:t>
      </w:r>
      <w:r w:rsidR="00E37383" w:rsidRPr="00905850">
        <w:t xml:space="preserve">, a </w:t>
      </w:r>
      <w:r w:rsidR="00E37383">
        <w:t>P</w:t>
      </w:r>
      <w:r w:rsidR="00E37383" w:rsidRPr="00905850">
        <w:t xml:space="preserve">re-MACNI response may be considered by the </w:t>
      </w:r>
      <w:r w:rsidR="00E37383">
        <w:t>Complex Needs Coordinator.</w:t>
      </w:r>
      <w:bookmarkEnd w:id="208"/>
    </w:p>
    <w:p w14:paraId="188A43A9" w14:textId="77777777" w:rsidR="00F1152B" w:rsidRPr="004F42FA" w:rsidRDefault="00F1152B" w:rsidP="004B14F8">
      <w:pPr>
        <w:pStyle w:val="Bodyafterbullet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662"/>
      </w:tblGrid>
      <w:tr w:rsidR="00E37383" w14:paraId="15F6584C" w14:textId="77777777" w:rsidTr="7DAFCD5E">
        <w:tc>
          <w:tcPr>
            <w:tcW w:w="0" w:type="auto"/>
            <w:shd w:val="clear" w:color="auto" w:fill="CCE9F8"/>
            <w:vAlign w:val="center"/>
          </w:tcPr>
          <w:p w14:paraId="35E5A7AF" w14:textId="77777777" w:rsidR="00E37383" w:rsidRDefault="00E37383">
            <w:pPr>
              <w:pStyle w:val="Body"/>
            </w:pPr>
            <w:r>
              <w:rPr>
                <w:noProof/>
              </w:rPr>
              <w:drawing>
                <wp:inline distT="0" distB="0" distL="0" distR="0" wp14:anchorId="0E5AB109" wp14:editId="0D557E78">
                  <wp:extent cx="540000" cy="540000"/>
                  <wp:effectExtent l="0" t="0" r="0" b="0"/>
                  <wp:docPr id="118" name="Picture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65EB13A" w14:textId="77777777" w:rsidR="00E37383" w:rsidRDefault="00E37383">
            <w:pPr>
              <w:pStyle w:val="Tablecolhead"/>
              <w:rPr>
                <w:rFonts w:eastAsia="Arial"/>
              </w:rPr>
            </w:pPr>
            <w:r>
              <w:rPr>
                <w:rFonts w:eastAsia="Arial"/>
              </w:rPr>
              <w:t>Documentation required</w:t>
            </w:r>
          </w:p>
          <w:p w14:paraId="39C1D0F1" w14:textId="7E5E9AD3" w:rsidR="00E37383" w:rsidRDefault="007D5F7B" w:rsidP="00740A47">
            <w:pPr>
              <w:pStyle w:val="Bullet1"/>
            </w:pPr>
            <w:r>
              <w:t xml:space="preserve">1 </w:t>
            </w:r>
            <w:r w:rsidR="002B25F4">
              <w:t xml:space="preserve">Complex Needs </w:t>
            </w:r>
            <w:r w:rsidR="002B25F4" w:rsidRPr="00162E6E">
              <w:t>Referral Form</w:t>
            </w:r>
          </w:p>
          <w:p w14:paraId="5FB09FFB" w14:textId="0F10B5FB" w:rsidR="00E37383" w:rsidRPr="00B83D2D" w:rsidRDefault="007D5F7B" w:rsidP="00740A47">
            <w:pPr>
              <w:pStyle w:val="Bullet1"/>
            </w:pPr>
            <w:r>
              <w:t>1c</w:t>
            </w:r>
            <w:r w:rsidR="002B25F4">
              <w:t xml:space="preserve"> Complex Needs Recommendations / Closure Form</w:t>
            </w:r>
            <w:r w:rsidR="48AED0DF">
              <w:t xml:space="preserve">. </w:t>
            </w:r>
          </w:p>
        </w:tc>
      </w:tr>
    </w:tbl>
    <w:p w14:paraId="26A6159B"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343"/>
      </w:tblGrid>
      <w:tr w:rsidR="00E37383" w14:paraId="7F0E18B8" w14:textId="77777777" w:rsidTr="7DAFCD5E">
        <w:tc>
          <w:tcPr>
            <w:tcW w:w="0" w:type="auto"/>
            <w:shd w:val="clear" w:color="auto" w:fill="99D3F0"/>
            <w:vAlign w:val="center"/>
          </w:tcPr>
          <w:p w14:paraId="4C97A56A" w14:textId="77777777" w:rsidR="00E37383" w:rsidRDefault="00E37383" w:rsidP="009104F4">
            <w:pPr>
              <w:pStyle w:val="Body"/>
              <w:spacing w:before="120"/>
            </w:pPr>
            <w:r>
              <w:rPr>
                <w:noProof/>
              </w:rPr>
              <w:drawing>
                <wp:inline distT="0" distB="0" distL="0" distR="0" wp14:anchorId="4DF9458A" wp14:editId="23E17C90">
                  <wp:extent cx="540000" cy="540000"/>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0B19FA2" w14:textId="77777777" w:rsidR="00E37383" w:rsidRDefault="00E37383">
            <w:pPr>
              <w:pStyle w:val="Tablecolhead"/>
            </w:pPr>
            <w:r>
              <w:t>Coordinator tasks</w:t>
            </w:r>
          </w:p>
          <w:p w14:paraId="6945F8AB" w14:textId="77777777" w:rsidR="00E37383" w:rsidRPr="00590061" w:rsidRDefault="48AED0DF" w:rsidP="00740A47">
            <w:pPr>
              <w:pStyle w:val="Bullet1"/>
            </w:pPr>
            <w:r>
              <w:t>update the SharePoint client database</w:t>
            </w:r>
          </w:p>
          <w:p w14:paraId="3C61AAD6" w14:textId="77777777" w:rsidR="00E37383" w:rsidRPr="00590061" w:rsidRDefault="48AED0DF" w:rsidP="00740A47">
            <w:pPr>
              <w:pStyle w:val="Bullet1"/>
            </w:pPr>
            <w:r>
              <w:t xml:space="preserve">provide services as specified </w:t>
            </w:r>
          </w:p>
          <w:p w14:paraId="09E3B11B" w14:textId="100BB343" w:rsidR="00E37383" w:rsidRDefault="48AED0DF" w:rsidP="00740A47">
            <w:pPr>
              <w:pStyle w:val="Bullet1"/>
            </w:pPr>
            <w:r>
              <w:t xml:space="preserve">provide </w:t>
            </w:r>
            <w:r w:rsidR="002B25F4">
              <w:t xml:space="preserve">Complex Needs Recommendations/Closure Form </w:t>
            </w:r>
            <w:r>
              <w:t>to the referrer.</w:t>
            </w:r>
          </w:p>
        </w:tc>
      </w:tr>
    </w:tbl>
    <w:p w14:paraId="3D8C8BA5" w14:textId="20177EC3" w:rsidR="67C18456" w:rsidRDefault="67C18456"/>
    <w:p w14:paraId="5AD748B9" w14:textId="6D144D88" w:rsidR="00E37383" w:rsidRPr="00713AE9" w:rsidRDefault="00AB4050" w:rsidP="00E37383">
      <w:pPr>
        <w:pStyle w:val="Heading3"/>
      </w:pPr>
      <w:bookmarkStart w:id="209" w:name="_Toc32229268"/>
      <w:bookmarkStart w:id="210" w:name="_Toc65508235"/>
      <w:bookmarkStart w:id="211" w:name="_Toc112856235"/>
      <w:bookmarkStart w:id="212" w:name="_Toc125713716"/>
      <w:r>
        <w:t>7</w:t>
      </w:r>
      <w:r w:rsidR="00E37383">
        <w:t xml:space="preserve">.3.1 Complex Needs Panel </w:t>
      </w:r>
      <w:bookmarkEnd w:id="209"/>
      <w:bookmarkEnd w:id="210"/>
      <w:bookmarkEnd w:id="211"/>
      <w:bookmarkEnd w:id="212"/>
    </w:p>
    <w:p w14:paraId="100DC10B" w14:textId="77777777" w:rsidR="00E37383" w:rsidRDefault="00E37383" w:rsidP="00E37383">
      <w:pPr>
        <w:pStyle w:val="Body"/>
      </w:pPr>
      <w:r>
        <w:t xml:space="preserve">Pre-MACNI clients may be presented to the panel by the Complex Needs Coordinator for expert advice on service planning, monitoring </w:t>
      </w:r>
      <w:r w:rsidRPr="005B0BF2">
        <w:t xml:space="preserve">and the identification of systemic issues. Not all </w:t>
      </w:r>
      <w:r>
        <w:t>Pre-MACNI</w:t>
      </w:r>
      <w:r w:rsidRPr="005B0BF2">
        <w:t xml:space="preserve"> clients </w:t>
      </w:r>
      <w:r>
        <w:t xml:space="preserve">are </w:t>
      </w:r>
      <w:r w:rsidRPr="005B0BF2">
        <w:t>require</w:t>
      </w:r>
      <w:r>
        <w:t>d</w:t>
      </w:r>
      <w:r w:rsidRPr="005B0BF2">
        <w:t xml:space="preserve"> to be presented, however</w:t>
      </w:r>
      <w:r>
        <w:t>,</w:t>
      </w:r>
      <w:r w:rsidRPr="005B0BF2">
        <w:t xml:space="preserve"> </w:t>
      </w:r>
      <w:r>
        <w:t>the panel should be consulted where there are:</w:t>
      </w:r>
    </w:p>
    <w:p w14:paraId="7AB382AF" w14:textId="77777777" w:rsidR="00E37383" w:rsidRPr="00C236DF" w:rsidRDefault="48AED0DF" w:rsidP="00740A47">
      <w:pPr>
        <w:pStyle w:val="Bullet1"/>
      </w:pPr>
      <w:r>
        <w:t>particularly challenging or unusual circumstances</w:t>
      </w:r>
    </w:p>
    <w:p w14:paraId="53A95C8C" w14:textId="77777777" w:rsidR="00E37383" w:rsidRPr="00C236DF" w:rsidRDefault="48AED0DF" w:rsidP="00740A47">
      <w:pPr>
        <w:pStyle w:val="Bullet1"/>
      </w:pPr>
      <w:r>
        <w:t>systemic issues</w:t>
      </w:r>
    </w:p>
    <w:p w14:paraId="23505322" w14:textId="77777777" w:rsidR="00E37383" w:rsidRPr="00C236DF" w:rsidRDefault="48AED0DF" w:rsidP="00740A47">
      <w:pPr>
        <w:pStyle w:val="Bullet1"/>
      </w:pPr>
      <w:r>
        <w:t>brokerage expenditure that requires noting</w:t>
      </w:r>
    </w:p>
    <w:p w14:paraId="5B9204E2" w14:textId="77777777" w:rsidR="00E37383" w:rsidRPr="00C236DF" w:rsidRDefault="48AED0DF" w:rsidP="00740A47">
      <w:pPr>
        <w:pStyle w:val="Bullet1"/>
      </w:pPr>
      <w:r>
        <w:t>concerns around risk management.</w:t>
      </w:r>
    </w:p>
    <w:p w14:paraId="0BD24186" w14:textId="77777777" w:rsidR="00E37383" w:rsidRDefault="00E37383" w:rsidP="00E37383">
      <w:pPr>
        <w:pStyle w:val="Bodyafterbullets"/>
      </w:pPr>
      <w:r w:rsidRPr="00905850">
        <w:t xml:space="preserve">For some people, the use of </w:t>
      </w:r>
      <w:r>
        <w:t>P</w:t>
      </w:r>
      <w:r w:rsidRPr="00905850">
        <w:t xml:space="preserve">re-MACNI is determined to be an insufficient level of coordination to meet their needs and goals. For some, this will be determined after the approach has been tried; while for others, evidence indicates that a higher level of coordination and care planning is required and a formal referral to </w:t>
      </w:r>
      <w:r w:rsidRPr="00745E4C">
        <w:t>MACNI is initiated</w:t>
      </w:r>
      <w:r w:rsidRPr="009B693D">
        <w:t>.</w:t>
      </w:r>
    </w:p>
    <w:p w14:paraId="1C2868FB" w14:textId="1927DD7D" w:rsidR="00E37383" w:rsidRPr="003802BA" w:rsidRDefault="00AB4050" w:rsidP="00E37383">
      <w:pPr>
        <w:pStyle w:val="Heading3"/>
      </w:pPr>
      <w:r w:rsidRPr="003802BA">
        <w:t>7</w:t>
      </w:r>
      <w:r w:rsidR="00E37383" w:rsidRPr="003802BA">
        <w:t>.3.2 Pre-MACNI brokerage</w:t>
      </w:r>
    </w:p>
    <w:p w14:paraId="55501A9B" w14:textId="2245946D" w:rsidR="00E37383" w:rsidRPr="00FD7568" w:rsidRDefault="00E37383" w:rsidP="003802BA">
      <w:pPr>
        <w:pStyle w:val="Body"/>
      </w:pPr>
      <w:r w:rsidRPr="003802BA">
        <w:t xml:space="preserve">Up to $15,000 of Pre-MACNI brokerage is available to purchase specific services / interventions that will avoid further escalation. Refer to </w:t>
      </w:r>
      <w:r w:rsidRPr="00D14BC1">
        <w:t xml:space="preserve">section </w:t>
      </w:r>
      <w:r w:rsidR="003802BA" w:rsidRPr="00D14BC1">
        <w:t>8</w:t>
      </w:r>
      <w:r w:rsidRPr="003802BA">
        <w:t xml:space="preserve"> for further information</w:t>
      </w:r>
      <w:r w:rsidR="00D14BC1">
        <w:t xml:space="preserve"> regarding the use of broker</w:t>
      </w:r>
      <w:r w:rsidR="004E7CBD">
        <w:t>age</w:t>
      </w:r>
      <w:r w:rsidRPr="003802BA">
        <w:t>.</w:t>
      </w:r>
      <w:r>
        <w:t xml:space="preserve"> </w:t>
      </w:r>
    </w:p>
    <w:p w14:paraId="7D1999B3" w14:textId="456A68E8" w:rsidR="00E37383" w:rsidRDefault="008662D1" w:rsidP="00E37383">
      <w:pPr>
        <w:pStyle w:val="Heading3"/>
      </w:pPr>
      <w:r>
        <w:t>7</w:t>
      </w:r>
      <w:r w:rsidR="00E37383">
        <w:t>.3.3 Pre-MACNI closure</w:t>
      </w:r>
    </w:p>
    <w:p w14:paraId="5A2A6FB9" w14:textId="77777777" w:rsidR="00E37383" w:rsidRDefault="00E37383" w:rsidP="00E37383">
      <w:pPr>
        <w:pStyle w:val="Body"/>
      </w:pPr>
      <w:r>
        <w:t>Pre-MACNI services should be considered for closure in the following circumstances:</w:t>
      </w:r>
    </w:p>
    <w:p w14:paraId="290CE440" w14:textId="77777777" w:rsidR="00E37383" w:rsidRDefault="48AED0DF" w:rsidP="00740A47">
      <w:pPr>
        <w:pStyle w:val="Bullet1"/>
      </w:pPr>
      <w:r>
        <w:t>the matter is believed to be resolved, and/or</w:t>
      </w:r>
    </w:p>
    <w:p w14:paraId="6E9D2F22" w14:textId="77777777" w:rsidR="00E37383" w:rsidRDefault="48AED0DF" w:rsidP="00740A47">
      <w:pPr>
        <w:pStyle w:val="Bullet1"/>
      </w:pPr>
      <w:r>
        <w:t>the involved services have not required further consultation support for 3 months</w:t>
      </w:r>
    </w:p>
    <w:p w14:paraId="1F261AEC" w14:textId="77777777" w:rsidR="00E37383" w:rsidRPr="00745E4C" w:rsidRDefault="48AED0DF" w:rsidP="00740A47">
      <w:pPr>
        <w:pStyle w:val="Bullet1"/>
      </w:pPr>
      <w:r>
        <w:t>no further tasks have been generated for the Complex Needs Coordinator for 3 months</w:t>
      </w:r>
    </w:p>
    <w:p w14:paraId="13E3950C" w14:textId="77777777" w:rsidR="00E37383" w:rsidRPr="00745E4C" w:rsidRDefault="48AED0DF" w:rsidP="00740A47">
      <w:pPr>
        <w:pStyle w:val="Bullet1"/>
      </w:pPr>
      <w:r>
        <w:t>the client decides to withdraw.</w:t>
      </w:r>
    </w:p>
    <w:p w14:paraId="1CD9A183" w14:textId="7F925517" w:rsidR="00E37383" w:rsidRDefault="00E37383" w:rsidP="00E37383">
      <w:pPr>
        <w:pStyle w:val="Bodyafterbullets"/>
      </w:pPr>
      <w:r w:rsidRPr="00745E4C">
        <w:lastRenderedPageBreak/>
        <w:t xml:space="preserve">The client can be re-referred </w:t>
      </w:r>
      <w:r w:rsidR="002B25F4">
        <w:t>if</w:t>
      </w:r>
      <w:r w:rsidRPr="00745E4C">
        <w:t xml:space="preserve"> the need arises. If the client is re-referred, a new consultation record is opened (ensuring </w:t>
      </w:r>
      <w:r>
        <w:t xml:space="preserve">client details are updated), reflecting the current reason/goal of consultation, current service system issues and current service involvement. </w:t>
      </w:r>
    </w:p>
    <w:p w14:paraId="7499E6A4" w14:textId="77777777" w:rsidR="00E37383" w:rsidRPr="00935E25" w:rsidRDefault="00E37383" w:rsidP="00E37383">
      <w:pPr>
        <w:pStyle w:val="Bodyafterbullets"/>
      </w:pPr>
      <w:bookmarkStart w:id="213" w:name="_Hlk179789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545"/>
      </w:tblGrid>
      <w:tr w:rsidR="00E37383" w14:paraId="17FF5D48" w14:textId="77777777" w:rsidTr="7DAFCD5E">
        <w:tc>
          <w:tcPr>
            <w:tcW w:w="0" w:type="auto"/>
            <w:shd w:val="clear" w:color="auto" w:fill="CCE9F8"/>
            <w:vAlign w:val="center"/>
          </w:tcPr>
          <w:p w14:paraId="36958BEA" w14:textId="77777777" w:rsidR="00E37383" w:rsidRDefault="00E37383" w:rsidP="009104F4">
            <w:pPr>
              <w:pStyle w:val="Body"/>
              <w:spacing w:before="120"/>
            </w:pPr>
            <w:r>
              <w:rPr>
                <w:noProof/>
              </w:rPr>
              <w:drawing>
                <wp:inline distT="0" distB="0" distL="0" distR="0" wp14:anchorId="2F487525" wp14:editId="1C747848">
                  <wp:extent cx="540000" cy="540000"/>
                  <wp:effectExtent l="0" t="0" r="0" b="0"/>
                  <wp:docPr id="293" name="Picture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225619B" w14:textId="77777777" w:rsidR="00E37383" w:rsidRDefault="00E37383">
            <w:pPr>
              <w:pStyle w:val="Tablecolhead"/>
              <w:rPr>
                <w:rFonts w:eastAsia="Arial"/>
              </w:rPr>
            </w:pPr>
            <w:r w:rsidRPr="00DF0E4E">
              <w:rPr>
                <w:rFonts w:eastAsia="Arial"/>
              </w:rPr>
              <w:t>Documentation</w:t>
            </w:r>
            <w:r>
              <w:rPr>
                <w:rFonts w:eastAsia="Arial"/>
              </w:rPr>
              <w:t xml:space="preserve"> required</w:t>
            </w:r>
          </w:p>
          <w:p w14:paraId="0F1E49BC" w14:textId="7FB7E9B2" w:rsidR="00E37383" w:rsidRPr="00B83D2D" w:rsidRDefault="007D5F7B" w:rsidP="00740A47">
            <w:pPr>
              <w:pStyle w:val="Bullet1"/>
            </w:pPr>
            <w:r>
              <w:t xml:space="preserve">1c </w:t>
            </w:r>
            <w:r w:rsidR="002B25F4">
              <w:t>Complex Needs Recommendations/Closure Form</w:t>
            </w:r>
            <w:r w:rsidR="48AED0DF">
              <w:t>.</w:t>
            </w:r>
          </w:p>
        </w:tc>
      </w:tr>
      <w:bookmarkEnd w:id="213"/>
    </w:tbl>
    <w:p w14:paraId="3AAA5E89" w14:textId="77777777" w:rsidR="00E37383" w:rsidRPr="00AD18BF"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707"/>
      </w:tblGrid>
      <w:tr w:rsidR="00E37383" w14:paraId="68E2BF14" w14:textId="77777777" w:rsidTr="7DAFCD5E">
        <w:tc>
          <w:tcPr>
            <w:tcW w:w="0" w:type="auto"/>
            <w:shd w:val="clear" w:color="auto" w:fill="99D3F0"/>
            <w:vAlign w:val="center"/>
          </w:tcPr>
          <w:p w14:paraId="34F97D45" w14:textId="77777777" w:rsidR="00E37383" w:rsidRDefault="00E37383" w:rsidP="009104F4">
            <w:pPr>
              <w:pStyle w:val="Body"/>
              <w:spacing w:before="120"/>
            </w:pPr>
            <w:r>
              <w:rPr>
                <w:noProof/>
              </w:rPr>
              <w:drawing>
                <wp:inline distT="0" distB="0" distL="0" distR="0" wp14:anchorId="10D05A75" wp14:editId="3B371F13">
                  <wp:extent cx="540000" cy="540000"/>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2478F30" w14:textId="77777777" w:rsidR="00E37383" w:rsidRDefault="00E37383">
            <w:pPr>
              <w:pStyle w:val="Tablecolhead"/>
            </w:pPr>
            <w:r>
              <w:t>Coordinator tasks</w:t>
            </w:r>
          </w:p>
          <w:p w14:paraId="6E4D1D72" w14:textId="77777777" w:rsidR="00E37383" w:rsidRPr="00590061" w:rsidRDefault="48AED0DF" w:rsidP="00740A47">
            <w:pPr>
              <w:pStyle w:val="Bullet1"/>
            </w:pPr>
            <w:r>
              <w:t>contact referral to advise of the closure</w:t>
            </w:r>
          </w:p>
          <w:p w14:paraId="1F6F85AB" w14:textId="77777777" w:rsidR="00E37383" w:rsidRPr="00F83B54" w:rsidRDefault="48AED0DF" w:rsidP="00740A47">
            <w:pPr>
              <w:pStyle w:val="Bullet1"/>
            </w:pPr>
            <w:r>
              <w:t xml:space="preserve">update the SharePoint client database, ensuring the closure date is recorded </w:t>
            </w:r>
          </w:p>
          <w:p w14:paraId="1467B04A" w14:textId="5D1C0997" w:rsidR="00E37383" w:rsidRDefault="48AED0DF" w:rsidP="00740A47">
            <w:pPr>
              <w:pStyle w:val="Bullet1"/>
            </w:pPr>
            <w:r>
              <w:t xml:space="preserve">provide </w:t>
            </w:r>
            <w:r w:rsidR="002B25F4">
              <w:t xml:space="preserve">Complex Needs Recommendations/Closure Form </w:t>
            </w:r>
            <w:r>
              <w:t xml:space="preserve">to the referrer. </w:t>
            </w:r>
          </w:p>
        </w:tc>
      </w:tr>
    </w:tbl>
    <w:p w14:paraId="5DC944F2" w14:textId="4876309E" w:rsidR="00E37383" w:rsidRPr="009C7F39" w:rsidRDefault="00E37383" w:rsidP="000E7482">
      <w:pPr>
        <w:pStyle w:val="Heading2"/>
        <w:numPr>
          <w:ilvl w:val="1"/>
          <w:numId w:val="12"/>
        </w:numPr>
      </w:pPr>
      <w:bookmarkStart w:id="214" w:name="_Toc32229271"/>
      <w:bookmarkStart w:id="215" w:name="_Toc65508238"/>
      <w:bookmarkStart w:id="216" w:name="_Toc112856238"/>
      <w:bookmarkStart w:id="217" w:name="_Toc125713719"/>
      <w:bookmarkStart w:id="218" w:name="_Toc137636762"/>
      <w:bookmarkStart w:id="219" w:name="_Toc145318599"/>
      <w:r w:rsidRPr="009C7F39">
        <w:t>Formal MACNI services</w:t>
      </w:r>
      <w:bookmarkEnd w:id="214"/>
      <w:bookmarkEnd w:id="215"/>
      <w:bookmarkEnd w:id="216"/>
      <w:bookmarkEnd w:id="217"/>
      <w:bookmarkEnd w:id="218"/>
      <w:bookmarkEnd w:id="219"/>
    </w:p>
    <w:p w14:paraId="0D66DA39" w14:textId="77777777" w:rsidR="00E37383" w:rsidRDefault="00E37383" w:rsidP="00E37383">
      <w:pPr>
        <w:pStyle w:val="Body"/>
      </w:pPr>
      <w:r>
        <w:t xml:space="preserve">When a referral to </w:t>
      </w:r>
      <w:r w:rsidRPr="00354E8E">
        <w:t xml:space="preserve">formal MACNI is recommended, care planning and processes are subject to the provisions of the </w:t>
      </w:r>
      <w:r w:rsidRPr="00354E8E">
        <w:rPr>
          <w:i/>
        </w:rPr>
        <w:t>Human Services (Complex Needs) Act 2009.</w:t>
      </w:r>
      <w:r w:rsidRPr="00354E8E">
        <w:t xml:space="preserve"> </w:t>
      </w:r>
    </w:p>
    <w:p w14:paraId="3DCE7C2C" w14:textId="49B2238C" w:rsidR="00E37383" w:rsidRDefault="00E37383" w:rsidP="00E37383">
      <w:pPr>
        <w:pStyle w:val="Figurecaption"/>
      </w:pPr>
      <w:r w:rsidRPr="00575050">
        <w:t xml:space="preserve">Figure </w:t>
      </w:r>
      <w:r w:rsidR="002601EE">
        <w:t>5</w:t>
      </w:r>
      <w:r>
        <w:t>:</w:t>
      </w:r>
      <w:r w:rsidRPr="00575050">
        <w:t xml:space="preserve"> Key MACNI process considerations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FE9"/>
        <w:tblLook w:val="04A0" w:firstRow="1" w:lastRow="0" w:firstColumn="1" w:lastColumn="0" w:noHBand="0" w:noVBand="1"/>
      </w:tblPr>
      <w:tblGrid>
        <w:gridCol w:w="9298"/>
      </w:tblGrid>
      <w:tr w:rsidR="00E37383" w:rsidRPr="00354E8E" w14:paraId="4FD08348" w14:textId="77777777">
        <w:trPr>
          <w:jc w:val="center"/>
        </w:trPr>
        <w:tc>
          <w:tcPr>
            <w:tcW w:w="0" w:type="auto"/>
            <w:shd w:val="clear" w:color="auto" w:fill="99D3F0"/>
          </w:tcPr>
          <w:p w14:paraId="357E780E"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Clients are required to provide consent at each stage of MACNI</w:t>
            </w:r>
          </w:p>
        </w:tc>
      </w:tr>
      <w:tr w:rsidR="00E37383" w:rsidRPr="00354E8E" w14:paraId="4EE7691C" w14:textId="77777777">
        <w:trPr>
          <w:jc w:val="center"/>
        </w:trPr>
        <w:tc>
          <w:tcPr>
            <w:tcW w:w="0" w:type="auto"/>
            <w:shd w:val="clear" w:color="auto" w:fill="CCE9F8"/>
          </w:tcPr>
          <w:p w14:paraId="0D4944F7"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Panels make eligibility, care planning and brokerage recommendations</w:t>
            </w:r>
          </w:p>
        </w:tc>
      </w:tr>
      <w:tr w:rsidR="00E37383" w:rsidRPr="00354E8E" w14:paraId="1985458D" w14:textId="77777777">
        <w:trPr>
          <w:jc w:val="center"/>
        </w:trPr>
        <w:tc>
          <w:tcPr>
            <w:tcW w:w="0" w:type="auto"/>
            <w:shd w:val="clear" w:color="auto" w:fill="99D3F0"/>
          </w:tcPr>
          <w:p w14:paraId="1EB8258D"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 xml:space="preserve">Approval decisions are made consistent with the Instrument of Delegation and </w:t>
            </w:r>
            <w:r w:rsidRPr="005F65E2">
              <w:rPr>
                <w:b w:val="0"/>
                <w:i/>
                <w:color w:val="auto"/>
                <w:sz w:val="22"/>
              </w:rPr>
              <w:t>Financial Management Act 1994</w:t>
            </w:r>
          </w:p>
        </w:tc>
      </w:tr>
      <w:tr w:rsidR="00E37383" w:rsidRPr="00354E8E" w14:paraId="66ED99A2" w14:textId="77777777">
        <w:trPr>
          <w:jc w:val="center"/>
        </w:trPr>
        <w:tc>
          <w:tcPr>
            <w:tcW w:w="0" w:type="auto"/>
            <w:shd w:val="clear" w:color="auto" w:fill="CCE9F8"/>
          </w:tcPr>
          <w:p w14:paraId="28C9F5F6"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Eligibility determination outcomes must be provided to clients in writing</w:t>
            </w:r>
          </w:p>
        </w:tc>
      </w:tr>
      <w:tr w:rsidR="00E37383" w:rsidRPr="00354E8E" w14:paraId="5FCB8C18" w14:textId="77777777">
        <w:trPr>
          <w:jc w:val="center"/>
        </w:trPr>
        <w:tc>
          <w:tcPr>
            <w:tcW w:w="0" w:type="auto"/>
            <w:shd w:val="clear" w:color="auto" w:fill="99D3F0"/>
          </w:tcPr>
          <w:p w14:paraId="442BCFB1"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Approved care plans must be provided to the clients</w:t>
            </w:r>
          </w:p>
        </w:tc>
      </w:tr>
      <w:tr w:rsidR="00E37383" w:rsidRPr="00354E8E" w14:paraId="564DC66B" w14:textId="77777777">
        <w:trPr>
          <w:jc w:val="center"/>
        </w:trPr>
        <w:tc>
          <w:tcPr>
            <w:tcW w:w="0" w:type="auto"/>
            <w:shd w:val="clear" w:color="auto" w:fill="CCE9F8"/>
          </w:tcPr>
          <w:p w14:paraId="1ECA69E9"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Clients to be informed of their right to cease involvement at any time</w:t>
            </w:r>
          </w:p>
        </w:tc>
      </w:tr>
      <w:tr w:rsidR="00E37383" w:rsidRPr="00354E8E" w14:paraId="252BD668" w14:textId="77777777">
        <w:trPr>
          <w:jc w:val="center"/>
        </w:trPr>
        <w:tc>
          <w:tcPr>
            <w:tcW w:w="0" w:type="auto"/>
            <w:shd w:val="clear" w:color="auto" w:fill="99D3F0"/>
          </w:tcPr>
          <w:p w14:paraId="00C1C83F" w14:textId="77777777" w:rsidR="00E37383" w:rsidRPr="005F65E2" w:rsidRDefault="00E37383" w:rsidP="004669CA">
            <w:pPr>
              <w:pStyle w:val="Heading4"/>
              <w:spacing w:before="106" w:after="106" w:line="240" w:lineRule="auto"/>
              <w:jc w:val="center"/>
              <w:rPr>
                <w:b w:val="0"/>
                <w:color w:val="auto"/>
                <w:sz w:val="22"/>
              </w:rPr>
            </w:pPr>
            <w:r w:rsidRPr="005F65E2">
              <w:rPr>
                <w:b w:val="0"/>
                <w:color w:val="auto"/>
                <w:sz w:val="22"/>
              </w:rPr>
              <w:t>Clients to be informed of personal information being shared</w:t>
            </w:r>
          </w:p>
        </w:tc>
      </w:tr>
    </w:tbl>
    <w:p w14:paraId="1DCD0C22" w14:textId="3EEF548A" w:rsidR="00E37383" w:rsidRPr="005D1342" w:rsidRDefault="009104F4" w:rsidP="00E37383">
      <w:pPr>
        <w:pStyle w:val="Heading3"/>
      </w:pPr>
      <w:bookmarkStart w:id="220" w:name="_4f1mdlm" w:colFirst="0" w:colLast="0"/>
      <w:bookmarkStart w:id="221" w:name="_Toc32229313"/>
      <w:bookmarkStart w:id="222" w:name="_Toc65508283"/>
      <w:bookmarkStart w:id="223" w:name="_Toc112856286"/>
      <w:bookmarkStart w:id="224" w:name="_Toc125713770"/>
      <w:bookmarkStart w:id="225" w:name="_Toc32229272"/>
      <w:bookmarkStart w:id="226" w:name="_Toc65508239"/>
      <w:bookmarkStart w:id="227" w:name="_Toc112856239"/>
      <w:bookmarkStart w:id="228" w:name="_Toc125713720"/>
      <w:bookmarkEnd w:id="220"/>
      <w:r>
        <w:t xml:space="preserve">7.4.1 </w:t>
      </w:r>
      <w:r w:rsidR="00E37383" w:rsidRPr="005D1342">
        <w:t xml:space="preserve">Complex Needs Panel </w:t>
      </w:r>
    </w:p>
    <w:p w14:paraId="5E5723BE" w14:textId="73A93898" w:rsidR="00E37383" w:rsidRDefault="00E37383" w:rsidP="00E37383">
      <w:pPr>
        <w:pStyle w:val="Body"/>
      </w:pPr>
      <w:r w:rsidRPr="000C25C8">
        <w:t xml:space="preserve">Panels assume specific responsibility for clients eligible for </w:t>
      </w:r>
      <w:r>
        <w:t xml:space="preserve">MACNI. In addition to the responsibilities outlines in </w:t>
      </w:r>
      <w:r w:rsidRPr="00F15219">
        <w:t xml:space="preserve">section </w:t>
      </w:r>
      <w:r w:rsidR="007D5F7B" w:rsidRPr="00F15219">
        <w:t>3.</w:t>
      </w:r>
      <w:r w:rsidR="00F15219" w:rsidRPr="00F15219">
        <w:t>3</w:t>
      </w:r>
      <w:r w:rsidRPr="00F15219">
        <w:t>,</w:t>
      </w:r>
      <w:r>
        <w:t xml:space="preserve"> panels are required to fulfil the following tasks for formal MACNI clients:</w:t>
      </w:r>
    </w:p>
    <w:p w14:paraId="500318BC" w14:textId="77777777" w:rsidR="00E37383" w:rsidRPr="002B25F4" w:rsidRDefault="48AED0DF" w:rsidP="00740A47">
      <w:pPr>
        <w:pStyle w:val="Bullet1"/>
      </w:pPr>
      <w:r w:rsidRPr="002B25F4">
        <w:t>consider eligibility for MACNI in accordance with the Act</w:t>
      </w:r>
    </w:p>
    <w:p w14:paraId="21D8CB40" w14:textId="4AB74108" w:rsidR="00E37383" w:rsidRPr="002B25F4" w:rsidRDefault="00E37383" w:rsidP="00740A47">
      <w:pPr>
        <w:pStyle w:val="Bullet1"/>
      </w:pPr>
      <w:r w:rsidRPr="002B25F4">
        <w:t xml:space="preserve">recommend, </w:t>
      </w:r>
      <w:r w:rsidR="009D380A" w:rsidRPr="002B25F4">
        <w:t>vary,</w:t>
      </w:r>
      <w:r w:rsidRPr="002B25F4">
        <w:t xml:space="preserve"> and terminate care plans for MACNI in accordance with the Act</w:t>
      </w:r>
    </w:p>
    <w:p w14:paraId="14FA1FC2" w14:textId="480EC095" w:rsidR="00E37383" w:rsidRPr="002B25F4" w:rsidRDefault="48AED0DF" w:rsidP="00740A47">
      <w:pPr>
        <w:pStyle w:val="Bullet1"/>
      </w:pPr>
      <w:r w:rsidRPr="002B25F4">
        <w:t>evaluate the effectiveness of MACNI care plans intended to promote holistic, innovative, flexible, client-</w:t>
      </w:r>
      <w:r w:rsidR="0058290D" w:rsidRPr="002B25F4">
        <w:t>cent</w:t>
      </w:r>
      <w:r w:rsidR="0058290D">
        <w:t>e</w:t>
      </w:r>
      <w:r w:rsidR="0058290D" w:rsidRPr="002B25F4">
        <w:t>red,</w:t>
      </w:r>
      <w:r w:rsidRPr="002B25F4">
        <w:t xml:space="preserve"> and value-for-money service responses</w:t>
      </w:r>
      <w:r w:rsidR="00B17CBD">
        <w:t>.</w:t>
      </w:r>
      <w:r w:rsidRPr="002B25F4">
        <w:t xml:space="preserve"> </w:t>
      </w:r>
    </w:p>
    <w:p w14:paraId="5AA11038" w14:textId="77777777" w:rsidR="00E37383" w:rsidRPr="001049B0"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D3F0"/>
        <w:tblLook w:val="04A0" w:firstRow="1" w:lastRow="0" w:firstColumn="1" w:lastColumn="0" w:noHBand="0" w:noVBand="1"/>
      </w:tblPr>
      <w:tblGrid>
        <w:gridCol w:w="1066"/>
        <w:gridCol w:w="8232"/>
      </w:tblGrid>
      <w:tr w:rsidR="00E37383" w14:paraId="7B576C2E" w14:textId="77777777" w:rsidTr="003A6830">
        <w:tc>
          <w:tcPr>
            <w:tcW w:w="0" w:type="auto"/>
            <w:shd w:val="clear" w:color="auto" w:fill="99D3F0"/>
          </w:tcPr>
          <w:p w14:paraId="6FF81DC4" w14:textId="77777777" w:rsidR="00E37383" w:rsidRDefault="00E37383" w:rsidP="003A6830">
            <w:pPr>
              <w:pStyle w:val="Body"/>
              <w:spacing w:before="120"/>
            </w:pPr>
            <w:r>
              <w:rPr>
                <w:noProof/>
              </w:rPr>
              <w:lastRenderedPageBreak/>
              <w:drawing>
                <wp:inline distT="0" distB="0" distL="0" distR="0" wp14:anchorId="20262EC5" wp14:editId="4CAFE93A">
                  <wp:extent cx="539750" cy="53975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539750" cy="539750"/>
                          </a:xfrm>
                          <a:prstGeom prst="rect">
                            <a:avLst/>
                          </a:prstGeom>
                        </pic:spPr>
                      </pic:pic>
                    </a:graphicData>
                  </a:graphic>
                </wp:inline>
              </w:drawing>
            </w:r>
          </w:p>
        </w:tc>
        <w:tc>
          <w:tcPr>
            <w:tcW w:w="0" w:type="auto"/>
            <w:shd w:val="clear" w:color="auto" w:fill="99D3F0"/>
            <w:vAlign w:val="center"/>
          </w:tcPr>
          <w:p w14:paraId="1C9AD7D9" w14:textId="731C3E7A" w:rsidR="00E37383" w:rsidRPr="00E26715" w:rsidRDefault="00E37383">
            <w:pPr>
              <w:pStyle w:val="Body"/>
            </w:pPr>
            <w:r w:rsidRPr="00C47E45">
              <w:rPr>
                <w:rFonts w:cs="Arial"/>
              </w:rPr>
              <w:t xml:space="preserve">The Act does not </w:t>
            </w:r>
            <w:r>
              <w:rPr>
                <w:rFonts w:cs="Arial"/>
              </w:rPr>
              <w:t>give</w:t>
            </w:r>
            <w:r w:rsidRPr="00C47E45">
              <w:rPr>
                <w:rFonts w:cs="Arial"/>
              </w:rPr>
              <w:t xml:space="preserve"> </w:t>
            </w:r>
            <w:r>
              <w:rPr>
                <w:rFonts w:cs="Arial"/>
              </w:rPr>
              <w:t>panels</w:t>
            </w:r>
            <w:r w:rsidRPr="00C47E45">
              <w:rPr>
                <w:rFonts w:cs="Arial"/>
              </w:rPr>
              <w:t xml:space="preserve"> specific functions or powers. </w:t>
            </w:r>
            <w:r>
              <w:t>Panels</w:t>
            </w:r>
            <w:r w:rsidRPr="006938C1">
              <w:t xml:space="preserve"> provide authoritative advice, support and recommendations pertaining to client matters to the </w:t>
            </w:r>
            <w:r w:rsidR="00B252A9">
              <w:t xml:space="preserve">Area </w:t>
            </w:r>
            <w:r>
              <w:t>Executive</w:t>
            </w:r>
            <w:r w:rsidRPr="006938C1">
              <w:t xml:space="preserve"> Director who </w:t>
            </w:r>
            <w:r w:rsidRPr="007F40E1">
              <w:t>holds delegated functions and powers.</w:t>
            </w:r>
          </w:p>
        </w:tc>
      </w:tr>
    </w:tbl>
    <w:p w14:paraId="63DE246F" w14:textId="38A34E99" w:rsidR="00E37383" w:rsidRDefault="009104F4" w:rsidP="00E37383">
      <w:pPr>
        <w:pStyle w:val="Heading3"/>
      </w:pPr>
      <w:r>
        <w:t xml:space="preserve">7.4.2 </w:t>
      </w:r>
      <w:r w:rsidR="00E37383">
        <w:t>Eligibility</w:t>
      </w:r>
    </w:p>
    <w:p w14:paraId="5C289CC0" w14:textId="2CE0C9C1" w:rsidR="00E37383" w:rsidRDefault="00E37383" w:rsidP="00E37383">
      <w:pPr>
        <w:pStyle w:val="Body"/>
      </w:pPr>
      <w:r>
        <w:t>Prior to consideration for eligibility, there are multiple notification requirements under the Act</w:t>
      </w:r>
      <w:r w:rsidRPr="00AF3F17">
        <w:t xml:space="preserve">. A </w:t>
      </w:r>
      <w:r w:rsidRPr="00A86B46">
        <w:t xml:space="preserve">standardised eligibility consideration letter is provided/sent to the </w:t>
      </w:r>
      <w:r w:rsidRPr="5310D6ED">
        <w:rPr>
          <w:rFonts w:eastAsia="Arial" w:cs="Arial"/>
          <w:color w:val="000000" w:themeColor="text1"/>
        </w:rPr>
        <w:t>client</w:t>
      </w:r>
      <w:r w:rsidRPr="00A86B46">
        <w:t xml:space="preserve"> to seek their consent for the consideration of eligibility, including a consent for eligibility determination form. Once the panel considers and </w:t>
      </w:r>
      <w:r>
        <w:t>recommends</w:t>
      </w:r>
      <w:r w:rsidRPr="00A86B46">
        <w:t xml:space="preserve"> (as relevant) the referral, </w:t>
      </w:r>
      <w:r w:rsidR="00B252A9">
        <w:t xml:space="preserve">Area </w:t>
      </w:r>
      <w:r>
        <w:t>Executive</w:t>
      </w:r>
      <w:r w:rsidRPr="00A86B46">
        <w:t xml:space="preserve"> Director approval is required. A standardised eligibility outcome letter is sent to the</w:t>
      </w:r>
      <w:r>
        <w:t xml:space="preserve"> eligible client.</w:t>
      </w:r>
    </w:p>
    <w:p w14:paraId="527779B2" w14:textId="77777777" w:rsidR="00F1152B"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900"/>
      </w:tblGrid>
      <w:tr w:rsidR="00E37383" w14:paraId="4EC1ACDF" w14:textId="77777777" w:rsidTr="7DAFCD5E">
        <w:tc>
          <w:tcPr>
            <w:tcW w:w="0" w:type="auto"/>
            <w:shd w:val="clear" w:color="auto" w:fill="CCE9F8"/>
            <w:vAlign w:val="center"/>
          </w:tcPr>
          <w:p w14:paraId="1D125735" w14:textId="77777777" w:rsidR="00E37383" w:rsidRDefault="00E37383" w:rsidP="009104F4">
            <w:pPr>
              <w:pStyle w:val="Body"/>
              <w:spacing w:before="120"/>
            </w:pPr>
            <w:r>
              <w:rPr>
                <w:noProof/>
              </w:rPr>
              <w:drawing>
                <wp:inline distT="0" distB="0" distL="0" distR="0" wp14:anchorId="7EA5C0D6" wp14:editId="1393414C">
                  <wp:extent cx="540000" cy="540000"/>
                  <wp:effectExtent l="0" t="0" r="0" b="0"/>
                  <wp:docPr id="315" name="Picture 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63A83D7B" w14:textId="77777777" w:rsidR="00E37383" w:rsidRDefault="00E37383">
            <w:pPr>
              <w:pStyle w:val="Tablecolhead"/>
            </w:pPr>
            <w:r>
              <w:rPr>
                <w:rFonts w:eastAsia="Arial"/>
              </w:rPr>
              <w:t>Documentation required - p</w:t>
            </w:r>
            <w:r>
              <w:t>rior to Panel</w:t>
            </w:r>
          </w:p>
          <w:p w14:paraId="484B7E7C" w14:textId="58488C14" w:rsidR="00E37383" w:rsidRDefault="00A24963" w:rsidP="00740A47">
            <w:pPr>
              <w:pStyle w:val="Bullet1"/>
            </w:pPr>
            <w:r>
              <w:t xml:space="preserve">8a </w:t>
            </w:r>
            <w:r w:rsidR="48AED0DF">
              <w:t xml:space="preserve">MACNI </w:t>
            </w:r>
            <w:r w:rsidR="002B25F4">
              <w:t xml:space="preserve">Eligibility Consideration Notification – Letter </w:t>
            </w:r>
            <w:r w:rsidR="00BB1ABB">
              <w:t>t</w:t>
            </w:r>
            <w:r w:rsidR="002B25F4">
              <w:t>o Client</w:t>
            </w:r>
          </w:p>
          <w:p w14:paraId="13403CFB" w14:textId="40C279DB" w:rsidR="00E37383" w:rsidRDefault="00A24963" w:rsidP="00740A47">
            <w:pPr>
              <w:pStyle w:val="Bullet1"/>
            </w:pPr>
            <w:r>
              <w:t>5</w:t>
            </w:r>
            <w:r w:rsidR="00934E77">
              <w:t>a</w:t>
            </w:r>
            <w:r>
              <w:t xml:space="preserve"> </w:t>
            </w:r>
            <w:r w:rsidR="002B25F4">
              <w:t xml:space="preserve">Consent </w:t>
            </w:r>
            <w:r w:rsidR="48AED0DF">
              <w:t xml:space="preserve">for MACNI </w:t>
            </w:r>
            <w:r w:rsidR="002B25F4">
              <w:t xml:space="preserve">Referral </w:t>
            </w:r>
            <w:r w:rsidR="00BB1ABB">
              <w:t>a</w:t>
            </w:r>
            <w:r w:rsidR="002B25F4">
              <w:t xml:space="preserve">nd Eligibility Consideration – Client </w:t>
            </w:r>
          </w:p>
          <w:p w14:paraId="3B1804D9" w14:textId="3779AACF" w:rsidR="007D5F7B" w:rsidRPr="0058290D" w:rsidRDefault="00887C5B" w:rsidP="0058290D">
            <w:pPr>
              <w:pStyle w:val="Bullet1"/>
            </w:pPr>
            <w:r>
              <w:t xml:space="preserve">6i </w:t>
            </w:r>
            <w:r w:rsidR="48AED0DF">
              <w:t xml:space="preserve">MACNI </w:t>
            </w:r>
            <w:r w:rsidR="002B25F4">
              <w:t>Eligibility Consideration Request Form</w:t>
            </w:r>
          </w:p>
          <w:p w14:paraId="445B564C" w14:textId="4037E34E" w:rsidR="00E37383" w:rsidRDefault="00E37383">
            <w:pPr>
              <w:pStyle w:val="Tablecolhead"/>
            </w:pPr>
            <w:r>
              <w:rPr>
                <w:rFonts w:eastAsia="Arial"/>
              </w:rPr>
              <w:t>Documentation required - f</w:t>
            </w:r>
            <w:r>
              <w:t>ollowing Panel</w:t>
            </w:r>
          </w:p>
          <w:p w14:paraId="7F0A71EE" w14:textId="70A02839" w:rsidR="00E37383" w:rsidRPr="00B83D2D" w:rsidRDefault="00887C5B" w:rsidP="00740A47">
            <w:pPr>
              <w:pStyle w:val="Bullet1"/>
            </w:pPr>
            <w:r>
              <w:t xml:space="preserve">8b </w:t>
            </w:r>
            <w:r w:rsidR="48AED0DF">
              <w:t xml:space="preserve">MACNI </w:t>
            </w:r>
            <w:r w:rsidR="002B25F4">
              <w:t xml:space="preserve">Eligibility Decision Notification – Letter </w:t>
            </w:r>
            <w:r w:rsidR="00BB1ABB">
              <w:t>t</w:t>
            </w:r>
            <w:r w:rsidR="002B25F4">
              <w:t>o Client.</w:t>
            </w:r>
          </w:p>
        </w:tc>
      </w:tr>
    </w:tbl>
    <w:p w14:paraId="7711D920"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B559A9C" w14:textId="77777777" w:rsidTr="7DAFCD5E">
        <w:tc>
          <w:tcPr>
            <w:tcW w:w="0" w:type="auto"/>
            <w:shd w:val="clear" w:color="auto" w:fill="99D3F0"/>
            <w:vAlign w:val="center"/>
          </w:tcPr>
          <w:p w14:paraId="02C392F8" w14:textId="77777777" w:rsidR="00E37383" w:rsidRDefault="00E37383">
            <w:pPr>
              <w:pStyle w:val="Body"/>
            </w:pPr>
            <w:r>
              <w:rPr>
                <w:noProof/>
              </w:rPr>
              <w:drawing>
                <wp:inline distT="0" distB="0" distL="0" distR="0" wp14:anchorId="38FD0E0B" wp14:editId="133CB151">
                  <wp:extent cx="540000" cy="540000"/>
                  <wp:effectExtent l="0" t="0" r="0" b="0"/>
                  <wp:docPr id="316" name="Picture 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1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3E9EEC4" w14:textId="77777777" w:rsidR="00E37383" w:rsidRDefault="00E37383">
            <w:pPr>
              <w:pStyle w:val="Tablecolhead"/>
            </w:pPr>
            <w:r>
              <w:t>Coordinator tasks</w:t>
            </w:r>
          </w:p>
          <w:p w14:paraId="6079914C" w14:textId="77777777" w:rsidR="00E37383" w:rsidRPr="005F65E2" w:rsidRDefault="48AED0DF" w:rsidP="00740A47">
            <w:pPr>
              <w:pStyle w:val="Bullet1"/>
            </w:pPr>
            <w:r>
              <w:t>obtain client consent (liaise with the key worker)</w:t>
            </w:r>
          </w:p>
          <w:p w14:paraId="32C7F504" w14:textId="21E6DF25" w:rsidR="00E37383" w:rsidRPr="005F65E2" w:rsidRDefault="48AED0DF" w:rsidP="00740A47">
            <w:pPr>
              <w:pStyle w:val="Bullet1"/>
            </w:pPr>
            <w:r>
              <w:t xml:space="preserve">complete MACNI </w:t>
            </w:r>
            <w:r w:rsidR="002B25F4">
              <w:t>Eligibility Consideration Request Form</w:t>
            </w:r>
          </w:p>
          <w:p w14:paraId="3C0F5D37" w14:textId="77777777" w:rsidR="00E37383" w:rsidRPr="005F65E2" w:rsidRDefault="48AED0DF" w:rsidP="00740A47">
            <w:pPr>
              <w:pStyle w:val="Bullet1"/>
            </w:pPr>
            <w:r>
              <w:t>ensure the above eligibility notification requirements are satisfied</w:t>
            </w:r>
          </w:p>
          <w:p w14:paraId="3477DAC0" w14:textId="2716FB4F" w:rsidR="00E37383" w:rsidRPr="005F65E2" w:rsidRDefault="48AED0DF" w:rsidP="00740A47">
            <w:pPr>
              <w:pStyle w:val="Bullet1"/>
            </w:pPr>
            <w:r>
              <w:t xml:space="preserve">prepare notification letters and obtain </w:t>
            </w:r>
            <w:r w:rsidR="002B25F4">
              <w:t xml:space="preserve">Area </w:t>
            </w:r>
            <w:r>
              <w:t>Executive Director signature</w:t>
            </w:r>
          </w:p>
          <w:p w14:paraId="750FD46F" w14:textId="573A0424" w:rsidR="00E37383" w:rsidRPr="007B2296" w:rsidRDefault="48AED0DF" w:rsidP="00740A47">
            <w:pPr>
              <w:pStyle w:val="Bullet1"/>
              <w:rPr>
                <w:color w:val="FF0000"/>
              </w:rPr>
            </w:pPr>
            <w:r>
              <w:t xml:space="preserve">update SharePoint client database, ensuring the start date reflects the date eligibility was recommended at panel and approved by </w:t>
            </w:r>
            <w:r w:rsidR="002B25F4">
              <w:t xml:space="preserve">Area </w:t>
            </w:r>
            <w:r>
              <w:t>Executive Director.</w:t>
            </w:r>
          </w:p>
        </w:tc>
      </w:tr>
    </w:tbl>
    <w:p w14:paraId="1E194F48" w14:textId="73483124" w:rsidR="00E37383" w:rsidRDefault="009104F4" w:rsidP="00E37383">
      <w:pPr>
        <w:pStyle w:val="Heading3"/>
      </w:pPr>
      <w:r>
        <w:t xml:space="preserve">7.4.3 </w:t>
      </w:r>
      <w:r w:rsidR="00592E0A">
        <w:t>Co</w:t>
      </w:r>
      <w:r w:rsidR="00E37383">
        <w:t>nsent</w:t>
      </w:r>
      <w:r w:rsidR="00592E0A">
        <w:t xml:space="preserve"> documentation</w:t>
      </w:r>
    </w:p>
    <w:p w14:paraId="4C033354" w14:textId="1557774A" w:rsidR="00E37383" w:rsidRPr="00B22A07" w:rsidRDefault="00E37383" w:rsidP="00E37383">
      <w:pPr>
        <w:pStyle w:val="Body"/>
      </w:pPr>
      <w:r>
        <w:t xml:space="preserve">The client’s consent </w:t>
      </w:r>
      <w:r w:rsidRPr="00D90CD6">
        <w:t xml:space="preserve">is required at each stage of the MACNI from consultation to formal MACNI. The referrer is responsible for obtaining consent from the client prior to the referral or consultation unless duty of care overrides this </w:t>
      </w:r>
      <w:r w:rsidR="009A3844">
        <w:t>(s</w:t>
      </w:r>
      <w:r w:rsidRPr="00B252A9">
        <w:t xml:space="preserve">ection </w:t>
      </w:r>
      <w:r w:rsidR="003E18DA" w:rsidRPr="00B252A9">
        <w:t>3.3</w:t>
      </w:r>
      <w:r w:rsidRPr="00B252A9">
        <w:t>).</w:t>
      </w:r>
      <w:r w:rsidRPr="00D90CD6">
        <w:t xml:space="preserve"> </w:t>
      </w:r>
      <w:r w:rsidRPr="00B22A07">
        <w:t>Consent must be renewed when the client turns 18.</w:t>
      </w:r>
    </w:p>
    <w:p w14:paraId="31D503DE" w14:textId="0FF69794" w:rsidR="00E37383" w:rsidRPr="003A1C30" w:rsidRDefault="00C20E70" w:rsidP="00E37383">
      <w:pPr>
        <w:pStyle w:val="Body"/>
      </w:pPr>
      <w:r>
        <w:t>O</w:t>
      </w:r>
      <w:r w:rsidR="00E37383" w:rsidRPr="003A1C30">
        <w:t>n consideration for formal MACNI, a standard eligibility consideration letter is provided</w:t>
      </w:r>
      <w:r>
        <w:t xml:space="preserve"> </w:t>
      </w:r>
      <w:r w:rsidR="00E37383" w:rsidRPr="003A1C30">
        <w:t xml:space="preserve">to the </w:t>
      </w:r>
      <w:r w:rsidR="00E37383">
        <w:rPr>
          <w:rFonts w:eastAsia="Arial" w:cs="Arial"/>
          <w:color w:val="000000"/>
        </w:rPr>
        <w:t>client</w:t>
      </w:r>
      <w:r w:rsidR="00E37383" w:rsidRPr="003A1C30">
        <w:t xml:space="preserve"> to seek their consent for the consideration of eligibility, including a Consent </w:t>
      </w:r>
      <w:r w:rsidR="002B25F4">
        <w:t>f</w:t>
      </w:r>
      <w:r w:rsidR="002B25F4" w:rsidRPr="003A1C30">
        <w:t>or Eligibility Determination Form.</w:t>
      </w:r>
    </w:p>
    <w:p w14:paraId="7F9A079B" w14:textId="534C305A" w:rsidR="00A624A1" w:rsidRDefault="00E37383" w:rsidP="00E37383">
      <w:pPr>
        <w:pStyle w:val="Body"/>
      </w:pPr>
      <w:r w:rsidRPr="003A1C30">
        <w:t xml:space="preserve">The </w:t>
      </w:r>
      <w:r>
        <w:rPr>
          <w:rFonts w:eastAsia="Arial" w:cs="Arial"/>
          <w:color w:val="000000"/>
        </w:rPr>
        <w:t>client</w:t>
      </w:r>
      <w:r w:rsidRPr="003A1C30">
        <w:t xml:space="preserve"> may at any time refuse to be considered</w:t>
      </w:r>
      <w:r>
        <w:t xml:space="preserve"> for eligibility or to be the subject of a care plan.</w:t>
      </w:r>
    </w:p>
    <w:p w14:paraId="3E7CA69D" w14:textId="77777777" w:rsidR="00F1152B"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736"/>
      </w:tblGrid>
      <w:tr w:rsidR="00E37383" w14:paraId="51B2C3C3" w14:textId="77777777" w:rsidTr="7DAFCD5E">
        <w:tc>
          <w:tcPr>
            <w:tcW w:w="0" w:type="auto"/>
            <w:shd w:val="clear" w:color="auto" w:fill="CCE9F8"/>
          </w:tcPr>
          <w:p w14:paraId="747D0610" w14:textId="77777777" w:rsidR="00E37383" w:rsidRPr="006F75D0" w:rsidRDefault="00E37383" w:rsidP="009104F4">
            <w:pPr>
              <w:pStyle w:val="Body"/>
              <w:spacing w:before="120"/>
            </w:pPr>
            <w:r>
              <w:rPr>
                <w:noProof/>
              </w:rPr>
              <w:drawing>
                <wp:inline distT="0" distB="0" distL="0" distR="0" wp14:anchorId="18263D60" wp14:editId="1A6B2674">
                  <wp:extent cx="540000" cy="540000"/>
                  <wp:effectExtent l="0" t="0" r="0" b="0"/>
                  <wp:docPr id="298" name="Picture 2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7B5E7A3C" w14:textId="77777777" w:rsidR="00E37383" w:rsidRPr="006F75D0" w:rsidRDefault="00E37383">
            <w:pPr>
              <w:pStyle w:val="Tablecolhead"/>
              <w:rPr>
                <w:rFonts w:eastAsia="Arial"/>
              </w:rPr>
            </w:pPr>
            <w:r w:rsidRPr="006F75D0">
              <w:rPr>
                <w:rFonts w:eastAsia="Arial"/>
              </w:rPr>
              <w:t>Documentation required</w:t>
            </w:r>
          </w:p>
          <w:p w14:paraId="5ABE4D92" w14:textId="76576C7F" w:rsidR="00E37383" w:rsidRPr="006F75D0" w:rsidRDefault="00134890" w:rsidP="00740A47">
            <w:pPr>
              <w:pStyle w:val="Bullet1"/>
            </w:pPr>
            <w:r>
              <w:t>5</w:t>
            </w:r>
            <w:r w:rsidR="00934E77">
              <w:t>a</w:t>
            </w:r>
            <w:r>
              <w:t xml:space="preserve"> </w:t>
            </w:r>
            <w:r w:rsidR="002B25F4">
              <w:t xml:space="preserve">Consent </w:t>
            </w:r>
            <w:r w:rsidR="00BB1ABB">
              <w:t>f</w:t>
            </w:r>
            <w:r w:rsidR="002B25F4">
              <w:t xml:space="preserve">or </w:t>
            </w:r>
            <w:r w:rsidR="48AED0DF">
              <w:t xml:space="preserve">MACNI </w:t>
            </w:r>
            <w:r w:rsidR="002B25F4">
              <w:t xml:space="preserve">Referral </w:t>
            </w:r>
            <w:r w:rsidR="00BB1ABB">
              <w:t>a</w:t>
            </w:r>
            <w:r w:rsidR="002B25F4">
              <w:t>nd Eligibility Consideration Form</w:t>
            </w:r>
            <w:r w:rsidR="48AED0DF">
              <w:t>.</w:t>
            </w:r>
          </w:p>
        </w:tc>
      </w:tr>
    </w:tbl>
    <w:p w14:paraId="520CF4FE"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1ACB5A6D" w14:textId="77777777" w:rsidTr="7DAFCD5E">
        <w:tc>
          <w:tcPr>
            <w:tcW w:w="0" w:type="auto"/>
            <w:shd w:val="clear" w:color="auto" w:fill="99D3F0"/>
            <w:vAlign w:val="center"/>
          </w:tcPr>
          <w:p w14:paraId="561F965B" w14:textId="77777777" w:rsidR="00E37383" w:rsidRDefault="00E37383">
            <w:pPr>
              <w:pStyle w:val="Body"/>
            </w:pPr>
            <w:r>
              <w:rPr>
                <w:noProof/>
              </w:rPr>
              <w:lastRenderedPageBreak/>
              <w:drawing>
                <wp:inline distT="0" distB="0" distL="0" distR="0" wp14:anchorId="3168E1A6" wp14:editId="1BAEE232">
                  <wp:extent cx="540000" cy="540000"/>
                  <wp:effectExtent l="0" t="0" r="0" b="0"/>
                  <wp:docPr id="299" name="Picture 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4D7F1FC" w14:textId="77777777" w:rsidR="00E37383" w:rsidRDefault="00E37383">
            <w:pPr>
              <w:pStyle w:val="Tablecolhead"/>
            </w:pPr>
            <w:r>
              <w:t>Coordinator tasks</w:t>
            </w:r>
          </w:p>
          <w:p w14:paraId="3B6B0A9E" w14:textId="77777777" w:rsidR="00E37383" w:rsidRDefault="48AED0DF" w:rsidP="00740A47">
            <w:pPr>
              <w:pStyle w:val="Bullet1"/>
            </w:pPr>
            <w:r>
              <w:t>ensure consent is obtained/renewed:</w:t>
            </w:r>
          </w:p>
          <w:p w14:paraId="14832079" w14:textId="43401758" w:rsidR="00E37383" w:rsidRDefault="00E37383" w:rsidP="000E7482">
            <w:pPr>
              <w:pStyle w:val="Bullet2"/>
            </w:pPr>
            <w:r w:rsidRPr="00100BB1">
              <w:t xml:space="preserve">on </w:t>
            </w:r>
            <w:r>
              <w:t>referral to</w:t>
            </w:r>
            <w:r w:rsidRPr="00100BB1">
              <w:t xml:space="preserve"> Complex Needs services </w:t>
            </w:r>
          </w:p>
          <w:p w14:paraId="058189F8" w14:textId="1A4F5356" w:rsidR="00E37383" w:rsidRPr="00A01AC5" w:rsidRDefault="00E37383" w:rsidP="000E7482">
            <w:pPr>
              <w:pStyle w:val="Bullet2"/>
            </w:pPr>
            <w:r w:rsidRPr="00A01AC5">
              <w:t>on recommencing Complex Needs services after a period of suspension</w:t>
            </w:r>
          </w:p>
          <w:p w14:paraId="5596918F" w14:textId="77777777" w:rsidR="00E37383" w:rsidRPr="00B22A07" w:rsidRDefault="00E37383" w:rsidP="000E7482">
            <w:pPr>
              <w:pStyle w:val="Bullet2"/>
            </w:pPr>
            <w:r w:rsidRPr="00100BB1">
              <w:t xml:space="preserve">at each stage of the </w:t>
            </w:r>
            <w:r w:rsidRPr="00B22A07">
              <w:t>MACNI process</w:t>
            </w:r>
          </w:p>
          <w:p w14:paraId="0C5B0A12" w14:textId="67CAF08B" w:rsidR="00E37383" w:rsidRPr="00B22A07" w:rsidRDefault="00E37383" w:rsidP="000E7482">
            <w:pPr>
              <w:pStyle w:val="Bullet2"/>
            </w:pPr>
            <w:r w:rsidRPr="00B22A07">
              <w:t>on the engagement of a new service provider from whom the client’s personal or health information will be sought in developing or amending their care plan</w:t>
            </w:r>
          </w:p>
          <w:p w14:paraId="1B9E1654" w14:textId="77777777" w:rsidR="00E37383" w:rsidRDefault="00E37383" w:rsidP="000E7482">
            <w:pPr>
              <w:pStyle w:val="Bullet2"/>
            </w:pPr>
            <w:r w:rsidRPr="00B22A07">
              <w:t xml:space="preserve">when the client reaches 18 years </w:t>
            </w:r>
            <w:r w:rsidRPr="00100BB1">
              <w:t>of age</w:t>
            </w:r>
            <w:r>
              <w:t xml:space="preserve"> (noting that upon reaching the age of 18, a client may still not have capacity to consent).</w:t>
            </w:r>
          </w:p>
        </w:tc>
      </w:tr>
    </w:tbl>
    <w:p w14:paraId="0658CD23" w14:textId="0044F5B5" w:rsidR="00E37383" w:rsidRDefault="009104F4" w:rsidP="00E37383">
      <w:pPr>
        <w:pStyle w:val="Heading3"/>
      </w:pPr>
      <w:r>
        <w:t xml:space="preserve">7.4.4 </w:t>
      </w:r>
      <w:r w:rsidR="00E37383">
        <w:t>Client refusal</w:t>
      </w:r>
      <w:bookmarkEnd w:id="221"/>
      <w:bookmarkEnd w:id="222"/>
      <w:bookmarkEnd w:id="223"/>
      <w:bookmarkEnd w:id="224"/>
    </w:p>
    <w:p w14:paraId="73546E22" w14:textId="16CD2392" w:rsidR="00E37383" w:rsidRDefault="00E37383" w:rsidP="00E37383">
      <w:pPr>
        <w:pStyle w:val="Body"/>
      </w:pPr>
      <w:r>
        <w:t xml:space="preserve">A refusal can be made to any provider, the Care Plan </w:t>
      </w:r>
      <w:r w:rsidR="009D380A">
        <w:t>Coordinator,</w:t>
      </w:r>
      <w:r>
        <w:t xml:space="preserve"> or a delegate of the Secretary. It can be made at any stage of involvement in MACNI.</w:t>
      </w:r>
      <w:r w:rsidR="00937A53">
        <w:t xml:space="preserve"> </w:t>
      </w:r>
      <w:r>
        <w:t xml:space="preserve">Once a care plan </w:t>
      </w:r>
      <w:r w:rsidR="00937A53">
        <w:t>is</w:t>
      </w:r>
      <w:r>
        <w:t xml:space="preserve"> developed and/or is being coordinated, and the client communicates a refusal to participate in MACNI, the Care Plan Coordinator or person being advised must determine if the client’s statements of refusal are a true reflection of their wishes. The level of impairment and behavioural profile of some clients </w:t>
      </w:r>
      <w:r w:rsidR="00DF3823">
        <w:t xml:space="preserve">results in a changeable </w:t>
      </w:r>
      <w:r>
        <w:t>willingness to participate from day to day. A process for checking back with the client about the refusal is recommended before MACNI services are formally ceased.</w:t>
      </w:r>
    </w:p>
    <w:p w14:paraId="0912160D" w14:textId="572DEB06" w:rsidR="00E37383" w:rsidRDefault="009104F4" w:rsidP="00E37383">
      <w:pPr>
        <w:pStyle w:val="Heading3"/>
      </w:pPr>
      <w:bookmarkStart w:id="229" w:name="_279ka65" w:colFirst="0" w:colLast="0"/>
      <w:bookmarkStart w:id="230" w:name="_Toc32229314"/>
      <w:bookmarkStart w:id="231" w:name="_Toc65508284"/>
      <w:bookmarkStart w:id="232" w:name="_Toc112856287"/>
      <w:bookmarkStart w:id="233" w:name="_Toc125713771"/>
      <w:bookmarkEnd w:id="229"/>
      <w:r>
        <w:t xml:space="preserve">7.4.5 </w:t>
      </w:r>
      <w:r w:rsidR="00E37383">
        <w:t>Client participation</w:t>
      </w:r>
      <w:bookmarkEnd w:id="230"/>
      <w:bookmarkEnd w:id="231"/>
      <w:bookmarkEnd w:id="232"/>
      <w:bookmarkEnd w:id="233"/>
      <w:r w:rsidR="00E37383">
        <w:t xml:space="preserve"> </w:t>
      </w:r>
    </w:p>
    <w:p w14:paraId="7F370D4D" w14:textId="4244416F" w:rsidR="00E37383" w:rsidRPr="00324FBF" w:rsidRDefault="00E37383" w:rsidP="00E37383">
      <w:pPr>
        <w:pStyle w:val="Body"/>
      </w:pPr>
      <w:r>
        <w:t xml:space="preserve">Complex Needs and MACNI </w:t>
      </w:r>
      <w:r w:rsidR="00595FAB">
        <w:t>service responses</w:t>
      </w:r>
      <w:r>
        <w:t>, including panel deliberations, are designed to assess and review the changing needs and experiences of clients at regular intervals.</w:t>
      </w:r>
      <w:r w:rsidR="00207B94">
        <w:t xml:space="preserve"> </w:t>
      </w:r>
      <w:r w:rsidRPr="00324FBF">
        <w:t>Client participation in the identification of priority goals and needs for address</w:t>
      </w:r>
      <w:r>
        <w:t>ing</w:t>
      </w:r>
      <w:r w:rsidRPr="00324FBF">
        <w:t xml:space="preserve"> through a care plan is initially established by both the referring service and the care plan developer.</w:t>
      </w:r>
    </w:p>
    <w:p w14:paraId="7E06328A" w14:textId="67BD38DF" w:rsidR="00E37383" w:rsidRPr="00224EF1" w:rsidRDefault="00E37383" w:rsidP="00E37383">
      <w:pPr>
        <w:pStyle w:val="Body"/>
      </w:pPr>
      <w:r>
        <w:t xml:space="preserve">Departmental and/or funded community </w:t>
      </w:r>
      <w:r w:rsidR="00207B94">
        <w:t xml:space="preserve">sector </w:t>
      </w:r>
      <w:r>
        <w:t xml:space="preserve">staff meet with the client, their family/carer/guardian and/or the services engaged in the care plan to review the achievement of identified goals. A revised care plan builds </w:t>
      </w:r>
      <w:r w:rsidRPr="00224EF1">
        <w:t>on the views, experience and perceived progress of the client and services.</w:t>
      </w:r>
    </w:p>
    <w:p w14:paraId="4ECDC3CE" w14:textId="5B410247" w:rsidR="00E37383" w:rsidRPr="00224EF1" w:rsidRDefault="001A4C01" w:rsidP="00E37383">
      <w:pPr>
        <w:pStyle w:val="Body"/>
      </w:pPr>
      <w:r>
        <w:t>C</w:t>
      </w:r>
      <w:r w:rsidR="00E37383" w:rsidRPr="00224EF1">
        <w:t xml:space="preserve">lients </w:t>
      </w:r>
      <w:r w:rsidR="00E37383">
        <w:t xml:space="preserve">and/or their families/guardian </w:t>
      </w:r>
      <w:r w:rsidR="00E37383" w:rsidRPr="00224EF1">
        <w:t>may be invited to participate in regular care team meetings (whole or part) and may be provided with a summary of discussion topics if in their best interests.</w:t>
      </w:r>
    </w:p>
    <w:p w14:paraId="46DD906D" w14:textId="2D882A35" w:rsidR="00E37383" w:rsidRDefault="009104F4" w:rsidP="00E37383">
      <w:pPr>
        <w:pStyle w:val="Heading3"/>
      </w:pPr>
      <w:r>
        <w:t xml:space="preserve">7.4.6 </w:t>
      </w:r>
      <w:r w:rsidR="00E37383">
        <w:t>Complex needs client information pack</w:t>
      </w:r>
    </w:p>
    <w:p w14:paraId="3CFA703A" w14:textId="30CD649F" w:rsidR="00E37383" w:rsidRDefault="00595FAB" w:rsidP="00E37383">
      <w:pPr>
        <w:pStyle w:val="Body"/>
      </w:pPr>
      <w:r>
        <w:t>O</w:t>
      </w:r>
      <w:r w:rsidR="00E37383">
        <w:t xml:space="preserve">n being considered for formal MACNI services, clients should be provided with documents that contain information regarding privacy, information sharing, making a complaint and the department’s </w:t>
      </w:r>
      <w:r w:rsidR="00B73DC5">
        <w:t>C</w:t>
      </w:r>
      <w:r w:rsidR="00E37383" w:rsidRPr="00087975">
        <w:rPr>
          <w:i/>
        </w:rPr>
        <w:t>lient services charter</w:t>
      </w:r>
      <w:r w:rsidR="00E37383">
        <w:t>. This client information pack is compliant with the Human Services Standards and ensures information sharing is actively undertaken throughout service provision.</w:t>
      </w:r>
    </w:p>
    <w:p w14:paraId="4D0C04D1" w14:textId="17F40492" w:rsidR="00E37383" w:rsidRDefault="00E37383" w:rsidP="00E37383">
      <w:pPr>
        <w:pStyle w:val="Body"/>
      </w:pPr>
      <w:r>
        <w:t xml:space="preserve">Refer: </w:t>
      </w:r>
      <w:hyperlink r:id="rId56" w:history="1">
        <w:r w:rsidRPr="007365EF">
          <w:rPr>
            <w:rStyle w:val="Hyperlink"/>
          </w:rPr>
          <w:t>Human Services Standards</w:t>
        </w:r>
      </w:hyperlink>
      <w:r w:rsidR="005D2ABA">
        <w:t xml:space="preserve"> &lt;</w:t>
      </w:r>
      <w:r w:rsidR="005D2ABA" w:rsidRPr="005D2ABA">
        <w:t>https://providers.dffh.vic.gov.au/human-services-standards</w:t>
      </w:r>
      <w:r w:rsidR="005D2ABA">
        <w:t>&gt;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985"/>
      </w:tblGrid>
      <w:tr w:rsidR="00E37383" w14:paraId="786F251F" w14:textId="77777777" w:rsidTr="7DAFCD5E">
        <w:tc>
          <w:tcPr>
            <w:tcW w:w="0" w:type="auto"/>
            <w:shd w:val="clear" w:color="auto" w:fill="CCE9F8"/>
          </w:tcPr>
          <w:p w14:paraId="666D9FC6" w14:textId="77777777" w:rsidR="00E37383" w:rsidRPr="006F75D0" w:rsidRDefault="00E37383" w:rsidP="009104F4">
            <w:pPr>
              <w:pStyle w:val="Body"/>
              <w:spacing w:before="120"/>
            </w:pPr>
            <w:r>
              <w:rPr>
                <w:noProof/>
              </w:rPr>
              <w:drawing>
                <wp:inline distT="0" distB="0" distL="0" distR="0" wp14:anchorId="261B632E" wp14:editId="1F285888">
                  <wp:extent cx="540000" cy="540000"/>
                  <wp:effectExtent l="0" t="0" r="0" b="0"/>
                  <wp:docPr id="290" name="Picture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1697610C" w14:textId="77777777" w:rsidR="00E37383" w:rsidRPr="006F75D0" w:rsidRDefault="00E37383">
            <w:pPr>
              <w:pStyle w:val="Tablecolhead"/>
              <w:rPr>
                <w:rFonts w:eastAsia="Arial"/>
              </w:rPr>
            </w:pPr>
            <w:r w:rsidRPr="006F75D0">
              <w:rPr>
                <w:rFonts w:eastAsia="Arial"/>
              </w:rPr>
              <w:t>Documentation required</w:t>
            </w:r>
          </w:p>
          <w:p w14:paraId="4872D556" w14:textId="4A1C6BD4" w:rsidR="00E37383" w:rsidRPr="006F75D0" w:rsidRDefault="007365EF" w:rsidP="00740A47">
            <w:pPr>
              <w:pStyle w:val="Bullet1"/>
            </w:pPr>
            <w:r>
              <w:t xml:space="preserve">9 </w:t>
            </w:r>
            <w:r w:rsidR="48AED0DF">
              <w:t>Formal MACNI client information checklist and supplementary documentation.</w:t>
            </w:r>
          </w:p>
        </w:tc>
      </w:tr>
    </w:tbl>
    <w:p w14:paraId="57412862" w14:textId="5C52503B" w:rsidR="67C18456" w:rsidRDefault="67C184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5324CBBA" w14:textId="77777777" w:rsidTr="7DAFCD5E">
        <w:tc>
          <w:tcPr>
            <w:tcW w:w="0" w:type="auto"/>
            <w:shd w:val="clear" w:color="auto" w:fill="99D3F0"/>
            <w:vAlign w:val="center"/>
          </w:tcPr>
          <w:p w14:paraId="46CE8E16" w14:textId="77777777" w:rsidR="00E37383" w:rsidRDefault="00E37383">
            <w:pPr>
              <w:pStyle w:val="Body"/>
            </w:pPr>
            <w:r>
              <w:rPr>
                <w:noProof/>
              </w:rPr>
              <w:lastRenderedPageBreak/>
              <w:drawing>
                <wp:inline distT="0" distB="0" distL="0" distR="0" wp14:anchorId="5EB823CD" wp14:editId="69D90E01">
                  <wp:extent cx="540000" cy="540000"/>
                  <wp:effectExtent l="0" t="0" r="0" b="0"/>
                  <wp:docPr id="307" name="Picture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D2DAD11" w14:textId="77777777" w:rsidR="00E37383" w:rsidRDefault="00E37383">
            <w:pPr>
              <w:pStyle w:val="Tablecolhead"/>
            </w:pPr>
            <w:r>
              <w:t>Coordinator tasks</w:t>
            </w:r>
          </w:p>
          <w:p w14:paraId="5C556587" w14:textId="77777777" w:rsidR="00E37383" w:rsidRDefault="48AED0DF" w:rsidP="00740A47">
            <w:pPr>
              <w:pStyle w:val="Bullet1"/>
            </w:pPr>
            <w:r>
              <w:t>provide a client information pack to eligible clients and ensure understanding of its contents and purpose. This task may be better facilitated by the Care Plan Coordinator or key worker.</w:t>
            </w:r>
          </w:p>
        </w:tc>
      </w:tr>
    </w:tbl>
    <w:p w14:paraId="45A876B0" w14:textId="1A5CAE72" w:rsidR="00E37383" w:rsidRDefault="00E37383" w:rsidP="000E7482">
      <w:pPr>
        <w:pStyle w:val="Heading2"/>
        <w:numPr>
          <w:ilvl w:val="1"/>
          <w:numId w:val="12"/>
        </w:numPr>
      </w:pPr>
      <w:bookmarkStart w:id="234" w:name="_2u6wntf" w:colFirst="0" w:colLast="0"/>
      <w:bookmarkStart w:id="235" w:name="_Toc32229273"/>
      <w:bookmarkStart w:id="236" w:name="_Toc65508240"/>
      <w:bookmarkStart w:id="237" w:name="_Toc112856240"/>
      <w:bookmarkStart w:id="238" w:name="_Toc125713721"/>
      <w:bookmarkStart w:id="239" w:name="_Toc137636763"/>
      <w:bookmarkStart w:id="240" w:name="_Toc145318600"/>
      <w:bookmarkEnd w:id="225"/>
      <w:bookmarkEnd w:id="226"/>
      <w:bookmarkEnd w:id="227"/>
      <w:bookmarkEnd w:id="228"/>
      <w:bookmarkEnd w:id="234"/>
      <w:r>
        <w:t>Care plan development</w:t>
      </w:r>
      <w:bookmarkEnd w:id="235"/>
      <w:bookmarkEnd w:id="236"/>
      <w:bookmarkEnd w:id="237"/>
      <w:bookmarkEnd w:id="238"/>
      <w:bookmarkEnd w:id="239"/>
      <w:bookmarkEnd w:id="240"/>
    </w:p>
    <w:p w14:paraId="34135C97" w14:textId="2CC70687" w:rsidR="00146A5E" w:rsidRDefault="00E37383" w:rsidP="00E37383">
      <w:pPr>
        <w:pStyle w:val="Body"/>
      </w:pPr>
      <w:r w:rsidRPr="00955F88">
        <w:t xml:space="preserve">It is a requirement under the </w:t>
      </w:r>
      <w:r w:rsidRPr="000F00B2">
        <w:rPr>
          <w:i/>
          <w:iCs/>
        </w:rPr>
        <w:t xml:space="preserve">Act </w:t>
      </w:r>
      <w:r w:rsidRPr="00955F88">
        <w:t xml:space="preserve">that a client determined eligible for services has a MACNI care plan developed within </w:t>
      </w:r>
      <w:r w:rsidR="00B863CD">
        <w:t xml:space="preserve">twelve </w:t>
      </w:r>
      <w:r w:rsidRPr="00955F88">
        <w:t>weeks from the date of eligibility</w:t>
      </w:r>
      <w:r>
        <w:t xml:space="preserve">. </w:t>
      </w:r>
      <w:r w:rsidR="00146A5E" w:rsidRPr="00955F88">
        <w:t xml:space="preserve">The Instrument of Delegation specifies the roles authorised to make care planning decisions as delegations of the Secretary’s powers and functions under the Act. </w:t>
      </w:r>
    </w:p>
    <w:p w14:paraId="6E7B5B24" w14:textId="720D67C7" w:rsidR="00E37383" w:rsidRDefault="00BD2C1C" w:rsidP="00E37383">
      <w:pPr>
        <w:pStyle w:val="Heading3"/>
      </w:pPr>
      <w:r>
        <w:t xml:space="preserve">7.5.1 </w:t>
      </w:r>
      <w:r w:rsidR="00E37383">
        <w:t>Duration</w:t>
      </w:r>
    </w:p>
    <w:p w14:paraId="62439A86" w14:textId="0B50C817" w:rsidR="00E37383" w:rsidRDefault="00E37383" w:rsidP="00E37383">
      <w:pPr>
        <w:pStyle w:val="Body"/>
      </w:pPr>
      <w:r>
        <w:t>The Act</w:t>
      </w:r>
      <w:r w:rsidRPr="46A48B71">
        <w:rPr>
          <w:i/>
          <w:iCs/>
        </w:rPr>
        <w:t xml:space="preserve"> </w:t>
      </w:r>
      <w:r>
        <w:t xml:space="preserve">stipulates care plans should not be longer than </w:t>
      </w:r>
      <w:r w:rsidR="00B863CD">
        <w:t>twelve</w:t>
      </w:r>
      <w:r>
        <w:t xml:space="preserve"> months and the total duration of MACNI involvement must not exceed </w:t>
      </w:r>
      <w:r w:rsidR="00B863CD">
        <w:t>thirty-six</w:t>
      </w:r>
      <w:r>
        <w:t xml:space="preserve"> months. The duration of the MACNI care plan is calculated from the date of the initial care plan approval by the departmental delegate to the date of MACNI closure, less any time for which a suspension of the care plan was approved.</w:t>
      </w:r>
    </w:p>
    <w:p w14:paraId="568BF6EC" w14:textId="571039C6" w:rsidR="00E37383" w:rsidRDefault="00BD2C1C" w:rsidP="00E37383">
      <w:pPr>
        <w:pStyle w:val="Heading3"/>
      </w:pPr>
      <w:r>
        <w:t xml:space="preserve">7.5.2 </w:t>
      </w:r>
      <w:r w:rsidR="00E37383">
        <w:t>Content</w:t>
      </w:r>
    </w:p>
    <w:p w14:paraId="2782CEC8" w14:textId="17CD4743" w:rsidR="00A801BF" w:rsidRDefault="00841C99" w:rsidP="00841C99">
      <w:pPr>
        <w:pStyle w:val="Body"/>
      </w:pPr>
      <w:r>
        <w:t>Core to the establishment of an effective care plan is a strong understanding of the client’s needs and goals</w:t>
      </w:r>
      <w:r w:rsidR="007365EF">
        <w:t xml:space="preserve">. </w:t>
      </w:r>
      <w:r w:rsidR="00C2223D" w:rsidRPr="00955F88">
        <w:t xml:space="preserve">The care plan makes recommendations about supports and interventions to address the client’s needs, considering their best interests and working within a strengths-based framework. </w:t>
      </w:r>
    </w:p>
    <w:p w14:paraId="48ACE68E" w14:textId="2C165982" w:rsidR="00841C99" w:rsidRDefault="00C2223D" w:rsidP="00841C99">
      <w:pPr>
        <w:pStyle w:val="Body"/>
      </w:pPr>
      <w:r>
        <w:t xml:space="preserve">The care plan must be </w:t>
      </w:r>
      <w:r w:rsidRPr="00955F88">
        <w:t xml:space="preserve">based on a comprehensive assessment of the client’s needs. </w:t>
      </w:r>
      <w:r w:rsidR="00841C99">
        <w:t xml:space="preserve">Assessments, including clinical assessments and the service interventions that have been attempted or implemented in the past should assist to inform service delivery into the future. </w:t>
      </w:r>
      <w:r w:rsidR="00A801BF">
        <w:t xml:space="preserve">Depending on the amount and quality of previous assessments, a brief synthesis or timeline of events/interventions may be sufficient to understand the client’s needs and the systems issues impacting the achievement of desired outcomes. Other times, an in-depth file review and analysis is required. </w:t>
      </w:r>
    </w:p>
    <w:p w14:paraId="3C5CA0F3" w14:textId="77777777" w:rsidR="00C2223D" w:rsidRDefault="00146A5E" w:rsidP="00E37383">
      <w:pPr>
        <w:pStyle w:val="Body"/>
      </w:pPr>
      <w:r w:rsidRPr="00955F88">
        <w:t xml:space="preserve">The service responsible for developing the care plan will be determined based on appropriate matching to the client’s needs </w:t>
      </w:r>
      <w:r>
        <w:t>and</w:t>
      </w:r>
      <w:r w:rsidRPr="00955F88">
        <w:t xml:space="preserve"> the service</w:t>
      </w:r>
      <w:r>
        <w:t>’</w:t>
      </w:r>
      <w:r w:rsidRPr="00955F88">
        <w:t>s expertise and capacity to provide care plan development in a timely and effective manner.</w:t>
      </w:r>
      <w:r w:rsidR="00A801BF">
        <w:t xml:space="preserve"> </w:t>
      </w:r>
    </w:p>
    <w:p w14:paraId="77D20667" w14:textId="14BB764E" w:rsidR="00A624A1" w:rsidRPr="00817292" w:rsidRDefault="00C2223D" w:rsidP="00E37383">
      <w:pPr>
        <w:pStyle w:val="Body"/>
      </w:pPr>
      <w:r w:rsidRPr="00817292">
        <w:t xml:space="preserve">MACNI assessment and care plan development </w:t>
      </w:r>
      <w:r>
        <w:t>templates are</w:t>
      </w:r>
      <w:r w:rsidRPr="00817292">
        <w:t xml:space="preserve"> provided to </w:t>
      </w:r>
      <w:r>
        <w:t xml:space="preserve">the </w:t>
      </w:r>
      <w:r w:rsidRPr="00817292">
        <w:t xml:space="preserve">service developing </w:t>
      </w:r>
      <w:r>
        <w:t xml:space="preserve">the </w:t>
      </w:r>
      <w:r w:rsidRPr="00817292">
        <w:t>care plan</w:t>
      </w:r>
      <w:r>
        <w:t>.</w:t>
      </w:r>
      <w:r w:rsidRPr="00817292">
        <w:t xml:space="preserve"> </w:t>
      </w:r>
      <w:r w:rsidR="00E37383" w:rsidRPr="00817292">
        <w:t>A service may tailor the plan with additional fields as seen relevant</w:t>
      </w:r>
      <w:r w:rsidR="00E37383">
        <w:t xml:space="preserve"> while maintaining the template’s minimum MACNI information requirements</w:t>
      </w:r>
    </w:p>
    <w:p w14:paraId="60FC1AF1" w14:textId="77777777" w:rsidR="00F1152B" w:rsidRPr="00817292"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013"/>
      </w:tblGrid>
      <w:tr w:rsidR="00E37383" w14:paraId="091DBD32" w14:textId="77777777" w:rsidTr="7DAFCD5E">
        <w:tc>
          <w:tcPr>
            <w:tcW w:w="0" w:type="auto"/>
            <w:shd w:val="clear" w:color="auto" w:fill="CCE9F8"/>
            <w:vAlign w:val="center"/>
          </w:tcPr>
          <w:p w14:paraId="18D7A9B0" w14:textId="77777777" w:rsidR="00E37383" w:rsidRDefault="00E37383">
            <w:pPr>
              <w:pStyle w:val="Body"/>
            </w:pPr>
            <w:r>
              <w:rPr>
                <w:noProof/>
              </w:rPr>
              <w:drawing>
                <wp:inline distT="0" distB="0" distL="0" distR="0" wp14:anchorId="602B666A" wp14:editId="46FB29D5">
                  <wp:extent cx="540000" cy="540000"/>
                  <wp:effectExtent l="0" t="0" r="0" b="0"/>
                  <wp:docPr id="318" name="Picture 3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495811B" w14:textId="77777777" w:rsidR="00E37383" w:rsidRDefault="00E37383">
            <w:pPr>
              <w:pStyle w:val="Tablecolhead"/>
              <w:rPr>
                <w:rFonts w:eastAsia="Arial"/>
              </w:rPr>
            </w:pPr>
            <w:r>
              <w:rPr>
                <w:rFonts w:eastAsia="Arial"/>
              </w:rPr>
              <w:t>Documentation required</w:t>
            </w:r>
          </w:p>
          <w:p w14:paraId="1686BD2E" w14:textId="677BB107" w:rsidR="00E37383" w:rsidRDefault="008F5528" w:rsidP="00740A47">
            <w:pPr>
              <w:pStyle w:val="Bullet1"/>
            </w:pPr>
            <w:r>
              <w:t xml:space="preserve">2 </w:t>
            </w:r>
            <w:r w:rsidR="48AED0DF">
              <w:t xml:space="preserve">MACNI </w:t>
            </w:r>
            <w:r w:rsidR="00B863CD">
              <w:t xml:space="preserve">Assessment </w:t>
            </w:r>
            <w:r>
              <w:t>a</w:t>
            </w:r>
            <w:r w:rsidR="00B863CD">
              <w:t>nd Care Plan Development Report</w:t>
            </w:r>
          </w:p>
          <w:p w14:paraId="4A14556B" w14:textId="55BA630C" w:rsidR="00E37383" w:rsidRPr="00B83D2D" w:rsidRDefault="008F5528" w:rsidP="00740A47">
            <w:pPr>
              <w:pStyle w:val="Bullet1"/>
            </w:pPr>
            <w:r>
              <w:t xml:space="preserve">3 </w:t>
            </w:r>
            <w:r w:rsidR="48AED0DF">
              <w:t xml:space="preserve">MACNI </w:t>
            </w:r>
            <w:r w:rsidR="00B863CD">
              <w:t>Care Plan Template</w:t>
            </w:r>
            <w:r w:rsidR="48AED0DF">
              <w:t>.</w:t>
            </w:r>
          </w:p>
        </w:tc>
      </w:tr>
    </w:tbl>
    <w:p w14:paraId="54EFDA0A"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563B12F3" w14:textId="77777777" w:rsidTr="7DAFCD5E">
        <w:tc>
          <w:tcPr>
            <w:tcW w:w="0" w:type="auto"/>
            <w:shd w:val="clear" w:color="auto" w:fill="99D3F0"/>
            <w:vAlign w:val="center"/>
          </w:tcPr>
          <w:p w14:paraId="108C984A" w14:textId="77777777" w:rsidR="00E37383" w:rsidRDefault="00E37383">
            <w:pPr>
              <w:pStyle w:val="Body"/>
            </w:pPr>
            <w:r>
              <w:rPr>
                <w:noProof/>
              </w:rPr>
              <w:drawing>
                <wp:inline distT="0" distB="0" distL="0" distR="0" wp14:anchorId="5E636F0C" wp14:editId="2C80B8AE">
                  <wp:extent cx="540000" cy="540000"/>
                  <wp:effectExtent l="0" t="0" r="0" b="0"/>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CBAFC83" w14:textId="77777777" w:rsidR="00E37383" w:rsidRDefault="00E37383">
            <w:pPr>
              <w:pStyle w:val="Tablecolhead"/>
            </w:pPr>
            <w:r>
              <w:t>Coordinator tasks</w:t>
            </w:r>
          </w:p>
          <w:p w14:paraId="2C761F2F" w14:textId="77777777" w:rsidR="00E37383" w:rsidRPr="00817292" w:rsidRDefault="48AED0DF" w:rsidP="00740A47">
            <w:pPr>
              <w:pStyle w:val="Bullet1"/>
            </w:pPr>
            <w:r>
              <w:t>support the care plan developer to access and gather relevant assessments and documentation as required</w:t>
            </w:r>
          </w:p>
          <w:p w14:paraId="4A970FA3" w14:textId="77777777" w:rsidR="00E37383" w:rsidRPr="00817292" w:rsidRDefault="48AED0DF" w:rsidP="00740A47">
            <w:pPr>
              <w:pStyle w:val="Bullet1"/>
            </w:pPr>
            <w:r>
              <w:t>identify the need for cultural-specific consultation and arrange as required</w:t>
            </w:r>
          </w:p>
          <w:p w14:paraId="203FB795" w14:textId="52B42E29" w:rsidR="00E37383" w:rsidRPr="00817292" w:rsidRDefault="48AED0DF" w:rsidP="00740A47">
            <w:pPr>
              <w:pStyle w:val="Bullet1"/>
            </w:pPr>
            <w:r>
              <w:lastRenderedPageBreak/>
              <w:t>provide assessment</w:t>
            </w:r>
            <w:r w:rsidR="00C053A6">
              <w:t>/</w:t>
            </w:r>
            <w:r>
              <w:t xml:space="preserve">MACNI </w:t>
            </w:r>
            <w:r w:rsidR="00B863CD">
              <w:t xml:space="preserve">Care Plan </w:t>
            </w:r>
            <w:r w:rsidR="00C053A6">
              <w:t>t</w:t>
            </w:r>
            <w:r w:rsidR="00B863CD">
              <w:t>emplate</w:t>
            </w:r>
            <w:r w:rsidR="00C053A6">
              <w:t>s</w:t>
            </w:r>
            <w:r w:rsidR="00B863CD">
              <w:t xml:space="preserve"> </w:t>
            </w:r>
            <w:r>
              <w:t xml:space="preserve">to </w:t>
            </w:r>
            <w:r w:rsidRPr="00C053A6">
              <w:t>service provider</w:t>
            </w:r>
            <w:r w:rsidR="00C053A6" w:rsidRPr="00C053A6">
              <w:t>s</w:t>
            </w:r>
            <w:r>
              <w:t xml:space="preserve"> </w:t>
            </w:r>
            <w:r w:rsidR="00C053A6">
              <w:t xml:space="preserve">to </w:t>
            </w:r>
            <w:r>
              <w:t>complet</w:t>
            </w:r>
            <w:r w:rsidR="00C053A6">
              <w:t>e</w:t>
            </w:r>
          </w:p>
          <w:p w14:paraId="4772A107" w14:textId="77777777" w:rsidR="00E37383" w:rsidRDefault="48AED0DF" w:rsidP="00740A47">
            <w:pPr>
              <w:pStyle w:val="Bullet1"/>
            </w:pPr>
            <w:r>
              <w:t>ensure 90% of MACNI care plans are recommended by the panel within 12 weeks from the date of eligibility</w:t>
            </w:r>
          </w:p>
          <w:p w14:paraId="1398517A" w14:textId="77777777" w:rsidR="00E37383" w:rsidRPr="000E1091" w:rsidRDefault="48AED0DF" w:rsidP="00740A47">
            <w:pPr>
              <w:pStyle w:val="Bullet1"/>
            </w:pPr>
            <w:r>
              <w:t>ensure MACNI care plans are reviewed and recommended by the panel on a six-monthly basis</w:t>
            </w:r>
          </w:p>
          <w:p w14:paraId="557A772E" w14:textId="77777777" w:rsidR="00E37383" w:rsidRPr="007B2296" w:rsidRDefault="48AED0DF" w:rsidP="00740A47">
            <w:pPr>
              <w:pStyle w:val="Bullet1"/>
              <w:rPr>
                <w:color w:val="FF0000"/>
              </w:rPr>
            </w:pPr>
            <w:r>
              <w:t>update SharePoint client database, ensuring the initial care plan date is recorded.</w:t>
            </w:r>
          </w:p>
        </w:tc>
      </w:tr>
    </w:tbl>
    <w:p w14:paraId="3352DC0E" w14:textId="77777777" w:rsidR="00E37383" w:rsidRDefault="00E37383" w:rsidP="00E37383">
      <w:pPr>
        <w:pStyle w:val="Heading4"/>
        <w:rPr>
          <w:rStyle w:val="Strong"/>
        </w:rPr>
      </w:pPr>
      <w:r>
        <w:lastRenderedPageBreak/>
        <w:t>NDIS plan and MACNI care plan</w:t>
      </w:r>
    </w:p>
    <w:p w14:paraId="0CD0CE85" w14:textId="77777777" w:rsidR="00E37383" w:rsidRDefault="00E37383" w:rsidP="00E37383">
      <w:pPr>
        <w:pStyle w:val="Body"/>
      </w:pPr>
      <w:r>
        <w:t xml:space="preserve">Many clients receiving MACNI services may also be eligible to receive a service plan from the NDIS. In many instances, the existing MACNI care plan has been provided in pre-planning meetings with the NDIS to demonstrate the level of complex support and coordination required. </w:t>
      </w:r>
    </w:p>
    <w:p w14:paraId="418F7818" w14:textId="2245353E" w:rsidR="00E37383" w:rsidRDefault="00E37383" w:rsidP="00E37383">
      <w:pPr>
        <w:pStyle w:val="Body"/>
      </w:pPr>
      <w:r>
        <w:t>Where a formal MACNI client also has an approved NDIS plan, details regarding NDIS-funded service provision are to be incorporated in</w:t>
      </w:r>
      <w:r w:rsidR="00B863CD">
        <w:t>to</w:t>
      </w:r>
      <w:r>
        <w:t xml:space="preserve"> the MACNI care plan, specifying the funding source. No plan takes precedence over another, and the two plans exist side-by-side with specific functions. </w:t>
      </w:r>
    </w:p>
    <w:p w14:paraId="37FEF7E7" w14:textId="6311D90D" w:rsidR="00E37383" w:rsidRDefault="00E37383" w:rsidP="00E37383">
      <w:pPr>
        <w:pStyle w:val="Body"/>
      </w:pPr>
      <w:r>
        <w:t xml:space="preserve">To avoid duplication of funding, knowledge of what </w:t>
      </w:r>
      <w:r w:rsidR="00B863CD">
        <w:t xml:space="preserve">is/can be </w:t>
      </w:r>
      <w:r>
        <w:t>funded via the NDIS plan is required before brokerage can be committed. For example, the NDIS plan may include provision</w:t>
      </w:r>
      <w:r w:rsidR="00B863CD">
        <w:t xml:space="preserve"> </w:t>
      </w:r>
      <w:r>
        <w:t xml:space="preserve">for assessments or direct staff support and should not be requested from MACNI. MACNI does not fund services that would normally be funded by the NDIS, including psychosocial disability support. </w:t>
      </w:r>
    </w:p>
    <w:p w14:paraId="20A6B6B3" w14:textId="77777777" w:rsidR="00BB1ABB" w:rsidRDefault="00BB1AB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3A74438E" w14:textId="77777777" w:rsidTr="7DAFCD5E">
        <w:trPr>
          <w:trHeight w:val="300"/>
        </w:trPr>
        <w:tc>
          <w:tcPr>
            <w:tcW w:w="1066" w:type="dxa"/>
            <w:shd w:val="clear" w:color="auto" w:fill="99D3F0"/>
            <w:vAlign w:val="center"/>
          </w:tcPr>
          <w:p w14:paraId="610B25E7" w14:textId="77777777" w:rsidR="00E37383" w:rsidRDefault="00E37383">
            <w:pPr>
              <w:pStyle w:val="Body"/>
            </w:pPr>
            <w:r>
              <w:rPr>
                <w:noProof/>
              </w:rPr>
              <w:drawing>
                <wp:inline distT="0" distB="0" distL="0" distR="0" wp14:anchorId="73185F4C" wp14:editId="6139BF0E">
                  <wp:extent cx="540000" cy="540000"/>
                  <wp:effectExtent l="0" t="0" r="0" b="0"/>
                  <wp:docPr id="1934884926" name="Picture 1934884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26" name="Picture 193488492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8232" w:type="dxa"/>
          </w:tcPr>
          <w:p w14:paraId="03B9FB92" w14:textId="77777777" w:rsidR="00E37383" w:rsidRDefault="00E37383">
            <w:pPr>
              <w:pStyle w:val="Tablecolhead"/>
            </w:pPr>
            <w:r>
              <w:t>Coordinator tasks</w:t>
            </w:r>
          </w:p>
          <w:p w14:paraId="10F4B728" w14:textId="6F54D50A" w:rsidR="00E37383" w:rsidRDefault="48AED0DF" w:rsidP="00740A47">
            <w:pPr>
              <w:pStyle w:val="Bullet1"/>
            </w:pPr>
            <w:r>
              <w:t>ensure fund holders (</w:t>
            </w:r>
            <w:r w:rsidR="00A76572">
              <w:t>e.g.:</w:t>
            </w:r>
            <w:r w:rsidR="00251E87">
              <w:t xml:space="preserve"> </w:t>
            </w:r>
            <w:r>
              <w:t>DFFH, NDIA) are clearly indicated within the care plan</w:t>
            </w:r>
          </w:p>
          <w:p w14:paraId="172325F7" w14:textId="77777777" w:rsidR="00E37383" w:rsidRDefault="48AED0DF" w:rsidP="00740A47">
            <w:pPr>
              <w:pStyle w:val="Bullet1"/>
            </w:pPr>
            <w:r>
              <w:t>obtain consent from the client to have information regarding services in their NDIS plan released to the Complex Needs Coordinator or Care Plan Coordinator.</w:t>
            </w:r>
          </w:p>
        </w:tc>
      </w:tr>
    </w:tbl>
    <w:p w14:paraId="19507BB9" w14:textId="77777777" w:rsidR="00E37383" w:rsidRDefault="00E37383" w:rsidP="00E37383">
      <w:pPr>
        <w:pStyle w:val="Body"/>
      </w:pPr>
    </w:p>
    <w:p w14:paraId="3FA73994" w14:textId="637D8D3E" w:rsidR="00E37383" w:rsidRPr="00267063" w:rsidRDefault="00BD2C1C" w:rsidP="00E37383">
      <w:pPr>
        <w:pStyle w:val="Heading3"/>
      </w:pPr>
      <w:bookmarkStart w:id="241" w:name="_28h4qwu" w:colFirst="0" w:colLast="0"/>
      <w:bookmarkEnd w:id="241"/>
      <w:r>
        <w:t xml:space="preserve">7.5.3 </w:t>
      </w:r>
      <w:r w:rsidR="00E37383" w:rsidRPr="00267063">
        <w:t xml:space="preserve">Care plan development </w:t>
      </w:r>
      <w:r w:rsidR="00F553D4">
        <w:t>tier</w:t>
      </w:r>
      <w:r w:rsidR="00E37383" w:rsidRPr="00267063">
        <w:t>s</w:t>
      </w:r>
    </w:p>
    <w:p w14:paraId="0D58C6A6" w14:textId="77777777" w:rsidR="00E37383" w:rsidRPr="00955F88" w:rsidRDefault="00E37383" w:rsidP="00E37383">
      <w:pPr>
        <w:pStyle w:val="Body"/>
      </w:pPr>
      <w:r w:rsidRPr="00955F88">
        <w:t xml:space="preserve">To help target interventions appropriately, MACNI </w:t>
      </w:r>
      <w:r>
        <w:t>uses</w:t>
      </w:r>
      <w:r w:rsidRPr="00955F88">
        <w:t xml:space="preserve"> a tiered approach to care plan development based </w:t>
      </w:r>
      <w:r>
        <w:t>on</w:t>
      </w:r>
      <w:r w:rsidRPr="00955F88">
        <w:t xml:space="preserve"> the client’s need and the availability and accessibility of required information.</w:t>
      </w:r>
    </w:p>
    <w:p w14:paraId="21C986A7" w14:textId="77777777" w:rsidR="00E37383" w:rsidRPr="00955F88" w:rsidRDefault="00E37383" w:rsidP="00E37383">
      <w:pPr>
        <w:pStyle w:val="Body"/>
      </w:pPr>
      <w:r w:rsidRPr="00955F88">
        <w:t>At eligibility determination (or later) panels may make a recommendation on care plan development, including the choice of service provider to engage and the care plan level required. In some cases, a draft care plan is presented to panel at the point of eligibility consideration for its recommendation. If this occurs, the further appointment of a care plan development agency is not required, and service provision can progress to care plan coordination.</w:t>
      </w:r>
    </w:p>
    <w:p w14:paraId="4B3F7EEC" w14:textId="77777777" w:rsidR="00E37383" w:rsidRPr="006D02DA" w:rsidRDefault="00E37383" w:rsidP="00E37383">
      <w:pPr>
        <w:pStyle w:val="Body"/>
      </w:pPr>
      <w:r>
        <w:t xml:space="preserve">The panel reaches a </w:t>
      </w:r>
      <w:r w:rsidRPr="006D02DA">
        <w:t xml:space="preserve">decision </w:t>
      </w:r>
      <w:r>
        <w:t xml:space="preserve">about </w:t>
      </w:r>
      <w:r w:rsidRPr="006D02DA">
        <w:t>the care plan development level required a</w:t>
      </w:r>
      <w:r>
        <w:t xml:space="preserve">t a point in time. If the </w:t>
      </w:r>
      <w:r w:rsidRPr="5310D6ED">
        <w:rPr>
          <w:rFonts w:eastAsia="Arial"/>
          <w:color w:val="000000" w:themeColor="text1"/>
        </w:rPr>
        <w:t>client</w:t>
      </w:r>
      <w:r w:rsidRPr="006D02DA">
        <w:t xml:space="preserve">’s needs or circumstances change, the level can be adjusted outside the panel meeting to ensure a timely response. This is initiated </w:t>
      </w:r>
      <w:r w:rsidRPr="00745E4C">
        <w:t xml:space="preserve">through contact with the </w:t>
      </w:r>
      <w:r>
        <w:t>Complex Needs Coordinator</w:t>
      </w:r>
      <w:r w:rsidRPr="00745E4C">
        <w:t xml:space="preserve"> who reviews the request, and if appropriate, seeks approval from a departmental delegate. The decision is reported to panel members at the next scheduled meeting</w:t>
      </w:r>
      <w:r w:rsidRPr="006D02DA">
        <w:t>.</w:t>
      </w:r>
    </w:p>
    <w:p w14:paraId="5DF4FDCC" w14:textId="010D0431" w:rsidR="00E37383" w:rsidRDefault="00E37383" w:rsidP="00E37383">
      <w:pPr>
        <w:pStyle w:val="Figurecaption"/>
        <w:rPr>
          <w:rFonts w:eastAsia="Arial"/>
        </w:rPr>
      </w:pPr>
      <w:bookmarkStart w:id="242" w:name="_Hlk9513909"/>
      <w:r w:rsidRPr="003D21E5">
        <w:rPr>
          <w:rFonts w:eastAsia="Arial"/>
        </w:rPr>
        <w:t xml:space="preserve">Care plan development </w:t>
      </w:r>
      <w:r w:rsidR="00F553D4">
        <w:rPr>
          <w:rFonts w:eastAsia="Arial"/>
        </w:rPr>
        <w:t>tier</w:t>
      </w:r>
      <w:r w:rsidRPr="003D21E5">
        <w:rPr>
          <w:rFonts w:eastAsia="Arial"/>
        </w:rPr>
        <w:t>s and descriptions</w:t>
      </w:r>
    </w:p>
    <w:tbl>
      <w:tblPr>
        <w:tblStyle w:val="TableGrid"/>
        <w:tblW w:w="5000" w:type="pct"/>
        <w:tblLook w:val="04A0" w:firstRow="1" w:lastRow="0" w:firstColumn="1" w:lastColumn="0" w:noHBand="0" w:noVBand="1"/>
      </w:tblPr>
      <w:tblGrid>
        <w:gridCol w:w="2467"/>
        <w:gridCol w:w="6821"/>
      </w:tblGrid>
      <w:tr w:rsidR="00E37383" w:rsidRPr="00E149AA" w14:paraId="001EF815" w14:textId="77777777">
        <w:tc>
          <w:tcPr>
            <w:tcW w:w="1328" w:type="pct"/>
            <w:shd w:val="clear" w:color="auto" w:fill="auto"/>
          </w:tcPr>
          <w:p w14:paraId="1AB961B0" w14:textId="28942A89" w:rsidR="00E37383" w:rsidRPr="00E149AA" w:rsidRDefault="00F553D4">
            <w:pPr>
              <w:pStyle w:val="Tablecolhead"/>
              <w:rPr>
                <w:rFonts w:eastAsia="Arial"/>
              </w:rPr>
            </w:pPr>
            <w:r>
              <w:rPr>
                <w:rFonts w:eastAsia="Arial"/>
              </w:rPr>
              <w:t>Tier</w:t>
            </w:r>
          </w:p>
        </w:tc>
        <w:tc>
          <w:tcPr>
            <w:tcW w:w="3672" w:type="pct"/>
            <w:shd w:val="clear" w:color="auto" w:fill="auto"/>
          </w:tcPr>
          <w:p w14:paraId="54E569F6" w14:textId="77777777" w:rsidR="00E37383" w:rsidRPr="00E149AA" w:rsidRDefault="00E37383">
            <w:pPr>
              <w:pStyle w:val="Tablecolhead"/>
              <w:rPr>
                <w:rFonts w:eastAsia="Arial"/>
              </w:rPr>
            </w:pPr>
            <w:r w:rsidRPr="00E149AA">
              <w:rPr>
                <w:rFonts w:eastAsia="Arial"/>
              </w:rPr>
              <w:t>Description</w:t>
            </w:r>
          </w:p>
        </w:tc>
      </w:tr>
      <w:tr w:rsidR="00E37383" w14:paraId="39648A74" w14:textId="77777777">
        <w:tc>
          <w:tcPr>
            <w:tcW w:w="1328" w:type="pct"/>
            <w:vAlign w:val="center"/>
          </w:tcPr>
          <w:p w14:paraId="3F1FFED1" w14:textId="4E9F87B6" w:rsidR="00E37383" w:rsidRDefault="00F553D4">
            <w:pPr>
              <w:pStyle w:val="Tabletext"/>
              <w:rPr>
                <w:rFonts w:eastAsia="Arial"/>
              </w:rPr>
            </w:pPr>
            <w:r>
              <w:rPr>
                <w:rFonts w:eastAsia="Arial"/>
                <w:b/>
              </w:rPr>
              <w:t>Tier</w:t>
            </w:r>
            <w:r w:rsidR="00E37383" w:rsidRPr="00FF68AD">
              <w:rPr>
                <w:rFonts w:eastAsia="Arial"/>
                <w:b/>
              </w:rPr>
              <w:t xml:space="preserve"> 1:</w:t>
            </w:r>
            <w:r w:rsidR="00E37383">
              <w:rPr>
                <w:rFonts w:eastAsia="Arial"/>
                <w:b/>
              </w:rPr>
              <w:t xml:space="preserve"> </w:t>
            </w:r>
            <w:r w:rsidR="00E37383">
              <w:rPr>
                <w:rFonts w:eastAsia="Arial"/>
              </w:rPr>
              <w:t>20 hours per week for 4 weeks</w:t>
            </w:r>
          </w:p>
        </w:tc>
        <w:tc>
          <w:tcPr>
            <w:tcW w:w="3672" w:type="pct"/>
            <w:vAlign w:val="center"/>
          </w:tcPr>
          <w:p w14:paraId="497F72D1" w14:textId="77777777" w:rsidR="00E37383" w:rsidRDefault="00E37383">
            <w:pPr>
              <w:pStyle w:val="Tabletext"/>
              <w:rPr>
                <w:rFonts w:eastAsia="Arial"/>
              </w:rPr>
            </w:pPr>
            <w:r>
              <w:rPr>
                <w:rFonts w:eastAsia="Arial"/>
              </w:rPr>
              <w:t>Synthesis and analysis of existing and readily accessible information</w:t>
            </w:r>
          </w:p>
        </w:tc>
      </w:tr>
      <w:tr w:rsidR="00E37383" w14:paraId="38ADF9D0" w14:textId="77777777">
        <w:tc>
          <w:tcPr>
            <w:tcW w:w="1328" w:type="pct"/>
            <w:vAlign w:val="center"/>
          </w:tcPr>
          <w:p w14:paraId="61204567" w14:textId="50B17B0F" w:rsidR="00E37383" w:rsidRDefault="00F553D4">
            <w:pPr>
              <w:pStyle w:val="Tabletext"/>
              <w:rPr>
                <w:rFonts w:eastAsia="Arial"/>
              </w:rPr>
            </w:pPr>
            <w:r>
              <w:rPr>
                <w:rFonts w:eastAsia="Arial"/>
                <w:b/>
              </w:rPr>
              <w:lastRenderedPageBreak/>
              <w:t>Tier</w:t>
            </w:r>
            <w:r w:rsidR="00E37383" w:rsidRPr="00FF68AD">
              <w:rPr>
                <w:rFonts w:eastAsia="Arial"/>
                <w:b/>
              </w:rPr>
              <w:t xml:space="preserve"> 2:</w:t>
            </w:r>
            <w:r w:rsidR="00E37383">
              <w:rPr>
                <w:rFonts w:eastAsia="Arial"/>
                <w:b/>
              </w:rPr>
              <w:t xml:space="preserve"> </w:t>
            </w:r>
            <w:r w:rsidR="00E37383">
              <w:rPr>
                <w:rFonts w:eastAsia="Arial"/>
              </w:rPr>
              <w:t>20 hours per week for 8 weeks</w:t>
            </w:r>
          </w:p>
        </w:tc>
        <w:tc>
          <w:tcPr>
            <w:tcW w:w="3672" w:type="pct"/>
            <w:vAlign w:val="center"/>
          </w:tcPr>
          <w:p w14:paraId="2E136247" w14:textId="77777777" w:rsidR="00E37383" w:rsidRDefault="00E37383">
            <w:pPr>
              <w:pStyle w:val="Tabletext"/>
              <w:rPr>
                <w:rFonts w:eastAsia="Arial"/>
              </w:rPr>
            </w:pPr>
            <w:r>
              <w:rPr>
                <w:rFonts w:eastAsia="Arial"/>
              </w:rPr>
              <w:t>Sourcing and analysis of new or difficult to access information</w:t>
            </w:r>
          </w:p>
        </w:tc>
      </w:tr>
      <w:tr w:rsidR="00E37383" w14:paraId="65EB9110" w14:textId="77777777">
        <w:tc>
          <w:tcPr>
            <w:tcW w:w="1328" w:type="pct"/>
            <w:vAlign w:val="center"/>
          </w:tcPr>
          <w:p w14:paraId="05556700" w14:textId="5483FB4A" w:rsidR="00E37383" w:rsidRDefault="00F553D4">
            <w:pPr>
              <w:pStyle w:val="Tabletext"/>
              <w:rPr>
                <w:rFonts w:eastAsia="Arial"/>
              </w:rPr>
            </w:pPr>
            <w:r>
              <w:rPr>
                <w:rFonts w:eastAsia="Arial"/>
                <w:b/>
              </w:rPr>
              <w:t>Tier</w:t>
            </w:r>
            <w:r w:rsidR="00E37383" w:rsidRPr="00FF68AD">
              <w:rPr>
                <w:rFonts w:eastAsia="Arial"/>
                <w:b/>
              </w:rPr>
              <w:t xml:space="preserve"> 3:</w:t>
            </w:r>
            <w:r w:rsidR="00E37383">
              <w:rPr>
                <w:rFonts w:eastAsia="Arial"/>
                <w:b/>
              </w:rPr>
              <w:t xml:space="preserve"> </w:t>
            </w:r>
            <w:r w:rsidR="00E37383">
              <w:rPr>
                <w:rFonts w:eastAsia="Arial"/>
              </w:rPr>
              <w:t>20 hours per week for 12 weeks</w:t>
            </w:r>
          </w:p>
        </w:tc>
        <w:tc>
          <w:tcPr>
            <w:tcW w:w="3672" w:type="pct"/>
            <w:vAlign w:val="center"/>
          </w:tcPr>
          <w:p w14:paraId="385D1496" w14:textId="77777777" w:rsidR="00E37383" w:rsidRDefault="00E37383">
            <w:pPr>
              <w:pStyle w:val="Tabletext"/>
              <w:rPr>
                <w:rFonts w:eastAsia="Arial"/>
              </w:rPr>
            </w:pPr>
            <w:r>
              <w:rPr>
                <w:rFonts w:eastAsia="Arial"/>
              </w:rPr>
              <w:t>Extensive sourcing and analysis of new and difficult to access information</w:t>
            </w:r>
          </w:p>
        </w:tc>
      </w:tr>
    </w:tbl>
    <w:p w14:paraId="1928F319" w14:textId="666A57DE" w:rsidR="00E37383" w:rsidRDefault="00BD2C1C" w:rsidP="00E37383">
      <w:pPr>
        <w:pStyle w:val="Heading3"/>
      </w:pPr>
      <w:bookmarkStart w:id="243" w:name="_37m2jsg" w:colFirst="0" w:colLast="0"/>
      <w:bookmarkEnd w:id="242"/>
      <w:bookmarkEnd w:id="243"/>
      <w:r>
        <w:t>7.</w:t>
      </w:r>
      <w:r w:rsidR="00F959DA">
        <w:t xml:space="preserve">5.4 </w:t>
      </w:r>
      <w:r w:rsidR="00E37383">
        <w:t>Care plan approval</w:t>
      </w:r>
    </w:p>
    <w:p w14:paraId="5302C938" w14:textId="2AC7A822" w:rsidR="00E37383" w:rsidRPr="00745E4C" w:rsidRDefault="00E37383" w:rsidP="00E37383">
      <w:pPr>
        <w:pStyle w:val="Body"/>
      </w:pPr>
      <w:r>
        <w:rPr>
          <w:color w:val="000000"/>
        </w:rPr>
        <w:t xml:space="preserve">Following the care plan developer’s preparation of a MACNI care plan, the Complex Needs Coordinator ensures </w:t>
      </w:r>
      <w:r w:rsidRPr="00745E4C">
        <w:t xml:space="preserve">the initial care plan is scheduled for an upcoming panel meeting (ensuring that key performance indicators are met </w:t>
      </w:r>
      <w:r w:rsidRPr="004E6790">
        <w:t>(</w:t>
      </w:r>
      <w:r w:rsidR="006E79C8" w:rsidRPr="006E79C8">
        <w:t>s</w:t>
      </w:r>
      <w:r w:rsidRPr="006E79C8">
        <w:t xml:space="preserve">ection </w:t>
      </w:r>
      <w:r w:rsidR="006E79C8" w:rsidRPr="006E79C8">
        <w:t>9.3</w:t>
      </w:r>
      <w:r w:rsidRPr="004E6790">
        <w:t xml:space="preserve"> Performance targets).</w:t>
      </w:r>
    </w:p>
    <w:p w14:paraId="6CB7873B" w14:textId="163C6276" w:rsidR="00F1152B" w:rsidRDefault="00E37383" w:rsidP="00F11773">
      <w:pPr>
        <w:pStyle w:val="Body"/>
        <w:spacing w:after="240"/>
      </w:pPr>
      <w:r w:rsidRPr="00745E4C">
        <w:t>The panel considers the initial care plan</w:t>
      </w:r>
      <w:r>
        <w:t xml:space="preserve">, the associated brokerage budget and proposed care plan coordination service provider, with a view to making a recommendation to the </w:t>
      </w:r>
      <w:r w:rsidR="00B252A9">
        <w:t xml:space="preserve">Area </w:t>
      </w:r>
      <w:r>
        <w:t>Executive Director for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6B8B410" w14:textId="77777777" w:rsidTr="7DAFCD5E">
        <w:tc>
          <w:tcPr>
            <w:tcW w:w="0" w:type="auto"/>
            <w:shd w:val="clear" w:color="auto" w:fill="99D3F0"/>
            <w:vAlign w:val="center"/>
          </w:tcPr>
          <w:p w14:paraId="4A24444D" w14:textId="77777777" w:rsidR="00E37383" w:rsidRPr="00B97279" w:rsidRDefault="00E37383">
            <w:pPr>
              <w:pStyle w:val="Body"/>
            </w:pPr>
            <w:r>
              <w:rPr>
                <w:noProof/>
              </w:rPr>
              <w:drawing>
                <wp:inline distT="0" distB="0" distL="0" distR="0" wp14:anchorId="4F9AC453" wp14:editId="7F635FBD">
                  <wp:extent cx="540000" cy="540000"/>
                  <wp:effectExtent l="0" t="0" r="0" b="0"/>
                  <wp:docPr id="106"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C5D0DC5" w14:textId="77777777" w:rsidR="00E37383" w:rsidRDefault="00E37383">
            <w:pPr>
              <w:pStyle w:val="Tablecolhead"/>
            </w:pPr>
            <w:r>
              <w:t>Coordinator tasks</w:t>
            </w:r>
          </w:p>
          <w:p w14:paraId="48E62990" w14:textId="77777777" w:rsidR="00E37383" w:rsidRDefault="48AED0DF" w:rsidP="00740A47">
            <w:pPr>
              <w:pStyle w:val="Bullet1"/>
            </w:pPr>
            <w:r>
              <w:t>communicate the outcomes of a panel meeting to the care plan developer, including feedback and the requirement for any amendment to the plan and/or brokerage request</w:t>
            </w:r>
          </w:p>
          <w:p w14:paraId="40D561D6" w14:textId="77777777" w:rsidR="00E37383" w:rsidRDefault="48AED0DF" w:rsidP="00740A47">
            <w:pPr>
              <w:pStyle w:val="Bullet1"/>
            </w:pPr>
            <w:r>
              <w:t>update the CSA/SharePoint with the initial care plan approval date (date care plan is approved by the delegate)</w:t>
            </w:r>
          </w:p>
          <w:p w14:paraId="5517377E" w14:textId="77777777" w:rsidR="00E37383" w:rsidRDefault="48AED0DF" w:rsidP="00740A47">
            <w:pPr>
              <w:pStyle w:val="Bullet1"/>
            </w:pPr>
            <w:r>
              <w:t>schedule next care plan review date within six months.</w:t>
            </w:r>
          </w:p>
        </w:tc>
      </w:tr>
    </w:tbl>
    <w:p w14:paraId="26E0BB1B" w14:textId="2A87D330" w:rsidR="00E37383" w:rsidRDefault="00F959DA" w:rsidP="00E37383">
      <w:pPr>
        <w:pStyle w:val="Heading3"/>
      </w:pPr>
      <w:bookmarkStart w:id="244" w:name="_1mrcu09" w:colFirst="0" w:colLast="0"/>
      <w:bookmarkEnd w:id="244"/>
      <w:r>
        <w:t xml:space="preserve">7.5.5 </w:t>
      </w:r>
      <w:r w:rsidR="00E37383">
        <w:t xml:space="preserve">Copy of care plan </w:t>
      </w:r>
    </w:p>
    <w:p w14:paraId="1676C6DD" w14:textId="77777777" w:rsidR="00E37383" w:rsidRPr="00955F88" w:rsidRDefault="00E37383" w:rsidP="00E37383">
      <w:pPr>
        <w:pStyle w:val="Body"/>
      </w:pPr>
      <w:r w:rsidRPr="00955F88">
        <w:t>The Act requires that within 14 days after approving a care plan, the department must:</w:t>
      </w:r>
    </w:p>
    <w:p w14:paraId="65B7CDC5" w14:textId="77777777" w:rsidR="00E37383" w:rsidRPr="00590061" w:rsidRDefault="48AED0DF" w:rsidP="00740A47">
      <w:pPr>
        <w:pStyle w:val="Bullet1"/>
      </w:pPr>
      <w:r>
        <w:t>give a copy of the MACNI care plan to the client</w:t>
      </w:r>
    </w:p>
    <w:p w14:paraId="575DF554" w14:textId="77777777" w:rsidR="00E37383" w:rsidRPr="00FA100B" w:rsidRDefault="48AED0DF" w:rsidP="00F11773">
      <w:pPr>
        <w:pStyle w:val="lastbullett"/>
      </w:pPr>
      <w:r>
        <w:t>give a copy of the whole or any part of the MACNI care plan to service providers identified in the care plan if it is in the best interests of the client and assists service providers to give effect to the care plan.</w:t>
      </w:r>
    </w:p>
    <w:p w14:paraId="4A996D88" w14:textId="77777777" w:rsidR="00E37383" w:rsidRDefault="00E37383" w:rsidP="00251E87">
      <w:pPr>
        <w:pStyle w:val="Body"/>
      </w:pPr>
      <w:r>
        <w:t>For some clients, panel recommends eligibility and a proposed care plan at the same meeting. If so, a consolidated letter (eligibility outcome and care plan) is sent/given to the client. Typically, the Complex Needs Coordinator will engage with th</w:t>
      </w:r>
      <w:r w:rsidRPr="00A86B46">
        <w:t xml:space="preserve">e </w:t>
      </w:r>
      <w:r>
        <w:t>C</w:t>
      </w:r>
      <w:r w:rsidRPr="00A86B46">
        <w:t xml:space="preserve">are </w:t>
      </w:r>
      <w:r>
        <w:t>P</w:t>
      </w:r>
      <w:r w:rsidRPr="00A86B46">
        <w:t xml:space="preserve">lan </w:t>
      </w:r>
      <w:r>
        <w:t>C</w:t>
      </w:r>
      <w:r w:rsidRPr="00A86B46">
        <w:t xml:space="preserve">oordinator to establish the best approach for providing the care plan to the client and other engaged service providers. A standardised care plan letter, with </w:t>
      </w:r>
      <w:r>
        <w:t xml:space="preserve">a </w:t>
      </w:r>
      <w:r w:rsidRPr="00A86B46">
        <w:t>copy of the care plan</w:t>
      </w:r>
      <w:r>
        <w:t>,</w:t>
      </w:r>
      <w:r w:rsidRPr="00A86B46">
        <w:t xml:space="preserve"> is prepared for the client.</w:t>
      </w:r>
      <w:r>
        <w:t xml:space="preserve"> </w:t>
      </w:r>
    </w:p>
    <w:p w14:paraId="3F3BED01" w14:textId="642953AC" w:rsidR="00E37383" w:rsidRDefault="00E37383" w:rsidP="00F11773">
      <w:pPr>
        <w:pStyle w:val="Body"/>
        <w:spacing w:after="240"/>
      </w:pPr>
      <w:r>
        <w:t>A copy of the whole or part of the care plan is also given to service providers in the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41D94C7" w14:textId="77777777" w:rsidTr="7DAFCD5E">
        <w:tc>
          <w:tcPr>
            <w:tcW w:w="0" w:type="auto"/>
            <w:shd w:val="clear" w:color="auto" w:fill="CCE9F8"/>
            <w:vAlign w:val="center"/>
          </w:tcPr>
          <w:p w14:paraId="35889030" w14:textId="77777777" w:rsidR="00E37383" w:rsidRDefault="00E37383">
            <w:pPr>
              <w:pStyle w:val="Body"/>
            </w:pPr>
            <w:r>
              <w:rPr>
                <w:noProof/>
              </w:rPr>
              <w:drawing>
                <wp:inline distT="0" distB="0" distL="0" distR="0" wp14:anchorId="358F9281" wp14:editId="225CC5D4">
                  <wp:extent cx="540000" cy="540000"/>
                  <wp:effectExtent l="0" t="0" r="0" b="0"/>
                  <wp:docPr id="97"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53104EEA" w14:textId="77777777" w:rsidR="00E37383" w:rsidRDefault="00E37383">
            <w:pPr>
              <w:pStyle w:val="Tablecolhead"/>
              <w:rPr>
                <w:rFonts w:eastAsia="Arial"/>
              </w:rPr>
            </w:pPr>
            <w:r>
              <w:rPr>
                <w:rFonts w:eastAsia="Arial"/>
              </w:rPr>
              <w:t>Documentation required</w:t>
            </w:r>
          </w:p>
          <w:p w14:paraId="33B039CE" w14:textId="1F4CF2D9" w:rsidR="00E37383" w:rsidRDefault="00EC7FF8" w:rsidP="00740A47">
            <w:pPr>
              <w:pStyle w:val="Bullet1"/>
            </w:pPr>
            <w:r>
              <w:t xml:space="preserve">8c </w:t>
            </w:r>
            <w:r w:rsidR="48AED0DF">
              <w:t xml:space="preserve">MACNI </w:t>
            </w:r>
            <w:r w:rsidR="00251E87">
              <w:t>Care Plan Notification – Letter To Client</w:t>
            </w:r>
          </w:p>
          <w:p w14:paraId="0AA662AA" w14:textId="77A312CB" w:rsidR="00E37383" w:rsidRDefault="008F5528" w:rsidP="00740A47">
            <w:pPr>
              <w:pStyle w:val="Bullet1"/>
            </w:pPr>
            <w:r>
              <w:t xml:space="preserve">3 </w:t>
            </w:r>
            <w:r w:rsidR="48AED0DF">
              <w:t xml:space="preserve">MACNI </w:t>
            </w:r>
            <w:r w:rsidR="00251E87">
              <w:t xml:space="preserve">Care Plan </w:t>
            </w:r>
            <w:r w:rsidR="48AED0DF">
              <w:t>– to the client (may be modified in accordance with section 20</w:t>
            </w:r>
            <w:r w:rsidR="00DA61D5">
              <w:t xml:space="preserve"> </w:t>
            </w:r>
            <w:r w:rsidR="48AED0DF">
              <w:t>of the Act)</w:t>
            </w:r>
          </w:p>
          <w:p w14:paraId="2C23CA88" w14:textId="23B2E24D" w:rsidR="00E37383" w:rsidRPr="00B83D2D" w:rsidRDefault="00EC7FF8" w:rsidP="00740A47">
            <w:pPr>
              <w:pStyle w:val="Bullet1"/>
            </w:pPr>
            <w:r>
              <w:t xml:space="preserve">3 </w:t>
            </w:r>
            <w:r w:rsidR="48AED0DF">
              <w:t xml:space="preserve">MACNI </w:t>
            </w:r>
            <w:r w:rsidR="00251E87">
              <w:t xml:space="preserve">Care Plan </w:t>
            </w:r>
            <w:r w:rsidR="48AED0DF">
              <w:t>(whole or part) – to service providers.</w:t>
            </w:r>
          </w:p>
        </w:tc>
      </w:tr>
    </w:tbl>
    <w:p w14:paraId="2DE17A2C"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24F0EFA4" w14:textId="77777777" w:rsidTr="7DAFCD5E">
        <w:tc>
          <w:tcPr>
            <w:tcW w:w="0" w:type="auto"/>
            <w:shd w:val="clear" w:color="auto" w:fill="99D3F0"/>
            <w:vAlign w:val="center"/>
          </w:tcPr>
          <w:p w14:paraId="3E18C8C5" w14:textId="77777777" w:rsidR="00E37383" w:rsidRDefault="00E37383">
            <w:pPr>
              <w:pStyle w:val="Body"/>
            </w:pPr>
            <w:r>
              <w:rPr>
                <w:noProof/>
              </w:rPr>
              <w:drawing>
                <wp:inline distT="0" distB="0" distL="0" distR="0" wp14:anchorId="356437C1" wp14:editId="5C1E2CB5">
                  <wp:extent cx="540000" cy="540000"/>
                  <wp:effectExtent l="0" t="0" r="0" b="0"/>
                  <wp:docPr id="110" name="Pictur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7DAFECA" w14:textId="77777777" w:rsidR="00E37383" w:rsidRDefault="00E37383">
            <w:pPr>
              <w:pStyle w:val="Tablecolhead"/>
            </w:pPr>
            <w:r>
              <w:t>Coordinator tasks</w:t>
            </w:r>
          </w:p>
          <w:p w14:paraId="076D6154" w14:textId="77777777" w:rsidR="00E37383" w:rsidRPr="00D41E2A" w:rsidRDefault="48AED0DF" w:rsidP="00740A47">
            <w:pPr>
              <w:pStyle w:val="Bullet1"/>
            </w:pPr>
            <w:r>
              <w:t>ensure adherence to care plan template including details of brokerage expenditure</w:t>
            </w:r>
          </w:p>
          <w:p w14:paraId="0A3B941C" w14:textId="77777777" w:rsidR="00E37383" w:rsidRPr="00D41E2A" w:rsidRDefault="48AED0DF" w:rsidP="00740A47">
            <w:pPr>
              <w:pStyle w:val="Bullet1"/>
            </w:pPr>
            <w:r>
              <w:t>support the modification of the care plan appropriate to the client’s needs/capacity</w:t>
            </w:r>
          </w:p>
          <w:p w14:paraId="2AAD9951" w14:textId="29A3407B" w:rsidR="00E37383" w:rsidRPr="00D41E2A" w:rsidRDefault="48AED0DF" w:rsidP="00740A47">
            <w:pPr>
              <w:pStyle w:val="Bullet1"/>
            </w:pPr>
            <w:r>
              <w:lastRenderedPageBreak/>
              <w:t xml:space="preserve">prepare care plan notification letter and obtain </w:t>
            </w:r>
            <w:r w:rsidR="00B252A9">
              <w:t xml:space="preserve">Area </w:t>
            </w:r>
            <w:r>
              <w:t>Executive Director signature</w:t>
            </w:r>
          </w:p>
          <w:p w14:paraId="60DF732B" w14:textId="77777777" w:rsidR="00E37383" w:rsidRDefault="48AED0DF" w:rsidP="00740A47">
            <w:pPr>
              <w:pStyle w:val="Bullet1"/>
            </w:pPr>
            <w:r>
              <w:t>ensure the letter and an appropriate version of the care plan are sent to the client</w:t>
            </w:r>
          </w:p>
          <w:p w14:paraId="7752220B" w14:textId="77777777" w:rsidR="00E37383" w:rsidRDefault="48AED0DF" w:rsidP="00740A47">
            <w:pPr>
              <w:pStyle w:val="Bullet1"/>
            </w:pPr>
            <w:r>
              <w:t>ensure service providers are provided with a copy of the approved care plan (whole or part).</w:t>
            </w:r>
          </w:p>
        </w:tc>
      </w:tr>
    </w:tbl>
    <w:p w14:paraId="4A2632EE" w14:textId="16DBFC40" w:rsidR="00E37383" w:rsidRDefault="00E37383" w:rsidP="000E7482">
      <w:pPr>
        <w:pStyle w:val="Heading2"/>
        <w:numPr>
          <w:ilvl w:val="1"/>
          <w:numId w:val="12"/>
        </w:numPr>
      </w:pPr>
      <w:bookmarkStart w:id="245" w:name="_46r0co2" w:colFirst="0" w:colLast="0"/>
      <w:bookmarkStart w:id="246" w:name="_Toc32229274"/>
      <w:bookmarkStart w:id="247" w:name="_Toc65508241"/>
      <w:bookmarkStart w:id="248" w:name="_Toc112856241"/>
      <w:bookmarkStart w:id="249" w:name="_Toc125713722"/>
      <w:bookmarkStart w:id="250" w:name="_Toc137636764"/>
      <w:bookmarkStart w:id="251" w:name="_Toc145318601"/>
      <w:bookmarkEnd w:id="245"/>
      <w:r>
        <w:lastRenderedPageBreak/>
        <w:t>Care plan coordination</w:t>
      </w:r>
      <w:bookmarkEnd w:id="246"/>
      <w:bookmarkEnd w:id="247"/>
      <w:bookmarkEnd w:id="248"/>
      <w:bookmarkEnd w:id="249"/>
      <w:bookmarkEnd w:id="250"/>
      <w:bookmarkEnd w:id="251"/>
    </w:p>
    <w:p w14:paraId="367CB1D3" w14:textId="39870C9D" w:rsidR="00E37383" w:rsidRDefault="00E37383" w:rsidP="00E37383">
      <w:pPr>
        <w:pStyle w:val="Body"/>
      </w:pPr>
      <w:r>
        <w:t xml:space="preserve">While a care plan makes recommendations about supports and interventions to address the client’s needs, a nominated Care Plan Coordinator has responsibility for the implementation of the care plan through active engagement with the care team. </w:t>
      </w:r>
    </w:p>
    <w:p w14:paraId="68BEAB90" w14:textId="2D99E285" w:rsidR="00E37383" w:rsidRDefault="00F959DA" w:rsidP="00E37383">
      <w:pPr>
        <w:pStyle w:val="Heading3"/>
        <w:rPr>
          <w:lang w:val="en-US"/>
        </w:rPr>
      </w:pPr>
      <w:r>
        <w:rPr>
          <w:lang w:val="en-US"/>
        </w:rPr>
        <w:t xml:space="preserve">7.6.1 </w:t>
      </w:r>
      <w:r w:rsidR="00E37383" w:rsidRPr="5310D6ED">
        <w:rPr>
          <w:lang w:val="en-US"/>
        </w:rPr>
        <w:t xml:space="preserve">Appointing a </w:t>
      </w:r>
      <w:r w:rsidR="00E37383">
        <w:rPr>
          <w:lang w:val="en-US"/>
        </w:rPr>
        <w:t>C</w:t>
      </w:r>
      <w:r w:rsidR="00E37383" w:rsidRPr="5310D6ED">
        <w:rPr>
          <w:lang w:val="en-US"/>
        </w:rPr>
        <w:t xml:space="preserve">are </w:t>
      </w:r>
      <w:r w:rsidR="00E37383">
        <w:rPr>
          <w:lang w:val="en-US"/>
        </w:rPr>
        <w:t>P</w:t>
      </w:r>
      <w:r w:rsidR="00E37383" w:rsidRPr="5310D6ED">
        <w:rPr>
          <w:lang w:val="en-US"/>
        </w:rPr>
        <w:t xml:space="preserve">lan </w:t>
      </w:r>
      <w:r w:rsidR="00E37383">
        <w:rPr>
          <w:lang w:val="en-US"/>
        </w:rPr>
        <w:t>C</w:t>
      </w:r>
      <w:r w:rsidR="00E37383" w:rsidRPr="5310D6ED">
        <w:rPr>
          <w:lang w:val="en-US"/>
        </w:rPr>
        <w:t>oordinator</w:t>
      </w:r>
    </w:p>
    <w:p w14:paraId="75C8B130" w14:textId="77777777" w:rsidR="00E37383" w:rsidRDefault="00E37383" w:rsidP="00E37383">
      <w:pPr>
        <w:pStyle w:val="Bodyafterbullets"/>
        <w:rPr>
          <w:lang w:val="en-US"/>
        </w:rPr>
      </w:pPr>
      <w:r w:rsidRPr="5310D6ED">
        <w:rPr>
          <w:lang w:val="en-US"/>
        </w:rPr>
        <w:t xml:space="preserve">The determination of the care plan coordination service is based on the matching of the client’s needs and the service’s expertise and capacity to provide care plan coordination in a timely and effective manner. </w:t>
      </w:r>
    </w:p>
    <w:p w14:paraId="2F4284A3" w14:textId="77777777" w:rsidR="00E37383" w:rsidRDefault="00E37383" w:rsidP="00E37383">
      <w:pPr>
        <w:pStyle w:val="Bodyafterbullets"/>
      </w:pPr>
      <w:r>
        <w:t>The Instrument of Delegation specifies the departmental roles authorised to make care planning decisions, including the nomination of the care plan coordination service provider. While a Care Plan Coordinator can be nominated from any service, the service provider needs to demonstrate:</w:t>
      </w:r>
    </w:p>
    <w:p w14:paraId="25E720FB" w14:textId="77777777" w:rsidR="00E37383" w:rsidRDefault="48AED0DF" w:rsidP="00740A47">
      <w:pPr>
        <w:pStyle w:val="Bullet1"/>
      </w:pPr>
      <w:r>
        <w:t>a commitment and expertise integrating clients with complex needs into existing service provision</w:t>
      </w:r>
    </w:p>
    <w:p w14:paraId="2EE906C4" w14:textId="4A68EF8F" w:rsidR="00E37383" w:rsidRDefault="48AED0DF" w:rsidP="00740A47">
      <w:pPr>
        <w:pStyle w:val="Bullet1"/>
      </w:pPr>
      <w:r>
        <w:t>an ability to nominate or recruit an experienced, influential</w:t>
      </w:r>
      <w:r w:rsidR="00F11773">
        <w:t xml:space="preserve">, </w:t>
      </w:r>
      <w:r>
        <w:t>and highly capable person/s to undertake the care plan coordination role</w:t>
      </w:r>
    </w:p>
    <w:p w14:paraId="3CB54EEA" w14:textId="77777777" w:rsidR="00E37383" w:rsidRDefault="48AED0DF" w:rsidP="00740A47">
      <w:pPr>
        <w:pStyle w:val="Bullet1"/>
      </w:pPr>
      <w:r>
        <w:t>the capacity to provide appropriate supervision and support to the Care Plan Coordinator</w:t>
      </w:r>
    </w:p>
    <w:p w14:paraId="12A14C50" w14:textId="4C0EE57E" w:rsidR="00E37383" w:rsidRDefault="48AED0DF" w:rsidP="00740A47">
      <w:pPr>
        <w:pStyle w:val="Bullet1"/>
      </w:pPr>
      <w:r>
        <w:t>professional values of open communication, effective networking</w:t>
      </w:r>
      <w:r w:rsidR="00F11773">
        <w:t>,</w:t>
      </w:r>
      <w:r>
        <w:t xml:space="preserve"> and the capacity to provide independent and objective care team governance</w:t>
      </w:r>
    </w:p>
    <w:p w14:paraId="50F962B7" w14:textId="77777777" w:rsidR="00E37383" w:rsidRDefault="48AED0DF" w:rsidP="00F11773">
      <w:pPr>
        <w:pStyle w:val="lastbullett"/>
      </w:pPr>
      <w:r>
        <w:t>skill sets in establishing and implementing rigorous accountability frameworks, including the financial acquittal of brokerage funding.</w:t>
      </w:r>
    </w:p>
    <w:p w14:paraId="0A4CF587" w14:textId="2C614AC2" w:rsidR="00E37383" w:rsidRPr="00811F03" w:rsidRDefault="00F959DA" w:rsidP="00E37383">
      <w:pPr>
        <w:pStyle w:val="Heading3"/>
      </w:pPr>
      <w:r>
        <w:t xml:space="preserve">7.6.2 </w:t>
      </w:r>
      <w:r w:rsidR="00E37383" w:rsidRPr="00811F03">
        <w:t xml:space="preserve">Role of </w:t>
      </w:r>
      <w:r w:rsidR="00251E87">
        <w:t>C</w:t>
      </w:r>
      <w:r w:rsidR="00E37383" w:rsidRPr="00811F03">
        <w:t xml:space="preserve">are </w:t>
      </w:r>
      <w:r w:rsidR="00E37383">
        <w:t>P</w:t>
      </w:r>
      <w:r w:rsidR="00E37383" w:rsidRPr="00811F03">
        <w:t xml:space="preserve">lan </w:t>
      </w:r>
      <w:r w:rsidR="00E37383">
        <w:t>C</w:t>
      </w:r>
      <w:r w:rsidR="00E37383" w:rsidRPr="00811F03">
        <w:t>oordinator</w:t>
      </w:r>
    </w:p>
    <w:p w14:paraId="0CD24651" w14:textId="13107A3B" w:rsidR="00E37383" w:rsidRDefault="00E37383" w:rsidP="00E37383">
      <w:pPr>
        <w:pStyle w:val="Body"/>
      </w:pPr>
      <w:r w:rsidRPr="006D02DA">
        <w:rPr>
          <w:lang w:val="en-US"/>
        </w:rPr>
        <w:t xml:space="preserve">The </w:t>
      </w:r>
      <w:r>
        <w:t xml:space="preserve">Care Plan Coordinator </w:t>
      </w:r>
      <w:r w:rsidRPr="006D02DA">
        <w:rPr>
          <w:lang w:val="en-US"/>
        </w:rPr>
        <w:t xml:space="preserve">continuously collects and analyses </w:t>
      </w:r>
      <w:r w:rsidRPr="006D02DA">
        <w:rPr>
          <w:lang w:val="en"/>
        </w:rPr>
        <w:t xml:space="preserve">information to </w:t>
      </w:r>
      <w:r>
        <w:rPr>
          <w:lang w:val="en"/>
        </w:rPr>
        <w:t xml:space="preserve">develop, implement and monitor the progress of </w:t>
      </w:r>
      <w:r w:rsidRPr="006D02DA">
        <w:rPr>
          <w:lang w:val="en"/>
        </w:rPr>
        <w:t xml:space="preserve">a set of </w:t>
      </w:r>
      <w:r>
        <w:rPr>
          <w:lang w:val="en"/>
        </w:rPr>
        <w:t xml:space="preserve">tailored </w:t>
      </w:r>
      <w:r w:rsidRPr="006D02DA">
        <w:rPr>
          <w:lang w:val="en"/>
        </w:rPr>
        <w:t>service responses and interventions</w:t>
      </w:r>
      <w:r>
        <w:rPr>
          <w:lang w:val="en"/>
        </w:rPr>
        <w:t xml:space="preserve"> as set out in the client’s care plan. </w:t>
      </w:r>
      <w:r w:rsidRPr="5310D6ED">
        <w:rPr>
          <w:lang w:val="en"/>
        </w:rPr>
        <w:t xml:space="preserve">This is achieved through </w:t>
      </w:r>
      <w:r>
        <w:t>cross-sector collaboration demonstrated by maintaining regular contact with the care team, including well-structured care team meetings, providing support and guidance at critical points, and monitoring to ensure tasks are completed within agreed timelines.</w:t>
      </w:r>
      <w:r w:rsidR="00251E87">
        <w:t xml:space="preserve"> </w:t>
      </w:r>
      <w:r>
        <w:t xml:space="preserve">Equally, the Care Plan Coordinator documents care team actions and support interventions, and their efficacy in improving client outcomes. </w:t>
      </w:r>
    </w:p>
    <w:p w14:paraId="79E05695" w14:textId="77777777" w:rsidR="00E37383" w:rsidRPr="00745E4C" w:rsidRDefault="00E37383" w:rsidP="00E37383">
      <w:pPr>
        <w:pStyle w:val="Body"/>
      </w:pPr>
      <w:r>
        <w:t>Key</w:t>
      </w:r>
      <w:r w:rsidRPr="006D02DA">
        <w:t xml:space="preserve"> </w:t>
      </w:r>
      <w:r w:rsidRPr="00745E4C">
        <w:t xml:space="preserve">responsibilities of the </w:t>
      </w:r>
      <w:r>
        <w:t xml:space="preserve">Care Plan Coordinator </w:t>
      </w:r>
      <w:r w:rsidRPr="00745E4C">
        <w:t>are:</w:t>
      </w:r>
    </w:p>
    <w:p w14:paraId="2E668512" w14:textId="7A2DF243" w:rsidR="00E37383" w:rsidRPr="00251E87" w:rsidRDefault="48AED0DF" w:rsidP="00740A47">
      <w:pPr>
        <w:pStyle w:val="Bullet1"/>
      </w:pPr>
      <w:r w:rsidRPr="00251E87">
        <w:t xml:space="preserve">schedule and chair care team meetings, including meeting agenda and minutes </w:t>
      </w:r>
    </w:p>
    <w:p w14:paraId="2E0BCF98" w14:textId="77777777" w:rsidR="00E37383" w:rsidRPr="00251E87" w:rsidRDefault="48AED0DF" w:rsidP="00740A47">
      <w:pPr>
        <w:pStyle w:val="Bullet1"/>
      </w:pPr>
      <w:r w:rsidRPr="00251E87">
        <w:t>monitor the care plan’s implementation and progress of the client</w:t>
      </w:r>
    </w:p>
    <w:p w14:paraId="1627BBB5" w14:textId="77777777" w:rsidR="00E37383" w:rsidRPr="00251E87" w:rsidRDefault="48AED0DF" w:rsidP="00740A47">
      <w:pPr>
        <w:pStyle w:val="Bullet1"/>
      </w:pPr>
      <w:r w:rsidRPr="00251E87">
        <w:t>coordinate the services provided to the client as per the care plan</w:t>
      </w:r>
    </w:p>
    <w:p w14:paraId="0D58DF28" w14:textId="77777777" w:rsidR="00E37383" w:rsidRPr="00251E87" w:rsidRDefault="48AED0DF" w:rsidP="00740A47">
      <w:pPr>
        <w:pStyle w:val="Bullet1"/>
      </w:pPr>
      <w:r w:rsidRPr="00251E87">
        <w:t>conduct six-monthly reviews of the care plan including funding acquittals</w:t>
      </w:r>
    </w:p>
    <w:p w14:paraId="2575B130" w14:textId="77777777" w:rsidR="00E37383" w:rsidRPr="00251E87" w:rsidRDefault="48AED0DF" w:rsidP="00740A47">
      <w:pPr>
        <w:pStyle w:val="Bullet1"/>
      </w:pPr>
      <w:r w:rsidRPr="00251E87">
        <w:t>provide a report to the department on client progress when requested</w:t>
      </w:r>
    </w:p>
    <w:p w14:paraId="2F1B45FF" w14:textId="77777777" w:rsidR="00E37383" w:rsidRPr="00251E87" w:rsidRDefault="48AED0DF" w:rsidP="00740A47">
      <w:pPr>
        <w:pStyle w:val="Bullet1"/>
      </w:pPr>
      <w:bookmarkStart w:id="252" w:name="_Hlk13484119"/>
      <w:r w:rsidRPr="00251E87">
        <w:t>provide a transition/exit plan six months prior to closure</w:t>
      </w:r>
    </w:p>
    <w:p w14:paraId="44590D05" w14:textId="77777777" w:rsidR="00E37383" w:rsidRPr="00251E87" w:rsidRDefault="48AED0DF" w:rsidP="00F11773">
      <w:pPr>
        <w:pStyle w:val="lastbullett"/>
      </w:pPr>
      <w:r w:rsidRPr="00251E87">
        <w:t>provide a closure report at the point of closure.</w:t>
      </w:r>
    </w:p>
    <w:bookmarkEnd w:id="252"/>
    <w:p w14:paraId="27555A4D"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1EFB82FF" w14:textId="77777777" w:rsidTr="7DAFCD5E">
        <w:tc>
          <w:tcPr>
            <w:tcW w:w="0" w:type="auto"/>
            <w:shd w:val="clear" w:color="auto" w:fill="99D3F0"/>
            <w:vAlign w:val="center"/>
          </w:tcPr>
          <w:p w14:paraId="1075FB84" w14:textId="77777777" w:rsidR="00E37383" w:rsidRPr="00B97279" w:rsidRDefault="00E37383">
            <w:pPr>
              <w:pStyle w:val="Body"/>
            </w:pPr>
            <w:r>
              <w:rPr>
                <w:noProof/>
              </w:rPr>
              <w:drawing>
                <wp:inline distT="0" distB="0" distL="0" distR="0" wp14:anchorId="1EE8D6AD" wp14:editId="0CA5FBAA">
                  <wp:extent cx="540000" cy="540000"/>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93EABA1" w14:textId="77777777" w:rsidR="00E37383" w:rsidRDefault="00E37383">
            <w:pPr>
              <w:pStyle w:val="Tablecolhead"/>
            </w:pPr>
            <w:r>
              <w:t>Coordinator tasks</w:t>
            </w:r>
          </w:p>
          <w:p w14:paraId="144B0D91" w14:textId="77777777" w:rsidR="00E37383" w:rsidRPr="00077666" w:rsidRDefault="48AED0DF" w:rsidP="00740A47">
            <w:pPr>
              <w:pStyle w:val="Bullet1"/>
            </w:pPr>
            <w:r>
              <w:t>schedule regular meetings with Care Plan Coordinator to discuss emerging concerns/trends, risk management, case direction, care team dynamics, processes, brokerage management, etc.</w:t>
            </w:r>
          </w:p>
          <w:p w14:paraId="1E54317E" w14:textId="52B3924C" w:rsidR="00E37383" w:rsidRDefault="00251E87" w:rsidP="00740A47">
            <w:pPr>
              <w:pStyle w:val="Bullet1"/>
            </w:pPr>
            <w:r>
              <w:t>e</w:t>
            </w:r>
            <w:r w:rsidR="48AED0DF">
              <w:t>nsure care plan coordination tier is reviewed regularly (less than 6 monthly)</w:t>
            </w:r>
            <w:r w:rsidR="00F11773">
              <w:t>.</w:t>
            </w:r>
            <w:r w:rsidR="48AED0DF">
              <w:t xml:space="preserve"> </w:t>
            </w:r>
          </w:p>
        </w:tc>
      </w:tr>
    </w:tbl>
    <w:p w14:paraId="31DD2A68" w14:textId="60049887" w:rsidR="00E37383" w:rsidRDefault="00F959DA" w:rsidP="00E37383">
      <w:pPr>
        <w:pStyle w:val="Heading3"/>
      </w:pPr>
      <w:r>
        <w:t xml:space="preserve">7.6.3 </w:t>
      </w:r>
      <w:r w:rsidR="00E37383">
        <w:t>Care plan coordination levels</w:t>
      </w:r>
    </w:p>
    <w:p w14:paraId="0CB0B359" w14:textId="3E033799" w:rsidR="00E37383" w:rsidRDefault="00E37383" w:rsidP="00E37383">
      <w:pPr>
        <w:pStyle w:val="Body"/>
        <w:rPr>
          <w:rFonts w:cs="Arial"/>
        </w:rPr>
      </w:pPr>
      <w:r>
        <w:rPr>
          <w:lang w:eastAsia="en-AU"/>
        </w:rPr>
        <w:t xml:space="preserve">A decision is made about the level of care plan coordination required for each MACNI client at panel meetings. If circumstances change, </w:t>
      </w:r>
      <w:r w:rsidRPr="00A360BF">
        <w:rPr>
          <w:rFonts w:cs="Arial"/>
        </w:rPr>
        <w:t xml:space="preserve">the </w:t>
      </w:r>
      <w:r>
        <w:rPr>
          <w:rFonts w:cs="Arial"/>
        </w:rPr>
        <w:t xml:space="preserve">care plan coordination </w:t>
      </w:r>
      <w:r w:rsidR="008F3B98">
        <w:rPr>
          <w:rFonts w:cs="Arial"/>
        </w:rPr>
        <w:t xml:space="preserve">tier </w:t>
      </w:r>
      <w:r w:rsidR="00251E87">
        <w:rPr>
          <w:rFonts w:cs="Arial"/>
        </w:rPr>
        <w:t>is</w:t>
      </w:r>
      <w:r w:rsidRPr="00A360BF">
        <w:rPr>
          <w:rFonts w:cs="Arial"/>
        </w:rPr>
        <w:t xml:space="preserve"> be adjusted outside the panel meeting to ensure responsiveness to client need</w:t>
      </w:r>
      <w:r>
        <w:rPr>
          <w:rFonts w:cs="Arial"/>
        </w:rPr>
        <w:t xml:space="preserve">. </w:t>
      </w:r>
      <w:r w:rsidRPr="006D02DA">
        <w:rPr>
          <w:rFonts w:cs="Arial"/>
        </w:rPr>
        <w:t xml:space="preserve">This is initiated through contact with the </w:t>
      </w:r>
      <w:r>
        <w:rPr>
          <w:rFonts w:cs="Arial"/>
        </w:rPr>
        <w:t>Complex Needs Coordinator</w:t>
      </w:r>
      <w:r w:rsidRPr="006D02DA">
        <w:rPr>
          <w:rFonts w:cs="Arial"/>
        </w:rPr>
        <w:t xml:space="preserve"> who review</w:t>
      </w:r>
      <w:r>
        <w:rPr>
          <w:rFonts w:cs="Arial"/>
        </w:rPr>
        <w:t xml:space="preserve">s </w:t>
      </w:r>
      <w:r w:rsidRPr="006D02DA">
        <w:rPr>
          <w:rFonts w:cs="Arial"/>
        </w:rPr>
        <w:t>the request and if appropriate</w:t>
      </w:r>
      <w:r>
        <w:rPr>
          <w:rFonts w:cs="Arial"/>
        </w:rPr>
        <w:t>,</w:t>
      </w:r>
      <w:r w:rsidRPr="006D02DA">
        <w:rPr>
          <w:rFonts w:cs="Arial"/>
        </w:rPr>
        <w:t xml:space="preserve"> see</w:t>
      </w:r>
      <w:r>
        <w:rPr>
          <w:rFonts w:cs="Arial"/>
        </w:rPr>
        <w:t xml:space="preserve">ks approval from a departmental delegate. The </w:t>
      </w:r>
      <w:r w:rsidRPr="006D02DA">
        <w:rPr>
          <w:rFonts w:cs="Arial"/>
        </w:rPr>
        <w:t xml:space="preserve">decision </w:t>
      </w:r>
      <w:r>
        <w:rPr>
          <w:rFonts w:cs="Arial"/>
        </w:rPr>
        <w:t>is</w:t>
      </w:r>
      <w:r w:rsidRPr="006D02DA">
        <w:rPr>
          <w:rFonts w:cs="Arial"/>
        </w:rPr>
        <w:t xml:space="preserve"> </w:t>
      </w:r>
      <w:r>
        <w:rPr>
          <w:rFonts w:cs="Arial"/>
        </w:rPr>
        <w:t xml:space="preserve">also </w:t>
      </w:r>
      <w:r w:rsidRPr="006D02DA">
        <w:rPr>
          <w:rFonts w:cs="Arial"/>
        </w:rPr>
        <w:t>reviewed at the next available panel meeting.</w:t>
      </w:r>
      <w:bookmarkStart w:id="253" w:name="_Hlk9513920"/>
    </w:p>
    <w:p w14:paraId="71DD0F75" w14:textId="2686E59A" w:rsidR="00E37383" w:rsidRDefault="00E37383" w:rsidP="00E37383">
      <w:pPr>
        <w:pStyle w:val="Body"/>
        <w:rPr>
          <w:rFonts w:cs="Arial"/>
          <w:b/>
        </w:rPr>
      </w:pPr>
      <w:r>
        <w:t>A</w:t>
      </w:r>
      <w:r w:rsidRPr="005220DC">
        <w:t xml:space="preserve">pproval for </w:t>
      </w:r>
      <w:r w:rsidR="00251E87">
        <w:t xml:space="preserve">the </w:t>
      </w:r>
      <w:r w:rsidRPr="005220DC">
        <w:t>care plan coordination tier should not exceed 6 months</w:t>
      </w:r>
      <w:r w:rsidR="00251E87">
        <w:t xml:space="preserve">. This is </w:t>
      </w:r>
      <w:r w:rsidRPr="005220DC">
        <w:t xml:space="preserve">to ensure </w:t>
      </w:r>
      <w:r w:rsidR="00251E87">
        <w:t xml:space="preserve">an </w:t>
      </w:r>
      <w:r w:rsidRPr="005220DC">
        <w:t>adequate review of tier</w:t>
      </w:r>
      <w:r w:rsidR="007C2E2E">
        <w:t>s</w:t>
      </w:r>
      <w:r w:rsidRPr="005220DC">
        <w:t xml:space="preserve">. Regular review of </w:t>
      </w:r>
      <w:r>
        <w:rPr>
          <w:lang w:eastAsia="en-AU"/>
        </w:rPr>
        <w:t xml:space="preserve">care plan coordination </w:t>
      </w:r>
      <w:r w:rsidRPr="005220DC">
        <w:t>tier should be conducted and adjusted as required.</w:t>
      </w:r>
    </w:p>
    <w:p w14:paraId="48A6E933" w14:textId="7E2A3925" w:rsidR="00E37383" w:rsidRPr="001D2B72" w:rsidRDefault="00E37383" w:rsidP="00E37383">
      <w:pPr>
        <w:pStyle w:val="Heading4"/>
      </w:pPr>
      <w:r w:rsidRPr="001D2B72">
        <w:t xml:space="preserve">Care plan coordination </w:t>
      </w:r>
      <w:r w:rsidR="00251E87">
        <w:t>t</w:t>
      </w:r>
      <w:r w:rsidR="007C2E2E">
        <w:t>ier</w:t>
      </w:r>
      <w:r w:rsidRPr="001D2B72">
        <w:t xml:space="preserve"> and descriptions</w:t>
      </w:r>
    </w:p>
    <w:tbl>
      <w:tblPr>
        <w:tblStyle w:val="TableGrid"/>
        <w:tblW w:w="0" w:type="auto"/>
        <w:tblLook w:val="04A0" w:firstRow="1" w:lastRow="0" w:firstColumn="1" w:lastColumn="0" w:noHBand="0" w:noVBand="1"/>
      </w:tblPr>
      <w:tblGrid>
        <w:gridCol w:w="1447"/>
        <w:gridCol w:w="7733"/>
      </w:tblGrid>
      <w:tr w:rsidR="00E37383" w:rsidRPr="00E149AA" w14:paraId="79A32C0C" w14:textId="77777777">
        <w:tc>
          <w:tcPr>
            <w:tcW w:w="1447" w:type="dxa"/>
            <w:shd w:val="clear" w:color="auto" w:fill="auto"/>
          </w:tcPr>
          <w:p w14:paraId="464D205F" w14:textId="7DD1A4A4" w:rsidR="00E37383" w:rsidRPr="00E149AA" w:rsidRDefault="00F553D4">
            <w:pPr>
              <w:pStyle w:val="Tablecolhead"/>
              <w:rPr>
                <w:rFonts w:eastAsia="Arial"/>
              </w:rPr>
            </w:pPr>
            <w:r>
              <w:rPr>
                <w:rFonts w:eastAsia="Arial"/>
              </w:rPr>
              <w:t>Tier</w:t>
            </w:r>
          </w:p>
        </w:tc>
        <w:tc>
          <w:tcPr>
            <w:tcW w:w="7733" w:type="dxa"/>
            <w:shd w:val="clear" w:color="auto" w:fill="auto"/>
          </w:tcPr>
          <w:p w14:paraId="17DFA3FF" w14:textId="77777777" w:rsidR="00E37383" w:rsidRPr="00E149AA" w:rsidRDefault="00E37383">
            <w:pPr>
              <w:pStyle w:val="Tablecolhead"/>
              <w:rPr>
                <w:rFonts w:eastAsia="Arial"/>
              </w:rPr>
            </w:pPr>
            <w:r w:rsidRPr="00E149AA">
              <w:rPr>
                <w:rFonts w:eastAsia="Arial"/>
              </w:rPr>
              <w:t>Considerations</w:t>
            </w:r>
          </w:p>
        </w:tc>
      </w:tr>
      <w:tr w:rsidR="00E37383" w14:paraId="42AFD666" w14:textId="77777777">
        <w:tc>
          <w:tcPr>
            <w:tcW w:w="1447" w:type="dxa"/>
            <w:vAlign w:val="center"/>
          </w:tcPr>
          <w:p w14:paraId="03DDD454" w14:textId="49F7C6A1" w:rsidR="00E37383" w:rsidRPr="00FF68AD" w:rsidRDefault="007C2E2E">
            <w:pPr>
              <w:pStyle w:val="Tabletext"/>
              <w:rPr>
                <w:rFonts w:eastAsia="Arial"/>
              </w:rPr>
            </w:pPr>
            <w:r>
              <w:rPr>
                <w:rFonts w:eastAsia="Arial"/>
              </w:rPr>
              <w:t>Tier</w:t>
            </w:r>
            <w:r w:rsidR="00E37383" w:rsidRPr="00FF68AD">
              <w:rPr>
                <w:rFonts w:eastAsia="Arial"/>
              </w:rPr>
              <w:t xml:space="preserve"> 1:</w:t>
            </w:r>
          </w:p>
          <w:p w14:paraId="702759AD" w14:textId="77777777" w:rsidR="00E37383" w:rsidRDefault="00E37383">
            <w:pPr>
              <w:pStyle w:val="Tabletext"/>
              <w:rPr>
                <w:rFonts w:eastAsia="Arial"/>
              </w:rPr>
            </w:pPr>
            <w:r>
              <w:rPr>
                <w:rFonts w:eastAsia="Arial"/>
              </w:rPr>
              <w:t>4 hours p/w</w:t>
            </w:r>
          </w:p>
        </w:tc>
        <w:tc>
          <w:tcPr>
            <w:tcW w:w="7733" w:type="dxa"/>
            <w:vAlign w:val="center"/>
          </w:tcPr>
          <w:p w14:paraId="30A846C6" w14:textId="77777777" w:rsidR="00E37383" w:rsidRDefault="00E37383">
            <w:pPr>
              <w:pStyle w:val="Tabletext"/>
              <w:rPr>
                <w:rFonts w:eastAsia="Arial"/>
              </w:rPr>
            </w:pPr>
            <w:r>
              <w:rPr>
                <w:rFonts w:eastAsia="Arial"/>
              </w:rPr>
              <w:t>Risk is currently managed; the care team is identified as relatively cohesive and high functioning; interventions are not determined especially urgent, and the client is not at a critical transition point.</w:t>
            </w:r>
          </w:p>
        </w:tc>
      </w:tr>
      <w:tr w:rsidR="00E37383" w14:paraId="09E7ACD5" w14:textId="77777777">
        <w:tc>
          <w:tcPr>
            <w:tcW w:w="1447" w:type="dxa"/>
            <w:vAlign w:val="center"/>
          </w:tcPr>
          <w:p w14:paraId="6EC0D0EE" w14:textId="6FBD7733" w:rsidR="00E37383" w:rsidRPr="00FF68AD" w:rsidRDefault="007C2E2E">
            <w:pPr>
              <w:pStyle w:val="Tabletext"/>
              <w:rPr>
                <w:rFonts w:eastAsia="Arial"/>
              </w:rPr>
            </w:pPr>
            <w:r>
              <w:rPr>
                <w:rFonts w:eastAsia="Arial"/>
              </w:rPr>
              <w:t>Tier</w:t>
            </w:r>
            <w:r w:rsidR="00E37383" w:rsidRPr="00FF68AD">
              <w:rPr>
                <w:rFonts w:eastAsia="Arial"/>
              </w:rPr>
              <w:t xml:space="preserve"> 2:</w:t>
            </w:r>
          </w:p>
          <w:p w14:paraId="761C3E68" w14:textId="77777777" w:rsidR="00E37383" w:rsidRDefault="00E37383">
            <w:pPr>
              <w:pStyle w:val="Tabletext"/>
              <w:rPr>
                <w:rFonts w:eastAsia="Arial"/>
              </w:rPr>
            </w:pPr>
            <w:r>
              <w:rPr>
                <w:rFonts w:eastAsia="Arial"/>
              </w:rPr>
              <w:t>8 hours p/w</w:t>
            </w:r>
          </w:p>
        </w:tc>
        <w:tc>
          <w:tcPr>
            <w:tcW w:w="7733" w:type="dxa"/>
            <w:vAlign w:val="center"/>
          </w:tcPr>
          <w:p w14:paraId="3493170A" w14:textId="77777777" w:rsidR="00E37383" w:rsidRDefault="00E37383">
            <w:pPr>
              <w:pStyle w:val="Tabletext"/>
              <w:rPr>
                <w:rFonts w:eastAsia="Arial"/>
              </w:rPr>
            </w:pPr>
            <w:r>
              <w:rPr>
                <w:rFonts w:eastAsia="Arial"/>
              </w:rPr>
              <w:t>Some identified risks have not yet been responded to adequately; the care team is not cohesive and well-functioning; there is some urgency to required interventions, and/or the client is at a critical transition point.</w:t>
            </w:r>
          </w:p>
        </w:tc>
      </w:tr>
      <w:tr w:rsidR="00E37383" w14:paraId="6FA584D8" w14:textId="77777777">
        <w:tc>
          <w:tcPr>
            <w:tcW w:w="1447" w:type="dxa"/>
            <w:vAlign w:val="center"/>
          </w:tcPr>
          <w:p w14:paraId="17DE24D3" w14:textId="0B3357B6" w:rsidR="00E37383" w:rsidRPr="00FF68AD" w:rsidRDefault="007C2E2E">
            <w:pPr>
              <w:pStyle w:val="Tabletext"/>
              <w:rPr>
                <w:rFonts w:eastAsia="Arial"/>
              </w:rPr>
            </w:pPr>
            <w:r>
              <w:rPr>
                <w:rFonts w:eastAsia="Arial"/>
              </w:rPr>
              <w:t>Tier</w:t>
            </w:r>
            <w:r w:rsidR="00E37383" w:rsidRPr="00FF68AD">
              <w:rPr>
                <w:rFonts w:eastAsia="Arial"/>
              </w:rPr>
              <w:t xml:space="preserve"> 3:</w:t>
            </w:r>
          </w:p>
          <w:p w14:paraId="40376408" w14:textId="77777777" w:rsidR="00E37383" w:rsidRDefault="00E37383">
            <w:pPr>
              <w:pStyle w:val="Tabletext"/>
              <w:rPr>
                <w:rFonts w:eastAsia="Arial"/>
              </w:rPr>
            </w:pPr>
            <w:r>
              <w:rPr>
                <w:rFonts w:eastAsia="Arial"/>
              </w:rPr>
              <w:t>12 hours p/w</w:t>
            </w:r>
          </w:p>
        </w:tc>
        <w:tc>
          <w:tcPr>
            <w:tcW w:w="7733" w:type="dxa"/>
            <w:vAlign w:val="center"/>
          </w:tcPr>
          <w:p w14:paraId="28055548" w14:textId="77777777" w:rsidR="00E37383" w:rsidRDefault="00E37383">
            <w:pPr>
              <w:pStyle w:val="Tabletext"/>
              <w:rPr>
                <w:rFonts w:eastAsia="Arial"/>
              </w:rPr>
            </w:pPr>
            <w:r>
              <w:rPr>
                <w:rFonts w:eastAsia="Arial"/>
              </w:rPr>
              <w:t>A</w:t>
            </w:r>
            <w:r w:rsidRPr="00FF68AD">
              <w:rPr>
                <w:rFonts w:eastAsia="Arial"/>
              </w:rPr>
              <w:t xml:space="preserve"> high level of risk is identified; the care team is not well developed or dysfunctional; interventions are urgent, and/or the </w:t>
            </w:r>
            <w:r>
              <w:rPr>
                <w:rFonts w:eastAsia="Arial"/>
              </w:rPr>
              <w:t>client</w:t>
            </w:r>
            <w:r w:rsidRPr="00FF68AD">
              <w:rPr>
                <w:rFonts w:eastAsia="Arial"/>
              </w:rPr>
              <w:t xml:space="preserve"> is at a critical transition point.</w:t>
            </w:r>
          </w:p>
        </w:tc>
      </w:tr>
    </w:tbl>
    <w:p w14:paraId="0AAE6850" w14:textId="064B05BD" w:rsidR="00E37383" w:rsidRPr="008641EF" w:rsidRDefault="00E37383" w:rsidP="00987C78">
      <w:pPr>
        <w:pStyle w:val="Heading4"/>
      </w:pPr>
      <w:bookmarkStart w:id="254" w:name="_206ipza" w:colFirst="0" w:colLast="0"/>
      <w:bookmarkStart w:id="255" w:name="_4k668n3" w:colFirst="0" w:colLast="0"/>
      <w:bookmarkEnd w:id="253"/>
      <w:bookmarkEnd w:id="254"/>
      <w:bookmarkEnd w:id="255"/>
      <w:r w:rsidRPr="008641EF">
        <w:t xml:space="preserve">Existing </w:t>
      </w:r>
      <w:r w:rsidR="00456AE4">
        <w:t xml:space="preserve">NDIS </w:t>
      </w:r>
      <w:r w:rsidRPr="008641EF">
        <w:t>Support Coordination</w:t>
      </w:r>
    </w:p>
    <w:p w14:paraId="5FE46C2C" w14:textId="6BDF4D55" w:rsidR="00E37383" w:rsidRPr="003F0D35" w:rsidRDefault="00E37383" w:rsidP="00E37383">
      <w:pPr>
        <w:pStyle w:val="Tablefigurenote"/>
        <w:rPr>
          <w:rFonts w:eastAsia="Arial"/>
        </w:rPr>
      </w:pPr>
      <w:r>
        <w:rPr>
          <w:rFonts w:eastAsia="Arial"/>
        </w:rPr>
        <w:t>The amount and level of Support Coordination provided as part of an approved NDIS plan needs to be considered when determining tier. For example, a client who may be suitable for tier 3 (12 hours per week) may be reduced to tier 2 (8 hours per week) due to a high level of Support Coordination or Specialist Support Coordination funded by an NDIS plan.</w:t>
      </w:r>
    </w:p>
    <w:p w14:paraId="5916CD24" w14:textId="77777777" w:rsidR="00E37383" w:rsidRPr="008641EF" w:rsidRDefault="00E37383" w:rsidP="00987C78">
      <w:pPr>
        <w:pStyle w:val="Heading4"/>
      </w:pPr>
      <w:r w:rsidRPr="008641EF">
        <w:t>Travel requirements</w:t>
      </w:r>
    </w:p>
    <w:p w14:paraId="5AC8D344" w14:textId="489AF204" w:rsidR="00E37383" w:rsidRDefault="00E37383" w:rsidP="00E37383">
      <w:pPr>
        <w:pStyle w:val="Tablefigurenote"/>
      </w:pPr>
      <w:r>
        <w:t xml:space="preserve">The amount of travel required from the Care Plan Coordinator’s usual place of work to the location of care team meetings, client visits or relevant meetings </w:t>
      </w:r>
      <w:r w:rsidR="008F3B98">
        <w:t>is</w:t>
      </w:r>
      <w:r>
        <w:t xml:space="preserve"> to be considered when determining </w:t>
      </w:r>
      <w:r w:rsidR="008F3B98">
        <w:t xml:space="preserve">the </w:t>
      </w:r>
      <w:r>
        <w:t>tier.</w:t>
      </w:r>
    </w:p>
    <w:p w14:paraId="655DB4D6" w14:textId="73F435BC" w:rsidR="00E37383" w:rsidRDefault="00987C78" w:rsidP="00E37383">
      <w:pPr>
        <w:pStyle w:val="Heading3"/>
      </w:pPr>
      <w:bookmarkStart w:id="256" w:name="_Hlk17722698"/>
      <w:r>
        <w:t xml:space="preserve">7.6.4 </w:t>
      </w:r>
      <w:r w:rsidR="00E37383">
        <w:t>Service provider information pack</w:t>
      </w:r>
    </w:p>
    <w:p w14:paraId="56EF6D7A" w14:textId="77777777" w:rsidR="00E37383" w:rsidRPr="00E960FA" w:rsidRDefault="00E37383" w:rsidP="00E37383">
      <w:pPr>
        <w:pStyle w:val="Body"/>
      </w:pPr>
      <w:r w:rsidRPr="00E960FA">
        <w:t>Upon being appointed to deliver formal MACNI services (care plan coordination), service providers are required to be provided with a suite of documents that contain key information, standards, legislation and policy. This service provider information pack is compliant with the Human Services Standards and its content is evidenced on a checklist.</w:t>
      </w:r>
    </w:p>
    <w:p w14:paraId="3A47C533" w14:textId="3FF825B4" w:rsidR="00E37383" w:rsidRPr="00E960FA" w:rsidRDefault="00E37383" w:rsidP="00E37383">
      <w:pPr>
        <w:pStyle w:val="Body"/>
      </w:pPr>
      <w:r w:rsidRPr="00E960FA">
        <w:lastRenderedPageBreak/>
        <w:t xml:space="preserve">The checklist is to be completed and returned to the Complex Needs Coordinator </w:t>
      </w:r>
      <w:r w:rsidR="008F3B98">
        <w:t xml:space="preserve">three </w:t>
      </w:r>
      <w:r w:rsidRPr="00E960FA">
        <w:t>months after commencement of service provision. This checklist will be reviewed annually until MACNI closure</w:t>
      </w:r>
      <w:r>
        <w:t>.</w:t>
      </w:r>
    </w:p>
    <w:p w14:paraId="6E65143C" w14:textId="7BFE2D6C" w:rsidR="00E37383" w:rsidRDefault="00E37383" w:rsidP="00E37383">
      <w:pPr>
        <w:pStyle w:val="Body"/>
      </w:pPr>
      <w:r>
        <w:t xml:space="preserve">Refer: </w:t>
      </w:r>
      <w:hyperlink r:id="rId57" w:history="1">
        <w:r w:rsidRPr="00915769">
          <w:rPr>
            <w:rStyle w:val="Hyperlink"/>
          </w:rPr>
          <w:t>Human Services Standards</w:t>
        </w:r>
      </w:hyperlink>
      <w:r>
        <w:t xml:space="preserve"> </w:t>
      </w:r>
      <w:r w:rsidR="00710640">
        <w:t>&lt;</w:t>
      </w:r>
      <w:r w:rsidR="00F1152B" w:rsidRPr="00710640">
        <w:t>https://providers.dffh.vic.gov.au/human-services-standards</w:t>
      </w:r>
      <w:r w:rsidR="00710640">
        <w:t>&gt;</w:t>
      </w:r>
    </w:p>
    <w:p w14:paraId="156EBF12" w14:textId="77777777" w:rsidR="00F1152B"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1E1C576" w14:textId="77777777" w:rsidTr="7DAFCD5E">
        <w:tc>
          <w:tcPr>
            <w:tcW w:w="0" w:type="auto"/>
            <w:shd w:val="clear" w:color="auto" w:fill="CCE9F8"/>
          </w:tcPr>
          <w:p w14:paraId="36C6326A" w14:textId="77777777" w:rsidR="00E37383" w:rsidRPr="006F75D0" w:rsidRDefault="00E37383">
            <w:pPr>
              <w:pStyle w:val="Body"/>
            </w:pPr>
            <w:r>
              <w:rPr>
                <w:noProof/>
              </w:rPr>
              <w:drawing>
                <wp:inline distT="0" distB="0" distL="0" distR="0" wp14:anchorId="0A86D29E" wp14:editId="54B727FE">
                  <wp:extent cx="540000" cy="540000"/>
                  <wp:effectExtent l="0" t="0" r="0" b="0"/>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6C88E6A5" w14:textId="77777777" w:rsidR="00E37383" w:rsidRPr="006F75D0" w:rsidRDefault="00E37383">
            <w:pPr>
              <w:pStyle w:val="Tablecolhead"/>
              <w:rPr>
                <w:rFonts w:eastAsia="Arial"/>
              </w:rPr>
            </w:pPr>
            <w:r w:rsidRPr="006F75D0">
              <w:rPr>
                <w:rFonts w:eastAsia="Arial"/>
              </w:rPr>
              <w:t>Documentation required</w:t>
            </w:r>
          </w:p>
          <w:p w14:paraId="5B05357C" w14:textId="75696A2F" w:rsidR="00E37383" w:rsidRPr="006F75D0" w:rsidRDefault="00915769" w:rsidP="00740A47">
            <w:pPr>
              <w:pStyle w:val="Bullet1"/>
            </w:pPr>
            <w:r>
              <w:t xml:space="preserve">10 </w:t>
            </w:r>
            <w:r w:rsidR="48AED0DF">
              <w:t>Formal MACNI service provider information checklist and supplementary documentation.</w:t>
            </w:r>
          </w:p>
        </w:tc>
      </w:tr>
    </w:tbl>
    <w:p w14:paraId="7D6143E3"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69AD0E9" w14:textId="77777777" w:rsidTr="7DAFCD5E">
        <w:tc>
          <w:tcPr>
            <w:tcW w:w="0" w:type="auto"/>
            <w:shd w:val="clear" w:color="auto" w:fill="99D3F0"/>
            <w:vAlign w:val="center"/>
          </w:tcPr>
          <w:p w14:paraId="17765DC5" w14:textId="77777777" w:rsidR="00E37383" w:rsidRDefault="00E37383">
            <w:pPr>
              <w:pStyle w:val="Body"/>
            </w:pPr>
            <w:r>
              <w:rPr>
                <w:noProof/>
              </w:rPr>
              <w:drawing>
                <wp:inline distT="0" distB="0" distL="0" distR="0" wp14:anchorId="5AAC4C79" wp14:editId="11861CAF">
                  <wp:extent cx="540000" cy="540000"/>
                  <wp:effectExtent l="0" t="0" r="0" b="0"/>
                  <wp:docPr id="288" name="Picture 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32F7FD3F" w14:textId="77777777" w:rsidR="00E37383" w:rsidRDefault="00E37383">
            <w:pPr>
              <w:pStyle w:val="Tablecolhead"/>
            </w:pPr>
            <w:r>
              <w:t>Coordinator tasks</w:t>
            </w:r>
          </w:p>
          <w:p w14:paraId="6EBB39F1" w14:textId="77777777" w:rsidR="00E37383" w:rsidRPr="00E960FA" w:rsidRDefault="48AED0DF" w:rsidP="00740A47">
            <w:pPr>
              <w:pStyle w:val="Bullet1"/>
            </w:pPr>
            <w:r>
              <w:t>provide a service provider information pack to services offering formal MACNI services and ensure understanding of its contents and purpose</w:t>
            </w:r>
          </w:p>
          <w:p w14:paraId="1FAACD83" w14:textId="77777777" w:rsidR="00E37383" w:rsidRDefault="48AED0DF" w:rsidP="00740A47">
            <w:pPr>
              <w:pStyle w:val="Bullet1"/>
            </w:pPr>
            <w:r>
              <w:t xml:space="preserve">ensure a representative from the service provider signs the checklist 3 months after commencement of service provision, and annually thereafter. </w:t>
            </w:r>
          </w:p>
        </w:tc>
      </w:tr>
    </w:tbl>
    <w:p w14:paraId="2C4D6EEF" w14:textId="3EC4C701" w:rsidR="00E37383" w:rsidRDefault="00E37383" w:rsidP="000E7482">
      <w:pPr>
        <w:pStyle w:val="Heading2"/>
        <w:numPr>
          <w:ilvl w:val="1"/>
          <w:numId w:val="12"/>
        </w:numPr>
      </w:pPr>
      <w:bookmarkStart w:id="257" w:name="_Toc32229275"/>
      <w:bookmarkStart w:id="258" w:name="_Toc65508242"/>
      <w:bookmarkStart w:id="259" w:name="_Toc112856242"/>
      <w:bookmarkStart w:id="260" w:name="_Toc125713723"/>
      <w:bookmarkStart w:id="261" w:name="_Toc137636765"/>
      <w:bookmarkStart w:id="262" w:name="_Toc145318602"/>
      <w:bookmarkEnd w:id="256"/>
      <w:r>
        <w:t>Care plan review</w:t>
      </w:r>
      <w:bookmarkEnd w:id="257"/>
      <w:bookmarkEnd w:id="258"/>
      <w:bookmarkEnd w:id="259"/>
      <w:bookmarkEnd w:id="260"/>
      <w:bookmarkEnd w:id="261"/>
      <w:bookmarkEnd w:id="262"/>
      <w:r>
        <w:t xml:space="preserve"> </w:t>
      </w:r>
    </w:p>
    <w:p w14:paraId="31A59D11" w14:textId="1A97015B" w:rsidR="00E37383" w:rsidRDefault="00E37383" w:rsidP="00E37383">
      <w:pPr>
        <w:pStyle w:val="Body"/>
      </w:pPr>
      <w:r w:rsidRPr="00745E4C">
        <w:t xml:space="preserve">Once the </w:t>
      </w:r>
      <w:r w:rsidR="008F3B98">
        <w:t xml:space="preserve">first </w:t>
      </w:r>
      <w:r w:rsidRPr="00745E4C">
        <w:t xml:space="preserve">care plan is approved, </w:t>
      </w:r>
      <w:r w:rsidRPr="00955F88">
        <w:t>MACNI care plans are reviewed by the Panel every six months at a minimum.</w:t>
      </w:r>
      <w:r>
        <w:t xml:space="preserve"> </w:t>
      </w:r>
    </w:p>
    <w:p w14:paraId="398771A3" w14:textId="77777777" w:rsidR="00E37383" w:rsidRPr="00745E4C" w:rsidRDefault="00E37383" w:rsidP="00E37383">
      <w:pPr>
        <w:pStyle w:val="Body"/>
      </w:pPr>
      <w:r w:rsidRPr="00745E4C">
        <w:t xml:space="preserve">Preparation for a care plan review enables the </w:t>
      </w:r>
      <w:r>
        <w:t xml:space="preserve">Care Plan Coordinator </w:t>
      </w:r>
      <w:r w:rsidRPr="00745E4C">
        <w:t xml:space="preserve">to assess progress in implementing the plan. It also provides an opportunity to consider issues that may be impacting on the implementation of the plan and the outcomes achieved by the </w:t>
      </w:r>
      <w:r w:rsidRPr="00745E4C">
        <w:rPr>
          <w:rFonts w:eastAsia="Arial"/>
        </w:rPr>
        <w:t>client</w:t>
      </w:r>
      <w:r w:rsidRPr="00745E4C">
        <w:t xml:space="preserve"> supported.</w:t>
      </w:r>
    </w:p>
    <w:p w14:paraId="79BD252F" w14:textId="4EFA9DBB" w:rsidR="00E37383" w:rsidRPr="00D77D3D" w:rsidRDefault="00E37383" w:rsidP="00E37383">
      <w:pPr>
        <w:pStyle w:val="Body"/>
      </w:pPr>
      <w:r w:rsidRPr="00745E4C">
        <w:t xml:space="preserve">A review may be requested at any time when there are major changes </w:t>
      </w:r>
      <w:r>
        <w:rPr>
          <w:color w:val="000000"/>
        </w:rPr>
        <w:t xml:space="preserve">which occur for the client or when known or emerging significant risks are identified. </w:t>
      </w:r>
      <w:r w:rsidRPr="006D02DA">
        <w:t xml:space="preserve">Any care team member, panel representative or </w:t>
      </w:r>
      <w:r>
        <w:t xml:space="preserve">other </w:t>
      </w:r>
      <w:r w:rsidRPr="006D02DA">
        <w:t xml:space="preserve">person </w:t>
      </w:r>
      <w:r>
        <w:t>listed</w:t>
      </w:r>
      <w:r w:rsidRPr="006D02DA">
        <w:t xml:space="preserve"> in the Instrument of Delegation can request a care plan review take place earlier than six</w:t>
      </w:r>
      <w:r>
        <w:t>-</w:t>
      </w:r>
      <w:r w:rsidRPr="006D02DA">
        <w:t>monthly and at any frequency required.</w:t>
      </w:r>
    </w:p>
    <w:p w14:paraId="32EA9458" w14:textId="77777777" w:rsidR="00F1152B" w:rsidRPr="00D77D3D"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900"/>
      </w:tblGrid>
      <w:tr w:rsidR="00E37383" w14:paraId="49BF7952" w14:textId="77777777" w:rsidTr="7DAFCD5E">
        <w:tc>
          <w:tcPr>
            <w:tcW w:w="0" w:type="auto"/>
            <w:shd w:val="clear" w:color="auto" w:fill="CCE9F8"/>
            <w:vAlign w:val="center"/>
          </w:tcPr>
          <w:p w14:paraId="68487DC6" w14:textId="77777777" w:rsidR="00E37383" w:rsidRDefault="00E37383">
            <w:pPr>
              <w:pStyle w:val="Body"/>
            </w:pPr>
            <w:r>
              <w:rPr>
                <w:noProof/>
              </w:rPr>
              <w:drawing>
                <wp:inline distT="0" distB="0" distL="0" distR="0" wp14:anchorId="2B651881" wp14:editId="61071E25">
                  <wp:extent cx="540000" cy="540000"/>
                  <wp:effectExtent l="0" t="0" r="0" b="0"/>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00DFEF4" w14:textId="77777777" w:rsidR="00E37383" w:rsidRDefault="00E37383">
            <w:pPr>
              <w:pStyle w:val="Tablecolhead"/>
              <w:rPr>
                <w:rFonts w:eastAsia="Arial"/>
              </w:rPr>
            </w:pPr>
            <w:r>
              <w:rPr>
                <w:rFonts w:eastAsia="Arial"/>
              </w:rPr>
              <w:t>Documentation required</w:t>
            </w:r>
          </w:p>
          <w:p w14:paraId="73FAB14D" w14:textId="59698CEB" w:rsidR="00E37383" w:rsidRDefault="00915769" w:rsidP="00740A47">
            <w:pPr>
              <w:pStyle w:val="Bullet1"/>
            </w:pPr>
            <w:r>
              <w:t xml:space="preserve">3 </w:t>
            </w:r>
            <w:r w:rsidR="48AED0DF">
              <w:t xml:space="preserve">MACNI </w:t>
            </w:r>
            <w:r w:rsidR="008F3B98">
              <w:t xml:space="preserve">Care Plan </w:t>
            </w:r>
          </w:p>
          <w:p w14:paraId="7370CEEE" w14:textId="4642B5DF" w:rsidR="00E37383" w:rsidRPr="00B83D2D" w:rsidRDefault="00915769" w:rsidP="00740A47">
            <w:pPr>
              <w:pStyle w:val="Bullet1"/>
            </w:pPr>
            <w:r>
              <w:t xml:space="preserve">6j </w:t>
            </w:r>
            <w:r w:rsidR="48AED0DF">
              <w:t xml:space="preserve">MACNI </w:t>
            </w:r>
            <w:r w:rsidR="008F3B98">
              <w:t>Care Plan Review Report</w:t>
            </w:r>
          </w:p>
        </w:tc>
      </w:tr>
    </w:tbl>
    <w:p w14:paraId="519E182E"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4D6EBF0A" w14:textId="77777777" w:rsidTr="7DAFCD5E">
        <w:tc>
          <w:tcPr>
            <w:tcW w:w="0" w:type="auto"/>
            <w:shd w:val="clear" w:color="auto" w:fill="99D3F0"/>
            <w:vAlign w:val="center"/>
          </w:tcPr>
          <w:p w14:paraId="39126AF0" w14:textId="77777777" w:rsidR="00E37383" w:rsidRDefault="00E37383">
            <w:pPr>
              <w:pStyle w:val="Body"/>
            </w:pPr>
            <w:r>
              <w:rPr>
                <w:noProof/>
              </w:rPr>
              <w:drawing>
                <wp:inline distT="0" distB="0" distL="0" distR="0" wp14:anchorId="551E4E9A" wp14:editId="691C5099">
                  <wp:extent cx="540000" cy="540000"/>
                  <wp:effectExtent l="0" t="0" r="0" b="0"/>
                  <wp:docPr id="111" name="Pictur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29D44F1" w14:textId="77777777" w:rsidR="00E37383" w:rsidRDefault="00E37383">
            <w:pPr>
              <w:pStyle w:val="Tablecolhead"/>
            </w:pPr>
            <w:r>
              <w:t>Coordinator tasks</w:t>
            </w:r>
          </w:p>
          <w:p w14:paraId="366A9D87" w14:textId="77777777" w:rsidR="00E37383" w:rsidRPr="00590061" w:rsidRDefault="48AED0DF" w:rsidP="00740A47">
            <w:pPr>
              <w:pStyle w:val="Bullet1"/>
            </w:pPr>
            <w:r>
              <w:t>ensure adherence to care plan template including details of brokerage expenditure</w:t>
            </w:r>
          </w:p>
          <w:p w14:paraId="332A24ED" w14:textId="77777777" w:rsidR="00E37383" w:rsidRPr="00590061" w:rsidRDefault="48AED0DF" w:rsidP="00740A47">
            <w:pPr>
              <w:pStyle w:val="Bullet1"/>
            </w:pPr>
            <w:r>
              <w:t>ensure MACNI care plans are reviewed and recommended by the panel on a six-monthly basis</w:t>
            </w:r>
          </w:p>
          <w:p w14:paraId="72D76C9D" w14:textId="77777777" w:rsidR="00E37383" w:rsidRDefault="48AED0DF" w:rsidP="00740A47">
            <w:pPr>
              <w:pStyle w:val="Bullet1"/>
            </w:pPr>
            <w:r>
              <w:t>update the SharePoint client and brokerage databases as required.</w:t>
            </w:r>
          </w:p>
        </w:tc>
      </w:tr>
    </w:tbl>
    <w:p w14:paraId="2CA3D427" w14:textId="180EA927" w:rsidR="00E37383" w:rsidRDefault="00E37383" w:rsidP="000E7482">
      <w:pPr>
        <w:pStyle w:val="Heading2"/>
        <w:numPr>
          <w:ilvl w:val="1"/>
          <w:numId w:val="12"/>
        </w:numPr>
      </w:pPr>
      <w:bookmarkStart w:id="263" w:name="_2zbgiuw" w:colFirst="0" w:colLast="0"/>
      <w:bookmarkStart w:id="264" w:name="_Toc32229276"/>
      <w:bookmarkStart w:id="265" w:name="_Toc65508243"/>
      <w:bookmarkStart w:id="266" w:name="_Toc112856243"/>
      <w:bookmarkStart w:id="267" w:name="_Toc125713724"/>
      <w:bookmarkStart w:id="268" w:name="_Toc137636766"/>
      <w:bookmarkStart w:id="269" w:name="_Toc145318603"/>
      <w:bookmarkEnd w:id="263"/>
      <w:r>
        <w:t>Care plan progress updates</w:t>
      </w:r>
      <w:bookmarkEnd w:id="264"/>
      <w:bookmarkEnd w:id="265"/>
      <w:bookmarkEnd w:id="266"/>
      <w:bookmarkEnd w:id="267"/>
      <w:bookmarkEnd w:id="268"/>
      <w:bookmarkEnd w:id="269"/>
    </w:p>
    <w:p w14:paraId="240E96C4" w14:textId="5558D907" w:rsidR="00E37383" w:rsidRDefault="00E37383" w:rsidP="00E37383">
      <w:pPr>
        <w:pStyle w:val="Body"/>
      </w:pPr>
      <w:r w:rsidRPr="006D02DA">
        <w:t xml:space="preserve">In addition to the </w:t>
      </w:r>
      <w:r>
        <w:t xml:space="preserve">six-monthly </w:t>
      </w:r>
      <w:r w:rsidRPr="006D02DA">
        <w:t xml:space="preserve">care plan review, </w:t>
      </w:r>
      <w:r>
        <w:t>Care Plan Coordinators are required to</w:t>
      </w:r>
      <w:r w:rsidRPr="006D02DA">
        <w:t xml:space="preserve"> provide updates </w:t>
      </w:r>
      <w:r>
        <w:t>on formal MACNI clients at Complex Needs P</w:t>
      </w:r>
      <w:r w:rsidRPr="00CF120D">
        <w:t>anel</w:t>
      </w:r>
      <w:r>
        <w:t>s</w:t>
      </w:r>
      <w:r w:rsidR="00A22EB8">
        <w:t xml:space="preserve"> if there are issues</w:t>
      </w:r>
      <w:r w:rsidR="00184866">
        <w:t>, risks and any substantive changes t</w:t>
      </w:r>
      <w:r w:rsidR="007928B3">
        <w:t xml:space="preserve">hat require the input and/or </w:t>
      </w:r>
      <w:r w:rsidR="006876EE">
        <w:t>oversight of the panel</w:t>
      </w:r>
      <w:r w:rsidRPr="00CF120D">
        <w:t>.</w:t>
      </w:r>
      <w:r>
        <w:t xml:space="preserve"> </w:t>
      </w:r>
    </w:p>
    <w:p w14:paraId="09B537DC" w14:textId="3661D175" w:rsidR="006876EE" w:rsidRDefault="003838F1" w:rsidP="00E37383">
      <w:pPr>
        <w:pStyle w:val="Body"/>
      </w:pPr>
      <w:r>
        <w:lastRenderedPageBreak/>
        <w:t xml:space="preserve">Care plan progress updates are not required if the client matter is </w:t>
      </w:r>
      <w:r w:rsidR="00206F8A">
        <w:t>stable,</w:t>
      </w:r>
      <w:r>
        <w:t xml:space="preserve"> and the care plan implementation is </w:t>
      </w:r>
      <w:r w:rsidR="00284938">
        <w:t>progressing as expected.</w:t>
      </w:r>
    </w:p>
    <w:p w14:paraId="44FFB516" w14:textId="187292D4" w:rsidR="00E37383" w:rsidRDefault="000F2506" w:rsidP="00927A9A">
      <w:pPr>
        <w:pStyle w:val="Body"/>
      </w:pPr>
      <w:r>
        <w:t>A</w:t>
      </w:r>
      <w:r w:rsidR="00284938">
        <w:t xml:space="preserve"> Complex Needs Coordinator </w:t>
      </w:r>
      <w:r w:rsidR="00221939">
        <w:t>will provide</w:t>
      </w:r>
      <w:r>
        <w:t xml:space="preserve"> </w:t>
      </w:r>
      <w:r w:rsidR="00206F8A">
        <w:t xml:space="preserve">a </w:t>
      </w:r>
      <w:r w:rsidR="48AED0DF">
        <w:t xml:space="preserve">verbal </w:t>
      </w:r>
      <w:r>
        <w:t xml:space="preserve">or </w:t>
      </w:r>
      <w:r w:rsidR="48AED0DF">
        <w:t>written update where there is</w:t>
      </w:r>
      <w:r w:rsidR="00927A9A">
        <w:t xml:space="preserve"> a </w:t>
      </w:r>
      <w:r w:rsidR="48AED0DF">
        <w:t xml:space="preserve">change to </w:t>
      </w:r>
      <w:r w:rsidR="00927A9A">
        <w:t xml:space="preserve">the care plan’s </w:t>
      </w:r>
      <w:r w:rsidR="48AED0DF">
        <w:t>progress</w:t>
      </w:r>
      <w:r>
        <w:t xml:space="preserve">, </w:t>
      </w:r>
      <w:r w:rsidR="00927A9A">
        <w:t xml:space="preserve">any </w:t>
      </w:r>
      <w:r w:rsidR="48AED0DF">
        <w:t>services involved</w:t>
      </w:r>
      <w:r>
        <w:t xml:space="preserve">, </w:t>
      </w:r>
      <w:r w:rsidR="48AED0DF">
        <w:t>specific actions or interventions previously recommended by the panel</w:t>
      </w:r>
      <w:r w:rsidR="00927A9A">
        <w:t xml:space="preserve"> and/or new risks </w:t>
      </w:r>
      <w:r w:rsidR="00910452">
        <w:t>and issues emerging requiring panel decision or oversight.</w:t>
      </w:r>
    </w:p>
    <w:p w14:paraId="7871D44E" w14:textId="534EAFCA" w:rsidR="00910452" w:rsidRDefault="00910452" w:rsidP="00927A9A">
      <w:pPr>
        <w:pStyle w:val="Body"/>
      </w:pPr>
      <w:r>
        <w:t xml:space="preserve">It is at the discretion of the panel chair as to whether these are verbal or written, noting that the update will be recorded in the panel minutes. </w:t>
      </w:r>
    </w:p>
    <w:p w14:paraId="20D2E376"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106"/>
      </w:tblGrid>
      <w:tr w:rsidR="00E37383" w14:paraId="5A3C99FC" w14:textId="77777777" w:rsidTr="7DAFCD5E">
        <w:tc>
          <w:tcPr>
            <w:tcW w:w="0" w:type="auto"/>
            <w:shd w:val="clear" w:color="auto" w:fill="CCE9F8"/>
            <w:vAlign w:val="center"/>
          </w:tcPr>
          <w:p w14:paraId="556CF0DF" w14:textId="77777777" w:rsidR="00E37383" w:rsidRDefault="00E37383">
            <w:pPr>
              <w:pStyle w:val="Body"/>
            </w:pPr>
            <w:r>
              <w:rPr>
                <w:noProof/>
              </w:rPr>
              <w:drawing>
                <wp:inline distT="0" distB="0" distL="0" distR="0" wp14:anchorId="356DA92C" wp14:editId="7E4CF1A4">
                  <wp:extent cx="540000" cy="540000"/>
                  <wp:effectExtent l="0" t="0" r="0" b="0"/>
                  <wp:docPr id="99"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F616E08" w14:textId="77777777" w:rsidR="00E37383" w:rsidRDefault="00E37383">
            <w:pPr>
              <w:pStyle w:val="Tablecolhead"/>
              <w:rPr>
                <w:rFonts w:eastAsia="Arial"/>
              </w:rPr>
            </w:pPr>
            <w:r>
              <w:rPr>
                <w:rFonts w:eastAsia="Arial"/>
              </w:rPr>
              <w:t>Documentation required</w:t>
            </w:r>
          </w:p>
          <w:p w14:paraId="67C70CA2" w14:textId="67CFC823" w:rsidR="00E37383" w:rsidRPr="00B83D2D" w:rsidRDefault="00615F41" w:rsidP="00740A47">
            <w:pPr>
              <w:pStyle w:val="Bullet1"/>
            </w:pPr>
            <w:r>
              <w:t xml:space="preserve">6k </w:t>
            </w:r>
            <w:r w:rsidR="48AED0DF">
              <w:t>MACNI progress update</w:t>
            </w:r>
          </w:p>
        </w:tc>
      </w:tr>
    </w:tbl>
    <w:p w14:paraId="61EC5168"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705"/>
      </w:tblGrid>
      <w:tr w:rsidR="00E37383" w14:paraId="1E5EF7A4" w14:textId="77777777" w:rsidTr="7DAFCD5E">
        <w:tc>
          <w:tcPr>
            <w:tcW w:w="0" w:type="auto"/>
            <w:shd w:val="clear" w:color="auto" w:fill="99D3F0"/>
            <w:vAlign w:val="center"/>
          </w:tcPr>
          <w:p w14:paraId="41FBDC19" w14:textId="77777777" w:rsidR="00E37383" w:rsidRDefault="00E37383">
            <w:pPr>
              <w:pStyle w:val="Body"/>
            </w:pPr>
            <w:r>
              <w:rPr>
                <w:noProof/>
              </w:rPr>
              <w:drawing>
                <wp:inline distT="0" distB="0" distL="0" distR="0" wp14:anchorId="51CA8661" wp14:editId="68DF2EA4">
                  <wp:extent cx="540000" cy="540000"/>
                  <wp:effectExtent l="0" t="0" r="0" b="0"/>
                  <wp:docPr id="109" name="Pictur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6377256" w14:textId="77777777" w:rsidR="00E37383" w:rsidRDefault="00E37383">
            <w:pPr>
              <w:pStyle w:val="Tablecolhead"/>
            </w:pPr>
            <w:r>
              <w:t>Coordinator tasks</w:t>
            </w:r>
          </w:p>
          <w:p w14:paraId="482A437B" w14:textId="2CB6007D" w:rsidR="00E37383" w:rsidRPr="00590061" w:rsidRDefault="48AED0DF" w:rsidP="00740A47">
            <w:pPr>
              <w:pStyle w:val="Bullet1"/>
            </w:pPr>
            <w:r>
              <w:t xml:space="preserve">provide MACNI </w:t>
            </w:r>
            <w:r w:rsidR="00433FA8">
              <w:t xml:space="preserve">Progress Update </w:t>
            </w:r>
            <w:r w:rsidR="002D1C30">
              <w:t>Form</w:t>
            </w:r>
            <w:r w:rsidR="00433FA8">
              <w:t xml:space="preserve"> </w:t>
            </w:r>
            <w:r>
              <w:t xml:space="preserve">to Care Plan Coordinator </w:t>
            </w:r>
            <w:r w:rsidR="00433FA8">
              <w:t xml:space="preserve">to </w:t>
            </w:r>
            <w:r>
              <w:t>complet</w:t>
            </w:r>
            <w:r w:rsidR="00433FA8">
              <w:t>e</w:t>
            </w:r>
          </w:p>
          <w:p w14:paraId="186B9170" w14:textId="77777777" w:rsidR="00E37383" w:rsidRPr="00590061" w:rsidRDefault="48AED0DF" w:rsidP="00740A47">
            <w:pPr>
              <w:pStyle w:val="Bullet1"/>
            </w:pPr>
            <w:r>
              <w:t xml:space="preserve">ensure MACNI care plan is updated as required </w:t>
            </w:r>
          </w:p>
          <w:p w14:paraId="71B741A9" w14:textId="77777777" w:rsidR="00E37383" w:rsidRDefault="48AED0DF" w:rsidP="00740A47">
            <w:pPr>
              <w:pStyle w:val="Bullet1"/>
            </w:pPr>
            <w:r>
              <w:t>update the SharePoint client and brokerage databases as required.</w:t>
            </w:r>
          </w:p>
        </w:tc>
      </w:tr>
    </w:tbl>
    <w:p w14:paraId="3C4F232C" w14:textId="118D8F48" w:rsidR="00E37383" w:rsidRDefault="00E37383" w:rsidP="000E7482">
      <w:pPr>
        <w:pStyle w:val="Heading2"/>
        <w:numPr>
          <w:ilvl w:val="1"/>
          <w:numId w:val="12"/>
        </w:numPr>
      </w:pPr>
      <w:bookmarkStart w:id="270" w:name="_Toc32229277"/>
      <w:bookmarkStart w:id="271" w:name="_Toc65508244"/>
      <w:bookmarkStart w:id="272" w:name="_Toc112856244"/>
      <w:bookmarkStart w:id="273" w:name="_Toc125713725"/>
      <w:bookmarkStart w:id="274" w:name="_Toc137636767"/>
      <w:bookmarkStart w:id="275" w:name="_Toc145318604"/>
      <w:r>
        <w:t>Suspension of a care plan</w:t>
      </w:r>
      <w:bookmarkEnd w:id="270"/>
      <w:bookmarkEnd w:id="271"/>
      <w:bookmarkEnd w:id="272"/>
      <w:bookmarkEnd w:id="273"/>
      <w:bookmarkEnd w:id="274"/>
      <w:bookmarkEnd w:id="275"/>
    </w:p>
    <w:p w14:paraId="43052B99" w14:textId="77777777" w:rsidR="00E37383" w:rsidRDefault="00E37383" w:rsidP="00E37383">
      <w:pPr>
        <w:pStyle w:val="Body"/>
      </w:pPr>
      <w:r>
        <w:t xml:space="preserve">A change in a MACNI client’s situation may impact the ability to implement the care plan effectively. In these circumstances, it may be appropriate to suspend the care plan until the outcome of the change is known. Suspending the care plan effectively pauses MACNI service provision, preserving it for a point in time where it may be more effective or of greater value to the client. </w:t>
      </w:r>
    </w:p>
    <w:p w14:paraId="3866538A" w14:textId="77777777" w:rsidR="00E37383" w:rsidRDefault="00E37383" w:rsidP="00E37383">
      <w:pPr>
        <w:pStyle w:val="Body"/>
      </w:pPr>
      <w:r>
        <w:t>A suspension may be considered when:</w:t>
      </w:r>
    </w:p>
    <w:p w14:paraId="489FAF7F" w14:textId="77777777" w:rsidR="00E37383" w:rsidRDefault="48AED0DF" w:rsidP="00740A47">
      <w:pPr>
        <w:pStyle w:val="Bullet1"/>
      </w:pPr>
      <w:r>
        <w:t>the client is incarcerated or hospitalised (or equivalent), for a period longer than 3 months or unknown, and the care plan is unlikely to be effectively implemented</w:t>
      </w:r>
    </w:p>
    <w:p w14:paraId="311C773A" w14:textId="77777777" w:rsidR="00E37383" w:rsidRDefault="48AED0DF" w:rsidP="00740A47">
      <w:pPr>
        <w:pStyle w:val="Bullet1"/>
      </w:pPr>
      <w:r>
        <w:t>a significant crisis or event (e.g., resulting in a move to another location) gives rise to the need for the existing service providers to be engaged about the viability of service continuity.</w:t>
      </w:r>
    </w:p>
    <w:p w14:paraId="7C4F5FE1" w14:textId="20C12E04" w:rsidR="00E37383" w:rsidRDefault="00E37383" w:rsidP="00710640">
      <w:pPr>
        <w:pStyle w:val="Bodyafterbullets"/>
        <w:spacing w:after="240"/>
      </w:pPr>
      <w:r w:rsidRPr="009E4FDB">
        <w:t>Alternatively, a care plan may also be varied to change the number and/or type of service providers engaged. This approach would be used when, despite the change in client circumstance, many elements of the care plan can be continued. For example, an incarcerated client may continue to receive MACNI care planning if service provision remains largely unchanged</w:t>
      </w:r>
      <w:r>
        <w:t>,</w:t>
      </w:r>
      <w:r w:rsidRPr="009E4FDB">
        <w:t xml:space="preserve"> and the goals of the plan can continue to be reali</w:t>
      </w:r>
      <w:r w:rsidR="00710640">
        <w:t>s</w:t>
      </w:r>
      <w:r w:rsidRPr="009E4FDB">
        <w:t xml:space="preserve">ed while incarcerated.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D3F0"/>
        <w:tblLook w:val="04A0" w:firstRow="1" w:lastRow="0" w:firstColumn="1" w:lastColumn="0" w:noHBand="0" w:noVBand="1"/>
      </w:tblPr>
      <w:tblGrid>
        <w:gridCol w:w="1066"/>
        <w:gridCol w:w="6497"/>
      </w:tblGrid>
      <w:tr w:rsidR="00E37383" w:rsidRPr="00C76360" w14:paraId="32896F63" w14:textId="77777777">
        <w:trPr>
          <w:jc w:val="center"/>
        </w:trPr>
        <w:tc>
          <w:tcPr>
            <w:tcW w:w="0" w:type="auto"/>
            <w:shd w:val="clear" w:color="auto" w:fill="99D3F0"/>
            <w:vAlign w:val="center"/>
          </w:tcPr>
          <w:p w14:paraId="0C1E3A92" w14:textId="77777777" w:rsidR="00E37383" w:rsidRPr="00C76360" w:rsidRDefault="00E37383">
            <w:pPr>
              <w:pStyle w:val="Body"/>
            </w:pPr>
            <w:r>
              <w:rPr>
                <w:noProof/>
              </w:rPr>
              <w:drawing>
                <wp:inline distT="0" distB="0" distL="0" distR="0" wp14:anchorId="3B780002" wp14:editId="550D3267">
                  <wp:extent cx="539750" cy="539750"/>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539750" cy="539750"/>
                          </a:xfrm>
                          <a:prstGeom prst="rect">
                            <a:avLst/>
                          </a:prstGeom>
                        </pic:spPr>
                      </pic:pic>
                    </a:graphicData>
                  </a:graphic>
                </wp:inline>
              </w:drawing>
            </w:r>
          </w:p>
        </w:tc>
        <w:tc>
          <w:tcPr>
            <w:tcW w:w="0" w:type="auto"/>
            <w:shd w:val="clear" w:color="auto" w:fill="99D3F0"/>
            <w:vAlign w:val="center"/>
          </w:tcPr>
          <w:p w14:paraId="7EB9A204" w14:textId="77777777" w:rsidR="00E37383" w:rsidRPr="00C76360" w:rsidRDefault="00E37383">
            <w:pPr>
              <w:pStyle w:val="Body"/>
            </w:pPr>
            <w:r>
              <w:t>The total duration of a MACNI care plan may not exceed 36 months</w:t>
            </w:r>
          </w:p>
        </w:tc>
      </w:tr>
    </w:tbl>
    <w:p w14:paraId="02D38FC2" w14:textId="77777777" w:rsidR="00E37383" w:rsidRPr="00433FA8" w:rsidRDefault="00E37383" w:rsidP="00710640">
      <w:pPr>
        <w:pStyle w:val="Body"/>
        <w:spacing w:before="120"/>
      </w:pPr>
      <w:r w:rsidRPr="00433FA8">
        <w:t xml:space="preserve">Panels consider and determine the appropriateness of suspending a care plan. </w:t>
      </w:r>
      <w:bookmarkStart w:id="276" w:name="_Hlk9514120"/>
      <w:r w:rsidRPr="00433FA8">
        <w:t>The decision should be made with consideration of the following:</w:t>
      </w:r>
    </w:p>
    <w:p w14:paraId="093EB61C" w14:textId="77777777" w:rsidR="00E37383" w:rsidRPr="004622AC" w:rsidRDefault="48AED0DF" w:rsidP="00740A47">
      <w:pPr>
        <w:pStyle w:val="Bullet1"/>
      </w:pPr>
      <w:r w:rsidRPr="004622AC">
        <w:t xml:space="preserve">the client’s perspective </w:t>
      </w:r>
    </w:p>
    <w:p w14:paraId="45DCFF3B" w14:textId="3A969663" w:rsidR="00E37383" w:rsidRPr="004622AC" w:rsidRDefault="48AED0DF" w:rsidP="00740A47">
      <w:pPr>
        <w:pStyle w:val="Bullet1"/>
      </w:pPr>
      <w:r w:rsidRPr="004622AC">
        <w:lastRenderedPageBreak/>
        <w:t xml:space="preserve">opportunities for the client to access suitable supports </w:t>
      </w:r>
      <w:r w:rsidR="00433FA8" w:rsidRPr="004622AC">
        <w:t>from</w:t>
      </w:r>
      <w:r w:rsidRPr="004622AC">
        <w:t xml:space="preserve"> the service</w:t>
      </w:r>
      <w:r w:rsidR="00433FA8" w:rsidRPr="004622AC">
        <w:t>s</w:t>
      </w:r>
      <w:r w:rsidRPr="004622AC">
        <w:t xml:space="preserve"> currently available to them (e.g.</w:t>
      </w:r>
      <w:r w:rsidR="00B80FF0">
        <w:t>:</w:t>
      </w:r>
      <w:r w:rsidRPr="004622AC">
        <w:t xml:space="preserve"> does the hospital/prison provide access to therapeutic supports or assessments?)</w:t>
      </w:r>
    </w:p>
    <w:p w14:paraId="4A38479A" w14:textId="6ABB3CF8" w:rsidR="00E37383" w:rsidRPr="004622AC" w:rsidRDefault="48AED0DF" w:rsidP="00740A47">
      <w:pPr>
        <w:pStyle w:val="Bullet1"/>
      </w:pPr>
      <w:r w:rsidRPr="004622AC">
        <w:t>value of continued service provision in the current circumstances (e.g.</w:t>
      </w:r>
      <w:r w:rsidR="00B80FF0">
        <w:t>:</w:t>
      </w:r>
      <w:r w:rsidRPr="004622AC">
        <w:t xml:space="preserve"> is service provision largely unchanged? How effective are services? Are the travel requirements reasonable?)</w:t>
      </w:r>
    </w:p>
    <w:p w14:paraId="6C1FACF1" w14:textId="1B140CA7" w:rsidR="00E37383" w:rsidRPr="004622AC" w:rsidRDefault="48AED0DF" w:rsidP="00740A47">
      <w:pPr>
        <w:pStyle w:val="Bullet1"/>
      </w:pPr>
      <w:r w:rsidRPr="004622AC">
        <w:t>the benefit of ‘stopping the clock’</w:t>
      </w:r>
      <w:r w:rsidR="00433FA8" w:rsidRPr="004622AC">
        <w:t>,</w:t>
      </w:r>
      <w:r w:rsidRPr="004622AC">
        <w:t xml:space="preserve"> providing continued MACNI care plan coordination whil</w:t>
      </w:r>
      <w:r w:rsidR="00433FA8" w:rsidRPr="004622AC">
        <w:t xml:space="preserve">e </w:t>
      </w:r>
      <w:r w:rsidRPr="004622AC">
        <w:t>in a restrictive facility v</w:t>
      </w:r>
      <w:r w:rsidR="00433FA8" w:rsidRPr="004622AC">
        <w:t xml:space="preserve">ersus </w:t>
      </w:r>
      <w:r w:rsidRPr="004622AC">
        <w:t>longer access to MACNI care plan coordination whi</w:t>
      </w:r>
      <w:r w:rsidR="004622AC" w:rsidRPr="004622AC">
        <w:t>le</w:t>
      </w:r>
      <w:r w:rsidRPr="004622AC">
        <w:t xml:space="preserve"> transitioning / in the community </w:t>
      </w:r>
    </w:p>
    <w:p w14:paraId="163A9D21" w14:textId="2C967525" w:rsidR="00E37383" w:rsidRPr="004622AC" w:rsidRDefault="48AED0DF" w:rsidP="00740A47">
      <w:pPr>
        <w:pStyle w:val="Bullet1"/>
      </w:pPr>
      <w:r w:rsidRPr="004622AC">
        <w:t>the current tier of care plan coordination (may be reduced if not suspended)</w:t>
      </w:r>
    </w:p>
    <w:p w14:paraId="61AAACF7" w14:textId="79243BFD" w:rsidR="00E37383" w:rsidRPr="004622AC" w:rsidRDefault="48AED0DF" w:rsidP="00740A47">
      <w:pPr>
        <w:pStyle w:val="Bullet1"/>
      </w:pPr>
      <w:r w:rsidRPr="004622AC">
        <w:t>if a suspension is recommended, the panel should establish the circumstances for MACNI service provision to recommence (e.g.</w:t>
      </w:r>
      <w:r w:rsidR="00B80FF0">
        <w:t>:</w:t>
      </w:r>
      <w:r w:rsidRPr="004622AC">
        <w:t xml:space="preserve"> agreed date, when parole or discharge planning commences). </w:t>
      </w:r>
    </w:p>
    <w:bookmarkEnd w:id="276"/>
    <w:p w14:paraId="6BBA5F7D" w14:textId="258A81FF" w:rsidR="00E37383" w:rsidRDefault="00E37383" w:rsidP="00E37383">
      <w:pPr>
        <w:pStyle w:val="Bodyafterbullets"/>
      </w:pPr>
      <w:r>
        <w:t>The panel recommendation to suspend a care plan needs to be documented and communicated to the client and engaged services. The Complex Needs Coordinator notif</w:t>
      </w:r>
      <w:r w:rsidR="004622AC">
        <w:t xml:space="preserve">ies </w:t>
      </w:r>
      <w:r>
        <w:t xml:space="preserve">the Agency Performance and Systems Support (APSS) unit where the funding to a contracted service is to be impacted and/or adjusted in their funding and service agreement. </w:t>
      </w:r>
    </w:p>
    <w:p w14:paraId="67EE1D7E" w14:textId="77777777" w:rsidR="00E37383" w:rsidRDefault="00E37383" w:rsidP="00E37383">
      <w:pPr>
        <w:pStyle w:val="Body"/>
        <w:rPr>
          <w:color w:val="000000"/>
        </w:rPr>
      </w:pPr>
      <w:r>
        <w:rPr>
          <w:color w:val="000000"/>
        </w:rPr>
        <w:t xml:space="preserve">Where a Care Plan Coordinator is in place and the care plan is suspended, the continued funding for the Care Plan </w:t>
      </w:r>
      <w:r w:rsidRPr="00745E4C">
        <w:t>Coordinator may be negotiated by the area in relation to work with other MACNI clients. Alternatively, the Complex Needs Coordinator can vary the service and brokerage agreements and recoup funds accordingly.</w:t>
      </w:r>
    </w:p>
    <w:p w14:paraId="34EE57F2"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055"/>
      </w:tblGrid>
      <w:tr w:rsidR="00E37383" w14:paraId="4F1A3437" w14:textId="77777777" w:rsidTr="7DAFCD5E">
        <w:tc>
          <w:tcPr>
            <w:tcW w:w="0" w:type="auto"/>
            <w:shd w:val="clear" w:color="auto" w:fill="CCE9F8"/>
            <w:vAlign w:val="center"/>
          </w:tcPr>
          <w:p w14:paraId="36B0AB58" w14:textId="77777777" w:rsidR="00E37383" w:rsidRDefault="00E37383" w:rsidP="00BB1ABB">
            <w:pPr>
              <w:pStyle w:val="Body"/>
              <w:spacing w:before="120"/>
            </w:pPr>
            <w:r>
              <w:rPr>
                <w:noProof/>
              </w:rPr>
              <w:drawing>
                <wp:inline distT="0" distB="0" distL="0" distR="0" wp14:anchorId="2A162DC0" wp14:editId="765377AD">
                  <wp:extent cx="540000" cy="540000"/>
                  <wp:effectExtent l="0" t="0" r="0" b="0"/>
                  <wp:docPr id="100" name="Pictur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32AA0CF0" w14:textId="77777777" w:rsidR="00E37383" w:rsidRDefault="00E37383">
            <w:pPr>
              <w:pStyle w:val="Tablecolhead"/>
              <w:rPr>
                <w:rFonts w:eastAsia="Arial"/>
              </w:rPr>
            </w:pPr>
            <w:r>
              <w:rPr>
                <w:rFonts w:eastAsia="Arial"/>
              </w:rPr>
              <w:t>Documentation required</w:t>
            </w:r>
          </w:p>
          <w:p w14:paraId="40BF0EFB" w14:textId="75361C8B" w:rsidR="00E37383" w:rsidRDefault="00615F41" w:rsidP="00740A47">
            <w:pPr>
              <w:pStyle w:val="Bullet1"/>
            </w:pPr>
            <w:r>
              <w:t xml:space="preserve">8d </w:t>
            </w:r>
            <w:r w:rsidR="48AED0DF">
              <w:t xml:space="preserve">MACNI </w:t>
            </w:r>
            <w:r w:rsidR="00B80FF0">
              <w:t>Care Plan Suspension Notification – Letter to Client</w:t>
            </w:r>
          </w:p>
          <w:p w14:paraId="7CAE8B12" w14:textId="37885ACC" w:rsidR="00E37383" w:rsidRPr="00B83D2D" w:rsidRDefault="00615F41" w:rsidP="00740A47">
            <w:pPr>
              <w:pStyle w:val="Bullet1"/>
            </w:pPr>
            <w:r>
              <w:t xml:space="preserve">8e </w:t>
            </w:r>
            <w:r w:rsidR="48AED0DF">
              <w:t xml:space="preserve">MACNI </w:t>
            </w:r>
            <w:r w:rsidR="00B80FF0" w:rsidRPr="00B80FF0">
              <w:rPr>
                <w:sz w:val="22"/>
              </w:rPr>
              <w:t xml:space="preserve">Care Plan Suspension Notification – Letter </w:t>
            </w:r>
            <w:r w:rsidR="00B80FF0">
              <w:rPr>
                <w:sz w:val="22"/>
              </w:rPr>
              <w:t>to</w:t>
            </w:r>
            <w:r w:rsidR="00B80FF0" w:rsidRPr="00B80FF0">
              <w:rPr>
                <w:sz w:val="22"/>
              </w:rPr>
              <w:t xml:space="preserve"> Services in </w:t>
            </w:r>
            <w:r w:rsidR="00B80FF0">
              <w:rPr>
                <w:sz w:val="22"/>
              </w:rPr>
              <w:t>t</w:t>
            </w:r>
            <w:r w:rsidR="00B80FF0" w:rsidRPr="00B80FF0">
              <w:rPr>
                <w:sz w:val="22"/>
              </w:rPr>
              <w:t>he Plan</w:t>
            </w:r>
            <w:r w:rsidR="48AED0DF">
              <w:t>.</w:t>
            </w:r>
          </w:p>
        </w:tc>
      </w:tr>
    </w:tbl>
    <w:p w14:paraId="3B51F36E"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0D43ABE7" w14:textId="77777777" w:rsidTr="7DAFCD5E">
        <w:tc>
          <w:tcPr>
            <w:tcW w:w="0" w:type="auto"/>
            <w:shd w:val="clear" w:color="auto" w:fill="99D3F0"/>
            <w:vAlign w:val="center"/>
          </w:tcPr>
          <w:p w14:paraId="51F48772" w14:textId="77777777" w:rsidR="00E37383" w:rsidRDefault="00E37383">
            <w:pPr>
              <w:pStyle w:val="Body"/>
            </w:pPr>
            <w:r>
              <w:rPr>
                <w:noProof/>
              </w:rPr>
              <w:drawing>
                <wp:inline distT="0" distB="0" distL="0" distR="0" wp14:anchorId="1F544605" wp14:editId="7B231504">
                  <wp:extent cx="540000" cy="540000"/>
                  <wp:effectExtent l="0" t="0" r="0" b="0"/>
                  <wp:docPr id="108" name="Pictur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CFCFB01" w14:textId="77777777" w:rsidR="00E37383" w:rsidRDefault="00E37383">
            <w:pPr>
              <w:pStyle w:val="Tablecolhead"/>
            </w:pPr>
            <w:r>
              <w:t>Coordinator tasks</w:t>
            </w:r>
          </w:p>
          <w:p w14:paraId="00361FFF" w14:textId="0629A209" w:rsidR="00E37383" w:rsidRPr="00590061" w:rsidRDefault="48AED0DF" w:rsidP="00740A47">
            <w:pPr>
              <w:pStyle w:val="Bullet1"/>
            </w:pPr>
            <w:r>
              <w:t xml:space="preserve">prepare notification letters and obtain </w:t>
            </w:r>
            <w:r w:rsidR="00B252A9">
              <w:t xml:space="preserve">Area </w:t>
            </w:r>
            <w:r>
              <w:t>Executive Director signature</w:t>
            </w:r>
          </w:p>
          <w:p w14:paraId="377629D1" w14:textId="77777777" w:rsidR="00E37383" w:rsidRDefault="48AED0DF" w:rsidP="00740A47">
            <w:pPr>
              <w:pStyle w:val="Bullet1"/>
            </w:pPr>
            <w:r>
              <w:t>communicate the outcomes of a panel meeting to the care team including terms of the suspension</w:t>
            </w:r>
          </w:p>
          <w:p w14:paraId="4B2F08E6" w14:textId="1BD11756" w:rsidR="00E37383" w:rsidRPr="00216D56" w:rsidRDefault="48AED0DF" w:rsidP="00740A47">
            <w:pPr>
              <w:pStyle w:val="Bullet1"/>
            </w:pPr>
            <w:r>
              <w:t>notify the APSS where the funding to a contracted service is to be impacted and/or adjusted in their funding and service agreement</w:t>
            </w:r>
          </w:p>
          <w:p w14:paraId="66753CD7" w14:textId="77777777" w:rsidR="00E37383" w:rsidRDefault="48AED0DF" w:rsidP="00740A47">
            <w:pPr>
              <w:pStyle w:val="Bullet1"/>
            </w:pPr>
            <w:r>
              <w:t>assume the primary liaison role for the client until formal care plan coordination recommences</w:t>
            </w:r>
          </w:p>
          <w:p w14:paraId="3AABE36A" w14:textId="77777777" w:rsidR="00E37383" w:rsidRDefault="48AED0DF" w:rsidP="00740A47">
            <w:pPr>
              <w:pStyle w:val="Bullet1"/>
            </w:pPr>
            <w:r>
              <w:t>provide the panel with updates as requested</w:t>
            </w:r>
          </w:p>
          <w:p w14:paraId="6F403524" w14:textId="77777777" w:rsidR="00E37383" w:rsidRPr="00590061" w:rsidRDefault="48AED0DF" w:rsidP="00740A47">
            <w:pPr>
              <w:pStyle w:val="Bullet1"/>
            </w:pPr>
            <w:r>
              <w:t>ensure service provider engagement is maintained to enable effective recommencement of services once the suspension ends.</w:t>
            </w:r>
          </w:p>
        </w:tc>
      </w:tr>
    </w:tbl>
    <w:p w14:paraId="78268047" w14:textId="7EDBF466" w:rsidR="00E37383" w:rsidRPr="00745E4C" w:rsidRDefault="00E37383" w:rsidP="000E7482">
      <w:pPr>
        <w:pStyle w:val="Heading2"/>
        <w:numPr>
          <w:ilvl w:val="1"/>
          <w:numId w:val="12"/>
        </w:numPr>
      </w:pPr>
      <w:bookmarkStart w:id="277" w:name="_1egqt2p" w:colFirst="0" w:colLast="0"/>
      <w:bookmarkStart w:id="278" w:name="_3ygebqi" w:colFirst="0" w:colLast="0"/>
      <w:bookmarkStart w:id="279" w:name="_Toc32229278"/>
      <w:bookmarkStart w:id="280" w:name="_Toc65508245"/>
      <w:bookmarkStart w:id="281" w:name="_Toc112856245"/>
      <w:bookmarkStart w:id="282" w:name="_Toc125713726"/>
      <w:bookmarkStart w:id="283" w:name="_Toc137636768"/>
      <w:bookmarkStart w:id="284" w:name="_Toc145318605"/>
      <w:bookmarkEnd w:id="277"/>
      <w:bookmarkEnd w:id="278"/>
      <w:r w:rsidRPr="00745E4C">
        <w:t>Transition</w:t>
      </w:r>
      <w:r w:rsidR="008F3B98">
        <w:t xml:space="preserve"> and </w:t>
      </w:r>
      <w:r w:rsidRPr="00745E4C">
        <w:t>exit planning</w:t>
      </w:r>
      <w:bookmarkEnd w:id="279"/>
      <w:bookmarkEnd w:id="280"/>
      <w:bookmarkEnd w:id="281"/>
      <w:bookmarkEnd w:id="282"/>
      <w:bookmarkEnd w:id="283"/>
      <w:bookmarkEnd w:id="284"/>
    </w:p>
    <w:p w14:paraId="781408F1" w14:textId="341526CD" w:rsidR="00E37383" w:rsidRDefault="00E37383" w:rsidP="00E37383">
      <w:pPr>
        <w:pStyle w:val="Body"/>
      </w:pPr>
      <w:bookmarkStart w:id="285" w:name="_2dlolyb" w:colFirst="0" w:colLast="0"/>
      <w:bookmarkEnd w:id="285"/>
      <w:r>
        <w:t>Over the period of MACNI engagement</w:t>
      </w:r>
      <w:r w:rsidRPr="00745E4C">
        <w:t xml:space="preserve">, the </w:t>
      </w:r>
      <w:r>
        <w:t xml:space="preserve">Care Plan Coordinator </w:t>
      </w:r>
      <w:r w:rsidRPr="00745E4C">
        <w:t xml:space="preserve">is required to </w:t>
      </w:r>
      <w:r>
        <w:t>plan for the closure by considering future options and creating sustainable service responses.</w:t>
      </w:r>
      <w:r w:rsidRPr="00C23F38">
        <w:t xml:space="preserve"> </w:t>
      </w:r>
      <w:r w:rsidRPr="00745E4C">
        <w:t xml:space="preserve">This planning </w:t>
      </w:r>
      <w:r>
        <w:t xml:space="preserve">is undertaken </w:t>
      </w:r>
      <w:r w:rsidRPr="00745E4C">
        <w:t>with the</w:t>
      </w:r>
      <w:r>
        <w:t xml:space="preserve"> existing care team, potential future service providers and the relevant </w:t>
      </w:r>
      <w:r w:rsidRPr="00745E4C">
        <w:t>panel</w:t>
      </w:r>
      <w:r>
        <w:t>.</w:t>
      </w:r>
    </w:p>
    <w:p w14:paraId="6FBB6F28" w14:textId="71C857AB" w:rsidR="008F3B98" w:rsidRPr="00077666" w:rsidRDefault="00E37383" w:rsidP="008F3B98">
      <w:pPr>
        <w:pStyle w:val="Body"/>
      </w:pPr>
      <w:r w:rsidRPr="00745E4C">
        <w:t>The transition</w:t>
      </w:r>
      <w:r w:rsidR="008F3B98">
        <w:t xml:space="preserve"> </w:t>
      </w:r>
      <w:r w:rsidRPr="00745E4C">
        <w:t xml:space="preserve">exit plan </w:t>
      </w:r>
      <w:r>
        <w:t xml:space="preserve">describes adjustments to the </w:t>
      </w:r>
      <w:r w:rsidRPr="00745E4C">
        <w:t xml:space="preserve">services </w:t>
      </w:r>
      <w:r>
        <w:t xml:space="preserve">to be delivered to meet the needs of </w:t>
      </w:r>
      <w:r w:rsidRPr="00745E4C">
        <w:t>the client</w:t>
      </w:r>
      <w:r>
        <w:t>’s needs</w:t>
      </w:r>
      <w:r w:rsidRPr="00745E4C">
        <w:t xml:space="preserve"> </w:t>
      </w:r>
      <w:r>
        <w:t>from the closure of</w:t>
      </w:r>
      <w:r w:rsidRPr="00745E4C">
        <w:t xml:space="preserve"> MACNI. </w:t>
      </w:r>
      <w:r w:rsidR="008F3B98" w:rsidRPr="00745E4C">
        <w:t xml:space="preserve">The plan </w:t>
      </w:r>
      <w:r w:rsidR="008F3B98">
        <w:t>also describes the</w:t>
      </w:r>
      <w:r w:rsidR="008F3B98" w:rsidRPr="00745E4C">
        <w:t xml:space="preserve"> transition </w:t>
      </w:r>
      <w:r w:rsidR="008F3B98">
        <w:t xml:space="preserve">of supports </w:t>
      </w:r>
      <w:r w:rsidR="008F3B98" w:rsidRPr="00745E4C">
        <w:t xml:space="preserve">to </w:t>
      </w:r>
      <w:r w:rsidR="008F3B98" w:rsidRPr="00745E4C">
        <w:lastRenderedPageBreak/>
        <w:t xml:space="preserve">sustainable services and </w:t>
      </w:r>
      <w:r w:rsidR="008F3B98" w:rsidRPr="00077666">
        <w:t xml:space="preserve">supports in the community. </w:t>
      </w:r>
      <w:r w:rsidR="008F3B98">
        <w:t>T</w:t>
      </w:r>
      <w:r w:rsidR="008F3B98" w:rsidRPr="00077666">
        <w:t xml:space="preserve">he plan </w:t>
      </w:r>
      <w:r w:rsidR="008F3B98">
        <w:t xml:space="preserve">ideally involves </w:t>
      </w:r>
      <w:r w:rsidR="008F3B98" w:rsidRPr="00077666">
        <w:t xml:space="preserve">planned reductions in supports </w:t>
      </w:r>
      <w:r w:rsidR="008F3B98">
        <w:t>coordinated via</w:t>
      </w:r>
      <w:r w:rsidR="008F3B98" w:rsidRPr="00077666">
        <w:t xml:space="preserve"> the MACNI care plan. </w:t>
      </w:r>
    </w:p>
    <w:p w14:paraId="011C31CC" w14:textId="05102119" w:rsidR="00E37383" w:rsidRPr="008F3B98" w:rsidRDefault="00E37383" w:rsidP="00E37383">
      <w:pPr>
        <w:pStyle w:val="Body"/>
      </w:pPr>
      <w:r w:rsidRPr="00745E4C">
        <w:t>In the last six</w:t>
      </w:r>
      <w:r>
        <w:t xml:space="preserve"> </w:t>
      </w:r>
      <w:r w:rsidRPr="00745E4C">
        <w:t>months of MACNI, a transition</w:t>
      </w:r>
      <w:r w:rsidR="008F3B98">
        <w:t xml:space="preserve"> </w:t>
      </w:r>
      <w:r w:rsidRPr="00745E4C">
        <w:t xml:space="preserve">exit plan should be </w:t>
      </w:r>
      <w:r>
        <w:t>created</w:t>
      </w:r>
      <w:r w:rsidR="00B80FF0">
        <w:t>,</w:t>
      </w:r>
      <w:r w:rsidR="008F3B98">
        <w:t xml:space="preserve"> </w:t>
      </w:r>
      <w:r>
        <w:t>and implementation</w:t>
      </w:r>
      <w:r w:rsidR="008F3B98">
        <w:t xml:space="preserve"> </w:t>
      </w:r>
      <w:r>
        <w:t xml:space="preserve">commenced. </w:t>
      </w:r>
      <w:r w:rsidR="008F3B98" w:rsidRPr="00077666">
        <w:t xml:space="preserve">However, if the care team can successfully transition to sustainable services and achieve the care plan objectives within a shorter </w:t>
      </w:r>
      <w:r w:rsidR="008F3B98">
        <w:t>time</w:t>
      </w:r>
      <w:r w:rsidR="008F3B98" w:rsidRPr="00077666">
        <w:t xml:space="preserve">, the case can return to panel for closure earlier than the six-month period. </w:t>
      </w:r>
    </w:p>
    <w:p w14:paraId="634FF390" w14:textId="77777777" w:rsidR="00F1152B" w:rsidRPr="008F3B98"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0417AD3C" w14:textId="77777777" w:rsidTr="7DAFCD5E">
        <w:tc>
          <w:tcPr>
            <w:tcW w:w="0" w:type="auto"/>
            <w:shd w:val="clear" w:color="auto" w:fill="CCE9F8"/>
            <w:vAlign w:val="center"/>
          </w:tcPr>
          <w:p w14:paraId="31AF2192" w14:textId="77777777" w:rsidR="00E37383" w:rsidRPr="00F315FA" w:rsidRDefault="00E37383">
            <w:pPr>
              <w:pStyle w:val="Body"/>
            </w:pPr>
            <w:r>
              <w:rPr>
                <w:noProof/>
              </w:rPr>
              <w:drawing>
                <wp:inline distT="0" distB="0" distL="0" distR="0" wp14:anchorId="7B35F146" wp14:editId="0BEA2D52">
                  <wp:extent cx="540000" cy="540000"/>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6A7BC4D" w14:textId="77777777" w:rsidR="00E37383" w:rsidRPr="00F315FA" w:rsidRDefault="00E37383">
            <w:pPr>
              <w:pStyle w:val="Tablecolhead"/>
              <w:rPr>
                <w:rFonts w:eastAsia="Arial"/>
              </w:rPr>
            </w:pPr>
            <w:r w:rsidRPr="00F315FA">
              <w:rPr>
                <w:rFonts w:eastAsia="Arial"/>
              </w:rPr>
              <w:t>Documentation required</w:t>
            </w:r>
          </w:p>
          <w:p w14:paraId="0BEFA849" w14:textId="54CCDC95" w:rsidR="00E37383" w:rsidRPr="007177B1" w:rsidRDefault="00A731C8" w:rsidP="00740A47">
            <w:pPr>
              <w:pStyle w:val="Bullet1"/>
            </w:pPr>
            <w:r>
              <w:t xml:space="preserve">4 </w:t>
            </w:r>
            <w:r w:rsidR="48AED0DF">
              <w:t xml:space="preserve">MACNI </w:t>
            </w:r>
            <w:r w:rsidR="00B80FF0">
              <w:t xml:space="preserve">Transition / Exit Plan </w:t>
            </w:r>
            <w:r w:rsidR="48AED0DF">
              <w:t>(reflecting transition arrangements and supports upon closure).</w:t>
            </w:r>
          </w:p>
        </w:tc>
      </w:tr>
    </w:tbl>
    <w:p w14:paraId="1B5D952D"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42A22AAA" w14:textId="77777777" w:rsidTr="7DAFCD5E">
        <w:tc>
          <w:tcPr>
            <w:tcW w:w="0" w:type="auto"/>
            <w:shd w:val="clear" w:color="auto" w:fill="99D3F0"/>
            <w:vAlign w:val="center"/>
          </w:tcPr>
          <w:p w14:paraId="7030AE48" w14:textId="77777777" w:rsidR="00E37383" w:rsidRDefault="00E37383">
            <w:pPr>
              <w:pStyle w:val="Body"/>
            </w:pPr>
            <w:r>
              <w:rPr>
                <w:noProof/>
              </w:rPr>
              <w:drawing>
                <wp:inline distT="0" distB="0" distL="0" distR="0" wp14:anchorId="4DB3C3E9" wp14:editId="31D967CD">
                  <wp:extent cx="540000" cy="5400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69AFAEE" w14:textId="77777777" w:rsidR="00E37383" w:rsidRDefault="00E37383">
            <w:pPr>
              <w:pStyle w:val="Tablecolhead"/>
            </w:pPr>
            <w:r>
              <w:t>Coordinator tasks</w:t>
            </w:r>
          </w:p>
          <w:p w14:paraId="52993495" w14:textId="77777777" w:rsidR="00E37383" w:rsidRPr="00590061" w:rsidRDefault="48AED0DF" w:rsidP="00740A47">
            <w:pPr>
              <w:pStyle w:val="Bullet1"/>
            </w:pPr>
            <w:r>
              <w:t>provide guidance and support the Care Plan Coordinator to identify sustainable supports in the community</w:t>
            </w:r>
          </w:p>
          <w:p w14:paraId="5A8313D7" w14:textId="6FAFFC4A" w:rsidR="00E37383" w:rsidRPr="00077666" w:rsidRDefault="48AED0DF" w:rsidP="00740A47">
            <w:pPr>
              <w:pStyle w:val="Bullet1"/>
            </w:pPr>
            <w:r>
              <w:t>ensure MACNI clients have a transition/exit plan recommended by the Complex Needs Panel at least six months prior to expected care plan termination</w:t>
            </w:r>
          </w:p>
          <w:p w14:paraId="719D0588" w14:textId="77777777" w:rsidR="00E37383" w:rsidRPr="00077666" w:rsidRDefault="48AED0DF" w:rsidP="00740A47">
            <w:pPr>
              <w:pStyle w:val="Bullet1"/>
            </w:pPr>
            <w:r>
              <w:t>ensure the case returns to panel where closure can be endorsed (within a six-month period)</w:t>
            </w:r>
          </w:p>
          <w:p w14:paraId="2FEA17DC" w14:textId="77777777" w:rsidR="00E37383" w:rsidRDefault="48AED0DF" w:rsidP="00740A47">
            <w:pPr>
              <w:pStyle w:val="Bullet1"/>
            </w:pPr>
            <w:r>
              <w:t>update SharePoint client database, ensuring the exit/transition plan date is recorded.</w:t>
            </w:r>
          </w:p>
        </w:tc>
      </w:tr>
    </w:tbl>
    <w:p w14:paraId="624B8A22" w14:textId="76E74CE2" w:rsidR="00E37383" w:rsidRDefault="00E37383" w:rsidP="000E7482">
      <w:pPr>
        <w:pStyle w:val="Heading2"/>
        <w:numPr>
          <w:ilvl w:val="1"/>
          <w:numId w:val="12"/>
        </w:numPr>
      </w:pPr>
      <w:bookmarkStart w:id="286" w:name="_sqyw64" w:colFirst="0" w:colLast="0"/>
      <w:bookmarkStart w:id="287" w:name="_Toc32229279"/>
      <w:bookmarkStart w:id="288" w:name="_Toc65508246"/>
      <w:bookmarkStart w:id="289" w:name="_Toc112856246"/>
      <w:bookmarkStart w:id="290" w:name="_Toc125713727"/>
      <w:bookmarkStart w:id="291" w:name="_Toc137636769"/>
      <w:bookmarkStart w:id="292" w:name="_Toc145318606"/>
      <w:bookmarkEnd w:id="286"/>
      <w:r>
        <w:t>Care plan closure</w:t>
      </w:r>
      <w:bookmarkEnd w:id="287"/>
      <w:bookmarkEnd w:id="288"/>
      <w:bookmarkEnd w:id="289"/>
      <w:bookmarkEnd w:id="290"/>
      <w:bookmarkEnd w:id="291"/>
      <w:bookmarkEnd w:id="292"/>
    </w:p>
    <w:p w14:paraId="06FF140B" w14:textId="15BA30C5" w:rsidR="00E37383" w:rsidRDefault="00E37383" w:rsidP="00E37383">
      <w:pPr>
        <w:pStyle w:val="Body"/>
      </w:pPr>
      <w:r>
        <w:t xml:space="preserve">The panel recommends to the </w:t>
      </w:r>
      <w:r w:rsidR="008F3B98">
        <w:t xml:space="preserve">Area </w:t>
      </w:r>
      <w:r>
        <w:t xml:space="preserve">Executive Director </w:t>
      </w:r>
      <w:r w:rsidR="008F3B98">
        <w:t>for</w:t>
      </w:r>
      <w:r>
        <w:t xml:space="preserve"> care plan</w:t>
      </w:r>
      <w:r w:rsidR="008F3B98">
        <w:t xml:space="preserve"> closure</w:t>
      </w:r>
      <w:r>
        <w:t xml:space="preserve">. There are multiple circumstances in which a care plan is closed: </w:t>
      </w:r>
    </w:p>
    <w:p w14:paraId="02B0ADBC" w14:textId="77777777" w:rsidR="00E37383" w:rsidRPr="007177B1" w:rsidRDefault="48AED0DF" w:rsidP="00740A47">
      <w:pPr>
        <w:pStyle w:val="Bullet1"/>
      </w:pPr>
      <w:r>
        <w:t>at any point in time if requested by the client</w:t>
      </w:r>
    </w:p>
    <w:p w14:paraId="4F05C091" w14:textId="77777777" w:rsidR="00E37383" w:rsidRPr="007177B1" w:rsidRDefault="48AED0DF" w:rsidP="00740A47">
      <w:pPr>
        <w:pStyle w:val="Bullet1"/>
      </w:pPr>
      <w:r>
        <w:t>when the Care Plan Coordinator, care team and department, in consultation with the client, agree that the client’s needs/goals have been realised through the care plan</w:t>
      </w:r>
    </w:p>
    <w:p w14:paraId="2AB94828" w14:textId="77777777" w:rsidR="00E37383" w:rsidRPr="007177B1" w:rsidRDefault="48AED0DF" w:rsidP="00740A47">
      <w:pPr>
        <w:pStyle w:val="Bullet1"/>
      </w:pPr>
      <w:r>
        <w:t>when the Care Plan Coordinator, care team and department, in consultation with the client, it is agreed that the client’s needs/goals can no longer be realised through the care plan due to changes in circumstance for the client</w:t>
      </w:r>
    </w:p>
    <w:p w14:paraId="2111E9F8" w14:textId="77777777" w:rsidR="00E37383" w:rsidRDefault="48AED0DF" w:rsidP="00740A47">
      <w:pPr>
        <w:pStyle w:val="Bullet1"/>
      </w:pPr>
      <w:r>
        <w:t>when the care plan’s duration has reached the maximum duration of 36 months.</w:t>
      </w:r>
    </w:p>
    <w:p w14:paraId="474994DA" w14:textId="19968BD6" w:rsidR="00E37383" w:rsidRDefault="00E37383" w:rsidP="00E37383">
      <w:pPr>
        <w:pStyle w:val="Bodyafterbullets"/>
      </w:pPr>
      <w:r>
        <w:t>The Care Plan Coordinator is required to prepare a closure report to assist the final review of the care plan. The report is provided to the panel at the time the Care Plan Coordinator is recommending that MACNI cease involvement, or when the maximum three-year involvement in MACNI has been reached.</w:t>
      </w:r>
    </w:p>
    <w:p w14:paraId="6CE04D27" w14:textId="77777777" w:rsidR="00E37383" w:rsidRDefault="00E37383" w:rsidP="00E37383">
      <w:pPr>
        <w:pStyle w:val="Body"/>
      </w:pPr>
      <w:r>
        <w:t xml:space="preserve">The report reflects on the </w:t>
      </w:r>
      <w:r w:rsidRPr="00745E4C">
        <w:t>role MACNI has played in improving the client’s outcomes and enhancing service integration and collaboration. In addition, the closure report forms an assessment and analysis of the formal MACNI service period. There is an important emphasis on the progress of the client throughout the time with MACNI; the learnings gathered; identification of systemic issues; analysis/evaluation of interventions; the client’s perspective on what has been achieved; confirmation of continuing support arrangements (as relevant</w:t>
      </w:r>
      <w:r>
        <w:t>) and, any other future planning considerations.</w:t>
      </w:r>
    </w:p>
    <w:p w14:paraId="79126415" w14:textId="34C619D0" w:rsidR="00A33270" w:rsidRDefault="00A33270" w:rsidP="000E7482">
      <w:pPr>
        <w:pStyle w:val="Heading3"/>
        <w:numPr>
          <w:ilvl w:val="2"/>
          <w:numId w:val="12"/>
        </w:numPr>
      </w:pPr>
      <w:r>
        <w:lastRenderedPageBreak/>
        <w:t>Care plan closure acquittal</w:t>
      </w:r>
    </w:p>
    <w:p w14:paraId="0BCAE3D4" w14:textId="254AF9A2" w:rsidR="00A33270" w:rsidRPr="00A33270" w:rsidRDefault="00A33270" w:rsidP="00E37383">
      <w:pPr>
        <w:pStyle w:val="Body"/>
        <w:rPr>
          <w:rFonts w:eastAsia="Arial" w:cs="Arial"/>
          <w:color w:val="000000"/>
        </w:rPr>
      </w:pPr>
      <w:r w:rsidRPr="00C9067A">
        <w:t>At the termination or closure of a MACNI care plan, areas must ensure the care plan is reviewed, including the formal acquittal of allocated brokerage. In some cases, the use of approved brokerage may continue for a short period of time post-closure while in transition from MACNI to the existing service system. It is the responsibility of the Complex Needs Coordinator to continue to monitor and ensure the</w:t>
      </w:r>
      <w:r>
        <w:rPr>
          <w:rFonts w:eastAsia="Arial" w:cs="Arial"/>
          <w:color w:val="000000"/>
        </w:rPr>
        <w:t xml:space="preserve"> appropriate acquittal of MACNI commitments and expenditure is performed.</w:t>
      </w:r>
    </w:p>
    <w:p w14:paraId="73FCC8D3"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1F49AD07" w14:textId="77777777" w:rsidTr="7DAFCD5E">
        <w:tc>
          <w:tcPr>
            <w:tcW w:w="0" w:type="auto"/>
            <w:shd w:val="clear" w:color="auto" w:fill="CCE9F8"/>
            <w:vAlign w:val="center"/>
          </w:tcPr>
          <w:p w14:paraId="43B14A00" w14:textId="77777777" w:rsidR="00E37383" w:rsidRPr="00F315FA" w:rsidRDefault="00E37383">
            <w:pPr>
              <w:pStyle w:val="Body"/>
            </w:pPr>
            <w:r>
              <w:rPr>
                <w:noProof/>
              </w:rPr>
              <w:drawing>
                <wp:inline distT="0" distB="0" distL="0" distR="0" wp14:anchorId="481FDC0E" wp14:editId="7C6FE21C">
                  <wp:extent cx="540000" cy="540000"/>
                  <wp:effectExtent l="0" t="0" r="0" b="0"/>
                  <wp:docPr id="102" name="Pictur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0370CBE1" w14:textId="77777777" w:rsidR="00E37383" w:rsidRPr="00F315FA" w:rsidRDefault="00E37383">
            <w:pPr>
              <w:pStyle w:val="Tablecolhead"/>
              <w:rPr>
                <w:rFonts w:eastAsia="Arial"/>
              </w:rPr>
            </w:pPr>
            <w:r w:rsidRPr="00F315FA">
              <w:rPr>
                <w:rFonts w:eastAsia="Arial"/>
              </w:rPr>
              <w:t>Documentation required</w:t>
            </w:r>
          </w:p>
          <w:p w14:paraId="194A1D1B" w14:textId="41273D10" w:rsidR="00E37383" w:rsidRPr="007177B1" w:rsidRDefault="00A731C8" w:rsidP="00740A47">
            <w:pPr>
              <w:pStyle w:val="Bullet1"/>
            </w:pPr>
            <w:r>
              <w:t xml:space="preserve">4 </w:t>
            </w:r>
            <w:r w:rsidR="48AED0DF">
              <w:t>MACNI transition/exit plan (reflecting transition arrangements and supports upon closure)</w:t>
            </w:r>
          </w:p>
          <w:p w14:paraId="4B4B4849" w14:textId="7AAD8798" w:rsidR="00E37383" w:rsidRPr="007177B1" w:rsidRDefault="00A731C8" w:rsidP="00740A47">
            <w:pPr>
              <w:pStyle w:val="Bullet1"/>
            </w:pPr>
            <w:r>
              <w:t xml:space="preserve">6l </w:t>
            </w:r>
            <w:r w:rsidR="48AED0DF">
              <w:t xml:space="preserve">MACNI </w:t>
            </w:r>
            <w:r w:rsidR="0097325E">
              <w:t>Care Plan Closure Report</w:t>
            </w:r>
            <w:r w:rsidR="48AED0DF">
              <w:t>, including funding acquittal</w:t>
            </w:r>
          </w:p>
          <w:p w14:paraId="2220EA32" w14:textId="3CA12968" w:rsidR="00E37383" w:rsidRPr="007177B1" w:rsidRDefault="00A731C8" w:rsidP="00740A47">
            <w:pPr>
              <w:pStyle w:val="Bullet1"/>
            </w:pPr>
            <w:r>
              <w:t xml:space="preserve">8f </w:t>
            </w:r>
            <w:r w:rsidR="48AED0DF">
              <w:t xml:space="preserve">MACNI </w:t>
            </w:r>
            <w:r w:rsidR="0097325E">
              <w:t xml:space="preserve">Care Plan Closure Notification </w:t>
            </w:r>
            <w:r w:rsidR="48AED0DF">
              <w:t>– letter to client</w:t>
            </w:r>
          </w:p>
          <w:p w14:paraId="63C53330" w14:textId="0242FF06" w:rsidR="00E37383" w:rsidRPr="00F315FA" w:rsidRDefault="00A731C8" w:rsidP="00740A47">
            <w:pPr>
              <w:pStyle w:val="Bullet1"/>
            </w:pPr>
            <w:r>
              <w:t xml:space="preserve">8g </w:t>
            </w:r>
            <w:r w:rsidR="48AED0DF">
              <w:t xml:space="preserve">MACNI </w:t>
            </w:r>
            <w:r w:rsidR="0097325E">
              <w:t xml:space="preserve">Care Plan Closure Notification </w:t>
            </w:r>
            <w:r w:rsidR="48AED0DF">
              <w:t>– letter to services within the plan.</w:t>
            </w:r>
          </w:p>
        </w:tc>
      </w:tr>
    </w:tbl>
    <w:p w14:paraId="687FB14B" w14:textId="77777777" w:rsidR="00E37383"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6F77FF0E" w14:textId="77777777" w:rsidTr="7DAFCD5E">
        <w:tc>
          <w:tcPr>
            <w:tcW w:w="0" w:type="auto"/>
            <w:shd w:val="clear" w:color="auto" w:fill="99D3F0"/>
            <w:vAlign w:val="center"/>
          </w:tcPr>
          <w:p w14:paraId="05C17C97" w14:textId="77777777" w:rsidR="00E37383" w:rsidRDefault="00E37383">
            <w:pPr>
              <w:pStyle w:val="Body"/>
            </w:pPr>
            <w:r>
              <w:rPr>
                <w:noProof/>
              </w:rPr>
              <w:drawing>
                <wp:inline distT="0" distB="0" distL="0" distR="0" wp14:anchorId="736CCB15" wp14:editId="6B4246AD">
                  <wp:extent cx="540000" cy="540000"/>
                  <wp:effectExtent l="0" t="0" r="0" b="0"/>
                  <wp:docPr id="112" name="Pictur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AD5675F" w14:textId="77777777" w:rsidR="00E37383" w:rsidRDefault="00E37383">
            <w:pPr>
              <w:pStyle w:val="Tablecolhead"/>
            </w:pPr>
            <w:r>
              <w:t>Coordinator tasks</w:t>
            </w:r>
          </w:p>
          <w:p w14:paraId="17EBA266" w14:textId="24FEFD75" w:rsidR="00E37383" w:rsidRPr="00590061" w:rsidRDefault="48AED0DF" w:rsidP="00740A47">
            <w:pPr>
              <w:pStyle w:val="Bullet1"/>
            </w:pPr>
            <w:r>
              <w:t xml:space="preserve">ensure MACNI clients have a transition/exit plan recommended by the Complex Needs Panel at least six months prior to care plan termination </w:t>
            </w:r>
          </w:p>
          <w:p w14:paraId="6EF87EDD" w14:textId="21015460" w:rsidR="00A33270" w:rsidRPr="007177B1" w:rsidRDefault="48AED0DF" w:rsidP="00740A47">
            <w:pPr>
              <w:pStyle w:val="Bullet1"/>
            </w:pPr>
            <w:r>
              <w:t xml:space="preserve">ensure adherence to the closure report template </w:t>
            </w:r>
          </w:p>
          <w:p w14:paraId="37AEF852" w14:textId="05FA0781" w:rsidR="00E37383" w:rsidRPr="00FF5829" w:rsidRDefault="48AED0DF" w:rsidP="00740A47">
            <w:pPr>
              <w:pStyle w:val="Bullet1"/>
            </w:pPr>
            <w:r>
              <w:t xml:space="preserve">ensure all departmental actions are </w:t>
            </w:r>
            <w:r w:rsidR="0097325E">
              <w:t>completed for</w:t>
            </w:r>
            <w:r>
              <w:t xml:space="preserve"> the closure of the care plan:</w:t>
            </w:r>
          </w:p>
          <w:p w14:paraId="4E793BC7" w14:textId="77777777" w:rsidR="00E37383" w:rsidRPr="00100BB1" w:rsidRDefault="00E37383" w:rsidP="000E7482">
            <w:pPr>
              <w:pStyle w:val="Bullet2"/>
            </w:pPr>
            <w:r w:rsidRPr="00100BB1">
              <w:t>funding acquittal</w:t>
            </w:r>
          </w:p>
          <w:p w14:paraId="1BF720E7" w14:textId="77777777" w:rsidR="00E37383" w:rsidRPr="00100BB1" w:rsidRDefault="00E37383" w:rsidP="000E7482">
            <w:pPr>
              <w:pStyle w:val="Bullet2"/>
            </w:pPr>
            <w:r w:rsidRPr="00100BB1">
              <w:t>conclusion of funding to the care plan coordination service</w:t>
            </w:r>
          </w:p>
          <w:p w14:paraId="72B60F10" w14:textId="77777777" w:rsidR="00E37383" w:rsidRPr="00074B5A" w:rsidRDefault="00E37383" w:rsidP="000E7482">
            <w:pPr>
              <w:pStyle w:val="Bullet2"/>
            </w:pPr>
            <w:r w:rsidRPr="00074B5A">
              <w:t>completion of data and record management requirements</w:t>
            </w:r>
          </w:p>
          <w:p w14:paraId="4D6CCE26" w14:textId="77777777" w:rsidR="00E37383" w:rsidRPr="00074B5A" w:rsidRDefault="48AED0DF" w:rsidP="00740A47">
            <w:pPr>
              <w:pStyle w:val="Bullet1"/>
            </w:pPr>
            <w:r>
              <w:t xml:space="preserve">prepare and send care plan closure notification letter to the client and services identified in the care plan </w:t>
            </w:r>
          </w:p>
          <w:p w14:paraId="622D7306" w14:textId="77777777" w:rsidR="00E37383" w:rsidRPr="00F6055C" w:rsidRDefault="48AED0DF" w:rsidP="00740A47">
            <w:pPr>
              <w:pStyle w:val="Bullet1"/>
            </w:pPr>
            <w:r>
              <w:t xml:space="preserve">ensure a copy of the closure report is sent to the Manager, Complex Needs Team </w:t>
            </w:r>
          </w:p>
          <w:p w14:paraId="04A2AA9D" w14:textId="7FA67E05" w:rsidR="00E37383" w:rsidRDefault="48AED0DF" w:rsidP="00740A47">
            <w:pPr>
              <w:pStyle w:val="Bullet1"/>
            </w:pPr>
            <w:r>
              <w:t>update the SharePoint client database, ensuring the closure date is recorded. If required, create a new line reflecting a period of Post-MACNI support (</w:t>
            </w:r>
            <w:r w:rsidRPr="006E79C8">
              <w:t xml:space="preserve">section </w:t>
            </w:r>
            <w:r w:rsidR="00E9080E" w:rsidRPr="006E79C8">
              <w:t>7.13</w:t>
            </w:r>
            <w:r w:rsidRPr="006E79C8">
              <w:t>).</w:t>
            </w:r>
          </w:p>
        </w:tc>
      </w:tr>
    </w:tbl>
    <w:p w14:paraId="6980BADD" w14:textId="0A12F152" w:rsidR="00E37383" w:rsidRDefault="00E37383" w:rsidP="000E7482">
      <w:pPr>
        <w:pStyle w:val="Heading2"/>
        <w:numPr>
          <w:ilvl w:val="1"/>
          <w:numId w:val="12"/>
        </w:numPr>
      </w:pPr>
      <w:bookmarkStart w:id="293" w:name="_Toc32229319"/>
      <w:bookmarkStart w:id="294" w:name="_Toc65508289"/>
      <w:bookmarkStart w:id="295" w:name="_Toc112856292"/>
      <w:bookmarkStart w:id="296" w:name="_Toc125713776"/>
      <w:bookmarkStart w:id="297" w:name="_Toc137636770"/>
      <w:bookmarkStart w:id="298" w:name="_Toc32229280"/>
      <w:bookmarkStart w:id="299" w:name="_Toc65508247"/>
      <w:bookmarkStart w:id="300" w:name="_Toc112856247"/>
      <w:bookmarkStart w:id="301" w:name="_Toc125713728"/>
      <w:bookmarkStart w:id="302" w:name="_Toc145318607"/>
      <w:r>
        <w:t>Appeal of MACNI service decisions</w:t>
      </w:r>
      <w:bookmarkEnd w:id="293"/>
      <w:bookmarkEnd w:id="294"/>
      <w:bookmarkEnd w:id="295"/>
      <w:bookmarkEnd w:id="296"/>
      <w:bookmarkEnd w:id="297"/>
      <w:bookmarkEnd w:id="302"/>
    </w:p>
    <w:p w14:paraId="0A8D9704" w14:textId="77777777" w:rsidR="00E37383" w:rsidRPr="004D6206" w:rsidRDefault="00E37383" w:rsidP="00E37383">
      <w:pPr>
        <w:pStyle w:val="Body"/>
      </w:pPr>
      <w:r w:rsidRPr="004D6206">
        <w:t>MACNI clients may appeal or request a review of actions relating to a departmental action that the client believes has/will adversely and directly affect them. The following events in the MACNI service model may result in an appeal by a client:</w:t>
      </w:r>
    </w:p>
    <w:p w14:paraId="74E7290D" w14:textId="77777777" w:rsidR="00E37383" w:rsidRPr="0097325E" w:rsidRDefault="48AED0DF" w:rsidP="00740A47">
      <w:pPr>
        <w:pStyle w:val="Bullet1"/>
      </w:pPr>
      <w:r w:rsidRPr="0097325E">
        <w:t>eligibility determination</w:t>
      </w:r>
    </w:p>
    <w:p w14:paraId="631EC531" w14:textId="77777777" w:rsidR="00E37383" w:rsidRPr="0097325E" w:rsidRDefault="48AED0DF" w:rsidP="00740A47">
      <w:pPr>
        <w:pStyle w:val="Bullet1"/>
      </w:pPr>
      <w:r w:rsidRPr="0097325E">
        <w:t>care plan content and approval</w:t>
      </w:r>
    </w:p>
    <w:p w14:paraId="2E7FD12D" w14:textId="77777777" w:rsidR="00E37383" w:rsidRPr="0097325E" w:rsidRDefault="48AED0DF" w:rsidP="00740A47">
      <w:pPr>
        <w:pStyle w:val="Bullet1"/>
      </w:pPr>
      <w:r w:rsidRPr="0097325E">
        <w:t>care plan review</w:t>
      </w:r>
    </w:p>
    <w:p w14:paraId="78888628" w14:textId="77777777" w:rsidR="00E37383" w:rsidRPr="0097325E" w:rsidRDefault="48AED0DF" w:rsidP="00740A47">
      <w:pPr>
        <w:pStyle w:val="Bullet1"/>
      </w:pPr>
      <w:r w:rsidRPr="0097325E">
        <w:t>care plan suspension</w:t>
      </w:r>
    </w:p>
    <w:p w14:paraId="288FB26E" w14:textId="77777777" w:rsidR="00E37383" w:rsidRPr="0097325E" w:rsidRDefault="48AED0DF" w:rsidP="006A790B">
      <w:pPr>
        <w:pStyle w:val="lastbullett"/>
      </w:pPr>
      <w:r w:rsidRPr="0097325E">
        <w:t>care plan closure.</w:t>
      </w:r>
    </w:p>
    <w:p w14:paraId="2BBCF037" w14:textId="77777777" w:rsidR="00E37383" w:rsidRDefault="00E37383" w:rsidP="00E37383">
      <w:pPr>
        <w:pStyle w:val="Body"/>
      </w:pPr>
      <w:r>
        <w:t xml:space="preserve">A client may raise a request for appeal via any service provider engaged in the delivery of support, including the Care Plan Coordinator and/or the Complex Needs Coordinator. The client’s appeal may be verbal, in writing or another format that is accessible for them. Where an appeal by a client </w:t>
      </w:r>
      <w:r>
        <w:lastRenderedPageBreak/>
        <w:t>is indicated, the right to appeal should be actively supported for a resolution that is transparent and responsive to the issue raised.</w:t>
      </w:r>
    </w:p>
    <w:p w14:paraId="0A58480C" w14:textId="77777777" w:rsidR="00E37383" w:rsidRDefault="00E37383" w:rsidP="00E37383">
      <w:pPr>
        <w:pStyle w:val="Body"/>
      </w:pPr>
      <w:r>
        <w:t>The Complex Needs Coordinator should schedule the appeal for an upcoming panel to consider and resolve through the provision of explanation, revised decision, feedback, rationale for decisions and/or apology.</w:t>
      </w:r>
    </w:p>
    <w:p w14:paraId="77D0B492" w14:textId="21B5004F" w:rsidR="00E37383" w:rsidRDefault="00E37383" w:rsidP="00E37383">
      <w:pPr>
        <w:pStyle w:val="Body"/>
      </w:pPr>
      <w:r>
        <w:t xml:space="preserve">Where a panel cannot resolve an appeal, the matter will be escalated to the relevant </w:t>
      </w:r>
      <w:r w:rsidR="00B252A9">
        <w:t xml:space="preserve">Area </w:t>
      </w:r>
      <w:r>
        <w:t>Executive Director to assist with resolution.</w:t>
      </w:r>
    </w:p>
    <w:p w14:paraId="1CAC386E" w14:textId="1BA0C5B7" w:rsidR="00E37383" w:rsidRDefault="00E37383" w:rsidP="00E37383">
      <w:pPr>
        <w:pStyle w:val="Body"/>
      </w:pPr>
      <w:r>
        <w:t xml:space="preserve">Where an Area Executive Director is unable to resolve an appeal, the matter </w:t>
      </w:r>
      <w:r w:rsidR="0097325E">
        <w:t>is</w:t>
      </w:r>
      <w:r>
        <w:t xml:space="preserve"> escalated to the Manager, Complex Needs team</w:t>
      </w:r>
      <w:r w:rsidR="0097325E">
        <w:t xml:space="preserve"> for the </w:t>
      </w:r>
      <w:r w:rsidR="0097325E" w:rsidRPr="005B54F1">
        <w:t>Executive Director</w:t>
      </w:r>
      <w:r w:rsidR="006D04D6" w:rsidRPr="006E1925">
        <w:t>,</w:t>
      </w:r>
      <w:r w:rsidR="0097325E" w:rsidRPr="005B54F1">
        <w:t xml:space="preserve"> </w:t>
      </w:r>
      <w:r w:rsidR="008770D8" w:rsidRPr="005B54F1">
        <w:t xml:space="preserve">Disability </w:t>
      </w:r>
      <w:r w:rsidR="005B54F1" w:rsidRPr="005B54F1">
        <w:t xml:space="preserve">Services </w:t>
      </w:r>
      <w:r w:rsidR="008770D8" w:rsidRPr="005B54F1">
        <w:t>Policy and</w:t>
      </w:r>
      <w:r w:rsidR="005B54F1" w:rsidRPr="005B54F1">
        <w:t xml:space="preserve"> Support </w:t>
      </w:r>
      <w:r w:rsidRPr="005B54F1">
        <w:t>to</w:t>
      </w:r>
      <w:r>
        <w:t xml:space="preserve"> review the matter.</w:t>
      </w:r>
    </w:p>
    <w:p w14:paraId="15FDA350" w14:textId="25B68995" w:rsidR="00E37383" w:rsidRPr="00A53E05" w:rsidRDefault="00E37383" w:rsidP="000E7482">
      <w:pPr>
        <w:pStyle w:val="Heading2"/>
        <w:numPr>
          <w:ilvl w:val="1"/>
          <w:numId w:val="12"/>
        </w:numPr>
      </w:pPr>
      <w:bookmarkStart w:id="303" w:name="_Toc137636771"/>
      <w:bookmarkStart w:id="304" w:name="_Toc145318608"/>
      <w:r>
        <w:t>Post-MACNI support</w:t>
      </w:r>
      <w:bookmarkEnd w:id="298"/>
      <w:bookmarkEnd w:id="299"/>
      <w:bookmarkEnd w:id="300"/>
      <w:bookmarkEnd w:id="301"/>
      <w:bookmarkEnd w:id="303"/>
      <w:bookmarkEnd w:id="304"/>
    </w:p>
    <w:p w14:paraId="3E6EF540" w14:textId="55CF8D55" w:rsidR="00E37383" w:rsidRDefault="00E37383" w:rsidP="00E37383">
      <w:pPr>
        <w:pStyle w:val="Body"/>
      </w:pPr>
      <w:r>
        <w:t xml:space="preserve">For a small number of MACNI clients, the full transition to sustainable engagement with the existing service system is not able to be </w:t>
      </w:r>
      <w:r w:rsidR="0097325E">
        <w:t xml:space="preserve">achieved </w:t>
      </w:r>
      <w:r>
        <w:t>by the closure of the MACNI care plan, particularly where the plan has been in place for the maximum period of 36-months.</w:t>
      </w:r>
    </w:p>
    <w:p w14:paraId="41C37323" w14:textId="04B2B0C9" w:rsidR="00E37383" w:rsidRDefault="00E37383" w:rsidP="00E37383">
      <w:pPr>
        <w:pStyle w:val="Body"/>
      </w:pPr>
      <w:r>
        <w:t xml:space="preserve">The department and services engaged in the care plan will continue to </w:t>
      </w:r>
      <w:r w:rsidR="0097325E">
        <w:t xml:space="preserve">be engaged </w:t>
      </w:r>
      <w:r>
        <w:t>for a</w:t>
      </w:r>
      <w:r w:rsidR="0097325E">
        <w:t xml:space="preserve"> </w:t>
      </w:r>
      <w:r>
        <w:t xml:space="preserve">limited </w:t>
      </w:r>
      <w:r w:rsidRPr="000E004E">
        <w:t xml:space="preserve">period (3 months) to </w:t>
      </w:r>
      <w:r>
        <w:t>ensure the effective integration of the client into the existing service system.</w:t>
      </w:r>
    </w:p>
    <w:p w14:paraId="0224EC39" w14:textId="5634BD40" w:rsidR="00E37383" w:rsidRPr="00077666" w:rsidRDefault="00E37383" w:rsidP="00E37383">
      <w:pPr>
        <w:pStyle w:val="Body"/>
      </w:pPr>
      <w:r w:rsidRPr="00E3509B">
        <w:t xml:space="preserve">In some cases, the use of approved </w:t>
      </w:r>
      <w:r>
        <w:t>brokerage</w:t>
      </w:r>
      <w:r w:rsidRPr="00E3509B">
        <w:t xml:space="preserve"> may continue for a short period post</w:t>
      </w:r>
      <w:r>
        <w:t>-</w:t>
      </w:r>
      <w:r w:rsidRPr="00E3509B">
        <w:t xml:space="preserve">closure while in transition from MACNI to </w:t>
      </w:r>
      <w:r>
        <w:t>the standard</w:t>
      </w:r>
      <w:r w:rsidRPr="00E3509B">
        <w:t xml:space="preserve"> </w:t>
      </w:r>
      <w:r w:rsidRPr="00077666">
        <w:t xml:space="preserve">service system. </w:t>
      </w:r>
    </w:p>
    <w:p w14:paraId="1B41D0E5" w14:textId="433B9C97" w:rsidR="00E37383" w:rsidRPr="004B14F8" w:rsidRDefault="00E37383" w:rsidP="00E37383">
      <w:pPr>
        <w:pStyle w:val="Body"/>
      </w:pPr>
      <w:r w:rsidRPr="00077666">
        <w:t xml:space="preserve">Information sharing provisions under the </w:t>
      </w:r>
      <w:r w:rsidRPr="00077666">
        <w:rPr>
          <w:i/>
          <w:iCs/>
        </w:rPr>
        <w:t>Human Services (Complex Needs) Act 2009</w:t>
      </w:r>
      <w:r w:rsidRPr="00077666">
        <w:t xml:space="preserve"> do not apply to Post-MACNI clients, so Complex Needs Coordinators may be required to establish new agreements / understanding amongst those services that continue to provide a service to the client. </w:t>
      </w:r>
    </w:p>
    <w:p w14:paraId="63C4406B" w14:textId="77777777" w:rsidR="00F1152B" w:rsidRPr="004B14F8" w:rsidRDefault="00F1152B" w:rsidP="00E37383">
      <w:pPr>
        <w:pStyle w:val="Body"/>
      </w:pPr>
    </w:p>
    <w:tbl>
      <w:tblPr>
        <w:tblStyle w:val="TableGrid"/>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16"/>
      </w:tblGrid>
      <w:tr w:rsidR="00E37383" w14:paraId="6D2EC46A" w14:textId="77777777" w:rsidTr="7DAFCD5E">
        <w:trPr>
          <w:trHeight w:val="1223"/>
        </w:trPr>
        <w:tc>
          <w:tcPr>
            <w:tcW w:w="0" w:type="auto"/>
            <w:shd w:val="clear" w:color="auto" w:fill="99D3F0"/>
            <w:vAlign w:val="center"/>
          </w:tcPr>
          <w:p w14:paraId="46F792A5" w14:textId="77777777" w:rsidR="00E37383" w:rsidRDefault="00E37383">
            <w:pPr>
              <w:pStyle w:val="Body"/>
            </w:pPr>
            <w:bookmarkStart w:id="305" w:name="_Hlk8981465"/>
            <w:r>
              <w:rPr>
                <w:noProof/>
              </w:rPr>
              <w:drawing>
                <wp:inline distT="0" distB="0" distL="0" distR="0" wp14:anchorId="3D932889" wp14:editId="689E5A73">
                  <wp:extent cx="540000" cy="540000"/>
                  <wp:effectExtent l="0" t="0" r="0" b="0"/>
                  <wp:docPr id="113" name="Picture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2C19949" w14:textId="77777777" w:rsidR="00E37383" w:rsidRDefault="00E37383">
            <w:pPr>
              <w:pStyle w:val="Tablecolhead"/>
            </w:pPr>
            <w:r>
              <w:t>Coordinator tasks</w:t>
            </w:r>
          </w:p>
          <w:p w14:paraId="78225B16" w14:textId="77777777" w:rsidR="00E37383" w:rsidRPr="000E1091" w:rsidRDefault="48AED0DF" w:rsidP="00740A47">
            <w:pPr>
              <w:pStyle w:val="Bullet1"/>
            </w:pPr>
            <w:r>
              <w:t>continue to monitor and acquit MACNI commitments and expenditure</w:t>
            </w:r>
          </w:p>
          <w:p w14:paraId="590D4577" w14:textId="77777777" w:rsidR="00E37383" w:rsidRDefault="48AED0DF" w:rsidP="00740A47">
            <w:pPr>
              <w:pStyle w:val="Bullet1"/>
            </w:pPr>
            <w:r>
              <w:t xml:space="preserve">update the SharePoint client and brokerage databases as required, ensuring all entries are recorded in the Post-MACNI support type. </w:t>
            </w:r>
          </w:p>
        </w:tc>
      </w:tr>
    </w:tbl>
    <w:p w14:paraId="3631FCB6" w14:textId="77777777" w:rsidR="00E37383" w:rsidRPr="00745E4C" w:rsidRDefault="00E37383" w:rsidP="000E7482">
      <w:pPr>
        <w:pStyle w:val="Heading2"/>
        <w:numPr>
          <w:ilvl w:val="1"/>
          <w:numId w:val="12"/>
        </w:numPr>
      </w:pPr>
      <w:bookmarkStart w:id="306" w:name="_Toc32229337"/>
      <w:bookmarkStart w:id="307" w:name="_Toc65508308"/>
      <w:bookmarkStart w:id="308" w:name="_Toc112856316"/>
      <w:bookmarkStart w:id="309" w:name="_Toc125713800"/>
      <w:bookmarkStart w:id="310" w:name="_Toc137636772"/>
      <w:bookmarkStart w:id="311" w:name="_Toc145318609"/>
      <w:bookmarkEnd w:id="305"/>
      <w:r w:rsidRPr="00745E4C">
        <w:t>MACNI booklets</w:t>
      </w:r>
      <w:bookmarkEnd w:id="306"/>
      <w:bookmarkEnd w:id="307"/>
      <w:bookmarkEnd w:id="308"/>
      <w:bookmarkEnd w:id="309"/>
      <w:bookmarkEnd w:id="310"/>
      <w:bookmarkEnd w:id="311"/>
    </w:p>
    <w:p w14:paraId="36B8A2AA" w14:textId="4E587C68" w:rsidR="00E37383" w:rsidRPr="00745E4C" w:rsidRDefault="00E37383" w:rsidP="00E37383">
      <w:pPr>
        <w:pStyle w:val="Body"/>
      </w:pPr>
      <w:r w:rsidRPr="00745E4C">
        <w:t>In addition to th</w:t>
      </w:r>
      <w:r w:rsidR="0097325E">
        <w:t>is framework,</w:t>
      </w:r>
      <w:r w:rsidRPr="00745E4C">
        <w:t xml:space="preserve"> three booklets target specific audiences external to the department</w:t>
      </w:r>
      <w:r w:rsidR="0097325E">
        <w:t xml:space="preserve"> and are used to support client and sector engagement. </w:t>
      </w:r>
      <w:r>
        <w:t>These are</w:t>
      </w:r>
      <w:r w:rsidRPr="00745E4C">
        <w:t>:</w:t>
      </w:r>
    </w:p>
    <w:p w14:paraId="644537B6" w14:textId="77777777" w:rsidR="00E37383" w:rsidRPr="00745E4C" w:rsidRDefault="48AED0DF" w:rsidP="00740A47">
      <w:pPr>
        <w:pStyle w:val="Bullet1"/>
      </w:pPr>
      <w:r>
        <w:t>Getting it together: Multiple and Complex Needs Initiative (for service providers and/or carers)</w:t>
      </w:r>
    </w:p>
    <w:p w14:paraId="4E7726CB" w14:textId="33A97913" w:rsidR="00E37383" w:rsidRPr="00745E4C" w:rsidRDefault="48AED0DF" w:rsidP="00740A47">
      <w:pPr>
        <w:pStyle w:val="Bullet1"/>
      </w:pPr>
      <w:r>
        <w:t>Care plan coordination: A guide for service providers on the Multiple and Complex Needs Initiative (for Care Plan Coordinator</w:t>
      </w:r>
      <w:r w:rsidR="0097325E">
        <w:t>s</w:t>
      </w:r>
      <w:r>
        <w:t>)</w:t>
      </w:r>
    </w:p>
    <w:p w14:paraId="44B6E6B7" w14:textId="1E013757" w:rsidR="00C2285A" w:rsidRDefault="48AED0DF" w:rsidP="00740A47">
      <w:pPr>
        <w:pStyle w:val="Bullet1"/>
      </w:pPr>
      <w:r>
        <w:t>Support for you: How the Multiple and Complex Needs Initiative can assist you (for clients).</w:t>
      </w:r>
      <w:bookmarkStart w:id="312" w:name="_2pta16n" w:colFirst="0" w:colLast="0"/>
      <w:bookmarkStart w:id="313" w:name="_14ykbeg" w:colFirst="0" w:colLast="0"/>
      <w:bookmarkStart w:id="314" w:name="_3oy7u29" w:colFirst="0" w:colLast="0"/>
      <w:bookmarkStart w:id="315" w:name="_Toc65508266"/>
      <w:bookmarkStart w:id="316" w:name="_Toc85010764"/>
      <w:bookmarkStart w:id="317" w:name="_Toc137636774"/>
      <w:bookmarkEnd w:id="312"/>
      <w:bookmarkEnd w:id="313"/>
      <w:bookmarkEnd w:id="314"/>
    </w:p>
    <w:p w14:paraId="346DD265" w14:textId="77777777" w:rsidR="00164732" w:rsidRDefault="00164732">
      <w:pPr>
        <w:spacing w:after="0" w:line="240" w:lineRule="auto"/>
        <w:rPr>
          <w:rFonts w:eastAsia="MS Gothic" w:cs="Arial"/>
          <w:bCs/>
          <w:color w:val="201547"/>
          <w:kern w:val="32"/>
          <w:sz w:val="44"/>
          <w:szCs w:val="44"/>
        </w:rPr>
      </w:pPr>
      <w:r>
        <w:br w:type="page"/>
      </w:r>
    </w:p>
    <w:p w14:paraId="3258A764" w14:textId="65C79361" w:rsidR="00B05248" w:rsidRDefault="00E37383" w:rsidP="00843D94">
      <w:pPr>
        <w:pStyle w:val="Heading1"/>
        <w:numPr>
          <w:ilvl w:val="0"/>
          <w:numId w:val="24"/>
        </w:numPr>
        <w:ind w:left="709" w:hanging="709"/>
      </w:pPr>
      <w:bookmarkStart w:id="318" w:name="_Toc145318610"/>
      <w:r w:rsidRPr="0040658A">
        <w:lastRenderedPageBreak/>
        <w:t>Brokerage</w:t>
      </w:r>
      <w:bookmarkEnd w:id="315"/>
      <w:bookmarkEnd w:id="316"/>
      <w:bookmarkEnd w:id="317"/>
      <w:bookmarkEnd w:id="318"/>
    </w:p>
    <w:p w14:paraId="2A03C4BD" w14:textId="7C520119" w:rsidR="00A62481" w:rsidRPr="0039052F" w:rsidRDefault="00A34C76" w:rsidP="00164732">
      <w:pPr>
        <w:pStyle w:val="Body"/>
      </w:pPr>
      <w:r w:rsidRPr="0039052F">
        <w:t>Section 8.</w:t>
      </w:r>
      <w:r w:rsidR="002A3DC3" w:rsidRPr="0039052F">
        <w:t>2</w:t>
      </w:r>
      <w:r w:rsidRPr="0039052F">
        <w:t xml:space="preserve"> refers to the </w:t>
      </w:r>
      <w:r w:rsidR="002A3DC3" w:rsidRPr="0039052F">
        <w:t xml:space="preserve">specific </w:t>
      </w:r>
      <w:r w:rsidRPr="0039052F">
        <w:t xml:space="preserve">brokerage requirements for </w:t>
      </w:r>
      <w:r w:rsidR="00004DAE" w:rsidRPr="0039052F">
        <w:t xml:space="preserve">the </w:t>
      </w:r>
      <w:r w:rsidR="00BC24CE" w:rsidRPr="0039052F">
        <w:t>AOS</w:t>
      </w:r>
      <w:r w:rsidR="00004DAE" w:rsidRPr="0039052F">
        <w:t xml:space="preserve"> pilot program</w:t>
      </w:r>
      <w:r w:rsidR="00BC24CE" w:rsidRPr="0039052F">
        <w:t xml:space="preserve">. </w:t>
      </w:r>
    </w:p>
    <w:p w14:paraId="2FD13116" w14:textId="65F44087" w:rsidR="002A3DC3" w:rsidRDefault="00557EA1" w:rsidP="002A3DC3">
      <w:pPr>
        <w:pStyle w:val="Heading2"/>
        <w:numPr>
          <w:ilvl w:val="1"/>
          <w:numId w:val="28"/>
        </w:numPr>
      </w:pPr>
      <w:bookmarkStart w:id="319" w:name="_Toc145318611"/>
      <w:r>
        <w:t>Summary b</w:t>
      </w:r>
      <w:r w:rsidR="0048230C">
        <w:t xml:space="preserve">rokerage </w:t>
      </w:r>
      <w:r w:rsidR="002A3DC3">
        <w:t>responsibilities</w:t>
      </w:r>
      <w:bookmarkEnd w:id="319"/>
      <w:r w:rsidR="002A3DC3">
        <w:t xml:space="preserve"> </w:t>
      </w:r>
    </w:p>
    <w:p w14:paraId="0754F6F5" w14:textId="16880F82" w:rsidR="002A3DC3" w:rsidRDefault="002A3DC3" w:rsidP="002A3DC3">
      <w:pPr>
        <w:pStyle w:val="Body"/>
      </w:pPr>
      <w:r>
        <w:t>The following table sets out the responsibilities by role for b</w:t>
      </w:r>
      <w:r w:rsidR="00557EA1">
        <w:t xml:space="preserve">rokerage </w:t>
      </w:r>
      <w:r>
        <w:t>tasks and accountabilities.</w:t>
      </w:r>
    </w:p>
    <w:p w14:paraId="6192CB70" w14:textId="77777777" w:rsidR="002A3DC3" w:rsidRPr="00AC6760" w:rsidRDefault="002A3DC3" w:rsidP="002A3DC3">
      <w:pPr>
        <w:pStyle w:val="Figurecaption"/>
      </w:pPr>
      <w:r w:rsidRPr="00AC6760">
        <w:t>Roles and responsibilities for the management of complex needs brokerage</w:t>
      </w:r>
      <w:r>
        <w:t xml:space="preserve"> budget</w:t>
      </w:r>
    </w:p>
    <w:tbl>
      <w:tblPr>
        <w:tblStyle w:val="TableGrid"/>
        <w:tblW w:w="0" w:type="auto"/>
        <w:tblLook w:val="04A0" w:firstRow="1" w:lastRow="0" w:firstColumn="1" w:lastColumn="0" w:noHBand="0" w:noVBand="1"/>
      </w:tblPr>
      <w:tblGrid>
        <w:gridCol w:w="1985"/>
        <w:gridCol w:w="7303"/>
      </w:tblGrid>
      <w:tr w:rsidR="002A3DC3" w:rsidRPr="00AC6760" w14:paraId="2E512E14" w14:textId="77777777">
        <w:trPr>
          <w:tblHeader/>
        </w:trPr>
        <w:tc>
          <w:tcPr>
            <w:tcW w:w="0" w:type="auto"/>
            <w:shd w:val="clear" w:color="auto" w:fill="auto"/>
          </w:tcPr>
          <w:p w14:paraId="5793733F" w14:textId="77777777" w:rsidR="002A3DC3" w:rsidRPr="00AC6760" w:rsidRDefault="002A3DC3">
            <w:pPr>
              <w:pStyle w:val="Tablecolhead"/>
            </w:pPr>
            <w:r w:rsidRPr="00AC6760">
              <w:t>Position</w:t>
            </w:r>
          </w:p>
        </w:tc>
        <w:tc>
          <w:tcPr>
            <w:tcW w:w="0" w:type="auto"/>
            <w:shd w:val="clear" w:color="auto" w:fill="auto"/>
          </w:tcPr>
          <w:p w14:paraId="4EB91B17" w14:textId="77777777" w:rsidR="002A3DC3" w:rsidRPr="00AC6760" w:rsidRDefault="002A3DC3">
            <w:pPr>
              <w:pStyle w:val="Tablecolhead"/>
            </w:pPr>
            <w:r w:rsidRPr="00AC6760">
              <w:t>Responsibilities</w:t>
            </w:r>
          </w:p>
        </w:tc>
      </w:tr>
      <w:tr w:rsidR="002A3DC3" w:rsidRPr="00E459DA" w14:paraId="443986D4" w14:textId="77777777">
        <w:tc>
          <w:tcPr>
            <w:tcW w:w="0" w:type="auto"/>
          </w:tcPr>
          <w:p w14:paraId="7B617E3E" w14:textId="77777777" w:rsidR="002A3DC3" w:rsidRPr="00AC6760" w:rsidRDefault="002A3DC3">
            <w:pPr>
              <w:pStyle w:val="Tabletext"/>
            </w:pPr>
            <w:r>
              <w:t xml:space="preserve">Central </w:t>
            </w:r>
            <w:r w:rsidRPr="00AC6760">
              <w:t>Complex Needs Team</w:t>
            </w:r>
          </w:p>
        </w:tc>
        <w:tc>
          <w:tcPr>
            <w:tcW w:w="0" w:type="auto"/>
          </w:tcPr>
          <w:p w14:paraId="66350D94" w14:textId="653A5440" w:rsidR="002A3DC3" w:rsidRPr="00AC6760" w:rsidRDefault="002A3DC3">
            <w:pPr>
              <w:pStyle w:val="Tablebullet1"/>
              <w:numPr>
                <w:ilvl w:val="0"/>
                <w:numId w:val="14"/>
              </w:numPr>
            </w:pPr>
            <w:r>
              <w:t>develop and oversight of compliance to S</w:t>
            </w:r>
            <w:r w:rsidRPr="7DAFCD5E">
              <w:rPr>
                <w:i/>
                <w:iCs/>
              </w:rPr>
              <w:t xml:space="preserve">ervice provision framework: </w:t>
            </w:r>
            <w:r w:rsidR="00A77F7B">
              <w:rPr>
                <w:i/>
                <w:iCs/>
              </w:rPr>
              <w:t>c</w:t>
            </w:r>
            <w:r w:rsidRPr="7DAFCD5E">
              <w:rPr>
                <w:i/>
                <w:iCs/>
              </w:rPr>
              <w:t>omplex needs</w:t>
            </w:r>
            <w:r>
              <w:t xml:space="preserve"> (the Framework)</w:t>
            </w:r>
          </w:p>
          <w:p w14:paraId="1C56C6C0" w14:textId="77777777" w:rsidR="002A3DC3" w:rsidRDefault="002A3DC3">
            <w:pPr>
              <w:pStyle w:val="Tablebullet1"/>
              <w:numPr>
                <w:ilvl w:val="0"/>
                <w:numId w:val="14"/>
              </w:numPr>
            </w:pPr>
            <w:r>
              <w:t>budget allocation to divisions</w:t>
            </w:r>
          </w:p>
          <w:p w14:paraId="48138160" w14:textId="77777777" w:rsidR="002A3DC3" w:rsidRPr="00AC6760" w:rsidRDefault="002A3DC3">
            <w:pPr>
              <w:pStyle w:val="Tablebullet1"/>
              <w:numPr>
                <w:ilvl w:val="0"/>
                <w:numId w:val="14"/>
              </w:numPr>
            </w:pPr>
            <w:r>
              <w:t xml:space="preserve">request mid-year review information </w:t>
            </w:r>
          </w:p>
          <w:p w14:paraId="2F57209C" w14:textId="77777777" w:rsidR="002A3DC3" w:rsidRPr="00AC6760" w:rsidRDefault="002A3DC3">
            <w:pPr>
              <w:pStyle w:val="Tablebullet1"/>
              <w:numPr>
                <w:ilvl w:val="0"/>
                <w:numId w:val="14"/>
              </w:numPr>
            </w:pPr>
            <w:r>
              <w:t>consider requests for additional budget allocation from the divisions</w:t>
            </w:r>
          </w:p>
          <w:p w14:paraId="3C8AC741" w14:textId="77777777" w:rsidR="002A3DC3" w:rsidRPr="00AC6760" w:rsidRDefault="002A3DC3">
            <w:pPr>
              <w:pStyle w:val="Tablebullet1"/>
              <w:numPr>
                <w:ilvl w:val="0"/>
                <w:numId w:val="14"/>
              </w:numPr>
            </w:pPr>
            <w:r>
              <w:t xml:space="preserve">transfer of budget allocated following the mid-year review reconciliation </w:t>
            </w:r>
          </w:p>
          <w:p w14:paraId="330AE680" w14:textId="77777777" w:rsidR="002A3DC3" w:rsidRPr="00AC6760" w:rsidRDefault="002A3DC3">
            <w:pPr>
              <w:pStyle w:val="Tablebullet1"/>
              <w:numPr>
                <w:ilvl w:val="0"/>
                <w:numId w:val="14"/>
              </w:numPr>
            </w:pPr>
            <w:r>
              <w:t>oversight and management of the trust fund.</w:t>
            </w:r>
          </w:p>
        </w:tc>
      </w:tr>
      <w:tr w:rsidR="002A3DC3" w:rsidRPr="00E459DA" w14:paraId="0FA366EB" w14:textId="77777777">
        <w:tc>
          <w:tcPr>
            <w:tcW w:w="0" w:type="auto"/>
          </w:tcPr>
          <w:p w14:paraId="6DF6540C" w14:textId="77777777" w:rsidR="002A3DC3" w:rsidRPr="00E459DA" w:rsidRDefault="002A3DC3">
            <w:pPr>
              <w:pStyle w:val="Tabletext"/>
            </w:pPr>
            <w:r w:rsidRPr="00494C26">
              <w:t xml:space="preserve">Finance Manager, </w:t>
            </w:r>
            <w:r>
              <w:t>Division</w:t>
            </w:r>
          </w:p>
        </w:tc>
        <w:tc>
          <w:tcPr>
            <w:tcW w:w="0" w:type="auto"/>
          </w:tcPr>
          <w:p w14:paraId="1E0332D1" w14:textId="77777777" w:rsidR="002A3DC3" w:rsidRPr="00F83B54" w:rsidRDefault="002A3DC3">
            <w:pPr>
              <w:pStyle w:val="Tablebullet1"/>
              <w:numPr>
                <w:ilvl w:val="0"/>
                <w:numId w:val="14"/>
              </w:numPr>
            </w:pPr>
            <w:r>
              <w:t>oversight of the division budget allocation and area expenditure</w:t>
            </w:r>
          </w:p>
          <w:p w14:paraId="7BC14979" w14:textId="77777777" w:rsidR="002A3DC3" w:rsidRPr="00F83B54" w:rsidRDefault="002A3DC3">
            <w:pPr>
              <w:pStyle w:val="Tablebullet1"/>
              <w:numPr>
                <w:ilvl w:val="0"/>
                <w:numId w:val="14"/>
              </w:numPr>
            </w:pPr>
            <w:r>
              <w:t>monitor brokerage data reported in the Complex Support Application</w:t>
            </w:r>
          </w:p>
          <w:p w14:paraId="412CA716" w14:textId="77777777" w:rsidR="002A3DC3" w:rsidRPr="00F83B54" w:rsidRDefault="002A3DC3">
            <w:pPr>
              <w:pStyle w:val="Tablebullet1"/>
              <w:numPr>
                <w:ilvl w:val="0"/>
                <w:numId w:val="14"/>
              </w:numPr>
            </w:pPr>
            <w:r>
              <w:t>ensure the division budget is adhered to</w:t>
            </w:r>
          </w:p>
          <w:p w14:paraId="6912C1D8" w14:textId="77777777" w:rsidR="002A3DC3" w:rsidRPr="00F83B54" w:rsidRDefault="002A3DC3">
            <w:pPr>
              <w:pStyle w:val="Tablebullet1"/>
              <w:numPr>
                <w:ilvl w:val="0"/>
                <w:numId w:val="14"/>
              </w:numPr>
            </w:pPr>
            <w:r>
              <w:t>implement area business processes to reconcile brokerage data between Complex Support Application and financial records (SAMS2 and Oracle).</w:t>
            </w:r>
          </w:p>
        </w:tc>
      </w:tr>
      <w:tr w:rsidR="002A3DC3" w:rsidRPr="00E459DA" w14:paraId="3F902AB0" w14:textId="77777777">
        <w:tc>
          <w:tcPr>
            <w:tcW w:w="0" w:type="auto"/>
          </w:tcPr>
          <w:p w14:paraId="0AB00AFC" w14:textId="77777777" w:rsidR="002A3DC3" w:rsidRPr="00E459DA" w:rsidRDefault="002A3DC3">
            <w:pPr>
              <w:pStyle w:val="Tabletext"/>
            </w:pPr>
            <w:r>
              <w:t>Area Executive Director</w:t>
            </w:r>
          </w:p>
        </w:tc>
        <w:tc>
          <w:tcPr>
            <w:tcW w:w="0" w:type="auto"/>
          </w:tcPr>
          <w:p w14:paraId="1EA20F36" w14:textId="77777777" w:rsidR="002A3DC3" w:rsidRPr="00F83B54" w:rsidRDefault="002A3DC3">
            <w:pPr>
              <w:pStyle w:val="Tablebullet1"/>
              <w:numPr>
                <w:ilvl w:val="0"/>
                <w:numId w:val="14"/>
              </w:numPr>
            </w:pPr>
            <w:r>
              <w:t>oversight of area expenditure and processes to reconcile brokerage data</w:t>
            </w:r>
          </w:p>
          <w:p w14:paraId="4A2E3DCB" w14:textId="77777777" w:rsidR="002A3DC3" w:rsidRPr="00F83B54" w:rsidRDefault="002A3DC3">
            <w:pPr>
              <w:pStyle w:val="Tablebullet1"/>
              <w:numPr>
                <w:ilvl w:val="0"/>
                <w:numId w:val="14"/>
              </w:numPr>
            </w:pPr>
            <w:r>
              <w:t xml:space="preserve">perform financial delegation for all brokerage expenditure over $50,000 </w:t>
            </w:r>
          </w:p>
          <w:p w14:paraId="6B0570E8" w14:textId="77777777" w:rsidR="002A3DC3" w:rsidRDefault="002A3DC3">
            <w:pPr>
              <w:pStyle w:val="Tablebullet1"/>
              <w:numPr>
                <w:ilvl w:val="0"/>
                <w:numId w:val="14"/>
              </w:numPr>
            </w:pPr>
            <w:r w:rsidRPr="001D7F96">
              <w:t>ensure brokerage requests presented to Complex Needs Panel are within the allocated divisional complex needs budget</w:t>
            </w:r>
          </w:p>
          <w:p w14:paraId="4AC95E28" w14:textId="77777777" w:rsidR="002A3DC3" w:rsidRDefault="002A3DC3">
            <w:pPr>
              <w:pStyle w:val="Tablebullet1"/>
              <w:numPr>
                <w:ilvl w:val="0"/>
                <w:numId w:val="14"/>
              </w:numPr>
            </w:pPr>
            <w:r>
              <w:t xml:space="preserve">review the </w:t>
            </w:r>
            <w:r w:rsidRPr="00C75198">
              <w:t xml:space="preserve">Monthly Snapshot Report (developed by central Complex Needs </w:t>
            </w:r>
            <w:r>
              <w:t>T</w:t>
            </w:r>
            <w:r w:rsidRPr="00C75198">
              <w:t xml:space="preserve">eam for divisions) </w:t>
            </w:r>
            <w:r>
              <w:t xml:space="preserve">and the </w:t>
            </w:r>
            <w:r w:rsidRPr="00C75198">
              <w:t>7d Brokerage notification Form</w:t>
            </w:r>
            <w:r>
              <w:t xml:space="preserve">  </w:t>
            </w:r>
          </w:p>
          <w:p w14:paraId="2A2DF156" w14:textId="77777777" w:rsidR="002A3DC3" w:rsidRPr="00F83B54" w:rsidRDefault="002A3DC3">
            <w:pPr>
              <w:pStyle w:val="Tablebullet1"/>
              <w:numPr>
                <w:ilvl w:val="0"/>
                <w:numId w:val="14"/>
              </w:numPr>
            </w:pPr>
            <w:r>
              <w:t>monitor brokerage data as reported in the Complex Support Application.</w:t>
            </w:r>
          </w:p>
        </w:tc>
      </w:tr>
      <w:tr w:rsidR="002A3DC3" w:rsidRPr="00E459DA" w14:paraId="0ABF87CF" w14:textId="77777777">
        <w:tc>
          <w:tcPr>
            <w:tcW w:w="0" w:type="auto"/>
          </w:tcPr>
          <w:p w14:paraId="18C26F7E" w14:textId="77777777" w:rsidR="002A3DC3" w:rsidRPr="00E459DA" w:rsidRDefault="002A3DC3">
            <w:pPr>
              <w:pStyle w:val="Tabletext"/>
            </w:pPr>
            <w:r>
              <w:t>Manager, Client Support and Housing Services</w:t>
            </w:r>
          </w:p>
        </w:tc>
        <w:tc>
          <w:tcPr>
            <w:tcW w:w="0" w:type="auto"/>
          </w:tcPr>
          <w:p w14:paraId="763BE82C" w14:textId="77777777" w:rsidR="002A3DC3" w:rsidRDefault="002A3DC3">
            <w:pPr>
              <w:pStyle w:val="Tablebullet1"/>
              <w:numPr>
                <w:ilvl w:val="0"/>
                <w:numId w:val="14"/>
              </w:numPr>
            </w:pPr>
            <w:r>
              <w:t>support and oversight the Complex Needs Coordinator prior to / at commencement of the new financial year to project an annualised client brokerage requirement</w:t>
            </w:r>
          </w:p>
          <w:p w14:paraId="7346D10C" w14:textId="77777777" w:rsidR="002A3DC3" w:rsidRDefault="002A3DC3">
            <w:pPr>
              <w:pStyle w:val="Tablebullet1"/>
              <w:numPr>
                <w:ilvl w:val="0"/>
                <w:numId w:val="14"/>
              </w:numPr>
            </w:pPr>
            <w:r>
              <w:t>undertake quarterly and mid-year review with the Complex Needs Coordinator on the status of projected/allocated brokerage requirements</w:t>
            </w:r>
          </w:p>
          <w:p w14:paraId="7ECEBD4E" w14:textId="77777777" w:rsidR="002A3DC3" w:rsidRPr="00F83B54" w:rsidRDefault="002A3DC3">
            <w:pPr>
              <w:pStyle w:val="Tablebullet1"/>
              <w:numPr>
                <w:ilvl w:val="0"/>
                <w:numId w:val="14"/>
              </w:numPr>
            </w:pPr>
            <w:r>
              <w:t>ensure that complex needs expenditure is in-line with the Framework and departmental policies and procedures</w:t>
            </w:r>
          </w:p>
          <w:p w14:paraId="5C415497" w14:textId="77777777" w:rsidR="002A3DC3" w:rsidRPr="00F83B54" w:rsidRDefault="002A3DC3">
            <w:pPr>
              <w:pStyle w:val="Tablebullet1"/>
              <w:numPr>
                <w:ilvl w:val="0"/>
                <w:numId w:val="14"/>
              </w:numPr>
            </w:pPr>
            <w:r>
              <w:t xml:space="preserve">perform financial delegation for all brokerage expenditure under $50,000 </w:t>
            </w:r>
          </w:p>
          <w:p w14:paraId="51571D6A" w14:textId="77777777" w:rsidR="002A3DC3" w:rsidRPr="00F83B54" w:rsidRDefault="002A3DC3">
            <w:pPr>
              <w:pStyle w:val="Tablebullet1"/>
              <w:numPr>
                <w:ilvl w:val="0"/>
                <w:numId w:val="14"/>
              </w:numPr>
            </w:pPr>
            <w:r>
              <w:t>ensure that budgets are acquitted, and commitments are processed in a timely way and using appropriate cost codes</w:t>
            </w:r>
          </w:p>
          <w:p w14:paraId="16104F51" w14:textId="77777777" w:rsidR="002A3DC3" w:rsidRPr="00F83B54" w:rsidRDefault="002A3DC3">
            <w:pPr>
              <w:pStyle w:val="Tablebullet1"/>
              <w:numPr>
                <w:ilvl w:val="0"/>
                <w:numId w:val="14"/>
              </w:numPr>
            </w:pPr>
            <w:r>
              <w:t>monitor brokerage data as reported in the Complex Support Application.</w:t>
            </w:r>
          </w:p>
        </w:tc>
      </w:tr>
      <w:tr w:rsidR="002A3DC3" w:rsidRPr="00E459DA" w14:paraId="1E9D7BAF" w14:textId="77777777">
        <w:tc>
          <w:tcPr>
            <w:tcW w:w="0" w:type="auto"/>
          </w:tcPr>
          <w:p w14:paraId="70C9B835" w14:textId="77777777" w:rsidR="002A3DC3" w:rsidRPr="00E459DA" w:rsidRDefault="002A3DC3">
            <w:pPr>
              <w:pStyle w:val="Tabletext"/>
            </w:pPr>
            <w:r>
              <w:t>Complex Needs Panels</w:t>
            </w:r>
          </w:p>
        </w:tc>
        <w:tc>
          <w:tcPr>
            <w:tcW w:w="0" w:type="auto"/>
          </w:tcPr>
          <w:p w14:paraId="05ACC94F" w14:textId="77777777" w:rsidR="002A3DC3" w:rsidRPr="001D7F96" w:rsidRDefault="002A3DC3">
            <w:pPr>
              <w:pStyle w:val="Tablebullet1"/>
              <w:numPr>
                <w:ilvl w:val="0"/>
                <w:numId w:val="14"/>
              </w:numPr>
            </w:pPr>
            <w:r w:rsidRPr="001D7F96">
              <w:t>ensure that complex needs expenditure is in-line with the Framework</w:t>
            </w:r>
            <w:r w:rsidRPr="001D7F96">
              <w:rPr>
                <w:i/>
                <w:iCs/>
              </w:rPr>
              <w:t xml:space="preserve"> </w:t>
            </w:r>
            <w:r w:rsidRPr="001D7F96">
              <w:t>and departmental policies and procedures</w:t>
            </w:r>
          </w:p>
          <w:p w14:paraId="50B39F82" w14:textId="77777777" w:rsidR="002A3DC3" w:rsidRPr="00482DFF" w:rsidRDefault="002A3DC3">
            <w:pPr>
              <w:pStyle w:val="Tablebullet1"/>
              <w:numPr>
                <w:ilvl w:val="0"/>
                <w:numId w:val="14"/>
              </w:numPr>
            </w:pPr>
            <w:r w:rsidRPr="001D7F96">
              <w:t>receive noti</w:t>
            </w:r>
            <w:r>
              <w:t>ce</w:t>
            </w:r>
            <w:r w:rsidRPr="001D7F96">
              <w:t xml:space="preserve"> of complex needs brokerage expenditure of less than $25,000 and </w:t>
            </w:r>
            <w:r>
              <w:t>discuss</w:t>
            </w:r>
            <w:r w:rsidRPr="001D7F96">
              <w:t xml:space="preserve"> as appropriate</w:t>
            </w:r>
            <w:r>
              <w:t xml:space="preserve"> </w:t>
            </w:r>
            <w:r w:rsidRPr="00482DFF">
              <w:t>(7d Brokerage notification Form)</w:t>
            </w:r>
          </w:p>
          <w:p w14:paraId="15FB26D4" w14:textId="77777777" w:rsidR="002A3DC3" w:rsidRPr="001D7F96" w:rsidRDefault="002A3DC3">
            <w:pPr>
              <w:pStyle w:val="Tablebullet1"/>
              <w:numPr>
                <w:ilvl w:val="0"/>
                <w:numId w:val="14"/>
              </w:numPr>
            </w:pPr>
            <w:r w:rsidRPr="001D7F96">
              <w:lastRenderedPageBreak/>
              <w:t>review complex needs brokerage requests over $25,000</w:t>
            </w:r>
          </w:p>
          <w:p w14:paraId="5F0D5C5E" w14:textId="77777777" w:rsidR="002A3DC3" w:rsidRPr="00F83B54" w:rsidRDefault="002A3DC3">
            <w:pPr>
              <w:pStyle w:val="Tablebullet1"/>
              <w:numPr>
                <w:ilvl w:val="0"/>
                <w:numId w:val="14"/>
              </w:numPr>
            </w:pPr>
            <w:r w:rsidRPr="001D7F96">
              <w:t>recommend brokerage requests with consideration of available budget.</w:t>
            </w:r>
          </w:p>
        </w:tc>
      </w:tr>
      <w:tr w:rsidR="002A3DC3" w14:paraId="532F5A6A" w14:textId="77777777">
        <w:trPr>
          <w:trHeight w:val="300"/>
        </w:trPr>
        <w:tc>
          <w:tcPr>
            <w:tcW w:w="2061" w:type="dxa"/>
          </w:tcPr>
          <w:p w14:paraId="1A9EB3E1" w14:textId="77777777" w:rsidR="002A3DC3" w:rsidRDefault="002A3DC3">
            <w:pPr>
              <w:pStyle w:val="Tabletext"/>
            </w:pPr>
            <w:r>
              <w:lastRenderedPageBreak/>
              <w:t>Agency Performance and Systems Support</w:t>
            </w:r>
          </w:p>
          <w:p w14:paraId="55678745" w14:textId="77777777" w:rsidR="002A3DC3" w:rsidRDefault="002A3DC3">
            <w:pPr>
              <w:pStyle w:val="Tabletext"/>
            </w:pPr>
            <w:r>
              <w:t>(AOS only)</w:t>
            </w:r>
          </w:p>
        </w:tc>
        <w:tc>
          <w:tcPr>
            <w:tcW w:w="7227" w:type="dxa"/>
          </w:tcPr>
          <w:p w14:paraId="7FBD354F" w14:textId="77777777" w:rsidR="002A3DC3" w:rsidRDefault="002A3DC3">
            <w:pPr>
              <w:pStyle w:val="Tablebullet1"/>
            </w:pPr>
            <w:r>
              <w:t xml:space="preserve">monitor brokerage administration by the AOS service provider in line with their contractual obligations: </w:t>
            </w:r>
          </w:p>
          <w:p w14:paraId="18B31056" w14:textId="77777777" w:rsidR="002A3DC3" w:rsidRDefault="002A3DC3">
            <w:pPr>
              <w:pStyle w:val="Bullet2"/>
            </w:pPr>
            <w:r>
              <w:t>m</w:t>
            </w:r>
            <w:r w:rsidRPr="67C18456">
              <w:t xml:space="preserve">onthly reporting through Service Delivery Tracking (Funded Agency Channel) on the total brokerage expended </w:t>
            </w:r>
          </w:p>
          <w:p w14:paraId="288677CE" w14:textId="77777777" w:rsidR="002A3DC3" w:rsidRDefault="002A3DC3">
            <w:pPr>
              <w:pStyle w:val="Bullet2"/>
            </w:pPr>
            <w:r>
              <w:t>s</w:t>
            </w:r>
            <w:r w:rsidRPr="67C18456">
              <w:t xml:space="preserve">ubmission of brokerage acquittal (detailed) quarterly </w:t>
            </w:r>
          </w:p>
          <w:p w14:paraId="49AED507" w14:textId="77777777" w:rsidR="002A3DC3" w:rsidRDefault="002A3DC3">
            <w:pPr>
              <w:pStyle w:val="Tablebullet1"/>
              <w:numPr>
                <w:ilvl w:val="0"/>
                <w:numId w:val="14"/>
              </w:numPr>
              <w:spacing w:line="259" w:lineRule="auto"/>
            </w:pPr>
            <w:r>
              <w:t>meet with the AOS service provider and the Central Complex Needs Team to discuss adequacy of brokerage, whether the guidelines are fit for purpose and any recommendations around repurpose of unspent funds.</w:t>
            </w:r>
          </w:p>
        </w:tc>
      </w:tr>
      <w:tr w:rsidR="002A3DC3" w:rsidRPr="00E459DA" w14:paraId="7870803D" w14:textId="77777777">
        <w:tc>
          <w:tcPr>
            <w:tcW w:w="0" w:type="auto"/>
            <w:shd w:val="clear" w:color="auto" w:fill="99D3F0"/>
          </w:tcPr>
          <w:p w14:paraId="5AAC6B6C" w14:textId="77777777" w:rsidR="002A3DC3" w:rsidRDefault="002A3DC3">
            <w:pPr>
              <w:pStyle w:val="Tabletext"/>
            </w:pPr>
            <w:r>
              <w:t>Complex Needs Coordinator</w:t>
            </w:r>
          </w:p>
          <w:p w14:paraId="23A2030D" w14:textId="77777777" w:rsidR="002A3DC3" w:rsidRPr="00DC2CE4" w:rsidRDefault="002A3DC3">
            <w:pPr>
              <w:pStyle w:val="Tabletext"/>
            </w:pPr>
            <w:r>
              <w:rPr>
                <w:noProof/>
              </w:rPr>
              <w:drawing>
                <wp:inline distT="0" distB="0" distL="0" distR="0" wp14:anchorId="0D2D85A9" wp14:editId="1E00D482">
                  <wp:extent cx="540000" cy="540000"/>
                  <wp:effectExtent l="0" t="0" r="0" b="0"/>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95BC405" w14:textId="77777777" w:rsidR="002A3DC3" w:rsidRPr="00F83B54" w:rsidRDefault="002A3DC3">
            <w:pPr>
              <w:pStyle w:val="Tablebullet1"/>
              <w:numPr>
                <w:ilvl w:val="0"/>
                <w:numId w:val="14"/>
              </w:numPr>
            </w:pPr>
            <w:r>
              <w:t>ensure that complex needs expenditure is in-line with the Framework and departmental policies and procedures</w:t>
            </w:r>
          </w:p>
          <w:p w14:paraId="707BB36E" w14:textId="77777777" w:rsidR="002A3DC3" w:rsidRPr="00F83B54" w:rsidRDefault="002A3DC3">
            <w:pPr>
              <w:pStyle w:val="Tablebullet1"/>
              <w:numPr>
                <w:ilvl w:val="0"/>
                <w:numId w:val="14"/>
              </w:numPr>
            </w:pPr>
            <w:r>
              <w:t>meet with the Area Executive Director prior to panel to confirm all brokerage requests are within budget</w:t>
            </w:r>
          </w:p>
          <w:p w14:paraId="549F64F7" w14:textId="77777777" w:rsidR="002A3DC3" w:rsidRPr="00A86DFB" w:rsidRDefault="002A3DC3">
            <w:pPr>
              <w:pStyle w:val="Tablebullet1"/>
              <w:numPr>
                <w:ilvl w:val="0"/>
                <w:numId w:val="14"/>
              </w:numPr>
            </w:pPr>
            <w:r>
              <w:t xml:space="preserve">provide Complex Needs Panels with an accurate overview of the current complex needs budget </w:t>
            </w:r>
            <w:r w:rsidRPr="00A86DFB">
              <w:t>(Monthly Snapshot and 7d Brokerage notification Form).</w:t>
            </w:r>
          </w:p>
          <w:p w14:paraId="01F1480D" w14:textId="77777777" w:rsidR="002A3DC3" w:rsidRDefault="002A3DC3">
            <w:pPr>
              <w:pStyle w:val="Tablebullet1"/>
              <w:numPr>
                <w:ilvl w:val="0"/>
                <w:numId w:val="14"/>
              </w:numPr>
            </w:pPr>
            <w:r>
              <w:t>with the support and oversight of the CSHSM, prior to / on the financial year commencement project annualised client brokerage requirements</w:t>
            </w:r>
          </w:p>
          <w:p w14:paraId="2065D8EA" w14:textId="77777777" w:rsidR="002A3DC3" w:rsidRDefault="002A3DC3">
            <w:pPr>
              <w:pStyle w:val="Tablebullet1"/>
              <w:numPr>
                <w:ilvl w:val="0"/>
                <w:numId w:val="14"/>
              </w:numPr>
            </w:pPr>
            <w:r>
              <w:t>with the CSHSM, undertake quarterly and mid-year reviews on the status of projected/allocated brokerage requirements to ensure that budgets are acquitted, and commitments are processed using appropriate cost codes</w:t>
            </w:r>
          </w:p>
          <w:p w14:paraId="7E3F59B4" w14:textId="77777777" w:rsidR="002A3DC3" w:rsidRPr="00F83B54" w:rsidRDefault="002A3DC3">
            <w:pPr>
              <w:pStyle w:val="Tablebullet1"/>
              <w:numPr>
                <w:ilvl w:val="0"/>
                <w:numId w:val="14"/>
              </w:numPr>
            </w:pPr>
            <w:r>
              <w:t>determine the requirement for a service agreement / brokerage agreement</w:t>
            </w:r>
          </w:p>
          <w:p w14:paraId="5F615748" w14:textId="77777777" w:rsidR="002A3DC3" w:rsidRPr="00F83B54" w:rsidRDefault="002A3DC3">
            <w:pPr>
              <w:pStyle w:val="Tablebullet1"/>
              <w:numPr>
                <w:ilvl w:val="0"/>
                <w:numId w:val="14"/>
              </w:numPr>
            </w:pPr>
            <w:r>
              <w:t xml:space="preserve">check the current MACNI unit price on SAMS2 and calculate care plan development and </w:t>
            </w:r>
            <w:r w:rsidRPr="7DAFCD5E">
              <w:rPr>
                <w:lang w:eastAsia="en-AU"/>
              </w:rPr>
              <w:t xml:space="preserve">care plan coordination </w:t>
            </w:r>
            <w:r>
              <w:t>accordingly</w:t>
            </w:r>
          </w:p>
          <w:p w14:paraId="345E5FF7" w14:textId="77777777" w:rsidR="002A3DC3" w:rsidRPr="00F83B54" w:rsidRDefault="002A3DC3">
            <w:pPr>
              <w:pStyle w:val="Tablebullet1"/>
              <w:numPr>
                <w:ilvl w:val="0"/>
                <w:numId w:val="14"/>
              </w:numPr>
            </w:pPr>
            <w:r>
              <w:t>initiate the timely transfer of approved brokerage funding to contracted service providers via SAMS2 to improve budget management</w:t>
            </w:r>
          </w:p>
          <w:p w14:paraId="23945568" w14:textId="77777777" w:rsidR="002A3DC3" w:rsidRPr="002153E2" w:rsidRDefault="002A3DC3">
            <w:pPr>
              <w:pStyle w:val="Tablebullet1"/>
              <w:numPr>
                <w:ilvl w:val="0"/>
                <w:numId w:val="14"/>
              </w:numPr>
            </w:pPr>
            <w:r w:rsidRPr="002153E2">
              <w:t>update all brokerage allocation and expenditure in the SharePoint brokerage database each week (and as needed)</w:t>
            </w:r>
          </w:p>
          <w:p w14:paraId="0C9D45FC" w14:textId="77777777" w:rsidR="002A3DC3" w:rsidRPr="005220DC" w:rsidRDefault="002A3DC3">
            <w:pPr>
              <w:pStyle w:val="Tablebullet1"/>
              <w:numPr>
                <w:ilvl w:val="0"/>
                <w:numId w:val="14"/>
              </w:numPr>
            </w:pPr>
            <w:r>
              <w:t xml:space="preserve">ensure all reasonable projections for the financial year are included in the SharePoint brokerage database. For example, it is reasonable to project </w:t>
            </w:r>
            <w:r w:rsidRPr="7DAFCD5E">
              <w:rPr>
                <w:lang w:eastAsia="en-AU"/>
              </w:rPr>
              <w:t xml:space="preserve">care plan coordination </w:t>
            </w:r>
            <w:r>
              <w:t>for the remainder of the financial year for formal MACNI clients.</w:t>
            </w:r>
          </w:p>
          <w:p w14:paraId="089287CD" w14:textId="77777777" w:rsidR="002A3DC3" w:rsidRPr="00F83B54" w:rsidRDefault="002A3DC3">
            <w:pPr>
              <w:pStyle w:val="Tablebullet1"/>
              <w:numPr>
                <w:ilvl w:val="0"/>
                <w:numId w:val="14"/>
              </w:numPr>
            </w:pPr>
            <w:r>
              <w:t>undertake local area business processes to reconcile brokerage data as reported in the Complex Support Application (CSA) and DFFH financial records (SAMS2 and Oracle).</w:t>
            </w:r>
          </w:p>
        </w:tc>
      </w:tr>
      <w:tr w:rsidR="002A3DC3" w:rsidRPr="00E459DA" w14:paraId="191F90C7" w14:textId="77777777">
        <w:tc>
          <w:tcPr>
            <w:tcW w:w="0" w:type="auto"/>
          </w:tcPr>
          <w:p w14:paraId="0EF489EB" w14:textId="77777777" w:rsidR="002A3DC3" w:rsidRPr="00E459DA" w:rsidRDefault="002A3DC3">
            <w:pPr>
              <w:pStyle w:val="Tabletext"/>
            </w:pPr>
            <w:r>
              <w:t>MACNI Care Plan Coordinator</w:t>
            </w:r>
          </w:p>
        </w:tc>
        <w:tc>
          <w:tcPr>
            <w:tcW w:w="0" w:type="auto"/>
          </w:tcPr>
          <w:p w14:paraId="565BA342" w14:textId="77777777" w:rsidR="002A3DC3" w:rsidRDefault="002A3DC3">
            <w:pPr>
              <w:pStyle w:val="Tablebullet1"/>
              <w:numPr>
                <w:ilvl w:val="0"/>
                <w:numId w:val="14"/>
              </w:numPr>
            </w:pPr>
            <w:r>
              <w:t xml:space="preserve">seek quotes for service </w:t>
            </w:r>
          </w:p>
          <w:p w14:paraId="1492FF3C" w14:textId="77777777" w:rsidR="002A3DC3" w:rsidRDefault="002A3DC3">
            <w:pPr>
              <w:pStyle w:val="Tablebullet1"/>
              <w:numPr>
                <w:ilvl w:val="0"/>
                <w:numId w:val="14"/>
              </w:numPr>
            </w:pPr>
            <w:r>
              <w:t>request quotes and acquittals from service providers</w:t>
            </w:r>
          </w:p>
          <w:p w14:paraId="6656559F" w14:textId="77777777" w:rsidR="002A3DC3" w:rsidRPr="00E459DA" w:rsidRDefault="002A3DC3">
            <w:pPr>
              <w:pStyle w:val="Tablebullet1"/>
              <w:numPr>
                <w:ilvl w:val="0"/>
                <w:numId w:val="14"/>
              </w:numPr>
            </w:pPr>
            <w:r>
              <w:t xml:space="preserve">provide acquittal following MACNI closure. </w:t>
            </w:r>
          </w:p>
        </w:tc>
      </w:tr>
      <w:tr w:rsidR="002A3DC3" w:rsidRPr="00E459DA" w14:paraId="09B97A2C" w14:textId="77777777">
        <w:tc>
          <w:tcPr>
            <w:tcW w:w="0" w:type="auto"/>
          </w:tcPr>
          <w:p w14:paraId="6B01D7DD" w14:textId="77777777" w:rsidR="002A3DC3" w:rsidRPr="00E459DA" w:rsidRDefault="002A3DC3">
            <w:pPr>
              <w:pStyle w:val="Tabletext"/>
            </w:pPr>
            <w:r>
              <w:t>Services within the MACNI care plan</w:t>
            </w:r>
          </w:p>
        </w:tc>
        <w:tc>
          <w:tcPr>
            <w:tcW w:w="0" w:type="auto"/>
          </w:tcPr>
          <w:p w14:paraId="40C3349E" w14:textId="77777777" w:rsidR="002A3DC3" w:rsidRPr="007177B1" w:rsidRDefault="002A3DC3">
            <w:pPr>
              <w:pStyle w:val="Tablebullet1"/>
              <w:numPr>
                <w:ilvl w:val="0"/>
                <w:numId w:val="14"/>
              </w:numPr>
            </w:pPr>
            <w:r>
              <w:t>provide quotes as requested</w:t>
            </w:r>
          </w:p>
          <w:p w14:paraId="1BC66AA4" w14:textId="77777777" w:rsidR="002A3DC3" w:rsidRPr="007177B1" w:rsidRDefault="002A3DC3">
            <w:pPr>
              <w:pStyle w:val="Tablebullet1"/>
              <w:numPr>
                <w:ilvl w:val="0"/>
                <w:numId w:val="14"/>
              </w:numPr>
            </w:pPr>
            <w:r>
              <w:t>provide invoices within 30 days of the service being provided</w:t>
            </w:r>
          </w:p>
          <w:p w14:paraId="25F5D5DE" w14:textId="77777777" w:rsidR="002A3DC3" w:rsidRDefault="002A3DC3">
            <w:pPr>
              <w:pStyle w:val="Tablebullet1"/>
              <w:numPr>
                <w:ilvl w:val="0"/>
                <w:numId w:val="14"/>
              </w:numPr>
            </w:pPr>
            <w:r>
              <w:t>clearly indicate whether GST is applicable</w:t>
            </w:r>
          </w:p>
          <w:p w14:paraId="631A79A4" w14:textId="77777777" w:rsidR="002A3DC3" w:rsidRPr="00E459DA" w:rsidRDefault="002A3DC3">
            <w:pPr>
              <w:pStyle w:val="Tablebullet1"/>
              <w:numPr>
                <w:ilvl w:val="0"/>
                <w:numId w:val="14"/>
              </w:numPr>
            </w:pPr>
            <w:r>
              <w:t>enter into Brokerage Agreements and Service Agreements (as applicable).</w:t>
            </w:r>
          </w:p>
        </w:tc>
      </w:tr>
      <w:tr w:rsidR="002A3DC3" w:rsidRPr="00BA0200" w14:paraId="389D7F68" w14:textId="77777777">
        <w:tc>
          <w:tcPr>
            <w:tcW w:w="0" w:type="auto"/>
          </w:tcPr>
          <w:p w14:paraId="2B90AB8C" w14:textId="77777777" w:rsidR="002A3DC3" w:rsidRPr="00BA0200" w:rsidRDefault="002A3DC3">
            <w:pPr>
              <w:pStyle w:val="Tabletext"/>
            </w:pPr>
            <w:r w:rsidRPr="67C18456">
              <w:lastRenderedPageBreak/>
              <w:t>AOS providers</w:t>
            </w:r>
          </w:p>
        </w:tc>
        <w:tc>
          <w:tcPr>
            <w:tcW w:w="0" w:type="auto"/>
          </w:tcPr>
          <w:p w14:paraId="6811F139" w14:textId="77777777" w:rsidR="002A3DC3" w:rsidRPr="00BA0200" w:rsidRDefault="002A3DC3">
            <w:pPr>
              <w:pStyle w:val="Tablebullet1"/>
              <w:numPr>
                <w:ilvl w:val="0"/>
                <w:numId w:val="14"/>
              </w:numPr>
            </w:pPr>
            <w:r>
              <w:t xml:space="preserve">ensure that AOS expenditure is in-line with the </w:t>
            </w:r>
            <w:r w:rsidRPr="00D44883">
              <w:rPr>
                <w:i/>
                <w:iCs/>
              </w:rPr>
              <w:t xml:space="preserve">Assertive </w:t>
            </w:r>
            <w:r>
              <w:rPr>
                <w:i/>
                <w:iCs/>
              </w:rPr>
              <w:t>o</w:t>
            </w:r>
            <w:r w:rsidRPr="00D44883">
              <w:rPr>
                <w:i/>
                <w:iCs/>
              </w:rPr>
              <w:t xml:space="preserve">utreach and </w:t>
            </w:r>
            <w:r>
              <w:rPr>
                <w:i/>
                <w:iCs/>
              </w:rPr>
              <w:t>s</w:t>
            </w:r>
            <w:r w:rsidRPr="00D44883">
              <w:rPr>
                <w:i/>
                <w:iCs/>
              </w:rPr>
              <w:t xml:space="preserve">upport </w:t>
            </w:r>
            <w:r>
              <w:rPr>
                <w:i/>
                <w:iCs/>
              </w:rPr>
              <w:t>p</w:t>
            </w:r>
            <w:r w:rsidRPr="00D44883">
              <w:rPr>
                <w:i/>
                <w:iCs/>
              </w:rPr>
              <w:t xml:space="preserve">rogram </w:t>
            </w:r>
            <w:r>
              <w:rPr>
                <w:i/>
                <w:iCs/>
              </w:rPr>
              <w:t>g</w:t>
            </w:r>
            <w:r w:rsidRPr="00D44883">
              <w:rPr>
                <w:i/>
                <w:iCs/>
              </w:rPr>
              <w:t>uidelines’ Attachment 1 brokerage guidelines</w:t>
            </w:r>
            <w:r>
              <w:t xml:space="preserve"> and departmental policies and procedures </w:t>
            </w:r>
          </w:p>
          <w:p w14:paraId="13600FF8" w14:textId="77777777" w:rsidR="002A3DC3" w:rsidRPr="00BA0200" w:rsidRDefault="002A3DC3">
            <w:pPr>
              <w:pStyle w:val="Tablebullet1"/>
              <w:numPr>
                <w:ilvl w:val="0"/>
                <w:numId w:val="14"/>
              </w:numPr>
              <w:rPr>
                <w:szCs w:val="21"/>
              </w:rPr>
            </w:pPr>
            <w:r>
              <w:t xml:space="preserve">report monthly through Service Delivery Tracking (Funded Agency Channel on the total brokerage expended </w:t>
            </w:r>
          </w:p>
          <w:p w14:paraId="67516506" w14:textId="77777777" w:rsidR="002A3DC3" w:rsidRPr="00BA0200" w:rsidRDefault="002A3DC3">
            <w:pPr>
              <w:pStyle w:val="Tablebullet1"/>
              <w:numPr>
                <w:ilvl w:val="0"/>
                <w:numId w:val="14"/>
              </w:numPr>
              <w:rPr>
                <w:szCs w:val="21"/>
              </w:rPr>
            </w:pPr>
            <w:r>
              <w:t>provide a detailed brokerage acquittal quarterly to the Central Complex Needs team and APSS</w:t>
            </w:r>
          </w:p>
        </w:tc>
      </w:tr>
    </w:tbl>
    <w:p w14:paraId="664684EE" w14:textId="77777777" w:rsidR="00A62481" w:rsidRDefault="00A62481" w:rsidP="002A3DC3">
      <w:pPr>
        <w:pStyle w:val="Heading2"/>
        <w:numPr>
          <w:ilvl w:val="1"/>
          <w:numId w:val="28"/>
        </w:numPr>
      </w:pPr>
      <w:bookmarkStart w:id="320" w:name="_Toc145318612"/>
      <w:r>
        <w:t>AOS pilot program brokerage</w:t>
      </w:r>
      <w:bookmarkEnd w:id="320"/>
    </w:p>
    <w:p w14:paraId="2D0D9C66" w14:textId="77777777" w:rsidR="00C5365A" w:rsidDel="00AC65A7" w:rsidRDefault="00C5365A" w:rsidP="00C5365A">
      <w:pPr>
        <w:pStyle w:val="Body"/>
      </w:pPr>
      <w:r w:rsidDel="00AC65A7">
        <w:t xml:space="preserve">For AOS, providers will be allocated brokerage through their service agreement. AOS providers administer the brokerage and have reporting requirements to monitor performance, that the brokerage is being used in line with guidelines and department policies and allowances are adequate. The </w:t>
      </w:r>
      <w:r w:rsidRPr="00505BAB" w:rsidDel="00AC65A7">
        <w:rPr>
          <w:i/>
          <w:iCs/>
        </w:rPr>
        <w:t xml:space="preserve">Assertive </w:t>
      </w:r>
      <w:r w:rsidDel="00AC65A7">
        <w:rPr>
          <w:i/>
          <w:iCs/>
        </w:rPr>
        <w:t>o</w:t>
      </w:r>
      <w:r w:rsidRPr="00505BAB" w:rsidDel="00AC65A7">
        <w:rPr>
          <w:i/>
          <w:iCs/>
        </w:rPr>
        <w:t xml:space="preserve">utreach and </w:t>
      </w:r>
      <w:r w:rsidDel="00AC65A7">
        <w:rPr>
          <w:i/>
          <w:iCs/>
        </w:rPr>
        <w:t>s</w:t>
      </w:r>
      <w:r w:rsidRPr="00505BAB" w:rsidDel="00AC65A7">
        <w:rPr>
          <w:i/>
          <w:iCs/>
        </w:rPr>
        <w:t xml:space="preserve">upport </w:t>
      </w:r>
      <w:r w:rsidDel="00AC65A7">
        <w:rPr>
          <w:i/>
          <w:iCs/>
        </w:rPr>
        <w:t>p</w:t>
      </w:r>
      <w:r w:rsidRPr="00505BAB" w:rsidDel="00AC65A7">
        <w:rPr>
          <w:i/>
          <w:iCs/>
        </w:rPr>
        <w:t xml:space="preserve">rogram </w:t>
      </w:r>
      <w:r w:rsidDel="00AC65A7">
        <w:rPr>
          <w:i/>
          <w:iCs/>
        </w:rPr>
        <w:t>r</w:t>
      </w:r>
      <w:r w:rsidRPr="00505BAB" w:rsidDel="00AC65A7">
        <w:rPr>
          <w:i/>
          <w:iCs/>
        </w:rPr>
        <w:t>equirements</w:t>
      </w:r>
      <w:r w:rsidDel="00AC65A7">
        <w:rPr>
          <w:i/>
          <w:iCs/>
        </w:rPr>
        <w:t xml:space="preserve"> </w:t>
      </w:r>
      <w:r w:rsidRPr="004E1E9A" w:rsidDel="00AC65A7">
        <w:t>are on the Funded Agency Channel.</w:t>
      </w:r>
      <w:r w:rsidDel="00AC65A7">
        <w:t xml:space="preserve"> </w:t>
      </w:r>
    </w:p>
    <w:p w14:paraId="4C8ED736" w14:textId="77777777" w:rsidR="00A62481" w:rsidRPr="00AC6C82" w:rsidRDefault="00A62481" w:rsidP="00A62481">
      <w:pPr>
        <w:pStyle w:val="Body"/>
      </w:pPr>
      <w:r>
        <w:t>T</w:t>
      </w:r>
      <w:r w:rsidRPr="00133851">
        <w:t xml:space="preserve">he use of brokerage </w:t>
      </w:r>
      <w:r>
        <w:t xml:space="preserve">is </w:t>
      </w:r>
      <w:r w:rsidRPr="00133851">
        <w:t xml:space="preserve">to provide practical assistance in engaging </w:t>
      </w:r>
      <w:r>
        <w:t>client</w:t>
      </w:r>
      <w:r w:rsidRPr="00133851">
        <w:t>s</w:t>
      </w:r>
      <w:r>
        <w:t xml:space="preserve"> and to support people achieve goals outlined in the persons ISP. </w:t>
      </w:r>
      <w:r w:rsidRPr="00133851">
        <w:t>If the underlying issues leading to the need for AOS are not addressed, small changes brought about using brokerage are unlikely to make a sustained difference.</w:t>
      </w:r>
      <w:r w:rsidRPr="0017361A">
        <w:t xml:space="preserve"> </w:t>
      </w:r>
      <w:r w:rsidRPr="00C80E76">
        <w:t>Brokerage use will:</w:t>
      </w:r>
    </w:p>
    <w:p w14:paraId="1EE31C0B" w14:textId="32300968" w:rsidR="00A62481" w:rsidRPr="00133851" w:rsidRDefault="00A62481" w:rsidP="00A62481">
      <w:pPr>
        <w:pStyle w:val="Bullet1"/>
      </w:pPr>
      <w:r w:rsidRPr="00133851">
        <w:t>clearly link to the implementation and achievement of the client’s goals in the E</w:t>
      </w:r>
      <w:r w:rsidR="00CA63EB">
        <w:t xml:space="preserve">P </w:t>
      </w:r>
      <w:r w:rsidRPr="00133851">
        <w:t xml:space="preserve">and/or </w:t>
      </w:r>
      <w:r>
        <w:t>ISP</w:t>
      </w:r>
    </w:p>
    <w:p w14:paraId="09B79B48" w14:textId="77777777" w:rsidR="00A62481" w:rsidRPr="00133851" w:rsidRDefault="00A62481" w:rsidP="00A62481">
      <w:pPr>
        <w:pStyle w:val="Bullet1"/>
      </w:pPr>
      <w:r w:rsidRPr="00133851">
        <w:t>be focussed on achie</w:t>
      </w:r>
      <w:r>
        <w:t xml:space="preserve">ving </w:t>
      </w:r>
      <w:r w:rsidRPr="00133851">
        <w:t>improved client outcomes and enable individuals to make positive and enduring changes, such as increasing meaningful engagement with services</w:t>
      </w:r>
    </w:p>
    <w:p w14:paraId="63CCBEFE" w14:textId="77777777" w:rsidR="00A62481" w:rsidRPr="00133851" w:rsidRDefault="00A62481" w:rsidP="00A62481">
      <w:pPr>
        <w:pStyle w:val="Bullet1"/>
      </w:pPr>
      <w:r w:rsidRPr="00133851">
        <w:t xml:space="preserve">be used for time-limited, practical supports and services </w:t>
      </w:r>
      <w:r>
        <w:t xml:space="preserve">that </w:t>
      </w:r>
      <w:r w:rsidRPr="00133851">
        <w:t>are not readily accessible/timely/available within the existing service system (</w:t>
      </w:r>
      <w:r>
        <w:t>e.g.:</w:t>
      </w:r>
      <w:r w:rsidRPr="00133851">
        <w:t xml:space="preserve"> local, state or Commonwealth government services) or </w:t>
      </w:r>
      <w:r>
        <w:t xml:space="preserve">available to </w:t>
      </w:r>
      <w:r w:rsidRPr="00133851">
        <w:t>other members of the community</w:t>
      </w:r>
    </w:p>
    <w:p w14:paraId="40C80C10" w14:textId="77777777" w:rsidR="00A62481" w:rsidRPr="00133851" w:rsidRDefault="00A62481" w:rsidP="00A62481">
      <w:pPr>
        <w:pStyle w:val="Bullet1"/>
      </w:pPr>
      <w:r w:rsidRPr="00133851">
        <w:t xml:space="preserve">minimise </w:t>
      </w:r>
      <w:r>
        <w:t>likelihood of the client</w:t>
      </w:r>
      <w:r w:rsidRPr="00133851">
        <w:t xml:space="preserve"> requiring more intensive intervention</w:t>
      </w:r>
    </w:p>
    <w:p w14:paraId="558389F8" w14:textId="77777777" w:rsidR="00A62481" w:rsidRPr="00133851" w:rsidRDefault="00A62481" w:rsidP="00A62481">
      <w:pPr>
        <w:pStyle w:val="Bullet1"/>
      </w:pPr>
      <w:r w:rsidRPr="00133851">
        <w:t xml:space="preserve">be prioritised based on an assessment of greatest need, reducing the risk of harm to others, and anticipated positive impacts on the </w:t>
      </w:r>
      <w:r>
        <w:t>client</w:t>
      </w:r>
      <w:r w:rsidRPr="00133851">
        <w:t>’s daily life</w:t>
      </w:r>
    </w:p>
    <w:p w14:paraId="3250C5DD" w14:textId="77777777" w:rsidR="00A62481" w:rsidRPr="00133851" w:rsidRDefault="00A62481" w:rsidP="00A62481">
      <w:pPr>
        <w:pStyle w:val="Bullet1"/>
      </w:pPr>
      <w:r w:rsidRPr="00133851">
        <w:t xml:space="preserve">represent the most cost-effective and relevant option to sufficiently meet the </w:t>
      </w:r>
      <w:r>
        <w:t xml:space="preserve">client’s </w:t>
      </w:r>
      <w:r w:rsidRPr="00133851">
        <w:t xml:space="preserve">needs </w:t>
      </w:r>
    </w:p>
    <w:p w14:paraId="5FC36FCC" w14:textId="77777777" w:rsidR="00A62481" w:rsidRDefault="00A62481" w:rsidP="00A62481">
      <w:pPr>
        <w:pStyle w:val="Bullet1"/>
      </w:pPr>
      <w:r w:rsidRPr="00133851">
        <w:t>be used to support the individual consistent with their cultural identity, including supporting Aboriginal self-determination.</w:t>
      </w:r>
    </w:p>
    <w:p w14:paraId="67A4CE02" w14:textId="77777777" w:rsidR="00A62481" w:rsidRPr="00133851" w:rsidRDefault="00A62481" w:rsidP="00A62481">
      <w:pPr>
        <w:pStyle w:val="Bodyafterbullets"/>
        <w:rPr>
          <w:szCs w:val="21"/>
        </w:rPr>
      </w:pPr>
      <w:r w:rsidRPr="00133851">
        <w:t>B</w:t>
      </w:r>
      <w:r w:rsidRPr="00133851">
        <w:rPr>
          <w:szCs w:val="21"/>
        </w:rPr>
        <w:t>rokerage may be used for the following, where there is no other support to access:</w:t>
      </w:r>
    </w:p>
    <w:p w14:paraId="388007F5" w14:textId="77777777" w:rsidR="00A62481" w:rsidRPr="00133851" w:rsidRDefault="00A62481" w:rsidP="00A62481">
      <w:pPr>
        <w:pStyle w:val="Bullet1"/>
      </w:pPr>
      <w:r w:rsidRPr="00133851">
        <w:t>respite costs for the AOS client</w:t>
      </w:r>
    </w:p>
    <w:p w14:paraId="22BE04B1" w14:textId="77777777" w:rsidR="00A62481" w:rsidRPr="00133851" w:rsidRDefault="00A62481" w:rsidP="00A62481">
      <w:pPr>
        <w:pStyle w:val="Bullet1"/>
      </w:pPr>
      <w:r w:rsidRPr="00133851">
        <w:t>specialist assessments for the individual or specialist interventions where these are not readily accessible, including in a timely way</w:t>
      </w:r>
    </w:p>
    <w:p w14:paraId="6EC6C71A" w14:textId="77777777" w:rsidR="00A62481" w:rsidRPr="00133851" w:rsidRDefault="00A62481" w:rsidP="00A62481">
      <w:pPr>
        <w:pStyle w:val="Bullet1"/>
      </w:pPr>
      <w:r w:rsidRPr="00133851">
        <w:t>assistance to meet dental costs or specific medical interventions for the individual that is the gap which is not covered by Medicare</w:t>
      </w:r>
    </w:p>
    <w:p w14:paraId="5AD11140" w14:textId="77777777" w:rsidR="00A62481" w:rsidRPr="00133851" w:rsidRDefault="00A62481" w:rsidP="00A62481">
      <w:pPr>
        <w:pStyle w:val="Bullet1"/>
      </w:pPr>
      <w:r w:rsidRPr="00133851">
        <w:t xml:space="preserve">one-off payments to address immediate safety, </w:t>
      </w:r>
      <w:r w:rsidRPr="00133851" w:rsidDel="00614248">
        <w:t>stability</w:t>
      </w:r>
      <w:r>
        <w:t>,</w:t>
      </w:r>
      <w:r w:rsidRPr="00133851">
        <w:t xml:space="preserve"> </w:t>
      </w:r>
      <w:r>
        <w:t xml:space="preserve">and </w:t>
      </w:r>
      <w:r w:rsidRPr="00133851">
        <w:t xml:space="preserve">wellbeing issues in the </w:t>
      </w:r>
      <w:r>
        <w:t>client</w:t>
      </w:r>
      <w:r w:rsidRPr="00133851">
        <w:t xml:space="preserve">’s home </w:t>
      </w:r>
    </w:p>
    <w:p w14:paraId="218FB82B" w14:textId="77777777" w:rsidR="00A62481" w:rsidRPr="00133851" w:rsidRDefault="00A62481" w:rsidP="00A62481">
      <w:pPr>
        <w:pStyle w:val="Bullet1"/>
      </w:pPr>
      <w:r w:rsidRPr="00133851">
        <w:t xml:space="preserve">assistance with a utilities bill or purchasing material aid </w:t>
      </w:r>
    </w:p>
    <w:p w14:paraId="2198FD06" w14:textId="77777777" w:rsidR="00A62481" w:rsidRPr="00133851" w:rsidRDefault="00A62481" w:rsidP="00A62481">
      <w:pPr>
        <w:pStyle w:val="lastbullett"/>
      </w:pPr>
      <w:r w:rsidRPr="00133851">
        <w:t>assistance with educational assessments, tutors, training, or educational costs</w:t>
      </w:r>
      <w:r>
        <w:t>.</w:t>
      </w:r>
      <w:r w:rsidRPr="00133851">
        <w:t xml:space="preserve"> </w:t>
      </w:r>
    </w:p>
    <w:p w14:paraId="052F99E3" w14:textId="77777777" w:rsidR="00A62481" w:rsidRDefault="00A62481" w:rsidP="00A62481">
      <w:pPr>
        <w:pStyle w:val="Bodyafterbullets"/>
      </w:pPr>
      <w:r w:rsidRPr="00133851">
        <w:t>In the case of funding a clinical assessment or treatment, the service is to be provided by a professional with appropriate qualifications and registration (i.e.</w:t>
      </w:r>
      <w:r>
        <w:t>:</w:t>
      </w:r>
      <w:r w:rsidRPr="00133851">
        <w:t xml:space="preserve"> clinical psychologist).</w:t>
      </w:r>
      <w:r>
        <w:t xml:space="preserve"> </w:t>
      </w:r>
    </w:p>
    <w:p w14:paraId="1FA13693" w14:textId="2AF59376" w:rsidR="00DA00DB" w:rsidRDefault="00A62481" w:rsidP="00A62481">
      <w:pPr>
        <w:pStyle w:val="Bodyafterbullets"/>
      </w:pPr>
      <w:r w:rsidRPr="00133851">
        <w:rPr>
          <w:szCs w:val="21"/>
        </w:rPr>
        <w:lastRenderedPageBreak/>
        <w:t xml:space="preserve">Brokerage expenditure exceeding a cumulative total of $5,000.00 for any client will require discussion </w:t>
      </w:r>
      <w:r>
        <w:rPr>
          <w:szCs w:val="21"/>
        </w:rPr>
        <w:t>with the Complex Needs Coordinator (and OMG)</w:t>
      </w:r>
      <w:r w:rsidRPr="00133851">
        <w:rPr>
          <w:szCs w:val="21"/>
        </w:rPr>
        <w:t xml:space="preserve"> </w:t>
      </w:r>
      <w:r>
        <w:rPr>
          <w:szCs w:val="21"/>
        </w:rPr>
        <w:t>on</w:t>
      </w:r>
      <w:r w:rsidRPr="00133851">
        <w:rPr>
          <w:szCs w:val="21"/>
        </w:rPr>
        <w:t xml:space="preserve"> the expenditure</w:t>
      </w:r>
      <w:r>
        <w:rPr>
          <w:szCs w:val="21"/>
        </w:rPr>
        <w:t xml:space="preserve">. Consideration must be given to </w:t>
      </w:r>
      <w:r w:rsidRPr="00133851">
        <w:rPr>
          <w:szCs w:val="21"/>
        </w:rPr>
        <w:t>whether it</w:t>
      </w:r>
      <w:r>
        <w:rPr>
          <w:szCs w:val="21"/>
        </w:rPr>
        <w:t xml:space="preserve"> is</w:t>
      </w:r>
      <w:r w:rsidRPr="00133851">
        <w:rPr>
          <w:szCs w:val="21"/>
        </w:rPr>
        <w:t xml:space="preserve"> a response to a systemic issue </w:t>
      </w:r>
      <w:r>
        <w:rPr>
          <w:szCs w:val="21"/>
        </w:rPr>
        <w:t>whereby the department can provide assistance.</w:t>
      </w:r>
    </w:p>
    <w:p w14:paraId="555A6C89" w14:textId="041325EC" w:rsidR="00736ED5" w:rsidRPr="00736ED5" w:rsidRDefault="00C03947" w:rsidP="000E7482">
      <w:pPr>
        <w:pStyle w:val="Heading2"/>
        <w:numPr>
          <w:ilvl w:val="1"/>
          <w:numId w:val="28"/>
        </w:numPr>
      </w:pPr>
      <w:bookmarkStart w:id="321" w:name="_Toc145318613"/>
      <w:r>
        <w:t>C</w:t>
      </w:r>
      <w:r w:rsidR="00736ED5">
        <w:t xml:space="preserve">omplex Needs brokerage </w:t>
      </w:r>
      <w:r w:rsidR="00240956">
        <w:t>- general</w:t>
      </w:r>
      <w:bookmarkEnd w:id="321"/>
    </w:p>
    <w:p w14:paraId="20610A64" w14:textId="6AD9996E" w:rsidR="00E27195" w:rsidRPr="003B4EFA" w:rsidRDefault="00E27195" w:rsidP="00E37383">
      <w:pPr>
        <w:pStyle w:val="Body"/>
      </w:pPr>
      <w:r w:rsidRPr="003B4EFA">
        <w:t xml:space="preserve">This section does not include AOS. Refer to section </w:t>
      </w:r>
      <w:r w:rsidR="00091708" w:rsidRPr="003B4EFA">
        <w:t xml:space="preserve">8.2 </w:t>
      </w:r>
      <w:r w:rsidRPr="003B4EFA">
        <w:t>for AOS brokerage requirements.</w:t>
      </w:r>
    </w:p>
    <w:p w14:paraId="0112F679" w14:textId="7AC0BED8" w:rsidR="00AE09EF" w:rsidRDefault="00AE09EF" w:rsidP="000E7482">
      <w:pPr>
        <w:pStyle w:val="Heading3"/>
        <w:numPr>
          <w:ilvl w:val="2"/>
          <w:numId w:val="28"/>
        </w:numPr>
      </w:pPr>
      <w:r>
        <w:t xml:space="preserve">Delegations for brokerage expenditure </w:t>
      </w:r>
    </w:p>
    <w:p w14:paraId="071358BF" w14:textId="7981BBEA" w:rsidR="00AE09EF" w:rsidRDefault="00AE09EF" w:rsidP="00AE09EF">
      <w:pPr>
        <w:pStyle w:val="Body"/>
      </w:pPr>
      <w:r w:rsidRPr="000E1091">
        <w:t>The authority to approve funding for all departmental programs</w:t>
      </w:r>
      <w:r>
        <w:t xml:space="preserve"> </w:t>
      </w:r>
      <w:r w:rsidRPr="000E1091">
        <w:t xml:space="preserve">is governed by the </w:t>
      </w:r>
      <w:r w:rsidRPr="000E1091">
        <w:rPr>
          <w:i/>
        </w:rPr>
        <w:t>Financial Management Act 1994.</w:t>
      </w:r>
      <w:r w:rsidRPr="000E1091">
        <w:t xml:space="preserve"> The Secretary’s </w:t>
      </w:r>
      <w:r w:rsidRPr="00440624">
        <w:rPr>
          <w:i/>
          <w:iCs/>
        </w:rPr>
        <w:t>Financial Authorisation Schedule</w:t>
      </w:r>
      <w:r>
        <w:t xml:space="preserve"> outlines the delegations for all employees which must be adhered for approval for allocation of MACNI brokerage funds.</w:t>
      </w:r>
    </w:p>
    <w:p w14:paraId="0C40550E" w14:textId="2E75EE37" w:rsidR="00AE09EF" w:rsidRDefault="00AE09EF" w:rsidP="00AE09EF">
      <w:pPr>
        <w:pStyle w:val="Figurecaption"/>
      </w:pPr>
      <w:r>
        <w:t>Delegations under the Financial Management Act 1994</w:t>
      </w:r>
    </w:p>
    <w:tbl>
      <w:tblPr>
        <w:tblStyle w:val="TableGrid"/>
        <w:tblpPr w:leftFromText="180" w:rightFromText="180" w:vertAnchor="text" w:tblpY="1"/>
        <w:tblOverlap w:val="never"/>
        <w:tblW w:w="0" w:type="auto"/>
        <w:tblLook w:val="04A0" w:firstRow="1" w:lastRow="0" w:firstColumn="1" w:lastColumn="0" w:noHBand="0" w:noVBand="1"/>
      </w:tblPr>
      <w:tblGrid>
        <w:gridCol w:w="4594"/>
        <w:gridCol w:w="3355"/>
      </w:tblGrid>
      <w:tr w:rsidR="00AE09EF" w:rsidRPr="00E149AA" w14:paraId="1E9CF57F" w14:textId="77777777" w:rsidTr="00E41301">
        <w:tc>
          <w:tcPr>
            <w:tcW w:w="0" w:type="auto"/>
            <w:shd w:val="clear" w:color="auto" w:fill="auto"/>
          </w:tcPr>
          <w:p w14:paraId="1B0BC05F" w14:textId="77777777" w:rsidR="00AE09EF" w:rsidRPr="00D042F5" w:rsidRDefault="00AE09EF" w:rsidP="00E41301">
            <w:pPr>
              <w:pStyle w:val="Tablecolhead"/>
            </w:pPr>
            <w:r w:rsidRPr="00D042F5">
              <w:t>Authorised position</w:t>
            </w:r>
          </w:p>
        </w:tc>
        <w:tc>
          <w:tcPr>
            <w:tcW w:w="0" w:type="auto"/>
            <w:shd w:val="clear" w:color="auto" w:fill="auto"/>
          </w:tcPr>
          <w:p w14:paraId="2CDFBE86" w14:textId="77777777" w:rsidR="00AE09EF" w:rsidRPr="00D042F5" w:rsidRDefault="00AE09EF" w:rsidP="00E41301">
            <w:pPr>
              <w:pStyle w:val="Tablecolhead"/>
            </w:pPr>
            <w:r w:rsidRPr="00D042F5">
              <w:t>Delegation limit per transaction</w:t>
            </w:r>
          </w:p>
        </w:tc>
      </w:tr>
      <w:tr w:rsidR="00AE09EF" w14:paraId="7EC4FCD5" w14:textId="77777777" w:rsidTr="00E41301">
        <w:tc>
          <w:tcPr>
            <w:tcW w:w="0" w:type="auto"/>
          </w:tcPr>
          <w:p w14:paraId="0682C250" w14:textId="77777777" w:rsidR="00AE09EF" w:rsidRPr="00D042F5" w:rsidRDefault="00AE09EF" w:rsidP="00E41301">
            <w:pPr>
              <w:pStyle w:val="Body"/>
            </w:pPr>
            <w:r w:rsidRPr="00D042F5">
              <w:t xml:space="preserve">Complex Needs Coordinator </w:t>
            </w:r>
          </w:p>
        </w:tc>
        <w:tc>
          <w:tcPr>
            <w:tcW w:w="0" w:type="auto"/>
          </w:tcPr>
          <w:p w14:paraId="61651AE0" w14:textId="77777777" w:rsidR="00AE09EF" w:rsidRPr="00D042F5" w:rsidRDefault="00AE09EF" w:rsidP="00E41301">
            <w:pPr>
              <w:pStyle w:val="Body"/>
            </w:pPr>
            <w:r w:rsidRPr="00D042F5">
              <w:t>$5,000</w:t>
            </w:r>
          </w:p>
        </w:tc>
      </w:tr>
      <w:tr w:rsidR="00AE09EF" w14:paraId="74F9BB3D" w14:textId="77777777" w:rsidTr="00E41301">
        <w:tc>
          <w:tcPr>
            <w:tcW w:w="0" w:type="auto"/>
          </w:tcPr>
          <w:p w14:paraId="66246213" w14:textId="77777777" w:rsidR="00AE09EF" w:rsidRPr="00D042F5" w:rsidRDefault="00AE09EF" w:rsidP="00E41301">
            <w:pPr>
              <w:pStyle w:val="Body"/>
            </w:pPr>
            <w:r w:rsidRPr="00D042F5">
              <w:t>Manager, Client Support and Housing Services</w:t>
            </w:r>
          </w:p>
        </w:tc>
        <w:tc>
          <w:tcPr>
            <w:tcW w:w="0" w:type="auto"/>
          </w:tcPr>
          <w:p w14:paraId="1CD365EB" w14:textId="77777777" w:rsidR="00AE09EF" w:rsidRPr="00D042F5" w:rsidRDefault="00AE09EF" w:rsidP="00E41301">
            <w:pPr>
              <w:pStyle w:val="Body"/>
            </w:pPr>
            <w:r w:rsidRPr="00D042F5">
              <w:t>$50,000</w:t>
            </w:r>
          </w:p>
        </w:tc>
      </w:tr>
      <w:tr w:rsidR="00AE09EF" w14:paraId="2693F3AC" w14:textId="77777777" w:rsidTr="00E41301">
        <w:tc>
          <w:tcPr>
            <w:tcW w:w="0" w:type="auto"/>
          </w:tcPr>
          <w:p w14:paraId="2B910F51" w14:textId="77777777" w:rsidR="00AE09EF" w:rsidRPr="00D042F5" w:rsidRDefault="00AE09EF" w:rsidP="00E41301">
            <w:pPr>
              <w:pStyle w:val="Body"/>
            </w:pPr>
            <w:r>
              <w:t>Area Executive</w:t>
            </w:r>
            <w:r w:rsidRPr="00D042F5">
              <w:t xml:space="preserve"> Director</w:t>
            </w:r>
          </w:p>
        </w:tc>
        <w:tc>
          <w:tcPr>
            <w:tcW w:w="0" w:type="auto"/>
          </w:tcPr>
          <w:p w14:paraId="77056F83" w14:textId="77777777" w:rsidR="00AE09EF" w:rsidRPr="00D042F5" w:rsidRDefault="00AE09EF" w:rsidP="00E41301">
            <w:pPr>
              <w:pStyle w:val="Body"/>
            </w:pPr>
            <w:r w:rsidRPr="00D042F5">
              <w:t>$500,000</w:t>
            </w:r>
          </w:p>
        </w:tc>
      </w:tr>
    </w:tbl>
    <w:p w14:paraId="14F7C35C" w14:textId="77777777" w:rsidR="00AE09EF" w:rsidRDefault="00AE09EF" w:rsidP="006E79C8">
      <w:pPr>
        <w:pStyle w:val="Bullet1"/>
        <w:numPr>
          <w:ilvl w:val="0"/>
          <w:numId w:val="0"/>
        </w:numPr>
        <w:ind w:left="450"/>
      </w:pPr>
    </w:p>
    <w:p w14:paraId="000E6AE8" w14:textId="77777777" w:rsidR="00AE09EF" w:rsidRDefault="00AE09EF" w:rsidP="003B0C32">
      <w:pPr>
        <w:pStyle w:val="Body"/>
        <w:ind w:left="450"/>
      </w:pPr>
    </w:p>
    <w:p w14:paraId="6408229E" w14:textId="77777777" w:rsidR="00912F55" w:rsidRDefault="00912F55" w:rsidP="00912F55">
      <w:pPr>
        <w:pStyle w:val="Body"/>
      </w:pPr>
    </w:p>
    <w:p w14:paraId="22A2F6F7" w14:textId="77777777" w:rsidR="00B26CE5" w:rsidRDefault="00B26CE5" w:rsidP="00DB5DB9">
      <w:pPr>
        <w:pStyle w:val="Body"/>
      </w:pPr>
    </w:p>
    <w:p w14:paraId="0BB0FD81" w14:textId="77777777" w:rsidR="006E79C8" w:rsidRDefault="006E79C8" w:rsidP="00DB5DB9">
      <w:pPr>
        <w:pStyle w:val="Body"/>
      </w:pPr>
    </w:p>
    <w:p w14:paraId="1DE768B6" w14:textId="0FC82145" w:rsidR="003B0C32" w:rsidRPr="003B0C32" w:rsidRDefault="00D11915" w:rsidP="006E79C8">
      <w:pPr>
        <w:pStyle w:val="Body"/>
      </w:pPr>
      <w:r w:rsidRPr="006E79C8">
        <w:t xml:space="preserve">Appendix </w:t>
      </w:r>
      <w:r w:rsidR="00A572BE" w:rsidRPr="006E79C8">
        <w:t>3</w:t>
      </w:r>
      <w:r>
        <w:t xml:space="preserve"> </w:t>
      </w:r>
      <w:r w:rsidR="00AE184A">
        <w:t>is</w:t>
      </w:r>
      <w:r>
        <w:t xml:space="preserve"> </w:t>
      </w:r>
      <w:r w:rsidR="00DB5DB9">
        <w:t>a summary of the brokerage approval process described below.</w:t>
      </w:r>
    </w:p>
    <w:p w14:paraId="0F1A4C55" w14:textId="4015924B" w:rsidR="00E37383" w:rsidRPr="007631B1" w:rsidRDefault="00240956" w:rsidP="00B5548F">
      <w:pPr>
        <w:pStyle w:val="Heading3"/>
        <w:numPr>
          <w:ilvl w:val="2"/>
          <w:numId w:val="28"/>
        </w:numPr>
      </w:pPr>
      <w:r>
        <w:t>Brokerage p</w:t>
      </w:r>
      <w:r w:rsidR="00D526A7">
        <w:t>rinciples</w:t>
      </w:r>
      <w:r w:rsidR="00873796">
        <w:t xml:space="preserve"> </w:t>
      </w:r>
    </w:p>
    <w:p w14:paraId="7EEF08AE" w14:textId="77777777" w:rsidR="00E37383" w:rsidRPr="00077666" w:rsidRDefault="00E37383" w:rsidP="00E37383">
      <w:pPr>
        <w:pStyle w:val="Body"/>
      </w:pPr>
      <w:r>
        <w:t xml:space="preserve">The </w:t>
      </w:r>
      <w:r w:rsidRPr="00077666">
        <w:t>following principles apply to all brokerage allocations to clients with complex needs:</w:t>
      </w:r>
    </w:p>
    <w:p w14:paraId="332CF712" w14:textId="5C185ABD" w:rsidR="00E37383" w:rsidRPr="000E1091" w:rsidRDefault="48AED0DF" w:rsidP="00740A47">
      <w:pPr>
        <w:pStyle w:val="Bullet1"/>
      </w:pPr>
      <w:r>
        <w:t xml:space="preserve">all requests for brokerage must be prepared using a </w:t>
      </w:r>
      <w:r w:rsidR="00D74821">
        <w:t>Brokerage Request Form</w:t>
      </w:r>
    </w:p>
    <w:p w14:paraId="545A7B96" w14:textId="0A01AE91" w:rsidR="00244CD7" w:rsidRDefault="48AED0DF" w:rsidP="00740A47">
      <w:pPr>
        <w:pStyle w:val="Bullet1"/>
      </w:pPr>
      <w:r>
        <w:t>all brokerage allocations less than $25,000 are reported as a standard agenda item at Panel</w:t>
      </w:r>
      <w:r w:rsidR="00D74821">
        <w:t>s</w:t>
      </w:r>
      <w:r>
        <w:t xml:space="preserve"> </w:t>
      </w:r>
    </w:p>
    <w:p w14:paraId="5F0F2AC1" w14:textId="1763F309" w:rsidR="00E37383" w:rsidRPr="000E1091" w:rsidRDefault="48AED0DF" w:rsidP="00740A47">
      <w:pPr>
        <w:pStyle w:val="Bullet1"/>
      </w:pPr>
      <w:r>
        <w:t xml:space="preserve">the Complex Needs Panel </w:t>
      </w:r>
      <w:r w:rsidR="00244CD7">
        <w:t>is</w:t>
      </w:r>
      <w:r>
        <w:t xml:space="preserve"> required to recommend all brokerage over $25,000</w:t>
      </w:r>
    </w:p>
    <w:p w14:paraId="63E81750" w14:textId="77777777" w:rsidR="00E37383" w:rsidRPr="00077666" w:rsidRDefault="48AED0DF" w:rsidP="00740A47">
      <w:pPr>
        <w:pStyle w:val="Bullet1"/>
      </w:pPr>
      <w:r>
        <w:t>client-attached brokerage is available as a last resort when supports or resources in the standard service system are unavailable or are unable to be provided within effective timelines</w:t>
      </w:r>
    </w:p>
    <w:p w14:paraId="59D332CD" w14:textId="7A7F3176" w:rsidR="00E37383" w:rsidRPr="00077666" w:rsidRDefault="48AED0DF" w:rsidP="00740A47">
      <w:pPr>
        <w:pStyle w:val="Bullet1"/>
      </w:pPr>
      <w:r>
        <w:t xml:space="preserve">the allocation of brokerage is derived from an analysis of the client’s needs and the prior effectiveness of other funding support and </w:t>
      </w:r>
      <w:r w:rsidR="00244CD7">
        <w:t>considers</w:t>
      </w:r>
      <w:r>
        <w:t xml:space="preserve"> the sustainability of service delivery</w:t>
      </w:r>
    </w:p>
    <w:p w14:paraId="1650BB0A" w14:textId="7355C127" w:rsidR="00E37383" w:rsidRPr="00077666" w:rsidRDefault="48AED0DF" w:rsidP="00740A47">
      <w:pPr>
        <w:pStyle w:val="Bullet1"/>
      </w:pPr>
      <w:r>
        <w:t>brokerage is strictly for direct purchase of services for the client</w:t>
      </w:r>
      <w:r w:rsidR="00E4096A">
        <w:t xml:space="preserve"> (o</w:t>
      </w:r>
      <w:r>
        <w:t>nly limited essential household items may be purchased</w:t>
      </w:r>
      <w:r w:rsidR="00E4096A">
        <w:t>)</w:t>
      </w:r>
      <w:r>
        <w:t xml:space="preserve">. </w:t>
      </w:r>
    </w:p>
    <w:p w14:paraId="32243CEF" w14:textId="77777777" w:rsidR="00E37383" w:rsidRPr="00077666" w:rsidRDefault="48AED0DF" w:rsidP="00740A47">
      <w:pPr>
        <w:pStyle w:val="Bullet1"/>
      </w:pPr>
      <w:r>
        <w:t>brokerage is not an alternative to core funding and cannot be used to duplicate existing services or cover administrative costs</w:t>
      </w:r>
    </w:p>
    <w:p w14:paraId="33426F8C" w14:textId="77777777" w:rsidR="00E37383" w:rsidRPr="00077666" w:rsidRDefault="48AED0DF" w:rsidP="00740A47">
      <w:pPr>
        <w:pStyle w:val="Bullet1"/>
      </w:pPr>
      <w:r>
        <w:t>brokerage is time-limited and non-recurrent and there must be significant effort to integrate the client back into mainstream service provision</w:t>
      </w:r>
    </w:p>
    <w:p w14:paraId="16BE15B8" w14:textId="3C9DCBBA" w:rsidR="00E37383" w:rsidRPr="00077666" w:rsidRDefault="48AED0DF" w:rsidP="00740A47">
      <w:pPr>
        <w:pStyle w:val="Bullet1"/>
      </w:pPr>
      <w:r>
        <w:t>should be managed via invoice or SAMS2</w:t>
      </w:r>
    </w:p>
    <w:p w14:paraId="09EEB512" w14:textId="3A35C82F" w:rsidR="003865EA" w:rsidRDefault="48AED0DF" w:rsidP="00740A47">
      <w:pPr>
        <w:pStyle w:val="Bullet1"/>
      </w:pPr>
      <w:r>
        <w:t xml:space="preserve">brokerage funds may be used to purchase secondary consultation, training, specialist clinical staff support or mentoring </w:t>
      </w:r>
      <w:r w:rsidR="006D1993">
        <w:t>as per</w:t>
      </w:r>
      <w:r>
        <w:t xml:space="preserve"> the care plan and to build service capacity. This training should be </w:t>
      </w:r>
      <w:r w:rsidR="003865EA">
        <w:t xml:space="preserve">to enhance support to specific </w:t>
      </w:r>
      <w:r>
        <w:t>client</w:t>
      </w:r>
      <w:r w:rsidR="003865EA">
        <w:t xml:space="preserve">s </w:t>
      </w:r>
      <w:r>
        <w:t xml:space="preserve">and not </w:t>
      </w:r>
      <w:r w:rsidR="003865EA">
        <w:t xml:space="preserve">be </w:t>
      </w:r>
      <w:r>
        <w:t xml:space="preserve">used </w:t>
      </w:r>
      <w:r w:rsidR="003865EA">
        <w:t xml:space="preserve">for </w:t>
      </w:r>
      <w:r>
        <w:t xml:space="preserve">broad skill development. </w:t>
      </w:r>
    </w:p>
    <w:p w14:paraId="18D5B558" w14:textId="42D3F7D6" w:rsidR="007631B1" w:rsidRPr="00E9080E" w:rsidRDefault="00DB5DB9" w:rsidP="00240956">
      <w:pPr>
        <w:pStyle w:val="Heading3"/>
        <w:numPr>
          <w:ilvl w:val="2"/>
          <w:numId w:val="28"/>
        </w:numPr>
      </w:pPr>
      <w:bookmarkStart w:id="322" w:name="_Toc85010767"/>
      <w:r>
        <w:lastRenderedPageBreak/>
        <w:t xml:space="preserve">Complex </w:t>
      </w:r>
      <w:r w:rsidR="008573B1">
        <w:t>n</w:t>
      </w:r>
      <w:r>
        <w:t>eeds b</w:t>
      </w:r>
      <w:r w:rsidR="007631B1" w:rsidRPr="00E9080E">
        <w:t>rokerage exclusions</w:t>
      </w:r>
      <w:bookmarkEnd w:id="322"/>
      <w:r w:rsidR="007631B1" w:rsidRPr="00E9080E">
        <w:t xml:space="preserve"> </w:t>
      </w:r>
    </w:p>
    <w:p w14:paraId="599AA558" w14:textId="529DE395" w:rsidR="007631B1" w:rsidRDefault="0013684C" w:rsidP="007631B1">
      <w:pPr>
        <w:pStyle w:val="Body"/>
      </w:pPr>
      <w:r>
        <w:t>Complex needs b</w:t>
      </w:r>
      <w:r w:rsidR="007631B1">
        <w:t>rokerage is not to be used for</w:t>
      </w:r>
      <w:r w:rsidR="00DB5DB9">
        <w:t>:</w:t>
      </w:r>
    </w:p>
    <w:p w14:paraId="1CC5F989" w14:textId="55FFB80F" w:rsidR="007631B1" w:rsidRPr="00161E31" w:rsidRDefault="007631B1" w:rsidP="00740A47">
      <w:pPr>
        <w:pStyle w:val="Bullet1"/>
      </w:pPr>
      <w:r>
        <w:t>staff phones, fax</w:t>
      </w:r>
      <w:r w:rsidR="008C22E2">
        <w:t>,</w:t>
      </w:r>
      <w:r>
        <w:t xml:space="preserve"> or computer expenses</w:t>
      </w:r>
    </w:p>
    <w:p w14:paraId="7202CB11" w14:textId="03EE47B4" w:rsidR="007631B1" w:rsidRPr="00161E31" w:rsidRDefault="007631B1" w:rsidP="00740A47">
      <w:pPr>
        <w:pStyle w:val="Bullet1"/>
      </w:pPr>
      <w:r>
        <w:t>purchasing vehicles, vehicle rental, petrol</w:t>
      </w:r>
      <w:r w:rsidR="008C22E2">
        <w:t>,</w:t>
      </w:r>
      <w:r>
        <w:t xml:space="preserve"> or vehicle maintenance</w:t>
      </w:r>
    </w:p>
    <w:p w14:paraId="70354442" w14:textId="77777777" w:rsidR="007631B1" w:rsidRPr="00F6013D" w:rsidRDefault="007631B1" w:rsidP="00740A47">
      <w:pPr>
        <w:pStyle w:val="Bullet1"/>
      </w:pPr>
      <w:r>
        <w:t>staff-related travel expenses</w:t>
      </w:r>
    </w:p>
    <w:p w14:paraId="46888632" w14:textId="57815820" w:rsidR="007631B1" w:rsidRPr="00077666" w:rsidRDefault="007631B1" w:rsidP="00740A47">
      <w:pPr>
        <w:pStyle w:val="Bullet1"/>
      </w:pPr>
      <w:r>
        <w:t>office rental, maintenance, utilities</w:t>
      </w:r>
      <w:r w:rsidR="008C22E2">
        <w:t>,</w:t>
      </w:r>
      <w:r>
        <w:t xml:space="preserve"> or insurance</w:t>
      </w:r>
    </w:p>
    <w:p w14:paraId="7E910D7E" w14:textId="77777777" w:rsidR="007631B1" w:rsidRPr="00077666" w:rsidRDefault="007631B1" w:rsidP="00740A47">
      <w:pPr>
        <w:pStyle w:val="Bullet1"/>
      </w:pPr>
      <w:r>
        <w:t>management/infrastructure fees</w:t>
      </w:r>
    </w:p>
    <w:p w14:paraId="1DBF991B" w14:textId="77777777" w:rsidR="007631B1" w:rsidRPr="00077666" w:rsidRDefault="007631B1" w:rsidP="00740A47">
      <w:pPr>
        <w:pStyle w:val="Bullet1"/>
      </w:pPr>
      <w:r>
        <w:t xml:space="preserve">standard supervision, training and attendance and conferences </w:t>
      </w:r>
    </w:p>
    <w:p w14:paraId="5A615DE0" w14:textId="77777777" w:rsidR="007631B1" w:rsidRPr="00077666" w:rsidRDefault="007631B1" w:rsidP="00740A47">
      <w:pPr>
        <w:pStyle w:val="Bullet1"/>
      </w:pPr>
      <w:r>
        <w:t>client debts (including utility bills)</w:t>
      </w:r>
    </w:p>
    <w:p w14:paraId="645B35A3" w14:textId="77777777" w:rsidR="007631B1" w:rsidRPr="00077666" w:rsidRDefault="007631B1" w:rsidP="00740A47">
      <w:pPr>
        <w:pStyle w:val="Bullet1"/>
      </w:pPr>
      <w:r>
        <w:t>rent arrears</w:t>
      </w:r>
    </w:p>
    <w:p w14:paraId="1A259133" w14:textId="77777777" w:rsidR="007631B1" w:rsidRPr="000E1091" w:rsidRDefault="007631B1" w:rsidP="00740A47">
      <w:pPr>
        <w:pStyle w:val="Bullet1"/>
      </w:pPr>
      <w:r>
        <w:t>retrospective funding requests</w:t>
      </w:r>
    </w:p>
    <w:p w14:paraId="2E4002FB" w14:textId="77777777" w:rsidR="007631B1" w:rsidRDefault="007631B1" w:rsidP="00740A47">
      <w:pPr>
        <w:pStyle w:val="Bullet1"/>
      </w:pPr>
      <w:r>
        <w:t>any items or service that can be funded by the existing service system.</w:t>
      </w:r>
    </w:p>
    <w:p w14:paraId="0990D60C" w14:textId="37CE587E" w:rsidR="00A92C40" w:rsidRDefault="00A92C40" w:rsidP="000E7482">
      <w:pPr>
        <w:pStyle w:val="Heading2"/>
        <w:numPr>
          <w:ilvl w:val="1"/>
          <w:numId w:val="28"/>
        </w:numPr>
      </w:pPr>
      <w:bookmarkStart w:id="323" w:name="_Toc145318614"/>
      <w:r w:rsidRPr="008C22E2">
        <w:rPr>
          <w:rStyle w:val="Heading3Char"/>
        </w:rPr>
        <w:t>Brokerage use by each complex needs response</w:t>
      </w:r>
      <w:bookmarkEnd w:id="323"/>
    </w:p>
    <w:p w14:paraId="7217917F" w14:textId="59C103D5" w:rsidR="00E27195" w:rsidRPr="003B4EFA" w:rsidRDefault="00E27195" w:rsidP="00453B6E">
      <w:pPr>
        <w:pStyle w:val="Body"/>
      </w:pPr>
      <w:r w:rsidRPr="003B4EFA">
        <w:t>This section does not include AOS. Refer to section</w:t>
      </w:r>
      <w:r w:rsidR="00091708" w:rsidRPr="003B4EFA">
        <w:t xml:space="preserve"> 8.2</w:t>
      </w:r>
      <w:r w:rsidRPr="003B4EFA">
        <w:t xml:space="preserve"> for AOS brokerage requirements.</w:t>
      </w:r>
    </w:p>
    <w:p w14:paraId="1AC68CB3" w14:textId="0D1B3F23" w:rsidR="00A92C40" w:rsidRDefault="00A92C40" w:rsidP="00A92C40">
      <w:pPr>
        <w:pStyle w:val="Body"/>
      </w:pPr>
      <w:r>
        <w:t>Brokerage requirements apply to the operation of each complex needs service response.</w:t>
      </w:r>
    </w:p>
    <w:p w14:paraId="54C26760" w14:textId="77777777" w:rsidR="00240956" w:rsidRDefault="00240956" w:rsidP="00240956">
      <w:pPr>
        <w:pStyle w:val="Heading3"/>
        <w:numPr>
          <w:ilvl w:val="2"/>
          <w:numId w:val="28"/>
        </w:numPr>
      </w:pPr>
      <w:r>
        <w:t>Brokerage use summary</w:t>
      </w:r>
    </w:p>
    <w:p w14:paraId="4104BC65" w14:textId="2C722CA5" w:rsidR="00240956" w:rsidRPr="003865EA" w:rsidRDefault="00240956" w:rsidP="00240956">
      <w:pPr>
        <w:pStyle w:val="Body"/>
      </w:pPr>
      <w:r>
        <w:t xml:space="preserve">The following table provides summary information on brokerage by service response, </w:t>
      </w:r>
      <w:r w:rsidR="00792A20">
        <w:t>which</w:t>
      </w:r>
      <w:r>
        <w:t xml:space="preserve"> is </w:t>
      </w:r>
      <w:r w:rsidR="00792A20">
        <w:t>detailed</w:t>
      </w:r>
      <w:r>
        <w:t xml:space="preserve"> in the </w:t>
      </w:r>
      <w:r w:rsidR="00DC7384">
        <w:t xml:space="preserve">subsequent </w:t>
      </w:r>
      <w:r>
        <w:t>sections</w:t>
      </w:r>
      <w:r w:rsidR="0096595A">
        <w:t>.</w:t>
      </w:r>
    </w:p>
    <w:p w14:paraId="6DBC4575" w14:textId="77777777" w:rsidR="00240956" w:rsidRPr="00D03663" w:rsidRDefault="00240956" w:rsidP="00240956">
      <w:pPr>
        <w:pStyle w:val="Figurecaption"/>
      </w:pPr>
      <w:r w:rsidRPr="00D03663">
        <w:t>Summary of brokerage allocation for complex needs service responses</w:t>
      </w:r>
    </w:p>
    <w:tbl>
      <w:tblPr>
        <w:tblStyle w:val="TableGrid"/>
        <w:tblW w:w="5000" w:type="pct"/>
        <w:tblLook w:val="04A0" w:firstRow="1" w:lastRow="0" w:firstColumn="1" w:lastColumn="0" w:noHBand="0" w:noVBand="1"/>
      </w:tblPr>
      <w:tblGrid>
        <w:gridCol w:w="1932"/>
        <w:gridCol w:w="1670"/>
        <w:gridCol w:w="1971"/>
        <w:gridCol w:w="3715"/>
      </w:tblGrid>
      <w:tr w:rsidR="00240956" w:rsidRPr="00D03663" w14:paraId="794A93F2" w14:textId="77777777">
        <w:trPr>
          <w:tblHeader/>
        </w:trPr>
        <w:tc>
          <w:tcPr>
            <w:tcW w:w="1040" w:type="pct"/>
            <w:shd w:val="clear" w:color="auto" w:fill="auto"/>
          </w:tcPr>
          <w:p w14:paraId="6AC18061" w14:textId="14917C7A" w:rsidR="00240956" w:rsidRPr="00D03663" w:rsidRDefault="0096595A">
            <w:pPr>
              <w:pStyle w:val="Tablecolhead"/>
              <w:rPr>
                <w:rFonts w:eastAsia="Arial"/>
                <w:color w:val="auto"/>
              </w:rPr>
            </w:pPr>
            <w:r>
              <w:rPr>
                <w:rFonts w:eastAsia="Arial"/>
                <w:color w:val="auto"/>
              </w:rPr>
              <w:t>Response</w:t>
            </w:r>
          </w:p>
        </w:tc>
        <w:tc>
          <w:tcPr>
            <w:tcW w:w="899" w:type="pct"/>
            <w:shd w:val="clear" w:color="auto" w:fill="auto"/>
          </w:tcPr>
          <w:p w14:paraId="1C66F237" w14:textId="787F20D7" w:rsidR="00240956" w:rsidRPr="00D03663" w:rsidRDefault="0096595A">
            <w:pPr>
              <w:pStyle w:val="Tablecolhead"/>
              <w:rPr>
                <w:rFonts w:eastAsia="Arial"/>
                <w:color w:val="auto"/>
              </w:rPr>
            </w:pPr>
            <w:r>
              <w:rPr>
                <w:rFonts w:eastAsia="Arial"/>
                <w:color w:val="auto"/>
              </w:rPr>
              <w:t>L</w:t>
            </w:r>
            <w:r w:rsidR="00240956" w:rsidRPr="00D03663">
              <w:rPr>
                <w:rFonts w:eastAsia="Arial"/>
                <w:color w:val="auto"/>
              </w:rPr>
              <w:t>imit</w:t>
            </w:r>
          </w:p>
        </w:tc>
        <w:tc>
          <w:tcPr>
            <w:tcW w:w="1061" w:type="pct"/>
            <w:shd w:val="clear" w:color="auto" w:fill="auto"/>
          </w:tcPr>
          <w:p w14:paraId="3466EDD1" w14:textId="401BBD55" w:rsidR="00240956" w:rsidRPr="00D03663" w:rsidRDefault="00240956">
            <w:pPr>
              <w:pStyle w:val="Tablecolhead"/>
              <w:rPr>
                <w:rFonts w:eastAsia="Arial"/>
                <w:color w:val="auto"/>
              </w:rPr>
            </w:pPr>
            <w:r w:rsidRPr="00D03663">
              <w:rPr>
                <w:rFonts w:eastAsia="Arial"/>
                <w:color w:val="auto"/>
              </w:rPr>
              <w:t xml:space="preserve">Purpose </w:t>
            </w:r>
          </w:p>
        </w:tc>
        <w:tc>
          <w:tcPr>
            <w:tcW w:w="2000" w:type="pct"/>
            <w:shd w:val="clear" w:color="auto" w:fill="auto"/>
          </w:tcPr>
          <w:p w14:paraId="6BBE297D" w14:textId="77777777" w:rsidR="00240956" w:rsidRPr="00D03663" w:rsidRDefault="00240956">
            <w:pPr>
              <w:pStyle w:val="Tablecolhead"/>
              <w:rPr>
                <w:rFonts w:eastAsia="Arial"/>
                <w:color w:val="auto"/>
              </w:rPr>
            </w:pPr>
            <w:r w:rsidRPr="00D03663">
              <w:rPr>
                <w:rFonts w:eastAsia="Arial"/>
                <w:color w:val="auto"/>
              </w:rPr>
              <w:t xml:space="preserve">Services/items </w:t>
            </w:r>
          </w:p>
        </w:tc>
      </w:tr>
      <w:tr w:rsidR="00240956" w:rsidRPr="00D03663" w14:paraId="0AEAAA88" w14:textId="77777777">
        <w:trPr>
          <w:trHeight w:val="1530"/>
        </w:trPr>
        <w:tc>
          <w:tcPr>
            <w:tcW w:w="1040" w:type="pct"/>
          </w:tcPr>
          <w:p w14:paraId="3D1AAEB7" w14:textId="77777777" w:rsidR="00240956" w:rsidRPr="00A92C40" w:rsidRDefault="00240956">
            <w:pPr>
              <w:pStyle w:val="Tabletext"/>
              <w:rPr>
                <w:b/>
                <w:bCs/>
              </w:rPr>
            </w:pPr>
            <w:r w:rsidRPr="00A92C40">
              <w:rPr>
                <w:b/>
                <w:bCs/>
              </w:rPr>
              <w:t xml:space="preserve">Consultation </w:t>
            </w:r>
          </w:p>
          <w:p w14:paraId="43AD6970" w14:textId="77777777" w:rsidR="00240956" w:rsidRPr="00D03663" w:rsidRDefault="00240956">
            <w:pPr>
              <w:pStyle w:val="Tabletext"/>
            </w:pPr>
            <w:r>
              <w:t>(any client with complex needs)</w:t>
            </w:r>
          </w:p>
        </w:tc>
        <w:tc>
          <w:tcPr>
            <w:tcW w:w="899" w:type="pct"/>
          </w:tcPr>
          <w:p w14:paraId="6EB2C80C" w14:textId="77777777" w:rsidR="00240956" w:rsidRPr="00D03663" w:rsidRDefault="00240956">
            <w:pPr>
              <w:pStyle w:val="Tabletext"/>
            </w:pPr>
            <w:r w:rsidRPr="00D03663">
              <w:t xml:space="preserve">Up to $25,000 per </w:t>
            </w:r>
            <w:r>
              <w:t xml:space="preserve">client per </w:t>
            </w:r>
            <w:r w:rsidRPr="00D03663">
              <w:t>12-month period</w:t>
            </w:r>
          </w:p>
        </w:tc>
        <w:tc>
          <w:tcPr>
            <w:tcW w:w="1061" w:type="pct"/>
          </w:tcPr>
          <w:p w14:paraId="5BB176CF" w14:textId="77777777" w:rsidR="00240956" w:rsidRPr="00D03663" w:rsidRDefault="00240956">
            <w:pPr>
              <w:pStyle w:val="Tabletext"/>
            </w:pPr>
            <w:r w:rsidRPr="00D03663">
              <w:t>Ass</w:t>
            </w:r>
            <w:r>
              <w:t>essments to ass</w:t>
            </w:r>
            <w:r w:rsidRPr="00D03663">
              <w:t>ist with service planning or access</w:t>
            </w:r>
          </w:p>
        </w:tc>
        <w:tc>
          <w:tcPr>
            <w:tcW w:w="2000" w:type="pct"/>
          </w:tcPr>
          <w:p w14:paraId="4227C62E" w14:textId="77777777" w:rsidR="00240956" w:rsidRPr="00D03663" w:rsidRDefault="00240956">
            <w:pPr>
              <w:pStyle w:val="Tabletext"/>
            </w:pPr>
            <w:r>
              <w:t>A</w:t>
            </w:r>
            <w:r w:rsidRPr="00D03663">
              <w:t>ssessment</w:t>
            </w:r>
            <w:r>
              <w:t xml:space="preserve"> only, e.g.</w:t>
            </w:r>
            <w:r w:rsidRPr="00D03663">
              <w:t>:</w:t>
            </w:r>
            <w:r>
              <w:t xml:space="preserve"> </w:t>
            </w:r>
            <w:r w:rsidRPr="00D03663">
              <w:t>psychiatric</w:t>
            </w:r>
            <w:r>
              <w:t xml:space="preserve">, </w:t>
            </w:r>
            <w:r w:rsidRPr="00D03663">
              <w:t>neuro-cognitive</w:t>
            </w:r>
            <w:r>
              <w:t xml:space="preserve">, </w:t>
            </w:r>
            <w:r w:rsidRPr="00D03663">
              <w:t>occupational therapy</w:t>
            </w:r>
            <w:r>
              <w:t xml:space="preserve">, </w:t>
            </w:r>
            <w:r w:rsidRPr="00D03663">
              <w:t>other allied health</w:t>
            </w:r>
            <w:r>
              <w:t xml:space="preserve">, </w:t>
            </w:r>
            <w:r w:rsidRPr="00D03663">
              <w:t>risk assessment</w:t>
            </w:r>
            <w:r>
              <w:t>.</w:t>
            </w:r>
          </w:p>
        </w:tc>
      </w:tr>
      <w:tr w:rsidR="00240956" w:rsidRPr="00D03663" w14:paraId="6F012DD8" w14:textId="77777777">
        <w:trPr>
          <w:trHeight w:val="1482"/>
        </w:trPr>
        <w:tc>
          <w:tcPr>
            <w:tcW w:w="1040" w:type="pct"/>
          </w:tcPr>
          <w:p w14:paraId="679CD262" w14:textId="77777777" w:rsidR="00240956" w:rsidRPr="00A92C40" w:rsidRDefault="00240956">
            <w:pPr>
              <w:pStyle w:val="Tabletext"/>
              <w:rPr>
                <w:b/>
                <w:bCs/>
              </w:rPr>
            </w:pPr>
            <w:r w:rsidRPr="00A92C40">
              <w:rPr>
                <w:b/>
                <w:bCs/>
              </w:rPr>
              <w:t>Support for High-Risk Tenancies</w:t>
            </w:r>
          </w:p>
          <w:p w14:paraId="063FF589" w14:textId="77777777" w:rsidR="00240956" w:rsidRPr="00D03663" w:rsidRDefault="00240956">
            <w:pPr>
              <w:pStyle w:val="Tabletext"/>
            </w:pPr>
            <w:r w:rsidRPr="00D03663">
              <w:t xml:space="preserve">(Public housing </w:t>
            </w:r>
            <w:r>
              <w:t>renters</w:t>
            </w:r>
            <w:r w:rsidRPr="00D03663">
              <w:t xml:space="preserve"> only)</w:t>
            </w:r>
          </w:p>
        </w:tc>
        <w:tc>
          <w:tcPr>
            <w:tcW w:w="899" w:type="pct"/>
          </w:tcPr>
          <w:p w14:paraId="5EBB4CE1" w14:textId="77777777" w:rsidR="00240956" w:rsidRPr="00D03663" w:rsidRDefault="00240956">
            <w:pPr>
              <w:pStyle w:val="Tabletext"/>
            </w:pPr>
            <w:r w:rsidRPr="00D03663">
              <w:t>Expendable within budget</w:t>
            </w:r>
          </w:p>
        </w:tc>
        <w:tc>
          <w:tcPr>
            <w:tcW w:w="1061" w:type="pct"/>
          </w:tcPr>
          <w:p w14:paraId="528131D9" w14:textId="77777777" w:rsidR="00240956" w:rsidRPr="00D03663" w:rsidRDefault="00240956">
            <w:pPr>
              <w:pStyle w:val="Tabletext"/>
            </w:pPr>
            <w:r w:rsidRPr="00D03663">
              <w:t>To maintain or establish at-risk tenancy</w:t>
            </w:r>
          </w:p>
        </w:tc>
        <w:tc>
          <w:tcPr>
            <w:tcW w:w="2000" w:type="pct"/>
          </w:tcPr>
          <w:p w14:paraId="41623111" w14:textId="0988CE04" w:rsidR="00240956" w:rsidRPr="00D03663" w:rsidRDefault="00240956">
            <w:pPr>
              <w:pStyle w:val="Tabletext"/>
            </w:pPr>
            <w:r w:rsidRPr="00D03663">
              <w:t xml:space="preserve">Services that support the </w:t>
            </w:r>
            <w:r>
              <w:t xml:space="preserve">renter </w:t>
            </w:r>
            <w:r w:rsidRPr="00D03663">
              <w:t>to maintain</w:t>
            </w:r>
            <w:r w:rsidR="00DC7384">
              <w:t>/</w:t>
            </w:r>
            <w:r w:rsidRPr="00D03663">
              <w:t xml:space="preserve">establish a tenancy. </w:t>
            </w:r>
            <w:r>
              <w:t xml:space="preserve">e.g.: </w:t>
            </w:r>
            <w:r w:rsidRPr="00D03663">
              <w:t xml:space="preserve"> </w:t>
            </w:r>
            <w:r w:rsidRPr="00DF633B">
              <w:t>cleaning services</w:t>
            </w:r>
            <w:r>
              <w:t xml:space="preserve">, </w:t>
            </w:r>
            <w:r w:rsidRPr="00DF633B">
              <w:t>specialist services (behavioural intervention)</w:t>
            </w:r>
            <w:r>
              <w:t xml:space="preserve">, </w:t>
            </w:r>
            <w:r w:rsidRPr="00DF633B">
              <w:t>capacity building.</w:t>
            </w:r>
          </w:p>
        </w:tc>
      </w:tr>
      <w:tr w:rsidR="00E45E02" w:rsidRPr="00D03663" w14:paraId="246BDEE5" w14:textId="77777777">
        <w:trPr>
          <w:trHeight w:val="1482"/>
        </w:trPr>
        <w:tc>
          <w:tcPr>
            <w:tcW w:w="1040" w:type="pct"/>
          </w:tcPr>
          <w:p w14:paraId="55F8BA05" w14:textId="77777777" w:rsidR="00E45E02" w:rsidRPr="00A92C40" w:rsidRDefault="00E45E02" w:rsidP="00E45E02">
            <w:pPr>
              <w:pStyle w:val="Tabletext"/>
              <w:rPr>
                <w:b/>
                <w:bCs/>
              </w:rPr>
            </w:pPr>
            <w:r w:rsidRPr="00A92C40">
              <w:rPr>
                <w:b/>
                <w:bCs/>
              </w:rPr>
              <w:t>Pre-MACNI</w:t>
            </w:r>
          </w:p>
          <w:p w14:paraId="1ED4ECA4" w14:textId="4205455B" w:rsidR="00E45E02" w:rsidRPr="00A92C40" w:rsidRDefault="00E45E02" w:rsidP="00E45E02">
            <w:pPr>
              <w:pStyle w:val="Tabletext"/>
              <w:rPr>
                <w:b/>
                <w:bCs/>
              </w:rPr>
            </w:pPr>
            <w:r>
              <w:t>(pre-MACNI clients only)</w:t>
            </w:r>
          </w:p>
        </w:tc>
        <w:tc>
          <w:tcPr>
            <w:tcW w:w="899" w:type="pct"/>
          </w:tcPr>
          <w:p w14:paraId="69872508" w14:textId="5F429158" w:rsidR="00E45E02" w:rsidRPr="00D03663" w:rsidRDefault="00E45E02" w:rsidP="00E45E02">
            <w:pPr>
              <w:pStyle w:val="Tabletext"/>
            </w:pPr>
            <w:r w:rsidRPr="00D03663">
              <w:t xml:space="preserve">Up to $15,000 per </w:t>
            </w:r>
            <w:r>
              <w:t xml:space="preserve">client per </w:t>
            </w:r>
            <w:r w:rsidRPr="00D03663">
              <w:t>12-month period</w:t>
            </w:r>
          </w:p>
        </w:tc>
        <w:tc>
          <w:tcPr>
            <w:tcW w:w="1061" w:type="pct"/>
          </w:tcPr>
          <w:p w14:paraId="00A4971D" w14:textId="17CEBC48" w:rsidR="00E45E02" w:rsidRPr="00D03663" w:rsidRDefault="00E45E02" w:rsidP="00E45E02">
            <w:pPr>
              <w:pStyle w:val="Tabletext"/>
            </w:pPr>
            <w:r w:rsidRPr="00D03663">
              <w:t>Interrupt a significant crisis, trial an intervention and/or prevent further escalation of need at a local level</w:t>
            </w:r>
          </w:p>
        </w:tc>
        <w:tc>
          <w:tcPr>
            <w:tcW w:w="2000" w:type="pct"/>
          </w:tcPr>
          <w:p w14:paraId="3725B7D8" w14:textId="77777777" w:rsidR="00E45E02" w:rsidRPr="001A006F" w:rsidRDefault="00E45E02" w:rsidP="00E45E02">
            <w:pPr>
              <w:pStyle w:val="Tablebullet1"/>
            </w:pPr>
            <w:r w:rsidRPr="001A006F">
              <w:t>accommodation (</w:t>
            </w:r>
            <w:r>
              <w:t xml:space="preserve">limited - </w:t>
            </w:r>
            <w:r w:rsidRPr="001A006F">
              <w:t>see below)</w:t>
            </w:r>
          </w:p>
          <w:p w14:paraId="3D0AB196" w14:textId="77777777" w:rsidR="00E45E02" w:rsidRPr="00D03663" w:rsidRDefault="00E45E02" w:rsidP="00E45E02">
            <w:pPr>
              <w:pStyle w:val="Tablebullet1"/>
            </w:pPr>
            <w:r>
              <w:t>allied health services (e.g.: OT, speech pathology, neuro-cognitive)</w:t>
            </w:r>
          </w:p>
          <w:p w14:paraId="5E4B9258" w14:textId="77777777" w:rsidR="00E45E02" w:rsidRPr="00D03663" w:rsidRDefault="00E45E02" w:rsidP="00E45E02">
            <w:pPr>
              <w:pStyle w:val="Tablebullet1"/>
            </w:pPr>
            <w:r>
              <w:t>assessments (allied health, risk, psychological, OT)</w:t>
            </w:r>
          </w:p>
          <w:p w14:paraId="143A256B" w14:textId="77777777" w:rsidR="00E45E02" w:rsidRPr="00D03663" w:rsidRDefault="00E45E02" w:rsidP="00E45E02">
            <w:pPr>
              <w:pStyle w:val="Tablebullet1"/>
            </w:pPr>
            <w:r>
              <w:t xml:space="preserve">bridging finance that will have a significant impact on treatment </w:t>
            </w:r>
          </w:p>
          <w:p w14:paraId="15BA3F7B" w14:textId="77777777" w:rsidR="00E45E02" w:rsidRPr="00D03663" w:rsidRDefault="00E45E02" w:rsidP="00E45E02">
            <w:pPr>
              <w:pStyle w:val="Tablebullet1"/>
            </w:pPr>
            <w:r>
              <w:t>care plan development</w:t>
            </w:r>
          </w:p>
          <w:p w14:paraId="252221B5" w14:textId="77777777" w:rsidR="00E45E02" w:rsidRPr="00D03663" w:rsidRDefault="00E45E02" w:rsidP="00E45E02">
            <w:pPr>
              <w:pStyle w:val="Tablebullet1"/>
            </w:pPr>
            <w:r>
              <w:lastRenderedPageBreak/>
              <w:t>care plan coordination</w:t>
            </w:r>
          </w:p>
          <w:p w14:paraId="2973F64B" w14:textId="77777777" w:rsidR="00E45E02" w:rsidRPr="00D03663" w:rsidRDefault="00E45E02" w:rsidP="00E45E02">
            <w:pPr>
              <w:pStyle w:val="Tablebullet1"/>
            </w:pPr>
            <w:r>
              <w:t xml:space="preserve">direct support provision/worker </w:t>
            </w:r>
          </w:p>
          <w:p w14:paraId="60BC7768" w14:textId="77777777" w:rsidR="00E45E02" w:rsidRPr="00D03663" w:rsidRDefault="00E45E02" w:rsidP="00E45E02">
            <w:pPr>
              <w:pStyle w:val="Tablebullet1"/>
            </w:pPr>
            <w:r>
              <w:t>other specific items upon approval</w:t>
            </w:r>
          </w:p>
          <w:p w14:paraId="393DBAA8" w14:textId="77777777" w:rsidR="00E45E02" w:rsidRPr="00D03663" w:rsidRDefault="00E45E02" w:rsidP="00E45E02">
            <w:pPr>
              <w:pStyle w:val="Tablebullet1"/>
            </w:pPr>
            <w:r>
              <w:t xml:space="preserve">psychological/psychiatric treatment </w:t>
            </w:r>
          </w:p>
          <w:p w14:paraId="4545DE3F" w14:textId="102E8BC3" w:rsidR="00E45E02" w:rsidRPr="00D03663" w:rsidRDefault="00E45E02" w:rsidP="00E45E02">
            <w:pPr>
              <w:pStyle w:val="Tabletext"/>
            </w:pPr>
            <w:r>
              <w:t>secondary consultation / clinical guidance / staff training.</w:t>
            </w:r>
          </w:p>
        </w:tc>
      </w:tr>
      <w:tr w:rsidR="00E45E02" w:rsidRPr="00D03663" w14:paraId="17B8DD9F" w14:textId="77777777">
        <w:trPr>
          <w:trHeight w:val="1482"/>
        </w:trPr>
        <w:tc>
          <w:tcPr>
            <w:tcW w:w="1040" w:type="pct"/>
          </w:tcPr>
          <w:p w14:paraId="7119CB6D" w14:textId="77777777" w:rsidR="00E45E02" w:rsidRPr="00A92C40" w:rsidRDefault="00E45E02" w:rsidP="00E45E02">
            <w:pPr>
              <w:pStyle w:val="Tabletext"/>
              <w:rPr>
                <w:b/>
                <w:bCs/>
              </w:rPr>
            </w:pPr>
            <w:r w:rsidRPr="00A92C40">
              <w:rPr>
                <w:b/>
                <w:bCs/>
              </w:rPr>
              <w:lastRenderedPageBreak/>
              <w:t>Formal MACNI</w:t>
            </w:r>
          </w:p>
          <w:p w14:paraId="598CECEC" w14:textId="1D686499" w:rsidR="00E45E02" w:rsidRPr="00A92C40" w:rsidRDefault="00E45E02" w:rsidP="00E45E02">
            <w:pPr>
              <w:pStyle w:val="Tabletext"/>
              <w:rPr>
                <w:b/>
                <w:bCs/>
              </w:rPr>
            </w:pPr>
            <w:r>
              <w:t>(Formal MACNI clients only)</w:t>
            </w:r>
          </w:p>
        </w:tc>
        <w:tc>
          <w:tcPr>
            <w:tcW w:w="899" w:type="pct"/>
          </w:tcPr>
          <w:p w14:paraId="0E6A026A" w14:textId="48E8005F" w:rsidR="00E45E02" w:rsidRPr="00D03663" w:rsidRDefault="00E45E02" w:rsidP="00E45E02">
            <w:pPr>
              <w:pStyle w:val="Tabletext"/>
            </w:pPr>
            <w:r w:rsidRPr="00D03663">
              <w:t>Expendable within area / division budget and in-line with the approved care plan</w:t>
            </w:r>
          </w:p>
        </w:tc>
        <w:tc>
          <w:tcPr>
            <w:tcW w:w="1061" w:type="pct"/>
          </w:tcPr>
          <w:p w14:paraId="13EB4678" w14:textId="07631E99" w:rsidR="00E45E02" w:rsidRPr="00D03663" w:rsidRDefault="00E45E02" w:rsidP="00E45E02">
            <w:pPr>
              <w:pStyle w:val="Tabletext"/>
            </w:pPr>
            <w:r w:rsidRPr="00D03663">
              <w:t xml:space="preserve">Support the delivery of the care plan </w:t>
            </w:r>
          </w:p>
        </w:tc>
        <w:tc>
          <w:tcPr>
            <w:tcW w:w="2000" w:type="pct"/>
          </w:tcPr>
          <w:p w14:paraId="197062B3" w14:textId="77777777" w:rsidR="00E45E02" w:rsidRPr="001A006F" w:rsidRDefault="00E45E02" w:rsidP="00E45E02">
            <w:pPr>
              <w:pStyle w:val="Tablebullet1"/>
            </w:pPr>
            <w:r w:rsidRPr="001A006F">
              <w:t>accommodation (</w:t>
            </w:r>
            <w:r>
              <w:t xml:space="preserve">limited - </w:t>
            </w:r>
            <w:r w:rsidRPr="001A006F">
              <w:t>see below)</w:t>
            </w:r>
          </w:p>
          <w:p w14:paraId="078734E3" w14:textId="77777777" w:rsidR="00E45E02" w:rsidRPr="00D03663" w:rsidRDefault="00E45E02" w:rsidP="00E45E02">
            <w:pPr>
              <w:pStyle w:val="Tablebullet1"/>
            </w:pPr>
            <w:r>
              <w:t>allied health services (e.g.: OT, speech pathology, neuro-cognitive)</w:t>
            </w:r>
          </w:p>
          <w:p w14:paraId="6904AEDC" w14:textId="77777777" w:rsidR="00E45E02" w:rsidRPr="00D03663" w:rsidRDefault="00E45E02" w:rsidP="00E45E02">
            <w:pPr>
              <w:pStyle w:val="Tablebullet1"/>
            </w:pPr>
            <w:r>
              <w:t>assessments (allied health, risk, psychological, OT)</w:t>
            </w:r>
          </w:p>
          <w:p w14:paraId="73B50D91" w14:textId="77777777" w:rsidR="00E45E02" w:rsidRPr="00D03663" w:rsidRDefault="00E45E02" w:rsidP="00E45E02">
            <w:pPr>
              <w:pStyle w:val="Tablebullet1"/>
            </w:pPr>
            <w:r>
              <w:t xml:space="preserve">bridging finance that will have a significant impact on treatment </w:t>
            </w:r>
          </w:p>
          <w:p w14:paraId="03D65B88" w14:textId="77777777" w:rsidR="00E45E02" w:rsidRPr="00D03663" w:rsidRDefault="00E45E02" w:rsidP="00E45E02">
            <w:pPr>
              <w:pStyle w:val="Tablebullet1"/>
            </w:pPr>
            <w:r>
              <w:t>care plan development</w:t>
            </w:r>
          </w:p>
          <w:p w14:paraId="51821A97" w14:textId="77777777" w:rsidR="00E45E02" w:rsidRPr="00D03663" w:rsidRDefault="00E45E02" w:rsidP="00E45E02">
            <w:pPr>
              <w:pStyle w:val="Tablebullet1"/>
            </w:pPr>
            <w:r>
              <w:t>care plan coordination</w:t>
            </w:r>
          </w:p>
          <w:p w14:paraId="0742F6D0" w14:textId="77777777" w:rsidR="00E45E02" w:rsidRPr="00D03663" w:rsidRDefault="00E45E02" w:rsidP="00E45E02">
            <w:pPr>
              <w:pStyle w:val="Tablebullet1"/>
            </w:pPr>
            <w:r>
              <w:t xml:space="preserve">direct support provision/worker </w:t>
            </w:r>
          </w:p>
          <w:p w14:paraId="2F0348E1" w14:textId="77777777" w:rsidR="00E45E02" w:rsidRPr="00D03663" w:rsidRDefault="00E45E02" w:rsidP="00E45E02">
            <w:pPr>
              <w:pStyle w:val="Tablebullet1"/>
            </w:pPr>
            <w:r>
              <w:t>other specific items upon approval</w:t>
            </w:r>
          </w:p>
          <w:p w14:paraId="2C0FA5DF" w14:textId="77777777" w:rsidR="00E45E02" w:rsidRPr="00D03663" w:rsidRDefault="00E45E02" w:rsidP="00E45E02">
            <w:pPr>
              <w:pStyle w:val="Tablebullet1"/>
            </w:pPr>
            <w:r>
              <w:t xml:space="preserve">psychological/psychiatric treatment </w:t>
            </w:r>
          </w:p>
          <w:p w14:paraId="43FB38A5" w14:textId="6F5B3673" w:rsidR="00E45E02" w:rsidRPr="00D03663" w:rsidRDefault="00E45E02" w:rsidP="00E45E02">
            <w:pPr>
              <w:pStyle w:val="Tabletext"/>
            </w:pPr>
            <w:r>
              <w:t>secondary consultation / clinical guidance / staff training.</w:t>
            </w:r>
          </w:p>
        </w:tc>
      </w:tr>
    </w:tbl>
    <w:p w14:paraId="286C1084" w14:textId="4FBA1880" w:rsidR="00240956" w:rsidRDefault="00240956" w:rsidP="00240956">
      <w:pPr>
        <w:pStyle w:val="Body"/>
        <w:spacing w:before="120"/>
      </w:pPr>
      <w:r w:rsidRPr="0074549D">
        <w:rPr>
          <w:b/>
          <w:bCs/>
        </w:rPr>
        <w:t>Note:</w:t>
      </w:r>
      <w:r w:rsidRPr="00D03663">
        <w:t xml:space="preserve"> </w:t>
      </w:r>
      <w:r>
        <w:t>B</w:t>
      </w:r>
      <w:r w:rsidRPr="00D03663">
        <w:t xml:space="preserve">rokerage </w:t>
      </w:r>
      <w:r>
        <w:t xml:space="preserve">can be used </w:t>
      </w:r>
      <w:r w:rsidRPr="00D03663">
        <w:t>for short</w:t>
      </w:r>
      <w:r>
        <w:t>-</w:t>
      </w:r>
      <w:r w:rsidRPr="00D03663">
        <w:t xml:space="preserve">term accommodation where there are no appropriate options available </w:t>
      </w:r>
      <w:r>
        <w:t>with</w:t>
      </w:r>
      <w:r w:rsidRPr="00D03663">
        <w:t xml:space="preserve">in the service system. An allocation of brokerage for accommodation </w:t>
      </w:r>
      <w:r>
        <w:t>must</w:t>
      </w:r>
      <w:r w:rsidRPr="00D03663">
        <w:t xml:space="preserve"> </w:t>
      </w:r>
      <w:r>
        <w:t xml:space="preserve">have </w:t>
      </w:r>
      <w:r w:rsidRPr="00D03663">
        <w:t xml:space="preserve">an end date; funding is time-limited and reviewed </w:t>
      </w:r>
      <w:r w:rsidRPr="00A01E68">
        <w:rPr>
          <w:bCs/>
        </w:rPr>
        <w:t>monthly.</w:t>
      </w:r>
      <w:r w:rsidRPr="00D03663">
        <w:t xml:space="preserve"> Where appropriate, clients will be required to contribute up to 25% of their income to the cost of accommodation.</w:t>
      </w:r>
    </w:p>
    <w:p w14:paraId="043ABE6B" w14:textId="04757091" w:rsidR="006D1993" w:rsidRDefault="006D1993" w:rsidP="000E7482">
      <w:pPr>
        <w:pStyle w:val="Heading3"/>
        <w:numPr>
          <w:ilvl w:val="2"/>
          <w:numId w:val="28"/>
        </w:numPr>
      </w:pPr>
      <w:r>
        <w:t xml:space="preserve">Consultation </w:t>
      </w:r>
    </w:p>
    <w:p w14:paraId="46C9E2D5" w14:textId="3CDF1DAE" w:rsidR="00A92C40" w:rsidRDefault="006D1993" w:rsidP="006D1993">
      <w:pPr>
        <w:pStyle w:val="Body"/>
      </w:pPr>
      <w:r>
        <w:t>Consultation</w:t>
      </w:r>
      <w:r w:rsidRPr="00905850">
        <w:t xml:space="preserve"> support includes the capacity to use </w:t>
      </w:r>
      <w:r>
        <w:t>assessment</w:t>
      </w:r>
      <w:r w:rsidRPr="00905850">
        <w:t xml:space="preserve"> brokerage </w:t>
      </w:r>
      <w:r w:rsidRPr="000E1091">
        <w:t>funding of up to $25,000 in a 12-month period. This brokerage can only be used to purchase specific assessments</w:t>
      </w:r>
      <w:r w:rsidRPr="00905850">
        <w:t xml:space="preserve"> that </w:t>
      </w:r>
      <w:r>
        <w:t>are</w:t>
      </w:r>
      <w:r w:rsidRPr="00905850">
        <w:t xml:space="preserve"> needed to assist with service planning</w:t>
      </w:r>
      <w:r>
        <w:t xml:space="preserve"> or service system access.</w:t>
      </w:r>
      <w:r w:rsidR="00A92C40">
        <w:t xml:space="preserve"> </w:t>
      </w:r>
      <w:r>
        <w:t xml:space="preserve">All requests for brokerage must be recorded on a </w:t>
      </w:r>
      <w:r w:rsidR="000979F4">
        <w:t xml:space="preserve">7b </w:t>
      </w:r>
      <w:r>
        <w:t xml:space="preserve">Brokerage Request Form and approved by the appropriate financial delegate. </w:t>
      </w:r>
    </w:p>
    <w:p w14:paraId="29D7CD84" w14:textId="08D447A8" w:rsidR="006D1993" w:rsidRDefault="006D1993" w:rsidP="006D1993">
      <w:pPr>
        <w:pStyle w:val="Body"/>
      </w:pPr>
      <w:r w:rsidRPr="00E45D56">
        <w:t>All consultation brokerage allocations are reported as a standard item at Complex Needs Panels</w:t>
      </w:r>
      <w:r w:rsidR="00AE32AE" w:rsidRPr="00E45D56">
        <w:t xml:space="preserve"> using 7</w:t>
      </w:r>
      <w:r w:rsidR="000979F4">
        <w:t>d</w:t>
      </w:r>
      <w:r w:rsidR="00AE32AE" w:rsidRPr="00E45D56">
        <w:t xml:space="preserve"> Brokerage Notification</w:t>
      </w:r>
      <w:r w:rsidR="00F53266">
        <w:t xml:space="preserve"> Form</w:t>
      </w:r>
      <w:r w:rsidRPr="00E45D56">
        <w:t>.</w:t>
      </w:r>
      <w:r w:rsidR="00A21E95" w:rsidRPr="00A21E95">
        <w:t xml:space="preserve"> </w:t>
      </w:r>
      <w:r w:rsidR="00A21E95">
        <w:t>The Monthly Snapshot Report forwarded to divisions from the Central Complex Needs team is also recommended for panel to note.</w:t>
      </w:r>
    </w:p>
    <w:p w14:paraId="56F4097C" w14:textId="77777777" w:rsidR="006D1993" w:rsidRPr="00AD1F27" w:rsidRDefault="006D1993" w:rsidP="006D1993">
      <w:pPr>
        <w:pStyle w:val="Figurecaption"/>
      </w:pPr>
      <w:r>
        <w:t>Consultation brokerage approval requirements</w:t>
      </w:r>
    </w:p>
    <w:tbl>
      <w:tblPr>
        <w:tblStyle w:val="TableGrid"/>
        <w:tblW w:w="5000" w:type="pct"/>
        <w:tblLook w:val="04A0" w:firstRow="1" w:lastRow="0" w:firstColumn="1" w:lastColumn="0" w:noHBand="0" w:noVBand="1"/>
      </w:tblPr>
      <w:tblGrid>
        <w:gridCol w:w="1830"/>
        <w:gridCol w:w="1900"/>
        <w:gridCol w:w="1367"/>
        <w:gridCol w:w="1917"/>
        <w:gridCol w:w="2274"/>
      </w:tblGrid>
      <w:tr w:rsidR="006D1993" w:rsidRPr="00E149AA" w14:paraId="25C4D2CC" w14:textId="77777777" w:rsidTr="00E41301">
        <w:trPr>
          <w:tblHeader/>
        </w:trPr>
        <w:tc>
          <w:tcPr>
            <w:tcW w:w="985" w:type="pct"/>
            <w:shd w:val="clear" w:color="auto" w:fill="auto"/>
          </w:tcPr>
          <w:p w14:paraId="6B1CAD4A" w14:textId="77777777" w:rsidR="006D1993" w:rsidRPr="00E149AA" w:rsidRDefault="006D1993" w:rsidP="00E41301">
            <w:pPr>
              <w:pStyle w:val="Tablecolhead"/>
            </w:pPr>
            <w:r w:rsidRPr="00E149AA">
              <w:t>Amount</w:t>
            </w:r>
          </w:p>
        </w:tc>
        <w:tc>
          <w:tcPr>
            <w:tcW w:w="1023" w:type="pct"/>
            <w:shd w:val="clear" w:color="auto" w:fill="auto"/>
          </w:tcPr>
          <w:p w14:paraId="4630E884" w14:textId="77777777" w:rsidR="006D1993" w:rsidRPr="00E149AA" w:rsidRDefault="006D1993" w:rsidP="00E41301">
            <w:pPr>
              <w:pStyle w:val="Tablecolhead"/>
            </w:pPr>
            <w:r w:rsidRPr="00E149AA">
              <w:t>Documentation</w:t>
            </w:r>
          </w:p>
        </w:tc>
        <w:tc>
          <w:tcPr>
            <w:tcW w:w="736" w:type="pct"/>
            <w:shd w:val="clear" w:color="auto" w:fill="auto"/>
          </w:tcPr>
          <w:p w14:paraId="5D54FAE0" w14:textId="77777777" w:rsidR="006D1993" w:rsidRPr="00E149AA" w:rsidRDefault="006D1993" w:rsidP="00E41301">
            <w:pPr>
              <w:pStyle w:val="Tablecolhead"/>
            </w:pPr>
            <w:r w:rsidRPr="00E149AA">
              <w:t xml:space="preserve">Role of </w:t>
            </w:r>
            <w:r>
              <w:t>Panel</w:t>
            </w:r>
          </w:p>
        </w:tc>
        <w:tc>
          <w:tcPr>
            <w:tcW w:w="1032" w:type="pct"/>
            <w:shd w:val="clear" w:color="auto" w:fill="auto"/>
          </w:tcPr>
          <w:p w14:paraId="202944EF" w14:textId="77777777" w:rsidR="006D1993" w:rsidRPr="00E149AA" w:rsidRDefault="006D1993" w:rsidP="00E41301">
            <w:pPr>
              <w:pStyle w:val="Tablecolhead"/>
            </w:pPr>
            <w:r w:rsidRPr="00E149AA">
              <w:t>Financial delegate</w:t>
            </w:r>
          </w:p>
        </w:tc>
        <w:tc>
          <w:tcPr>
            <w:tcW w:w="1224" w:type="pct"/>
            <w:shd w:val="clear" w:color="auto" w:fill="auto"/>
          </w:tcPr>
          <w:p w14:paraId="6A464B54" w14:textId="77777777" w:rsidR="006D1993" w:rsidRPr="00E149AA" w:rsidRDefault="006D1993" w:rsidP="00E41301">
            <w:pPr>
              <w:pStyle w:val="Tablecolhead"/>
            </w:pPr>
            <w:r w:rsidRPr="00E149AA">
              <w:t>Procurement &amp; Probity requirements</w:t>
            </w:r>
          </w:p>
        </w:tc>
      </w:tr>
      <w:tr w:rsidR="006D1993" w:rsidRPr="000E1091" w14:paraId="32202144" w14:textId="77777777" w:rsidTr="00E41301">
        <w:tc>
          <w:tcPr>
            <w:tcW w:w="985" w:type="pct"/>
          </w:tcPr>
          <w:p w14:paraId="0AD7AA90" w14:textId="77777777" w:rsidR="006D1993" w:rsidRPr="000E1091" w:rsidRDefault="006D1993" w:rsidP="00E41301">
            <w:pPr>
              <w:pStyle w:val="Tabletext"/>
            </w:pPr>
            <w:r w:rsidRPr="000E1091">
              <w:t>Less than $5,000</w:t>
            </w:r>
          </w:p>
        </w:tc>
        <w:tc>
          <w:tcPr>
            <w:tcW w:w="1023" w:type="pct"/>
          </w:tcPr>
          <w:p w14:paraId="0EB7109C" w14:textId="69D1ED91" w:rsidR="006D1993" w:rsidRPr="000E1091" w:rsidRDefault="00912F55" w:rsidP="00E41301">
            <w:pPr>
              <w:pStyle w:val="Tabletext"/>
              <w:rPr>
                <w:rFonts w:cs="Arial"/>
              </w:rPr>
            </w:pPr>
            <w:r>
              <w:t xml:space="preserve">7b </w:t>
            </w:r>
            <w:r w:rsidR="006D1993" w:rsidRPr="000E1091">
              <w:t xml:space="preserve">Brokerage </w:t>
            </w:r>
            <w:r w:rsidR="00A92C40" w:rsidRPr="000E1091">
              <w:t>Request Form</w:t>
            </w:r>
          </w:p>
        </w:tc>
        <w:tc>
          <w:tcPr>
            <w:tcW w:w="736" w:type="pct"/>
          </w:tcPr>
          <w:p w14:paraId="2004F04A" w14:textId="77777777" w:rsidR="006D1993" w:rsidRPr="000E1091" w:rsidRDefault="006D1993" w:rsidP="00E41301">
            <w:pPr>
              <w:pStyle w:val="Tabletext"/>
            </w:pPr>
            <w:r w:rsidRPr="000E1091">
              <w:t>Notify only</w:t>
            </w:r>
          </w:p>
        </w:tc>
        <w:tc>
          <w:tcPr>
            <w:tcW w:w="1032" w:type="pct"/>
          </w:tcPr>
          <w:p w14:paraId="78830286" w14:textId="77777777" w:rsidR="006D1993" w:rsidRPr="000E1091" w:rsidRDefault="006D1993" w:rsidP="00E41301">
            <w:pPr>
              <w:pStyle w:val="Tabletext"/>
            </w:pPr>
            <w:r w:rsidRPr="000E1091">
              <w:t>Complex Needs Coordinator ($5,000)</w:t>
            </w:r>
          </w:p>
        </w:tc>
        <w:tc>
          <w:tcPr>
            <w:tcW w:w="1224" w:type="pct"/>
          </w:tcPr>
          <w:p w14:paraId="5504BEFF" w14:textId="77777777" w:rsidR="006D1993" w:rsidRPr="000E1091" w:rsidRDefault="006D1993" w:rsidP="00E41301">
            <w:pPr>
              <w:pStyle w:val="Tabletext"/>
            </w:pPr>
            <w:r w:rsidRPr="000E1091">
              <w:t>Minimum of 1 quote</w:t>
            </w:r>
          </w:p>
        </w:tc>
      </w:tr>
      <w:tr w:rsidR="006D1993" w:rsidRPr="000E1091" w14:paraId="44495046" w14:textId="77777777" w:rsidTr="00E41301">
        <w:tc>
          <w:tcPr>
            <w:tcW w:w="985" w:type="pct"/>
          </w:tcPr>
          <w:p w14:paraId="15A9055F" w14:textId="77777777" w:rsidR="006D1993" w:rsidRPr="000E1091" w:rsidRDefault="006D1993" w:rsidP="00E41301">
            <w:pPr>
              <w:pStyle w:val="Tabletext"/>
            </w:pPr>
            <w:r w:rsidRPr="000E1091">
              <w:lastRenderedPageBreak/>
              <w:t>Between $5,000 and $25,000</w:t>
            </w:r>
          </w:p>
        </w:tc>
        <w:tc>
          <w:tcPr>
            <w:tcW w:w="1023" w:type="pct"/>
          </w:tcPr>
          <w:p w14:paraId="103FD4EC" w14:textId="0572EDD2" w:rsidR="006D1993" w:rsidRPr="000E1091" w:rsidRDefault="00E45D56" w:rsidP="00E41301">
            <w:pPr>
              <w:pStyle w:val="Tabletext"/>
              <w:rPr>
                <w:rFonts w:cs="Arial"/>
              </w:rPr>
            </w:pPr>
            <w:r>
              <w:t xml:space="preserve">7b </w:t>
            </w:r>
            <w:r w:rsidR="006D1993" w:rsidRPr="000E1091">
              <w:t xml:space="preserve">Brokerage </w:t>
            </w:r>
            <w:r w:rsidR="00A92C40" w:rsidRPr="000E1091">
              <w:t>Request Form</w:t>
            </w:r>
          </w:p>
        </w:tc>
        <w:tc>
          <w:tcPr>
            <w:tcW w:w="736" w:type="pct"/>
          </w:tcPr>
          <w:p w14:paraId="7BD8192E" w14:textId="77777777" w:rsidR="006D1993" w:rsidRPr="000E1091" w:rsidRDefault="006D1993" w:rsidP="00E41301">
            <w:pPr>
              <w:pStyle w:val="Tabletext"/>
            </w:pPr>
            <w:r w:rsidRPr="000E1091">
              <w:t>Notify only</w:t>
            </w:r>
          </w:p>
        </w:tc>
        <w:tc>
          <w:tcPr>
            <w:tcW w:w="1032" w:type="pct"/>
          </w:tcPr>
          <w:p w14:paraId="2C4AE370" w14:textId="77777777" w:rsidR="006D1993" w:rsidRPr="000E1091" w:rsidRDefault="006D1993" w:rsidP="00E41301">
            <w:pPr>
              <w:pStyle w:val="Tabletext"/>
            </w:pPr>
            <w:r w:rsidRPr="000E1091">
              <w:t>Manager CSHS ($50,000)</w:t>
            </w:r>
          </w:p>
        </w:tc>
        <w:tc>
          <w:tcPr>
            <w:tcW w:w="1224" w:type="pct"/>
          </w:tcPr>
          <w:p w14:paraId="5003FE8D" w14:textId="75EE9C8B" w:rsidR="006D1993" w:rsidRPr="000E1091" w:rsidRDefault="006D1993" w:rsidP="00E41301">
            <w:pPr>
              <w:pStyle w:val="Tabletext"/>
            </w:pPr>
            <w:r w:rsidRPr="000E1091">
              <w:t>Minimum of 1 quote</w:t>
            </w:r>
          </w:p>
        </w:tc>
      </w:tr>
    </w:tbl>
    <w:p w14:paraId="55276A3D" w14:textId="77777777" w:rsidR="006D1993" w:rsidRDefault="006D1993" w:rsidP="006D199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164"/>
      </w:tblGrid>
      <w:tr w:rsidR="006D1993" w14:paraId="2C74931C" w14:textId="77777777" w:rsidTr="00E41301">
        <w:tc>
          <w:tcPr>
            <w:tcW w:w="0" w:type="auto"/>
            <w:shd w:val="clear" w:color="auto" w:fill="CCE9F8"/>
            <w:vAlign w:val="center"/>
          </w:tcPr>
          <w:p w14:paraId="64239A13" w14:textId="77777777" w:rsidR="006D1993" w:rsidRDefault="006D1993" w:rsidP="00E41301">
            <w:pPr>
              <w:pStyle w:val="Body"/>
              <w:spacing w:before="120"/>
            </w:pPr>
            <w:r>
              <w:rPr>
                <w:noProof/>
              </w:rPr>
              <w:drawing>
                <wp:inline distT="0" distB="0" distL="0" distR="0" wp14:anchorId="75C66F5B" wp14:editId="20E533D4">
                  <wp:extent cx="540000" cy="540000"/>
                  <wp:effectExtent l="0" t="0" r="0" b="0"/>
                  <wp:docPr id="1934884905" name="Picture 1934884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5" name="Picture 1934884905">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4DAA4AB" w14:textId="77777777" w:rsidR="006D1993" w:rsidRDefault="006D1993" w:rsidP="00E41301">
            <w:pPr>
              <w:pStyle w:val="Tablecolhead"/>
              <w:rPr>
                <w:rFonts w:eastAsia="Arial"/>
              </w:rPr>
            </w:pPr>
            <w:r>
              <w:rPr>
                <w:rFonts w:eastAsia="Arial"/>
              </w:rPr>
              <w:t>Documentation required</w:t>
            </w:r>
          </w:p>
          <w:p w14:paraId="12EBFED4" w14:textId="0BBFD045" w:rsidR="006D1993" w:rsidRPr="00D41E2A" w:rsidRDefault="00951E76" w:rsidP="00740A47">
            <w:pPr>
              <w:pStyle w:val="Bullet1"/>
            </w:pPr>
            <w:r>
              <w:t xml:space="preserve">7b </w:t>
            </w:r>
            <w:r w:rsidR="006D1993">
              <w:t>Brokerage Request Form</w:t>
            </w:r>
          </w:p>
          <w:p w14:paraId="029BC22B" w14:textId="52995DFB" w:rsidR="006D1993" w:rsidRPr="00034164" w:rsidRDefault="004F3D45" w:rsidP="00740A47">
            <w:pPr>
              <w:pStyle w:val="Bullet1"/>
            </w:pPr>
            <w:r>
              <w:t xml:space="preserve">7d </w:t>
            </w:r>
            <w:r w:rsidR="006D1993">
              <w:t xml:space="preserve">Brokerage Notification </w:t>
            </w:r>
            <w:r w:rsidR="000979F4">
              <w:t>Form</w:t>
            </w:r>
            <w:r w:rsidR="006D1993">
              <w:t xml:space="preserve"> – for Complex Needs Panel. </w:t>
            </w:r>
          </w:p>
        </w:tc>
      </w:tr>
    </w:tbl>
    <w:p w14:paraId="0F3C6874" w14:textId="77777777" w:rsidR="006D1993" w:rsidRDefault="006D1993" w:rsidP="006D199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010"/>
      </w:tblGrid>
      <w:tr w:rsidR="006D1993" w14:paraId="0023BAEB" w14:textId="77777777" w:rsidTr="00E41301">
        <w:tc>
          <w:tcPr>
            <w:tcW w:w="0" w:type="auto"/>
            <w:shd w:val="clear" w:color="auto" w:fill="99D3F0"/>
            <w:vAlign w:val="center"/>
          </w:tcPr>
          <w:p w14:paraId="1B7FD501" w14:textId="77777777" w:rsidR="006D1993" w:rsidRDefault="006D1993" w:rsidP="00E41301">
            <w:pPr>
              <w:pStyle w:val="Body"/>
            </w:pPr>
            <w:r>
              <w:rPr>
                <w:noProof/>
              </w:rPr>
              <w:drawing>
                <wp:inline distT="0" distB="0" distL="0" distR="0" wp14:anchorId="323D6252" wp14:editId="14021320">
                  <wp:extent cx="540000" cy="540000"/>
                  <wp:effectExtent l="0" t="0" r="0" b="0"/>
                  <wp:docPr id="1934884906" name="Picture 19348849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6" name="Picture 193488490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21B36F2" w14:textId="77777777" w:rsidR="006D1993" w:rsidRDefault="006D1993" w:rsidP="00E41301">
            <w:pPr>
              <w:pStyle w:val="Tablecolhead"/>
            </w:pPr>
            <w:r>
              <w:t>Coordinator tasks</w:t>
            </w:r>
          </w:p>
          <w:p w14:paraId="3917A281" w14:textId="73530ECC" w:rsidR="006D1993" w:rsidRPr="00590061" w:rsidRDefault="006D1993" w:rsidP="00740A47">
            <w:pPr>
              <w:pStyle w:val="Bullet1"/>
            </w:pPr>
            <w:r>
              <w:t xml:space="preserve">ensure the </w:t>
            </w:r>
            <w:r w:rsidR="00A01E68">
              <w:t xml:space="preserve">7b </w:t>
            </w:r>
            <w:r>
              <w:t>Brokerage Request Form is prepared</w:t>
            </w:r>
          </w:p>
          <w:p w14:paraId="5AC1F85E" w14:textId="38E3DFF2" w:rsidR="006D1993" w:rsidRPr="00D41E2A" w:rsidRDefault="006D1993" w:rsidP="00740A47">
            <w:pPr>
              <w:pStyle w:val="Bullet1"/>
            </w:pPr>
            <w:r>
              <w:t>notify the panel of all consultation brokerage expenditure at the next panel</w:t>
            </w:r>
            <w:r w:rsidR="00495210">
              <w:t xml:space="preserve"> (7d)</w:t>
            </w:r>
          </w:p>
          <w:p w14:paraId="5E620F41" w14:textId="77777777" w:rsidR="006D1993" w:rsidRPr="000E1091" w:rsidRDefault="006D1993" w:rsidP="00740A47">
            <w:pPr>
              <w:pStyle w:val="Bullet1"/>
            </w:pPr>
            <w:r>
              <w:t>seek approval for consultation brokerage from the appropriate financial delegate</w:t>
            </w:r>
          </w:p>
          <w:p w14:paraId="72F01A09" w14:textId="77777777" w:rsidR="006D1993" w:rsidRDefault="006D1993" w:rsidP="00740A47">
            <w:pPr>
              <w:pStyle w:val="Bullet1"/>
            </w:pPr>
            <w:r>
              <w:t>update the SharePoint brokerage database.</w:t>
            </w:r>
          </w:p>
        </w:tc>
      </w:tr>
    </w:tbl>
    <w:p w14:paraId="358D2151" w14:textId="438B9D9A" w:rsidR="00A92C40" w:rsidRDefault="00E37383" w:rsidP="000E7482">
      <w:pPr>
        <w:pStyle w:val="Heading3"/>
        <w:numPr>
          <w:ilvl w:val="2"/>
          <w:numId w:val="28"/>
        </w:numPr>
      </w:pPr>
      <w:r w:rsidRPr="000E1091">
        <w:t xml:space="preserve">SfHRT </w:t>
      </w:r>
    </w:p>
    <w:p w14:paraId="45D8B391" w14:textId="303BE793" w:rsidR="00C82EA0" w:rsidRDefault="00C82EA0" w:rsidP="00C82EA0">
      <w:pPr>
        <w:pStyle w:val="Body"/>
      </w:pPr>
      <w:r w:rsidRPr="001C5255">
        <w:t>Brokerage funding is u</w:t>
      </w:r>
      <w:r>
        <w:t xml:space="preserve">sed </w:t>
      </w:r>
      <w:r w:rsidRPr="001C5255">
        <w:t>when flexible responses are required that are not available within the existing service system. Consistent with eligibility for SfHRT, it is expected that all other funding options have been explored prior to any requests for SfHRT brokerage funds.</w:t>
      </w:r>
      <w:r w:rsidRPr="00C82EA0">
        <w:t xml:space="preserve"> </w:t>
      </w:r>
      <w:r>
        <w:t xml:space="preserve">If other funded program areas are involved with the renter, it is </w:t>
      </w:r>
      <w:r w:rsidR="002B21F9">
        <w:t xml:space="preserve">also </w:t>
      </w:r>
      <w:r>
        <w:t>expected that costs are shared.</w:t>
      </w:r>
    </w:p>
    <w:p w14:paraId="417317B5" w14:textId="0FE0858B" w:rsidR="00A92C40" w:rsidRDefault="00A92C40" w:rsidP="00A92C40">
      <w:pPr>
        <w:pStyle w:val="Body"/>
      </w:pPr>
      <w:r>
        <w:t>SfHRT brokerage is only available for renters in public housing</w:t>
      </w:r>
      <w:r w:rsidR="00C82EA0">
        <w:t xml:space="preserve">, not </w:t>
      </w:r>
      <w:r>
        <w:t>community housing</w:t>
      </w:r>
      <w:r w:rsidR="00C82EA0">
        <w:t>.</w:t>
      </w:r>
      <w:r>
        <w:t xml:space="preserve"> </w:t>
      </w:r>
    </w:p>
    <w:p w14:paraId="06CE848B" w14:textId="379A168B" w:rsidR="00A92C40" w:rsidRDefault="00A92C40" w:rsidP="00A92C40">
      <w:pPr>
        <w:pStyle w:val="Body"/>
      </w:pPr>
      <w:r>
        <w:t>Q</w:t>
      </w:r>
      <w:r w:rsidR="48AED0DF">
        <w:t>uotes from contractors or retailers are required for all brokerage requests</w:t>
      </w:r>
      <w:r>
        <w:t xml:space="preserve">, and following the </w:t>
      </w:r>
      <w:r w:rsidR="48AED0DF">
        <w:t>receipt of quotations, the Complex Needs Coordinator seek</w:t>
      </w:r>
      <w:r w:rsidR="00AC6C82">
        <w:t>s</w:t>
      </w:r>
      <w:r w:rsidR="48AED0DF">
        <w:t xml:space="preserve"> approval from a suitable delegate and provide written confirmation of acceptance or rejection of the request to the applicant</w:t>
      </w:r>
      <w:r>
        <w:t>.</w:t>
      </w:r>
      <w:r w:rsidRPr="00A92C40">
        <w:t xml:space="preserve"> </w:t>
      </w:r>
      <w:r>
        <w:t>Where a total will exceed the original quote, an updated quote must be provided to the Complex Needs Coordinator for additional approval from a delegate (prior to the service being provided).</w:t>
      </w:r>
    </w:p>
    <w:p w14:paraId="0B978E8C" w14:textId="4D7DB692" w:rsidR="00E37383" w:rsidRPr="00077666" w:rsidRDefault="00A92C40" w:rsidP="00A92C40">
      <w:pPr>
        <w:pStyle w:val="Body"/>
      </w:pPr>
      <w:r>
        <w:t>Recurrent requests for similar supports for the same renter, or to address similar themes regardless of the amount, will require separate approval from the appropriate financial delegate.</w:t>
      </w:r>
    </w:p>
    <w:p w14:paraId="2BB60997" w14:textId="4FAB793E" w:rsidR="00C82EA0" w:rsidRDefault="00A92C40" w:rsidP="00A92C40">
      <w:pPr>
        <w:pStyle w:val="Body"/>
      </w:pPr>
      <w:r>
        <w:t>I</w:t>
      </w:r>
      <w:r w:rsidR="48AED0DF">
        <w:t>tems to establish a tenancy are inclusive of essential items only</w:t>
      </w:r>
      <w:r w:rsidR="00D537F5">
        <w:t>,</w:t>
      </w:r>
      <w:r w:rsidR="48AED0DF">
        <w:t xml:space="preserve"> e.g., bed, seating, basic kitchen appliances/cookware</w:t>
      </w:r>
      <w:r>
        <w:t xml:space="preserve">, </w:t>
      </w:r>
      <w:r w:rsidR="48AED0DF">
        <w:t>not non-essential items</w:t>
      </w:r>
      <w:r>
        <w:t xml:space="preserve">, i.e.: </w:t>
      </w:r>
      <w:r w:rsidR="48AED0DF">
        <w:t xml:space="preserve"> </w:t>
      </w:r>
      <w:r>
        <w:t>TVs</w:t>
      </w:r>
      <w:r w:rsidR="48AED0DF">
        <w:t xml:space="preserve">. </w:t>
      </w:r>
      <w:r>
        <w:t>T</w:t>
      </w:r>
      <w:r w:rsidR="48AED0DF">
        <w:t xml:space="preserve">here are other </w:t>
      </w:r>
      <w:r w:rsidR="00434B9B">
        <w:t>options</w:t>
      </w:r>
      <w:r w:rsidR="48AED0DF">
        <w:t xml:space="preserve"> where </w:t>
      </w:r>
      <w:r>
        <w:t xml:space="preserve">non-essential </w:t>
      </w:r>
      <w:r w:rsidR="48AED0DF">
        <w:t xml:space="preserve">items can be sourced prior to </w:t>
      </w:r>
      <w:r>
        <w:t>using</w:t>
      </w:r>
      <w:r w:rsidR="48AED0DF">
        <w:t xml:space="preserve"> complex needs fund</w:t>
      </w:r>
      <w:r>
        <w:t>s</w:t>
      </w:r>
      <w:r w:rsidR="48AED0DF">
        <w:t xml:space="preserve">. </w:t>
      </w:r>
    </w:p>
    <w:p w14:paraId="3A34E6BE" w14:textId="298E89C9" w:rsidR="00C82EA0" w:rsidRPr="001C5255" w:rsidRDefault="00C82EA0" w:rsidP="00C82EA0">
      <w:pPr>
        <w:pStyle w:val="Body"/>
      </w:pPr>
      <w:r w:rsidRPr="001C5255">
        <w:t>It is not expected that every tenant referred to SfHRT will require funding, however, some referrals to SfHRT only require financial intervention (i.e.</w:t>
      </w:r>
      <w:r w:rsidR="00D537F5">
        <w:t>:</w:t>
      </w:r>
      <w:r w:rsidRPr="001C5255">
        <w:t xml:space="preserve"> industrial cleaning, rubbish removal, skip hire, etc).</w:t>
      </w:r>
    </w:p>
    <w:p w14:paraId="17554AC5" w14:textId="732EE6C1" w:rsidR="003E00E6" w:rsidRDefault="00C82EA0" w:rsidP="00C82EA0">
      <w:pPr>
        <w:pStyle w:val="Body"/>
      </w:pPr>
      <w:r w:rsidRPr="001C5255">
        <w:t>All requests for brokerage must be recorded on a Brokerage Request Form</w:t>
      </w:r>
      <w:r w:rsidR="003E00E6">
        <w:t xml:space="preserve">, </w:t>
      </w:r>
      <w:r w:rsidR="003E00E6" w:rsidRPr="001C5255">
        <w:t>can be completed at the point of referral</w:t>
      </w:r>
      <w:r w:rsidR="00A22C2D">
        <w:t>,</w:t>
      </w:r>
      <w:r w:rsidR="003E00E6">
        <w:t xml:space="preserve"> and must be </w:t>
      </w:r>
      <w:r w:rsidRPr="001C5255">
        <w:t xml:space="preserve">approved by the appropriate financial delegate. </w:t>
      </w:r>
    </w:p>
    <w:p w14:paraId="1A84E07E" w14:textId="7738F42C" w:rsidR="00C82EA0" w:rsidRDefault="00C82EA0" w:rsidP="00C82EA0">
      <w:pPr>
        <w:pStyle w:val="Body"/>
      </w:pPr>
      <w:r w:rsidRPr="001C5255">
        <w:t xml:space="preserve">SfHRT brokerage allocations are reported as a standard item at the </w:t>
      </w:r>
      <w:r>
        <w:t xml:space="preserve">Area </w:t>
      </w:r>
      <w:r w:rsidRPr="001C5255">
        <w:t xml:space="preserve">Complex Needs </w:t>
      </w:r>
      <w:r>
        <w:t>P</w:t>
      </w:r>
      <w:r w:rsidRPr="001C5255">
        <w:t>anel</w:t>
      </w:r>
      <w:r>
        <w:t xml:space="preserve"> on </w:t>
      </w:r>
      <w:r w:rsidRPr="004F3D45">
        <w:t xml:space="preserve">form </w:t>
      </w:r>
      <w:r w:rsidR="004F3D45" w:rsidRPr="004F3D45">
        <w:t xml:space="preserve">7d Brokerage </w:t>
      </w:r>
      <w:r w:rsidR="003732A2">
        <w:t>N</w:t>
      </w:r>
      <w:r w:rsidR="004F3D45" w:rsidRPr="004F3D45">
        <w:t xml:space="preserve">otification </w:t>
      </w:r>
      <w:r w:rsidR="003732A2">
        <w:t>Form</w:t>
      </w:r>
      <w:r w:rsidRPr="004F3D45">
        <w:t>.</w:t>
      </w:r>
      <w:r>
        <w:t xml:space="preserve"> </w:t>
      </w:r>
      <w:r w:rsidR="006814B9">
        <w:t>The Monthly Snapshot Report forwarded to divisions from the Central Complex Needs team is also recommended for panel to note.</w:t>
      </w:r>
    </w:p>
    <w:p w14:paraId="76A4F09A" w14:textId="77777777" w:rsidR="00C82EA0" w:rsidRPr="0083230A" w:rsidRDefault="00C82EA0" w:rsidP="00C82EA0">
      <w:pPr>
        <w:pStyle w:val="Figurecaption"/>
      </w:pPr>
      <w:r w:rsidRPr="0083230A">
        <w:lastRenderedPageBreak/>
        <w:t>SfHRT brokerage approval requirements</w:t>
      </w:r>
    </w:p>
    <w:tbl>
      <w:tblPr>
        <w:tblStyle w:val="TableGrid"/>
        <w:tblW w:w="5000" w:type="pct"/>
        <w:tblLook w:val="04A0" w:firstRow="1" w:lastRow="0" w:firstColumn="1" w:lastColumn="0" w:noHBand="0" w:noVBand="1"/>
      </w:tblPr>
      <w:tblGrid>
        <w:gridCol w:w="1830"/>
        <w:gridCol w:w="1900"/>
        <w:gridCol w:w="1367"/>
        <w:gridCol w:w="1917"/>
        <w:gridCol w:w="2274"/>
      </w:tblGrid>
      <w:tr w:rsidR="00C82EA0" w:rsidRPr="0083230A" w14:paraId="646C71EB" w14:textId="77777777" w:rsidTr="00E41301">
        <w:tc>
          <w:tcPr>
            <w:tcW w:w="985" w:type="pct"/>
            <w:shd w:val="clear" w:color="auto" w:fill="auto"/>
          </w:tcPr>
          <w:p w14:paraId="30AF31F1" w14:textId="77777777" w:rsidR="00C82EA0" w:rsidRPr="0083230A" w:rsidRDefault="00C82EA0" w:rsidP="00E41301">
            <w:pPr>
              <w:pStyle w:val="Tablecolhead"/>
            </w:pPr>
            <w:r w:rsidRPr="0083230A">
              <w:t>Amount</w:t>
            </w:r>
          </w:p>
        </w:tc>
        <w:tc>
          <w:tcPr>
            <w:tcW w:w="1023" w:type="pct"/>
            <w:shd w:val="clear" w:color="auto" w:fill="auto"/>
          </w:tcPr>
          <w:p w14:paraId="4C1BB6E7" w14:textId="77777777" w:rsidR="00C82EA0" w:rsidRPr="0083230A" w:rsidRDefault="00C82EA0" w:rsidP="00E41301">
            <w:pPr>
              <w:pStyle w:val="Tablecolhead"/>
            </w:pPr>
            <w:r w:rsidRPr="0083230A">
              <w:t>Documentation</w:t>
            </w:r>
          </w:p>
        </w:tc>
        <w:tc>
          <w:tcPr>
            <w:tcW w:w="736" w:type="pct"/>
            <w:shd w:val="clear" w:color="auto" w:fill="auto"/>
          </w:tcPr>
          <w:p w14:paraId="5E449947" w14:textId="77777777" w:rsidR="00C82EA0" w:rsidRPr="0083230A" w:rsidRDefault="00C82EA0" w:rsidP="00E41301">
            <w:pPr>
              <w:pStyle w:val="Tablecolhead"/>
            </w:pPr>
            <w:r w:rsidRPr="0083230A">
              <w:t>Role of Panel</w:t>
            </w:r>
          </w:p>
        </w:tc>
        <w:tc>
          <w:tcPr>
            <w:tcW w:w="1032" w:type="pct"/>
            <w:shd w:val="clear" w:color="auto" w:fill="auto"/>
          </w:tcPr>
          <w:p w14:paraId="08B91F13" w14:textId="77777777" w:rsidR="00C82EA0" w:rsidRPr="0083230A" w:rsidRDefault="00C82EA0" w:rsidP="00E41301">
            <w:pPr>
              <w:pStyle w:val="Tablecolhead"/>
            </w:pPr>
            <w:r w:rsidRPr="0083230A">
              <w:t>Financial delegate</w:t>
            </w:r>
          </w:p>
        </w:tc>
        <w:tc>
          <w:tcPr>
            <w:tcW w:w="1224" w:type="pct"/>
            <w:shd w:val="clear" w:color="auto" w:fill="auto"/>
          </w:tcPr>
          <w:p w14:paraId="40E9CD0E" w14:textId="77777777" w:rsidR="00C82EA0" w:rsidRPr="0083230A" w:rsidRDefault="00C82EA0" w:rsidP="00E41301">
            <w:pPr>
              <w:pStyle w:val="Tablecolhead"/>
            </w:pPr>
            <w:r w:rsidRPr="0083230A">
              <w:t>Procurement &amp; Probity requirements</w:t>
            </w:r>
          </w:p>
        </w:tc>
      </w:tr>
      <w:tr w:rsidR="00C82EA0" w:rsidRPr="000E1091" w14:paraId="76B72EE5" w14:textId="77777777" w:rsidTr="00E41301">
        <w:tc>
          <w:tcPr>
            <w:tcW w:w="985" w:type="pct"/>
          </w:tcPr>
          <w:p w14:paraId="2F5B2A6D" w14:textId="77777777" w:rsidR="00C82EA0" w:rsidRPr="000E1091" w:rsidRDefault="00C82EA0" w:rsidP="00E41301">
            <w:pPr>
              <w:pStyle w:val="Tabletext"/>
            </w:pPr>
            <w:r w:rsidRPr="000E1091">
              <w:t>Less than $5,000</w:t>
            </w:r>
          </w:p>
        </w:tc>
        <w:tc>
          <w:tcPr>
            <w:tcW w:w="1023" w:type="pct"/>
          </w:tcPr>
          <w:p w14:paraId="6A8588B1" w14:textId="7983B9EB" w:rsidR="00D77010" w:rsidRDefault="00D77010" w:rsidP="00E41301">
            <w:pPr>
              <w:pStyle w:val="Tabletext"/>
            </w:pPr>
            <w:r>
              <w:t>1 Complex Needs Referral form</w:t>
            </w:r>
          </w:p>
          <w:p w14:paraId="57775A35" w14:textId="13421DFF" w:rsidR="00C82EA0" w:rsidRPr="000E1091" w:rsidRDefault="00E45D56" w:rsidP="00E41301">
            <w:pPr>
              <w:pStyle w:val="Tabletext"/>
              <w:rPr>
                <w:rFonts w:cs="Arial"/>
              </w:rPr>
            </w:pPr>
            <w:r>
              <w:t xml:space="preserve">7b </w:t>
            </w:r>
            <w:r w:rsidR="00C82EA0" w:rsidRPr="000E1091">
              <w:t xml:space="preserve">Brokerage </w:t>
            </w:r>
            <w:r w:rsidR="004F3873" w:rsidRPr="000E1091">
              <w:t>Request Form</w:t>
            </w:r>
          </w:p>
        </w:tc>
        <w:tc>
          <w:tcPr>
            <w:tcW w:w="736" w:type="pct"/>
          </w:tcPr>
          <w:p w14:paraId="18CC8F74" w14:textId="77777777" w:rsidR="00C82EA0" w:rsidRPr="000E1091" w:rsidRDefault="00C82EA0" w:rsidP="00E41301">
            <w:pPr>
              <w:pStyle w:val="Tabletext"/>
            </w:pPr>
            <w:r w:rsidRPr="000E1091">
              <w:t>Notify only</w:t>
            </w:r>
          </w:p>
        </w:tc>
        <w:tc>
          <w:tcPr>
            <w:tcW w:w="1032" w:type="pct"/>
          </w:tcPr>
          <w:p w14:paraId="7AA813B4" w14:textId="77777777" w:rsidR="00C82EA0" w:rsidRPr="000E1091" w:rsidRDefault="00C82EA0" w:rsidP="00E41301">
            <w:pPr>
              <w:pStyle w:val="Tabletext"/>
            </w:pPr>
            <w:r w:rsidRPr="000E1091">
              <w:t>Complex Needs Coordinator ($5,000)</w:t>
            </w:r>
          </w:p>
        </w:tc>
        <w:tc>
          <w:tcPr>
            <w:tcW w:w="1224" w:type="pct"/>
          </w:tcPr>
          <w:p w14:paraId="1D08D3EF" w14:textId="77777777" w:rsidR="00C82EA0" w:rsidRPr="000E1091" w:rsidRDefault="00C82EA0" w:rsidP="00E41301">
            <w:pPr>
              <w:pStyle w:val="Tabletext"/>
            </w:pPr>
            <w:r w:rsidRPr="000E1091">
              <w:t>Minimum of 1 quote</w:t>
            </w:r>
          </w:p>
        </w:tc>
      </w:tr>
      <w:tr w:rsidR="00C82EA0" w:rsidRPr="000E1091" w14:paraId="43314737" w14:textId="77777777" w:rsidTr="00E41301">
        <w:tc>
          <w:tcPr>
            <w:tcW w:w="985" w:type="pct"/>
          </w:tcPr>
          <w:p w14:paraId="6C8EF46F" w14:textId="77777777" w:rsidR="00C82EA0" w:rsidRPr="000E1091" w:rsidRDefault="00C82EA0" w:rsidP="00E41301">
            <w:pPr>
              <w:pStyle w:val="Tabletext"/>
            </w:pPr>
            <w:r w:rsidRPr="000E1091">
              <w:t>Between $5,000 and $25,000</w:t>
            </w:r>
          </w:p>
        </w:tc>
        <w:tc>
          <w:tcPr>
            <w:tcW w:w="1023" w:type="pct"/>
          </w:tcPr>
          <w:p w14:paraId="4344403C" w14:textId="51EBE274" w:rsidR="00C82EA0" w:rsidRPr="000E1091" w:rsidRDefault="00E45D56" w:rsidP="00E41301">
            <w:pPr>
              <w:pStyle w:val="Tabletext"/>
            </w:pPr>
            <w:r>
              <w:t xml:space="preserve">7b </w:t>
            </w:r>
            <w:r w:rsidR="00C82EA0" w:rsidRPr="000E1091">
              <w:t xml:space="preserve">Brokerage </w:t>
            </w:r>
            <w:r w:rsidR="004F3873" w:rsidRPr="000E1091">
              <w:t>Request Form</w:t>
            </w:r>
          </w:p>
          <w:p w14:paraId="2C6105A8" w14:textId="0BD69EAB" w:rsidR="00C82EA0" w:rsidRPr="000E1091" w:rsidRDefault="00E45D56" w:rsidP="00E41301">
            <w:pPr>
              <w:pStyle w:val="Tabletext"/>
            </w:pPr>
            <w:r>
              <w:t xml:space="preserve">7c </w:t>
            </w:r>
            <w:r w:rsidR="00C82EA0" w:rsidRPr="000E1091">
              <w:t xml:space="preserve">Brokerage </w:t>
            </w:r>
            <w:r w:rsidR="004F3873" w:rsidRPr="000E1091">
              <w:t xml:space="preserve">Agreement </w:t>
            </w:r>
          </w:p>
        </w:tc>
        <w:tc>
          <w:tcPr>
            <w:tcW w:w="736" w:type="pct"/>
          </w:tcPr>
          <w:p w14:paraId="2122B8ED" w14:textId="77777777" w:rsidR="00C82EA0" w:rsidRPr="000E1091" w:rsidRDefault="00C82EA0" w:rsidP="00E41301">
            <w:pPr>
              <w:pStyle w:val="Tabletext"/>
            </w:pPr>
            <w:r w:rsidRPr="000E1091">
              <w:t>Notify only</w:t>
            </w:r>
          </w:p>
        </w:tc>
        <w:tc>
          <w:tcPr>
            <w:tcW w:w="1032" w:type="pct"/>
          </w:tcPr>
          <w:p w14:paraId="4C1D2D18" w14:textId="77777777" w:rsidR="00C82EA0" w:rsidRPr="000E1091" w:rsidRDefault="00C82EA0" w:rsidP="00E41301">
            <w:pPr>
              <w:pStyle w:val="Tabletext"/>
            </w:pPr>
            <w:r w:rsidRPr="000E1091">
              <w:t>Manager CSHS ($50,000)</w:t>
            </w:r>
          </w:p>
        </w:tc>
        <w:tc>
          <w:tcPr>
            <w:tcW w:w="1224" w:type="pct"/>
          </w:tcPr>
          <w:p w14:paraId="1657D91F" w14:textId="77777777" w:rsidR="00C82EA0" w:rsidRPr="000E1091" w:rsidRDefault="00C82EA0" w:rsidP="00E41301">
            <w:pPr>
              <w:pStyle w:val="Tabletext"/>
            </w:pPr>
            <w:r w:rsidRPr="000E1091">
              <w:t>Minimum of 1 quote</w:t>
            </w:r>
          </w:p>
        </w:tc>
      </w:tr>
    </w:tbl>
    <w:p w14:paraId="5485D15C" w14:textId="77777777" w:rsidR="00C82EA0" w:rsidRPr="00B112A7" w:rsidRDefault="00C82EA0" w:rsidP="00C82EA0">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C82EA0" w:rsidRPr="00B61ECC" w14:paraId="078A5B3A" w14:textId="77777777" w:rsidTr="00E41301">
        <w:tc>
          <w:tcPr>
            <w:tcW w:w="0" w:type="auto"/>
            <w:shd w:val="clear" w:color="auto" w:fill="CCE9F8"/>
            <w:vAlign w:val="center"/>
          </w:tcPr>
          <w:p w14:paraId="2CBDA218" w14:textId="77777777" w:rsidR="00C82EA0" w:rsidRPr="001D2B72" w:rsidRDefault="00C82EA0" w:rsidP="00E41301">
            <w:pPr>
              <w:pStyle w:val="Body"/>
              <w:spacing w:before="120"/>
            </w:pPr>
            <w:r>
              <w:rPr>
                <w:noProof/>
              </w:rPr>
              <w:drawing>
                <wp:inline distT="0" distB="0" distL="0" distR="0" wp14:anchorId="59ECF5DA" wp14:editId="2EA47490">
                  <wp:extent cx="540000" cy="540000"/>
                  <wp:effectExtent l="0" t="0" r="0" b="0"/>
                  <wp:docPr id="1934884912" name="Picture 1934884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12" name="Picture 1934884912">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02004D3C" w14:textId="77777777" w:rsidR="00C82EA0" w:rsidRPr="0083230A" w:rsidRDefault="00C82EA0" w:rsidP="00E41301">
            <w:pPr>
              <w:pStyle w:val="Tablecolhead"/>
              <w:rPr>
                <w:rFonts w:eastAsia="Arial"/>
              </w:rPr>
            </w:pPr>
            <w:r w:rsidRPr="0083230A">
              <w:rPr>
                <w:rFonts w:eastAsia="Arial"/>
              </w:rPr>
              <w:t>Documentation required</w:t>
            </w:r>
          </w:p>
          <w:p w14:paraId="0DDDC4D1" w14:textId="232532D1" w:rsidR="00D77010" w:rsidRDefault="00D77010" w:rsidP="00740A47">
            <w:pPr>
              <w:pStyle w:val="Bullet1"/>
            </w:pPr>
            <w:r>
              <w:t>1 Complex Needs Referral form (Section 4.1 Question 7 SfHRT brokerage request completed)</w:t>
            </w:r>
          </w:p>
          <w:p w14:paraId="609FBA75" w14:textId="4A03C65D" w:rsidR="00C82EA0" w:rsidRPr="000E1091" w:rsidRDefault="00C73C11" w:rsidP="00740A47">
            <w:pPr>
              <w:pStyle w:val="Bullet1"/>
            </w:pPr>
            <w:r>
              <w:t xml:space="preserve">7b </w:t>
            </w:r>
            <w:r w:rsidR="00C82EA0">
              <w:t xml:space="preserve">Brokerage Request Form </w:t>
            </w:r>
          </w:p>
          <w:p w14:paraId="6AC0F52B" w14:textId="463B8A9E" w:rsidR="00C82EA0" w:rsidRPr="00B61ECC" w:rsidRDefault="00C73C11" w:rsidP="00740A47">
            <w:pPr>
              <w:pStyle w:val="Bullet1"/>
            </w:pPr>
            <w:r>
              <w:t xml:space="preserve">7d </w:t>
            </w:r>
            <w:r w:rsidR="00C82EA0">
              <w:t xml:space="preserve">Brokerage Notification </w:t>
            </w:r>
            <w:r w:rsidR="003732A2">
              <w:t xml:space="preserve">Form </w:t>
            </w:r>
            <w:r w:rsidR="00C82EA0">
              <w:t>– for Complex Needs Panel.</w:t>
            </w:r>
          </w:p>
        </w:tc>
      </w:tr>
    </w:tbl>
    <w:p w14:paraId="61DA630F" w14:textId="77777777" w:rsidR="00C82EA0" w:rsidRPr="00B112A7" w:rsidRDefault="00C82EA0" w:rsidP="00C82EA0">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C82EA0" w:rsidRPr="00B112A7" w14:paraId="25842786" w14:textId="77777777" w:rsidTr="00E41301">
        <w:tc>
          <w:tcPr>
            <w:tcW w:w="0" w:type="auto"/>
            <w:shd w:val="clear" w:color="auto" w:fill="99D3F0"/>
            <w:vAlign w:val="center"/>
          </w:tcPr>
          <w:p w14:paraId="12172FFC" w14:textId="77777777" w:rsidR="00C82EA0" w:rsidRPr="001D2B72" w:rsidRDefault="00C82EA0" w:rsidP="00E41301">
            <w:pPr>
              <w:pStyle w:val="Body"/>
            </w:pPr>
            <w:r>
              <w:rPr>
                <w:noProof/>
              </w:rPr>
              <w:drawing>
                <wp:inline distT="0" distB="0" distL="0" distR="0" wp14:anchorId="1522E359" wp14:editId="76188C27">
                  <wp:extent cx="540000" cy="540000"/>
                  <wp:effectExtent l="0" t="0" r="0" b="0"/>
                  <wp:docPr id="1934884913" name="Picture 1934884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13" name="Picture 193488491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E98A1DA" w14:textId="77777777" w:rsidR="00C82EA0" w:rsidRPr="0083230A" w:rsidRDefault="00C82EA0" w:rsidP="00E41301">
            <w:pPr>
              <w:pStyle w:val="Tablecolhead"/>
            </w:pPr>
            <w:r w:rsidRPr="0083230A">
              <w:t>Coordinator tasks</w:t>
            </w:r>
          </w:p>
          <w:p w14:paraId="6085F0B9" w14:textId="77777777" w:rsidR="00C82EA0" w:rsidRPr="009B01F0" w:rsidRDefault="00C82EA0" w:rsidP="00740A47">
            <w:pPr>
              <w:pStyle w:val="Bullet1"/>
            </w:pPr>
            <w:r w:rsidRPr="009B01F0">
              <w:t>ensure other funding options have been explored</w:t>
            </w:r>
          </w:p>
          <w:p w14:paraId="0D70E2D2" w14:textId="77777777" w:rsidR="00C82EA0" w:rsidRPr="009B01F0" w:rsidRDefault="00C82EA0" w:rsidP="00740A47">
            <w:pPr>
              <w:pStyle w:val="Bullet1"/>
            </w:pPr>
            <w:r w:rsidRPr="009B01F0">
              <w:t xml:space="preserve">consider SfHRT brokerage as a contribution to funds required, rather than funding the full amount requested. </w:t>
            </w:r>
          </w:p>
          <w:p w14:paraId="3EBA3E33" w14:textId="77777777" w:rsidR="00C82EA0" w:rsidRPr="009B01F0" w:rsidRDefault="00C82EA0" w:rsidP="00740A47">
            <w:pPr>
              <w:pStyle w:val="Bullet1"/>
            </w:pPr>
            <w:r w:rsidRPr="009B01F0">
              <w:t>ensure the brokerage request is prepared</w:t>
            </w:r>
          </w:p>
          <w:p w14:paraId="09F0EEF1" w14:textId="77777777" w:rsidR="00C82EA0" w:rsidRPr="009B01F0" w:rsidRDefault="00C82EA0" w:rsidP="00740A47">
            <w:pPr>
              <w:pStyle w:val="Bullet1"/>
            </w:pPr>
            <w:r w:rsidRPr="009B01F0">
              <w:t>seek approval for brokerage expenditure from the appropriate financial delegate</w:t>
            </w:r>
          </w:p>
          <w:p w14:paraId="7B0B40CE" w14:textId="7530CC99" w:rsidR="00C82EA0" w:rsidRPr="009B01F0" w:rsidRDefault="00C82EA0" w:rsidP="00740A47">
            <w:pPr>
              <w:pStyle w:val="Bullet1"/>
            </w:pPr>
            <w:r w:rsidRPr="009B01F0">
              <w:t>notify the panel of SfHRT brokerage expenditure at the next scheduled panel date</w:t>
            </w:r>
          </w:p>
          <w:p w14:paraId="79C213F2" w14:textId="77777777" w:rsidR="00C82EA0" w:rsidRPr="00B112A7" w:rsidRDefault="00C82EA0" w:rsidP="00740A47">
            <w:pPr>
              <w:pStyle w:val="Bullet1"/>
            </w:pPr>
            <w:r w:rsidRPr="009B01F0">
              <w:t>update the SharePoint</w:t>
            </w:r>
            <w:r>
              <w:t xml:space="preserve"> brokerage database.</w:t>
            </w:r>
          </w:p>
        </w:tc>
      </w:tr>
    </w:tbl>
    <w:p w14:paraId="4F11AB11" w14:textId="5AD9107D" w:rsidR="00777F21" w:rsidRDefault="00777F21" w:rsidP="000E7482">
      <w:pPr>
        <w:pStyle w:val="Heading3"/>
        <w:numPr>
          <w:ilvl w:val="2"/>
          <w:numId w:val="28"/>
        </w:numPr>
      </w:pPr>
      <w:bookmarkStart w:id="324" w:name="_Toc32229301"/>
      <w:bookmarkStart w:id="325" w:name="_Toc65508271"/>
      <w:bookmarkStart w:id="326" w:name="_Toc112856274"/>
      <w:bookmarkStart w:id="327" w:name="_Toc125713758"/>
      <w:r>
        <w:t xml:space="preserve">Pre-MACNI </w:t>
      </w:r>
    </w:p>
    <w:p w14:paraId="73DC9BF1" w14:textId="77777777" w:rsidR="00777F21" w:rsidRPr="00CF18D8" w:rsidRDefault="00777F21" w:rsidP="00777F21">
      <w:pPr>
        <w:pStyle w:val="Body"/>
      </w:pPr>
      <w:r w:rsidRPr="00CF18D8">
        <w:t>Pre-MACNI support can include the use of client-attached brokerage funding of up to $15,000 in a 12-month period. This brokerage can be used to enhance support by increasing service or assessment options and can enable the development of an intervention/approach that may effectively resolve the matter. The brokerage funding can be used to purchase time-limited care plan coordination and supports to interrupt a significant crisis, trial a new intervention/approach or prevent further escalation of need at a local level. Examples of services items that may be purchased with Pre-MACNI brokerage includes:</w:t>
      </w:r>
    </w:p>
    <w:p w14:paraId="7157548C" w14:textId="77777777" w:rsidR="00777F21" w:rsidRPr="009B01F0" w:rsidRDefault="00777F21" w:rsidP="00740A47">
      <w:pPr>
        <w:pStyle w:val="Bullet1"/>
      </w:pPr>
      <w:r w:rsidRPr="009B01F0">
        <w:t>accommodation (restrictions apply, see below)</w:t>
      </w:r>
    </w:p>
    <w:p w14:paraId="3E53838F" w14:textId="77777777" w:rsidR="00777F21" w:rsidRPr="009B01F0" w:rsidRDefault="00777F21" w:rsidP="00740A47">
      <w:pPr>
        <w:pStyle w:val="Bullet1"/>
      </w:pPr>
      <w:r w:rsidRPr="009B01F0">
        <w:t>allied health services (occupational therapy, speech pathology, neuro-cognitive, etc)</w:t>
      </w:r>
    </w:p>
    <w:p w14:paraId="24EAD2CD" w14:textId="77777777" w:rsidR="00777F21" w:rsidRPr="009B01F0" w:rsidRDefault="00777F21" w:rsidP="00740A47">
      <w:pPr>
        <w:pStyle w:val="Bullet1"/>
      </w:pPr>
      <w:r w:rsidRPr="009B01F0">
        <w:t>assessments (including allied health)</w:t>
      </w:r>
    </w:p>
    <w:p w14:paraId="5FA5D1BF" w14:textId="33433DBE" w:rsidR="00777F21" w:rsidRPr="009B01F0" w:rsidRDefault="00777F21" w:rsidP="00740A47">
      <w:pPr>
        <w:pStyle w:val="Bullet1"/>
      </w:pPr>
      <w:r w:rsidRPr="009B01F0">
        <w:t>bridging finance that will have a significant impact on treatment (</w:t>
      </w:r>
      <w:r w:rsidR="00F164AC" w:rsidRPr="009B01F0">
        <w:t>e.g</w:t>
      </w:r>
      <w:r w:rsidR="00F164AC">
        <w:t xml:space="preserve">.: less than </w:t>
      </w:r>
      <w:r w:rsidRPr="009B01F0">
        <w:t>8 weeks accommodation)</w:t>
      </w:r>
    </w:p>
    <w:p w14:paraId="776C6CF7" w14:textId="77777777" w:rsidR="00777F21" w:rsidRPr="009B01F0" w:rsidRDefault="00777F21" w:rsidP="00740A47">
      <w:pPr>
        <w:pStyle w:val="Bullet1"/>
      </w:pPr>
      <w:r w:rsidRPr="009B01F0">
        <w:t>care plan development</w:t>
      </w:r>
    </w:p>
    <w:p w14:paraId="159D451B" w14:textId="77777777" w:rsidR="00777F21" w:rsidRPr="009B01F0" w:rsidRDefault="00777F21" w:rsidP="00740A47">
      <w:pPr>
        <w:pStyle w:val="Bullet1"/>
      </w:pPr>
      <w:r w:rsidRPr="009B01F0">
        <w:t>care plan coordination</w:t>
      </w:r>
    </w:p>
    <w:p w14:paraId="4D70DC92" w14:textId="77777777" w:rsidR="00777F21" w:rsidRPr="009B01F0" w:rsidRDefault="00777F21" w:rsidP="00740A47">
      <w:pPr>
        <w:pStyle w:val="Bullet1"/>
      </w:pPr>
      <w:r w:rsidRPr="009B01F0">
        <w:lastRenderedPageBreak/>
        <w:t>direct support provision/worker allocation</w:t>
      </w:r>
    </w:p>
    <w:p w14:paraId="7DCABCFA" w14:textId="77777777" w:rsidR="00777F21" w:rsidRPr="009B01F0" w:rsidRDefault="00777F21" w:rsidP="00740A47">
      <w:pPr>
        <w:pStyle w:val="Bullet1"/>
      </w:pPr>
      <w:r w:rsidRPr="009B01F0">
        <w:t>other specific items upon approval</w:t>
      </w:r>
    </w:p>
    <w:p w14:paraId="65C0D142" w14:textId="77777777" w:rsidR="00777F21" w:rsidRPr="009B01F0" w:rsidRDefault="00777F21" w:rsidP="00740A47">
      <w:pPr>
        <w:pStyle w:val="Bullet1"/>
      </w:pPr>
      <w:r w:rsidRPr="009B01F0">
        <w:t>psychological/psychiatric assessment and treatment services</w:t>
      </w:r>
    </w:p>
    <w:p w14:paraId="3128B65B" w14:textId="77777777" w:rsidR="00777F21" w:rsidRPr="009B01F0" w:rsidRDefault="00777F21" w:rsidP="00740A47">
      <w:pPr>
        <w:pStyle w:val="Bullet1"/>
      </w:pPr>
      <w:r w:rsidRPr="009B01F0">
        <w:t>risk assessments</w:t>
      </w:r>
    </w:p>
    <w:p w14:paraId="01E891B0" w14:textId="77777777" w:rsidR="00777F21" w:rsidRPr="00CF18D8" w:rsidRDefault="00777F21" w:rsidP="00740A47">
      <w:pPr>
        <w:pStyle w:val="Bullet1"/>
      </w:pPr>
      <w:r w:rsidRPr="009B01F0">
        <w:t>secondary consultation / clinical guidance</w:t>
      </w:r>
      <w:r>
        <w:t xml:space="preserve"> / staff training (capacity building).</w:t>
      </w:r>
    </w:p>
    <w:p w14:paraId="5229AB22" w14:textId="77777777" w:rsidR="00777F21" w:rsidRDefault="00777F21" w:rsidP="00777F21">
      <w:pPr>
        <w:pStyle w:val="Bodyafterbullets"/>
      </w:pPr>
      <w:r w:rsidRPr="00396E5A">
        <w:t xml:space="preserve">All requests for brokerage must be recorded on a Brokerage Request Form and approved by the appropriate financial delegate. </w:t>
      </w:r>
    </w:p>
    <w:p w14:paraId="0E3EC7F2" w14:textId="19894850" w:rsidR="006814B9" w:rsidRDefault="00777F21" w:rsidP="00777F21">
      <w:pPr>
        <w:pStyle w:val="Bodyafterbullets"/>
      </w:pPr>
      <w:r w:rsidRPr="00CD2252">
        <w:t xml:space="preserve">Notification of Pre-MACNI </w:t>
      </w:r>
      <w:r w:rsidR="00CD2252" w:rsidRPr="00CD2252">
        <w:t>expenditure</w:t>
      </w:r>
      <w:r>
        <w:t xml:space="preserve"> </w:t>
      </w:r>
      <w:r w:rsidRPr="00396E5A">
        <w:t>is required to be provided to the panel at the next scheduled meeting date</w:t>
      </w:r>
      <w:r w:rsidR="00CD2252" w:rsidRPr="00CD2252">
        <w:t xml:space="preserve"> using </w:t>
      </w:r>
      <w:r w:rsidR="003732A2">
        <w:t>7d Brokerage Notification Form</w:t>
      </w:r>
      <w:r w:rsidRPr="00396E5A">
        <w:t xml:space="preserve">. </w:t>
      </w:r>
      <w:r w:rsidR="006814B9">
        <w:t>The Monthly Snapshot Report forwarded to divisions from the Central Complex Needs team is also recommended for panel to note.</w:t>
      </w:r>
    </w:p>
    <w:p w14:paraId="239718EA" w14:textId="3A48F483" w:rsidR="00777F21" w:rsidRPr="00396E5A" w:rsidRDefault="00777F21" w:rsidP="00777F21">
      <w:pPr>
        <w:pStyle w:val="Bodyafterbullets"/>
      </w:pPr>
      <w:r w:rsidRPr="00396E5A">
        <w:t xml:space="preserve">The use of brokerage must be documented in the care plan, including the service provider and dates of service provision. If </w:t>
      </w:r>
      <w:r w:rsidR="00BA131E">
        <w:t xml:space="preserve">there is </w:t>
      </w:r>
      <w:r w:rsidRPr="00396E5A">
        <w:t xml:space="preserve">no suitable care plan (developed by another service provider), Complex Needs Coordinators ensure a care plan is developed using the Complex Needs Care Plan </w:t>
      </w:r>
      <w:r w:rsidR="003732A2">
        <w:t>Form</w:t>
      </w:r>
      <w:r w:rsidRPr="00396E5A">
        <w:t xml:space="preserve">. </w:t>
      </w:r>
    </w:p>
    <w:p w14:paraId="76A38027" w14:textId="77777777" w:rsidR="00777F21" w:rsidRDefault="00777F21" w:rsidP="00777F21">
      <w:pPr>
        <w:pStyle w:val="Figurecaption"/>
      </w:pPr>
      <w:r>
        <w:t>Pre-MACNI brokerage approval requirements</w:t>
      </w:r>
    </w:p>
    <w:tbl>
      <w:tblPr>
        <w:tblStyle w:val="TableGrid"/>
        <w:tblW w:w="5000" w:type="pct"/>
        <w:tblLook w:val="04A0" w:firstRow="1" w:lastRow="0" w:firstColumn="1" w:lastColumn="0" w:noHBand="0" w:noVBand="1"/>
      </w:tblPr>
      <w:tblGrid>
        <w:gridCol w:w="1723"/>
        <w:gridCol w:w="1988"/>
        <w:gridCol w:w="1193"/>
        <w:gridCol w:w="2166"/>
        <w:gridCol w:w="2218"/>
      </w:tblGrid>
      <w:tr w:rsidR="00777F21" w:rsidRPr="00E149AA" w14:paraId="2C469F3D" w14:textId="77777777" w:rsidTr="00E41301">
        <w:tc>
          <w:tcPr>
            <w:tcW w:w="928" w:type="pct"/>
            <w:shd w:val="clear" w:color="auto" w:fill="auto"/>
          </w:tcPr>
          <w:p w14:paraId="79784C61" w14:textId="77777777" w:rsidR="00777F21" w:rsidRPr="00E149AA" w:rsidRDefault="00777F21" w:rsidP="00E41301">
            <w:pPr>
              <w:pStyle w:val="Tablecolhead"/>
            </w:pPr>
            <w:r w:rsidRPr="00E149AA">
              <w:t>Amount</w:t>
            </w:r>
          </w:p>
        </w:tc>
        <w:tc>
          <w:tcPr>
            <w:tcW w:w="1070" w:type="pct"/>
            <w:shd w:val="clear" w:color="auto" w:fill="auto"/>
          </w:tcPr>
          <w:p w14:paraId="17171AF4" w14:textId="77777777" w:rsidR="00777F21" w:rsidRPr="00E149AA" w:rsidRDefault="00777F21" w:rsidP="00E41301">
            <w:pPr>
              <w:pStyle w:val="Tablecolhead"/>
            </w:pPr>
            <w:r w:rsidRPr="00E149AA">
              <w:t>Documentation</w:t>
            </w:r>
          </w:p>
        </w:tc>
        <w:tc>
          <w:tcPr>
            <w:tcW w:w="642" w:type="pct"/>
            <w:shd w:val="clear" w:color="auto" w:fill="auto"/>
          </w:tcPr>
          <w:p w14:paraId="6C71C3E7" w14:textId="77777777" w:rsidR="00777F21" w:rsidRPr="00E149AA" w:rsidRDefault="00777F21" w:rsidP="00E41301">
            <w:pPr>
              <w:pStyle w:val="Tablecolhead"/>
            </w:pPr>
            <w:r w:rsidRPr="00E149AA">
              <w:t xml:space="preserve">Role of </w:t>
            </w:r>
            <w:r>
              <w:t>Panel</w:t>
            </w:r>
          </w:p>
        </w:tc>
        <w:tc>
          <w:tcPr>
            <w:tcW w:w="1166" w:type="pct"/>
            <w:shd w:val="clear" w:color="auto" w:fill="auto"/>
          </w:tcPr>
          <w:p w14:paraId="637556C6" w14:textId="77777777" w:rsidR="00777F21" w:rsidRPr="00E149AA" w:rsidRDefault="00777F21" w:rsidP="00E41301">
            <w:pPr>
              <w:pStyle w:val="Tablecolhead"/>
            </w:pPr>
            <w:r w:rsidRPr="00E149AA">
              <w:t>Financial Delegate</w:t>
            </w:r>
          </w:p>
        </w:tc>
        <w:tc>
          <w:tcPr>
            <w:tcW w:w="1194" w:type="pct"/>
            <w:shd w:val="clear" w:color="auto" w:fill="auto"/>
          </w:tcPr>
          <w:p w14:paraId="278ECC76" w14:textId="77777777" w:rsidR="00777F21" w:rsidRPr="00E149AA" w:rsidRDefault="00777F21" w:rsidP="00E41301">
            <w:pPr>
              <w:pStyle w:val="Tablecolhead"/>
            </w:pPr>
            <w:r w:rsidRPr="00E149AA">
              <w:t>Procurement of Probity requirements</w:t>
            </w:r>
          </w:p>
        </w:tc>
      </w:tr>
      <w:tr w:rsidR="00777F21" w14:paraId="19AA62A6" w14:textId="77777777" w:rsidTr="00E41301">
        <w:tc>
          <w:tcPr>
            <w:tcW w:w="928" w:type="pct"/>
          </w:tcPr>
          <w:p w14:paraId="2C57AEDE" w14:textId="77777777" w:rsidR="00777F21" w:rsidRDefault="00777F21" w:rsidP="00E41301">
            <w:pPr>
              <w:pStyle w:val="Tabletext"/>
            </w:pPr>
            <w:r>
              <w:t>Less than $5,000</w:t>
            </w:r>
          </w:p>
        </w:tc>
        <w:tc>
          <w:tcPr>
            <w:tcW w:w="1070" w:type="pct"/>
          </w:tcPr>
          <w:p w14:paraId="3ADC4DF8" w14:textId="57DEDB98" w:rsidR="00777F21" w:rsidRDefault="00E45D56" w:rsidP="00E41301">
            <w:pPr>
              <w:pStyle w:val="Tabletext"/>
            </w:pPr>
            <w:r>
              <w:t xml:space="preserve">7b </w:t>
            </w:r>
            <w:r w:rsidR="00777F21">
              <w:t>Brokerage Request Form</w:t>
            </w:r>
          </w:p>
        </w:tc>
        <w:tc>
          <w:tcPr>
            <w:tcW w:w="642" w:type="pct"/>
          </w:tcPr>
          <w:p w14:paraId="30A7FC56" w14:textId="77777777" w:rsidR="00777F21" w:rsidRDefault="00777F21" w:rsidP="00E41301">
            <w:pPr>
              <w:pStyle w:val="Tabletext"/>
            </w:pPr>
            <w:r>
              <w:t>Notify only</w:t>
            </w:r>
          </w:p>
        </w:tc>
        <w:tc>
          <w:tcPr>
            <w:tcW w:w="1166" w:type="pct"/>
          </w:tcPr>
          <w:p w14:paraId="37882F88" w14:textId="77777777" w:rsidR="00777F21" w:rsidRDefault="00777F21" w:rsidP="00E41301">
            <w:pPr>
              <w:pStyle w:val="Tabletext"/>
            </w:pPr>
            <w:r>
              <w:t>Complex Needs Coordinator ($5,000)</w:t>
            </w:r>
          </w:p>
        </w:tc>
        <w:tc>
          <w:tcPr>
            <w:tcW w:w="1194" w:type="pct"/>
          </w:tcPr>
          <w:p w14:paraId="7E944866" w14:textId="77777777" w:rsidR="00777F21" w:rsidRDefault="00777F21" w:rsidP="00E41301">
            <w:pPr>
              <w:pStyle w:val="Tabletext"/>
            </w:pPr>
            <w:r>
              <w:t>Minimum of 1 quote</w:t>
            </w:r>
          </w:p>
        </w:tc>
      </w:tr>
      <w:tr w:rsidR="00777F21" w14:paraId="13EE1DD1" w14:textId="77777777" w:rsidTr="00E41301">
        <w:tc>
          <w:tcPr>
            <w:tcW w:w="928" w:type="pct"/>
          </w:tcPr>
          <w:p w14:paraId="38973BDE" w14:textId="77777777" w:rsidR="00777F21" w:rsidRDefault="00777F21" w:rsidP="00E41301">
            <w:pPr>
              <w:pStyle w:val="Tabletext"/>
            </w:pPr>
            <w:r>
              <w:t>Between $5,000 and $15,000</w:t>
            </w:r>
          </w:p>
        </w:tc>
        <w:tc>
          <w:tcPr>
            <w:tcW w:w="1070" w:type="pct"/>
          </w:tcPr>
          <w:p w14:paraId="1CE08B04" w14:textId="0DC82995" w:rsidR="00777F21" w:rsidRPr="000E1091" w:rsidRDefault="00E45D56" w:rsidP="00E41301">
            <w:pPr>
              <w:pStyle w:val="Tabletext"/>
            </w:pPr>
            <w:r>
              <w:t xml:space="preserve">7b </w:t>
            </w:r>
            <w:r w:rsidR="00777F21" w:rsidRPr="000E1091">
              <w:t>Brokerage Request Form</w:t>
            </w:r>
          </w:p>
          <w:p w14:paraId="6D41EA59" w14:textId="6F3CE223" w:rsidR="00777F21" w:rsidRPr="000E1091" w:rsidRDefault="00E45D56" w:rsidP="00E41301">
            <w:pPr>
              <w:pStyle w:val="Tabletext"/>
            </w:pPr>
            <w:r>
              <w:t xml:space="preserve">7c </w:t>
            </w:r>
            <w:r w:rsidR="00777F21" w:rsidRPr="000E1091">
              <w:t>Brokerage Agreement Form</w:t>
            </w:r>
          </w:p>
        </w:tc>
        <w:tc>
          <w:tcPr>
            <w:tcW w:w="642" w:type="pct"/>
          </w:tcPr>
          <w:p w14:paraId="14C846A1" w14:textId="77777777" w:rsidR="00777F21" w:rsidRPr="000E1091" w:rsidRDefault="00777F21" w:rsidP="00E41301">
            <w:pPr>
              <w:pStyle w:val="Tabletext"/>
            </w:pPr>
            <w:r w:rsidRPr="000E1091">
              <w:t>Notify only</w:t>
            </w:r>
          </w:p>
        </w:tc>
        <w:tc>
          <w:tcPr>
            <w:tcW w:w="1166" w:type="pct"/>
          </w:tcPr>
          <w:p w14:paraId="624A5059" w14:textId="77777777" w:rsidR="00777F21" w:rsidRDefault="00777F21" w:rsidP="00E41301">
            <w:pPr>
              <w:pStyle w:val="Tabletext"/>
            </w:pPr>
            <w:r>
              <w:t>Manager CSHS ($50,000)</w:t>
            </w:r>
          </w:p>
        </w:tc>
        <w:tc>
          <w:tcPr>
            <w:tcW w:w="1194" w:type="pct"/>
          </w:tcPr>
          <w:p w14:paraId="57F95992" w14:textId="77777777" w:rsidR="00777F21" w:rsidRDefault="00777F21" w:rsidP="00E41301">
            <w:pPr>
              <w:pStyle w:val="Tabletext"/>
            </w:pPr>
            <w:r>
              <w:t>Minimum of 1 quote</w:t>
            </w:r>
          </w:p>
        </w:tc>
      </w:tr>
    </w:tbl>
    <w:p w14:paraId="1A801133" w14:textId="77777777" w:rsidR="00777F21" w:rsidRDefault="00777F21" w:rsidP="00777F21">
      <w:pPr>
        <w:pStyle w:val="Tablefigureno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106"/>
      </w:tblGrid>
      <w:tr w:rsidR="00777F21" w14:paraId="00E73E0B" w14:textId="77777777" w:rsidTr="00E41301">
        <w:tc>
          <w:tcPr>
            <w:tcW w:w="0" w:type="auto"/>
            <w:shd w:val="clear" w:color="auto" w:fill="CCE9F8"/>
            <w:vAlign w:val="center"/>
          </w:tcPr>
          <w:p w14:paraId="3E2098B6" w14:textId="77777777" w:rsidR="00777F21" w:rsidRDefault="00777F21" w:rsidP="00E41301">
            <w:pPr>
              <w:pStyle w:val="Body"/>
            </w:pPr>
            <w:r>
              <w:rPr>
                <w:noProof/>
              </w:rPr>
              <w:drawing>
                <wp:inline distT="0" distB="0" distL="0" distR="0" wp14:anchorId="1A2937C7" wp14:editId="26C5BE30">
                  <wp:extent cx="540000" cy="540000"/>
                  <wp:effectExtent l="0" t="0" r="0" b="0"/>
                  <wp:docPr id="1934884907" name="Picture 1934884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07" name="Picture 1934884907">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038F4707" w14:textId="77777777" w:rsidR="00777F21" w:rsidRDefault="00777F21" w:rsidP="00E41301">
            <w:pPr>
              <w:pStyle w:val="Tablecolhead"/>
              <w:rPr>
                <w:rFonts w:eastAsia="Arial"/>
              </w:rPr>
            </w:pPr>
            <w:r>
              <w:rPr>
                <w:rFonts w:eastAsia="Arial"/>
              </w:rPr>
              <w:t>Documentation required</w:t>
            </w:r>
          </w:p>
          <w:p w14:paraId="2AA480E8" w14:textId="794F454C" w:rsidR="00777F21" w:rsidRPr="00D41E2A" w:rsidRDefault="003321B7" w:rsidP="00740A47">
            <w:pPr>
              <w:pStyle w:val="Bullet1"/>
            </w:pPr>
            <w:r>
              <w:t xml:space="preserve">7b </w:t>
            </w:r>
            <w:r w:rsidR="00777F21">
              <w:t>Brokerage Request Form</w:t>
            </w:r>
          </w:p>
          <w:p w14:paraId="03F201F4" w14:textId="7D76773A" w:rsidR="00777F21" w:rsidRPr="00D41E2A" w:rsidRDefault="00CD2252" w:rsidP="00740A47">
            <w:pPr>
              <w:pStyle w:val="Bullet1"/>
            </w:pPr>
            <w:r>
              <w:t xml:space="preserve">7d </w:t>
            </w:r>
            <w:r w:rsidR="00777F21">
              <w:t xml:space="preserve">Brokerage Notification </w:t>
            </w:r>
            <w:r w:rsidR="00F53266">
              <w:t>Form</w:t>
            </w:r>
            <w:r w:rsidR="00777F21">
              <w:t xml:space="preserve"> – for Complex Needs Panel</w:t>
            </w:r>
          </w:p>
          <w:p w14:paraId="76418D8F" w14:textId="17172CB2" w:rsidR="00777F21" w:rsidRPr="00D41E2A" w:rsidRDefault="00615817" w:rsidP="00740A47">
            <w:pPr>
              <w:pStyle w:val="Bullet1"/>
            </w:pPr>
            <w:r>
              <w:t xml:space="preserve">reflect </w:t>
            </w:r>
            <w:r w:rsidR="00777F21">
              <w:t>brokerage expenditure</w:t>
            </w:r>
            <w:r>
              <w:t xml:space="preserve"> </w:t>
            </w:r>
            <w:r w:rsidR="006B665F">
              <w:t>i</w:t>
            </w:r>
            <w:r>
              <w:t>n the care plan</w:t>
            </w:r>
          </w:p>
          <w:p w14:paraId="4BE08F53" w14:textId="19285808" w:rsidR="00777F21" w:rsidRPr="00B83D2D" w:rsidRDefault="003321B7" w:rsidP="00740A47">
            <w:pPr>
              <w:pStyle w:val="Bullet1"/>
            </w:pPr>
            <w:r>
              <w:t xml:space="preserve">7c </w:t>
            </w:r>
            <w:r w:rsidR="00777F21">
              <w:t>Brokerage Agreement.</w:t>
            </w:r>
          </w:p>
        </w:tc>
      </w:tr>
    </w:tbl>
    <w:p w14:paraId="4243EC23" w14:textId="77777777" w:rsidR="00777F21" w:rsidRDefault="00777F21" w:rsidP="00777F2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777F21" w:rsidRPr="00396E5A" w14:paraId="72A40A3A" w14:textId="77777777" w:rsidTr="00E41301">
        <w:tc>
          <w:tcPr>
            <w:tcW w:w="0" w:type="auto"/>
            <w:shd w:val="clear" w:color="auto" w:fill="99D3F0"/>
            <w:vAlign w:val="center"/>
          </w:tcPr>
          <w:p w14:paraId="42C6C0C6" w14:textId="77777777" w:rsidR="00777F21" w:rsidRPr="00396E5A" w:rsidRDefault="00777F21" w:rsidP="00E41301">
            <w:pPr>
              <w:pStyle w:val="Body"/>
              <w:rPr>
                <w:color w:val="FF0000"/>
              </w:rPr>
            </w:pPr>
            <w:r w:rsidRPr="00396E5A">
              <w:rPr>
                <w:noProof/>
                <w:color w:val="FF0000"/>
              </w:rPr>
              <w:drawing>
                <wp:inline distT="0" distB="0" distL="0" distR="0" wp14:anchorId="4B09CEF6" wp14:editId="0B1E0165">
                  <wp:extent cx="540000" cy="540000"/>
                  <wp:effectExtent l="0" t="0" r="0" b="0"/>
                  <wp:docPr id="104" name="Picture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DDE4ADD" w14:textId="77777777" w:rsidR="00777F21" w:rsidRPr="00D07028" w:rsidRDefault="00777F21" w:rsidP="00E41301">
            <w:pPr>
              <w:pStyle w:val="Tablecolhead"/>
            </w:pPr>
            <w:r w:rsidRPr="00D07028">
              <w:t>Coordinator tasks</w:t>
            </w:r>
          </w:p>
          <w:p w14:paraId="33EADF72" w14:textId="68EF9E59" w:rsidR="00777F21" w:rsidRPr="009B01F0" w:rsidRDefault="00777F21" w:rsidP="00740A47">
            <w:pPr>
              <w:pStyle w:val="Bullet1"/>
            </w:pPr>
            <w:r w:rsidRPr="009B01F0">
              <w:t xml:space="preserve">ensure a care plan is developed to reflect the use of brokerage using the </w:t>
            </w:r>
            <w:r w:rsidR="00F53266">
              <w:t xml:space="preserve">3 </w:t>
            </w:r>
            <w:r w:rsidRPr="009B01F0">
              <w:t xml:space="preserve">Complex Needs Care Plan </w:t>
            </w:r>
            <w:r w:rsidR="00F53266">
              <w:t>Form</w:t>
            </w:r>
            <w:r w:rsidR="0075557E" w:rsidRPr="009B01F0">
              <w:t xml:space="preserve"> if no care plan exists</w:t>
            </w:r>
            <w:r w:rsidR="0075557E">
              <w:t>.</w:t>
            </w:r>
          </w:p>
          <w:p w14:paraId="548AE61D" w14:textId="02B1A40A" w:rsidR="00777F21" w:rsidRPr="009B01F0" w:rsidRDefault="00777F21" w:rsidP="00740A47">
            <w:pPr>
              <w:pStyle w:val="Bullet1"/>
            </w:pPr>
            <w:r w:rsidRPr="009B01F0">
              <w:t>ensure the care plan is updated to reflect the use of brokerage</w:t>
            </w:r>
            <w:r w:rsidR="0075557E" w:rsidRPr="009B01F0">
              <w:t xml:space="preserve"> if a care plan exists</w:t>
            </w:r>
          </w:p>
          <w:p w14:paraId="6FAACE3C" w14:textId="77777777" w:rsidR="00777F21" w:rsidRPr="009B01F0" w:rsidRDefault="00777F21" w:rsidP="00740A47">
            <w:pPr>
              <w:pStyle w:val="Bullet1"/>
            </w:pPr>
            <w:r w:rsidRPr="009B01F0">
              <w:t xml:space="preserve">ensure the Brokerage Request Form is prepared </w:t>
            </w:r>
          </w:p>
          <w:p w14:paraId="06B6BCA0" w14:textId="77777777" w:rsidR="00777F21" w:rsidRPr="009B01F0" w:rsidRDefault="00777F21" w:rsidP="00740A47">
            <w:pPr>
              <w:pStyle w:val="Bullet1"/>
            </w:pPr>
            <w:r w:rsidRPr="009B01F0">
              <w:t>follow appropriate brokerage approval procedure, ensuring all other avenues for funding have been explored e.g., NDIS</w:t>
            </w:r>
          </w:p>
          <w:p w14:paraId="2B6EFE19" w14:textId="2D16C0A1" w:rsidR="00777F21" w:rsidRPr="009B01F0" w:rsidRDefault="00777F21" w:rsidP="00740A47">
            <w:pPr>
              <w:pStyle w:val="Bullet1"/>
            </w:pPr>
            <w:r w:rsidRPr="009B01F0">
              <w:t xml:space="preserve">notify the </w:t>
            </w:r>
            <w:r w:rsidRPr="005D066B">
              <w:t>Complex Needs Panel of Pre-MACNI brokerage expenditure</w:t>
            </w:r>
            <w:r w:rsidR="005D066B" w:rsidRPr="005D066B">
              <w:t xml:space="preserve"> </w:t>
            </w:r>
            <w:r w:rsidR="000753A1">
              <w:t>(</w:t>
            </w:r>
            <w:r w:rsidR="005D066B" w:rsidRPr="005D066B">
              <w:t>7d</w:t>
            </w:r>
            <w:r w:rsidR="000753A1">
              <w:t>)</w:t>
            </w:r>
          </w:p>
          <w:p w14:paraId="5C16D2DB" w14:textId="77777777" w:rsidR="00777F21" w:rsidRPr="00396E5A" w:rsidRDefault="00777F21" w:rsidP="00740A47">
            <w:pPr>
              <w:pStyle w:val="Bullet1"/>
            </w:pPr>
            <w:r w:rsidRPr="009B01F0">
              <w:t>update the SharePoint brokerage database.</w:t>
            </w:r>
          </w:p>
        </w:tc>
      </w:tr>
    </w:tbl>
    <w:p w14:paraId="5C33B628" w14:textId="0DD35D81" w:rsidR="00E37383" w:rsidRPr="006E18EA" w:rsidRDefault="00E37383" w:rsidP="000E7482">
      <w:pPr>
        <w:pStyle w:val="Heading3"/>
        <w:numPr>
          <w:ilvl w:val="2"/>
          <w:numId w:val="28"/>
        </w:numPr>
        <w:rPr>
          <w:sz w:val="21"/>
          <w:szCs w:val="21"/>
        </w:rPr>
      </w:pPr>
      <w:r w:rsidRPr="00C94E7E">
        <w:lastRenderedPageBreak/>
        <w:t xml:space="preserve">Formal MACNI </w:t>
      </w:r>
      <w:bookmarkEnd w:id="324"/>
      <w:bookmarkEnd w:id="325"/>
      <w:bookmarkEnd w:id="326"/>
      <w:bookmarkEnd w:id="327"/>
    </w:p>
    <w:p w14:paraId="3C2B748B" w14:textId="77777777" w:rsidR="008F3FA7" w:rsidRPr="001D640E" w:rsidRDefault="008F3FA7" w:rsidP="008F3FA7">
      <w:pPr>
        <w:pStyle w:val="Body"/>
      </w:pPr>
      <w:r w:rsidRPr="001D640E">
        <w:t xml:space="preserve">MACNI brokerage may be allocated to formal MACNI clients to support the delivery of the care plan. The brokerage is considered and recommended by the Panel at the time of in-principle approval of the care plan, and then approved by the financial delegate. Amounts of less than $25,000 do not require Panel recommendation, however, the Panel must be notified of the expenditure. </w:t>
      </w:r>
    </w:p>
    <w:p w14:paraId="5D8243C4" w14:textId="77777777" w:rsidR="00D74821" w:rsidRDefault="00D74821" w:rsidP="00D74821">
      <w:pPr>
        <w:pStyle w:val="Body"/>
      </w:pPr>
      <w:r>
        <w:t>T</w:t>
      </w:r>
      <w:r w:rsidR="00E37383" w:rsidRPr="00C94E7E">
        <w:t xml:space="preserve">he </w:t>
      </w:r>
      <w:r>
        <w:t xml:space="preserve">use of brokerage for Formal MACNI clients requires that: </w:t>
      </w:r>
    </w:p>
    <w:p w14:paraId="197706A0" w14:textId="3D66479B" w:rsidR="00E37383" w:rsidRPr="00AC6C82" w:rsidRDefault="00D74821" w:rsidP="00740A47">
      <w:pPr>
        <w:pStyle w:val="Bullet1"/>
      </w:pPr>
      <w:r>
        <w:t xml:space="preserve">any services </w:t>
      </w:r>
      <w:r w:rsidR="0D9766B1" w:rsidRPr="00AC6C82">
        <w:t xml:space="preserve">must be delivered by providers who have a </w:t>
      </w:r>
      <w:r w:rsidR="00AC6C82">
        <w:t>s</w:t>
      </w:r>
      <w:r w:rsidR="0D9766B1" w:rsidRPr="00AC6C82">
        <w:t xml:space="preserve">ervice </w:t>
      </w:r>
      <w:r w:rsidR="00AC6C82">
        <w:t>a</w:t>
      </w:r>
      <w:r w:rsidR="0D9766B1" w:rsidRPr="00AC6C82">
        <w:t xml:space="preserve">greement with the department and are registered under the </w:t>
      </w:r>
      <w:r w:rsidR="0D9766B1" w:rsidRPr="00734BCC">
        <w:rPr>
          <w:i/>
          <w:iCs/>
        </w:rPr>
        <w:t>Disability Act 2006</w:t>
      </w:r>
    </w:p>
    <w:p w14:paraId="0645E9C4" w14:textId="0257BE68" w:rsidR="00E37383" w:rsidRPr="00AC6C82" w:rsidRDefault="63C2248A" w:rsidP="00740A47">
      <w:pPr>
        <w:pStyle w:val="Bullet1"/>
      </w:pPr>
      <w:r w:rsidRPr="00AC6C82">
        <w:t xml:space="preserve">financial acquittals </w:t>
      </w:r>
      <w:r w:rsidR="00D74821">
        <w:t>are</w:t>
      </w:r>
      <w:r w:rsidRPr="00AC6C82">
        <w:t xml:space="preserve"> provided and processed within 30 days of the MACNI care plan closure</w:t>
      </w:r>
    </w:p>
    <w:p w14:paraId="19B0D820" w14:textId="18ED7B57" w:rsidR="00E37383" w:rsidRPr="00AC6C82" w:rsidRDefault="63C2248A" w:rsidP="00740A47">
      <w:pPr>
        <w:pStyle w:val="Bullet1"/>
      </w:pPr>
      <w:r w:rsidRPr="00AC6C82">
        <w:t xml:space="preserve">risk assessments are encouraged at key transition points and should inform service changeover. This risk assessment may be undertaken by the care team or Care Plan Coordinator and does not refer to a clinical risk assessment from an additional external provider </w:t>
      </w:r>
    </w:p>
    <w:p w14:paraId="6FB68E29" w14:textId="7D3166D8" w:rsidR="00E37383" w:rsidRPr="00AC6C82" w:rsidRDefault="0D9766B1" w:rsidP="00740A47">
      <w:pPr>
        <w:pStyle w:val="Bullet1"/>
      </w:pPr>
      <w:r w:rsidRPr="00AC6C82">
        <w:t xml:space="preserve">care plans that cross financial years will require the brokerage to be acquitted and processed within the same financial year that the service is provided. This may require ‘in principle’ payments for services provided in May/June. </w:t>
      </w:r>
      <w:r w:rsidR="00AC6C82">
        <w:t>E.g.:</w:t>
      </w:r>
      <w:r w:rsidR="00E37383" w:rsidRPr="00AC6C82">
        <w:t xml:space="preserve"> where a care plan</w:t>
      </w:r>
      <w:r w:rsidR="00AC6C82">
        <w:t xml:space="preserve"> </w:t>
      </w:r>
      <w:r w:rsidR="00E37383" w:rsidRPr="00AC6C82">
        <w:t>include</w:t>
      </w:r>
      <w:r w:rsidR="00AC6C82">
        <w:t>s</w:t>
      </w:r>
      <w:r w:rsidR="00E37383" w:rsidRPr="00AC6C82">
        <w:t xml:space="preserve"> services from 1 March - 30 September 2024, th</w:t>
      </w:r>
      <w:r w:rsidR="00AC6C82">
        <w:t>e</w:t>
      </w:r>
      <w:r w:rsidR="00E37383" w:rsidRPr="00AC6C82">
        <w:t xml:space="preserve"> services are acquitted across two financial years: </w:t>
      </w:r>
    </w:p>
    <w:p w14:paraId="4978BFE4" w14:textId="1B1C4881" w:rsidR="00E37383" w:rsidRPr="00AC6C82" w:rsidRDefault="0D9766B1" w:rsidP="000E7482">
      <w:pPr>
        <w:pStyle w:val="Bullet2"/>
      </w:pPr>
      <w:r w:rsidRPr="00AC6C82">
        <w:t>Financial Year 2023</w:t>
      </w:r>
      <w:r w:rsidR="00D74821">
        <w:t>-</w:t>
      </w:r>
      <w:r w:rsidRPr="00AC6C82">
        <w:t>24: Service provision from 1 March - 30 June</w:t>
      </w:r>
    </w:p>
    <w:p w14:paraId="4C5C3179" w14:textId="77C7DDC4" w:rsidR="008520AF" w:rsidRDefault="63C2248A" w:rsidP="000E7482">
      <w:pPr>
        <w:pStyle w:val="Bullet2"/>
      </w:pPr>
      <w:r w:rsidRPr="00AC6C82">
        <w:t>Financial Year 2024</w:t>
      </w:r>
      <w:r w:rsidR="00D74821">
        <w:t>-</w:t>
      </w:r>
      <w:r>
        <w:t>25: Service provision from 1 July - 30 September.</w:t>
      </w:r>
      <w:bookmarkStart w:id="328" w:name="_Toc137636776"/>
    </w:p>
    <w:p w14:paraId="269E9FE1" w14:textId="77777777" w:rsidR="008520AF" w:rsidRPr="00AD1F27" w:rsidRDefault="008520AF" w:rsidP="008520AF">
      <w:pPr>
        <w:pStyle w:val="Figurecaption"/>
      </w:pPr>
      <w:r>
        <w:t>Formal MACNI brokerage approval requirements</w:t>
      </w:r>
    </w:p>
    <w:tbl>
      <w:tblPr>
        <w:tblStyle w:val="TableGrid"/>
        <w:tblW w:w="9288" w:type="dxa"/>
        <w:tblLook w:val="04A0" w:firstRow="1" w:lastRow="0" w:firstColumn="1" w:lastColumn="0" w:noHBand="0" w:noVBand="1"/>
      </w:tblPr>
      <w:tblGrid>
        <w:gridCol w:w="1383"/>
        <w:gridCol w:w="2802"/>
        <w:gridCol w:w="1590"/>
        <w:gridCol w:w="1484"/>
        <w:gridCol w:w="2029"/>
      </w:tblGrid>
      <w:tr w:rsidR="008520AF" w:rsidRPr="000C164D" w14:paraId="7F59DC06" w14:textId="77777777" w:rsidTr="00E41301">
        <w:trPr>
          <w:tblHeader/>
        </w:trPr>
        <w:tc>
          <w:tcPr>
            <w:tcW w:w="1383" w:type="dxa"/>
            <w:shd w:val="clear" w:color="auto" w:fill="auto"/>
          </w:tcPr>
          <w:p w14:paraId="2E685148" w14:textId="77777777" w:rsidR="008520AF" w:rsidRPr="000C164D" w:rsidRDefault="008520AF" w:rsidP="00E41301">
            <w:pPr>
              <w:pStyle w:val="Tablecolhead"/>
            </w:pPr>
            <w:r w:rsidRPr="000C164D">
              <w:t>Amount</w:t>
            </w:r>
          </w:p>
        </w:tc>
        <w:tc>
          <w:tcPr>
            <w:tcW w:w="2802" w:type="dxa"/>
            <w:shd w:val="clear" w:color="auto" w:fill="auto"/>
          </w:tcPr>
          <w:p w14:paraId="73030920" w14:textId="77777777" w:rsidR="008520AF" w:rsidRPr="000C164D" w:rsidRDefault="008520AF" w:rsidP="00E41301">
            <w:pPr>
              <w:pStyle w:val="Tablecolhead"/>
            </w:pPr>
            <w:r w:rsidRPr="000C164D">
              <w:t>Documentation</w:t>
            </w:r>
          </w:p>
        </w:tc>
        <w:tc>
          <w:tcPr>
            <w:tcW w:w="1590" w:type="dxa"/>
            <w:shd w:val="clear" w:color="auto" w:fill="auto"/>
          </w:tcPr>
          <w:p w14:paraId="568205E3" w14:textId="77777777" w:rsidR="008520AF" w:rsidRPr="000C164D" w:rsidRDefault="008520AF" w:rsidP="00E41301">
            <w:pPr>
              <w:pStyle w:val="Tablecolhead"/>
            </w:pPr>
            <w:r w:rsidRPr="000C164D">
              <w:t>Role of Panel</w:t>
            </w:r>
          </w:p>
        </w:tc>
        <w:tc>
          <w:tcPr>
            <w:tcW w:w="1484" w:type="dxa"/>
            <w:shd w:val="clear" w:color="auto" w:fill="auto"/>
          </w:tcPr>
          <w:p w14:paraId="5528B9A5" w14:textId="77777777" w:rsidR="008520AF" w:rsidRPr="000C164D" w:rsidRDefault="008520AF" w:rsidP="00E41301">
            <w:pPr>
              <w:pStyle w:val="Tablecolhead"/>
            </w:pPr>
            <w:r w:rsidRPr="000C164D">
              <w:t>Financial Delegate</w:t>
            </w:r>
          </w:p>
        </w:tc>
        <w:tc>
          <w:tcPr>
            <w:tcW w:w="2029" w:type="dxa"/>
            <w:shd w:val="clear" w:color="auto" w:fill="auto"/>
          </w:tcPr>
          <w:p w14:paraId="1666C32A" w14:textId="77777777" w:rsidR="008520AF" w:rsidRPr="000C164D" w:rsidRDefault="008520AF" w:rsidP="00E41301">
            <w:pPr>
              <w:pStyle w:val="Tablecolhead"/>
            </w:pPr>
            <w:r w:rsidRPr="000C164D">
              <w:t>Procurement &amp; Probity requirements</w:t>
            </w:r>
          </w:p>
        </w:tc>
      </w:tr>
      <w:tr w:rsidR="008520AF" w14:paraId="408B3740" w14:textId="77777777" w:rsidTr="00E41301">
        <w:tc>
          <w:tcPr>
            <w:tcW w:w="1383" w:type="dxa"/>
          </w:tcPr>
          <w:p w14:paraId="355AD41B" w14:textId="77777777" w:rsidR="008520AF" w:rsidRPr="0082697B" w:rsidRDefault="008520AF" w:rsidP="00E41301">
            <w:pPr>
              <w:pStyle w:val="Tabletext"/>
            </w:pPr>
            <w:r>
              <w:t>Less than</w:t>
            </w:r>
            <w:r w:rsidRPr="0082697B">
              <w:t xml:space="preserve"> $5,000</w:t>
            </w:r>
          </w:p>
        </w:tc>
        <w:tc>
          <w:tcPr>
            <w:tcW w:w="2802" w:type="dxa"/>
          </w:tcPr>
          <w:p w14:paraId="7887E872" w14:textId="3EBF9A24" w:rsidR="008520AF" w:rsidRPr="0082697B" w:rsidRDefault="00E45D56" w:rsidP="00E41301">
            <w:pPr>
              <w:pStyle w:val="Tabletext"/>
              <w:rPr>
                <w:rFonts w:cs="Arial"/>
              </w:rPr>
            </w:pPr>
            <w:r>
              <w:t xml:space="preserve">7b </w:t>
            </w:r>
            <w:r w:rsidR="008520AF">
              <w:t>Brokerage Request Form</w:t>
            </w:r>
          </w:p>
        </w:tc>
        <w:tc>
          <w:tcPr>
            <w:tcW w:w="1590" w:type="dxa"/>
          </w:tcPr>
          <w:p w14:paraId="10ED590D" w14:textId="77777777" w:rsidR="008520AF" w:rsidRPr="0082697B" w:rsidRDefault="008520AF" w:rsidP="00E41301">
            <w:pPr>
              <w:pStyle w:val="Tabletext"/>
            </w:pPr>
            <w:r w:rsidRPr="0082697B">
              <w:t xml:space="preserve">Notify </w:t>
            </w:r>
            <w:r>
              <w:t>only</w:t>
            </w:r>
          </w:p>
        </w:tc>
        <w:tc>
          <w:tcPr>
            <w:tcW w:w="1484" w:type="dxa"/>
          </w:tcPr>
          <w:p w14:paraId="7C7DF01B" w14:textId="77777777" w:rsidR="008520AF" w:rsidRPr="0082697B" w:rsidRDefault="008520AF" w:rsidP="00E41301">
            <w:pPr>
              <w:pStyle w:val="Tabletext"/>
            </w:pPr>
            <w:r>
              <w:t>Complex Needs Coordinator ($5,000)</w:t>
            </w:r>
          </w:p>
        </w:tc>
        <w:tc>
          <w:tcPr>
            <w:tcW w:w="2029" w:type="dxa"/>
          </w:tcPr>
          <w:p w14:paraId="06713858" w14:textId="77777777" w:rsidR="008520AF" w:rsidRPr="0082697B" w:rsidRDefault="008520AF" w:rsidP="00E41301">
            <w:pPr>
              <w:pStyle w:val="Tabletext"/>
            </w:pPr>
            <w:r w:rsidRPr="0082697B">
              <w:t>Minimum of 1 quote</w:t>
            </w:r>
          </w:p>
        </w:tc>
      </w:tr>
      <w:tr w:rsidR="008520AF" w14:paraId="1A8CD1F5" w14:textId="77777777" w:rsidTr="00E41301">
        <w:tc>
          <w:tcPr>
            <w:tcW w:w="1383" w:type="dxa"/>
          </w:tcPr>
          <w:p w14:paraId="37D35D54" w14:textId="77777777" w:rsidR="008520AF" w:rsidRPr="000E1091" w:rsidRDefault="008520AF" w:rsidP="00E41301">
            <w:pPr>
              <w:pStyle w:val="Tabletext"/>
            </w:pPr>
            <w:r w:rsidRPr="000E1091">
              <w:t>Between $5,000 and $25,000</w:t>
            </w:r>
          </w:p>
        </w:tc>
        <w:tc>
          <w:tcPr>
            <w:tcW w:w="2802" w:type="dxa"/>
          </w:tcPr>
          <w:p w14:paraId="42B03981" w14:textId="06216429" w:rsidR="008520AF" w:rsidRPr="000E1091" w:rsidRDefault="00E45D56" w:rsidP="00E41301">
            <w:pPr>
              <w:pStyle w:val="Tabletext"/>
              <w:rPr>
                <w:rFonts w:cs="Arial"/>
              </w:rPr>
            </w:pPr>
            <w:r>
              <w:t xml:space="preserve">7b </w:t>
            </w:r>
            <w:r w:rsidR="008520AF" w:rsidRPr="000E1091">
              <w:t>Brokerage Request Form</w:t>
            </w:r>
          </w:p>
          <w:p w14:paraId="7D9AE978" w14:textId="58F27E12" w:rsidR="008520AF" w:rsidRPr="000E1091" w:rsidRDefault="00E45D56" w:rsidP="00E41301">
            <w:pPr>
              <w:pStyle w:val="Tabletext"/>
              <w:rPr>
                <w:rFonts w:cs="Arial"/>
              </w:rPr>
            </w:pPr>
            <w:r>
              <w:t xml:space="preserve">7c </w:t>
            </w:r>
            <w:r w:rsidR="008520AF" w:rsidRPr="000E1091">
              <w:t>Brokerage Agreement^</w:t>
            </w:r>
          </w:p>
        </w:tc>
        <w:tc>
          <w:tcPr>
            <w:tcW w:w="1590" w:type="dxa"/>
          </w:tcPr>
          <w:p w14:paraId="3AFB981B" w14:textId="77777777" w:rsidR="008520AF" w:rsidRPr="000E1091" w:rsidRDefault="008520AF" w:rsidP="00E41301">
            <w:pPr>
              <w:pStyle w:val="Tabletext"/>
            </w:pPr>
            <w:r w:rsidRPr="000E1091">
              <w:t>Notify only</w:t>
            </w:r>
          </w:p>
        </w:tc>
        <w:tc>
          <w:tcPr>
            <w:tcW w:w="1484" w:type="dxa"/>
          </w:tcPr>
          <w:p w14:paraId="610712DB" w14:textId="77777777" w:rsidR="008520AF" w:rsidRPr="0082697B" w:rsidRDefault="008520AF" w:rsidP="00E41301">
            <w:pPr>
              <w:pStyle w:val="Tabletext"/>
            </w:pPr>
            <w:r w:rsidRPr="0082697B">
              <w:t xml:space="preserve">Manager </w:t>
            </w:r>
            <w:r>
              <w:t>CSHS ($50,000)</w:t>
            </w:r>
          </w:p>
        </w:tc>
        <w:tc>
          <w:tcPr>
            <w:tcW w:w="2029" w:type="dxa"/>
          </w:tcPr>
          <w:p w14:paraId="676B4D99" w14:textId="77777777" w:rsidR="008520AF" w:rsidRPr="0082697B" w:rsidRDefault="008520AF" w:rsidP="00E41301">
            <w:pPr>
              <w:pStyle w:val="Tabletext"/>
            </w:pPr>
            <w:r w:rsidRPr="0082697B">
              <w:t>Minimum of 1 quote</w:t>
            </w:r>
          </w:p>
        </w:tc>
      </w:tr>
      <w:tr w:rsidR="008520AF" w:rsidRPr="00FE0968" w14:paraId="24AD453E" w14:textId="77777777" w:rsidTr="00E41301">
        <w:tc>
          <w:tcPr>
            <w:tcW w:w="1383" w:type="dxa"/>
          </w:tcPr>
          <w:p w14:paraId="275F62A5" w14:textId="77777777" w:rsidR="008520AF" w:rsidRPr="000E1091" w:rsidRDefault="008520AF" w:rsidP="00E41301">
            <w:pPr>
              <w:pStyle w:val="Tabletext"/>
            </w:pPr>
            <w:r w:rsidRPr="000E1091">
              <w:t>Between $25,000 and $50,000</w:t>
            </w:r>
          </w:p>
        </w:tc>
        <w:tc>
          <w:tcPr>
            <w:tcW w:w="2802" w:type="dxa"/>
          </w:tcPr>
          <w:p w14:paraId="11582817" w14:textId="3C8E7054" w:rsidR="008520AF" w:rsidRPr="000E1091" w:rsidRDefault="00E45D56" w:rsidP="00E41301">
            <w:pPr>
              <w:pStyle w:val="Tabletext"/>
              <w:rPr>
                <w:rFonts w:cs="Arial"/>
              </w:rPr>
            </w:pPr>
            <w:r>
              <w:t xml:space="preserve">7b </w:t>
            </w:r>
            <w:r w:rsidR="008520AF" w:rsidRPr="000E1091">
              <w:t>Brokerage Request Form</w:t>
            </w:r>
          </w:p>
          <w:p w14:paraId="7E06AD27" w14:textId="4335F1CE" w:rsidR="008520AF" w:rsidRPr="000E1091" w:rsidRDefault="00E45D56" w:rsidP="00E41301">
            <w:pPr>
              <w:pStyle w:val="Tabletext"/>
            </w:pPr>
            <w:r>
              <w:t xml:space="preserve">7c </w:t>
            </w:r>
            <w:r w:rsidR="008520AF" w:rsidRPr="000E1091">
              <w:t>Brokerage Agreement</w:t>
            </w:r>
          </w:p>
          <w:p w14:paraId="612DB737" w14:textId="77777777" w:rsidR="008520AF" w:rsidRPr="000E1091" w:rsidRDefault="008520AF" w:rsidP="00E41301">
            <w:pPr>
              <w:pStyle w:val="Tabletext"/>
              <w:rPr>
                <w:rFonts w:cs="Arial"/>
              </w:rPr>
            </w:pPr>
            <w:r w:rsidRPr="000E1091">
              <w:t>Service Agreement (Consult With APSS)</w:t>
            </w:r>
          </w:p>
        </w:tc>
        <w:tc>
          <w:tcPr>
            <w:tcW w:w="1590" w:type="dxa"/>
          </w:tcPr>
          <w:p w14:paraId="31DA912C" w14:textId="77777777" w:rsidR="008520AF" w:rsidRPr="000E1091" w:rsidRDefault="008520AF" w:rsidP="00E41301">
            <w:pPr>
              <w:pStyle w:val="Tabletext"/>
            </w:pPr>
            <w:r w:rsidRPr="000E1091">
              <w:t>Recommend</w:t>
            </w:r>
          </w:p>
        </w:tc>
        <w:tc>
          <w:tcPr>
            <w:tcW w:w="1484" w:type="dxa"/>
          </w:tcPr>
          <w:p w14:paraId="290016CF" w14:textId="77777777" w:rsidR="008520AF" w:rsidRPr="00FE0968" w:rsidRDefault="008520AF" w:rsidP="00E41301">
            <w:pPr>
              <w:pStyle w:val="Tabletext"/>
            </w:pPr>
            <w:r w:rsidRPr="00FE0968">
              <w:t>Manager CSHS ($50,000)</w:t>
            </w:r>
          </w:p>
        </w:tc>
        <w:tc>
          <w:tcPr>
            <w:tcW w:w="2029" w:type="dxa"/>
          </w:tcPr>
          <w:p w14:paraId="0377C42B" w14:textId="77777777" w:rsidR="008520AF" w:rsidRPr="00FE0968" w:rsidRDefault="008520AF" w:rsidP="00E41301">
            <w:pPr>
              <w:pStyle w:val="Tabletext"/>
            </w:pPr>
            <w:r w:rsidRPr="00FE0968">
              <w:t>Minimum of 1 quote</w:t>
            </w:r>
          </w:p>
        </w:tc>
      </w:tr>
      <w:tr w:rsidR="008520AF" w:rsidRPr="00FE0968" w14:paraId="6DF1AFDF" w14:textId="77777777" w:rsidTr="00E41301">
        <w:tc>
          <w:tcPr>
            <w:tcW w:w="1383" w:type="dxa"/>
          </w:tcPr>
          <w:p w14:paraId="26462807" w14:textId="77777777" w:rsidR="008520AF" w:rsidRPr="00FE0968" w:rsidRDefault="008520AF" w:rsidP="00E41301">
            <w:pPr>
              <w:pStyle w:val="Tabletext"/>
            </w:pPr>
            <w:r w:rsidRPr="00FE0968">
              <w:t>Between $50,000 and $100,000</w:t>
            </w:r>
          </w:p>
        </w:tc>
        <w:tc>
          <w:tcPr>
            <w:tcW w:w="2802" w:type="dxa"/>
          </w:tcPr>
          <w:p w14:paraId="6C7A597A" w14:textId="071FCF93" w:rsidR="008520AF" w:rsidRPr="00FE0968" w:rsidRDefault="00E45D56" w:rsidP="00E41301">
            <w:pPr>
              <w:pStyle w:val="Tabletext"/>
              <w:rPr>
                <w:rFonts w:cs="Arial"/>
              </w:rPr>
            </w:pPr>
            <w:r>
              <w:t xml:space="preserve">7b </w:t>
            </w:r>
            <w:r w:rsidR="008520AF" w:rsidRPr="00FE0968">
              <w:t>Brokerage Request Form</w:t>
            </w:r>
          </w:p>
          <w:p w14:paraId="2CC77B5B" w14:textId="70C576C9" w:rsidR="008520AF" w:rsidRPr="00FE0968" w:rsidRDefault="00E45D56" w:rsidP="00E41301">
            <w:pPr>
              <w:pStyle w:val="Tabletext"/>
              <w:rPr>
                <w:rFonts w:cs="Arial"/>
              </w:rPr>
            </w:pPr>
            <w:r>
              <w:t xml:space="preserve">7c </w:t>
            </w:r>
            <w:r w:rsidR="008520AF" w:rsidRPr="00FE0968">
              <w:t>Brokerage Agreement</w:t>
            </w:r>
          </w:p>
          <w:p w14:paraId="7BD42A65" w14:textId="77777777" w:rsidR="008520AF" w:rsidRPr="00FE0968" w:rsidRDefault="008520AF" w:rsidP="00E41301">
            <w:pPr>
              <w:pStyle w:val="Tabletext"/>
            </w:pPr>
            <w:r w:rsidRPr="00FE0968">
              <w:t>Service agreement (</w:t>
            </w:r>
            <w:r>
              <w:t>consult with APSS</w:t>
            </w:r>
            <w:r w:rsidRPr="00FE0968">
              <w:t>)</w:t>
            </w:r>
          </w:p>
        </w:tc>
        <w:tc>
          <w:tcPr>
            <w:tcW w:w="1590" w:type="dxa"/>
          </w:tcPr>
          <w:p w14:paraId="156B6AD1" w14:textId="77777777" w:rsidR="008520AF" w:rsidRPr="00FE0968" w:rsidRDefault="008520AF" w:rsidP="00E41301">
            <w:pPr>
              <w:pStyle w:val="Tabletext"/>
            </w:pPr>
            <w:r w:rsidRPr="00FE0968">
              <w:t>Recommend</w:t>
            </w:r>
          </w:p>
        </w:tc>
        <w:tc>
          <w:tcPr>
            <w:tcW w:w="1484" w:type="dxa"/>
          </w:tcPr>
          <w:p w14:paraId="54ED8CCC" w14:textId="35F37919" w:rsidR="008520AF" w:rsidRPr="00FE0968" w:rsidRDefault="005412C7" w:rsidP="00E41301">
            <w:pPr>
              <w:pStyle w:val="Tabletext"/>
            </w:pPr>
            <w:r>
              <w:t xml:space="preserve">Area </w:t>
            </w:r>
            <w:r w:rsidR="008520AF">
              <w:t xml:space="preserve">Executive </w:t>
            </w:r>
            <w:r w:rsidR="008520AF" w:rsidRPr="00FE0968">
              <w:t>Director ($500,000)</w:t>
            </w:r>
          </w:p>
        </w:tc>
        <w:tc>
          <w:tcPr>
            <w:tcW w:w="2029" w:type="dxa"/>
            <w:shd w:val="clear" w:color="auto" w:fill="auto"/>
          </w:tcPr>
          <w:p w14:paraId="383F42C7" w14:textId="77777777" w:rsidR="008520AF" w:rsidRPr="00FE0968" w:rsidRDefault="008520AF" w:rsidP="00E41301">
            <w:pPr>
              <w:pStyle w:val="Tabletext"/>
            </w:pPr>
            <w:r w:rsidRPr="00FE0968">
              <w:t>Seek a minimum of 3* written quotes (see exceptions below)</w:t>
            </w:r>
          </w:p>
        </w:tc>
      </w:tr>
      <w:tr w:rsidR="008520AF" w14:paraId="67F73840" w14:textId="77777777" w:rsidTr="00E41301">
        <w:tc>
          <w:tcPr>
            <w:tcW w:w="1383" w:type="dxa"/>
          </w:tcPr>
          <w:p w14:paraId="6BF4E735" w14:textId="77777777" w:rsidR="008520AF" w:rsidRPr="00FE0968" w:rsidRDefault="008520AF" w:rsidP="00E41301">
            <w:pPr>
              <w:pStyle w:val="Tabletext"/>
            </w:pPr>
            <w:r w:rsidRPr="00FE0968">
              <w:t>Over $100,000</w:t>
            </w:r>
          </w:p>
        </w:tc>
        <w:tc>
          <w:tcPr>
            <w:tcW w:w="2802" w:type="dxa"/>
          </w:tcPr>
          <w:p w14:paraId="2D56DD5B" w14:textId="5CBCDF24" w:rsidR="008520AF" w:rsidRPr="00FE0968" w:rsidRDefault="008520AF" w:rsidP="00E41301">
            <w:pPr>
              <w:pStyle w:val="Tabletext"/>
            </w:pPr>
            <w:r w:rsidRPr="00FE0968">
              <w:t xml:space="preserve">Seek </w:t>
            </w:r>
            <w:r w:rsidR="00175DB2">
              <w:t>q</w:t>
            </w:r>
            <w:r w:rsidRPr="00FE0968">
              <w:t>uot</w:t>
            </w:r>
            <w:r w:rsidR="00091708">
              <w:t>e</w:t>
            </w:r>
            <w:r w:rsidRPr="00FE0968">
              <w:t xml:space="preserve"> /</w:t>
            </w:r>
            <w:r w:rsidR="00175DB2">
              <w:t>t</w:t>
            </w:r>
            <w:r w:rsidRPr="00FE0968">
              <w:t>ender or as advised by Procurement Services</w:t>
            </w:r>
          </w:p>
          <w:p w14:paraId="7876C4B2" w14:textId="4DEFE194" w:rsidR="008520AF" w:rsidRPr="00FE0968" w:rsidRDefault="00255E2D" w:rsidP="00E41301">
            <w:pPr>
              <w:pStyle w:val="Tabletext"/>
              <w:rPr>
                <w:rFonts w:cs="Arial"/>
              </w:rPr>
            </w:pPr>
            <w:r>
              <w:t xml:space="preserve">7b </w:t>
            </w:r>
            <w:r w:rsidR="008520AF" w:rsidRPr="00FE0968">
              <w:t>Brokerage Request Form</w:t>
            </w:r>
          </w:p>
          <w:p w14:paraId="7F64DC4B" w14:textId="72D8FD62" w:rsidR="008520AF" w:rsidRPr="00FE0968" w:rsidRDefault="00255E2D" w:rsidP="00E41301">
            <w:pPr>
              <w:pStyle w:val="Tabletext"/>
              <w:rPr>
                <w:rFonts w:cs="Arial"/>
              </w:rPr>
            </w:pPr>
            <w:r>
              <w:lastRenderedPageBreak/>
              <w:t xml:space="preserve">7c </w:t>
            </w:r>
            <w:r w:rsidR="008520AF" w:rsidRPr="00FE0968">
              <w:t>Brokerage Agreement</w:t>
            </w:r>
            <w:r w:rsidR="008520AF" w:rsidRPr="00FE0968">
              <w:rPr>
                <w:rFonts w:cs="Arial"/>
              </w:rPr>
              <w:t xml:space="preserve"> </w:t>
            </w:r>
          </w:p>
          <w:p w14:paraId="5B641E5C" w14:textId="77777777" w:rsidR="008520AF" w:rsidRPr="00FE0968" w:rsidRDefault="008520AF" w:rsidP="00E41301">
            <w:pPr>
              <w:pStyle w:val="Tabletext"/>
            </w:pPr>
            <w:r w:rsidRPr="00FE0968">
              <w:t>Service agreement (</w:t>
            </w:r>
            <w:r>
              <w:t>consult with APSS</w:t>
            </w:r>
            <w:r w:rsidRPr="00FE0968">
              <w:t>)</w:t>
            </w:r>
          </w:p>
        </w:tc>
        <w:tc>
          <w:tcPr>
            <w:tcW w:w="1590" w:type="dxa"/>
          </w:tcPr>
          <w:p w14:paraId="2AED85AA" w14:textId="77777777" w:rsidR="008520AF" w:rsidRPr="00FE0968" w:rsidRDefault="008520AF" w:rsidP="00E41301">
            <w:pPr>
              <w:pStyle w:val="Tabletext"/>
            </w:pPr>
            <w:r w:rsidRPr="00FE0968">
              <w:lastRenderedPageBreak/>
              <w:t>Recommend</w:t>
            </w:r>
          </w:p>
        </w:tc>
        <w:tc>
          <w:tcPr>
            <w:tcW w:w="1484" w:type="dxa"/>
          </w:tcPr>
          <w:p w14:paraId="752DA737" w14:textId="01A961AE" w:rsidR="008520AF" w:rsidRPr="00FE0968" w:rsidRDefault="005412C7" w:rsidP="00E41301">
            <w:pPr>
              <w:pStyle w:val="Tabletext"/>
            </w:pPr>
            <w:r>
              <w:t xml:space="preserve">Area </w:t>
            </w:r>
            <w:r w:rsidR="008520AF">
              <w:t>Executive</w:t>
            </w:r>
            <w:r w:rsidR="008520AF" w:rsidRPr="00FE0968">
              <w:t xml:space="preserve"> Director ($500,000)</w:t>
            </w:r>
          </w:p>
        </w:tc>
        <w:tc>
          <w:tcPr>
            <w:tcW w:w="2029" w:type="dxa"/>
          </w:tcPr>
          <w:p w14:paraId="7374EEBA" w14:textId="77777777" w:rsidR="008520AF" w:rsidRPr="00FE0968" w:rsidRDefault="008520AF" w:rsidP="00E41301">
            <w:pPr>
              <w:pStyle w:val="Tabletext"/>
            </w:pPr>
            <w:r w:rsidRPr="00FE0968">
              <w:t>Seek Quote / Tender or as advised by Procurement Services</w:t>
            </w:r>
          </w:p>
        </w:tc>
      </w:tr>
    </w:tbl>
    <w:p w14:paraId="1235D1A2" w14:textId="77777777" w:rsidR="008520AF" w:rsidRDefault="008520AF" w:rsidP="008520AF">
      <w:pPr>
        <w:pStyle w:val="Tablefigurenote"/>
      </w:pPr>
      <w:r>
        <w:t>^ Unless for assessments.</w:t>
      </w:r>
    </w:p>
    <w:p w14:paraId="0044D82B" w14:textId="420D16B9" w:rsidR="008520AF" w:rsidRDefault="008520AF" w:rsidP="008F3FA7">
      <w:pPr>
        <w:pStyle w:val="Tablefigurenote"/>
      </w:pPr>
      <w:r>
        <w:t>* In cases where a specialist service is required, this rule does not apply and 1 quote from a provider is acceptable. Brokerage requests must clearly indicate that procurement requirements were waived due to the nature of specialist support provision.</w:t>
      </w:r>
    </w:p>
    <w:p w14:paraId="1F119521" w14:textId="77777777" w:rsidR="0074549D" w:rsidRPr="00590061" w:rsidRDefault="0074549D" w:rsidP="008F3FA7">
      <w:pPr>
        <w:pStyle w:val="Tablefigurenot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6106"/>
      </w:tblGrid>
      <w:tr w:rsidR="008520AF" w14:paraId="20309455" w14:textId="77777777" w:rsidTr="00E41301">
        <w:tc>
          <w:tcPr>
            <w:tcW w:w="0" w:type="auto"/>
            <w:shd w:val="clear" w:color="auto" w:fill="CCE9F8"/>
            <w:vAlign w:val="center"/>
          </w:tcPr>
          <w:p w14:paraId="6C25A3B0" w14:textId="77777777" w:rsidR="008520AF" w:rsidRDefault="008520AF" w:rsidP="00E41301">
            <w:pPr>
              <w:pStyle w:val="Body"/>
            </w:pPr>
            <w:r>
              <w:rPr>
                <w:noProof/>
              </w:rPr>
              <w:drawing>
                <wp:inline distT="0" distB="0" distL="0" distR="0" wp14:anchorId="0C11B021" wp14:editId="19283DE2">
                  <wp:extent cx="540000" cy="540000"/>
                  <wp:effectExtent l="0" t="0" r="0" b="0"/>
                  <wp:docPr id="1934884910" name="Picture 1934884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10" name="Picture 1934884910">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vAlign w:val="center"/>
          </w:tcPr>
          <w:p w14:paraId="7B058E5F" w14:textId="77777777" w:rsidR="008520AF" w:rsidRDefault="008520AF" w:rsidP="00E41301">
            <w:pPr>
              <w:pStyle w:val="Tablecolhead"/>
              <w:rPr>
                <w:rFonts w:eastAsia="Arial"/>
              </w:rPr>
            </w:pPr>
            <w:r>
              <w:rPr>
                <w:rFonts w:eastAsia="Arial"/>
              </w:rPr>
              <w:t>Documentation required</w:t>
            </w:r>
          </w:p>
          <w:p w14:paraId="1F33CF45" w14:textId="42677A33" w:rsidR="008520AF" w:rsidRPr="00590061" w:rsidRDefault="00255E2D" w:rsidP="00740A47">
            <w:pPr>
              <w:pStyle w:val="Bullet1"/>
            </w:pPr>
            <w:r>
              <w:t xml:space="preserve">7b </w:t>
            </w:r>
            <w:r w:rsidR="008520AF">
              <w:t>Brokerage Request Form</w:t>
            </w:r>
          </w:p>
          <w:p w14:paraId="21A34E2E" w14:textId="5D371F4E" w:rsidR="008520AF" w:rsidRPr="00034164" w:rsidRDefault="00255E2D" w:rsidP="00740A47">
            <w:pPr>
              <w:pStyle w:val="Bullet1"/>
            </w:pPr>
            <w:r>
              <w:t xml:space="preserve">7d </w:t>
            </w:r>
            <w:r w:rsidR="008520AF">
              <w:t xml:space="preserve">Brokerage Notification </w:t>
            </w:r>
            <w:r w:rsidR="00C43627">
              <w:t xml:space="preserve">Form </w:t>
            </w:r>
            <w:r w:rsidR="008520AF">
              <w:t>– for Complex Needs Panel</w:t>
            </w:r>
          </w:p>
          <w:p w14:paraId="10FAF276" w14:textId="55C2F3FC" w:rsidR="008520AF" w:rsidRPr="007177B1" w:rsidRDefault="001B1C68" w:rsidP="00740A47">
            <w:pPr>
              <w:pStyle w:val="Bullet1"/>
            </w:pPr>
            <w:r>
              <w:t xml:space="preserve">3 </w:t>
            </w:r>
            <w:r w:rsidR="008520AF">
              <w:t xml:space="preserve">MACNI </w:t>
            </w:r>
            <w:r w:rsidR="007233D9">
              <w:t xml:space="preserve">Care Plan </w:t>
            </w:r>
            <w:r w:rsidR="008520AF">
              <w:t>must reflect brokerage expenditure</w:t>
            </w:r>
          </w:p>
          <w:p w14:paraId="063451BE" w14:textId="26B8E5C1" w:rsidR="008520AF" w:rsidRPr="00B83D2D" w:rsidRDefault="00255E2D" w:rsidP="00740A47">
            <w:pPr>
              <w:pStyle w:val="Bullet1"/>
            </w:pPr>
            <w:r>
              <w:t>7c</w:t>
            </w:r>
            <w:r w:rsidR="00C43627">
              <w:t xml:space="preserve"> </w:t>
            </w:r>
            <w:r w:rsidR="008520AF">
              <w:t>Brokerage Agreement.</w:t>
            </w:r>
          </w:p>
        </w:tc>
      </w:tr>
    </w:tbl>
    <w:p w14:paraId="02B73E19" w14:textId="77777777" w:rsidR="008520AF" w:rsidRDefault="008520AF" w:rsidP="008520AF">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8520AF" w14:paraId="07B02896" w14:textId="77777777" w:rsidTr="00E41301">
        <w:tc>
          <w:tcPr>
            <w:tcW w:w="0" w:type="auto"/>
            <w:shd w:val="clear" w:color="auto" w:fill="99D3F0"/>
            <w:vAlign w:val="center"/>
          </w:tcPr>
          <w:p w14:paraId="4AD607EB" w14:textId="77777777" w:rsidR="008520AF" w:rsidRDefault="008520AF" w:rsidP="00E41301">
            <w:pPr>
              <w:pStyle w:val="Body"/>
            </w:pPr>
            <w:r>
              <w:rPr>
                <w:noProof/>
              </w:rPr>
              <w:drawing>
                <wp:inline distT="0" distB="0" distL="0" distR="0" wp14:anchorId="65A8411E" wp14:editId="37DAD7CD">
                  <wp:extent cx="540000" cy="540000"/>
                  <wp:effectExtent l="0" t="0" r="0" b="0"/>
                  <wp:docPr id="1934884911" name="Picture 1934884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84911" name="Picture 1934884911">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0FFA9D1D" w14:textId="77777777" w:rsidR="008520AF" w:rsidRDefault="008520AF" w:rsidP="00E41301">
            <w:pPr>
              <w:pStyle w:val="Tablecolhead"/>
            </w:pPr>
            <w:r>
              <w:t>Coordinator tasks</w:t>
            </w:r>
          </w:p>
          <w:p w14:paraId="1C6A2ABE" w14:textId="77777777" w:rsidR="008520AF" w:rsidRPr="00590061" w:rsidRDefault="008520AF" w:rsidP="00740A47">
            <w:pPr>
              <w:pStyle w:val="Bullet1"/>
            </w:pPr>
            <w:r>
              <w:t>ensure the Brokerage Request Form and table is prepared for the panel</w:t>
            </w:r>
          </w:p>
          <w:p w14:paraId="2FF68042" w14:textId="5B13062B" w:rsidR="008520AF" w:rsidRPr="00590061" w:rsidRDefault="008520AF" w:rsidP="00740A47">
            <w:pPr>
              <w:pStyle w:val="Bullet1"/>
            </w:pPr>
            <w:r>
              <w:t xml:space="preserve">prepare SAMS </w:t>
            </w:r>
            <w:r w:rsidR="007233D9">
              <w:t>Variation Form</w:t>
            </w:r>
            <w:r>
              <w:t xml:space="preserve"> (as required)</w:t>
            </w:r>
          </w:p>
          <w:p w14:paraId="1EA33786" w14:textId="32271593" w:rsidR="008520AF" w:rsidRPr="007177B1" w:rsidRDefault="008520AF" w:rsidP="00740A47">
            <w:pPr>
              <w:pStyle w:val="Bullet1"/>
            </w:pPr>
            <w:r>
              <w:t>notify the panel of all brokerage expenditure at the next scheduled panel date</w:t>
            </w:r>
            <w:r w:rsidR="00792F05">
              <w:t xml:space="preserve"> using 7d Brokerage Notification</w:t>
            </w:r>
            <w:r w:rsidR="00A21E95">
              <w:t xml:space="preserve"> Form</w:t>
            </w:r>
          </w:p>
          <w:p w14:paraId="7695D775" w14:textId="77777777" w:rsidR="008520AF" w:rsidRPr="000E1091" w:rsidRDefault="008520AF" w:rsidP="00740A47">
            <w:pPr>
              <w:pStyle w:val="Bullet1"/>
            </w:pPr>
            <w:r>
              <w:t>present brokerage requests over $25,000 to the panel for recommendation</w:t>
            </w:r>
          </w:p>
          <w:p w14:paraId="6D77A427" w14:textId="77777777" w:rsidR="008520AF" w:rsidRPr="000E1091" w:rsidRDefault="008520AF" w:rsidP="00740A47">
            <w:pPr>
              <w:pStyle w:val="Bullet1"/>
            </w:pPr>
            <w:r>
              <w:t>seek approval for brokerage expenditure from the appropriate financial delegate</w:t>
            </w:r>
          </w:p>
          <w:p w14:paraId="21E167BA" w14:textId="2F1E5753" w:rsidR="008520AF" w:rsidRPr="007177B1" w:rsidRDefault="008520AF" w:rsidP="00740A47">
            <w:pPr>
              <w:pStyle w:val="Bullet1"/>
            </w:pPr>
            <w:r>
              <w:t>consult with the Area Executive Director prior to panel to ensure brokerage requests are within the allocated area/division complex needs budget</w:t>
            </w:r>
          </w:p>
          <w:p w14:paraId="5F551246" w14:textId="77777777" w:rsidR="008520AF" w:rsidRPr="007177B1" w:rsidRDefault="008520AF" w:rsidP="00740A47">
            <w:pPr>
              <w:pStyle w:val="Bullet1"/>
            </w:pPr>
            <w:r>
              <w:t>prepare brokerage agreements</w:t>
            </w:r>
          </w:p>
          <w:p w14:paraId="5DAB011D" w14:textId="4977C58B" w:rsidR="008520AF" w:rsidRPr="005220DC" w:rsidRDefault="008520AF" w:rsidP="00740A47">
            <w:pPr>
              <w:pStyle w:val="Bullet1"/>
            </w:pPr>
            <w:r>
              <w:t xml:space="preserve">consult with APSS </w:t>
            </w:r>
            <w:r w:rsidR="00C16348">
              <w:t xml:space="preserve">on </w:t>
            </w:r>
            <w:r>
              <w:t>the status of the provider's service agreement</w:t>
            </w:r>
            <w:r w:rsidR="00C16348">
              <w:t xml:space="preserve"> as </w:t>
            </w:r>
            <w:r>
              <w:t xml:space="preserve">all formal MACNI services require </w:t>
            </w:r>
            <w:r w:rsidR="00C16348" w:rsidRPr="0074549D">
              <w:rPr>
                <w:i/>
                <w:iCs/>
              </w:rPr>
              <w:t>Disability Act 2006</w:t>
            </w:r>
            <w:r w:rsidR="00C16348">
              <w:t xml:space="preserve"> </w:t>
            </w:r>
            <w:r>
              <w:t xml:space="preserve">registration and a service agreement </w:t>
            </w:r>
          </w:p>
          <w:p w14:paraId="04568EC7" w14:textId="1134BC09" w:rsidR="008520AF" w:rsidRDefault="008520AF" w:rsidP="00740A47">
            <w:pPr>
              <w:pStyle w:val="Bullet1"/>
            </w:pPr>
            <w:r>
              <w:t>update the SharePoint brokerage database, ensuring all reasonable projections for the financial year are included.</w:t>
            </w:r>
          </w:p>
        </w:tc>
      </w:tr>
    </w:tbl>
    <w:p w14:paraId="3945605A" w14:textId="33D31EDC" w:rsidR="00E37383" w:rsidRPr="00522817" w:rsidRDefault="00E858D9" w:rsidP="000E7482">
      <w:pPr>
        <w:pStyle w:val="Heading2"/>
        <w:numPr>
          <w:ilvl w:val="1"/>
          <w:numId w:val="28"/>
        </w:numPr>
      </w:pPr>
      <w:bookmarkStart w:id="329" w:name="_Toc137636777"/>
      <w:bookmarkStart w:id="330" w:name="_Toc145318615"/>
      <w:bookmarkEnd w:id="328"/>
      <w:r>
        <w:t>F</w:t>
      </w:r>
      <w:r w:rsidR="00E37383">
        <w:t>ormal MACNI c</w:t>
      </w:r>
      <w:r w:rsidR="00E37383" w:rsidRPr="00522817">
        <w:t>apacity building schedule</w:t>
      </w:r>
      <w:bookmarkEnd w:id="329"/>
      <w:bookmarkEnd w:id="330"/>
      <w:r w:rsidR="00E37383" w:rsidRPr="00522817">
        <w:t xml:space="preserve"> </w:t>
      </w:r>
    </w:p>
    <w:p w14:paraId="358E3B08" w14:textId="77777777" w:rsidR="00E37383" w:rsidRPr="005670B4" w:rsidRDefault="00E37383" w:rsidP="00E37383">
      <w:pPr>
        <w:pStyle w:val="Body"/>
      </w:pPr>
      <w:r w:rsidRPr="005670B4">
        <w:t xml:space="preserve">Complex Needs Coordinators are required to facilitate relationships between program areas and services, as well as provide capacity building regarding support provision for clients with complex needs. This aims to enhance the service system capacity through cross-program and service partnerships and collaborative practice, thereby ensuring the client can receive adequate support from the existing service system. </w:t>
      </w:r>
    </w:p>
    <w:p w14:paraId="2C7B6FAF" w14:textId="2A9C42A8" w:rsidR="00E37383" w:rsidRPr="005670B4" w:rsidRDefault="00E37383" w:rsidP="00E37383">
      <w:pPr>
        <w:pStyle w:val="Body"/>
      </w:pPr>
      <w:r w:rsidRPr="005670B4">
        <w:t>Capacity-building refers to activities that strengthen and extend the existing care planning and coordination capabilities, skills, and knowledge of external service providers through training, mentoring and secondary consultation. This includes service integration and capacity building activities</w:t>
      </w:r>
      <w:r w:rsidR="00734BCC">
        <w:t xml:space="preserve">, i.e.: </w:t>
      </w:r>
    </w:p>
    <w:p w14:paraId="167854E2" w14:textId="77777777" w:rsidR="00E37383" w:rsidRPr="005670B4" w:rsidRDefault="0D9766B1" w:rsidP="00740A47">
      <w:pPr>
        <w:pStyle w:val="Bullet1"/>
      </w:pPr>
      <w:r>
        <w:t>secondary consultation</w:t>
      </w:r>
    </w:p>
    <w:p w14:paraId="215D2072" w14:textId="77777777" w:rsidR="00E37383" w:rsidRPr="005670B4" w:rsidRDefault="0D9766B1" w:rsidP="00740A47">
      <w:pPr>
        <w:pStyle w:val="Bullet1"/>
      </w:pPr>
      <w:r>
        <w:lastRenderedPageBreak/>
        <w:t>job shadowing</w:t>
      </w:r>
    </w:p>
    <w:p w14:paraId="0CB26DB0" w14:textId="77777777" w:rsidR="00E37383" w:rsidRPr="005670B4" w:rsidRDefault="0D9766B1" w:rsidP="00740A47">
      <w:pPr>
        <w:pStyle w:val="Bullet1"/>
      </w:pPr>
      <w:r>
        <w:t>targeted training or skill development</w:t>
      </w:r>
    </w:p>
    <w:p w14:paraId="3426BC39" w14:textId="77777777" w:rsidR="00E37383" w:rsidRPr="005670B4" w:rsidRDefault="0D9766B1" w:rsidP="00740A47">
      <w:pPr>
        <w:pStyle w:val="Bullet1"/>
      </w:pPr>
      <w:r>
        <w:t>mentoring</w:t>
      </w:r>
    </w:p>
    <w:p w14:paraId="4D0FB4E4" w14:textId="2C544E0A" w:rsidR="00E37383" w:rsidRPr="005670B4" w:rsidRDefault="0D9766B1" w:rsidP="00740A47">
      <w:pPr>
        <w:pStyle w:val="Bullet1"/>
      </w:pPr>
      <w:r>
        <w:t>use of brokerage to purchase</w:t>
      </w:r>
      <w:bookmarkStart w:id="331" w:name="_Toc384390320"/>
      <w:bookmarkStart w:id="332" w:name="_Toc384302754"/>
      <w:bookmarkStart w:id="333" w:name="_Toc384302302"/>
      <w:r>
        <w:t xml:space="preserve"> secondary consultation</w:t>
      </w:r>
      <w:bookmarkStart w:id="334" w:name="_Toc384390321"/>
      <w:bookmarkStart w:id="335" w:name="_Toc384302755"/>
      <w:bookmarkStart w:id="336" w:name="_Toc384302303"/>
      <w:bookmarkEnd w:id="331"/>
      <w:bookmarkEnd w:id="332"/>
      <w:bookmarkEnd w:id="333"/>
      <w:r>
        <w:t xml:space="preserve">, specific training, </w:t>
      </w:r>
      <w:bookmarkStart w:id="337" w:name="_Toc384390322"/>
      <w:bookmarkStart w:id="338" w:name="_Toc384302756"/>
      <w:bookmarkStart w:id="339" w:name="_Toc384302304"/>
      <w:bookmarkEnd w:id="334"/>
      <w:bookmarkEnd w:id="335"/>
      <w:bookmarkEnd w:id="336"/>
      <w:r>
        <w:t>specialist clinical staff support or mentoring</w:t>
      </w:r>
      <w:bookmarkEnd w:id="337"/>
      <w:bookmarkEnd w:id="338"/>
      <w:bookmarkEnd w:id="339"/>
      <w:r>
        <w:t xml:space="preserve"> </w:t>
      </w:r>
      <w:r w:rsidR="009C130A">
        <w:t>consistent</w:t>
      </w:r>
      <w:r>
        <w:t xml:space="preserve"> with the care plan and build </w:t>
      </w:r>
      <w:r w:rsidR="009C130A">
        <w:t xml:space="preserve">longer term </w:t>
      </w:r>
      <w:r>
        <w:t>service capacit</w:t>
      </w:r>
      <w:r w:rsidR="009C130A">
        <w:t>y</w:t>
      </w:r>
      <w:r>
        <w:t>.</w:t>
      </w:r>
    </w:p>
    <w:p w14:paraId="6E9B7507" w14:textId="77777777" w:rsidR="00E37383" w:rsidRPr="005670B4" w:rsidRDefault="00E37383" w:rsidP="00E37383">
      <w:pPr>
        <w:pStyle w:val="Bodyafterbullets"/>
      </w:pPr>
      <w:r w:rsidRPr="005670B4">
        <w:t>Capacity building is provided in two forms:</w:t>
      </w:r>
    </w:p>
    <w:p w14:paraId="5CE58474" w14:textId="121D67E5" w:rsidR="00E37383" w:rsidRPr="005670B4" w:rsidRDefault="0D9766B1" w:rsidP="00740A47">
      <w:pPr>
        <w:pStyle w:val="Bullet1"/>
      </w:pPr>
      <w:r>
        <w:t>develop a service provider’s capacity</w:t>
      </w:r>
      <w:r w:rsidR="009C130A">
        <w:t xml:space="preserve">/expertise </w:t>
      </w:r>
      <w:r>
        <w:t>to deliver services for clients with complex needs</w:t>
      </w:r>
    </w:p>
    <w:p w14:paraId="6C173A2B" w14:textId="77777777" w:rsidR="00E37383" w:rsidRPr="005670B4" w:rsidRDefault="0D9766B1" w:rsidP="00740A47">
      <w:pPr>
        <w:pStyle w:val="Bullet1"/>
      </w:pPr>
      <w:r>
        <w:t>develop a care team’s skill/expertise to work with a particular complex client presentation.</w:t>
      </w:r>
    </w:p>
    <w:p w14:paraId="521F7044" w14:textId="11909A39" w:rsidR="00E37383" w:rsidRPr="00522817" w:rsidRDefault="00E37383" w:rsidP="00E37383">
      <w:pPr>
        <w:pStyle w:val="Bodyafterbullets"/>
      </w:pPr>
      <w:r w:rsidRPr="00522817">
        <w:t xml:space="preserve">Under this arrangement, a package of funding aligned with the MACNI unit price is approved, in negotiation with the Central Complex Needs </w:t>
      </w:r>
      <w:r w:rsidR="009C130A">
        <w:t>T</w:t>
      </w:r>
      <w:r w:rsidRPr="00522817">
        <w:t xml:space="preserve">eam, which </w:t>
      </w:r>
      <w:r w:rsidR="009C130A">
        <w:t>is</w:t>
      </w:r>
      <w:r w:rsidRPr="00522817">
        <w:t xml:space="preserve"> used flexibly over an agreed period, typically ranging from 3-6 months. </w:t>
      </w:r>
    </w:p>
    <w:p w14:paraId="1B22C93B" w14:textId="0A4DF1F5" w:rsidR="00E37383" w:rsidRPr="00522817" w:rsidRDefault="00E37383" w:rsidP="00E37383">
      <w:pPr>
        <w:pStyle w:val="Body"/>
      </w:pPr>
      <w:r w:rsidRPr="00522817">
        <w:t xml:space="preserve">Capacity building hours are intended to be flexible and responsive. Providers may agree to commence with </w:t>
      </w:r>
      <w:r w:rsidR="009C130A">
        <w:t>higher</w:t>
      </w:r>
      <w:r w:rsidRPr="00522817">
        <w:t xml:space="preserve"> hours initially, which may gradually reduce. It is recommended support hours are increased in line with panel preparation, key transition points or as the need arises. </w:t>
      </w:r>
    </w:p>
    <w:p w14:paraId="208E9ED3" w14:textId="68D16372" w:rsidR="00E37383" w:rsidRPr="00522817" w:rsidRDefault="00E37383" w:rsidP="00E37383">
      <w:pPr>
        <w:pStyle w:val="Body"/>
      </w:pPr>
      <w:r w:rsidRPr="00522817">
        <w:t xml:space="preserve">The new provider receiving capacity building </w:t>
      </w:r>
      <w:r w:rsidR="009C130A">
        <w:t>is</w:t>
      </w:r>
      <w:r w:rsidRPr="00522817">
        <w:t xml:space="preserve"> allocated a Formal MACNI client and receive</w:t>
      </w:r>
      <w:r w:rsidR="009C130A">
        <w:t>s</w:t>
      </w:r>
      <w:r w:rsidRPr="00522817">
        <w:t xml:space="preserve"> on-the-job training, support</w:t>
      </w:r>
      <w:r w:rsidR="009C130A">
        <w:t>,</w:t>
      </w:r>
      <w:r w:rsidRPr="00522817">
        <w:t xml:space="preserve"> and mentoring. The provider will be remunerated as per the existing hourly rate and care plan coordination structure of Tier 1, 2 or 3. In addition, the provider will receive an incentive nominal fee to cover the cost of travel and accommodation (where relevant) as included in the reasonable travel allowance rate on the </w:t>
      </w:r>
      <w:bookmarkStart w:id="340" w:name="_Int_4agAw1Fr"/>
      <w:r w:rsidR="009C130A">
        <w:rPr>
          <w:lang w:val="en-US"/>
        </w:rPr>
        <w:fldChar w:fldCharType="begin"/>
      </w:r>
      <w:r w:rsidR="009C130A">
        <w:rPr>
          <w:lang w:val="en-US"/>
        </w:rPr>
        <w:instrText xml:space="preserve"> HYPERLINK "https://www.ato.gov.au/Business/PAYG-withholding/Payments-you-need-to-withhold-from/Payments-to-employees/Allowances-and-reimbursements/Travel-allowances/" </w:instrText>
      </w:r>
      <w:r w:rsidR="009C130A">
        <w:rPr>
          <w:lang w:val="en-US"/>
        </w:rPr>
        <w:fldChar w:fldCharType="separate"/>
      </w:r>
      <w:r w:rsidRPr="009C130A">
        <w:rPr>
          <w:rStyle w:val="Hyperlink"/>
          <w:lang w:val="en-US"/>
        </w:rPr>
        <w:t>ATO</w:t>
      </w:r>
      <w:bookmarkEnd w:id="340"/>
      <w:r w:rsidRPr="009C130A">
        <w:rPr>
          <w:rStyle w:val="Hyperlink"/>
          <w:lang w:val="en-US"/>
        </w:rPr>
        <w:t xml:space="preserve"> website</w:t>
      </w:r>
      <w:r w:rsidR="009C130A">
        <w:rPr>
          <w:lang w:val="en-US"/>
        </w:rPr>
        <w:fldChar w:fldCharType="end"/>
      </w:r>
      <w:r w:rsidRPr="00522817">
        <w:t>. &lt;https://www.ato.gov.au/Business/PAYG-withholding/Payments-you-need-to-withhold-from/Payments-to-employees/Allowances-and-reimbursements/Travel-allowances/&gt;</w:t>
      </w:r>
    </w:p>
    <w:p w14:paraId="1A6FB595" w14:textId="5D0C1E0C" w:rsidR="00E37383" w:rsidRPr="00522817" w:rsidRDefault="00E37383" w:rsidP="00E37383">
      <w:pPr>
        <w:pStyle w:val="Body"/>
      </w:pPr>
      <w:r w:rsidRPr="00522817">
        <w:t xml:space="preserve">If required, capacity building activities may be extended upon request. In these cases, requests must return to panel and the Central Complex Needs </w:t>
      </w:r>
      <w:r w:rsidR="009C130A">
        <w:t>T</w:t>
      </w:r>
      <w:r w:rsidRPr="00522817">
        <w:t>eam for endorsement.</w:t>
      </w:r>
    </w:p>
    <w:p w14:paraId="4A95E00F" w14:textId="2A7FFFD5" w:rsidR="00E37383" w:rsidRPr="00522817" w:rsidRDefault="00E37383" w:rsidP="00E37383">
      <w:pPr>
        <w:pStyle w:val="Body"/>
      </w:pPr>
      <w:r w:rsidRPr="00522817">
        <w:t xml:space="preserve">Details of the capacity building activity are required in a brokerage agreement. These may include the number and type of panel documentations, number of training/mentoring (face-to-face/online) sessions and panel attendance. Importantly, the new provider must agree on </w:t>
      </w:r>
      <w:r w:rsidR="009C130A">
        <w:t xml:space="preserve">the </w:t>
      </w:r>
      <w:r w:rsidRPr="00522817">
        <w:t xml:space="preserve">transition of oversight to the provider’s internal management structures. For example, once capacity building activity ends, the organisation must have established mechanisms for ongoing supervision and document review. Complex Needs Coordinators will only review final drafts. </w:t>
      </w:r>
    </w:p>
    <w:p w14:paraId="0145F55B" w14:textId="71465EE2" w:rsidR="00E37383" w:rsidRPr="00522817" w:rsidRDefault="00E37383" w:rsidP="00E37383">
      <w:pPr>
        <w:pStyle w:val="Body"/>
      </w:pPr>
      <w:r w:rsidRPr="00522817">
        <w:t>Following the initial period of intensive capacity building, responsibility for ad hoc capacity building</w:t>
      </w:r>
      <w:r w:rsidR="009C130A">
        <w:t xml:space="preserve">, </w:t>
      </w:r>
      <w:r w:rsidRPr="00522817">
        <w:t xml:space="preserve">including secondary consultation and mentoring, is </w:t>
      </w:r>
      <w:r w:rsidR="00B61B9E">
        <w:t>provided</w:t>
      </w:r>
      <w:r w:rsidRPr="00522817">
        <w:t xml:space="preserve"> by the Complex Needs Coordinator. </w:t>
      </w:r>
    </w:p>
    <w:p w14:paraId="3ADDFFDF" w14:textId="77777777" w:rsidR="00F1152B" w:rsidRPr="00522817" w:rsidRDefault="00F1152B"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3329"/>
      </w:tblGrid>
      <w:tr w:rsidR="00E37383" w:rsidRPr="00522817" w14:paraId="7B694619" w14:textId="77777777" w:rsidTr="7DAFCD5E">
        <w:tc>
          <w:tcPr>
            <w:tcW w:w="0" w:type="auto"/>
            <w:shd w:val="clear" w:color="auto" w:fill="CCE9F8"/>
            <w:vAlign w:val="center"/>
          </w:tcPr>
          <w:p w14:paraId="73E24E3E" w14:textId="77777777" w:rsidR="00E37383" w:rsidRPr="00522817" w:rsidRDefault="00E37383" w:rsidP="00D014F3">
            <w:pPr>
              <w:pStyle w:val="Body"/>
              <w:spacing w:before="120"/>
            </w:pPr>
            <w:r w:rsidRPr="00522817">
              <w:rPr>
                <w:noProof/>
              </w:rPr>
              <w:drawing>
                <wp:inline distT="0" distB="0" distL="0" distR="0" wp14:anchorId="2B4EE636" wp14:editId="61959F00">
                  <wp:extent cx="540000" cy="5400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4BE0847B" w14:textId="77777777" w:rsidR="00E37383" w:rsidRPr="00522817" w:rsidRDefault="00E37383">
            <w:pPr>
              <w:pStyle w:val="Tablecolhead"/>
              <w:rPr>
                <w:rFonts w:eastAsia="Arial"/>
              </w:rPr>
            </w:pPr>
            <w:r w:rsidRPr="00522817">
              <w:rPr>
                <w:rFonts w:eastAsia="Arial"/>
              </w:rPr>
              <w:t>Documentation required</w:t>
            </w:r>
          </w:p>
          <w:p w14:paraId="7F472D89" w14:textId="42AF7352" w:rsidR="00E37383" w:rsidRPr="009B01F0" w:rsidRDefault="00861E52" w:rsidP="00740A47">
            <w:pPr>
              <w:pStyle w:val="Bullet1"/>
            </w:pPr>
            <w:r>
              <w:t xml:space="preserve">12 </w:t>
            </w:r>
            <w:r w:rsidR="009B01F0" w:rsidRPr="009B01F0">
              <w:t>Capacity Building Request</w:t>
            </w:r>
          </w:p>
          <w:p w14:paraId="68AACC37" w14:textId="52E5BF56" w:rsidR="00E37383" w:rsidRPr="00522817" w:rsidRDefault="00861E52" w:rsidP="00740A47">
            <w:pPr>
              <w:pStyle w:val="Bullet1"/>
            </w:pPr>
            <w:r>
              <w:t xml:space="preserve">7c </w:t>
            </w:r>
            <w:r w:rsidR="009B01F0" w:rsidRPr="009B01F0">
              <w:t>Brokerage Agreement</w:t>
            </w:r>
          </w:p>
        </w:tc>
      </w:tr>
    </w:tbl>
    <w:p w14:paraId="10B33169" w14:textId="77777777" w:rsidR="00E37383" w:rsidRPr="00522817" w:rsidRDefault="00E37383" w:rsidP="00E37383">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E37383" w14:paraId="72ABF9F3" w14:textId="77777777" w:rsidTr="7DAFCD5E">
        <w:tc>
          <w:tcPr>
            <w:tcW w:w="0" w:type="auto"/>
            <w:shd w:val="clear" w:color="auto" w:fill="99D3F0"/>
            <w:vAlign w:val="center"/>
          </w:tcPr>
          <w:p w14:paraId="457B343A" w14:textId="77777777" w:rsidR="00E37383" w:rsidRPr="00522817" w:rsidRDefault="00E37383">
            <w:pPr>
              <w:pStyle w:val="Body"/>
            </w:pPr>
            <w:r w:rsidRPr="00522817">
              <w:rPr>
                <w:noProof/>
              </w:rPr>
              <w:drawing>
                <wp:inline distT="0" distB="0" distL="0" distR="0" wp14:anchorId="66F02C4E" wp14:editId="4401A070">
                  <wp:extent cx="540000" cy="5400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28F7FEC" w14:textId="77777777" w:rsidR="00E37383" w:rsidRPr="00522817" w:rsidRDefault="00E37383">
            <w:pPr>
              <w:pStyle w:val="Tablecolhead"/>
            </w:pPr>
            <w:r w:rsidRPr="00522817">
              <w:t>Coordinator tasks</w:t>
            </w:r>
          </w:p>
          <w:p w14:paraId="762B34F5" w14:textId="77777777" w:rsidR="00E37383" w:rsidRPr="009B01F0" w:rsidRDefault="0D9766B1" w:rsidP="00740A47">
            <w:pPr>
              <w:pStyle w:val="Bullet1"/>
            </w:pPr>
            <w:r w:rsidRPr="009B01F0">
              <w:t xml:space="preserve">analyse data on SharePoint/CSA to identify systemic issues and/or service gaps </w:t>
            </w:r>
          </w:p>
          <w:p w14:paraId="729B8BFE" w14:textId="0DE60FAD" w:rsidR="00E37383" w:rsidRPr="009B01F0" w:rsidRDefault="63C2248A" w:rsidP="00740A47">
            <w:pPr>
              <w:pStyle w:val="Bullet1"/>
            </w:pPr>
            <w:r w:rsidRPr="009B01F0">
              <w:t xml:space="preserve">provide or recommend targeted training in response to systemic issues or service gaps e.g., hoarding, implementing behavioural interventions </w:t>
            </w:r>
          </w:p>
          <w:p w14:paraId="54568C2E" w14:textId="77777777" w:rsidR="00E37383" w:rsidRPr="009B01F0" w:rsidRDefault="0D9766B1" w:rsidP="00740A47">
            <w:pPr>
              <w:pStyle w:val="Bullet1"/>
            </w:pPr>
            <w:r w:rsidRPr="009B01F0">
              <w:t>ensure capacity building activities are recommended by the Complex Needs Panel</w:t>
            </w:r>
          </w:p>
          <w:p w14:paraId="174C92C3" w14:textId="77777777" w:rsidR="00E37383" w:rsidRPr="009B01F0" w:rsidRDefault="63C2248A" w:rsidP="00740A47">
            <w:pPr>
              <w:pStyle w:val="Bullet1"/>
            </w:pPr>
            <w:r w:rsidRPr="009B01F0">
              <w:lastRenderedPageBreak/>
              <w:t>prepare brokerage agreement to reflective capacity building activity</w:t>
            </w:r>
          </w:p>
          <w:p w14:paraId="6FA6F258" w14:textId="7353CF45" w:rsidR="00E37383" w:rsidRPr="00522817" w:rsidRDefault="0D9766B1" w:rsidP="00740A47">
            <w:pPr>
              <w:pStyle w:val="Bullet1"/>
            </w:pPr>
            <w:r w:rsidRPr="009B01F0">
              <w:t xml:space="preserve">notify the Central Complex Needs </w:t>
            </w:r>
            <w:r w:rsidR="00B61B9E">
              <w:t>T</w:t>
            </w:r>
            <w:r w:rsidRPr="009B01F0">
              <w:t xml:space="preserve">eam of capacity building activities and seek advice </w:t>
            </w:r>
            <w:r w:rsidR="004B14F8">
              <w:t>on</w:t>
            </w:r>
            <w:r w:rsidRPr="009B01F0">
              <w:t xml:space="preserve"> the provider who will provide capacity building and funding amount.</w:t>
            </w:r>
          </w:p>
        </w:tc>
      </w:tr>
    </w:tbl>
    <w:p w14:paraId="3BC11C05" w14:textId="0FD78A8A" w:rsidR="004B5CD6" w:rsidRPr="004A7140" w:rsidRDefault="00E71759" w:rsidP="000E7482">
      <w:pPr>
        <w:pStyle w:val="Heading2"/>
        <w:numPr>
          <w:ilvl w:val="1"/>
          <w:numId w:val="28"/>
        </w:numPr>
        <w:rPr>
          <w:rStyle w:val="Heading3Char"/>
          <w:bCs w:val="0"/>
          <w:sz w:val="32"/>
          <w:szCs w:val="28"/>
        </w:rPr>
      </w:pPr>
      <w:bookmarkStart w:id="341" w:name="_Toc145318616"/>
      <w:r>
        <w:rPr>
          <w:rFonts w:eastAsia="MS Gothic"/>
        </w:rPr>
        <w:lastRenderedPageBreak/>
        <w:t>D</w:t>
      </w:r>
      <w:r w:rsidR="006F7BED" w:rsidRPr="004A7140">
        <w:rPr>
          <w:rFonts w:eastAsia="MS Gothic"/>
        </w:rPr>
        <w:t>ivisional</w:t>
      </w:r>
      <w:r>
        <w:rPr>
          <w:rFonts w:eastAsia="MS Gothic"/>
        </w:rPr>
        <w:t xml:space="preserve"> and area</w:t>
      </w:r>
      <w:r w:rsidR="006F7BED" w:rsidRPr="004A7140">
        <w:rPr>
          <w:rFonts w:eastAsia="MS Gothic"/>
        </w:rPr>
        <w:t xml:space="preserve"> allocation and </w:t>
      </w:r>
      <w:r w:rsidR="004070BD">
        <w:rPr>
          <w:rFonts w:eastAsia="MS Gothic"/>
        </w:rPr>
        <w:t>oversight</w:t>
      </w:r>
      <w:bookmarkEnd w:id="341"/>
    </w:p>
    <w:p w14:paraId="4A6369D9" w14:textId="2FED57C1" w:rsidR="00A449E8" w:rsidRPr="00876686" w:rsidRDefault="00363D23" w:rsidP="00363D23">
      <w:pPr>
        <w:pStyle w:val="Body"/>
      </w:pPr>
      <w:r w:rsidRPr="00876686">
        <w:t xml:space="preserve">Please note </w:t>
      </w:r>
      <w:r w:rsidR="00A449E8" w:rsidRPr="00876686">
        <w:t>Section 8.2 refers to the specific brokerage requirements for the AOS pilot program.</w:t>
      </w:r>
    </w:p>
    <w:p w14:paraId="0CA387D5" w14:textId="2EA6A70D" w:rsidR="009B01F0" w:rsidRDefault="004B5CD6" w:rsidP="004B5CD6">
      <w:pPr>
        <w:pStyle w:val="Body"/>
      </w:pPr>
      <w:r>
        <w:t>At the commencement of each financial year, the Manager, Complex Needs arranges the transfer of complex needs brokerage funding to each division.</w:t>
      </w:r>
      <w:r w:rsidRPr="00AC6760">
        <w:t xml:space="preserve"> </w:t>
      </w:r>
    </w:p>
    <w:p w14:paraId="34B4B46F" w14:textId="051C01C7" w:rsidR="00BA7A43" w:rsidRDefault="00604FDF" w:rsidP="00BA7A43">
      <w:pPr>
        <w:pStyle w:val="Heading3"/>
        <w:numPr>
          <w:ilvl w:val="2"/>
          <w:numId w:val="28"/>
        </w:numPr>
      </w:pPr>
      <w:r>
        <w:t>Brokerage recording and review</w:t>
      </w:r>
    </w:p>
    <w:p w14:paraId="1D8F8FF8" w14:textId="1817892C" w:rsidR="0031744D" w:rsidRDefault="001F7E8C" w:rsidP="004B5CD6">
      <w:pPr>
        <w:pStyle w:val="Body"/>
      </w:pPr>
      <w:r w:rsidRPr="001F7E8C">
        <w:t xml:space="preserve">Complex Needs Coordinators and Client Support and Housing Services Managers </w:t>
      </w:r>
      <w:r>
        <w:t xml:space="preserve">are encouraged to </w:t>
      </w:r>
      <w:r w:rsidR="0031744D" w:rsidRPr="001F7E8C">
        <w:t xml:space="preserve">project annualised brokerage needs early in the financial year to identify potential demand </w:t>
      </w:r>
      <w:r>
        <w:t>on brokerage</w:t>
      </w:r>
      <w:r w:rsidR="00EE0B4E">
        <w:t>. This should be provided to the Area Executive Director to assist with area and divisional resource planning.</w:t>
      </w:r>
    </w:p>
    <w:p w14:paraId="789F56F8" w14:textId="627AC890" w:rsidR="009B01F0" w:rsidRDefault="004B5CD6" w:rsidP="004B5CD6">
      <w:pPr>
        <w:pStyle w:val="Body"/>
      </w:pPr>
      <w:r w:rsidRPr="00AC6760">
        <w:t xml:space="preserve">Complex Needs Coordinators record all expenditure approved by the appropriate financial </w:t>
      </w:r>
      <w:r w:rsidR="00EE0B4E" w:rsidRPr="00AC6760">
        <w:t>delegates</w:t>
      </w:r>
      <w:r w:rsidR="00EE0B4E">
        <w:t xml:space="preserve"> and</w:t>
      </w:r>
      <w:r w:rsidRPr="00AC6760">
        <w:t xml:space="preserve"> monitor and acquit the allocation against each client supported.</w:t>
      </w:r>
      <w:r>
        <w:t xml:space="preserve"> </w:t>
      </w:r>
      <w:r w:rsidR="00EE0B4E">
        <w:t>This should occur at a minimum weekly, or more often in line with individual changes in client circumstances.</w:t>
      </w:r>
    </w:p>
    <w:p w14:paraId="0B481563" w14:textId="4E0F3C95" w:rsidR="00604FDF" w:rsidRDefault="00604FDF" w:rsidP="004B5CD6">
      <w:pPr>
        <w:pStyle w:val="Body"/>
      </w:pPr>
      <w:r w:rsidRPr="002153E2">
        <w:t xml:space="preserve">Each area and division </w:t>
      </w:r>
      <w:r w:rsidR="00EE0B4E">
        <w:t>is responsible</w:t>
      </w:r>
      <w:r w:rsidRPr="002153E2">
        <w:t xml:space="preserve"> to </w:t>
      </w:r>
      <w:r w:rsidR="00EE0B4E">
        <w:t>perform</w:t>
      </w:r>
      <w:r w:rsidRPr="002153E2">
        <w:t xml:space="preserve"> quarterly reviews to ensure that </w:t>
      </w:r>
      <w:r w:rsidR="00E66042">
        <w:t xml:space="preserve">brokerage is recorded and </w:t>
      </w:r>
      <w:r w:rsidRPr="002153E2">
        <w:t>acquitted correctly</w:t>
      </w:r>
      <w:r w:rsidR="00E66042">
        <w:t xml:space="preserve">, including ensuring that </w:t>
      </w:r>
      <w:r w:rsidR="001D006C">
        <w:t xml:space="preserve">payments to providers </w:t>
      </w:r>
      <w:r w:rsidR="00E66042">
        <w:t>are performed in</w:t>
      </w:r>
      <w:r w:rsidRPr="002153E2">
        <w:t xml:space="preserve"> a timely way.</w:t>
      </w:r>
    </w:p>
    <w:p w14:paraId="7A5CACC7" w14:textId="07D140DE" w:rsidR="004B5CD6" w:rsidRDefault="004B5CD6" w:rsidP="004B5CD6">
      <w:pPr>
        <w:pStyle w:val="Body"/>
      </w:pPr>
      <w:r w:rsidRPr="002153E2">
        <w:t xml:space="preserve">At mid-year, the Manager, Complex Needs </w:t>
      </w:r>
      <w:r w:rsidR="009B01F0" w:rsidRPr="002153E2">
        <w:t>requests</w:t>
      </w:r>
      <w:r w:rsidRPr="002153E2">
        <w:t xml:space="preserve"> a review and reconciliation </w:t>
      </w:r>
      <w:r w:rsidR="001D006C">
        <w:t xml:space="preserve">of divisional brokerage use and projections. Areas </w:t>
      </w:r>
      <w:r w:rsidRPr="002153E2">
        <w:t xml:space="preserve">are required to </w:t>
      </w:r>
      <w:r w:rsidR="001D006C">
        <w:t xml:space="preserve">maintain local information to </w:t>
      </w:r>
      <w:r w:rsidRPr="002153E2">
        <w:t>report on funds approved and projected for the remainder of the financial year.</w:t>
      </w:r>
    </w:p>
    <w:p w14:paraId="28083C3E" w14:textId="101CF2E6" w:rsidR="007F28A5" w:rsidRDefault="007F28A5" w:rsidP="004B5CD6">
      <w:pPr>
        <w:pStyle w:val="Body"/>
      </w:pPr>
      <w:r w:rsidRPr="002153E2">
        <w:t xml:space="preserve">Where a division is unable to use their funding allocation within the financial year, the funding may be redirected to meet high priority needs of clients supported in other divisions. </w:t>
      </w:r>
      <w:r w:rsidRPr="002153E2">
        <w:rPr>
          <w:rFonts w:eastAsia="Arial" w:cs="Arial"/>
          <w:color w:val="000000"/>
        </w:rPr>
        <w:t>Divisions will be engaged and advised throughout this process of any brokerage allocation adjustments.</w:t>
      </w:r>
    </w:p>
    <w:p w14:paraId="5F22E650" w14:textId="7BDB9A2F" w:rsidR="001E0D20" w:rsidRDefault="001E0D20" w:rsidP="001E0D20">
      <w:pPr>
        <w:pStyle w:val="Heading3"/>
        <w:numPr>
          <w:ilvl w:val="2"/>
          <w:numId w:val="28"/>
        </w:numPr>
      </w:pPr>
      <w:r>
        <w:t>Brokerage oversight</w:t>
      </w:r>
    </w:p>
    <w:p w14:paraId="6645ED94" w14:textId="70E8A1F1" w:rsidR="00A86E8E" w:rsidRPr="00A86E8E" w:rsidRDefault="001D2352" w:rsidP="00A86E8E">
      <w:pPr>
        <w:pStyle w:val="Body"/>
      </w:pPr>
      <w:r>
        <w:t>For</w:t>
      </w:r>
      <w:r w:rsidR="00B37E1E">
        <w:t xml:space="preserve"> panel meetings</w:t>
      </w:r>
      <w:r>
        <w:t xml:space="preserve">, the </w:t>
      </w:r>
      <w:r w:rsidR="00A86E8E" w:rsidRPr="00A86E8E">
        <w:t xml:space="preserve">Monthly Snapshot Report (developed by central Complex Needs </w:t>
      </w:r>
      <w:r w:rsidR="00A86E8E">
        <w:t>T</w:t>
      </w:r>
      <w:r w:rsidR="00A86E8E" w:rsidRPr="00A86E8E">
        <w:t xml:space="preserve">eam for divisions) </w:t>
      </w:r>
      <w:r w:rsidR="00A86E8E">
        <w:t xml:space="preserve">and the </w:t>
      </w:r>
      <w:r w:rsidR="00A86E8E" w:rsidRPr="00A86E8E">
        <w:t>7d Brokerage notification Form</w:t>
      </w:r>
      <w:r w:rsidR="00D00685">
        <w:t xml:space="preserve"> are tabled for panel to note and discuss (as relevant)</w:t>
      </w:r>
      <w:r w:rsidR="00A86E8E" w:rsidRPr="00A86E8E">
        <w:t xml:space="preserve">. </w:t>
      </w:r>
    </w:p>
    <w:p w14:paraId="3A3D595E" w14:textId="1FD96672" w:rsidR="00A24536" w:rsidRPr="00B37E1E" w:rsidRDefault="00D00685" w:rsidP="00B37E1E">
      <w:pPr>
        <w:pStyle w:val="Body"/>
      </w:pPr>
      <w:r>
        <w:t xml:space="preserve">These documents are made prior available </w:t>
      </w:r>
      <w:r w:rsidR="00A24536" w:rsidRPr="00A24536">
        <w:t xml:space="preserve">to the Area Executive Director </w:t>
      </w:r>
      <w:r>
        <w:t>as part of the prior panel briefing process</w:t>
      </w:r>
      <w:r w:rsidR="00F7500D">
        <w:t xml:space="preserve"> performed by the </w:t>
      </w:r>
      <w:r w:rsidR="00466FD2" w:rsidRPr="00AA45D5">
        <w:t xml:space="preserve">Client Support and Housing Services Manager and Complex Needs </w:t>
      </w:r>
      <w:r w:rsidR="00466FD2" w:rsidRPr="00466FD2">
        <w:t>Coordinator</w:t>
      </w:r>
      <w:r w:rsidR="00466FD2">
        <w:t>.</w:t>
      </w:r>
    </w:p>
    <w:p w14:paraId="02A8B0D7" w14:textId="0087686B" w:rsidR="007F28A5" w:rsidRDefault="007F28A5" w:rsidP="007F28A5">
      <w:pPr>
        <w:pStyle w:val="Body"/>
      </w:pPr>
      <w:r w:rsidRPr="002153E2">
        <w:t xml:space="preserve">It is </w:t>
      </w:r>
      <w:r w:rsidR="00466FD2">
        <w:t xml:space="preserve">also </w:t>
      </w:r>
      <w:r w:rsidRPr="007F28A5">
        <w:t>recommended</w:t>
      </w:r>
      <w:r w:rsidRPr="002153E2">
        <w:t xml:space="preserve"> that the complex needs </w:t>
      </w:r>
      <w:r w:rsidR="00466FD2">
        <w:t xml:space="preserve">brokerage </w:t>
      </w:r>
      <w:r w:rsidRPr="002153E2">
        <w:t xml:space="preserve">budget </w:t>
      </w:r>
      <w:r w:rsidR="00466FD2">
        <w:t xml:space="preserve">status </w:t>
      </w:r>
      <w:r w:rsidRPr="002153E2">
        <w:t xml:space="preserve">be </w:t>
      </w:r>
      <w:r w:rsidR="00466FD2">
        <w:t xml:space="preserve">routinely </w:t>
      </w:r>
      <w:r w:rsidRPr="002153E2">
        <w:t xml:space="preserve">tabled </w:t>
      </w:r>
      <w:r w:rsidR="00466FD2">
        <w:t xml:space="preserve">and discussed </w:t>
      </w:r>
      <w:r w:rsidRPr="002153E2">
        <w:t xml:space="preserve">at regular Division Executive meetings to ensure </w:t>
      </w:r>
      <w:r w:rsidR="0084534A">
        <w:t xml:space="preserve">both divisional oversight and for </w:t>
      </w:r>
      <w:r w:rsidRPr="002153E2">
        <w:t xml:space="preserve">Area Executive Directors </w:t>
      </w:r>
      <w:r w:rsidR="00466FD2">
        <w:t>have opportunity to speak to local</w:t>
      </w:r>
      <w:r w:rsidR="0084534A">
        <w:t xml:space="preserve"> area demands, challenges and resource requirements.</w:t>
      </w:r>
    </w:p>
    <w:p w14:paraId="73D55DE2" w14:textId="648CF2EF" w:rsidR="005F5D35" w:rsidRDefault="005F5D35" w:rsidP="000E7482">
      <w:pPr>
        <w:pStyle w:val="Heading2"/>
        <w:numPr>
          <w:ilvl w:val="1"/>
          <w:numId w:val="28"/>
        </w:numPr>
      </w:pPr>
      <w:bookmarkStart w:id="342" w:name="_Toc137636779"/>
      <w:bookmarkStart w:id="343" w:name="_Toc145318617"/>
      <w:r w:rsidRPr="0031092A">
        <w:t>Service agreements</w:t>
      </w:r>
      <w:bookmarkEnd w:id="342"/>
      <w:bookmarkEnd w:id="343"/>
    </w:p>
    <w:p w14:paraId="5B7F9399" w14:textId="68EA8138" w:rsidR="005F5D35" w:rsidRDefault="005F5D35" w:rsidP="005F5D35">
      <w:pPr>
        <w:pStyle w:val="Body"/>
      </w:pPr>
      <w:r w:rsidRPr="007F40E1">
        <w:t xml:space="preserve">The department works in partnership with organisations who directly provide services to </w:t>
      </w:r>
      <w:r>
        <w:t>client</w:t>
      </w:r>
      <w:r w:rsidRPr="007F40E1">
        <w:t>s, families</w:t>
      </w:r>
      <w:r w:rsidR="00E72737">
        <w:t>,</w:t>
      </w:r>
      <w:r w:rsidRPr="007F40E1">
        <w:t xml:space="preserve"> and communities on behalf of </w:t>
      </w:r>
      <w:r>
        <w:t xml:space="preserve">the </w:t>
      </w:r>
      <w:r w:rsidRPr="007F40E1">
        <w:t xml:space="preserve">government. The service agreement sets out the key </w:t>
      </w:r>
      <w:r w:rsidRPr="007F40E1">
        <w:lastRenderedPageBreak/>
        <w:t>obligations, objectives, rights</w:t>
      </w:r>
      <w:r w:rsidR="00E72737">
        <w:t>,</w:t>
      </w:r>
      <w:r w:rsidRPr="007F40E1">
        <w:t xml:space="preserve"> and responsibilities of both the organisation delivering services and the department. </w:t>
      </w:r>
    </w:p>
    <w:p w14:paraId="73FED8FE" w14:textId="62C81B49" w:rsidR="008F41C2" w:rsidRDefault="008252A8" w:rsidP="008F41C2">
      <w:pPr>
        <w:pStyle w:val="Body"/>
      </w:pPr>
      <w:r w:rsidRPr="00D90CD6">
        <w:t xml:space="preserve">Complex Needs (MACNI and SfHRT) services are typically delivered </w:t>
      </w:r>
      <w:r w:rsidR="008F41C2">
        <w:t>by o</w:t>
      </w:r>
      <w:r w:rsidR="008F41C2" w:rsidRPr="00D90CD6">
        <w:t xml:space="preserve">rganisations providing services against the </w:t>
      </w:r>
      <w:r w:rsidR="008F41C2">
        <w:t>c</w:t>
      </w:r>
      <w:r w:rsidR="008F41C2" w:rsidRPr="00D90CD6">
        <w:t xml:space="preserve">omplex </w:t>
      </w:r>
      <w:r w:rsidR="008F41C2">
        <w:t>n</w:t>
      </w:r>
      <w:r w:rsidR="008F41C2" w:rsidRPr="00D90CD6">
        <w:t>eeds activity numbers</w:t>
      </w:r>
      <w:r w:rsidR="008F41C2">
        <w:t>. These organisations</w:t>
      </w:r>
      <w:r w:rsidR="008F41C2" w:rsidRPr="00D90CD6">
        <w:t xml:space="preserve"> are subject to a service agreement and service plan</w:t>
      </w:r>
      <w:r w:rsidR="008F41C2">
        <w:t xml:space="preserve"> and</w:t>
      </w:r>
      <w:r w:rsidR="008F41C2" w:rsidRPr="00D90CD6">
        <w:t xml:space="preserve"> must with comply with </w:t>
      </w:r>
      <w:r w:rsidR="008F41C2">
        <w:t xml:space="preserve">the department’s </w:t>
      </w:r>
      <w:r w:rsidR="008F41C2" w:rsidRPr="00DD4262">
        <w:rPr>
          <w:iCs/>
        </w:rPr>
        <w:t>service agreement requirements</w:t>
      </w:r>
      <w:r w:rsidR="008F41C2" w:rsidRPr="00A57A91">
        <w:t xml:space="preserve"> and all relevant policy and funding guidelines.</w:t>
      </w:r>
      <w:r w:rsidR="00EC69C7">
        <w:t xml:space="preserve"> The activity numbers are:</w:t>
      </w:r>
    </w:p>
    <w:p w14:paraId="04394822" w14:textId="77777777" w:rsidR="00EC69C7" w:rsidRPr="00D90CD6" w:rsidRDefault="00EC69C7" w:rsidP="00EC69C7">
      <w:pPr>
        <w:pStyle w:val="Bullet1"/>
      </w:pPr>
      <w:r>
        <w:t>MACNI services against activity 17250 Multiple and Complex Needs Initiative</w:t>
      </w:r>
    </w:p>
    <w:p w14:paraId="2490E046" w14:textId="77777777" w:rsidR="00EC69C7" w:rsidRDefault="00EC69C7" w:rsidP="00EC69C7">
      <w:pPr>
        <w:pStyle w:val="Bullet1"/>
      </w:pPr>
      <w:r>
        <w:t>SfHRT services against activity 91417 Support for High-Risk Tenancies</w:t>
      </w:r>
    </w:p>
    <w:p w14:paraId="6E2E28E8" w14:textId="64F89F71" w:rsidR="00EC69C7" w:rsidRPr="00D90CD6" w:rsidRDefault="00EC69C7" w:rsidP="00EC69C7">
      <w:pPr>
        <w:pStyle w:val="lastbullett"/>
      </w:pPr>
      <w:r>
        <w:t>Assertive Outreach and Support services activity 17085 Assertive Outreach and Support.</w:t>
      </w:r>
    </w:p>
    <w:p w14:paraId="755F43B0" w14:textId="54ECB385" w:rsidR="005F5D35" w:rsidRPr="009D4D50" w:rsidRDefault="008252A8" w:rsidP="00EC69C7">
      <w:pPr>
        <w:pStyle w:val="Bodyafterbullets"/>
      </w:pPr>
      <w:r w:rsidRPr="00D90CD6">
        <w:t xml:space="preserve">Where an organisation is new to delivering services against </w:t>
      </w:r>
      <w:r>
        <w:t>c</w:t>
      </w:r>
      <w:r w:rsidRPr="00D90CD6">
        <w:t xml:space="preserve">omplex </w:t>
      </w:r>
      <w:r>
        <w:t>n</w:t>
      </w:r>
      <w:r w:rsidRPr="00D90CD6">
        <w:t>eeds activit</w:t>
      </w:r>
      <w:r>
        <w:t>ies</w:t>
      </w:r>
      <w:r w:rsidRPr="00D90CD6">
        <w:t xml:space="preserve">, the contracting </w:t>
      </w:r>
      <w:r>
        <w:t>division</w:t>
      </w:r>
      <w:r w:rsidRPr="00D90CD6">
        <w:t xml:space="preserve">, through the Complex Needs Coordinator and the local Agency Performance and System Support ensure the organisation is oriented to MACNI legislative </w:t>
      </w:r>
      <w:r w:rsidRPr="007F40E1">
        <w:t xml:space="preserve">obligations, </w:t>
      </w:r>
      <w:r w:rsidR="008F41C2">
        <w:t>S</w:t>
      </w:r>
      <w:r w:rsidRPr="007F40E1">
        <w:t>ervice framework, contract</w:t>
      </w:r>
      <w:r>
        <w:t>,</w:t>
      </w:r>
      <w:r w:rsidRPr="007F40E1">
        <w:t xml:space="preserve"> and performance requirements.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D3F0"/>
        <w:tblLook w:val="04A0" w:firstRow="1" w:lastRow="0" w:firstColumn="1" w:lastColumn="0" w:noHBand="0" w:noVBand="1"/>
      </w:tblPr>
      <w:tblGrid>
        <w:gridCol w:w="1066"/>
        <w:gridCol w:w="8232"/>
      </w:tblGrid>
      <w:tr w:rsidR="005F5D35" w:rsidRPr="00C76360" w14:paraId="49CE6EE4" w14:textId="77777777">
        <w:tc>
          <w:tcPr>
            <w:tcW w:w="0" w:type="auto"/>
            <w:shd w:val="clear" w:color="auto" w:fill="99D3F0"/>
            <w:vAlign w:val="center"/>
          </w:tcPr>
          <w:p w14:paraId="62B4C021" w14:textId="77777777" w:rsidR="005F5D35" w:rsidRPr="00C76360" w:rsidRDefault="005F5D35" w:rsidP="00F01EE8">
            <w:pPr>
              <w:pStyle w:val="Body"/>
              <w:spacing w:before="120"/>
            </w:pPr>
            <w:r>
              <w:rPr>
                <w:noProof/>
              </w:rPr>
              <w:drawing>
                <wp:inline distT="0" distB="0" distL="0" distR="0" wp14:anchorId="198BC82C" wp14:editId="0D74AF93">
                  <wp:extent cx="539750" cy="539750"/>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4">
                            <a:extLst>
                              <a:ext uri="{96DAC541-7B7A-43D3-8B79-37D633B846F1}">
                                <asvg:svgBlip xmlns:asvg="http://schemas.microsoft.com/office/drawing/2016/SVG/main" r:embed="rId55"/>
                              </a:ext>
                            </a:extLst>
                          </a:blip>
                          <a:stretch>
                            <a:fillRect/>
                          </a:stretch>
                        </pic:blipFill>
                        <pic:spPr>
                          <a:xfrm>
                            <a:off x="0" y="0"/>
                            <a:ext cx="539750" cy="539750"/>
                          </a:xfrm>
                          <a:prstGeom prst="rect">
                            <a:avLst/>
                          </a:prstGeom>
                        </pic:spPr>
                      </pic:pic>
                    </a:graphicData>
                  </a:graphic>
                </wp:inline>
              </w:drawing>
            </w:r>
          </w:p>
        </w:tc>
        <w:tc>
          <w:tcPr>
            <w:tcW w:w="0" w:type="auto"/>
            <w:shd w:val="clear" w:color="auto" w:fill="99D3F0"/>
            <w:vAlign w:val="center"/>
          </w:tcPr>
          <w:p w14:paraId="4B3BA24E" w14:textId="0ADE4B5E" w:rsidR="005F5D35" w:rsidRPr="00DD4262" w:rsidRDefault="005F5D35">
            <w:pPr>
              <w:pStyle w:val="Body"/>
            </w:pPr>
            <w:r w:rsidRPr="00DD4262">
              <w:t xml:space="preserve">All formal MACNI services (MACNI assessment, care plan development and </w:t>
            </w:r>
            <w:r>
              <w:t xml:space="preserve">care plan </w:t>
            </w:r>
            <w:r w:rsidR="6F56E2BC">
              <w:t>coordination</w:t>
            </w:r>
            <w:r w:rsidRPr="00DD4262">
              <w:t xml:space="preserve">) must be delivered by providers who have a Service Agreement with the department and are registered under the </w:t>
            </w:r>
            <w:r w:rsidRPr="00DD4262">
              <w:rPr>
                <w:i/>
                <w:iCs/>
              </w:rPr>
              <w:t>Disability Act 2006</w:t>
            </w:r>
          </w:p>
        </w:tc>
      </w:tr>
    </w:tbl>
    <w:p w14:paraId="7C21D8E4" w14:textId="2CD344C0" w:rsidR="00883EBB" w:rsidRPr="002153E2" w:rsidRDefault="00883EBB" w:rsidP="00883EBB">
      <w:pPr>
        <w:pStyle w:val="Heading3"/>
        <w:numPr>
          <w:ilvl w:val="2"/>
          <w:numId w:val="28"/>
        </w:numPr>
      </w:pPr>
      <w:r>
        <w:t>Brokerage transfer</w:t>
      </w:r>
    </w:p>
    <w:p w14:paraId="0F9C8B1D" w14:textId="1A8953AC" w:rsidR="00883EBB" w:rsidRPr="00883EBB" w:rsidRDefault="00883EBB" w:rsidP="00883EBB">
      <w:pPr>
        <w:pStyle w:val="Body"/>
      </w:pPr>
      <w:r w:rsidRPr="007F28A5">
        <w:t>It is the responsibility of areas to transfer approved brokerage funding to the contracted service providers through funding and service agreements. Where this is not applicable, a contract consistent with the department’s procurement policy is required. The transfer of brokerage funding includes the transfer of funds for care plan development and coordination services.</w:t>
      </w:r>
    </w:p>
    <w:p w14:paraId="0A30257A" w14:textId="77777777" w:rsidR="005F5D35" w:rsidRDefault="005F5D35" w:rsidP="005F5D35">
      <w:pPr>
        <w:pStyle w:val="Body"/>
        <w:rPr>
          <w:rFonts w:eastAsia="Arial" w:cs="Arial"/>
        </w:rPr>
      </w:pPr>
      <w:bookmarkStart w:id="344" w:name="_Hlk30495601"/>
      <w:r>
        <w:rPr>
          <w:rFonts w:eastAsia="Arial" w:cs="Arial"/>
          <w:color w:val="000000"/>
        </w:rPr>
        <w:t xml:space="preserve">Refer: </w:t>
      </w:r>
      <w:hyperlink r:id="rId58" w:history="1">
        <w:r w:rsidRPr="00D71467">
          <w:rPr>
            <w:rStyle w:val="Hyperlink"/>
            <w:rFonts w:eastAsia="Arial" w:cs="Arial"/>
          </w:rPr>
          <w:t>Department’s service agreements</w:t>
        </w:r>
      </w:hyperlink>
      <w:r>
        <w:rPr>
          <w:rFonts w:eastAsia="Arial" w:cs="Arial"/>
          <w:color w:val="000000"/>
        </w:rPr>
        <w:t xml:space="preserve"> &lt;</w:t>
      </w:r>
      <w:r w:rsidRPr="00F9337C">
        <w:rPr>
          <w:rFonts w:eastAsia="Arial" w:cs="Arial"/>
        </w:rPr>
        <w:t>https://dhhsvicgovau.sharepoint.com/sites/dffh/SitePages/Funded-agencies.aspx</w:t>
      </w:r>
      <w:r w:rsidRPr="00F9337C" w:rsidDel="00EA44B5">
        <w:rPr>
          <w:rFonts w:eastAsia="Arial" w:cs="Arial"/>
        </w:rPr>
        <w:t xml:space="preserve"> </w:t>
      </w:r>
      <w:r>
        <w:rPr>
          <w:rFonts w:eastAsia="Arial" w:cs="Arial"/>
        </w:rPr>
        <w:t>&gt;</w:t>
      </w:r>
    </w:p>
    <w:p w14:paraId="17AC6121" w14:textId="4EAA71C2" w:rsidR="00F1152B" w:rsidRPr="00E82C37" w:rsidRDefault="005F5D35" w:rsidP="005F5D35">
      <w:pPr>
        <w:pStyle w:val="Body"/>
      </w:pPr>
      <w:r>
        <w:rPr>
          <w:rFonts w:eastAsia="Arial" w:cs="Arial"/>
        </w:rPr>
        <w:t xml:space="preserve">Refer: </w:t>
      </w:r>
      <w:hyperlink r:id="rId59" w:history="1">
        <w:r w:rsidRPr="00EB108B">
          <w:rPr>
            <w:rStyle w:val="Hyperlink"/>
            <w:rFonts w:eastAsia="Arial" w:cs="Arial"/>
          </w:rPr>
          <w:t>Service agreement requirements</w:t>
        </w:r>
      </w:hyperlink>
      <w:r>
        <w:rPr>
          <w:rFonts w:eastAsia="Arial" w:cs="Arial"/>
        </w:rPr>
        <w:t xml:space="preserve"> </w:t>
      </w:r>
      <w:r w:rsidRPr="009170C7">
        <w:t>&lt;</w:t>
      </w:r>
      <w:r w:rsidRPr="002E24D7">
        <w:t xml:space="preserve"> https://fac.dffh.vic.gov.au/service-agreement-requirements</w:t>
      </w:r>
      <w:r w:rsidRPr="002E24D7" w:rsidDel="002E24D7">
        <w:t xml:space="preserve"> </w:t>
      </w:r>
      <w:r w:rsidRPr="009170C7">
        <w:t>&gt;</w:t>
      </w:r>
      <w:bookmarkEnd w:id="3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816"/>
      </w:tblGrid>
      <w:tr w:rsidR="005F5D35" w14:paraId="1D68A78B" w14:textId="77777777" w:rsidTr="7DAFCD5E">
        <w:tc>
          <w:tcPr>
            <w:tcW w:w="0" w:type="auto"/>
            <w:shd w:val="clear" w:color="auto" w:fill="99D3F0"/>
            <w:vAlign w:val="center"/>
          </w:tcPr>
          <w:p w14:paraId="3A57B6CE" w14:textId="77777777" w:rsidR="005F5D35" w:rsidRDefault="005F5D35">
            <w:pPr>
              <w:pStyle w:val="Body"/>
            </w:pPr>
            <w:r>
              <w:rPr>
                <w:noProof/>
              </w:rPr>
              <w:drawing>
                <wp:inline distT="0" distB="0" distL="0" distR="0" wp14:anchorId="46D0515E" wp14:editId="5080476F">
                  <wp:extent cx="540000" cy="540000"/>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520CBFF9" w14:textId="77777777" w:rsidR="005F5D35" w:rsidRDefault="005F5D35">
            <w:pPr>
              <w:pStyle w:val="Tablecolhead"/>
            </w:pPr>
            <w:r>
              <w:t>Coordinator tasks</w:t>
            </w:r>
          </w:p>
          <w:p w14:paraId="4E2D83B4" w14:textId="54119C69" w:rsidR="005F5D35" w:rsidRPr="007177B1" w:rsidRDefault="73322503" w:rsidP="00740A47">
            <w:pPr>
              <w:pStyle w:val="Bullet1"/>
            </w:pPr>
            <w:r>
              <w:t>consult with APSS to determine the status of the provider's service agreement</w:t>
            </w:r>
          </w:p>
          <w:p w14:paraId="43227ED6" w14:textId="77777777" w:rsidR="005F5D35" w:rsidRDefault="73322503" w:rsidP="00740A47">
            <w:pPr>
              <w:pStyle w:val="Bullet1"/>
            </w:pPr>
            <w:r>
              <w:t>initiate the request for a service agreement as required.</w:t>
            </w:r>
          </w:p>
        </w:tc>
      </w:tr>
    </w:tbl>
    <w:p w14:paraId="52F04421" w14:textId="24C7974D" w:rsidR="005F5D35" w:rsidRDefault="005F5D35" w:rsidP="000E7482">
      <w:pPr>
        <w:pStyle w:val="Heading2"/>
        <w:numPr>
          <w:ilvl w:val="1"/>
          <w:numId w:val="28"/>
        </w:numPr>
      </w:pPr>
      <w:bookmarkStart w:id="345" w:name="_Toc137636780"/>
      <w:bookmarkStart w:id="346" w:name="_Toc145318618"/>
      <w:r>
        <w:t>Brokerage agreements</w:t>
      </w:r>
      <w:bookmarkEnd w:id="345"/>
      <w:bookmarkEnd w:id="346"/>
      <w:r>
        <w:t xml:space="preserve"> </w:t>
      </w:r>
    </w:p>
    <w:p w14:paraId="30B8F876" w14:textId="6202B539" w:rsidR="00F66B9A" w:rsidRDefault="005F5D35" w:rsidP="005F5D35">
      <w:pPr>
        <w:pStyle w:val="Body"/>
      </w:pPr>
      <w:r>
        <w:t xml:space="preserve">Brokerage agreements provide further detail supplementing the service agreement between the department and </w:t>
      </w:r>
      <w:r w:rsidR="00514A8F">
        <w:t>a service</w:t>
      </w:r>
      <w:r>
        <w:t xml:space="preserve"> in receipt of brokerage against activity 17250 or 91417. The brokerage agreement complements rather than replaces a funding and service agreement or contract.</w:t>
      </w:r>
      <w:r w:rsidR="00F66B9A">
        <w:t xml:space="preserve"> </w:t>
      </w:r>
    </w:p>
    <w:p w14:paraId="46EC8D0F" w14:textId="31EDB03C" w:rsidR="00F1152B" w:rsidRDefault="005F5D35" w:rsidP="005F5D35">
      <w:pPr>
        <w:pStyle w:val="Body"/>
      </w:pPr>
      <w:r w:rsidRPr="00876686">
        <w:t>Requirements for brokerage agreements are outlined below</w:t>
      </w:r>
      <w:r w:rsidR="00F66B9A" w:rsidRPr="00876686">
        <w:t xml:space="preserve"> (</w:t>
      </w:r>
      <w:r w:rsidRPr="00876686">
        <w:t>not u</w:t>
      </w:r>
      <w:r w:rsidR="00F66B9A" w:rsidRPr="00876686">
        <w:t>sed for</w:t>
      </w:r>
      <w:r w:rsidRPr="00876686">
        <w:t xml:space="preserve"> AOS pilot program</w:t>
      </w:r>
      <w:r w:rsidR="00F66B9A" w:rsidRPr="00876686">
        <w:t>)</w:t>
      </w:r>
      <w:r w:rsidRPr="00876686">
        <w:t>.</w:t>
      </w:r>
    </w:p>
    <w:p w14:paraId="68EB3EFD" w14:textId="77777777" w:rsidR="00876686" w:rsidRPr="00876686" w:rsidRDefault="00876686" w:rsidP="005F5D3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2966"/>
      </w:tblGrid>
      <w:tr w:rsidR="005F5D35" w14:paraId="49E4E239" w14:textId="77777777" w:rsidTr="7DAFCD5E">
        <w:tc>
          <w:tcPr>
            <w:tcW w:w="0" w:type="auto"/>
            <w:shd w:val="clear" w:color="auto" w:fill="CCE9F8"/>
          </w:tcPr>
          <w:p w14:paraId="1C70C27C" w14:textId="77777777" w:rsidR="005F5D35" w:rsidRDefault="005F5D35" w:rsidP="00D014F3">
            <w:pPr>
              <w:pStyle w:val="Body"/>
              <w:spacing w:before="120"/>
            </w:pPr>
            <w:r>
              <w:rPr>
                <w:noProof/>
              </w:rPr>
              <w:drawing>
                <wp:inline distT="0" distB="0" distL="0" distR="0" wp14:anchorId="48B25D7F" wp14:editId="64414D88">
                  <wp:extent cx="540000" cy="540000"/>
                  <wp:effectExtent l="0" t="0" r="0" b="0"/>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2CE1DB1A" w14:textId="77777777" w:rsidR="005F5D35" w:rsidRDefault="005F5D35">
            <w:pPr>
              <w:pStyle w:val="Tablecolhead"/>
              <w:rPr>
                <w:rFonts w:eastAsia="Arial"/>
              </w:rPr>
            </w:pPr>
            <w:r>
              <w:rPr>
                <w:rFonts w:eastAsia="Arial"/>
              </w:rPr>
              <w:t>Documentation required</w:t>
            </w:r>
          </w:p>
          <w:p w14:paraId="6F9F35EE" w14:textId="341A06D6" w:rsidR="005F5D35" w:rsidRPr="00B83D2D" w:rsidRDefault="00861E52" w:rsidP="00740A47">
            <w:pPr>
              <w:pStyle w:val="Bullet1"/>
            </w:pPr>
            <w:r>
              <w:t>7c B</w:t>
            </w:r>
            <w:r w:rsidR="73322503">
              <w:t xml:space="preserve">rokerage </w:t>
            </w:r>
            <w:r w:rsidR="00426EC1">
              <w:t>A</w:t>
            </w:r>
            <w:r w:rsidR="73322503">
              <w:t>greement.</w:t>
            </w:r>
          </w:p>
        </w:tc>
      </w:tr>
    </w:tbl>
    <w:p w14:paraId="6CC77ACC" w14:textId="77777777" w:rsidR="005F5D35" w:rsidRDefault="005F5D35" w:rsidP="005F5D35">
      <w:pPr>
        <w:pStyle w:val="Body"/>
      </w:pPr>
    </w:p>
    <w:tbl>
      <w:tblPr>
        <w:tblStyle w:val="TableGrid"/>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8475"/>
      </w:tblGrid>
      <w:tr w:rsidR="005F5D35" w14:paraId="1F32E28C" w14:textId="77777777" w:rsidTr="00E82C37">
        <w:trPr>
          <w:trHeight w:val="948"/>
        </w:trPr>
        <w:tc>
          <w:tcPr>
            <w:tcW w:w="0" w:type="auto"/>
            <w:shd w:val="clear" w:color="auto" w:fill="99D3F0"/>
            <w:vAlign w:val="center"/>
          </w:tcPr>
          <w:p w14:paraId="3BBED900" w14:textId="77777777" w:rsidR="005F5D35" w:rsidRDefault="005F5D35" w:rsidP="00D014F3">
            <w:pPr>
              <w:pStyle w:val="Body"/>
              <w:spacing w:before="120"/>
            </w:pPr>
            <w:r>
              <w:rPr>
                <w:noProof/>
              </w:rPr>
              <w:lastRenderedPageBreak/>
              <w:drawing>
                <wp:inline distT="0" distB="0" distL="0" distR="0" wp14:anchorId="54A2245B" wp14:editId="38483CF0">
                  <wp:extent cx="540000" cy="540000"/>
                  <wp:effectExtent l="0" t="0" r="0"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23979644" w14:textId="77777777" w:rsidR="005F5D35" w:rsidRDefault="005F5D35">
            <w:pPr>
              <w:pStyle w:val="Tablecolhead"/>
            </w:pPr>
            <w:r>
              <w:t>Coordinator tasks</w:t>
            </w:r>
          </w:p>
          <w:p w14:paraId="096C6A33" w14:textId="5E2A999E" w:rsidR="005F5D35" w:rsidRDefault="00D21952" w:rsidP="00740A47">
            <w:pPr>
              <w:pStyle w:val="Bullet1"/>
            </w:pPr>
            <w:r>
              <w:t>p</w:t>
            </w:r>
            <w:r w:rsidR="73322503">
              <w:t xml:space="preserve">repare </w:t>
            </w:r>
            <w:r w:rsidR="00426EC1">
              <w:t xml:space="preserve">7c </w:t>
            </w:r>
            <w:r>
              <w:t xml:space="preserve">Brokerage Agreement </w:t>
            </w:r>
            <w:r w:rsidR="73322503">
              <w:t>and seek approval from the financial delegate.</w:t>
            </w:r>
          </w:p>
        </w:tc>
      </w:tr>
    </w:tbl>
    <w:p w14:paraId="26CE9C32" w14:textId="7CB6E077" w:rsidR="005F5D35" w:rsidRDefault="005F5D35" w:rsidP="000E7482">
      <w:pPr>
        <w:pStyle w:val="Heading3"/>
        <w:numPr>
          <w:ilvl w:val="2"/>
          <w:numId w:val="28"/>
        </w:numPr>
      </w:pPr>
      <w:r>
        <w:t>Requirements for brokerage agreements and service agreements</w:t>
      </w:r>
    </w:p>
    <w:p w14:paraId="2D5EE887" w14:textId="616D7862" w:rsidR="0019143B" w:rsidRDefault="005F5D35" w:rsidP="00514A8F">
      <w:pPr>
        <w:pStyle w:val="Body"/>
      </w:pPr>
      <w:r>
        <w:t xml:space="preserve">All one-off assessments listed below </w:t>
      </w:r>
      <w:r w:rsidRPr="00841031">
        <w:rPr>
          <w:bCs/>
        </w:rPr>
        <w:t>do not</w:t>
      </w:r>
      <w:r>
        <w:t xml:space="preserve"> require a brokerage agreement if the </w:t>
      </w:r>
      <w:r w:rsidR="009272EC">
        <w:t>cost</w:t>
      </w:r>
      <w:r>
        <w:t xml:space="preserve"> is less than $25,000 per assessment</w:t>
      </w:r>
      <w:r w:rsidR="00745785">
        <w:t xml:space="preserve">. </w:t>
      </w:r>
      <w:r w:rsidR="0019143B">
        <w:t>However, t</w:t>
      </w:r>
      <w:r w:rsidR="00745785">
        <w:t xml:space="preserve">he </w:t>
      </w:r>
      <w:r>
        <w:t xml:space="preserve">quote must meet minimum </w:t>
      </w:r>
      <w:r w:rsidRPr="004E6790">
        <w:t xml:space="preserve">requirements </w:t>
      </w:r>
      <w:r w:rsidRPr="009272EC">
        <w:t>(</w:t>
      </w:r>
      <w:r w:rsidR="006E79C8" w:rsidRPr="009272EC">
        <w:t>s</w:t>
      </w:r>
      <w:r w:rsidRPr="009272EC">
        <w:t xml:space="preserve">ection </w:t>
      </w:r>
      <w:r w:rsidR="00DE1AA8" w:rsidRPr="009272EC">
        <w:t>8.</w:t>
      </w:r>
      <w:r w:rsidR="00B41301" w:rsidRPr="009272EC">
        <w:t>8</w:t>
      </w:r>
      <w:r w:rsidR="006E79C8" w:rsidRPr="009272EC">
        <w:t>.2</w:t>
      </w:r>
      <w:r w:rsidRPr="009272EC">
        <w:t>).</w:t>
      </w:r>
    </w:p>
    <w:p w14:paraId="2EC64BAD" w14:textId="51C149C8" w:rsidR="00B41301" w:rsidRDefault="00B41301" w:rsidP="00514A8F">
      <w:pPr>
        <w:pStyle w:val="Body"/>
      </w:pPr>
      <w:r>
        <w:t>Approved t</w:t>
      </w:r>
      <w:r w:rsidR="00745785">
        <w:t>ypes of</w:t>
      </w:r>
      <w:r w:rsidR="005F5D35">
        <w:t xml:space="preserve"> assessments</w:t>
      </w:r>
      <w:r w:rsidR="00745785">
        <w:t xml:space="preserve"> </w:t>
      </w:r>
      <w:r w:rsidR="00A80BD6">
        <w:t>include</w:t>
      </w:r>
      <w:r w:rsidR="00745785">
        <w:t xml:space="preserve"> </w:t>
      </w:r>
      <w:r w:rsidR="73322503">
        <w:t>neuro-cognitive</w:t>
      </w:r>
      <w:r w:rsidR="00745785">
        <w:t xml:space="preserve">, </w:t>
      </w:r>
      <w:r w:rsidR="73322503">
        <w:t>occupational therapy</w:t>
      </w:r>
      <w:r w:rsidR="00745785">
        <w:t xml:space="preserve">, </w:t>
      </w:r>
      <w:r w:rsidR="73322503">
        <w:t>psychological/</w:t>
      </w:r>
      <w:r>
        <w:t xml:space="preserve"> </w:t>
      </w:r>
      <w:r w:rsidR="73322503">
        <w:t>psychiatric</w:t>
      </w:r>
      <w:r w:rsidR="00745785">
        <w:t xml:space="preserve">, </w:t>
      </w:r>
      <w:r w:rsidR="73322503">
        <w:t>risk assessment</w:t>
      </w:r>
      <w:r w:rsidR="00745785">
        <w:t xml:space="preserve">, and </w:t>
      </w:r>
      <w:r w:rsidR="73322503">
        <w:t>speech pathology.</w:t>
      </w:r>
      <w:r w:rsidR="00514A8F">
        <w:t xml:space="preserve"> </w:t>
      </w:r>
    </w:p>
    <w:p w14:paraId="26242D84" w14:textId="1690096D" w:rsidR="005F5D35" w:rsidRDefault="005F5D35" w:rsidP="00514A8F">
      <w:pPr>
        <w:pStyle w:val="Body"/>
      </w:pPr>
      <w:r>
        <w:t>Requirements for all other services are subject to the thresholds in the following table.</w:t>
      </w:r>
    </w:p>
    <w:p w14:paraId="54F2F7DF" w14:textId="77777777" w:rsidR="005F5D35" w:rsidRPr="00ED6E46" w:rsidRDefault="005F5D35" w:rsidP="005F5D35">
      <w:pPr>
        <w:pStyle w:val="Figurecaption"/>
      </w:pPr>
      <w:r>
        <w:t>Requirements for</w:t>
      </w:r>
      <w:r w:rsidRPr="002F14F0">
        <w:t xml:space="preserve"> </w:t>
      </w:r>
      <w:r>
        <w:t>brokerage agreement</w:t>
      </w:r>
      <w:r w:rsidRPr="00157CD2">
        <w:t xml:space="preserve">s and </w:t>
      </w:r>
      <w:r>
        <w:t>s</w:t>
      </w:r>
      <w:r w:rsidRPr="00157CD2">
        <w:t xml:space="preserve">ervice </w:t>
      </w:r>
      <w:r>
        <w:t>a</w:t>
      </w:r>
      <w:r w:rsidRPr="00157CD2">
        <w:t>greements</w:t>
      </w:r>
    </w:p>
    <w:tbl>
      <w:tblPr>
        <w:tblStyle w:val="TableGrid"/>
        <w:tblW w:w="0" w:type="auto"/>
        <w:tblLook w:val="04A0" w:firstRow="1" w:lastRow="0" w:firstColumn="1" w:lastColumn="0" w:noHBand="0" w:noVBand="1"/>
      </w:tblPr>
      <w:tblGrid>
        <w:gridCol w:w="3681"/>
        <w:gridCol w:w="2551"/>
        <w:gridCol w:w="2951"/>
      </w:tblGrid>
      <w:tr w:rsidR="005F5D35" w:rsidRPr="00E149AA" w14:paraId="5A3AF0F1" w14:textId="77777777" w:rsidTr="00B41301">
        <w:tc>
          <w:tcPr>
            <w:tcW w:w="3681" w:type="dxa"/>
            <w:shd w:val="clear" w:color="auto" w:fill="auto"/>
          </w:tcPr>
          <w:p w14:paraId="081C021A" w14:textId="77777777" w:rsidR="005F5D35" w:rsidRPr="00E149AA" w:rsidRDefault="005F5D35">
            <w:pPr>
              <w:pStyle w:val="Tablecolhead"/>
            </w:pPr>
            <w:r w:rsidRPr="00E149AA">
              <w:t>Service provision funding amount</w:t>
            </w:r>
          </w:p>
        </w:tc>
        <w:tc>
          <w:tcPr>
            <w:tcW w:w="2551" w:type="dxa"/>
            <w:shd w:val="clear" w:color="auto" w:fill="auto"/>
          </w:tcPr>
          <w:p w14:paraId="35895BFD" w14:textId="77777777" w:rsidR="005F5D35" w:rsidRPr="00E149AA" w:rsidRDefault="005F5D35">
            <w:pPr>
              <w:pStyle w:val="Tablecolhead"/>
            </w:pPr>
            <w:r w:rsidRPr="00E149AA">
              <w:t>Brokerage agreement required</w:t>
            </w:r>
          </w:p>
        </w:tc>
        <w:tc>
          <w:tcPr>
            <w:tcW w:w="2951" w:type="dxa"/>
            <w:shd w:val="clear" w:color="auto" w:fill="auto"/>
          </w:tcPr>
          <w:p w14:paraId="719AC9C1" w14:textId="77777777" w:rsidR="005F5D35" w:rsidRPr="00E149AA" w:rsidRDefault="005F5D35">
            <w:pPr>
              <w:pStyle w:val="Tablecolhead"/>
            </w:pPr>
            <w:r w:rsidRPr="00E149AA">
              <w:t>Service agreement required</w:t>
            </w:r>
          </w:p>
        </w:tc>
      </w:tr>
      <w:tr w:rsidR="005F5D35" w14:paraId="68753932" w14:textId="77777777" w:rsidTr="00B41301">
        <w:tc>
          <w:tcPr>
            <w:tcW w:w="3681" w:type="dxa"/>
          </w:tcPr>
          <w:p w14:paraId="223A22E5" w14:textId="77777777" w:rsidR="005F5D35" w:rsidRPr="005220DC" w:rsidRDefault="005F5D35">
            <w:pPr>
              <w:pStyle w:val="Tabletext"/>
            </w:pPr>
            <w:r w:rsidRPr="005220DC">
              <w:t>Assessments up to $25,000</w:t>
            </w:r>
          </w:p>
        </w:tc>
        <w:tc>
          <w:tcPr>
            <w:tcW w:w="2551" w:type="dxa"/>
          </w:tcPr>
          <w:p w14:paraId="23AD7CF4" w14:textId="1A6127F3" w:rsidR="005F5D35" w:rsidRPr="005220DC" w:rsidRDefault="005F5D35">
            <w:pPr>
              <w:pStyle w:val="Tabletext"/>
            </w:pPr>
            <w:r w:rsidRPr="005220DC">
              <w:t>No</w:t>
            </w:r>
          </w:p>
        </w:tc>
        <w:tc>
          <w:tcPr>
            <w:tcW w:w="2951" w:type="dxa"/>
          </w:tcPr>
          <w:p w14:paraId="519F5463" w14:textId="77777777" w:rsidR="005F5D35" w:rsidRPr="005220DC" w:rsidRDefault="005F5D35">
            <w:pPr>
              <w:pStyle w:val="Tabletext"/>
            </w:pPr>
            <w:r>
              <w:t>No</w:t>
            </w:r>
          </w:p>
        </w:tc>
      </w:tr>
      <w:tr w:rsidR="005F5D35" w14:paraId="1AA0CD13" w14:textId="77777777" w:rsidTr="00B41301">
        <w:tc>
          <w:tcPr>
            <w:tcW w:w="3681" w:type="dxa"/>
          </w:tcPr>
          <w:p w14:paraId="72F56DDE" w14:textId="77777777" w:rsidR="005F5D35" w:rsidRPr="005220DC" w:rsidRDefault="005F5D35">
            <w:pPr>
              <w:pStyle w:val="Tabletext"/>
            </w:pPr>
            <w:r w:rsidRPr="005220DC">
              <w:t>Care plan development</w:t>
            </w:r>
          </w:p>
        </w:tc>
        <w:tc>
          <w:tcPr>
            <w:tcW w:w="2551" w:type="dxa"/>
          </w:tcPr>
          <w:p w14:paraId="4C84D2B0" w14:textId="77777777" w:rsidR="005F5D35" w:rsidRPr="005220DC" w:rsidRDefault="005F5D35">
            <w:pPr>
              <w:pStyle w:val="Tabletext"/>
            </w:pPr>
            <w:r w:rsidRPr="005220DC">
              <w:t>Yes</w:t>
            </w:r>
          </w:p>
        </w:tc>
        <w:tc>
          <w:tcPr>
            <w:tcW w:w="2951" w:type="dxa"/>
          </w:tcPr>
          <w:p w14:paraId="1E93794A" w14:textId="77777777" w:rsidR="005F5D35" w:rsidRPr="005220DC" w:rsidRDefault="005F5D35">
            <w:pPr>
              <w:pStyle w:val="Tabletext"/>
            </w:pPr>
            <w:r w:rsidRPr="005220DC">
              <w:t>Yes</w:t>
            </w:r>
          </w:p>
        </w:tc>
      </w:tr>
      <w:tr w:rsidR="005F5D35" w14:paraId="01088156" w14:textId="77777777" w:rsidTr="00B41301">
        <w:tc>
          <w:tcPr>
            <w:tcW w:w="3681" w:type="dxa"/>
          </w:tcPr>
          <w:p w14:paraId="25E8066E" w14:textId="77777777" w:rsidR="005F5D35" w:rsidRPr="005220DC" w:rsidRDefault="005F5D35">
            <w:pPr>
              <w:pStyle w:val="Tabletext"/>
            </w:pPr>
            <w:r w:rsidRPr="005220DC">
              <w:t>Care plan coordination</w:t>
            </w:r>
          </w:p>
        </w:tc>
        <w:tc>
          <w:tcPr>
            <w:tcW w:w="2551" w:type="dxa"/>
          </w:tcPr>
          <w:p w14:paraId="514B6A19" w14:textId="77777777" w:rsidR="005F5D35" w:rsidRPr="005220DC" w:rsidRDefault="005F5D35">
            <w:pPr>
              <w:pStyle w:val="Tabletext"/>
            </w:pPr>
            <w:r w:rsidRPr="005220DC">
              <w:t>Yes</w:t>
            </w:r>
          </w:p>
        </w:tc>
        <w:tc>
          <w:tcPr>
            <w:tcW w:w="2951" w:type="dxa"/>
          </w:tcPr>
          <w:p w14:paraId="55322D81" w14:textId="77777777" w:rsidR="005F5D35" w:rsidRPr="005220DC" w:rsidRDefault="005F5D35">
            <w:pPr>
              <w:pStyle w:val="Tabletext"/>
            </w:pPr>
            <w:r w:rsidRPr="005220DC">
              <w:t xml:space="preserve">Yes </w:t>
            </w:r>
          </w:p>
        </w:tc>
      </w:tr>
      <w:tr w:rsidR="005F5D35" w14:paraId="65B4CE7F" w14:textId="77777777" w:rsidTr="00B41301">
        <w:tc>
          <w:tcPr>
            <w:tcW w:w="3681" w:type="dxa"/>
          </w:tcPr>
          <w:p w14:paraId="3E56810E" w14:textId="77777777" w:rsidR="005F5D35" w:rsidRPr="005220DC" w:rsidRDefault="005F5D35">
            <w:pPr>
              <w:pStyle w:val="Tabletext"/>
            </w:pPr>
            <w:r w:rsidRPr="005220DC">
              <w:t xml:space="preserve">All other services </w:t>
            </w:r>
            <w:r w:rsidRPr="005220DC">
              <w:rPr>
                <w:b/>
              </w:rPr>
              <w:t>less</w:t>
            </w:r>
            <w:r w:rsidRPr="005220DC">
              <w:t xml:space="preserve"> than $5,000</w:t>
            </w:r>
          </w:p>
        </w:tc>
        <w:tc>
          <w:tcPr>
            <w:tcW w:w="2551" w:type="dxa"/>
          </w:tcPr>
          <w:p w14:paraId="17A1D480" w14:textId="77777777" w:rsidR="005F5D35" w:rsidRPr="005220DC" w:rsidRDefault="005F5D35">
            <w:pPr>
              <w:pStyle w:val="Tabletext"/>
            </w:pPr>
            <w:r w:rsidRPr="005220DC">
              <w:t>No</w:t>
            </w:r>
          </w:p>
        </w:tc>
        <w:tc>
          <w:tcPr>
            <w:tcW w:w="2951" w:type="dxa"/>
          </w:tcPr>
          <w:p w14:paraId="3661EC58" w14:textId="2E288402" w:rsidR="005F5D35" w:rsidRPr="005220DC" w:rsidRDefault="005F5D35">
            <w:pPr>
              <w:pStyle w:val="Tabletext"/>
            </w:pPr>
            <w:r w:rsidRPr="005220DC">
              <w:t>No</w:t>
            </w:r>
            <w:r w:rsidR="00786430">
              <w:t xml:space="preserve">, </w:t>
            </w:r>
            <w:r w:rsidRPr="005220DC">
              <w:t>however, a service agreement may already exist</w:t>
            </w:r>
          </w:p>
        </w:tc>
      </w:tr>
      <w:tr w:rsidR="005F5D35" w14:paraId="6EC1AC7F" w14:textId="77777777" w:rsidTr="00B41301">
        <w:tc>
          <w:tcPr>
            <w:tcW w:w="3681" w:type="dxa"/>
          </w:tcPr>
          <w:p w14:paraId="6462D8DE" w14:textId="77777777" w:rsidR="005F5D35" w:rsidRPr="00D90CD6" w:rsidRDefault="005F5D35">
            <w:pPr>
              <w:pStyle w:val="Tabletext"/>
            </w:pPr>
            <w:r w:rsidRPr="00D90CD6">
              <w:t xml:space="preserve">All other services </w:t>
            </w:r>
            <w:r w:rsidRPr="00D90CD6">
              <w:rPr>
                <w:b/>
              </w:rPr>
              <w:t>between</w:t>
            </w:r>
            <w:r w:rsidRPr="00D90CD6">
              <w:t xml:space="preserve"> $5,000 and $25,000</w:t>
            </w:r>
          </w:p>
        </w:tc>
        <w:tc>
          <w:tcPr>
            <w:tcW w:w="2551" w:type="dxa"/>
          </w:tcPr>
          <w:p w14:paraId="3F26AAB8" w14:textId="77777777" w:rsidR="005F5D35" w:rsidRDefault="005F5D35">
            <w:pPr>
              <w:pStyle w:val="Tabletext"/>
            </w:pPr>
            <w:r>
              <w:t>Yes</w:t>
            </w:r>
          </w:p>
        </w:tc>
        <w:tc>
          <w:tcPr>
            <w:tcW w:w="2951" w:type="dxa"/>
          </w:tcPr>
          <w:p w14:paraId="4970282A" w14:textId="77777777" w:rsidR="005F5D35" w:rsidRDefault="005F5D35">
            <w:pPr>
              <w:pStyle w:val="Body"/>
            </w:pPr>
            <w:r>
              <w:t>Consult with APSS</w:t>
            </w:r>
          </w:p>
        </w:tc>
      </w:tr>
      <w:tr w:rsidR="005F5D35" w14:paraId="283DC817" w14:textId="77777777" w:rsidTr="00B41301">
        <w:tc>
          <w:tcPr>
            <w:tcW w:w="3681" w:type="dxa"/>
          </w:tcPr>
          <w:p w14:paraId="17036ACB" w14:textId="77777777" w:rsidR="005F5D35" w:rsidRPr="00D90CD6" w:rsidRDefault="005F5D35">
            <w:pPr>
              <w:pStyle w:val="Tabletext"/>
            </w:pPr>
            <w:r w:rsidRPr="00D90CD6">
              <w:t xml:space="preserve">All other services </w:t>
            </w:r>
            <w:r w:rsidRPr="00D90CD6">
              <w:rPr>
                <w:b/>
              </w:rPr>
              <w:t>greater</w:t>
            </w:r>
            <w:r w:rsidRPr="00D90CD6">
              <w:t xml:space="preserve"> than $25,000</w:t>
            </w:r>
          </w:p>
        </w:tc>
        <w:tc>
          <w:tcPr>
            <w:tcW w:w="2551" w:type="dxa"/>
          </w:tcPr>
          <w:p w14:paraId="79249B86" w14:textId="77777777" w:rsidR="005F5D35" w:rsidRDefault="005F5D35">
            <w:pPr>
              <w:pStyle w:val="Tabletext"/>
            </w:pPr>
            <w:r>
              <w:t>Yes</w:t>
            </w:r>
          </w:p>
        </w:tc>
        <w:tc>
          <w:tcPr>
            <w:tcW w:w="2951" w:type="dxa"/>
          </w:tcPr>
          <w:p w14:paraId="0C6F6336" w14:textId="77777777" w:rsidR="005F5D35" w:rsidRDefault="005F5D35">
            <w:pPr>
              <w:pStyle w:val="Tabletext"/>
            </w:pPr>
            <w:r>
              <w:t>Consult with APSS</w:t>
            </w:r>
          </w:p>
        </w:tc>
      </w:tr>
    </w:tbl>
    <w:p w14:paraId="6531DA0B" w14:textId="06B46EBF" w:rsidR="005F5D35" w:rsidRDefault="005F5D35" w:rsidP="00D65A4D">
      <w:pPr>
        <w:pStyle w:val="Heading3"/>
        <w:numPr>
          <w:ilvl w:val="2"/>
          <w:numId w:val="28"/>
        </w:numPr>
      </w:pPr>
      <w:bookmarkStart w:id="347" w:name="_Toc137636781"/>
      <w:r>
        <w:t>Minimum quote requirements</w:t>
      </w:r>
      <w:bookmarkEnd w:id="347"/>
    </w:p>
    <w:p w14:paraId="4486C0F8" w14:textId="11E6BDEC" w:rsidR="005F5D35" w:rsidRDefault="005F5D35" w:rsidP="005F5D35">
      <w:pPr>
        <w:pStyle w:val="Body"/>
      </w:pPr>
      <w:r>
        <w:t xml:space="preserve">When providing quotes for service, </w:t>
      </w:r>
      <w:r w:rsidR="00175E50">
        <w:t>services</w:t>
      </w:r>
      <w:r>
        <w:t xml:space="preserve"> are required to include</w:t>
      </w:r>
      <w:r w:rsidR="00F66B9A">
        <w:t>:</w:t>
      </w:r>
    </w:p>
    <w:p w14:paraId="00A5D64B" w14:textId="77777777" w:rsidR="005F5D35" w:rsidRDefault="73322503" w:rsidP="00740A47">
      <w:pPr>
        <w:pStyle w:val="Bullet1"/>
      </w:pPr>
      <w:bookmarkStart w:id="348" w:name="_Hlk11151298"/>
      <w:r>
        <w:t>business details – including contact details and ABN</w:t>
      </w:r>
    </w:p>
    <w:p w14:paraId="751AB9CF" w14:textId="77777777" w:rsidR="005F5D35" w:rsidRDefault="73322503" w:rsidP="00740A47">
      <w:pPr>
        <w:pStyle w:val="Bullet1"/>
      </w:pPr>
      <w:r>
        <w:t>details of qualifications, registration with their respective authorising body and relevant experience</w:t>
      </w:r>
    </w:p>
    <w:p w14:paraId="1D572DBE" w14:textId="77777777" w:rsidR="005F5D35" w:rsidRDefault="73322503" w:rsidP="00740A47">
      <w:pPr>
        <w:pStyle w:val="Bullet1"/>
      </w:pPr>
      <w:r>
        <w:t>insurance provider – including insurance type and amount of cover</w:t>
      </w:r>
    </w:p>
    <w:p w14:paraId="3482947C" w14:textId="77777777" w:rsidR="005F5D35" w:rsidRDefault="73322503" w:rsidP="00740A47">
      <w:pPr>
        <w:pStyle w:val="Bullet1"/>
      </w:pPr>
      <w:r>
        <w:t>schedule for work</w:t>
      </w:r>
    </w:p>
    <w:p w14:paraId="1087374F" w14:textId="40586681" w:rsidR="005F5D35" w:rsidRDefault="73322503" w:rsidP="00740A47">
      <w:pPr>
        <w:pStyle w:val="Bullet1"/>
      </w:pPr>
      <w:r>
        <w:t>payment details, terms</w:t>
      </w:r>
      <w:r w:rsidR="00745785">
        <w:t>,</w:t>
      </w:r>
      <w:r>
        <w:t xml:space="preserve"> and conditions</w:t>
      </w:r>
    </w:p>
    <w:p w14:paraId="2E619882" w14:textId="62069088" w:rsidR="005F5D35" w:rsidRDefault="73322503" w:rsidP="00740A47">
      <w:pPr>
        <w:pStyle w:val="Bullet1"/>
      </w:pPr>
      <w:r>
        <w:t>breakdown of costs – including client items and hourly rates e.g.</w:t>
      </w:r>
      <w:r w:rsidR="001034D6">
        <w:t>:</w:t>
      </w:r>
      <w:r>
        <w:t xml:space="preserve"> travel, report writing.</w:t>
      </w:r>
    </w:p>
    <w:p w14:paraId="71247FA7" w14:textId="77777777" w:rsidR="005F5D35" w:rsidRDefault="73322503" w:rsidP="00740A47">
      <w:pPr>
        <w:pStyle w:val="Bullet1"/>
      </w:pPr>
      <w:r>
        <w:t>variations</w:t>
      </w:r>
    </w:p>
    <w:p w14:paraId="20420E00" w14:textId="77777777" w:rsidR="005F5D35" w:rsidRDefault="73322503" w:rsidP="00740A47">
      <w:pPr>
        <w:pStyle w:val="Bullet1"/>
      </w:pPr>
      <w:r>
        <w:t>registration for GST</w:t>
      </w:r>
    </w:p>
    <w:p w14:paraId="211FD1DF" w14:textId="77777777" w:rsidR="005F5D35" w:rsidRDefault="73322503" w:rsidP="00740A47">
      <w:pPr>
        <w:pStyle w:val="Bullet1"/>
      </w:pPr>
      <w:r>
        <w:t>total cost</w:t>
      </w:r>
    </w:p>
    <w:p w14:paraId="5CC31082" w14:textId="77777777" w:rsidR="005F5D35" w:rsidRDefault="73322503" w:rsidP="00740A47">
      <w:pPr>
        <w:pStyle w:val="Bullet1"/>
      </w:pPr>
      <w:r>
        <w:t>reference number.</w:t>
      </w:r>
    </w:p>
    <w:p w14:paraId="425D236B" w14:textId="1AFA96F8" w:rsidR="005F5D35" w:rsidRPr="00D90CD6" w:rsidRDefault="00A124CA" w:rsidP="000E7482">
      <w:pPr>
        <w:pStyle w:val="Heading2"/>
        <w:numPr>
          <w:ilvl w:val="1"/>
          <w:numId w:val="28"/>
        </w:numPr>
      </w:pPr>
      <w:bookmarkStart w:id="349" w:name="_Toc137636782"/>
      <w:bookmarkStart w:id="350" w:name="_Toc145318619"/>
      <w:bookmarkEnd w:id="348"/>
      <w:r>
        <w:lastRenderedPageBreak/>
        <w:t>Provider r</w:t>
      </w:r>
      <w:r w:rsidR="005F5D35" w:rsidRPr="00D90CD6">
        <w:t>eimbursement</w:t>
      </w:r>
      <w:bookmarkEnd w:id="349"/>
      <w:bookmarkEnd w:id="350"/>
    </w:p>
    <w:p w14:paraId="7D075C26" w14:textId="77777777" w:rsidR="00A124CA" w:rsidRDefault="005F5D35" w:rsidP="005F5D35">
      <w:pPr>
        <w:pStyle w:val="Body"/>
      </w:pPr>
      <w:r w:rsidRPr="00D90CD6">
        <w:t xml:space="preserve">Complex Needs Coordinators can use brokerage to reimburse organisations for goods and services that require </w:t>
      </w:r>
      <w:r w:rsidR="001034D6" w:rsidRPr="00D90CD6">
        <w:t xml:space="preserve">up-front </w:t>
      </w:r>
      <w:r w:rsidRPr="00D90CD6">
        <w:t xml:space="preserve">payment, </w:t>
      </w:r>
      <w:r w:rsidR="00745785">
        <w:t>but</w:t>
      </w:r>
      <w:r w:rsidRPr="00D90CD6">
        <w:t xml:space="preserve"> </w:t>
      </w:r>
      <w:r w:rsidR="00745785">
        <w:t xml:space="preserve">appropriate line/financial delegate </w:t>
      </w:r>
      <w:r w:rsidRPr="00D90CD6">
        <w:t>approval must be confirmed prior to the goods or services being purchased.</w:t>
      </w:r>
      <w:r w:rsidR="00E32316">
        <w:t xml:space="preserve"> </w:t>
      </w:r>
    </w:p>
    <w:p w14:paraId="77685878" w14:textId="1328324E" w:rsidR="005F5D35" w:rsidRPr="00D90CD6" w:rsidRDefault="005F5D35" w:rsidP="005F5D35">
      <w:pPr>
        <w:pStyle w:val="Body"/>
      </w:pPr>
      <w:r w:rsidRPr="00D90CD6">
        <w:t xml:space="preserve">Reimbursements completed via SAMS2 will likely be delayed as variation windows are generally live in the first two weeks of the month. </w:t>
      </w:r>
      <w:r w:rsidR="00E32316">
        <w:t>Any</w:t>
      </w:r>
      <w:r w:rsidRPr="00D90CD6">
        <w:t xml:space="preserve"> delay in the reimbursement process should be clearly communicated to the organisation.</w:t>
      </w:r>
      <w:r w:rsidR="00A124CA">
        <w:t xml:space="preserve"> </w:t>
      </w:r>
      <w:r w:rsidRPr="00D90CD6">
        <w:t xml:space="preserve">Where a service provider without a </w:t>
      </w:r>
      <w:r w:rsidR="00745785">
        <w:t>s</w:t>
      </w:r>
      <w:r w:rsidRPr="00D90CD6">
        <w:t xml:space="preserve">ervice </w:t>
      </w:r>
      <w:r w:rsidR="00745785">
        <w:t>a</w:t>
      </w:r>
      <w:r w:rsidRPr="00D90CD6">
        <w:t xml:space="preserve">greement is used, the contracting </w:t>
      </w:r>
      <w:r>
        <w:t>division</w:t>
      </w:r>
      <w:r w:rsidRPr="00D90CD6">
        <w:t xml:space="preserve"> must ensure the department’s procurement and contract requirements are met</w:t>
      </w:r>
      <w:r w:rsidR="00C45ECF">
        <w:t>. I</w:t>
      </w:r>
      <w:r w:rsidRPr="00D90CD6">
        <w:t xml:space="preserve">nvoices may be paid via Oracle or using a departmental credit card. </w:t>
      </w:r>
      <w:r w:rsidR="00745785">
        <w:t xml:space="preserve">Contact </w:t>
      </w:r>
      <w:r w:rsidR="00C45ECF">
        <w:t xml:space="preserve">your </w:t>
      </w:r>
      <w:r w:rsidRPr="00D90CD6">
        <w:t xml:space="preserve">local </w:t>
      </w:r>
      <w:r w:rsidR="00C45ECF">
        <w:t xml:space="preserve">area </w:t>
      </w:r>
      <w:r w:rsidRPr="00D90CD6">
        <w:t>finance services to clarify the preferred method.</w:t>
      </w:r>
    </w:p>
    <w:p w14:paraId="7916E675" w14:textId="2D646E61" w:rsidR="005F5D35" w:rsidRDefault="005F5D35" w:rsidP="000E7482">
      <w:pPr>
        <w:pStyle w:val="Heading2"/>
        <w:numPr>
          <w:ilvl w:val="1"/>
          <w:numId w:val="28"/>
        </w:numPr>
      </w:pPr>
      <w:bookmarkStart w:id="351" w:name="_Toc32229303"/>
      <w:bookmarkStart w:id="352" w:name="_Toc65508273"/>
      <w:bookmarkStart w:id="353" w:name="_Toc112856276"/>
      <w:bookmarkStart w:id="354" w:name="_Toc125713760"/>
      <w:bookmarkStart w:id="355" w:name="_Toc137636783"/>
      <w:bookmarkStart w:id="356" w:name="_Toc32229304"/>
      <w:bookmarkStart w:id="357" w:name="_Toc65508274"/>
      <w:bookmarkStart w:id="358" w:name="_Toc112856277"/>
      <w:bookmarkStart w:id="359" w:name="_Toc125713761"/>
      <w:bookmarkStart w:id="360" w:name="_Toc145318620"/>
      <w:r>
        <w:t>Procurement</w:t>
      </w:r>
      <w:bookmarkEnd w:id="351"/>
      <w:bookmarkEnd w:id="352"/>
      <w:bookmarkEnd w:id="353"/>
      <w:bookmarkEnd w:id="354"/>
      <w:bookmarkEnd w:id="355"/>
      <w:r>
        <w:t xml:space="preserve"> </w:t>
      </w:r>
      <w:r w:rsidR="00C97EDE">
        <w:t>and probity</w:t>
      </w:r>
      <w:bookmarkEnd w:id="360"/>
      <w:r w:rsidR="00C97EDE">
        <w:t xml:space="preserve"> </w:t>
      </w:r>
    </w:p>
    <w:p w14:paraId="15ABA11E" w14:textId="79098601" w:rsidR="00204F07" w:rsidRDefault="002146EA" w:rsidP="00204F07">
      <w:pPr>
        <w:pStyle w:val="Body"/>
      </w:pPr>
      <w:r>
        <w:t>Government business must be fair, open and must demonstrate the highest levels of integrity consistent with the public interest.</w:t>
      </w:r>
      <w:r w:rsidR="00F91D5C">
        <w:t xml:space="preserve"> </w:t>
      </w:r>
      <w:r w:rsidR="001144F7">
        <w:t xml:space="preserve">When undertaking funding or procurement activities on behalf of the department, staff and contractors have responsibility to </w:t>
      </w:r>
      <w:r w:rsidR="001144F7" w:rsidRPr="001144F7">
        <w:t>maintain</w:t>
      </w:r>
      <w:r w:rsidR="001144F7">
        <w:t xml:space="preserve"> and </w:t>
      </w:r>
      <w:r w:rsidR="001144F7" w:rsidRPr="00204F07">
        <w:t>address</w:t>
      </w:r>
      <w:r w:rsidR="001144F7">
        <w:t xml:space="preserve"> </w:t>
      </w:r>
      <w:r w:rsidR="00DC5707">
        <w:t xml:space="preserve">procurement and </w:t>
      </w:r>
      <w:r w:rsidR="001144F7">
        <w:t xml:space="preserve">probity </w:t>
      </w:r>
      <w:r w:rsidR="00DC5707">
        <w:t>requirements</w:t>
      </w:r>
      <w:r w:rsidR="00E53693">
        <w:t xml:space="preserve"> </w:t>
      </w:r>
      <w:r w:rsidR="001144F7">
        <w:t>at all stages of the funding or procurement cycle</w:t>
      </w:r>
      <w:r w:rsidR="008F5F10">
        <w:t>.</w:t>
      </w:r>
      <w:r w:rsidR="001144F7">
        <w:t xml:space="preserve"> </w:t>
      </w:r>
      <w:r w:rsidR="00E32316">
        <w:t xml:space="preserve">All staff </w:t>
      </w:r>
      <w:bookmarkStart w:id="361" w:name="_Hlk30496020"/>
      <w:r w:rsidR="00E32316">
        <w:t xml:space="preserve">must </w:t>
      </w:r>
      <w:r w:rsidR="00204F07">
        <w:t xml:space="preserve">ensure familiarity and compliance with the relevant procurement policies and guidelines prescribed by the </w:t>
      </w:r>
      <w:r w:rsidR="00204F07">
        <w:rPr>
          <w:i/>
        </w:rPr>
        <w:t>Financial Management Act 1994</w:t>
      </w:r>
      <w:r w:rsidR="00204F07">
        <w:t xml:space="preserve">, the Victorian Government Purchasing Board and the department’s Procurement Committee (or equivalent). </w:t>
      </w:r>
    </w:p>
    <w:bookmarkEnd w:id="361"/>
    <w:p w14:paraId="35AB98D2" w14:textId="257A664F" w:rsidR="00204F07" w:rsidRDefault="00204F07" w:rsidP="00204F07">
      <w:pPr>
        <w:pStyle w:val="Body"/>
      </w:pPr>
      <w:r w:rsidRPr="00A04334">
        <w:t xml:space="preserve">The Complex Needs Coordinator </w:t>
      </w:r>
      <w:r>
        <w:t>(and their line and financial delegates as appropriate) must</w:t>
      </w:r>
      <w:r w:rsidRPr="00A04334">
        <w:t xml:space="preserve"> ensure that the development of the care plan, the associated brokerage budget</w:t>
      </w:r>
      <w:r>
        <w:t xml:space="preserve">, </w:t>
      </w:r>
      <w:r w:rsidRPr="00A04334">
        <w:t>review</w:t>
      </w:r>
      <w:r>
        <w:t>,</w:t>
      </w:r>
      <w:r w:rsidRPr="00A04334">
        <w:t xml:space="preserve"> and acquittal of care plan budgets meet the department’s probity</w:t>
      </w:r>
      <w:r w:rsidR="006E2351">
        <w:t xml:space="preserve"> and </w:t>
      </w:r>
      <w:r w:rsidRPr="00A04334">
        <w:t>procurement</w:t>
      </w:r>
      <w:r w:rsidR="006E2351">
        <w:t xml:space="preserve"> </w:t>
      </w:r>
      <w:r w:rsidRPr="00A04334">
        <w:t>requirements.</w:t>
      </w:r>
    </w:p>
    <w:p w14:paraId="7F2E97F2" w14:textId="0D205630" w:rsidR="00204F07" w:rsidRDefault="00204F07" w:rsidP="005F5D35">
      <w:pPr>
        <w:pStyle w:val="Body"/>
      </w:pPr>
      <w:r>
        <w:t xml:space="preserve">Refer: </w:t>
      </w:r>
      <w:hyperlink r:id="rId60" w:history="1">
        <w:r w:rsidRPr="00583973">
          <w:rPr>
            <w:rStyle w:val="Hyperlink"/>
          </w:rPr>
          <w:t>Procurement governance</w:t>
        </w:r>
      </w:hyperlink>
      <w:r>
        <w:t xml:space="preserve"> &lt;</w:t>
      </w:r>
      <w:r w:rsidRPr="00190D1A">
        <w:t>https://dhhsvicgovau.sharepoint.com/sites/dffh/SitePages/Procurement-governance.aspx</w:t>
      </w:r>
      <w:r>
        <w:t>&gt;</w:t>
      </w:r>
    </w:p>
    <w:p w14:paraId="349C2CDE" w14:textId="6EDBF062" w:rsidR="00F1152B" w:rsidRPr="009D4D50" w:rsidRDefault="005F5D35" w:rsidP="005F5D35">
      <w:pPr>
        <w:pStyle w:val="Body"/>
        <w:rPr>
          <w:color w:val="000000"/>
        </w:rPr>
      </w:pPr>
      <w:bookmarkStart w:id="362" w:name="_Hlk15544077"/>
      <w:r>
        <w:rPr>
          <w:color w:val="000000"/>
        </w:rPr>
        <w:t xml:space="preserve">Refer: </w:t>
      </w:r>
      <w:hyperlink r:id="rId61" w:history="1">
        <w:r w:rsidRPr="00583973">
          <w:rPr>
            <w:rStyle w:val="Hyperlink"/>
          </w:rPr>
          <w:t>Procurement</w:t>
        </w:r>
      </w:hyperlink>
      <w:r>
        <w:rPr>
          <w:color w:val="000000"/>
        </w:rPr>
        <w:t xml:space="preserve"> </w:t>
      </w:r>
      <w:r w:rsidR="00786430">
        <w:rPr>
          <w:color w:val="000000"/>
        </w:rPr>
        <w:t>&lt;</w:t>
      </w:r>
      <w:r w:rsidR="00786430" w:rsidRPr="00786430">
        <w:t>https://dhhsvicgovau.sharepoint.com/sites/dffh/SitePages/Buying-goods-and-services.aspx?web=1</w:t>
      </w:r>
      <w:bookmarkEnd w:id="362"/>
      <w:r w:rsidR="00B26CE5">
        <w:rPr>
          <w:rStyle w:val="Hyperlink"/>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5733"/>
      </w:tblGrid>
      <w:tr w:rsidR="005F5D35" w14:paraId="0712DF70" w14:textId="77777777" w:rsidTr="7DAFCD5E">
        <w:tc>
          <w:tcPr>
            <w:tcW w:w="0" w:type="auto"/>
            <w:shd w:val="clear" w:color="auto" w:fill="99D3F0"/>
            <w:vAlign w:val="center"/>
          </w:tcPr>
          <w:p w14:paraId="0D684688" w14:textId="77777777" w:rsidR="005F5D35" w:rsidRDefault="005F5D35" w:rsidP="00861E52">
            <w:pPr>
              <w:pStyle w:val="Body"/>
              <w:spacing w:before="120"/>
            </w:pPr>
            <w:r>
              <w:rPr>
                <w:noProof/>
              </w:rPr>
              <w:drawing>
                <wp:inline distT="0" distB="0" distL="0" distR="0" wp14:anchorId="68D5F9AB" wp14:editId="4656978F">
                  <wp:extent cx="540000" cy="540000"/>
                  <wp:effectExtent l="0" t="0" r="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46684FA" w14:textId="77777777" w:rsidR="005F5D35" w:rsidRDefault="005F5D35">
            <w:pPr>
              <w:pStyle w:val="Tablecolhead"/>
            </w:pPr>
            <w:r>
              <w:t>Coordinator tasks</w:t>
            </w:r>
          </w:p>
          <w:p w14:paraId="1C086628" w14:textId="77777777" w:rsidR="005F5D35" w:rsidRPr="007177B1" w:rsidRDefault="73322503" w:rsidP="00740A47">
            <w:pPr>
              <w:pStyle w:val="Bullet1"/>
            </w:pPr>
            <w:r>
              <w:t>ensure procurement and probity policies are adhered to</w:t>
            </w:r>
          </w:p>
          <w:p w14:paraId="0943BF69" w14:textId="13152679" w:rsidR="005F5D35" w:rsidRDefault="73322503" w:rsidP="00740A47">
            <w:pPr>
              <w:pStyle w:val="Bullet1"/>
            </w:pPr>
            <w:r>
              <w:t xml:space="preserve">use the </w:t>
            </w:r>
            <w:r w:rsidR="00F91D5C">
              <w:t xml:space="preserve">Brokerage Checklist </w:t>
            </w:r>
            <w:r>
              <w:t>as a prompt.</w:t>
            </w:r>
          </w:p>
        </w:tc>
      </w:tr>
    </w:tbl>
    <w:p w14:paraId="1FD6675B" w14:textId="57353010" w:rsidR="005F5D35" w:rsidRPr="007A0196" w:rsidRDefault="005F5D35" w:rsidP="000E7482">
      <w:pPr>
        <w:pStyle w:val="Heading2"/>
        <w:numPr>
          <w:ilvl w:val="1"/>
          <w:numId w:val="28"/>
        </w:numPr>
      </w:pPr>
      <w:bookmarkStart w:id="363" w:name="_Toc137636785"/>
      <w:bookmarkStart w:id="364" w:name="_Toc32229305"/>
      <w:bookmarkStart w:id="365" w:name="_Toc65508275"/>
      <w:bookmarkStart w:id="366" w:name="_Toc112856278"/>
      <w:bookmarkStart w:id="367" w:name="_Toc125713762"/>
      <w:bookmarkStart w:id="368" w:name="_Toc145318621"/>
      <w:bookmarkEnd w:id="356"/>
      <w:bookmarkEnd w:id="357"/>
      <w:bookmarkEnd w:id="358"/>
      <w:bookmarkEnd w:id="359"/>
      <w:r w:rsidRPr="007A0196">
        <w:t>Goods and Services Tax</w:t>
      </w:r>
      <w:bookmarkEnd w:id="363"/>
      <w:bookmarkEnd w:id="368"/>
    </w:p>
    <w:p w14:paraId="7F47E3FF" w14:textId="26F81EB7" w:rsidR="005F5D35" w:rsidRPr="007A0196" w:rsidRDefault="005F5D35" w:rsidP="005F5D35">
      <w:pPr>
        <w:pStyle w:val="Body"/>
      </w:pPr>
      <w:r w:rsidRPr="007A0196">
        <w:t xml:space="preserve">When purchasing services or entering into a </w:t>
      </w:r>
      <w:r w:rsidR="00745785">
        <w:t>s</w:t>
      </w:r>
      <w:r w:rsidRPr="007A0196">
        <w:t xml:space="preserve">ervice </w:t>
      </w:r>
      <w:r w:rsidR="00745785">
        <w:t>a</w:t>
      </w:r>
      <w:r w:rsidRPr="007A0196">
        <w:t xml:space="preserve">greement with an organisation, </w:t>
      </w:r>
      <w:r>
        <w:t>Complex Needs</w:t>
      </w:r>
      <w:r w:rsidRPr="007A0196">
        <w:t xml:space="preserve"> Coordinators check whether GST is payable to an organisation. GST is not payable where:</w:t>
      </w:r>
    </w:p>
    <w:p w14:paraId="0402BAF5" w14:textId="77777777" w:rsidR="005F5D35" w:rsidRPr="007177B1" w:rsidRDefault="73322503" w:rsidP="00740A47">
      <w:pPr>
        <w:pStyle w:val="Bullet1"/>
      </w:pPr>
      <w:r>
        <w:t>the organisation is not registered for GST or does not have an ABN. Organisations are not required to be registered for GST if their annual turnover is below the ATO threshold of $75,000 (for commercial organisations) or $150,000 (for non-profit organisations)</w:t>
      </w:r>
    </w:p>
    <w:p w14:paraId="77CAEC4B" w14:textId="6796960E" w:rsidR="005F5D35" w:rsidRPr="007177B1" w:rsidRDefault="73322503" w:rsidP="00740A47">
      <w:pPr>
        <w:pStyle w:val="Bullet1"/>
      </w:pPr>
      <w:r>
        <w:t xml:space="preserve">the </w:t>
      </w:r>
      <w:r w:rsidR="00745785">
        <w:t>s</w:t>
      </w:r>
      <w:r>
        <w:t xml:space="preserve">ervice </w:t>
      </w:r>
      <w:r w:rsidR="00745785">
        <w:t>a</w:t>
      </w:r>
      <w:r>
        <w:t>greement is with a government entity (</w:t>
      </w:r>
      <w:r w:rsidR="00745785">
        <w:t>e.g.:</w:t>
      </w:r>
      <w:r>
        <w:t xml:space="preserve"> local government, government schools, public hospitals) provided that the non-commerciality test is met by the entity receiving funds </w:t>
      </w:r>
    </w:p>
    <w:p w14:paraId="3ED7E84A" w14:textId="77777777" w:rsidR="005F5D35" w:rsidRPr="007177B1" w:rsidRDefault="73322503" w:rsidP="00740A47">
      <w:pPr>
        <w:pStyle w:val="Bullet1"/>
      </w:pPr>
      <w:r>
        <w:t>the services being supplied are not taxable supplies (applies to disability client support funding managed through a financial intermediary arrangement).</w:t>
      </w:r>
    </w:p>
    <w:p w14:paraId="576755F2" w14:textId="42EBE9A7" w:rsidR="005F5D35" w:rsidRPr="007A0196" w:rsidRDefault="005F5D35" w:rsidP="006200FC">
      <w:pPr>
        <w:pStyle w:val="Bodyafterbullets"/>
        <w:spacing w:after="240"/>
      </w:pPr>
      <w:r w:rsidRPr="007A0196">
        <w:t>To check i</w:t>
      </w:r>
      <w:r w:rsidR="004A7140">
        <w:t>f</w:t>
      </w:r>
      <w:r w:rsidR="001034D6">
        <w:t xml:space="preserve"> </w:t>
      </w:r>
      <w:r w:rsidR="00A27F77">
        <w:t xml:space="preserve">GST </w:t>
      </w:r>
      <w:r w:rsidRPr="007A0196">
        <w:t>registered, refer</w:t>
      </w:r>
      <w:r w:rsidR="00D1398E">
        <w:t>:</w:t>
      </w:r>
      <w:r w:rsidRPr="007A0196">
        <w:t xml:space="preserve"> </w:t>
      </w:r>
      <w:hyperlink r:id="rId62" w:history="1">
        <w:r w:rsidRPr="006200FC">
          <w:rPr>
            <w:rStyle w:val="Hyperlink"/>
            <w:rFonts w:eastAsiaTheme="minorHAnsi"/>
          </w:rPr>
          <w:t>Australian Business Register</w:t>
        </w:r>
      </w:hyperlink>
      <w:r w:rsidRPr="007A0196">
        <w:t xml:space="preserve"> </w:t>
      </w:r>
      <w:r w:rsidR="006200FC">
        <w:t>&lt;https://abr.gov.au&gt;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5F5D35" w:rsidRPr="007A0196" w14:paraId="2A87A07F" w14:textId="77777777" w:rsidTr="7DAFCD5E">
        <w:tc>
          <w:tcPr>
            <w:tcW w:w="0" w:type="auto"/>
            <w:shd w:val="clear" w:color="auto" w:fill="99D3F0"/>
            <w:vAlign w:val="center"/>
          </w:tcPr>
          <w:p w14:paraId="32590858" w14:textId="77777777" w:rsidR="005F5D35" w:rsidRPr="007A0196" w:rsidRDefault="005F5D35">
            <w:pPr>
              <w:pStyle w:val="Body"/>
            </w:pPr>
            <w:r>
              <w:rPr>
                <w:noProof/>
              </w:rPr>
              <w:lastRenderedPageBreak/>
              <w:drawing>
                <wp:inline distT="0" distB="0" distL="0" distR="0" wp14:anchorId="4274F14F" wp14:editId="030110A9">
                  <wp:extent cx="540000" cy="540000"/>
                  <wp:effectExtent l="0" t="0" r="0" b="0"/>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1CA1F33C" w14:textId="77777777" w:rsidR="005F5D35" w:rsidRPr="008F1AAA" w:rsidRDefault="005F5D35">
            <w:pPr>
              <w:pStyle w:val="Tablecolhead"/>
            </w:pPr>
            <w:r w:rsidRPr="008F1AAA">
              <w:t>Coordinator tasks</w:t>
            </w:r>
          </w:p>
          <w:p w14:paraId="0BFD016B" w14:textId="77777777" w:rsidR="005F5D35" w:rsidRPr="007177B1" w:rsidRDefault="73322503" w:rsidP="00740A47">
            <w:pPr>
              <w:pStyle w:val="Bullet1"/>
            </w:pPr>
            <w:r>
              <w:t>if unsure, check with the service provider whether GST is payable (some invoices may be GST-free as they do not meet ATO thresholds)</w:t>
            </w:r>
          </w:p>
          <w:p w14:paraId="042C1754" w14:textId="77777777" w:rsidR="005F5D35" w:rsidRPr="007A0196" w:rsidRDefault="73322503" w:rsidP="00740A47">
            <w:pPr>
              <w:pStyle w:val="Bullet1"/>
            </w:pPr>
            <w:r>
              <w:t>ensure the correct account strings are used in Oracle to reflect non-GST and GST applicable services.</w:t>
            </w:r>
          </w:p>
        </w:tc>
      </w:tr>
    </w:tbl>
    <w:p w14:paraId="3024FDB5" w14:textId="584BE139" w:rsidR="005F5D35" w:rsidRDefault="005F5D35" w:rsidP="000E7482">
      <w:pPr>
        <w:pStyle w:val="Heading2"/>
        <w:numPr>
          <w:ilvl w:val="1"/>
          <w:numId w:val="28"/>
        </w:numPr>
        <w:rPr>
          <w:rFonts w:eastAsia="Arial" w:cs="Arial"/>
          <w:color w:val="000000"/>
        </w:rPr>
      </w:pPr>
      <w:bookmarkStart w:id="369" w:name="_Toc32229306"/>
      <w:bookmarkStart w:id="370" w:name="_Toc65508276"/>
      <w:bookmarkStart w:id="371" w:name="_Toc112856279"/>
      <w:bookmarkStart w:id="372" w:name="_Toc125713763"/>
      <w:bookmarkStart w:id="373" w:name="_Toc137636786"/>
      <w:bookmarkStart w:id="374" w:name="_Toc145318622"/>
      <w:bookmarkEnd w:id="364"/>
      <w:bookmarkEnd w:id="365"/>
      <w:bookmarkEnd w:id="366"/>
      <w:bookmarkEnd w:id="367"/>
      <w:r>
        <w:t xml:space="preserve">Transfer of brokerage </w:t>
      </w:r>
      <w:r w:rsidR="00FE4EA1">
        <w:t xml:space="preserve">with clients </w:t>
      </w:r>
      <w:r w:rsidR="0054671C">
        <w:t xml:space="preserve">across </w:t>
      </w:r>
      <w:r>
        <w:t>areas</w:t>
      </w:r>
      <w:bookmarkEnd w:id="369"/>
      <w:bookmarkEnd w:id="370"/>
      <w:bookmarkEnd w:id="371"/>
      <w:bookmarkEnd w:id="372"/>
      <w:bookmarkEnd w:id="373"/>
      <w:bookmarkEnd w:id="374"/>
    </w:p>
    <w:p w14:paraId="0616DAA5" w14:textId="77777777" w:rsidR="001C28DC" w:rsidRDefault="4B5DC59C" w:rsidP="001C28DC">
      <w:pPr>
        <w:pStyle w:val="Body"/>
      </w:pPr>
      <w:r>
        <w:t xml:space="preserve">Where a </w:t>
      </w:r>
      <w:r w:rsidRPr="67C18456">
        <w:rPr>
          <w:rFonts w:eastAsia="Arial" w:cs="Arial"/>
          <w:color w:val="000000" w:themeColor="text1"/>
        </w:rPr>
        <w:t>client</w:t>
      </w:r>
      <w:r>
        <w:t xml:space="preserve"> supported by the complex needs team transfers between areas during the period of an approved care plan with attached brokerage, the funding commitment for the approved period is transferred from the exiting to the receiving area. The specific </w:t>
      </w:r>
      <w:bookmarkStart w:id="375" w:name="_Int_of2RmpOk"/>
      <w:r>
        <w:t>timeframes</w:t>
      </w:r>
      <w:bookmarkEnd w:id="375"/>
      <w:r>
        <w:t xml:space="preserve"> for transfer should be 6-12 weeks or as agreed between the relevant areas. Any subsequent care plans are subject to the approval processes of the receiving area.</w:t>
      </w:r>
      <w:bookmarkStart w:id="376" w:name="_Toc32229308"/>
      <w:bookmarkStart w:id="377" w:name="_Toc65508278"/>
      <w:bookmarkStart w:id="378" w:name="_Toc112856281"/>
      <w:bookmarkStart w:id="379" w:name="_Toc125713765"/>
      <w:bookmarkStart w:id="380" w:name="_Toc137636788"/>
    </w:p>
    <w:p w14:paraId="37B0C743" w14:textId="58054064" w:rsidR="005F5D35" w:rsidRDefault="005F5D35" w:rsidP="000E7482">
      <w:pPr>
        <w:pStyle w:val="Heading2"/>
        <w:numPr>
          <w:ilvl w:val="1"/>
          <w:numId w:val="28"/>
        </w:numPr>
      </w:pPr>
      <w:bookmarkStart w:id="381" w:name="_Toc145318623"/>
      <w:r w:rsidRPr="00D90CD6">
        <w:t>Brokerage recording and reporting</w:t>
      </w:r>
      <w:bookmarkEnd w:id="381"/>
      <w:r w:rsidRPr="00D90CD6">
        <w:t xml:space="preserve"> </w:t>
      </w:r>
      <w:bookmarkEnd w:id="376"/>
      <w:bookmarkEnd w:id="377"/>
      <w:bookmarkEnd w:id="378"/>
      <w:bookmarkEnd w:id="379"/>
      <w:bookmarkEnd w:id="380"/>
    </w:p>
    <w:p w14:paraId="13D9395F" w14:textId="22A1573B" w:rsidR="005F5D35" w:rsidRPr="00FA48C8" w:rsidRDefault="005F5D35" w:rsidP="005F5D35">
      <w:pPr>
        <w:pStyle w:val="Body"/>
      </w:pPr>
      <w:r w:rsidRPr="00AC23AA">
        <w:t xml:space="preserve">Areas record </w:t>
      </w:r>
      <w:r w:rsidR="00C7068C">
        <w:t>c</w:t>
      </w:r>
      <w:r w:rsidR="002D69AB">
        <w:t xml:space="preserve">omplex </w:t>
      </w:r>
      <w:r w:rsidR="00C7068C">
        <w:t>n</w:t>
      </w:r>
      <w:r w:rsidR="002D69AB">
        <w:t xml:space="preserve">eeds </w:t>
      </w:r>
      <w:r w:rsidRPr="00AC23AA">
        <w:t xml:space="preserve">brokerage expenditure </w:t>
      </w:r>
      <w:r w:rsidRPr="00D90CD6">
        <w:t xml:space="preserve">approved by the </w:t>
      </w:r>
      <w:r w:rsidR="00C7068C">
        <w:t xml:space="preserve">Area </w:t>
      </w:r>
      <w:r>
        <w:t>Executive</w:t>
      </w:r>
      <w:r w:rsidRPr="00D90CD6">
        <w:t xml:space="preserve"> Director or </w:t>
      </w:r>
      <w:r>
        <w:t>Divisional</w:t>
      </w:r>
      <w:r w:rsidRPr="00D90CD6">
        <w:t xml:space="preserve"> Deputy Secretary and acquit the allocation against each client in the SharePoint </w:t>
      </w:r>
      <w:r w:rsidRPr="00FA48C8">
        <w:t xml:space="preserve">brokerage database. This data is then able to be analysed using the CSA provided by the </w:t>
      </w:r>
      <w:r>
        <w:t>Central</w:t>
      </w:r>
      <w:r w:rsidRPr="00FA48C8">
        <w:t xml:space="preserve"> Complex Needs </w:t>
      </w:r>
      <w:r w:rsidR="00E82C37">
        <w:t>T</w:t>
      </w:r>
      <w:r w:rsidRPr="00FA48C8">
        <w:t>eam.</w:t>
      </w:r>
    </w:p>
    <w:p w14:paraId="31BBB313" w14:textId="795CE4E2" w:rsidR="005F5D35" w:rsidRDefault="4B5DC59C" w:rsidP="005F5D35">
      <w:pPr>
        <w:pStyle w:val="Body"/>
      </w:pPr>
      <w:r>
        <w:t xml:space="preserve">The CSA enables divisions and areas, to monitor and acquit commitments and expenditure by client within their brokerage budget. Standardised reports </w:t>
      </w:r>
      <w:r w:rsidR="00E82C37">
        <w:t>are</w:t>
      </w:r>
      <w:r>
        <w:t xml:space="preserve"> within the application for ease of access.</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3"/>
      </w:tblGrid>
      <w:tr w:rsidR="005F5D35" w14:paraId="75B2B8AE" w14:textId="77777777" w:rsidTr="7DAFCD5E">
        <w:tc>
          <w:tcPr>
            <w:tcW w:w="0" w:type="auto"/>
            <w:shd w:val="clear" w:color="auto" w:fill="99D3F0"/>
            <w:vAlign w:val="center"/>
          </w:tcPr>
          <w:p w14:paraId="08D1BF71" w14:textId="77777777" w:rsidR="005F5D35" w:rsidRDefault="005F5D35">
            <w:pPr>
              <w:pStyle w:val="Body"/>
            </w:pPr>
            <w:r>
              <w:rPr>
                <w:noProof/>
              </w:rPr>
              <w:drawing>
                <wp:inline distT="0" distB="0" distL="0" distR="0" wp14:anchorId="375601CE" wp14:editId="5AE8D05A">
                  <wp:extent cx="540000" cy="540000"/>
                  <wp:effectExtent l="0" t="0" r="0" b="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71A9F5DD" w14:textId="77777777" w:rsidR="005F5D35" w:rsidRDefault="005F5D35">
            <w:pPr>
              <w:pStyle w:val="Tablecolhead"/>
            </w:pPr>
            <w:r>
              <w:t>Coordinator tasks</w:t>
            </w:r>
          </w:p>
          <w:p w14:paraId="204A18BF" w14:textId="55EE8D49" w:rsidR="005F5D35" w:rsidRPr="00D90CD6" w:rsidRDefault="004A7220" w:rsidP="00740A47">
            <w:pPr>
              <w:pStyle w:val="Bullet1"/>
            </w:pPr>
            <w:r>
              <w:t xml:space="preserve">enter data on </w:t>
            </w:r>
            <w:r w:rsidR="73322503">
              <w:t xml:space="preserve">SharePoint </w:t>
            </w:r>
            <w:r w:rsidR="00D40137">
              <w:t>for</w:t>
            </w:r>
            <w:r w:rsidR="73322503">
              <w:t xml:space="preserve"> all brokerage requests and acquittals</w:t>
            </w:r>
          </w:p>
          <w:p w14:paraId="3B605FA6" w14:textId="560B67BF" w:rsidR="00461F39" w:rsidRPr="00D90CD6" w:rsidRDefault="00461F39" w:rsidP="00740A47">
            <w:pPr>
              <w:pStyle w:val="Bullet1"/>
            </w:pPr>
            <w:r>
              <w:t xml:space="preserve">record </w:t>
            </w:r>
            <w:r w:rsidR="00810DA6">
              <w:t xml:space="preserve">and review </w:t>
            </w:r>
            <w:r>
              <w:t>brokerage projections</w:t>
            </w:r>
            <w:r w:rsidR="00500F43">
              <w:t>, updating as required</w:t>
            </w:r>
          </w:p>
          <w:p w14:paraId="55A41BCC" w14:textId="1BC0994B" w:rsidR="005F5D35" w:rsidRPr="00D90CD6" w:rsidRDefault="73322503" w:rsidP="00740A47">
            <w:pPr>
              <w:pStyle w:val="Bullet1"/>
            </w:pPr>
            <w:r>
              <w:t xml:space="preserve">update data </w:t>
            </w:r>
            <w:r w:rsidR="00796AAB">
              <w:t xml:space="preserve">weekly </w:t>
            </w:r>
            <w:r>
              <w:t>(at minimum)</w:t>
            </w:r>
          </w:p>
          <w:p w14:paraId="13CB34BB" w14:textId="76955082" w:rsidR="005F5D35" w:rsidRDefault="73322503" w:rsidP="00740A47">
            <w:pPr>
              <w:pStyle w:val="Bullet1"/>
            </w:pPr>
            <w:r>
              <w:t xml:space="preserve">review </w:t>
            </w:r>
            <w:r w:rsidR="00D40137">
              <w:t>(</w:t>
            </w:r>
            <w:r w:rsidR="004B366B">
              <w:t>weekly</w:t>
            </w:r>
            <w:r w:rsidR="00D40137">
              <w:t xml:space="preserve">) </w:t>
            </w:r>
            <w:r>
              <w:t>the Complex Support Application to monitor progress against allocations and division/area budgets.</w:t>
            </w:r>
          </w:p>
        </w:tc>
      </w:tr>
    </w:tbl>
    <w:p w14:paraId="0161CF6F" w14:textId="77777777" w:rsidR="004A7140" w:rsidRPr="00273B93" w:rsidRDefault="004A7140" w:rsidP="00273B93">
      <w:pPr>
        <w:pStyle w:val="Body"/>
      </w:pPr>
      <w:bookmarkStart w:id="382" w:name="_Toc137636789"/>
    </w:p>
    <w:p w14:paraId="09D10C04" w14:textId="77777777" w:rsidR="004A7140" w:rsidRPr="00273B93" w:rsidRDefault="004A7140" w:rsidP="00273B93">
      <w:pPr>
        <w:pStyle w:val="Body"/>
      </w:pPr>
      <w:r w:rsidRPr="00273B93">
        <w:br w:type="page"/>
      </w:r>
    </w:p>
    <w:p w14:paraId="08ADEBAD" w14:textId="21ABC03F" w:rsidR="00D92A79" w:rsidRDefault="00D92A79" w:rsidP="00843D94">
      <w:pPr>
        <w:pStyle w:val="Heading1"/>
        <w:numPr>
          <w:ilvl w:val="0"/>
          <w:numId w:val="24"/>
        </w:numPr>
        <w:ind w:left="709" w:hanging="709"/>
      </w:pPr>
      <w:bookmarkStart w:id="383" w:name="_Toc145318624"/>
      <w:r>
        <w:lastRenderedPageBreak/>
        <w:t>Program administration</w:t>
      </w:r>
      <w:bookmarkEnd w:id="383"/>
    </w:p>
    <w:p w14:paraId="75AD8E6F" w14:textId="3BF87109" w:rsidR="004447C9" w:rsidRPr="00D92A79" w:rsidRDefault="00D92A79" w:rsidP="00D92A79">
      <w:pPr>
        <w:pStyle w:val="Body"/>
      </w:pPr>
      <w:r>
        <w:t>This section describes r</w:t>
      </w:r>
      <w:r w:rsidR="004447C9" w:rsidRPr="00D92A79">
        <w:t>ecords management, data collection</w:t>
      </w:r>
      <w:r>
        <w:t xml:space="preserve"> </w:t>
      </w:r>
      <w:r w:rsidR="007A3D91">
        <w:t xml:space="preserve">and </w:t>
      </w:r>
      <w:r w:rsidR="004447C9" w:rsidRPr="00D92A79">
        <w:t xml:space="preserve">performance reporting </w:t>
      </w:r>
      <w:r>
        <w:t>for all complex needs service responses.</w:t>
      </w:r>
    </w:p>
    <w:p w14:paraId="118DBD67" w14:textId="73DCA78C" w:rsidR="00D92A79" w:rsidRDefault="00D92A79" w:rsidP="000E7482">
      <w:pPr>
        <w:pStyle w:val="Heading2"/>
        <w:numPr>
          <w:ilvl w:val="1"/>
          <w:numId w:val="25"/>
        </w:numPr>
      </w:pPr>
      <w:bookmarkStart w:id="384" w:name="_Toc145318625"/>
      <w:r>
        <w:t xml:space="preserve">Records </w:t>
      </w:r>
      <w:r w:rsidR="007A3D91">
        <w:t>m</w:t>
      </w:r>
      <w:r>
        <w:t>anagement</w:t>
      </w:r>
      <w:bookmarkEnd w:id="384"/>
    </w:p>
    <w:p w14:paraId="47205DF8" w14:textId="73BCEF75" w:rsidR="00D92A79" w:rsidRPr="00D92A79" w:rsidRDefault="00D92A79" w:rsidP="00D92A79">
      <w:pPr>
        <w:pStyle w:val="Body"/>
      </w:pPr>
      <w:r w:rsidRPr="00D92A79">
        <w:t>The department’s records management policy is to ensure that comprehensive and accurate records of all activities and decisions of departmental staff are created, managed</w:t>
      </w:r>
      <w:r w:rsidR="00301189">
        <w:t>,</w:t>
      </w:r>
      <w:r w:rsidRPr="00D92A79">
        <w:t xml:space="preserve"> and kept in accordance with relevant legislation. The department owns all records created by organisations in the delivery of services funded by the department.</w:t>
      </w:r>
    </w:p>
    <w:p w14:paraId="3FC1BDA6" w14:textId="77777777" w:rsidR="00D92A79" w:rsidRDefault="00D92A79" w:rsidP="00D92A79">
      <w:pPr>
        <w:pStyle w:val="Body"/>
        <w:rPr>
          <w:color w:val="000000"/>
        </w:rPr>
      </w:pPr>
      <w:r>
        <w:rPr>
          <w:color w:val="000000"/>
        </w:rPr>
        <w:t xml:space="preserve">Refer: </w:t>
      </w:r>
      <w:hyperlink r:id="rId63" w:history="1">
        <w:r w:rsidRPr="00833AAA">
          <w:rPr>
            <w:rStyle w:val="Hyperlink"/>
            <w:rFonts w:eastAsia="Arial" w:cs="Arial"/>
          </w:rPr>
          <w:t>Records</w:t>
        </w:r>
      </w:hyperlink>
      <w:r>
        <w:rPr>
          <w:color w:val="000000"/>
        </w:rPr>
        <w:t xml:space="preserve"> &lt;</w:t>
      </w:r>
      <w:r w:rsidRPr="00342274">
        <w:rPr>
          <w:color w:val="000000"/>
        </w:rPr>
        <w:t>https://dhhsvicgovau.sharepoint.com/sites/dffh/SitePages/Records.aspx</w:t>
      </w:r>
      <w:r>
        <w:rPr>
          <w:color w:val="000000"/>
        </w:rPr>
        <w:t>&gt;</w:t>
      </w:r>
    </w:p>
    <w:p w14:paraId="7CA938F4" w14:textId="59BEB163" w:rsidR="004447C9" w:rsidRPr="00D64F1C" w:rsidRDefault="00D92A79" w:rsidP="00D92A79">
      <w:pPr>
        <w:pStyle w:val="Heading3"/>
      </w:pPr>
      <w:r>
        <w:t xml:space="preserve">9.1.1 </w:t>
      </w:r>
      <w:r w:rsidR="00E66037">
        <w:t>Client r</w:t>
      </w:r>
      <w:r w:rsidR="00987524">
        <w:t xml:space="preserve">elated records and </w:t>
      </w:r>
      <w:r w:rsidR="004447C9" w:rsidRPr="00D64F1C">
        <w:t>TRIM EDRM</w:t>
      </w:r>
    </w:p>
    <w:p w14:paraId="3DA0EB70" w14:textId="5B077FAA" w:rsidR="00987524" w:rsidRDefault="00E608CA" w:rsidP="00987524">
      <w:pPr>
        <w:pStyle w:val="Body"/>
      </w:pPr>
      <w:r w:rsidRPr="00D64F1C">
        <w:t>A record is any information</w:t>
      </w:r>
      <w:r>
        <w:t xml:space="preserve"> </w:t>
      </w:r>
      <w:r w:rsidRPr="00D64F1C">
        <w:t xml:space="preserve">that provides evidence of a business activity or decision. </w:t>
      </w:r>
      <w:r w:rsidR="00987524" w:rsidRPr="00D64F1C">
        <w:t>A record of each complex needs referral</w:t>
      </w:r>
      <w:r w:rsidR="003F2CD1">
        <w:t xml:space="preserve">, any case notes, </w:t>
      </w:r>
      <w:r w:rsidR="00065CFF">
        <w:t>attachments</w:t>
      </w:r>
      <w:r w:rsidR="00E21A21">
        <w:t>, panel papers</w:t>
      </w:r>
      <w:r w:rsidR="00065CFF">
        <w:t>, legal documents</w:t>
      </w:r>
      <w:r w:rsidR="0090671B">
        <w:t xml:space="preserve"> (for example, but not limited to)</w:t>
      </w:r>
      <w:r w:rsidR="005473D0">
        <w:t xml:space="preserve"> </w:t>
      </w:r>
      <w:r w:rsidR="00987524">
        <w:t>is</w:t>
      </w:r>
      <w:r w:rsidR="00987524" w:rsidRPr="00D64F1C">
        <w:t xml:space="preserve"> maintained in accordance with department policy and procedure for identifiable clients for whom services are provided. </w:t>
      </w:r>
      <w:r w:rsidRPr="00D64F1C">
        <w:t>Complex Needs Coordinators ensure</w:t>
      </w:r>
      <w:r>
        <w:t xml:space="preserve"> </w:t>
      </w:r>
      <w:r w:rsidRPr="00D64F1C">
        <w:t>all records are kept secure using TRIM EDRM.</w:t>
      </w:r>
      <w:r w:rsidR="003F2CD1" w:rsidRPr="003F2CD1">
        <w:t xml:space="preserve"> </w:t>
      </w:r>
    </w:p>
    <w:p w14:paraId="3AF5C0F3" w14:textId="5B9BB899" w:rsidR="00AC275A" w:rsidRPr="00513B0E" w:rsidRDefault="00987524" w:rsidP="00AC275A">
      <w:pPr>
        <w:pStyle w:val="Body"/>
      </w:pPr>
      <w:r w:rsidRPr="00D64F1C">
        <w:t>TRIM Electronic Document and Records Management (</w:t>
      </w:r>
      <w:r>
        <w:t xml:space="preserve">TRIM </w:t>
      </w:r>
      <w:r w:rsidRPr="00D64F1C">
        <w:t xml:space="preserve">EDRM) is the recordkeeping system used by the </w:t>
      </w:r>
      <w:r>
        <w:t>department</w:t>
      </w:r>
      <w:r w:rsidRPr="009A4370">
        <w:t xml:space="preserve"> </w:t>
      </w:r>
      <w:r>
        <w:t>where a</w:t>
      </w:r>
      <w:r w:rsidRPr="00D64F1C">
        <w:t>ll records must be saved</w:t>
      </w:r>
      <w:r>
        <w:t>.</w:t>
      </w:r>
      <w:r w:rsidRPr="00D64F1C">
        <w:t xml:space="preserve"> </w:t>
      </w:r>
      <w:r w:rsidRPr="00D64F1C">
        <w:rPr>
          <w:rStyle w:val="BodyChar"/>
        </w:rPr>
        <w:t>It allows staff to create, edit, share</w:t>
      </w:r>
      <w:r w:rsidR="004F4175">
        <w:rPr>
          <w:rStyle w:val="BodyChar"/>
        </w:rPr>
        <w:t>,</w:t>
      </w:r>
      <w:r w:rsidRPr="00D64F1C">
        <w:rPr>
          <w:rStyle w:val="BodyChar"/>
        </w:rPr>
        <w:t xml:space="preserve"> search </w:t>
      </w:r>
      <w:r w:rsidR="004F4175">
        <w:rPr>
          <w:rStyle w:val="BodyChar"/>
        </w:rPr>
        <w:t xml:space="preserve">and </w:t>
      </w:r>
      <w:r w:rsidR="00E608CA" w:rsidRPr="00D64F1C">
        <w:t>restrict file access</w:t>
      </w:r>
      <w:r w:rsidR="00E608CA">
        <w:t>.</w:t>
      </w:r>
      <w:r w:rsidR="00651483">
        <w:rPr>
          <w:rStyle w:val="BodyChar"/>
        </w:rPr>
        <w:t xml:space="preserve"> </w:t>
      </w:r>
      <w:r w:rsidR="00AC275A">
        <w:t>T</w:t>
      </w:r>
      <w:r w:rsidR="00AC275A" w:rsidRPr="00D64F1C">
        <w:t xml:space="preserve">he </w:t>
      </w:r>
      <w:r w:rsidR="00AC275A" w:rsidRPr="00D64F1C">
        <w:rPr>
          <w:i/>
          <w:iCs/>
        </w:rPr>
        <w:t>Complex Needs TRIM EDRM Guide</w:t>
      </w:r>
      <w:r w:rsidR="00AC275A">
        <w:rPr>
          <w:i/>
          <w:iCs/>
        </w:rPr>
        <w:t xml:space="preserve"> </w:t>
      </w:r>
      <w:r w:rsidR="00AC275A">
        <w:t>establishes the requirements that Complex Needs Coordinators must use</w:t>
      </w:r>
      <w:r w:rsidR="004F4175">
        <w:t>, including</w:t>
      </w:r>
      <w:r w:rsidR="00AC275A" w:rsidRPr="00513B0E">
        <w:t>:</w:t>
      </w:r>
    </w:p>
    <w:p w14:paraId="00F810B5" w14:textId="77777777" w:rsidR="00AC275A" w:rsidRPr="00513B0E" w:rsidRDefault="00AC275A" w:rsidP="00AC275A">
      <w:pPr>
        <w:pStyle w:val="Bullet1"/>
      </w:pPr>
      <w:r>
        <w:t>Complex needs consultations (1 per financial year)</w:t>
      </w:r>
    </w:p>
    <w:p w14:paraId="47A5AED8" w14:textId="77777777" w:rsidR="00AC275A" w:rsidRPr="00513B0E" w:rsidRDefault="00AC275A" w:rsidP="00AC275A">
      <w:pPr>
        <w:pStyle w:val="Bullet1"/>
      </w:pPr>
      <w:r>
        <w:t>SfHRT consultations (1 per financial year)</w:t>
      </w:r>
    </w:p>
    <w:p w14:paraId="3A316C10" w14:textId="77777777" w:rsidR="00AC275A" w:rsidRPr="00513B0E" w:rsidRDefault="00AC275A" w:rsidP="00AC275A">
      <w:pPr>
        <w:pStyle w:val="Bullet1"/>
      </w:pPr>
      <w:r>
        <w:t>MACNI eligible clients (1 folder each)</w:t>
      </w:r>
    </w:p>
    <w:p w14:paraId="150B6DB8" w14:textId="77777777" w:rsidR="00AC275A" w:rsidRPr="00513B0E" w:rsidRDefault="00AC275A" w:rsidP="00AC275A">
      <w:pPr>
        <w:pStyle w:val="Bullet1"/>
      </w:pPr>
      <w:r>
        <w:t>AOS pilot program (1 for pilot period)</w:t>
      </w:r>
    </w:p>
    <w:p w14:paraId="727CDF64" w14:textId="33122B57" w:rsidR="00AC275A" w:rsidRPr="00513B0E" w:rsidRDefault="00AC275A" w:rsidP="00AC275A">
      <w:pPr>
        <w:pStyle w:val="Bullet1"/>
      </w:pPr>
      <w:r>
        <w:t xml:space="preserve">Complex Needs Panels (suggested 1 folder for every 2 years – </w:t>
      </w:r>
      <w:r w:rsidR="00317F20">
        <w:t>a</w:t>
      </w:r>
      <w:r>
        <w:t>reas to decide)</w:t>
      </w:r>
    </w:p>
    <w:p w14:paraId="7050A7E0" w14:textId="29F48420" w:rsidR="00781E0A" w:rsidRDefault="00AC275A" w:rsidP="004F721D">
      <w:pPr>
        <w:pStyle w:val="lastbullett"/>
      </w:pPr>
      <w:r>
        <w:t>Finance (only required for Complex Needs Coordinators who process invoices via Oracle)</w:t>
      </w:r>
    </w:p>
    <w:p w14:paraId="1E862020" w14:textId="61FD113F" w:rsidR="00987524" w:rsidRPr="00514C8C" w:rsidRDefault="00987524" w:rsidP="00987524">
      <w:pPr>
        <w:pStyle w:val="Body"/>
      </w:pPr>
      <w:r w:rsidRPr="00514C8C">
        <w:t xml:space="preserve">Complex needs consultations may at times be brief and not </w:t>
      </w:r>
      <w:r w:rsidR="00317F20">
        <w:t xml:space="preserve">reveal the client </w:t>
      </w:r>
      <w:r w:rsidRPr="00514C8C">
        <w:t xml:space="preserve">identity. In these instances, a record is kept of the </w:t>
      </w:r>
      <w:r w:rsidR="00FD5088">
        <w:t xml:space="preserve">work of the Coordinator </w:t>
      </w:r>
      <w:r w:rsidRPr="00514C8C">
        <w:t xml:space="preserve">to ensure a record of activity is maintained. </w:t>
      </w:r>
      <w:r w:rsidR="00602E3F">
        <w:t>A</w:t>
      </w:r>
      <w:r w:rsidRPr="00514C8C">
        <w:t xml:space="preserve"> separate client file is not practical, and records may be filed with multiple records </w:t>
      </w:r>
      <w:r w:rsidR="00E91926">
        <w:t>in</w:t>
      </w:r>
      <w:r w:rsidRPr="00514C8C">
        <w:t xml:space="preserve"> one file titled ‘Consultations’.</w:t>
      </w:r>
    </w:p>
    <w:p w14:paraId="74072558" w14:textId="260914F8" w:rsidR="004447C9" w:rsidRDefault="004447C9" w:rsidP="00651483">
      <w:pPr>
        <w:pStyle w:val="Body"/>
        <w:spacing w:after="240"/>
      </w:pPr>
      <w:r>
        <w:t xml:space="preserve">Refer: </w:t>
      </w:r>
      <w:hyperlink r:id="rId64" w:history="1">
        <w:r w:rsidRPr="00833AAA">
          <w:rPr>
            <w:rStyle w:val="Hyperlink"/>
          </w:rPr>
          <w:t>TRIM EDRM guides</w:t>
        </w:r>
      </w:hyperlink>
      <w:r>
        <w:t xml:space="preserve"> </w:t>
      </w:r>
      <w:r w:rsidR="008B23F4">
        <w:t>&lt;</w:t>
      </w:r>
      <w:r w:rsidR="008B23F4" w:rsidRPr="008B23F4">
        <w:t>https://dhhsvicgovau.sharepoint.com/sites/dffh/SitePages/TRIM-EDRM-how-to-guides.aspx</w:t>
      </w:r>
      <w:r w:rsidR="008B23F4">
        <w:rPr>
          <w:rStyle w:val="Hyperlink"/>
        </w:rPr>
        <w:t>&gt;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228"/>
      </w:tblGrid>
      <w:tr w:rsidR="004447C9" w14:paraId="3A80E692" w14:textId="77777777">
        <w:tc>
          <w:tcPr>
            <w:tcW w:w="0" w:type="auto"/>
            <w:shd w:val="clear" w:color="auto" w:fill="99D3F0"/>
            <w:vAlign w:val="center"/>
            <w:hideMark/>
          </w:tcPr>
          <w:p w14:paraId="5130A118" w14:textId="77777777" w:rsidR="004447C9" w:rsidRDefault="004447C9">
            <w:pPr>
              <w:pStyle w:val="Body"/>
              <w:rPr>
                <w:lang w:eastAsia="en-AU"/>
              </w:rPr>
            </w:pPr>
            <w:r>
              <w:rPr>
                <w:noProof/>
              </w:rPr>
              <w:drawing>
                <wp:inline distT="0" distB="0" distL="0" distR="0" wp14:anchorId="48C569DB" wp14:editId="308DE5F0">
                  <wp:extent cx="542290" cy="54229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65">
                            <a:extLst>
                              <a:ext uri="{28A0092B-C50C-407E-A947-70E740481C1C}">
                                <a14:useLocalDpi xmlns:a14="http://schemas.microsoft.com/office/drawing/2010/main" val="0"/>
                              </a:ext>
                            </a:extLst>
                          </a:blip>
                          <a:srcRect l="-3598" t="-33987" r="-1862" b="-33006"/>
                          <a:stretch>
                            <a:fillRect/>
                          </a:stretch>
                        </pic:blipFill>
                        <pic:spPr>
                          <a:xfrm>
                            <a:off x="0" y="0"/>
                            <a:ext cx="542290" cy="542290"/>
                          </a:xfrm>
                          <a:prstGeom prst="rect">
                            <a:avLst/>
                          </a:prstGeom>
                        </pic:spPr>
                      </pic:pic>
                    </a:graphicData>
                  </a:graphic>
                </wp:inline>
              </w:drawing>
            </w:r>
          </w:p>
        </w:tc>
        <w:tc>
          <w:tcPr>
            <w:tcW w:w="0" w:type="auto"/>
            <w:hideMark/>
          </w:tcPr>
          <w:p w14:paraId="51A106EF" w14:textId="77777777" w:rsidR="004447C9" w:rsidRDefault="004447C9">
            <w:pPr>
              <w:pStyle w:val="Tablecolhead"/>
              <w:rPr>
                <w:lang w:eastAsia="en-AU"/>
              </w:rPr>
            </w:pPr>
            <w:r>
              <w:rPr>
                <w:lang w:eastAsia="en-AU"/>
              </w:rPr>
              <w:t>Coordinator tasks</w:t>
            </w:r>
          </w:p>
          <w:p w14:paraId="2993EA46" w14:textId="77777777" w:rsidR="004447C9" w:rsidRPr="00D64F1C" w:rsidRDefault="004447C9" w:rsidP="00740A47">
            <w:pPr>
              <w:pStyle w:val="Bullet1"/>
            </w:pPr>
            <w:r>
              <w:t>request and renew TRIM EDRM folders as required</w:t>
            </w:r>
          </w:p>
          <w:p w14:paraId="75A99F6B" w14:textId="77777777" w:rsidR="00AA4777" w:rsidRPr="00D64F1C" w:rsidRDefault="00AA4777" w:rsidP="00AA4777">
            <w:pPr>
              <w:pStyle w:val="Bullet1"/>
            </w:pPr>
            <w:r>
              <w:t>ensure client files are maintained and securely stored in accordance with departmental policy and procedure and the Complex Needs TRIM EDRM Guide</w:t>
            </w:r>
          </w:p>
          <w:p w14:paraId="555860A8" w14:textId="289E1254" w:rsidR="004447C9" w:rsidRPr="006C3787" w:rsidRDefault="00AA4777" w:rsidP="00DA30B8">
            <w:pPr>
              <w:pStyle w:val="Bullet1"/>
            </w:pPr>
            <w:r>
              <w:t xml:space="preserve">ensure accurate case notes are documented in appropriate systems, including HiiP and TRIM EDRM </w:t>
            </w:r>
          </w:p>
        </w:tc>
      </w:tr>
    </w:tbl>
    <w:p w14:paraId="077CD3B9" w14:textId="141BAD67" w:rsidR="004447C9" w:rsidRPr="009B12B5" w:rsidRDefault="004447C9" w:rsidP="004447C9">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495"/>
      </w:tblGrid>
      <w:tr w:rsidR="004447C9" w14:paraId="6251F233" w14:textId="77777777">
        <w:tc>
          <w:tcPr>
            <w:tcW w:w="0" w:type="auto"/>
            <w:shd w:val="clear" w:color="auto" w:fill="CCE9F8"/>
            <w:hideMark/>
          </w:tcPr>
          <w:p w14:paraId="5AD3139B" w14:textId="77777777" w:rsidR="004447C9" w:rsidRDefault="004447C9">
            <w:pPr>
              <w:pStyle w:val="Body"/>
              <w:spacing w:before="120"/>
              <w:rPr>
                <w:lang w:eastAsia="en-AU"/>
              </w:rPr>
            </w:pPr>
            <w:r>
              <w:rPr>
                <w:noProof/>
              </w:rPr>
              <w:lastRenderedPageBreak/>
              <w:drawing>
                <wp:inline distT="0" distB="0" distL="0" distR="0" wp14:anchorId="7A20F028" wp14:editId="4EBAFF7A">
                  <wp:extent cx="542290" cy="542290"/>
                  <wp:effectExtent l="0" t="0" r="0" b="0"/>
                  <wp:docPr id="312" name="Picture 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Lst>
                          </a:blip>
                          <a:srcRect l="-20660" t="-6332" r="-19835" b="-5804"/>
                          <a:stretch>
                            <a:fillRect/>
                          </a:stretch>
                        </pic:blipFill>
                        <pic:spPr>
                          <a:xfrm>
                            <a:off x="0" y="0"/>
                            <a:ext cx="542290" cy="542290"/>
                          </a:xfrm>
                          <a:prstGeom prst="rect">
                            <a:avLst/>
                          </a:prstGeom>
                        </pic:spPr>
                      </pic:pic>
                    </a:graphicData>
                  </a:graphic>
                </wp:inline>
              </w:drawing>
            </w:r>
          </w:p>
        </w:tc>
        <w:tc>
          <w:tcPr>
            <w:tcW w:w="0" w:type="auto"/>
            <w:hideMark/>
          </w:tcPr>
          <w:p w14:paraId="6EA4125F" w14:textId="77777777" w:rsidR="004447C9" w:rsidRDefault="004447C9">
            <w:pPr>
              <w:pStyle w:val="Tablecolhead"/>
              <w:rPr>
                <w:rFonts w:eastAsia="Arial"/>
                <w:lang w:eastAsia="en-AU"/>
              </w:rPr>
            </w:pPr>
            <w:r>
              <w:rPr>
                <w:rFonts w:eastAsia="Arial"/>
                <w:lang w:eastAsia="en-AU"/>
              </w:rPr>
              <w:t>Documentation required</w:t>
            </w:r>
          </w:p>
          <w:p w14:paraId="2761CA63" w14:textId="7E558BF7" w:rsidR="004447C9" w:rsidRDefault="004447C9" w:rsidP="00740A47">
            <w:pPr>
              <w:pStyle w:val="Bullet1"/>
            </w:pPr>
            <w:r w:rsidRPr="0075593B">
              <w:t>1</w:t>
            </w:r>
            <w:r w:rsidR="0075593B" w:rsidRPr="0075593B">
              <w:t>c</w:t>
            </w:r>
            <w:r>
              <w:t xml:space="preserve"> Complex Needs Case Note </w:t>
            </w:r>
            <w:r w:rsidR="001B1C68">
              <w:t xml:space="preserve">Form </w:t>
            </w:r>
          </w:p>
          <w:p w14:paraId="6D9E05D0" w14:textId="1560D326" w:rsidR="004447C9" w:rsidRDefault="005473D0" w:rsidP="00740A47">
            <w:pPr>
              <w:pStyle w:val="Bullet1"/>
            </w:pPr>
            <w:r>
              <w:t>all</w:t>
            </w:r>
            <w:r w:rsidR="004447C9">
              <w:t xml:space="preserve"> client documentation e.g.</w:t>
            </w:r>
            <w:r w:rsidR="00867BF9">
              <w:t xml:space="preserve">: </w:t>
            </w:r>
            <w:r w:rsidR="004447C9">
              <w:t>assessments, Complex Needs Panel reports</w:t>
            </w:r>
            <w:r w:rsidR="00867BF9">
              <w:t>.</w:t>
            </w:r>
          </w:p>
        </w:tc>
      </w:tr>
    </w:tbl>
    <w:p w14:paraId="7CC56F42" w14:textId="77777777" w:rsidR="004447C9" w:rsidRDefault="004447C9" w:rsidP="004447C9">
      <w:pPr>
        <w:pStyle w:val="Body"/>
      </w:pPr>
    </w:p>
    <w:p w14:paraId="79ACD190" w14:textId="70837B93" w:rsidR="0030046F" w:rsidRDefault="0030046F" w:rsidP="00F84EF7">
      <w:pPr>
        <w:pStyle w:val="Heading2"/>
        <w:numPr>
          <w:ilvl w:val="1"/>
          <w:numId w:val="25"/>
        </w:numPr>
      </w:pPr>
      <w:bookmarkStart w:id="385" w:name="_Toc17799101"/>
      <w:bookmarkStart w:id="386" w:name="_Toc32229334"/>
      <w:bookmarkStart w:id="387" w:name="_Toc65508305"/>
      <w:bookmarkStart w:id="388" w:name="_Toc112856309"/>
      <w:bookmarkStart w:id="389" w:name="_Toc125713793"/>
      <w:bookmarkStart w:id="390" w:name="_Toc137636773"/>
      <w:bookmarkStart w:id="391" w:name="_Toc112856310"/>
      <w:bookmarkStart w:id="392" w:name="_Toc125713794"/>
      <w:bookmarkStart w:id="393" w:name="_Toc137636757"/>
      <w:bookmarkStart w:id="394" w:name="_Toc32229294"/>
      <w:bookmarkStart w:id="395" w:name="_Toc65508262"/>
      <w:bookmarkStart w:id="396" w:name="_Toc112856267"/>
      <w:bookmarkStart w:id="397" w:name="_Toc125713751"/>
      <w:bookmarkStart w:id="398" w:name="_Toc145318626"/>
      <w:r>
        <w:t>Data collection</w:t>
      </w:r>
      <w:bookmarkEnd w:id="398"/>
    </w:p>
    <w:p w14:paraId="52C44BB3" w14:textId="256D447C" w:rsidR="0030046F" w:rsidRPr="00D90CD6" w:rsidRDefault="0030046F" w:rsidP="0030046F">
      <w:pPr>
        <w:pStyle w:val="Body"/>
      </w:pPr>
      <w:r w:rsidRPr="00D90CD6">
        <w:t xml:space="preserve">Complex Needs Coordinators collect </w:t>
      </w:r>
      <w:r>
        <w:t xml:space="preserve">data </w:t>
      </w:r>
      <w:r w:rsidRPr="00D90CD6">
        <w:t>and report on:</w:t>
      </w:r>
    </w:p>
    <w:p w14:paraId="4F98FC46" w14:textId="77777777" w:rsidR="0030046F" w:rsidRPr="00D90CD6" w:rsidRDefault="0030046F" w:rsidP="00740A47">
      <w:pPr>
        <w:pStyle w:val="Bullet1"/>
      </w:pPr>
      <w:r>
        <w:t>referral targets (contacts)</w:t>
      </w:r>
    </w:p>
    <w:p w14:paraId="3B12F900" w14:textId="77777777" w:rsidR="0030046F" w:rsidRPr="00D90CD6" w:rsidRDefault="0030046F" w:rsidP="00740A47">
      <w:pPr>
        <w:pStyle w:val="Bullet1"/>
      </w:pPr>
      <w:r>
        <w:t>client demographics</w:t>
      </w:r>
    </w:p>
    <w:p w14:paraId="61E73A3B" w14:textId="77777777" w:rsidR="0030046F" w:rsidRPr="00D90CD6" w:rsidRDefault="0030046F" w:rsidP="00740A47">
      <w:pPr>
        <w:pStyle w:val="Bullet1"/>
      </w:pPr>
      <w:r>
        <w:t>brokerage expenditure</w:t>
      </w:r>
    </w:p>
    <w:p w14:paraId="7EB1E357" w14:textId="77777777" w:rsidR="0030046F" w:rsidRPr="00D90CD6" w:rsidRDefault="0030046F" w:rsidP="00740A47">
      <w:pPr>
        <w:pStyle w:val="Bullet1"/>
      </w:pPr>
      <w:r>
        <w:t>activity across consultation and SfHRT eligible client services.</w:t>
      </w:r>
    </w:p>
    <w:p w14:paraId="2622B16A" w14:textId="77777777" w:rsidR="00CA7999" w:rsidRDefault="0030046F" w:rsidP="0030046F">
      <w:pPr>
        <w:pStyle w:val="Bodyafterbullets"/>
      </w:pPr>
      <w:r w:rsidRPr="00D90CD6">
        <w:t>Th</w:t>
      </w:r>
      <w:r w:rsidR="00CA7999">
        <w:t xml:space="preserve">is </w:t>
      </w:r>
      <w:r w:rsidRPr="00D90CD6">
        <w:t>information is recorded and analysed in two systems</w:t>
      </w:r>
      <w:r>
        <w:t>:</w:t>
      </w:r>
      <w:r w:rsidRPr="00D90CD6">
        <w:t xml:space="preserve"> SharePoint and the CSA. </w:t>
      </w:r>
    </w:p>
    <w:p w14:paraId="096B6EC1" w14:textId="019AAE70" w:rsidR="0030046F" w:rsidRDefault="0030046F" w:rsidP="0030046F">
      <w:pPr>
        <w:pStyle w:val="Bodyafterbullets"/>
      </w:pPr>
      <w:r w:rsidRPr="00D90CD6">
        <w:t xml:space="preserve">The Housing Integrated Information Program (HiiP) also provides a platform to document activity which can be readily accessed by housing staff. </w:t>
      </w:r>
    </w:p>
    <w:p w14:paraId="7984962F" w14:textId="77777777" w:rsidR="0030046F" w:rsidRPr="00D90CD6" w:rsidRDefault="0030046F" w:rsidP="0030046F">
      <w:pPr>
        <w:pStyle w:val="Bodyafterbullets"/>
      </w:pPr>
      <w:r w:rsidRPr="00D90CD6">
        <w:t xml:space="preserve">Complex Needs Coordinators record and edit </w:t>
      </w:r>
      <w:r>
        <w:t xml:space="preserve">data </w:t>
      </w:r>
      <w:r w:rsidRPr="00D90CD6">
        <w:t>in SharePoint</w:t>
      </w:r>
      <w:r>
        <w:t xml:space="preserve">. This data is visible at both its source (SharePoint) and/or can be exported to Excel and is visible via the </w:t>
      </w:r>
      <w:r w:rsidRPr="00D90CD6">
        <w:t xml:space="preserve">CSA </w:t>
      </w:r>
      <w:r>
        <w:t>(</w:t>
      </w:r>
      <w:r w:rsidRPr="00D90CD6">
        <w:t>an interactive data analysis and reporting tool</w:t>
      </w:r>
      <w:r>
        <w:t xml:space="preserve">) </w:t>
      </w:r>
      <w:r w:rsidRPr="00D90CD6">
        <w:t xml:space="preserve">for MACNI. The </w:t>
      </w:r>
      <w:r>
        <w:t>has</w:t>
      </w:r>
      <w:r w:rsidRPr="00D90CD6">
        <w:t xml:space="preserve"> </w:t>
      </w:r>
      <w:r>
        <w:t xml:space="preserve">these </w:t>
      </w:r>
      <w:r w:rsidRPr="00D90CD6">
        <w:t xml:space="preserve">capabilities: </w:t>
      </w:r>
    </w:p>
    <w:p w14:paraId="6E82927D" w14:textId="3F4354AC" w:rsidR="0030046F" w:rsidRPr="00D90CD6" w:rsidRDefault="0030046F" w:rsidP="00740A47">
      <w:pPr>
        <w:pStyle w:val="Bullet1"/>
        <w:rPr>
          <w:lang w:eastAsia="en-AU"/>
        </w:rPr>
      </w:pPr>
      <w:r w:rsidRPr="7DAFCD5E">
        <w:rPr>
          <w:lang w:eastAsia="en-AU"/>
        </w:rPr>
        <w:t>data analysis using graphs, tables</w:t>
      </w:r>
      <w:r w:rsidR="00CA7999">
        <w:rPr>
          <w:lang w:eastAsia="en-AU"/>
        </w:rPr>
        <w:t>,</w:t>
      </w:r>
      <w:r w:rsidRPr="7DAFCD5E">
        <w:rPr>
          <w:lang w:eastAsia="en-AU"/>
        </w:rPr>
        <w:t xml:space="preserve"> and charts</w:t>
      </w:r>
    </w:p>
    <w:p w14:paraId="223ACAB6" w14:textId="77777777" w:rsidR="0030046F" w:rsidRPr="00D90CD6" w:rsidRDefault="0030046F" w:rsidP="00740A47">
      <w:pPr>
        <w:pStyle w:val="Bullet1"/>
        <w:rPr>
          <w:lang w:eastAsia="en-AU"/>
        </w:rPr>
      </w:pPr>
      <w:r w:rsidRPr="7DAFCD5E">
        <w:rPr>
          <w:lang w:eastAsia="en-AU"/>
        </w:rPr>
        <w:t xml:space="preserve">workload oversight and management </w:t>
      </w:r>
    </w:p>
    <w:p w14:paraId="447F60FD" w14:textId="77777777" w:rsidR="0030046F" w:rsidRPr="00D90CD6" w:rsidRDefault="0030046F" w:rsidP="00740A47">
      <w:pPr>
        <w:pStyle w:val="Bullet1"/>
        <w:rPr>
          <w:lang w:eastAsia="en-AU"/>
        </w:rPr>
      </w:pPr>
      <w:r w:rsidRPr="7DAFCD5E">
        <w:rPr>
          <w:lang w:eastAsia="en-AU"/>
        </w:rPr>
        <w:t xml:space="preserve">budget oversight and management </w:t>
      </w:r>
    </w:p>
    <w:p w14:paraId="65B89E94" w14:textId="77777777" w:rsidR="0030046F" w:rsidRPr="00D90CD6" w:rsidRDefault="0030046F" w:rsidP="00740A47">
      <w:pPr>
        <w:pStyle w:val="Bullet1"/>
      </w:pPr>
      <w:r w:rsidRPr="7DAFCD5E">
        <w:rPr>
          <w:lang w:eastAsia="en-AU"/>
        </w:rPr>
        <w:t>target monitoring</w:t>
      </w:r>
    </w:p>
    <w:p w14:paraId="76A87758" w14:textId="77777777" w:rsidR="0030046F" w:rsidRPr="00D90CD6" w:rsidRDefault="0030046F" w:rsidP="00740A47">
      <w:pPr>
        <w:pStyle w:val="Bullet1"/>
      </w:pPr>
      <w:r w:rsidRPr="7DAFCD5E">
        <w:rPr>
          <w:lang w:eastAsia="en-AU"/>
        </w:rPr>
        <w:t>reporting to meet the needs of multiple audiences.</w:t>
      </w:r>
    </w:p>
    <w:p w14:paraId="492CCE16" w14:textId="4EFEB2B1" w:rsidR="00C450E4" w:rsidRDefault="00425052" w:rsidP="00C450E4">
      <w:pPr>
        <w:pStyle w:val="Heading3"/>
      </w:pPr>
      <w:r>
        <w:t>9.</w:t>
      </w:r>
      <w:r w:rsidR="007A3D91">
        <w:t>2</w:t>
      </w:r>
      <w:r>
        <w:t xml:space="preserve">.1 </w:t>
      </w:r>
      <w:r w:rsidR="00C450E4">
        <w:t>Data analysis for service planning</w:t>
      </w:r>
    </w:p>
    <w:p w14:paraId="56EB10BC" w14:textId="6C6BED8D" w:rsidR="00C450E4" w:rsidRDefault="00C450E4" w:rsidP="00C450E4">
      <w:pPr>
        <w:pStyle w:val="Body"/>
        <w:rPr>
          <w:color w:val="000000"/>
        </w:rPr>
      </w:pPr>
      <w:r>
        <w:t>Central</w:t>
      </w:r>
      <w:r w:rsidRPr="0028631B">
        <w:t xml:space="preserve"> </w:t>
      </w:r>
      <w:r w:rsidRPr="0028631B">
        <w:rPr>
          <w:rStyle w:val="BodyChar"/>
        </w:rPr>
        <w:t xml:space="preserve">Complex Needs </w:t>
      </w:r>
      <w:r w:rsidR="00553625">
        <w:rPr>
          <w:rStyle w:val="BodyChar"/>
        </w:rPr>
        <w:t>T</w:t>
      </w:r>
      <w:r w:rsidRPr="0028631B">
        <w:rPr>
          <w:rStyle w:val="BodyChar"/>
        </w:rPr>
        <w:t>eam</w:t>
      </w:r>
      <w:r w:rsidRPr="005D229C">
        <w:rPr>
          <w:rStyle w:val="BodyChar"/>
        </w:rPr>
        <w:t xml:space="preserve"> </w:t>
      </w:r>
      <w:r w:rsidRPr="00D90CD6">
        <w:t>regularly review</w:t>
      </w:r>
      <w:r>
        <w:t>s</w:t>
      </w:r>
      <w:r w:rsidRPr="00D90CD6">
        <w:t xml:space="preserve"> </w:t>
      </w:r>
      <w:r>
        <w:rPr>
          <w:color w:val="000000"/>
        </w:rPr>
        <w:t>the CSA to identify:</w:t>
      </w:r>
    </w:p>
    <w:p w14:paraId="12EDE7F9" w14:textId="77777777" w:rsidR="00C450E4" w:rsidRDefault="00C450E4" w:rsidP="00740A47">
      <w:pPr>
        <w:pStyle w:val="Bullet1"/>
      </w:pPr>
      <w:r>
        <w:t xml:space="preserve">trends in client demographics/service profile </w:t>
      </w:r>
    </w:p>
    <w:p w14:paraId="4BE8EF9B" w14:textId="77777777" w:rsidR="00C450E4" w:rsidRDefault="00C450E4" w:rsidP="00740A47">
      <w:pPr>
        <w:pStyle w:val="Bullet1"/>
      </w:pPr>
      <w:r>
        <w:t>service access barriers</w:t>
      </w:r>
    </w:p>
    <w:p w14:paraId="423CF755" w14:textId="77777777" w:rsidR="00C450E4" w:rsidRDefault="00C450E4" w:rsidP="00740A47">
      <w:pPr>
        <w:pStyle w:val="Bullet1"/>
      </w:pPr>
      <w:r>
        <w:t>area and division performance against the MACNI key performance indicators</w:t>
      </w:r>
    </w:p>
    <w:p w14:paraId="37E9528B" w14:textId="77777777" w:rsidR="00C450E4" w:rsidRDefault="00C450E4" w:rsidP="00740A47">
      <w:pPr>
        <w:pStyle w:val="Bullet1"/>
      </w:pPr>
      <w:r>
        <w:t>the use of brokerage funding, including expenditure and implications for resource requirements.</w:t>
      </w:r>
    </w:p>
    <w:bookmarkEnd w:id="385"/>
    <w:bookmarkEnd w:id="386"/>
    <w:bookmarkEnd w:id="387"/>
    <w:bookmarkEnd w:id="388"/>
    <w:bookmarkEnd w:id="389"/>
    <w:p w14:paraId="4D8B56DB" w14:textId="05FBDC7A" w:rsidR="00D92A79" w:rsidRPr="00D90CD6" w:rsidRDefault="00425052" w:rsidP="00D92A79">
      <w:pPr>
        <w:pStyle w:val="Heading3"/>
      </w:pPr>
      <w:r>
        <w:t>9.</w:t>
      </w:r>
      <w:r w:rsidR="007A3D91">
        <w:t>2</w:t>
      </w:r>
      <w:r>
        <w:t xml:space="preserve">.2 </w:t>
      </w:r>
      <w:r w:rsidR="00D92A79" w:rsidRPr="00D90CD6">
        <w:t xml:space="preserve">What is a </w:t>
      </w:r>
      <w:r w:rsidR="007A3D91">
        <w:t>‘</w:t>
      </w:r>
      <w:r w:rsidR="00D92A79" w:rsidRPr="00D90CD6">
        <w:t>contact</w:t>
      </w:r>
      <w:r w:rsidR="007A3D91">
        <w:t>’</w:t>
      </w:r>
      <w:r w:rsidR="00D92A79" w:rsidRPr="00D90CD6">
        <w:t>?</w:t>
      </w:r>
    </w:p>
    <w:p w14:paraId="758FECB1" w14:textId="77777777" w:rsidR="00D92A79" w:rsidRPr="00D90CD6" w:rsidRDefault="00D92A79" w:rsidP="00D92A79">
      <w:pPr>
        <w:pStyle w:val="Body"/>
      </w:pPr>
      <w:r w:rsidRPr="00D90CD6">
        <w:t>For data recording purposes and to ensure consistency, a contact is defined as:</w:t>
      </w:r>
    </w:p>
    <w:p w14:paraId="6B6916E0" w14:textId="43E7543F" w:rsidR="00425052" w:rsidRPr="00425052" w:rsidRDefault="00425052" w:rsidP="00425052">
      <w:pPr>
        <w:pStyle w:val="Body"/>
      </w:pPr>
      <w:r w:rsidRPr="00425052">
        <w:t>"</w:t>
      </w:r>
      <w:r w:rsidR="003B7351">
        <w:t>A</w:t>
      </w:r>
      <w:r w:rsidRPr="00425052">
        <w:t xml:space="preserve"> period of service (consultation / Pre-MACNI / Formal MACNI / Post-MACNI/AOS) in which there is regular contact and consultation with the Complex Needs Coordinator. This contact is confined by a start and end date.”</w:t>
      </w:r>
    </w:p>
    <w:p w14:paraId="78574F4C" w14:textId="77777777" w:rsidR="00D92A79" w:rsidRPr="00D90CD6" w:rsidRDefault="00D92A79" w:rsidP="00D92A79">
      <w:pPr>
        <w:pStyle w:val="Body"/>
      </w:pPr>
      <w:r w:rsidRPr="00D90CD6">
        <w:t>The contact may involve the Complex Needs Coordinator undertaking a variety of tasks including:</w:t>
      </w:r>
    </w:p>
    <w:p w14:paraId="488A0341" w14:textId="77777777" w:rsidR="00D92A79" w:rsidRPr="00D90CD6" w:rsidRDefault="00D92A79" w:rsidP="00740A47">
      <w:pPr>
        <w:pStyle w:val="Bullet1"/>
      </w:pPr>
      <w:r>
        <w:t>facilitate assessment</w:t>
      </w:r>
    </w:p>
    <w:p w14:paraId="71ABBD23" w14:textId="77777777" w:rsidR="00D92A79" w:rsidRPr="00D90CD6" w:rsidRDefault="00D92A79" w:rsidP="00740A47">
      <w:pPr>
        <w:pStyle w:val="Bullet1"/>
      </w:pPr>
      <w:r>
        <w:t>information and practice advice</w:t>
      </w:r>
    </w:p>
    <w:p w14:paraId="6483D076" w14:textId="77777777" w:rsidR="00D92A79" w:rsidRPr="00D90CD6" w:rsidRDefault="00D92A79" w:rsidP="00740A47">
      <w:pPr>
        <w:pStyle w:val="Bullet1"/>
      </w:pPr>
      <w:r>
        <w:t>system navigation and problem-solving</w:t>
      </w:r>
    </w:p>
    <w:p w14:paraId="2FE13CAC" w14:textId="77777777" w:rsidR="00D92A79" w:rsidRPr="00D90CD6" w:rsidRDefault="00D92A79" w:rsidP="00740A47">
      <w:pPr>
        <w:pStyle w:val="Bullet1"/>
      </w:pPr>
      <w:r>
        <w:t>capacity-building</w:t>
      </w:r>
    </w:p>
    <w:p w14:paraId="6EE16B59" w14:textId="77777777" w:rsidR="00D92A79" w:rsidRPr="00D90CD6" w:rsidRDefault="00D92A79" w:rsidP="00740A47">
      <w:pPr>
        <w:pStyle w:val="Bullet1"/>
      </w:pPr>
      <w:r>
        <w:lastRenderedPageBreak/>
        <w:t>service coordination</w:t>
      </w:r>
      <w:r w:rsidRPr="00EB4397">
        <w:t xml:space="preserve"> </w:t>
      </w:r>
      <w:r>
        <w:t>(time-limited, less than 4 hours per week)</w:t>
      </w:r>
    </w:p>
    <w:p w14:paraId="58E01F81" w14:textId="77777777" w:rsidR="00D92A79" w:rsidRPr="00D90CD6" w:rsidRDefault="00D92A79" w:rsidP="00740A47">
      <w:pPr>
        <w:pStyle w:val="Bullet1"/>
      </w:pPr>
      <w:r>
        <w:t>providing brokerage.</w:t>
      </w:r>
    </w:p>
    <w:p w14:paraId="2925808A" w14:textId="77777777" w:rsidR="00D92A79" w:rsidRPr="00D90CD6" w:rsidRDefault="00D92A79" w:rsidP="00D92A79">
      <w:pPr>
        <w:pStyle w:val="Bodyafterbullets"/>
      </w:pPr>
      <w:r w:rsidRPr="00D90CD6">
        <w:t xml:space="preserve">A new contact is </w:t>
      </w:r>
      <w:r w:rsidRPr="009170C7">
        <w:t>counted</w:t>
      </w:r>
      <w:r w:rsidRPr="00D90CD6">
        <w:t xml:space="preserve"> when:</w:t>
      </w:r>
    </w:p>
    <w:p w14:paraId="1EC0FE75" w14:textId="77777777" w:rsidR="00D92A79" w:rsidRPr="00D90CD6" w:rsidRDefault="00D92A79" w:rsidP="00740A47">
      <w:pPr>
        <w:pStyle w:val="Bullet1"/>
      </w:pPr>
      <w:r>
        <w:t xml:space="preserve">any period of service commences (including those that only request brokerage) </w:t>
      </w:r>
    </w:p>
    <w:p w14:paraId="6CEE9D8D" w14:textId="7AD8818F" w:rsidR="00D92A79" w:rsidRPr="00D90CD6" w:rsidRDefault="00D92A79" w:rsidP="00740A47">
      <w:pPr>
        <w:pStyle w:val="Bullet1"/>
      </w:pPr>
      <w:r>
        <w:t>a client transitions from one support to another (e.g., SfHRT to Pre-MACNI</w:t>
      </w:r>
      <w:r w:rsidR="000A5BD3">
        <w:t>, Consultation to Formal MACNI</w:t>
      </w:r>
      <w:r>
        <w:t>)</w:t>
      </w:r>
    </w:p>
    <w:p w14:paraId="191F1C44" w14:textId="1CABA861" w:rsidR="00D92A79" w:rsidRPr="00D90CD6" w:rsidRDefault="00D92A79" w:rsidP="00D92A79">
      <w:pPr>
        <w:pStyle w:val="Bodyafterbullets"/>
      </w:pPr>
      <w:r w:rsidRPr="00D90CD6">
        <w:t>If closure</w:t>
      </w:r>
      <w:r w:rsidR="00553625">
        <w:t xml:space="preserve"> is indicated</w:t>
      </w:r>
      <w:r w:rsidRPr="00D90CD6">
        <w:t>, a closure/recommendations form is completed</w:t>
      </w:r>
      <w:r w:rsidR="0092136E">
        <w:t>,</w:t>
      </w:r>
      <w:r w:rsidR="00553625">
        <w:t xml:space="preserve"> </w:t>
      </w:r>
      <w:r w:rsidRPr="00D90CD6">
        <w:t>and the end date is recorded in the CSA/SharePoint. If the client is re-referred, a new line of data is created, with the new commencement date entered. That is, each contact is a new line of data, even if it is for the same client within the same financial year.</w:t>
      </w:r>
    </w:p>
    <w:p w14:paraId="49625908" w14:textId="1BAE1802" w:rsidR="00425052" w:rsidRPr="00D90CD6" w:rsidRDefault="00D92A79" w:rsidP="00425052">
      <w:pPr>
        <w:pStyle w:val="Body"/>
      </w:pPr>
      <w:r w:rsidRPr="00D90CD6">
        <w:t xml:space="preserve">One client may have numerous contacts over a financial year. </w:t>
      </w:r>
      <w:r w:rsidR="00D21906">
        <w:t xml:space="preserve">E.g.: </w:t>
      </w:r>
      <w:r w:rsidRPr="00D90CD6">
        <w:t xml:space="preserve"> initially a contact for brokerage assistance only, then a second contact for 3-months, then a third contact for 1-month consultation.</w:t>
      </w:r>
      <w:r w:rsidR="00D21906">
        <w:t xml:space="preserve"> Whereas, a</w:t>
      </w:r>
      <w:r w:rsidR="00425052" w:rsidRPr="00D90CD6">
        <w:t xml:space="preserve"> Formal MACNI client will have </w:t>
      </w:r>
      <w:r w:rsidR="00425052">
        <w:t>one</w:t>
      </w:r>
      <w:r w:rsidR="00425052" w:rsidRPr="00D90CD6">
        <w:t xml:space="preserve"> </w:t>
      </w:r>
      <w:r w:rsidR="00425052">
        <w:t>contact</w:t>
      </w:r>
      <w:r w:rsidR="00425052" w:rsidRPr="00D90CD6">
        <w:t xml:space="preserve"> over several months / years, up to </w:t>
      </w:r>
      <w:r w:rsidR="00425052">
        <w:t>three years</w:t>
      </w:r>
      <w:r w:rsidR="00425052" w:rsidRPr="00D90CD6">
        <w:t xml:space="preserve"> in total. This may be recorded as </w:t>
      </w:r>
      <w:r w:rsidR="00425052">
        <w:t>one</w:t>
      </w:r>
      <w:r w:rsidR="00425052" w:rsidRPr="00D90CD6">
        <w:t xml:space="preserve"> contact each financial year. </w:t>
      </w:r>
    </w:p>
    <w:p w14:paraId="6FFBE7DC" w14:textId="77777777" w:rsidR="00D92A79" w:rsidRPr="00D90CD6" w:rsidRDefault="00D92A79" w:rsidP="00D92A79">
      <w:pPr>
        <w:pStyle w:val="Body"/>
      </w:pPr>
      <w:r w:rsidRPr="00D90CD6">
        <w:t xml:space="preserve">What </w:t>
      </w:r>
      <w:r w:rsidRPr="00D90CD6">
        <w:rPr>
          <w:u w:val="single"/>
        </w:rPr>
        <w:t>does not</w:t>
      </w:r>
      <w:r w:rsidRPr="00D90CD6">
        <w:t xml:space="preserve"> constitute a contact?</w:t>
      </w:r>
    </w:p>
    <w:p w14:paraId="2DFAD530" w14:textId="77777777" w:rsidR="00D92A79" w:rsidRPr="00D90CD6" w:rsidRDefault="00D92A79" w:rsidP="00740A47">
      <w:pPr>
        <w:pStyle w:val="Bullet1"/>
      </w:pPr>
      <w:r>
        <w:t>quick, one-off questions regarding service provision</w:t>
      </w:r>
    </w:p>
    <w:p w14:paraId="0AD16C6E" w14:textId="77777777" w:rsidR="00D92A79" w:rsidRPr="00D90CD6" w:rsidRDefault="00D92A79" w:rsidP="00740A47">
      <w:pPr>
        <w:pStyle w:val="Bullet1"/>
      </w:pPr>
      <w:r>
        <w:t>brief conversations held in passing</w:t>
      </w:r>
    </w:p>
    <w:p w14:paraId="1F397135" w14:textId="77777777" w:rsidR="00D92A79" w:rsidRPr="00D90CD6" w:rsidRDefault="00D92A79" w:rsidP="00740A47">
      <w:pPr>
        <w:pStyle w:val="Bullet1"/>
      </w:pPr>
      <w:r>
        <w:t>client details / information exchange that is insufficient to populate a client registration form.</w:t>
      </w:r>
    </w:p>
    <w:p w14:paraId="79B8CF66" w14:textId="6FE5B2B5" w:rsidR="00D92A79" w:rsidRDefault="00425052" w:rsidP="00C450E4">
      <w:pPr>
        <w:pStyle w:val="Heading3"/>
      </w:pPr>
      <w:r>
        <w:t>9.</w:t>
      </w:r>
      <w:r w:rsidR="007A3D91">
        <w:t>2</w:t>
      </w:r>
      <w:r>
        <w:t xml:space="preserve">.3 </w:t>
      </w:r>
      <w:r w:rsidR="00D92A79">
        <w:t>Data sources</w:t>
      </w:r>
    </w:p>
    <w:p w14:paraId="557CB83B" w14:textId="77777777" w:rsidR="00C450E4" w:rsidRPr="00D90CD6" w:rsidRDefault="00C450E4" w:rsidP="00740A47">
      <w:pPr>
        <w:pStyle w:val="Bullet1"/>
      </w:pPr>
      <w:r>
        <w:t>The SharePoint database as recorded by Complex Needs Coordinators</w:t>
      </w:r>
    </w:p>
    <w:p w14:paraId="2CB4A30D" w14:textId="77777777" w:rsidR="00C450E4" w:rsidRPr="00D90CD6" w:rsidRDefault="00C450E4" w:rsidP="000E7482">
      <w:pPr>
        <w:pStyle w:val="Bullet2"/>
      </w:pPr>
      <w:r w:rsidRPr="00D90CD6">
        <w:t>client databases (MACNI</w:t>
      </w:r>
      <w:r>
        <w:t>,</w:t>
      </w:r>
      <w:r w:rsidRPr="00D90CD6">
        <w:t xml:space="preserve"> SfHRT</w:t>
      </w:r>
      <w:r>
        <w:t xml:space="preserve"> and AOS</w:t>
      </w:r>
      <w:r w:rsidRPr="00D90CD6">
        <w:t>)</w:t>
      </w:r>
    </w:p>
    <w:p w14:paraId="28DFE79D" w14:textId="77777777" w:rsidR="00C450E4" w:rsidRPr="00D90CD6" w:rsidRDefault="00C450E4" w:rsidP="000E7482">
      <w:pPr>
        <w:pStyle w:val="Bullet2"/>
      </w:pPr>
      <w:r w:rsidRPr="00D90CD6">
        <w:t>brokerage database</w:t>
      </w:r>
    </w:p>
    <w:p w14:paraId="30C54D39" w14:textId="77777777" w:rsidR="00C450E4" w:rsidRPr="00D90CD6" w:rsidRDefault="00C450E4" w:rsidP="00740A47">
      <w:pPr>
        <w:pStyle w:val="Bullet1"/>
      </w:pPr>
      <w:r>
        <w:t xml:space="preserve">Complex Support Application (CSA; QlikView Application) </w:t>
      </w:r>
    </w:p>
    <w:p w14:paraId="774DAAD0" w14:textId="77777777" w:rsidR="00C450E4" w:rsidRDefault="00C450E4" w:rsidP="00740A47">
      <w:pPr>
        <w:pStyle w:val="Bullet1"/>
      </w:pPr>
      <w:r>
        <w:t>reporting as agreed with funded service agencies</w:t>
      </w:r>
    </w:p>
    <w:p w14:paraId="41F97165" w14:textId="6216FE4F" w:rsidR="00D92A79" w:rsidRPr="00D90CD6" w:rsidRDefault="00C450E4" w:rsidP="00740A47">
      <w:pPr>
        <w:pStyle w:val="Bullet1"/>
      </w:pPr>
      <w:r>
        <w:t>r</w:t>
      </w:r>
      <w:r w:rsidR="00D92A79" w:rsidRPr="00D90CD6">
        <w:t>elevant qualitative data should be included in case file notes in HiiP and SharePoint.</w:t>
      </w:r>
    </w:p>
    <w:p w14:paraId="6AC63F68" w14:textId="77777777" w:rsidR="00D92A79" w:rsidRPr="00937882" w:rsidRDefault="00D92A79" w:rsidP="00D92A79">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7811"/>
      </w:tblGrid>
      <w:tr w:rsidR="00D92A79" w14:paraId="30CCDE3C" w14:textId="77777777">
        <w:tc>
          <w:tcPr>
            <w:tcW w:w="0" w:type="auto"/>
            <w:shd w:val="clear" w:color="auto" w:fill="99D3F0"/>
            <w:vAlign w:val="center"/>
          </w:tcPr>
          <w:p w14:paraId="527B7A2E" w14:textId="77777777" w:rsidR="00D92A79" w:rsidRDefault="00D92A79">
            <w:pPr>
              <w:pStyle w:val="Body"/>
            </w:pPr>
            <w:r>
              <w:rPr>
                <w:noProof/>
              </w:rPr>
              <w:drawing>
                <wp:inline distT="0" distB="0" distL="0" distR="0" wp14:anchorId="4D9C3DBD" wp14:editId="53240428">
                  <wp:extent cx="540000" cy="540000"/>
                  <wp:effectExtent l="0" t="0" r="0" b="0"/>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60B2B39" w14:textId="77777777" w:rsidR="00D92A79" w:rsidRDefault="00D92A79">
            <w:pPr>
              <w:pStyle w:val="Tablecolhead"/>
            </w:pPr>
            <w:r>
              <w:t>Coordinator tasks</w:t>
            </w:r>
          </w:p>
          <w:p w14:paraId="1C408727" w14:textId="77777777" w:rsidR="00C450E4" w:rsidRPr="00BD4C16" w:rsidRDefault="00C450E4" w:rsidP="00740A47">
            <w:pPr>
              <w:pStyle w:val="Bullet1"/>
            </w:pPr>
            <w:r>
              <w:t>record client demographics and brokerage using SharePoint databases</w:t>
            </w:r>
          </w:p>
          <w:p w14:paraId="558614DA" w14:textId="77777777" w:rsidR="00D92A79" w:rsidRPr="00BD4C16" w:rsidRDefault="00D92A79" w:rsidP="00740A47">
            <w:pPr>
              <w:pStyle w:val="Bullet1"/>
            </w:pPr>
            <w:r>
              <w:t>update HiiP with relevant data, including qualitative content where appropriate</w:t>
            </w:r>
          </w:p>
          <w:p w14:paraId="13DAE5A9" w14:textId="77777777" w:rsidR="00D92A79" w:rsidRPr="00BD4C16" w:rsidRDefault="00D92A79" w:rsidP="00740A47">
            <w:pPr>
              <w:pStyle w:val="Bullet1"/>
            </w:pPr>
            <w:r>
              <w:t>ensure SfHRT referral box is selected in HiiP</w:t>
            </w:r>
          </w:p>
          <w:p w14:paraId="2AD10C2D" w14:textId="77777777" w:rsidR="00D92A79" w:rsidRDefault="00D92A79" w:rsidP="00740A47">
            <w:pPr>
              <w:pStyle w:val="Bullet1"/>
            </w:pPr>
            <w:r>
              <w:t>use report functions to view activity, client and area-specific information.</w:t>
            </w:r>
          </w:p>
        </w:tc>
      </w:tr>
    </w:tbl>
    <w:p w14:paraId="3FB1C115" w14:textId="131A037C" w:rsidR="007A3D91" w:rsidRDefault="007A3D91" w:rsidP="000E7482">
      <w:pPr>
        <w:pStyle w:val="Heading2"/>
        <w:numPr>
          <w:ilvl w:val="1"/>
          <w:numId w:val="22"/>
        </w:numPr>
      </w:pPr>
      <w:bookmarkStart w:id="399" w:name="_Toc145318627"/>
      <w:bookmarkEnd w:id="390"/>
      <w:bookmarkEnd w:id="391"/>
      <w:bookmarkEnd w:id="392"/>
      <w:bookmarkEnd w:id="393"/>
      <w:bookmarkEnd w:id="394"/>
      <w:bookmarkEnd w:id="395"/>
      <w:bookmarkEnd w:id="396"/>
      <w:bookmarkEnd w:id="397"/>
      <w:r>
        <w:t>Performance reporting</w:t>
      </w:r>
      <w:bookmarkEnd w:id="399"/>
    </w:p>
    <w:p w14:paraId="214924DD" w14:textId="77777777" w:rsidR="007A3D91" w:rsidRDefault="007A3D91" w:rsidP="000E7482">
      <w:pPr>
        <w:pStyle w:val="Heading3"/>
        <w:numPr>
          <w:ilvl w:val="2"/>
          <w:numId w:val="22"/>
        </w:numPr>
      </w:pPr>
      <w:r>
        <w:t>Complex needs consultation targets</w:t>
      </w:r>
    </w:p>
    <w:p w14:paraId="0E17EAC9" w14:textId="77777777" w:rsidR="007A3D91" w:rsidRPr="00D92A79" w:rsidRDefault="007A3D91" w:rsidP="007A3D91">
      <w:pPr>
        <w:pStyle w:val="Body"/>
      </w:pPr>
      <w:r>
        <w:t>Complex needs</w:t>
      </w:r>
      <w:r w:rsidRPr="00D92A79">
        <w:t xml:space="preserve"> referral targets are set by the Central </w:t>
      </w:r>
      <w:r w:rsidRPr="00D92A79">
        <w:rPr>
          <w:rStyle w:val="BodyChar"/>
        </w:rPr>
        <w:t>Complex Needs team</w:t>
      </w:r>
      <w:r w:rsidRPr="00D92A79">
        <w:t xml:space="preserve"> each year. They are allocated at a division level and are based on two-year rolling targets. </w:t>
      </w:r>
    </w:p>
    <w:p w14:paraId="4696D2D9" w14:textId="77777777" w:rsidR="007A3D91" w:rsidRPr="00D90CD6" w:rsidRDefault="007A3D91" w:rsidP="007A3D91">
      <w:pPr>
        <w:pStyle w:val="Body"/>
        <w:rPr>
          <w:i/>
        </w:rPr>
      </w:pPr>
      <w:r w:rsidRPr="00D90CD6">
        <w:t>Information regarding how the client and service providers are supported (including hours per week) is recorded on the SharePoint database.</w:t>
      </w:r>
    </w:p>
    <w:p w14:paraId="2323A0A8" w14:textId="77777777" w:rsidR="007A3D91" w:rsidRPr="00D90CD6" w:rsidRDefault="007A3D91" w:rsidP="007A3D91">
      <w:pPr>
        <w:pStyle w:val="Body"/>
      </w:pPr>
      <w:r w:rsidRPr="00D90CD6">
        <w:t>There are no key performance indicators.</w:t>
      </w:r>
    </w:p>
    <w:p w14:paraId="28D70DFF" w14:textId="3D252D32" w:rsidR="007A3D91" w:rsidRDefault="007A3D91" w:rsidP="007A3D91">
      <w:pPr>
        <w:pStyle w:val="Heading3"/>
      </w:pPr>
      <w:r w:rsidRPr="00D92A79">
        <w:lastRenderedPageBreak/>
        <w:t>9.</w:t>
      </w:r>
      <w:r>
        <w:t>3</w:t>
      </w:r>
      <w:r w:rsidRPr="00D92A79">
        <w:t>.</w:t>
      </w:r>
      <w:r>
        <w:t>2</w:t>
      </w:r>
      <w:r w:rsidRPr="00D92A79">
        <w:t xml:space="preserve"> SfHRT performance </w:t>
      </w:r>
      <w:r>
        <w:t>targets</w:t>
      </w:r>
    </w:p>
    <w:p w14:paraId="5D40B59E" w14:textId="08638E52" w:rsidR="007A3D91" w:rsidRPr="00D92A79" w:rsidRDefault="007A3D91" w:rsidP="007A3D91">
      <w:pPr>
        <w:pStyle w:val="Body"/>
      </w:pPr>
      <w:r w:rsidRPr="00D92A79">
        <w:t xml:space="preserve">SfHRT referral targets are set by the Central </w:t>
      </w:r>
      <w:r w:rsidRPr="00D92A79">
        <w:rPr>
          <w:rStyle w:val="BodyChar"/>
        </w:rPr>
        <w:t>Complex Needs team</w:t>
      </w:r>
      <w:r w:rsidRPr="00D92A79">
        <w:t xml:space="preserve"> each year. They are allocated at a division level and are based on two-year rolling targets. </w:t>
      </w:r>
      <w:r w:rsidR="00CC0DF7" w:rsidRPr="00D90CD6">
        <w:t>There are no key performance indicators.</w:t>
      </w:r>
    </w:p>
    <w:p w14:paraId="16846144" w14:textId="77777777" w:rsidR="007A3D91" w:rsidRPr="00D90CD6" w:rsidRDefault="007A3D91" w:rsidP="007A3D91">
      <w:pPr>
        <w:pStyle w:val="Body"/>
        <w:rPr>
          <w:i/>
        </w:rPr>
      </w:pPr>
      <w:r w:rsidRPr="00D90CD6">
        <w:t>Information regarding how the client and service providers are supported (including hours per week) is recorded on HiiP and the SharePoint database.</w:t>
      </w:r>
    </w:p>
    <w:p w14:paraId="23677540" w14:textId="037B2ABA" w:rsidR="007A3D91" w:rsidRPr="00625F55" w:rsidRDefault="007A3D91" w:rsidP="007A3D91">
      <w:pPr>
        <w:pStyle w:val="Heading3"/>
      </w:pPr>
      <w:r>
        <w:t>9.3.</w:t>
      </w:r>
      <w:bookmarkStart w:id="400" w:name="_Toc112856311"/>
      <w:bookmarkStart w:id="401" w:name="_Toc125713795"/>
      <w:r>
        <w:t xml:space="preserve">3 AOS pilot program </w:t>
      </w:r>
      <w:r w:rsidR="004A0983">
        <w:t>k</w:t>
      </w:r>
      <w:r w:rsidRPr="00625F55">
        <w:t xml:space="preserve">ey </w:t>
      </w:r>
      <w:r w:rsidR="004A0983">
        <w:t>pe</w:t>
      </w:r>
      <w:r w:rsidR="004A0983" w:rsidRPr="00625F55">
        <w:t>rformance</w:t>
      </w:r>
      <w:r w:rsidRPr="00625F55">
        <w:t xml:space="preserve"> </w:t>
      </w:r>
      <w:r w:rsidR="004A0983">
        <w:t>i</w:t>
      </w:r>
      <w:r w:rsidRPr="00625F55">
        <w:t>ndicators</w:t>
      </w:r>
      <w:bookmarkEnd w:id="400"/>
      <w:bookmarkEnd w:id="401"/>
      <w:r>
        <w:t xml:space="preserve"> and targets</w:t>
      </w:r>
    </w:p>
    <w:p w14:paraId="5309F097" w14:textId="77777777" w:rsidR="007A3D91" w:rsidRPr="008E7408" w:rsidRDefault="007A3D91" w:rsidP="007A3D91">
      <w:pPr>
        <w:pStyle w:val="Body"/>
      </w:pPr>
      <w:r w:rsidRPr="008E7408">
        <w:t>The areas are required to collect and maintain data on:</w:t>
      </w:r>
    </w:p>
    <w:p w14:paraId="3F5FB09D" w14:textId="77777777" w:rsidR="007A3D91" w:rsidRPr="008E7408" w:rsidRDefault="007A3D91" w:rsidP="00740A47">
      <w:pPr>
        <w:pStyle w:val="Bullet1"/>
      </w:pPr>
      <w:r w:rsidRPr="008E7408">
        <w:t>performance targets</w:t>
      </w:r>
    </w:p>
    <w:p w14:paraId="5507561E" w14:textId="77777777" w:rsidR="007A3D91" w:rsidRPr="008E7408" w:rsidRDefault="007A3D91" w:rsidP="00740A47">
      <w:pPr>
        <w:pStyle w:val="Bullet1"/>
      </w:pPr>
      <w:r w:rsidRPr="008E7408">
        <w:t>number of referrals</w:t>
      </w:r>
    </w:p>
    <w:p w14:paraId="157FA9FF" w14:textId="77777777" w:rsidR="007A3D91" w:rsidRPr="008E7408" w:rsidRDefault="007A3D91" w:rsidP="00740A47">
      <w:pPr>
        <w:pStyle w:val="Bullet1"/>
      </w:pPr>
      <w:r w:rsidRPr="008E7408">
        <w:t>client demographics</w:t>
      </w:r>
    </w:p>
    <w:p w14:paraId="5DA96118" w14:textId="77777777" w:rsidR="007A3D91" w:rsidRPr="008E7408" w:rsidRDefault="007A3D91" w:rsidP="00740A47">
      <w:pPr>
        <w:pStyle w:val="Bullet1"/>
      </w:pPr>
      <w:r w:rsidRPr="008E7408">
        <w:t>related activity.</w:t>
      </w:r>
    </w:p>
    <w:p w14:paraId="45FEBE2B" w14:textId="1FE24E7D" w:rsidR="007A3D91" w:rsidRPr="009D2E69" w:rsidRDefault="007A3D91" w:rsidP="007A3D91">
      <w:pPr>
        <w:pStyle w:val="Bodyafterbullets"/>
      </w:pPr>
      <w:r w:rsidRPr="009D2E69">
        <w:t xml:space="preserve">Performance indicators </w:t>
      </w:r>
      <w:r w:rsidR="004A0983">
        <w:t>must</w:t>
      </w:r>
      <w:r w:rsidRPr="009D2E69">
        <w:t xml:space="preserve"> be adhered to b</w:t>
      </w:r>
      <w:r w:rsidR="004A0983">
        <w:t>y</w:t>
      </w:r>
      <w:r w:rsidRPr="009D2E69">
        <w:t xml:space="preserve"> funded services providing AOS against activity 17085.</w:t>
      </w:r>
      <w:r>
        <w:t xml:space="preserve"> </w:t>
      </w:r>
    </w:p>
    <w:p w14:paraId="58D25967" w14:textId="77777777" w:rsidR="007A3D91" w:rsidRPr="00A43E5E" w:rsidRDefault="007A3D91" w:rsidP="007A3D91">
      <w:pPr>
        <w:pStyle w:val="Body"/>
      </w:pPr>
      <w:r w:rsidRPr="00A43E5E">
        <w:t>The service targets that apply to the AOS are:</w:t>
      </w:r>
    </w:p>
    <w:p w14:paraId="18BC9FD5" w14:textId="77777777" w:rsidR="007A3D91" w:rsidRPr="007F10AF" w:rsidRDefault="007A3D91" w:rsidP="00740A47">
      <w:pPr>
        <w:pStyle w:val="Bullet1"/>
      </w:pPr>
      <w:r w:rsidRPr="007F10AF">
        <w:t xml:space="preserve">number of clients (new clients allocated to an </w:t>
      </w:r>
      <w:r>
        <w:t>AOS</w:t>
      </w:r>
      <w:r w:rsidRPr="007F10AF">
        <w:t xml:space="preserve"> provider) </w:t>
      </w:r>
    </w:p>
    <w:p w14:paraId="174C78EF" w14:textId="038DC279" w:rsidR="007A3D91" w:rsidRDefault="007A3D91" w:rsidP="00740A47">
      <w:pPr>
        <w:pStyle w:val="Bullet1"/>
      </w:pPr>
      <w:bookmarkStart w:id="402" w:name="_Int_8UvEzXDw"/>
      <w:r w:rsidRPr="007F10AF">
        <w:t>brokerage</w:t>
      </w:r>
      <w:bookmarkEnd w:id="402"/>
      <w:r w:rsidR="00E35F14">
        <w:t xml:space="preserve"> expenditure</w:t>
      </w:r>
      <w:r w:rsidRPr="007F10AF">
        <w:t xml:space="preserve">: monthly acquittal </w:t>
      </w:r>
      <w:r>
        <w:t>of</w:t>
      </w:r>
      <w:r w:rsidRPr="007F10AF">
        <w:t xml:space="preserve"> total brokerage administered by </w:t>
      </w:r>
      <w:r>
        <w:t xml:space="preserve">an AOS </w:t>
      </w:r>
      <w:r w:rsidRPr="007F10AF">
        <w:t>provider and a detailed quarterly acquittal</w:t>
      </w:r>
      <w:r>
        <w:t>.</w:t>
      </w:r>
    </w:p>
    <w:p w14:paraId="6BC83865" w14:textId="77777777" w:rsidR="007A3D91" w:rsidRDefault="007A3D91" w:rsidP="007A3D91">
      <w:pPr>
        <w:pStyle w:val="Bodyafterbullets"/>
      </w:pPr>
      <w:r w:rsidRPr="638F93E6">
        <w:t>Reporting against performance indicators will be managed throughout the pilot by the Central Complex Needs team</w:t>
      </w:r>
      <w:r>
        <w:t xml:space="preserve">. Overall </w:t>
      </w:r>
      <w:r w:rsidRPr="638F93E6">
        <w:t xml:space="preserve">management of performance against the service agreement will be managed by Agency Performance and Systems Support. </w:t>
      </w:r>
    </w:p>
    <w:p w14:paraId="7B287725" w14:textId="13884CD8" w:rsidR="007A3D91" w:rsidRDefault="007A3D91" w:rsidP="007A3D91">
      <w:pPr>
        <w:pStyle w:val="Heading3"/>
      </w:pPr>
      <w:r>
        <w:t xml:space="preserve">9.3.4 MACNI </w:t>
      </w:r>
      <w:r w:rsidR="0062124F">
        <w:t xml:space="preserve">key performance indicators </w:t>
      </w:r>
      <w:r>
        <w:t>and targets</w:t>
      </w:r>
    </w:p>
    <w:p w14:paraId="5A6FBB67" w14:textId="77777777" w:rsidR="007A3D91" w:rsidRPr="00A43E5E" w:rsidRDefault="007A3D91" w:rsidP="007A3D91">
      <w:pPr>
        <w:pStyle w:val="Body"/>
      </w:pPr>
      <w:r w:rsidRPr="00A43E5E">
        <w:t>The following are MACNI targets:</w:t>
      </w:r>
    </w:p>
    <w:p w14:paraId="0B754D17" w14:textId="77777777" w:rsidR="007A3D91" w:rsidRDefault="007A3D91" w:rsidP="00740A47">
      <w:pPr>
        <w:pStyle w:val="Bullet1"/>
      </w:pPr>
      <w:r>
        <w:t>90% of care plans are recommended by the Panel within twelve weeks from the date of eligibility</w:t>
      </w:r>
    </w:p>
    <w:p w14:paraId="2E1B29B2" w14:textId="77777777" w:rsidR="007A3D91" w:rsidRDefault="007A3D91" w:rsidP="00F84EF7">
      <w:pPr>
        <w:pStyle w:val="lastbullett"/>
      </w:pPr>
      <w:r>
        <w:t>100% of clients have an exit transition plan recommended at least six months prior to care plan termination.</w:t>
      </w:r>
    </w:p>
    <w:p w14:paraId="631B704C" w14:textId="425C28A6" w:rsidR="007A3D91" w:rsidRDefault="007A3D91" w:rsidP="007A3D91">
      <w:pPr>
        <w:pStyle w:val="Bodyafterbullets"/>
      </w:pPr>
      <w:r w:rsidRPr="00A43E5E">
        <w:t>Performance indicators are to be adhered to by all funded services providing MACNI care plan</w:t>
      </w:r>
      <w:r>
        <w:t xml:space="preserve"> development and coordination against activity 17250. The indicators are: </w:t>
      </w:r>
    </w:p>
    <w:p w14:paraId="2EAFFD42" w14:textId="77777777" w:rsidR="007A3D91" w:rsidRDefault="007A3D91" w:rsidP="00740A47">
      <w:pPr>
        <w:pStyle w:val="Bullet1"/>
      </w:pPr>
      <w:r>
        <w:t>the client has an assessment and recommended care plan within 12 weeks of eligibility</w:t>
      </w:r>
    </w:p>
    <w:p w14:paraId="3093AB2A" w14:textId="77777777" w:rsidR="007A3D91" w:rsidRPr="00D64F1C" w:rsidRDefault="007A3D91" w:rsidP="00F84EF7">
      <w:pPr>
        <w:pStyle w:val="lastbullett"/>
      </w:pPr>
      <w:r>
        <w:t>the client has a recommended transition plan at least six months prior to the expected MACNI care plan termination (noting closure may occur earlier).</w:t>
      </w:r>
    </w:p>
    <w:p w14:paraId="2C1A2A19" w14:textId="77777777" w:rsidR="007A3D91" w:rsidRPr="00DC651E" w:rsidRDefault="007A3D91" w:rsidP="007A3D91">
      <w:pPr>
        <w:pStyle w:val="Bodyafterbullets"/>
      </w:pPr>
      <w:r w:rsidRPr="00D64F1C">
        <w:t>Complex Needs Coordinators monitor</w:t>
      </w:r>
      <w:r>
        <w:t xml:space="preserve"> </w:t>
      </w:r>
      <w:r w:rsidRPr="00DC651E">
        <w:t>care plan development and coordination services</w:t>
      </w:r>
      <w:r>
        <w:t>’</w:t>
      </w:r>
      <w:r w:rsidRPr="00D64F1C">
        <w:t xml:space="preserve"> adherence </w:t>
      </w:r>
      <w:r>
        <w:t xml:space="preserve">to these indicators </w:t>
      </w:r>
      <w:r w:rsidRPr="00D64F1C">
        <w:t>and consider the indicators when developing panel schedules</w:t>
      </w:r>
      <w:r w:rsidRPr="00DC651E">
        <w:t>.</w:t>
      </w:r>
      <w:r>
        <w:t xml:space="preserve"> These </w:t>
      </w:r>
      <w:r w:rsidRPr="00DC651E">
        <w:t>services may reasonably request Complex Needs Coordinators consider panel rescheduling if key performance indicator achievement is likely to be negatively impacted by maintaining the schedule already in place.</w:t>
      </w:r>
    </w:p>
    <w:p w14:paraId="02CDD1A2" w14:textId="77777777" w:rsidR="007A3D91" w:rsidRPr="00DC651E" w:rsidRDefault="007A3D91" w:rsidP="007A3D91">
      <w:pPr>
        <w:pStyle w:val="Body"/>
      </w:pPr>
      <w:r w:rsidRPr="00DC651E">
        <w:t xml:space="preserve">It is the responsibility of Complex Needs Coordinators and funded services to manage panel demands effectively in line with the key performance indicators. Achievement of key performance </w:t>
      </w:r>
      <w:r w:rsidRPr="00DC651E">
        <w:lastRenderedPageBreak/>
        <w:t>indicators is based on the dates on which a panel consideration occurs, not the date a service submits the care planning documents to the Complex Needs Coordinators.</w:t>
      </w:r>
    </w:p>
    <w:p w14:paraId="3043A5AC" w14:textId="77777777" w:rsidR="00CC0DF7" w:rsidRPr="00273B93" w:rsidRDefault="00CC0DF7" w:rsidP="00273B93">
      <w:pPr>
        <w:pStyle w:val="Body"/>
      </w:pPr>
      <w:r w:rsidRPr="00273B93">
        <w:br w:type="page"/>
      </w:r>
    </w:p>
    <w:p w14:paraId="6463E7BD" w14:textId="00675DD2" w:rsidR="005F5D35" w:rsidRDefault="005F5D35" w:rsidP="000E7482">
      <w:pPr>
        <w:pStyle w:val="Heading1"/>
        <w:numPr>
          <w:ilvl w:val="0"/>
          <w:numId w:val="24"/>
        </w:numPr>
      </w:pPr>
      <w:bookmarkStart w:id="403" w:name="_Toc145318628"/>
      <w:r>
        <w:lastRenderedPageBreak/>
        <w:t>Quality, safeguards</w:t>
      </w:r>
      <w:r w:rsidR="0092136E">
        <w:t>,</w:t>
      </w:r>
      <w:r>
        <w:t xml:space="preserve"> and critical events</w:t>
      </w:r>
      <w:bookmarkEnd w:id="382"/>
      <w:bookmarkEnd w:id="403"/>
    </w:p>
    <w:p w14:paraId="67BE39AA" w14:textId="77777777" w:rsidR="005F5D35" w:rsidRDefault="005F5D35" w:rsidP="005F5D35">
      <w:pPr>
        <w:pStyle w:val="Body"/>
      </w:pPr>
      <w:r>
        <w:t>The department’s standard quality safeguards and critical event instructions apply to the delivery of Complex Needs services.</w:t>
      </w:r>
    </w:p>
    <w:p w14:paraId="07B72034" w14:textId="1328A0BD" w:rsidR="005F5D35" w:rsidRPr="002032B9" w:rsidRDefault="005F5D35" w:rsidP="000E7482">
      <w:pPr>
        <w:pStyle w:val="Heading2"/>
        <w:numPr>
          <w:ilvl w:val="1"/>
          <w:numId w:val="21"/>
        </w:numPr>
      </w:pPr>
      <w:bookmarkStart w:id="404" w:name="_4du1wux" w:colFirst="0" w:colLast="0"/>
      <w:bookmarkStart w:id="405" w:name="_Toc137636790"/>
      <w:bookmarkStart w:id="406" w:name="_Toc32229310"/>
      <w:bookmarkStart w:id="407" w:name="_Toc65508280"/>
      <w:bookmarkStart w:id="408" w:name="_Toc112856283"/>
      <w:bookmarkStart w:id="409" w:name="_Toc125713767"/>
      <w:bookmarkStart w:id="410" w:name="_Toc145318629"/>
      <w:bookmarkEnd w:id="404"/>
      <w:r w:rsidRPr="002032B9">
        <w:t>Human Rights Charter</w:t>
      </w:r>
      <w:bookmarkEnd w:id="405"/>
      <w:bookmarkEnd w:id="410"/>
    </w:p>
    <w:p w14:paraId="175B1E85" w14:textId="05E4D0B4" w:rsidR="005F5D35" w:rsidRPr="004A285F" w:rsidRDefault="005F5D35" w:rsidP="005F5D35">
      <w:pPr>
        <w:pStyle w:val="Body"/>
      </w:pPr>
      <w:r>
        <w:t xml:space="preserve">The </w:t>
      </w:r>
      <w:r>
        <w:rPr>
          <w:i/>
        </w:rPr>
        <w:t>Charter of Human Rights and Responsibilities Act 2006</w:t>
      </w:r>
      <w:r>
        <w:t xml:space="preserve"> (the Charter) is a Victorian law that sets </w:t>
      </w:r>
      <w:r w:rsidRPr="004A285F">
        <w:t>out the basic rights, freedoms</w:t>
      </w:r>
      <w:r w:rsidR="00A6570C">
        <w:t>,</w:t>
      </w:r>
      <w:r w:rsidRPr="004A285F">
        <w:t xml:space="preserve"> and responsibilities of all people in Victoria. The Charter requires public authorities, such as Victorian state and local government departments and agencies, and people delivering services on behalf of the government, to act consistently with the human rights in the Charter.</w:t>
      </w:r>
    </w:p>
    <w:p w14:paraId="1DAE8D90" w14:textId="77777777" w:rsidR="005F5D35" w:rsidRPr="004A285F" w:rsidRDefault="005F5D35" w:rsidP="005F5D35">
      <w:pPr>
        <w:pStyle w:val="Body"/>
      </w:pPr>
      <w:r w:rsidRPr="004A285F">
        <w:t>Twenty fundamental human rights are protected in the Charter because the Victorian Parliament recognises that we all have basic rights. In certain circumstances, some rights may be limited but this must be necessary and reasonable, with clear reasons for the decision.</w:t>
      </w:r>
    </w:p>
    <w:p w14:paraId="4C799E76" w14:textId="77777777" w:rsidR="005F5D35" w:rsidRDefault="005F5D35" w:rsidP="005F5D35">
      <w:pPr>
        <w:pStyle w:val="Body"/>
      </w:pPr>
      <w:r>
        <w:t xml:space="preserve">Refer: </w:t>
      </w:r>
      <w:hyperlink r:id="rId67" w:history="1">
        <w:r w:rsidRPr="00514C8C">
          <w:rPr>
            <w:rStyle w:val="Hyperlink"/>
          </w:rPr>
          <w:t>Victorian Human Rights Charter</w:t>
        </w:r>
      </w:hyperlink>
      <w:r>
        <w:t xml:space="preserve"> &lt;</w:t>
      </w:r>
      <w:r w:rsidRPr="009F72F1">
        <w:t>https://www.humanrights.vic.gov.au/legal-and-policy/victorias-human-rights-laws/the-charter</w:t>
      </w:r>
      <w:r>
        <w:t>&gt;</w:t>
      </w:r>
    </w:p>
    <w:p w14:paraId="70C0E3D7" w14:textId="7327B1FC" w:rsidR="005F5D35" w:rsidRPr="002032B9" w:rsidRDefault="005F5D35" w:rsidP="000E7482">
      <w:pPr>
        <w:pStyle w:val="Heading2"/>
        <w:numPr>
          <w:ilvl w:val="1"/>
          <w:numId w:val="21"/>
        </w:numPr>
      </w:pPr>
      <w:bookmarkStart w:id="411" w:name="_Toc137636791"/>
      <w:bookmarkStart w:id="412" w:name="_Toc145318630"/>
      <w:r w:rsidRPr="002032B9">
        <w:t>Child safe standards</w:t>
      </w:r>
      <w:bookmarkEnd w:id="411"/>
      <w:bookmarkEnd w:id="412"/>
    </w:p>
    <w:p w14:paraId="1B7EBB28" w14:textId="18DF2FA2" w:rsidR="00C73717" w:rsidRDefault="005F5D35" w:rsidP="005F5D35">
      <w:pPr>
        <w:pStyle w:val="Body"/>
      </w:pPr>
      <w:r w:rsidRPr="006304C9">
        <w:t>Victoria’s Child Safe Standards are a set of mandatory requirements to protect children and young people from harm and abuse</w:t>
      </w:r>
      <w:r w:rsidR="00C73717">
        <w:t xml:space="preserve"> </w:t>
      </w:r>
      <w:r w:rsidR="00C73717" w:rsidRPr="00DB4795">
        <w:t>by requiring organisations to put policies, procedures</w:t>
      </w:r>
      <w:r w:rsidR="00C73717">
        <w:t>,</w:t>
      </w:r>
      <w:r w:rsidR="00C73717" w:rsidRPr="00DB4795">
        <w:t xml:space="preserve"> and processes in place to prevent and respond to abuse.</w:t>
      </w:r>
      <w:r w:rsidR="00C73717">
        <w:t xml:space="preserve"> </w:t>
      </w:r>
      <w:r w:rsidRPr="00DB4795">
        <w:t xml:space="preserve">All Victorian organisations that provide services or facilities to children are required to comply with the 11 Child Safe Standards. </w:t>
      </w:r>
    </w:p>
    <w:p w14:paraId="79B49FEA" w14:textId="3F5CE7B2" w:rsidR="005F5D35" w:rsidRPr="001230FA" w:rsidRDefault="005F5D35" w:rsidP="005F5D35">
      <w:pPr>
        <w:pStyle w:val="Body"/>
      </w:pPr>
      <w:bookmarkStart w:id="413" w:name="_Hlk30495748"/>
      <w:r w:rsidRPr="001230FA">
        <w:t>The Commission for Children and Young People provides key guidance for organisations on the Child Safe Standards and has range of resources available</w:t>
      </w:r>
      <w:r w:rsidR="00C73717">
        <w:t>.</w:t>
      </w:r>
      <w:r w:rsidRPr="001230FA">
        <w:t xml:space="preserve"> </w:t>
      </w:r>
    </w:p>
    <w:p w14:paraId="2167BF9B" w14:textId="5C39FB7B" w:rsidR="005F5D35" w:rsidRDefault="005F5D35" w:rsidP="005F5D35">
      <w:pPr>
        <w:pStyle w:val="Bodyafterbullets"/>
      </w:pPr>
      <w:r>
        <w:rPr>
          <w:color w:val="000000"/>
        </w:rPr>
        <w:t xml:space="preserve">Refer: </w:t>
      </w:r>
      <w:hyperlink r:id="rId68" w:history="1">
        <w:r w:rsidRPr="00A91F00">
          <w:rPr>
            <w:rStyle w:val="Hyperlink"/>
          </w:rPr>
          <w:t>Child Safe Standards</w:t>
        </w:r>
      </w:hyperlink>
      <w:r>
        <w:t xml:space="preserve"> </w:t>
      </w:r>
      <w:r w:rsidR="00A91F00" w:rsidRPr="00A91F00">
        <w:t>&lt;https://ccyp.vic.gov.au/child-safe-standards/</w:t>
      </w:r>
      <w:r w:rsidR="00A91F00" w:rsidRPr="00A91F00">
        <w:rPr>
          <w:rStyle w:val="Hyperlink"/>
          <w:color w:val="auto"/>
        </w:rPr>
        <w:t>&gt;</w:t>
      </w:r>
    </w:p>
    <w:p w14:paraId="6E1C00CC" w14:textId="2A75273D" w:rsidR="005F5D35" w:rsidRPr="002032B9" w:rsidRDefault="005F5D35" w:rsidP="000E7482">
      <w:pPr>
        <w:pStyle w:val="Heading2"/>
        <w:numPr>
          <w:ilvl w:val="1"/>
          <w:numId w:val="21"/>
        </w:numPr>
      </w:pPr>
      <w:bookmarkStart w:id="414" w:name="_Toc137636793"/>
      <w:bookmarkStart w:id="415" w:name="_Toc145318631"/>
      <w:bookmarkEnd w:id="413"/>
      <w:r>
        <w:t xml:space="preserve">Privacy </w:t>
      </w:r>
      <w:r w:rsidRPr="002032B9">
        <w:t>and confidentiality</w:t>
      </w:r>
      <w:bookmarkEnd w:id="414"/>
      <w:bookmarkEnd w:id="415"/>
    </w:p>
    <w:p w14:paraId="43577D55" w14:textId="0604A5D2" w:rsidR="005F5D35" w:rsidRDefault="005F5D35" w:rsidP="005F5D35">
      <w:pPr>
        <w:pStyle w:val="Body"/>
      </w:pPr>
      <w:r>
        <w:t xml:space="preserve">The department and </w:t>
      </w:r>
      <w:r w:rsidR="00C73717">
        <w:t xml:space="preserve">its </w:t>
      </w:r>
      <w:r>
        <w:t>funded and contracted service providers have access to personal and health information about clients. All are obliged to protect the privacy of this personal and health information.</w:t>
      </w:r>
      <w:r w:rsidR="00B408F0" w:rsidRPr="00B408F0">
        <w:t xml:space="preserve"> </w:t>
      </w:r>
      <w:r w:rsidR="00B408F0">
        <w:t>Information can only be shared in accordance with the law.</w:t>
      </w:r>
    </w:p>
    <w:p w14:paraId="0E6FFD06" w14:textId="15978360" w:rsidR="005F5D35" w:rsidRDefault="00B408F0" w:rsidP="005F5D35">
      <w:pPr>
        <w:pStyle w:val="Body"/>
      </w:pPr>
      <w:r>
        <w:t>S</w:t>
      </w:r>
      <w:r w:rsidR="005F5D35">
        <w:t>haring information about clients is a legitimate part of providing services and keeping people safe. In sharing information, staff have</w:t>
      </w:r>
      <w:r>
        <w:t xml:space="preserve"> </w:t>
      </w:r>
      <w:r w:rsidR="005F5D35">
        <w:t xml:space="preserve">responsibility to protect the interests of clients, to respect their privacy and share information appropriately when it is in a client’s best interests. </w:t>
      </w:r>
    </w:p>
    <w:p w14:paraId="794A8C2B" w14:textId="45214ABB" w:rsidR="005F5D35" w:rsidRDefault="005F5D35" w:rsidP="005F5D35">
      <w:pPr>
        <w:pStyle w:val="Body"/>
        <w:rPr>
          <w:i/>
        </w:rPr>
      </w:pPr>
      <w:r w:rsidRPr="00D90CD6">
        <w:t xml:space="preserve">Complex Needs service responses operate in accordance with privacy and confidentiality requirements under relevant legislation: </w:t>
      </w:r>
      <w:r w:rsidRPr="00EA32B3">
        <w:rPr>
          <w:iCs/>
        </w:rPr>
        <w:t>Human Services (Complex Needs) Act 2009; Information Privacy Act 2000; Health Records Act 2001; Disability Act 2006; Housing Act 1983, Children, Youth &amp; Families Act 2005; Mental Health Act 2022, Corrections Act 1986</w:t>
      </w:r>
      <w:r w:rsidR="00B408F0" w:rsidRPr="00EA32B3">
        <w:rPr>
          <w:iCs/>
        </w:rPr>
        <w:t>,</w:t>
      </w:r>
      <w:r w:rsidRPr="00EA32B3">
        <w:rPr>
          <w:iCs/>
        </w:rPr>
        <w:t xml:space="preserve"> and Severe Substance Dependence Treatment Act 2010.</w:t>
      </w:r>
    </w:p>
    <w:p w14:paraId="3BF04847" w14:textId="77777777" w:rsidR="005F5D35" w:rsidRPr="00D90CD6" w:rsidRDefault="005F5D35" w:rsidP="005F5D35">
      <w:pPr>
        <w:pStyle w:val="Body"/>
      </w:pPr>
      <w:r>
        <w:t xml:space="preserve">Refer: </w:t>
      </w:r>
      <w:hyperlink r:id="rId69" w:history="1">
        <w:r w:rsidRPr="00514C8C">
          <w:rPr>
            <w:rStyle w:val="Hyperlink"/>
          </w:rPr>
          <w:t>Privacy policy</w:t>
        </w:r>
      </w:hyperlink>
      <w:r>
        <w:t xml:space="preserve"> &lt;</w:t>
      </w:r>
      <w:r w:rsidRPr="00A43A05">
        <w:t>https://www.dffh.vic.gov.au/publications/privacy-policy</w:t>
      </w:r>
      <w:r>
        <w:t>&gt;</w:t>
      </w:r>
    </w:p>
    <w:p w14:paraId="0C11B2F9" w14:textId="3AE2D041" w:rsidR="005F5D35" w:rsidRDefault="005F5D35" w:rsidP="000E7482">
      <w:pPr>
        <w:pStyle w:val="Heading2"/>
        <w:numPr>
          <w:ilvl w:val="1"/>
          <w:numId w:val="21"/>
        </w:numPr>
      </w:pPr>
      <w:bookmarkStart w:id="416" w:name="_2szc72q" w:colFirst="0" w:colLast="0"/>
      <w:bookmarkStart w:id="417" w:name="_Toc32229311"/>
      <w:bookmarkStart w:id="418" w:name="_Toc65508281"/>
      <w:bookmarkStart w:id="419" w:name="_Toc112856284"/>
      <w:bookmarkStart w:id="420" w:name="_Toc125713768"/>
      <w:bookmarkStart w:id="421" w:name="_Toc137636794"/>
      <w:bookmarkStart w:id="422" w:name="_Toc145318632"/>
      <w:bookmarkEnd w:id="406"/>
      <w:bookmarkEnd w:id="407"/>
      <w:bookmarkEnd w:id="408"/>
      <w:bookmarkEnd w:id="409"/>
      <w:bookmarkEnd w:id="416"/>
      <w:r w:rsidRPr="002032B9">
        <w:lastRenderedPageBreak/>
        <w:t>Human Services Standard</w:t>
      </w:r>
      <w:bookmarkEnd w:id="417"/>
      <w:bookmarkEnd w:id="418"/>
      <w:bookmarkEnd w:id="419"/>
      <w:bookmarkEnd w:id="420"/>
      <w:r>
        <w:t>s</w:t>
      </w:r>
      <w:bookmarkEnd w:id="421"/>
      <w:bookmarkEnd w:id="422"/>
    </w:p>
    <w:p w14:paraId="1E0BB281" w14:textId="69CAE60C" w:rsidR="005F5D35" w:rsidRPr="007A2A0C" w:rsidRDefault="005F5D35" w:rsidP="005F5D35">
      <w:pPr>
        <w:pStyle w:val="Body"/>
      </w:pPr>
      <w:r w:rsidRPr="00C3093E">
        <w:t xml:space="preserve">The Human Services Standards represent a single set </w:t>
      </w:r>
      <w:r w:rsidRPr="007A2A0C">
        <w:t xml:space="preserve">of service quality standards for department funded service providers and department-managed services. </w:t>
      </w:r>
    </w:p>
    <w:p w14:paraId="41CBD39B" w14:textId="0B8E5FBC" w:rsidR="005F5D35" w:rsidRDefault="005F5D35" w:rsidP="005F5D35">
      <w:pPr>
        <w:pStyle w:val="Body"/>
      </w:pPr>
      <w:r>
        <w:t xml:space="preserve">Organisations funded to provide services to clients are required </w:t>
      </w:r>
      <w:r w:rsidR="00EA32B3">
        <w:t>via</w:t>
      </w:r>
      <w:r>
        <w:t xml:space="preserve"> the service agreement to meet the </w:t>
      </w:r>
      <w:r w:rsidRPr="00DE3155">
        <w:t>Standards and</w:t>
      </w:r>
      <w:r>
        <w:t xml:space="preserve"> can be monitored against their compliance with the standards.</w:t>
      </w:r>
    </w:p>
    <w:p w14:paraId="4381CBDB" w14:textId="6689739B" w:rsidR="005F5D35" w:rsidRDefault="005F5D35" w:rsidP="005F5D35">
      <w:pPr>
        <w:pStyle w:val="Body"/>
      </w:pPr>
      <w:r>
        <w:t>Services purchased using complex needs brokerage are typically delivered by organisations through a service agreement with the department against activity number 17250.</w:t>
      </w:r>
    </w:p>
    <w:p w14:paraId="657675A3" w14:textId="77777777" w:rsidR="005F5D35" w:rsidRDefault="005F5D35" w:rsidP="005F5D35">
      <w:pPr>
        <w:pStyle w:val="Body"/>
      </w:pPr>
      <w:bookmarkStart w:id="423" w:name="_Hlk30495755"/>
      <w:r>
        <w:t xml:space="preserve">Refer: </w:t>
      </w:r>
      <w:hyperlink r:id="rId70" w:history="1">
        <w:r w:rsidRPr="00514C8C">
          <w:rPr>
            <w:rStyle w:val="Hyperlink"/>
          </w:rPr>
          <w:t>Funded agencies service agreement information</w:t>
        </w:r>
      </w:hyperlink>
      <w:r>
        <w:t xml:space="preserve"> &lt;</w:t>
      </w:r>
      <w:r w:rsidRPr="008F6A90">
        <w:rPr>
          <w:rFonts w:eastAsia="Arial" w:cs="Arial"/>
        </w:rPr>
        <w:t>https://dhhsvicgovau.sharepoint.com/sites/dffh/SitePages/Funded-agencies.aspx</w:t>
      </w:r>
      <w:r>
        <w:t>&gt;</w:t>
      </w:r>
    </w:p>
    <w:p w14:paraId="0C8BC955" w14:textId="77777777" w:rsidR="005F5D35" w:rsidRDefault="005F5D35" w:rsidP="005F5D35">
      <w:pPr>
        <w:pStyle w:val="Body"/>
      </w:pPr>
      <w:bookmarkStart w:id="424" w:name="_Hlk30495783"/>
      <w:bookmarkEnd w:id="423"/>
      <w:r w:rsidRPr="002F099D">
        <w:t xml:space="preserve">Refer: </w:t>
      </w:r>
      <w:hyperlink r:id="rId71" w:history="1">
        <w:r w:rsidRPr="00514C8C">
          <w:rPr>
            <w:rStyle w:val="Hyperlink"/>
          </w:rPr>
          <w:t>Human Services Standards</w:t>
        </w:r>
      </w:hyperlink>
      <w:r>
        <w:t xml:space="preserve"> &lt;</w:t>
      </w:r>
      <w:r w:rsidRPr="003D3E6C">
        <w:t>https://providers.dffh.vic.gov.au/human-services-standards</w:t>
      </w:r>
      <w:r>
        <w:t>&gt;</w:t>
      </w:r>
    </w:p>
    <w:p w14:paraId="69B7708F" w14:textId="74DE09D0" w:rsidR="005F5D35" w:rsidRDefault="005F5D35" w:rsidP="000E7482">
      <w:pPr>
        <w:pStyle w:val="Heading2"/>
        <w:numPr>
          <w:ilvl w:val="1"/>
          <w:numId w:val="21"/>
        </w:numPr>
      </w:pPr>
      <w:bookmarkStart w:id="425" w:name="_Toc32229318"/>
      <w:bookmarkStart w:id="426" w:name="_Toc65508288"/>
      <w:bookmarkStart w:id="427" w:name="_Toc112856291"/>
      <w:bookmarkStart w:id="428" w:name="_Toc125713775"/>
      <w:bookmarkStart w:id="429" w:name="_Toc137636795"/>
      <w:bookmarkStart w:id="430" w:name="_Toc145318633"/>
      <w:bookmarkEnd w:id="424"/>
      <w:r>
        <w:t>Client feedback and complaints</w:t>
      </w:r>
      <w:bookmarkEnd w:id="425"/>
      <w:bookmarkEnd w:id="426"/>
      <w:bookmarkEnd w:id="427"/>
      <w:bookmarkEnd w:id="428"/>
      <w:bookmarkEnd w:id="429"/>
      <w:bookmarkEnd w:id="430"/>
    </w:p>
    <w:p w14:paraId="3D65FE02" w14:textId="21408CA5" w:rsidR="005F5D35" w:rsidRDefault="005F5D35" w:rsidP="005F5D35">
      <w:pPr>
        <w:pStyle w:val="Body"/>
      </w:pPr>
      <w:r>
        <w:t xml:space="preserve">The department’s </w:t>
      </w:r>
      <w:r w:rsidR="00EA32B3">
        <w:rPr>
          <w:i/>
        </w:rPr>
        <w:t>F</w:t>
      </w:r>
      <w:r w:rsidRPr="00713315">
        <w:rPr>
          <w:i/>
        </w:rPr>
        <w:t xml:space="preserve">eedback </w:t>
      </w:r>
      <w:r>
        <w:rPr>
          <w:i/>
        </w:rPr>
        <w:t>policy</w:t>
      </w:r>
      <w:r>
        <w:t xml:space="preserve"> and associated </w:t>
      </w:r>
      <w:r w:rsidRPr="00713315">
        <w:t>procedure</w:t>
      </w:r>
      <w:r w:rsidR="00860A3E">
        <w:t>s</w:t>
      </w:r>
      <w:r>
        <w:rPr>
          <w:i/>
        </w:rPr>
        <w:t xml:space="preserve"> </w:t>
      </w:r>
      <w:r>
        <w:t xml:space="preserve">provide the framework for how the department manages compliments, complaints and the role and responsibilities in relation to these matters. </w:t>
      </w:r>
      <w:bookmarkStart w:id="431" w:name="_45jfvxd" w:colFirst="0" w:colLast="0"/>
      <w:bookmarkEnd w:id="431"/>
      <w:r>
        <w:t>All clients receiving service support from the Complex Needs team</w:t>
      </w:r>
      <w:r w:rsidR="00860A3E">
        <w:t>s</w:t>
      </w:r>
      <w:r>
        <w:t xml:space="preserve"> receive information about how to make a complaint.</w:t>
      </w:r>
    </w:p>
    <w:p w14:paraId="0CCE6753" w14:textId="1E8CC15E" w:rsidR="005F5D35" w:rsidRDefault="005F5D35" w:rsidP="005F5D35">
      <w:pPr>
        <w:pStyle w:val="Body"/>
      </w:pPr>
      <w:r>
        <w:t>Where a client raises a complaint, they should be supported to seek to resolve the matter directly in the first instance. Where the matter is unable to be resolved, the complaint should be referred to the department’s Complaints Unit.</w:t>
      </w:r>
    </w:p>
    <w:p w14:paraId="655E9166" w14:textId="77777777" w:rsidR="005F5D35" w:rsidRDefault="005F5D35" w:rsidP="005F5D35">
      <w:pPr>
        <w:pStyle w:val="Body"/>
        <w:rPr>
          <w:color w:val="000000"/>
        </w:rPr>
      </w:pPr>
      <w:bookmarkStart w:id="432" w:name="_2koq656" w:colFirst="0" w:colLast="0"/>
      <w:bookmarkEnd w:id="432"/>
      <w:r>
        <w:rPr>
          <w:color w:val="000000"/>
        </w:rPr>
        <w:t xml:space="preserve">Refer: </w:t>
      </w:r>
      <w:hyperlink r:id="rId72" w:history="1">
        <w:r w:rsidRPr="00514C8C">
          <w:rPr>
            <w:rStyle w:val="Hyperlink"/>
          </w:rPr>
          <w:t>Making a complaint</w:t>
        </w:r>
      </w:hyperlink>
      <w:r>
        <w:rPr>
          <w:color w:val="000000"/>
        </w:rPr>
        <w:t xml:space="preserve"> &lt;</w:t>
      </w:r>
      <w:r w:rsidRPr="000679AE">
        <w:rPr>
          <w:color w:val="000000"/>
        </w:rPr>
        <w:t>https://www.dffh.vic.gov.au/making-complaint</w:t>
      </w:r>
      <w:r>
        <w:rPr>
          <w:color w:val="000000"/>
        </w:rPr>
        <w:t>&gt;</w:t>
      </w:r>
    </w:p>
    <w:p w14:paraId="57C16166" w14:textId="771E0B8E" w:rsidR="005C085E" w:rsidRDefault="005F5D35" w:rsidP="005C085E">
      <w:pPr>
        <w:pStyle w:val="Body"/>
        <w:rPr>
          <w:color w:val="000000"/>
        </w:rPr>
      </w:pPr>
      <w:r>
        <w:rPr>
          <w:color w:val="000000"/>
        </w:rPr>
        <w:t xml:space="preserve">Refer: </w:t>
      </w:r>
      <w:hyperlink r:id="rId73" w:history="1">
        <w:r w:rsidRPr="00514C8C">
          <w:rPr>
            <w:rStyle w:val="Hyperlink"/>
          </w:rPr>
          <w:t>Feedback (including compliments and complaints) management policy</w:t>
        </w:r>
      </w:hyperlink>
      <w:r>
        <w:rPr>
          <w:color w:val="000000"/>
        </w:rPr>
        <w:t xml:space="preserve"> </w:t>
      </w:r>
      <w:r w:rsidR="00500677">
        <w:rPr>
          <w:color w:val="000000"/>
        </w:rPr>
        <w:t>&lt;</w:t>
      </w:r>
      <w:r w:rsidR="005C085E" w:rsidRPr="006303B3">
        <w:t>https://dhhsvicgovau.sharepoint.com/:w:/r/sites/dffh/_layouts/15/Doc.aspx?sourcedoc=%7B1F9F7D0A-0933-4062-AD7B-323CC847591F%7D&amp;file=Feedback-including-compliments-and-complaints-management-policy.docx&amp;action=default&amp;mobileredirect=true&amp;DefaultItemOpen=1</w:t>
      </w:r>
      <w:bookmarkStart w:id="433" w:name="_Toc32229320"/>
      <w:bookmarkStart w:id="434" w:name="_Toc65508290"/>
      <w:bookmarkStart w:id="435" w:name="_Toc112856293"/>
      <w:bookmarkStart w:id="436" w:name="_Toc125713777"/>
      <w:bookmarkStart w:id="437" w:name="_Toc137636796"/>
      <w:r w:rsidR="00500677">
        <w:t>&gt;</w:t>
      </w:r>
    </w:p>
    <w:p w14:paraId="3BABB43D" w14:textId="1DCEBC82" w:rsidR="005F5D35" w:rsidRPr="005C085E" w:rsidRDefault="005F5D35" w:rsidP="000E7482">
      <w:pPr>
        <w:pStyle w:val="Heading2"/>
        <w:numPr>
          <w:ilvl w:val="1"/>
          <w:numId w:val="21"/>
        </w:numPr>
        <w:rPr>
          <w:color w:val="000000"/>
        </w:rPr>
      </w:pPr>
      <w:bookmarkStart w:id="438" w:name="_Toc145318634"/>
      <w:r>
        <w:t>Accessing records</w:t>
      </w:r>
      <w:bookmarkEnd w:id="433"/>
      <w:bookmarkEnd w:id="434"/>
      <w:bookmarkEnd w:id="435"/>
      <w:bookmarkEnd w:id="436"/>
      <w:r>
        <w:t xml:space="preserve"> and Freedom of Information</w:t>
      </w:r>
      <w:bookmarkEnd w:id="437"/>
      <w:bookmarkEnd w:id="438"/>
    </w:p>
    <w:p w14:paraId="452E6466" w14:textId="77777777" w:rsidR="005F5D35" w:rsidRDefault="005F5D35" w:rsidP="005F5D35">
      <w:pPr>
        <w:pStyle w:val="Body"/>
      </w:pPr>
      <w:r>
        <w:t>A client can ask for access to their personal, health and sensitive information held by the department by contacting:</w:t>
      </w:r>
    </w:p>
    <w:p w14:paraId="1FCE6789" w14:textId="606F84FF" w:rsidR="005F5D35" w:rsidRDefault="73322503" w:rsidP="00740A47">
      <w:pPr>
        <w:pStyle w:val="Bullet1"/>
      </w:pPr>
      <w:r>
        <w:t>their nominated case manager/worker (including a Complex Needs Coordinator)</w:t>
      </w:r>
    </w:p>
    <w:p w14:paraId="4C66BB60" w14:textId="77777777" w:rsidR="005F5D35" w:rsidRDefault="73322503" w:rsidP="00740A47">
      <w:pPr>
        <w:pStyle w:val="Bullet1"/>
      </w:pPr>
      <w:r>
        <w:t>the department area that has the information</w:t>
      </w:r>
    </w:p>
    <w:p w14:paraId="1C2F2C17" w14:textId="196B5117" w:rsidR="005F5D35" w:rsidRPr="00276704" w:rsidRDefault="73322503" w:rsidP="00740A47">
      <w:pPr>
        <w:pStyle w:val="Bullet1"/>
      </w:pPr>
      <w:r>
        <w:t xml:space="preserve">the Freedom of Information Unit via 1300 151 883 or </w:t>
      </w:r>
      <w:r w:rsidR="7DB2DACA">
        <w:t>email</w:t>
      </w:r>
      <w:r>
        <w:t xml:space="preserve"> </w:t>
      </w:r>
      <w:hyperlink r:id="rId74" w:history="1">
        <w:r w:rsidR="00860A3E" w:rsidRPr="005023D2">
          <w:rPr>
            <w:rStyle w:val="Hyperlink"/>
          </w:rPr>
          <w:t>foi@dffh.vic.gov.au</w:t>
        </w:r>
      </w:hyperlink>
      <w:r w:rsidR="00860A3E">
        <w:t xml:space="preserve"> </w:t>
      </w:r>
    </w:p>
    <w:p w14:paraId="58BB3C81" w14:textId="733E16E1" w:rsidR="005F5D35" w:rsidRDefault="005F5D35" w:rsidP="005F5D35">
      <w:pPr>
        <w:pStyle w:val="Bodyafterbullets"/>
      </w:pPr>
      <w:r>
        <w:t>Clients receiving services from Aboriginal community-controlled and community service organisations should approach their worker or staff to understand the policy and process for accessing their records held by that organisation.</w:t>
      </w:r>
    </w:p>
    <w:p w14:paraId="220D0C03" w14:textId="77777777" w:rsidR="005F5D35" w:rsidRDefault="005F5D35" w:rsidP="005F5D35">
      <w:pPr>
        <w:pStyle w:val="Bodyafterbullets"/>
      </w:pPr>
      <w:r>
        <w:t xml:space="preserve">Refer: </w:t>
      </w:r>
      <w:hyperlink r:id="rId75" w:history="1">
        <w:r w:rsidRPr="00514C8C">
          <w:rPr>
            <w:rStyle w:val="Hyperlink"/>
          </w:rPr>
          <w:t>Making a Freedom of Information request</w:t>
        </w:r>
      </w:hyperlink>
      <w:r>
        <w:t xml:space="preserve"> &lt;</w:t>
      </w:r>
      <w:r w:rsidRPr="00E02279">
        <w:t>https://www.dffh.vic.gov.au/making-freedom-information-request</w:t>
      </w:r>
      <w:r>
        <w:t>&gt;</w:t>
      </w:r>
    </w:p>
    <w:p w14:paraId="69929F30" w14:textId="70E52532" w:rsidR="005F5D35" w:rsidRDefault="005F5D35" w:rsidP="000E7482">
      <w:pPr>
        <w:pStyle w:val="Heading2"/>
        <w:numPr>
          <w:ilvl w:val="1"/>
          <w:numId w:val="21"/>
        </w:numPr>
      </w:pPr>
      <w:bookmarkStart w:id="439" w:name="_2y3w247" w:colFirst="0" w:colLast="0"/>
      <w:bookmarkStart w:id="440" w:name="_Toc32229321"/>
      <w:bookmarkStart w:id="441" w:name="_Toc65508291"/>
      <w:bookmarkStart w:id="442" w:name="_Toc112856294"/>
      <w:bookmarkStart w:id="443" w:name="_Toc125713778"/>
      <w:bookmarkStart w:id="444" w:name="_Toc137636797"/>
      <w:bookmarkStart w:id="445" w:name="_Toc145318635"/>
      <w:bookmarkEnd w:id="439"/>
      <w:r>
        <w:t>Client Incident Management System</w:t>
      </w:r>
      <w:bookmarkEnd w:id="440"/>
      <w:bookmarkEnd w:id="441"/>
      <w:bookmarkEnd w:id="442"/>
      <w:bookmarkEnd w:id="443"/>
      <w:bookmarkEnd w:id="444"/>
      <w:bookmarkEnd w:id="445"/>
    </w:p>
    <w:p w14:paraId="30831FF5" w14:textId="054B292C" w:rsidR="005F5D35" w:rsidRDefault="005F5D35" w:rsidP="005F5D35">
      <w:pPr>
        <w:pStyle w:val="Body"/>
      </w:pPr>
      <w:r w:rsidRPr="00945FFF">
        <w:t>The client incident management system (CIMS) is a reporting system focuse</w:t>
      </w:r>
      <w:r w:rsidR="0002004D">
        <w:t>d</w:t>
      </w:r>
      <w:r w:rsidRPr="00945FFF">
        <w:t xml:space="preserve"> on the safety and wellbeing of </w:t>
      </w:r>
      <w:r>
        <w:t>the department’s</w:t>
      </w:r>
      <w:r w:rsidRPr="00945FFF">
        <w:t xml:space="preserve"> clients </w:t>
      </w:r>
      <w:r w:rsidR="00586F16">
        <w:t xml:space="preserve">and it </w:t>
      </w:r>
      <w:r w:rsidRPr="00945FFF">
        <w:t>outli</w:t>
      </w:r>
      <w:r w:rsidR="00586F16">
        <w:t xml:space="preserve">nes key </w:t>
      </w:r>
      <w:r w:rsidRPr="00945FFF">
        <w:t xml:space="preserve">actions service providers are required to </w:t>
      </w:r>
      <w:r w:rsidRPr="00945FFF">
        <w:lastRenderedPageBreak/>
        <w:t>undertake to manage client incidents.</w:t>
      </w:r>
      <w:r w:rsidR="00586F16">
        <w:t xml:space="preserve"> </w:t>
      </w:r>
      <w:r w:rsidR="4B5DC59C">
        <w:t xml:space="preserve">Complex </w:t>
      </w:r>
      <w:r w:rsidR="00180476">
        <w:t>N</w:t>
      </w:r>
      <w:r w:rsidR="4B5DC59C">
        <w:t>eeds Coordinators do not have requirements to report incidents as their role is not in direct client work</w:t>
      </w:r>
      <w:r w:rsidR="00180476">
        <w:t xml:space="preserve">. This </w:t>
      </w:r>
      <w:r w:rsidR="4B5DC59C">
        <w:t xml:space="preserve">responsibility </w:t>
      </w:r>
      <w:r w:rsidR="00180476">
        <w:t>is</w:t>
      </w:r>
      <w:r w:rsidR="4B5DC59C">
        <w:t xml:space="preserve"> with services within a care plan </w:t>
      </w:r>
      <w:r w:rsidR="4B5DC59C" w:rsidRPr="67C18456">
        <w:t>and AOS providers</w:t>
      </w:r>
      <w:r w:rsidR="4B5DC59C">
        <w:t xml:space="preserve">. These services should have their own incident management reporting systems. </w:t>
      </w:r>
    </w:p>
    <w:p w14:paraId="09F1E30C" w14:textId="7FAAC3D4" w:rsidR="475D058C" w:rsidRDefault="475D058C" w:rsidP="67C18456">
      <w:pPr>
        <w:pStyle w:val="Body"/>
      </w:pPr>
      <w:r>
        <w:t xml:space="preserve">AOS service delivery </w:t>
      </w:r>
      <w:r w:rsidR="00180476">
        <w:t xml:space="preserve">is </w:t>
      </w:r>
      <w:r>
        <w:t>in scope for CIMS</w:t>
      </w:r>
      <w:r w:rsidR="00180476">
        <w:t xml:space="preserve"> and </w:t>
      </w:r>
      <w:r>
        <w:t>both AOS service providers are registered for CIMS and are ob</w:t>
      </w:r>
      <w:r w:rsidR="4DC39BF0">
        <w:t>liged to report in</w:t>
      </w:r>
      <w:r w:rsidR="696C5669">
        <w:t>-scope incidents through CIMS.</w:t>
      </w:r>
    </w:p>
    <w:p w14:paraId="5A1A9D08" w14:textId="77777777" w:rsidR="005F5D35" w:rsidRDefault="005F5D35" w:rsidP="005F5D35">
      <w:pPr>
        <w:pStyle w:val="Body"/>
      </w:pPr>
      <w:r w:rsidRPr="00AC5595">
        <w:t xml:space="preserve">Refer: </w:t>
      </w:r>
      <w:hyperlink r:id="rId76" w:history="1">
        <w:r w:rsidRPr="00F72D74">
          <w:rPr>
            <w:rStyle w:val="Hyperlink"/>
          </w:rPr>
          <w:t>Client incident management system</w:t>
        </w:r>
      </w:hyperlink>
      <w:r>
        <w:t xml:space="preserve"> &lt;</w:t>
      </w:r>
      <w:r w:rsidRPr="00531BF2">
        <w:t>https://providers.dffh.vic.gov.au/cims</w:t>
      </w:r>
      <w:r>
        <w:t>&gt;</w:t>
      </w:r>
      <w:r w:rsidRPr="00531BF2">
        <w:t xml:space="preserve"> </w:t>
      </w:r>
    </w:p>
    <w:p w14:paraId="4A072781" w14:textId="77777777" w:rsidR="005F5D35" w:rsidRDefault="006D511F" w:rsidP="005F5D35">
      <w:pPr>
        <w:pStyle w:val="Body"/>
      </w:pPr>
      <w:hyperlink r:id="rId77" w:history="1">
        <w:r w:rsidR="005F5D35" w:rsidRPr="00F72D74">
          <w:rPr>
            <w:rStyle w:val="Hyperlink"/>
          </w:rPr>
          <w:t>Client incident management guide</w:t>
        </w:r>
      </w:hyperlink>
      <w:r w:rsidR="005F5D35">
        <w:t xml:space="preserve"> &lt;</w:t>
      </w:r>
      <w:r w:rsidR="005F5D35" w:rsidRPr="007B4B2A">
        <w:t>https://providers.dffh.vic.gov.au/client-incident-management-guide-cims-word</w:t>
      </w:r>
      <w:r w:rsidR="005F5D35">
        <w:t>&gt;</w:t>
      </w:r>
    </w:p>
    <w:p w14:paraId="0F835369" w14:textId="77777777" w:rsidR="005F5D35" w:rsidRPr="00AC5595" w:rsidRDefault="006D511F" w:rsidP="005F5D35">
      <w:pPr>
        <w:pStyle w:val="Body"/>
      </w:pPr>
      <w:hyperlink r:id="rId78" w:history="1">
        <w:r w:rsidR="005F5D35" w:rsidRPr="00F72D74">
          <w:rPr>
            <w:rStyle w:val="Hyperlink"/>
          </w:rPr>
          <w:t>Client incident management guide Addendum: Out-of-home-care</w:t>
        </w:r>
      </w:hyperlink>
      <w:r w:rsidR="005F5D35">
        <w:t xml:space="preserve"> &lt;</w:t>
      </w:r>
      <w:r w:rsidR="005F5D35" w:rsidRPr="00413ADC">
        <w:t>https://providers.dffh.vic.gov.au/client-incident-management-guide-addendum-out-home-care-word</w:t>
      </w:r>
      <w:r w:rsidR="005F5D35">
        <w:t>&gt;</w:t>
      </w:r>
    </w:p>
    <w:p w14:paraId="3C23AAED" w14:textId="35611219" w:rsidR="005F5D35" w:rsidRDefault="005F5D35" w:rsidP="000E7482">
      <w:pPr>
        <w:pStyle w:val="Heading2"/>
        <w:numPr>
          <w:ilvl w:val="1"/>
          <w:numId w:val="21"/>
        </w:numPr>
      </w:pPr>
      <w:bookmarkStart w:id="446" w:name="_1d96cc0" w:colFirst="0" w:colLast="0"/>
      <w:bookmarkStart w:id="447" w:name="_Toc65508292"/>
      <w:bookmarkStart w:id="448" w:name="_Toc112856295"/>
      <w:bookmarkStart w:id="449" w:name="_Toc125713779"/>
      <w:bookmarkStart w:id="450" w:name="_Toc137636798"/>
      <w:bookmarkStart w:id="451" w:name="_Toc32229322"/>
      <w:bookmarkStart w:id="452" w:name="_Toc145318636"/>
      <w:bookmarkEnd w:id="446"/>
      <w:r w:rsidRPr="00B22A07">
        <w:t>Reporting client deaths</w:t>
      </w:r>
      <w:bookmarkEnd w:id="447"/>
      <w:bookmarkEnd w:id="448"/>
      <w:bookmarkEnd w:id="449"/>
      <w:bookmarkEnd w:id="450"/>
      <w:bookmarkEnd w:id="452"/>
    </w:p>
    <w:p w14:paraId="3F612063" w14:textId="623CC6D9" w:rsidR="005F5D35" w:rsidRPr="00B22A07" w:rsidRDefault="005F5D35" w:rsidP="005F5D35">
      <w:pPr>
        <w:pStyle w:val="Body"/>
      </w:pPr>
      <w:r w:rsidRPr="00B22A07">
        <w:t>When a client</w:t>
      </w:r>
      <w:r w:rsidR="009B5351">
        <w:t xml:space="preserve"> </w:t>
      </w:r>
      <w:r w:rsidRPr="00B22A07">
        <w:t>dies</w:t>
      </w:r>
      <w:r w:rsidR="009B5351">
        <w:t xml:space="preserve">, </w:t>
      </w:r>
      <w:r w:rsidRPr="00B22A07">
        <w:t xml:space="preserve">irrespective of </w:t>
      </w:r>
      <w:r w:rsidR="009B5351">
        <w:t>the</w:t>
      </w:r>
      <w:r w:rsidRPr="00B22A07">
        <w:t xml:space="preserve"> circumstances</w:t>
      </w:r>
      <w:r w:rsidR="009B5351">
        <w:t>,</w:t>
      </w:r>
      <w:r w:rsidRPr="00B22A07">
        <w:t xml:space="preserve"> Complex Needs Coordinators are required to provide </w:t>
      </w:r>
      <w:r w:rsidR="009B5351">
        <w:t xml:space="preserve">a </w:t>
      </w:r>
      <w:r w:rsidRPr="00B22A07">
        <w:t xml:space="preserve">notification </w:t>
      </w:r>
      <w:r w:rsidR="009B5351">
        <w:t xml:space="preserve">only </w:t>
      </w:r>
      <w:r w:rsidRPr="00B22A07">
        <w:t>of the death</w:t>
      </w:r>
      <w:r w:rsidR="009B5351">
        <w:t xml:space="preserve">. </w:t>
      </w:r>
    </w:p>
    <w:p w14:paraId="162284C8" w14:textId="67FAB443" w:rsidR="00F1152B" w:rsidRDefault="002965A0" w:rsidP="005F5D35">
      <w:pPr>
        <w:pStyle w:val="Body"/>
      </w:pPr>
      <w:r>
        <w:t>R</w:t>
      </w:r>
      <w:r w:rsidR="005F5D35">
        <w:t>efer</w:t>
      </w:r>
      <w:r>
        <w:t>:</w:t>
      </w:r>
      <w:r w:rsidR="005F5D35">
        <w:t xml:space="preserve"> </w:t>
      </w:r>
      <w:hyperlink r:id="rId79" w:history="1">
        <w:r w:rsidR="005F5D35">
          <w:rPr>
            <w:rStyle w:val="Hyperlink"/>
          </w:rPr>
          <w:t>Coroner's Court website</w:t>
        </w:r>
      </w:hyperlink>
      <w:r w:rsidR="005F5D35">
        <w:t xml:space="preserve"> </w:t>
      </w:r>
      <w:r>
        <w:t>&lt;</w:t>
      </w:r>
      <w:r w:rsidR="00F1152B" w:rsidRPr="002965A0">
        <w:t>http://www.coronerscourt.vic.gov.au/</w:t>
      </w:r>
      <w:r>
        <w:t>&gt;</w:t>
      </w:r>
    </w:p>
    <w:p w14:paraId="0C244B16" w14:textId="588D1EDF" w:rsidR="005F5D35" w:rsidRDefault="005F5D35" w:rsidP="005F5D3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777"/>
      </w:tblGrid>
      <w:tr w:rsidR="00DA30B8" w14:paraId="21D48D13" w14:textId="77777777" w:rsidTr="00DA30B8">
        <w:tc>
          <w:tcPr>
            <w:tcW w:w="0" w:type="auto"/>
            <w:shd w:val="clear" w:color="auto" w:fill="CCE9F8"/>
            <w:vAlign w:val="center"/>
            <w:hideMark/>
          </w:tcPr>
          <w:p w14:paraId="0174DE8F" w14:textId="77777777" w:rsidR="00DA30B8" w:rsidRDefault="00DA30B8" w:rsidP="0006090C">
            <w:pPr>
              <w:pStyle w:val="Body"/>
              <w:spacing w:before="120"/>
              <w:rPr>
                <w:lang w:eastAsia="en-AU"/>
              </w:rPr>
            </w:pPr>
            <w:r>
              <w:rPr>
                <w:noProof/>
              </w:rPr>
              <w:drawing>
                <wp:inline distT="0" distB="0" distL="0" distR="0" wp14:anchorId="7234C886" wp14:editId="6DFDA67A">
                  <wp:extent cx="542290" cy="542290"/>
                  <wp:effectExtent l="0" t="0" r="0" b="0"/>
                  <wp:docPr id="1934884904" name="Picture 19348849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Lst>
                          </a:blip>
                          <a:srcRect l="-20660" t="-6332" r="-19835" b="-5804"/>
                          <a:stretch>
                            <a:fillRect/>
                          </a:stretch>
                        </pic:blipFill>
                        <pic:spPr>
                          <a:xfrm>
                            <a:off x="0" y="0"/>
                            <a:ext cx="542290" cy="542290"/>
                          </a:xfrm>
                          <a:prstGeom prst="rect">
                            <a:avLst/>
                          </a:prstGeom>
                        </pic:spPr>
                      </pic:pic>
                    </a:graphicData>
                  </a:graphic>
                </wp:inline>
              </w:drawing>
            </w:r>
          </w:p>
        </w:tc>
        <w:tc>
          <w:tcPr>
            <w:tcW w:w="0" w:type="auto"/>
            <w:hideMark/>
          </w:tcPr>
          <w:p w14:paraId="5D821379" w14:textId="77777777" w:rsidR="00DA30B8" w:rsidRPr="00B22A07" w:rsidRDefault="00DA30B8" w:rsidP="00DA30B8">
            <w:pPr>
              <w:pStyle w:val="Tablecolhead"/>
              <w:rPr>
                <w:rFonts w:eastAsia="Arial"/>
              </w:rPr>
            </w:pPr>
            <w:r w:rsidRPr="00B22A07">
              <w:rPr>
                <w:rFonts w:eastAsia="Arial"/>
              </w:rPr>
              <w:t>Documentation required</w:t>
            </w:r>
          </w:p>
          <w:p w14:paraId="6231E86A" w14:textId="77777777" w:rsidR="00DA30B8" w:rsidRPr="00B22A07" w:rsidRDefault="00DA30B8" w:rsidP="00DA30B8">
            <w:pPr>
              <w:pStyle w:val="Body"/>
              <w:rPr>
                <w:b/>
                <w:bCs/>
              </w:rPr>
            </w:pPr>
            <w:r w:rsidRPr="00B22A07">
              <w:rPr>
                <w:b/>
                <w:bCs/>
              </w:rPr>
              <w:t>Formal MACNI clients</w:t>
            </w:r>
          </w:p>
          <w:p w14:paraId="2FAE1415" w14:textId="77777777" w:rsidR="00DA30B8" w:rsidRPr="00B22A07" w:rsidRDefault="00DA30B8" w:rsidP="00DA30B8">
            <w:pPr>
              <w:pStyle w:val="Bullet1"/>
            </w:pPr>
            <w:r>
              <w:t>Divisional Deputy Secretary brief template</w:t>
            </w:r>
          </w:p>
          <w:p w14:paraId="444540D8" w14:textId="77777777" w:rsidR="00DA30B8" w:rsidRPr="00B22A07" w:rsidRDefault="00DA30B8" w:rsidP="00DA30B8">
            <w:pPr>
              <w:pStyle w:val="Bullet1"/>
            </w:pPr>
            <w:r>
              <w:t>1c Closure Report, including</w:t>
            </w:r>
          </w:p>
          <w:p w14:paraId="2FD588CB" w14:textId="77777777" w:rsidR="00DA30B8" w:rsidRPr="00B22A07" w:rsidRDefault="00DA30B8" w:rsidP="00DA30B8">
            <w:pPr>
              <w:pStyle w:val="Bullet2"/>
            </w:pPr>
            <w:r>
              <w:t>b</w:t>
            </w:r>
            <w:r w:rsidRPr="00B22A07">
              <w:t>rief review / key learnings of MACNI intervention</w:t>
            </w:r>
          </w:p>
          <w:p w14:paraId="2DEDA3EC" w14:textId="77777777" w:rsidR="00DA30B8" w:rsidRPr="00B22A07" w:rsidRDefault="00DA30B8" w:rsidP="00DA30B8">
            <w:pPr>
              <w:pStyle w:val="Bullet2"/>
            </w:pPr>
            <w:r w:rsidRPr="00B22A07">
              <w:t>Service engagement at time of death</w:t>
            </w:r>
          </w:p>
          <w:p w14:paraId="10B655DA" w14:textId="77777777" w:rsidR="00DA30B8" w:rsidRPr="00B22A07" w:rsidRDefault="00DA30B8" w:rsidP="00DA30B8">
            <w:pPr>
              <w:pStyle w:val="Bodyafterbullets"/>
              <w:rPr>
                <w:b/>
                <w:bCs/>
              </w:rPr>
            </w:pPr>
            <w:r w:rsidRPr="00B22A07">
              <w:rPr>
                <w:b/>
                <w:bCs/>
              </w:rPr>
              <w:t xml:space="preserve">Other support types (SfHRT, Pre-MACNI, </w:t>
            </w:r>
            <w:r w:rsidRPr="00F01EE8">
              <w:rPr>
                <w:b/>
              </w:rPr>
              <w:t>AOS pilot program</w:t>
            </w:r>
            <w:r>
              <w:rPr>
                <w:b/>
                <w:bCs/>
              </w:rPr>
              <w:t xml:space="preserve">, </w:t>
            </w:r>
            <w:r w:rsidRPr="00B22A07">
              <w:rPr>
                <w:b/>
                <w:bCs/>
              </w:rPr>
              <w:t>Consultations)</w:t>
            </w:r>
          </w:p>
          <w:p w14:paraId="4870936D" w14:textId="3E0839C1" w:rsidR="00DA30B8" w:rsidRDefault="00DA30B8" w:rsidP="00DA30B8">
            <w:pPr>
              <w:pStyle w:val="Bullet1"/>
            </w:pPr>
            <w:r>
              <w:t>1c Closure / recommendation form (if appropriate)</w:t>
            </w:r>
          </w:p>
        </w:tc>
      </w:tr>
    </w:tbl>
    <w:p w14:paraId="54349CEC" w14:textId="77777777" w:rsidR="00DA30B8" w:rsidRPr="001F0718" w:rsidRDefault="00DA30B8" w:rsidP="005F5D35">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8232"/>
      </w:tblGrid>
      <w:tr w:rsidR="005F5D35" w:rsidRPr="007C009D" w14:paraId="5DEDF1EB" w14:textId="77777777" w:rsidTr="7DAFCD5E">
        <w:tc>
          <w:tcPr>
            <w:tcW w:w="0" w:type="auto"/>
            <w:shd w:val="clear" w:color="auto" w:fill="99D3F0"/>
            <w:vAlign w:val="center"/>
          </w:tcPr>
          <w:p w14:paraId="3F20E5C9" w14:textId="77777777" w:rsidR="005F5D35" w:rsidRPr="007C009D" w:rsidRDefault="005F5D35">
            <w:pPr>
              <w:pStyle w:val="Body"/>
              <w:rPr>
                <w:color w:val="FF0000"/>
              </w:rPr>
            </w:pPr>
            <w:r>
              <w:rPr>
                <w:noProof/>
              </w:rPr>
              <w:drawing>
                <wp:inline distT="0" distB="0" distL="0" distR="0" wp14:anchorId="5BB4A20B" wp14:editId="2B0F7C59">
                  <wp:extent cx="540000" cy="540000"/>
                  <wp:effectExtent l="0" t="0" r="0" b="0"/>
                  <wp:docPr id="306" name="Picture 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a:extLst>
                              <a:ext uri="{C183D7F6-B498-43B3-948B-1728B52AA6E4}">
                                <adec:decorative xmlns:adec="http://schemas.microsoft.com/office/drawing/2017/decorative" val="1"/>
                              </a:ext>
                            </a:extLst>
                          </pic:cNvPr>
                          <pic:cNvPicPr/>
                        </pic:nvPicPr>
                        <pic:blipFill>
                          <a:blip r:embed="rId42">
                            <a:extLst>
                              <a:ext uri="{96DAC541-7B7A-43D3-8B79-37D633B846F1}">
                                <asvg:svgBlip xmlns:asvg="http://schemas.microsoft.com/office/drawing/2016/SVG/main" r:embed="rId43"/>
                              </a:ext>
                            </a:extLst>
                          </a:blip>
                          <a:stretch>
                            <a:fillRect/>
                          </a:stretch>
                        </pic:blipFill>
                        <pic:spPr>
                          <a:xfrm>
                            <a:off x="0" y="0"/>
                            <a:ext cx="540000" cy="540000"/>
                          </a:xfrm>
                          <a:prstGeom prst="rect">
                            <a:avLst/>
                          </a:prstGeom>
                        </pic:spPr>
                      </pic:pic>
                    </a:graphicData>
                  </a:graphic>
                </wp:inline>
              </w:drawing>
            </w:r>
          </w:p>
        </w:tc>
        <w:tc>
          <w:tcPr>
            <w:tcW w:w="0" w:type="auto"/>
          </w:tcPr>
          <w:p w14:paraId="6C1C30C0" w14:textId="77777777" w:rsidR="005F5D35" w:rsidRPr="00B22A07" w:rsidRDefault="005F5D35">
            <w:pPr>
              <w:pStyle w:val="Tablecolhead"/>
            </w:pPr>
            <w:r w:rsidRPr="00B22A07">
              <w:t>Coordinator tasks</w:t>
            </w:r>
          </w:p>
          <w:p w14:paraId="108722B3" w14:textId="77777777" w:rsidR="005F5D35" w:rsidRPr="00B22A07" w:rsidRDefault="005F5D35">
            <w:pPr>
              <w:pStyle w:val="Body"/>
              <w:rPr>
                <w:b/>
                <w:bCs/>
              </w:rPr>
            </w:pPr>
            <w:r w:rsidRPr="00B22A07">
              <w:rPr>
                <w:b/>
                <w:bCs/>
              </w:rPr>
              <w:t>Formal MACNI clients</w:t>
            </w:r>
          </w:p>
          <w:p w14:paraId="2B4AE4B3" w14:textId="3104EDD5" w:rsidR="005F5D35" w:rsidRPr="00B22A07" w:rsidRDefault="009B5351" w:rsidP="00740A47">
            <w:pPr>
              <w:pStyle w:val="Bullet1"/>
            </w:pPr>
            <w:r>
              <w:t>escalate to the Client Support and Housing Services Manager and p</w:t>
            </w:r>
            <w:r w:rsidR="73322503">
              <w:t xml:space="preserve">repare </w:t>
            </w:r>
            <w:r>
              <w:t xml:space="preserve">a </w:t>
            </w:r>
            <w:r w:rsidR="73322503">
              <w:t>brief for Divisional Deputy Secretary with 5 days</w:t>
            </w:r>
          </w:p>
          <w:p w14:paraId="73347F4A" w14:textId="02C278F6" w:rsidR="005F5D35" w:rsidRPr="00B22A07" w:rsidRDefault="009B5351" w:rsidP="00740A47">
            <w:pPr>
              <w:pStyle w:val="Bullet1"/>
            </w:pPr>
            <w:r>
              <w:t xml:space="preserve">request the </w:t>
            </w:r>
            <w:r w:rsidR="73322503">
              <w:t>Care Plan Coordinator complete the closure report</w:t>
            </w:r>
          </w:p>
          <w:p w14:paraId="40043909" w14:textId="1CA9AB44" w:rsidR="005F5D35" w:rsidRPr="00B22A07" w:rsidRDefault="009B5351" w:rsidP="00740A47">
            <w:pPr>
              <w:pStyle w:val="Bullet1"/>
            </w:pPr>
            <w:r>
              <w:t>a</w:t>
            </w:r>
            <w:r w:rsidR="73322503">
              <w:t>dvise the Complex Needs Panel of the death at the next panel</w:t>
            </w:r>
            <w:r>
              <w:t xml:space="preserve"> and if possible</w:t>
            </w:r>
            <w:r w:rsidR="73322503">
              <w:t>, present the closure report for discussion</w:t>
            </w:r>
          </w:p>
          <w:p w14:paraId="7D0CF18C" w14:textId="57F91D5C" w:rsidR="005F5D35" w:rsidRPr="00B22A07" w:rsidRDefault="009B5351" w:rsidP="00740A47">
            <w:pPr>
              <w:pStyle w:val="Bullet1"/>
            </w:pPr>
            <w:r>
              <w:t>a</w:t>
            </w:r>
            <w:r w:rsidR="73322503">
              <w:t>rrange for the recoup of brokerage funds.</w:t>
            </w:r>
          </w:p>
          <w:p w14:paraId="749B7B8C" w14:textId="77777777" w:rsidR="005F5D35" w:rsidRPr="00B22A07" w:rsidRDefault="005F5D35">
            <w:pPr>
              <w:pStyle w:val="Bodyafterbullets"/>
              <w:rPr>
                <w:b/>
                <w:bCs/>
              </w:rPr>
            </w:pPr>
            <w:r w:rsidRPr="00B22A07">
              <w:rPr>
                <w:b/>
                <w:bCs/>
              </w:rPr>
              <w:t>Other support types (SfHRT, Pre-MACNI, Consultations)</w:t>
            </w:r>
          </w:p>
          <w:p w14:paraId="0BDF9516" w14:textId="447E75D1" w:rsidR="005F5D35" w:rsidRPr="00B22A07" w:rsidRDefault="009B5351" w:rsidP="00740A47">
            <w:pPr>
              <w:pStyle w:val="Bullet1"/>
            </w:pPr>
            <w:r>
              <w:t>a</w:t>
            </w:r>
            <w:r w:rsidR="73322503">
              <w:t>ssist</w:t>
            </w:r>
            <w:r>
              <w:t xml:space="preserve"> </w:t>
            </w:r>
            <w:r w:rsidR="73322503">
              <w:t>with respective notification processes</w:t>
            </w:r>
            <w:r>
              <w:t xml:space="preserve"> (where required)</w:t>
            </w:r>
            <w:r w:rsidR="73322503">
              <w:t xml:space="preserve"> </w:t>
            </w:r>
          </w:p>
          <w:p w14:paraId="1B671DC6" w14:textId="37D1D058" w:rsidR="005F5D35" w:rsidRPr="007C009D" w:rsidRDefault="73322503" w:rsidP="00740A47">
            <w:pPr>
              <w:pStyle w:val="Bullet1"/>
              <w:rPr>
                <w:color w:val="FF0000"/>
              </w:rPr>
            </w:pPr>
            <w:r>
              <w:t>complete the Closure/</w:t>
            </w:r>
            <w:r w:rsidR="009B5351">
              <w:t>R</w:t>
            </w:r>
            <w:r>
              <w:t xml:space="preserve">ecommendation </w:t>
            </w:r>
            <w:r w:rsidR="009B5351">
              <w:t>F</w:t>
            </w:r>
            <w:r>
              <w:t>orm</w:t>
            </w:r>
            <w:r w:rsidR="009B5351">
              <w:t xml:space="preserve"> (if appropriate)</w:t>
            </w:r>
            <w:r>
              <w:t>.</w:t>
            </w:r>
          </w:p>
        </w:tc>
      </w:tr>
    </w:tbl>
    <w:p w14:paraId="0C66BF08" w14:textId="1EF7F4DF" w:rsidR="005F5D35" w:rsidRPr="00856E28" w:rsidRDefault="005F5D35" w:rsidP="000E7482">
      <w:pPr>
        <w:pStyle w:val="Heading2"/>
        <w:numPr>
          <w:ilvl w:val="1"/>
          <w:numId w:val="21"/>
        </w:numPr>
      </w:pPr>
      <w:bookmarkStart w:id="453" w:name="_Toc137636799"/>
      <w:bookmarkStart w:id="454" w:name="_Toc145318637"/>
      <w:r w:rsidRPr="00DC650B">
        <w:lastRenderedPageBreak/>
        <w:t>Escalation to the Central Complex Needs Team</w:t>
      </w:r>
      <w:bookmarkEnd w:id="453"/>
      <w:bookmarkEnd w:id="454"/>
    </w:p>
    <w:p w14:paraId="5CBB56A5" w14:textId="77777777" w:rsidR="005F5D35" w:rsidRPr="00DC650B" w:rsidRDefault="005F5D35" w:rsidP="005F5D35">
      <w:pPr>
        <w:pStyle w:val="Body"/>
      </w:pPr>
      <w:r w:rsidRPr="00DC650B">
        <w:t xml:space="preserve">There are instances where consultation with the Central </w:t>
      </w:r>
      <w:r w:rsidRPr="00DC650B">
        <w:rPr>
          <w:rStyle w:val="BodyChar"/>
        </w:rPr>
        <w:t xml:space="preserve">Complex Needs team </w:t>
      </w:r>
      <w:r w:rsidRPr="00DC650B">
        <w:t xml:space="preserve">is required. </w:t>
      </w:r>
      <w:r w:rsidRPr="00DC650B">
        <w:rPr>
          <w:rFonts w:eastAsia="Arial" w:cs="Arial"/>
        </w:rPr>
        <w:t xml:space="preserve">This includes </w:t>
      </w:r>
      <w:r w:rsidRPr="00DC650B">
        <w:t xml:space="preserve">any action that is non-compliant with the </w:t>
      </w:r>
      <w:r w:rsidRPr="00DC650B">
        <w:rPr>
          <w:i/>
        </w:rPr>
        <w:t xml:space="preserve">Service provision framework: Complex needs. </w:t>
      </w:r>
      <w:r w:rsidRPr="00DC650B">
        <w:t>The Manager C</w:t>
      </w:r>
      <w:r w:rsidRPr="00DC650B">
        <w:rPr>
          <w:rStyle w:val="BodyChar"/>
        </w:rPr>
        <w:t xml:space="preserve">omplex Needs </w:t>
      </w:r>
      <w:r w:rsidRPr="00DC650B">
        <w:t>is required to be contacted:</w:t>
      </w:r>
    </w:p>
    <w:p w14:paraId="19F7CF63" w14:textId="1FC97E4B" w:rsidR="005F5D35" w:rsidRPr="00DC650B" w:rsidRDefault="73322503" w:rsidP="00740A47">
      <w:pPr>
        <w:pStyle w:val="Bullet1"/>
      </w:pPr>
      <w:r>
        <w:t>where clarification is required regarding the S</w:t>
      </w:r>
      <w:r w:rsidRPr="7DAFCD5E">
        <w:rPr>
          <w:i/>
          <w:iCs/>
        </w:rPr>
        <w:t>ervice provision framework: Complex needs</w:t>
      </w:r>
      <w:r>
        <w:t xml:space="preserve"> or supporting documentation (</w:t>
      </w:r>
      <w:r w:rsidR="00465741">
        <w:t>e.g.</w:t>
      </w:r>
      <w:r w:rsidR="0072376C">
        <w:t>:</w:t>
      </w:r>
      <w:r>
        <w:t xml:space="preserve"> the Act)</w:t>
      </w:r>
    </w:p>
    <w:p w14:paraId="52DBBB77" w14:textId="2CB0B480" w:rsidR="005F5D35" w:rsidRPr="00DC650B" w:rsidRDefault="73322503" w:rsidP="00740A47">
      <w:pPr>
        <w:pStyle w:val="Bullet1"/>
      </w:pPr>
      <w:r>
        <w:t xml:space="preserve">requests to vary a standard procedure </w:t>
      </w:r>
      <w:r w:rsidR="009F55E6">
        <w:t>as</w:t>
      </w:r>
      <w:r>
        <w:t xml:space="preserve"> in the </w:t>
      </w:r>
      <w:r w:rsidRPr="7DAFCD5E">
        <w:rPr>
          <w:i/>
          <w:iCs/>
        </w:rPr>
        <w:t>Service provision framework: Complex needs</w:t>
      </w:r>
    </w:p>
    <w:p w14:paraId="52B3AE67" w14:textId="35C1C659" w:rsidR="005F5D35" w:rsidRPr="00B01EDF" w:rsidRDefault="73322503" w:rsidP="00740A47">
      <w:pPr>
        <w:pStyle w:val="Bullet1"/>
      </w:pPr>
      <w:r>
        <w:t>any proposal to exceed set brokerage limits (</w:t>
      </w:r>
      <w:r w:rsidR="00465741">
        <w:t>e.g.</w:t>
      </w:r>
      <w:r w:rsidR="009F55E6">
        <w:t>:</w:t>
      </w:r>
      <w:r>
        <w:t xml:space="preserve"> more than $15,000 for a Pre-MACNI client)</w:t>
      </w:r>
    </w:p>
    <w:p w14:paraId="52368E04" w14:textId="3E94087B" w:rsidR="005F5D35" w:rsidRPr="00B01EDF" w:rsidRDefault="73322503" w:rsidP="00740A47">
      <w:pPr>
        <w:pStyle w:val="Bullet1"/>
      </w:pPr>
      <w:r>
        <w:t>requests for funded capacity building activities</w:t>
      </w:r>
    </w:p>
    <w:p w14:paraId="11F31F2D" w14:textId="2524D501" w:rsidR="005F5D35" w:rsidRPr="00DC650B" w:rsidRDefault="73322503" w:rsidP="00740A47">
      <w:pPr>
        <w:pStyle w:val="Bullet1"/>
      </w:pPr>
      <w:r>
        <w:t xml:space="preserve">brokerage requests for items not included in the </w:t>
      </w:r>
      <w:r w:rsidRPr="7DAFCD5E">
        <w:rPr>
          <w:i/>
          <w:iCs/>
        </w:rPr>
        <w:t>s</w:t>
      </w:r>
      <w:r w:rsidR="0072376C">
        <w:rPr>
          <w:i/>
          <w:iCs/>
        </w:rPr>
        <w:t>S</w:t>
      </w:r>
      <w:r w:rsidRPr="7DAFCD5E">
        <w:rPr>
          <w:i/>
          <w:iCs/>
        </w:rPr>
        <w:t>ervice provision framework: complex needs</w:t>
      </w:r>
    </w:p>
    <w:p w14:paraId="36FFAE28" w14:textId="77777777" w:rsidR="005F5D35" w:rsidRPr="00DC650B" w:rsidRDefault="73322503" w:rsidP="00740A47">
      <w:pPr>
        <w:pStyle w:val="Bullet1"/>
      </w:pPr>
      <w:r>
        <w:t>brokerage funding where the expenditure would result in an area / division overspending its allocated brokerage budget</w:t>
      </w:r>
    </w:p>
    <w:p w14:paraId="09C8FFD6" w14:textId="77777777" w:rsidR="005F5D35" w:rsidRPr="00DC650B" w:rsidRDefault="73322503" w:rsidP="00740A47">
      <w:pPr>
        <w:pStyle w:val="Bullet1"/>
      </w:pPr>
      <w:r>
        <w:t>requests to remunerate an expert adviser to participate in a Complex Needs Panel if unavailable from the standard service system.</w:t>
      </w:r>
    </w:p>
    <w:p w14:paraId="7F0B7D45" w14:textId="25F95CA7" w:rsidR="005F5D35" w:rsidRPr="00745E4C" w:rsidRDefault="005F5D35" w:rsidP="000E7482">
      <w:pPr>
        <w:pStyle w:val="Heading2"/>
        <w:numPr>
          <w:ilvl w:val="1"/>
          <w:numId w:val="21"/>
        </w:numPr>
      </w:pPr>
      <w:bookmarkStart w:id="455" w:name="_3x8tuzt" w:colFirst="0" w:colLast="0"/>
      <w:bookmarkStart w:id="456" w:name="_2ce457m" w:colFirst="0" w:colLast="0"/>
      <w:bookmarkStart w:id="457" w:name="_Toc32229323"/>
      <w:bookmarkStart w:id="458" w:name="_Toc65508294"/>
      <w:bookmarkStart w:id="459" w:name="_Toc112856296"/>
      <w:bookmarkStart w:id="460" w:name="_Toc125713780"/>
      <w:bookmarkStart w:id="461" w:name="_Toc137636800"/>
      <w:bookmarkStart w:id="462" w:name="_Toc145318638"/>
      <w:bookmarkEnd w:id="451"/>
      <w:bookmarkEnd w:id="455"/>
      <w:bookmarkEnd w:id="456"/>
      <w:r w:rsidRPr="00745E4C">
        <w:t>Aboriginal and Torres Strait Islander cultural safety framework</w:t>
      </w:r>
      <w:bookmarkEnd w:id="457"/>
      <w:bookmarkEnd w:id="458"/>
      <w:bookmarkEnd w:id="459"/>
      <w:bookmarkEnd w:id="460"/>
      <w:bookmarkEnd w:id="461"/>
      <w:bookmarkEnd w:id="462"/>
    </w:p>
    <w:p w14:paraId="76D1B9AC" w14:textId="778F8952" w:rsidR="005F5D35" w:rsidRPr="00745E4C" w:rsidRDefault="005F5D35" w:rsidP="005F5D35">
      <w:pPr>
        <w:pStyle w:val="Body"/>
      </w:pPr>
      <w:r w:rsidRPr="00745E4C">
        <w:t xml:space="preserve">The </w:t>
      </w:r>
      <w:r w:rsidRPr="00586F16">
        <w:rPr>
          <w:i/>
          <w:iCs/>
        </w:rPr>
        <w:t>Aboriginal and Torres Strait Islander cultural safety framework</w:t>
      </w:r>
      <w:r w:rsidRPr="00745E4C">
        <w:t xml:space="preserve"> has been developed to help mainstream Victorian health, human and community</w:t>
      </w:r>
      <w:r w:rsidRPr="00745E4C">
        <w:rPr>
          <w:lang w:eastAsia="en-AU"/>
        </w:rPr>
        <w:t xml:space="preserve"> services and the department to create culturally </w:t>
      </w:r>
      <w:r w:rsidRPr="00745E4C">
        <w:t>safe environments, services</w:t>
      </w:r>
      <w:r w:rsidR="00586F16">
        <w:t>,</w:t>
      </w:r>
      <w:r w:rsidRPr="00745E4C">
        <w:t xml:space="preserve"> and workplaces. Cultural safety is about creating an environment that is safe for Aboriginal and Torres Strait Islander people.</w:t>
      </w:r>
    </w:p>
    <w:p w14:paraId="66CCF431" w14:textId="77777777" w:rsidR="005F5D35" w:rsidRPr="00745E4C" w:rsidRDefault="005F5D35" w:rsidP="005F5D35">
      <w:pPr>
        <w:pStyle w:val="Body"/>
        <w:rPr>
          <w:lang w:eastAsia="en-AU"/>
        </w:rPr>
      </w:pPr>
      <w:r w:rsidRPr="00745E4C">
        <w:rPr>
          <w:lang w:eastAsia="en-AU"/>
        </w:rPr>
        <w:t>The framework provides a continuous quality improvement model to strengthen the cultural safety of individuals and organisations.</w:t>
      </w:r>
      <w:r>
        <w:rPr>
          <w:rFonts w:ascii="Cambria" w:hAnsi="Cambria" w:cs="Cambria"/>
          <w:lang w:eastAsia="en-AU"/>
        </w:rPr>
        <w:t xml:space="preserve"> </w:t>
      </w:r>
      <w:r w:rsidRPr="00745E4C">
        <w:rPr>
          <w:lang w:eastAsia="en-AU"/>
        </w:rPr>
        <w:t>It aims to help</w:t>
      </w:r>
      <w:r>
        <w:rPr>
          <w:rFonts w:ascii="Cambria" w:hAnsi="Cambria" w:cs="Cambria"/>
          <w:lang w:eastAsia="en-AU"/>
        </w:rPr>
        <w:t xml:space="preserve"> </w:t>
      </w:r>
      <w:r w:rsidRPr="00745E4C">
        <w:rPr>
          <w:lang w:eastAsia="en-AU"/>
        </w:rPr>
        <w:t>the department and mainstream health, human and community services to strengthen their cultural safety by participating in a process of continuous learning and practice improvement.</w:t>
      </w:r>
    </w:p>
    <w:p w14:paraId="5FC0ED9E" w14:textId="77777777" w:rsidR="005F5D35" w:rsidRPr="00745E4C" w:rsidRDefault="005F5D35" w:rsidP="005F5D35">
      <w:pPr>
        <w:pStyle w:val="Body"/>
      </w:pPr>
      <w:r w:rsidRPr="00745E4C">
        <w:t xml:space="preserve">The development of the framework is a key commitment in the department's </w:t>
      </w:r>
      <w:r w:rsidRPr="46A48B71">
        <w:rPr>
          <w:i/>
        </w:rPr>
        <w:t>Aboriginal employment strategy 2016–2021</w:t>
      </w:r>
      <w:r w:rsidRPr="00745E4C">
        <w:t xml:space="preserve"> and in </w:t>
      </w:r>
      <w:r w:rsidRPr="46A48B71">
        <w:rPr>
          <w:i/>
        </w:rPr>
        <w:t xml:space="preserve">Korin </w:t>
      </w:r>
      <w:bookmarkStart w:id="463" w:name="_Int_sRXeEDCp"/>
      <w:r w:rsidRPr="46A48B71">
        <w:rPr>
          <w:i/>
        </w:rPr>
        <w:t>Korin</w:t>
      </w:r>
      <w:bookmarkEnd w:id="463"/>
      <w:r w:rsidRPr="46A48B71">
        <w:rPr>
          <w:i/>
        </w:rPr>
        <w:t xml:space="preserve"> Balit-Djak: Aboriginal health, wellbeing and safety strategic plan 2017– 2027.</w:t>
      </w:r>
      <w:r w:rsidRPr="00745E4C">
        <w:t xml:space="preserve"> The framework will support </w:t>
      </w:r>
      <w:r w:rsidRPr="46A48B71">
        <w:rPr>
          <w:i/>
        </w:rPr>
        <w:t xml:space="preserve">Korin </w:t>
      </w:r>
      <w:bookmarkStart w:id="464" w:name="_Int_F6FLTdIP"/>
      <w:r w:rsidRPr="46A48B71">
        <w:rPr>
          <w:i/>
        </w:rPr>
        <w:t>Korin</w:t>
      </w:r>
      <w:bookmarkEnd w:id="464"/>
      <w:r w:rsidRPr="46A48B71">
        <w:rPr>
          <w:i/>
        </w:rPr>
        <w:t xml:space="preserve"> Balit-Djak</w:t>
      </w:r>
      <w:r w:rsidRPr="00745E4C">
        <w:t xml:space="preserve"> to achieve the Victorian Government's vision of 'self-determining, healthy and safe Aboriginal communities'.</w:t>
      </w:r>
    </w:p>
    <w:p w14:paraId="07689CDF" w14:textId="77777777" w:rsidR="005F5D35" w:rsidRDefault="005F5D35" w:rsidP="005F5D35">
      <w:pPr>
        <w:pStyle w:val="Body"/>
      </w:pPr>
      <w:r>
        <w:t xml:space="preserve">Refer: </w:t>
      </w:r>
      <w:hyperlink r:id="rId80">
        <w:r w:rsidRPr="46A48B71">
          <w:rPr>
            <w:rStyle w:val="Hyperlink"/>
          </w:rPr>
          <w:t xml:space="preserve">Aboriginal and Torres Strait Islander cultural safety framework </w:t>
        </w:r>
      </w:hyperlink>
      <w:r>
        <w:rPr>
          <w:rStyle w:val="Hyperlink"/>
        </w:rPr>
        <w:t>&lt;</w:t>
      </w:r>
      <w:r w:rsidRPr="00411950">
        <w:t xml:space="preserve"> </w:t>
      </w:r>
      <w:r>
        <w:t>&lt;</w:t>
      </w:r>
      <w:r w:rsidRPr="00411950">
        <w:t>https://dhhsvicgovau.sharepoint.com/:w:/r/sites/dffh/_layouts/15/Doc.aspx?sourcedoc=%7B35EFC222-0B00-4F6F-B30D-3DCFB4D997C0%7D&amp;action=View</w:t>
      </w:r>
      <w:r>
        <w:t>&gt;</w:t>
      </w:r>
      <w:r w:rsidRPr="00411950" w:rsidDel="00411950">
        <w:t xml:space="preserve"> </w:t>
      </w:r>
    </w:p>
    <w:p w14:paraId="5356BBA7" w14:textId="3FD6B17C" w:rsidR="005F5D35" w:rsidRPr="00B8118B" w:rsidRDefault="005F5D35" w:rsidP="000E7482">
      <w:pPr>
        <w:pStyle w:val="Heading2"/>
        <w:numPr>
          <w:ilvl w:val="1"/>
          <w:numId w:val="21"/>
        </w:numPr>
      </w:pPr>
      <w:bookmarkStart w:id="465" w:name="_Toc32229324"/>
      <w:bookmarkStart w:id="466" w:name="_Toc65508295"/>
      <w:bookmarkStart w:id="467" w:name="_Toc112856297"/>
      <w:bookmarkStart w:id="468" w:name="_Toc125713781"/>
      <w:bookmarkStart w:id="469" w:name="_Toc137636801"/>
      <w:bookmarkStart w:id="470" w:name="_Toc145318639"/>
      <w:r w:rsidRPr="00B8118B">
        <w:t>NDIS Quality and Safeguards Commission</w:t>
      </w:r>
      <w:bookmarkEnd w:id="465"/>
      <w:bookmarkEnd w:id="466"/>
      <w:bookmarkEnd w:id="467"/>
      <w:bookmarkEnd w:id="468"/>
      <w:bookmarkEnd w:id="469"/>
      <w:bookmarkEnd w:id="470"/>
    </w:p>
    <w:p w14:paraId="7911CFE4" w14:textId="4CAF40CC" w:rsidR="005F5D35" w:rsidRPr="008C0F64" w:rsidRDefault="005F5D35" w:rsidP="005F5D35">
      <w:pPr>
        <w:pStyle w:val="Body"/>
      </w:pPr>
      <w:r w:rsidRPr="008C0F64">
        <w:t>The NDIS Quality and Safeguards Commission (the NDIS Commission) is an independent government body that works to improve the quality and safety of NDIS services and supports, investigates</w:t>
      </w:r>
      <w:r w:rsidR="00586F16">
        <w:t>,</w:t>
      </w:r>
      <w:r w:rsidRPr="008C0F64">
        <w:t xml:space="preserve"> and resolves problems, and strengthens the skills and knowledge of providers and participants. </w:t>
      </w:r>
      <w:r>
        <w:t>The NDIS Commission provides a single, national registration and regulatory system for NDIS providers setting a nationally consistent approach to regulation of NDIS supports and services.</w:t>
      </w:r>
      <w:r w:rsidR="00A27F77">
        <w:t xml:space="preserve"> </w:t>
      </w:r>
    </w:p>
    <w:p w14:paraId="3B6156B0" w14:textId="77777777" w:rsidR="005F5D35" w:rsidRPr="005F314E" w:rsidRDefault="005F5D35" w:rsidP="005F5D35">
      <w:pPr>
        <w:pStyle w:val="Body"/>
      </w:pPr>
      <w:r w:rsidRPr="00B8118B">
        <w:t>Refer:</w:t>
      </w:r>
      <w:r w:rsidRPr="00D8799C">
        <w:t xml:space="preserve"> </w:t>
      </w:r>
      <w:hyperlink r:id="rId81" w:history="1">
        <w:r w:rsidRPr="00F72D74">
          <w:rPr>
            <w:rStyle w:val="Hyperlink"/>
          </w:rPr>
          <w:t>The NDIS Commission</w:t>
        </w:r>
      </w:hyperlink>
      <w:r>
        <w:rPr>
          <w:color w:val="FF0000"/>
        </w:rPr>
        <w:t xml:space="preserve"> </w:t>
      </w:r>
      <w:r w:rsidRPr="00B8118B">
        <w:t>&lt;https://www.ndiscommission.gov.au&gt;</w:t>
      </w:r>
    </w:p>
    <w:p w14:paraId="20477754" w14:textId="296DA42C" w:rsidR="005F5D35" w:rsidRPr="00B8118B" w:rsidRDefault="005F5D35" w:rsidP="000E7482">
      <w:pPr>
        <w:pStyle w:val="Heading2"/>
        <w:numPr>
          <w:ilvl w:val="1"/>
          <w:numId w:val="21"/>
        </w:numPr>
      </w:pPr>
      <w:bookmarkStart w:id="471" w:name="_Toc32229325"/>
      <w:bookmarkStart w:id="472" w:name="_Toc65508296"/>
      <w:bookmarkStart w:id="473" w:name="_Toc112856298"/>
      <w:bookmarkStart w:id="474" w:name="_Toc125713782"/>
      <w:bookmarkStart w:id="475" w:name="_Toc137636802"/>
      <w:bookmarkStart w:id="476" w:name="_Toc145318640"/>
      <w:r w:rsidRPr="00B8118B">
        <w:lastRenderedPageBreak/>
        <w:t>Community services quality governance framework</w:t>
      </w:r>
      <w:bookmarkEnd w:id="471"/>
      <w:bookmarkEnd w:id="472"/>
      <w:bookmarkEnd w:id="473"/>
      <w:bookmarkEnd w:id="474"/>
      <w:bookmarkEnd w:id="475"/>
      <w:bookmarkEnd w:id="476"/>
    </w:p>
    <w:p w14:paraId="1C3207C7" w14:textId="6D67196D" w:rsidR="005F5D35" w:rsidRPr="00FF2FF8" w:rsidRDefault="005F5D35" w:rsidP="00586F16">
      <w:pPr>
        <w:pStyle w:val="Body"/>
      </w:pPr>
      <w:r w:rsidRPr="00FF2FF8">
        <w:t>Effective quality governance is fundamental to consistently delivering safe, effective, connected</w:t>
      </w:r>
      <w:r w:rsidR="00586F16">
        <w:t>,</w:t>
      </w:r>
      <w:r w:rsidRPr="00FF2FF8">
        <w:t xml:space="preserve"> and person-centred community services. </w:t>
      </w:r>
      <w:r w:rsidR="00586F16">
        <w:t>T</w:t>
      </w:r>
      <w:r w:rsidRPr="00FF2FF8">
        <w:t xml:space="preserve">he </w:t>
      </w:r>
      <w:r w:rsidR="00586F16">
        <w:rPr>
          <w:i/>
        </w:rPr>
        <w:t>C</w:t>
      </w:r>
      <w:r w:rsidRPr="00C461A9">
        <w:rPr>
          <w:i/>
        </w:rPr>
        <w:t>ommunity services quality governance framework</w:t>
      </w:r>
      <w:r w:rsidRPr="00FF2FF8">
        <w:t xml:space="preserve"> sets the objective of safe, effective, connected</w:t>
      </w:r>
      <w:r w:rsidR="00586F16">
        <w:t>,</w:t>
      </w:r>
      <w:r w:rsidRPr="00FF2FF8">
        <w:t xml:space="preserve"> and person-centred community services for everybody, every time.</w:t>
      </w:r>
      <w:r w:rsidR="00586F16">
        <w:t xml:space="preserve"> </w:t>
      </w:r>
      <w:r w:rsidRPr="00454D04">
        <w:t>The framework align</w:t>
      </w:r>
      <w:r w:rsidR="00586F16">
        <w:t>s</w:t>
      </w:r>
      <w:r w:rsidRPr="00454D04">
        <w:t xml:space="preserve"> with existing quality and safety accreditation </w:t>
      </w:r>
      <w:r w:rsidR="00586F16">
        <w:t xml:space="preserve">and </w:t>
      </w:r>
      <w:r w:rsidRPr="00454D04">
        <w:t xml:space="preserve">frameworks that organisations currently have in place. </w:t>
      </w:r>
    </w:p>
    <w:p w14:paraId="46612958" w14:textId="62D791C3" w:rsidR="005F5D35" w:rsidRDefault="005F5D35" w:rsidP="005F5D35">
      <w:pPr>
        <w:pStyle w:val="Body"/>
      </w:pPr>
      <w:r>
        <w:t xml:space="preserve">Refer: </w:t>
      </w:r>
      <w:hyperlink r:id="rId82" w:history="1">
        <w:r w:rsidRPr="00FF2FF8">
          <w:rPr>
            <w:rStyle w:val="Hyperlink"/>
          </w:rPr>
          <w:t xml:space="preserve">Community </w:t>
        </w:r>
        <w:r>
          <w:rPr>
            <w:rStyle w:val="Hyperlink"/>
          </w:rPr>
          <w:t>s</w:t>
        </w:r>
        <w:r w:rsidRPr="00FF2FF8">
          <w:rPr>
            <w:rStyle w:val="Hyperlink"/>
          </w:rPr>
          <w:t xml:space="preserve">ervices </w:t>
        </w:r>
        <w:r>
          <w:rPr>
            <w:rStyle w:val="Hyperlink"/>
          </w:rPr>
          <w:t>q</w:t>
        </w:r>
        <w:r w:rsidRPr="00FF2FF8">
          <w:rPr>
            <w:rStyle w:val="Hyperlink"/>
          </w:rPr>
          <w:t xml:space="preserve">uality </w:t>
        </w:r>
        <w:r>
          <w:rPr>
            <w:rStyle w:val="Hyperlink"/>
          </w:rPr>
          <w:t>g</w:t>
        </w:r>
        <w:r w:rsidRPr="00FF2FF8">
          <w:rPr>
            <w:rStyle w:val="Hyperlink"/>
          </w:rPr>
          <w:t xml:space="preserve">overnance </w:t>
        </w:r>
        <w:r>
          <w:rPr>
            <w:rStyle w:val="Hyperlink"/>
          </w:rPr>
          <w:t>f</w:t>
        </w:r>
        <w:r w:rsidRPr="00FF2FF8">
          <w:rPr>
            <w:rStyle w:val="Hyperlink"/>
          </w:rPr>
          <w:t>ramework</w:t>
        </w:r>
      </w:hyperlink>
      <w:r>
        <w:t xml:space="preserve"> </w:t>
      </w:r>
      <w:r w:rsidR="002965A0">
        <w:t>&lt;</w:t>
      </w:r>
      <w:r w:rsidRPr="00DC5AAE">
        <w:t>https://www.dffh.vic.gov.au/publications/community-services-quality-governance-framework</w:t>
      </w:r>
      <w:r w:rsidR="002965A0">
        <w:t>&gt;</w:t>
      </w:r>
    </w:p>
    <w:p w14:paraId="187BFCD2" w14:textId="5E63FE09" w:rsidR="005F5D35" w:rsidRPr="005B37DE" w:rsidRDefault="00CC0DF7" w:rsidP="000E7482">
      <w:pPr>
        <w:pStyle w:val="Heading2"/>
        <w:numPr>
          <w:ilvl w:val="1"/>
          <w:numId w:val="21"/>
        </w:numPr>
      </w:pPr>
      <w:bookmarkStart w:id="477" w:name="_Toc112856299"/>
      <w:bookmarkStart w:id="478" w:name="_Toc125713783"/>
      <w:bookmarkStart w:id="479" w:name="_Toc137636803"/>
      <w:bookmarkStart w:id="480" w:name="_Toc145318641"/>
      <w:r>
        <w:t>F</w:t>
      </w:r>
      <w:r w:rsidRPr="005B37DE">
        <w:t>amily violence multi agency risk assessment</w:t>
      </w:r>
      <w:r w:rsidRPr="00A024A6">
        <w:rPr>
          <w:color w:val="FF0000"/>
        </w:rPr>
        <w:t xml:space="preserve"> </w:t>
      </w:r>
      <w:r w:rsidRPr="005B37DE">
        <w:t>and management framework</w:t>
      </w:r>
      <w:bookmarkEnd w:id="480"/>
      <w:r w:rsidRPr="005B37DE">
        <w:t xml:space="preserve"> </w:t>
      </w:r>
      <w:bookmarkEnd w:id="477"/>
      <w:bookmarkEnd w:id="478"/>
      <w:bookmarkEnd w:id="479"/>
    </w:p>
    <w:p w14:paraId="679ED4AF" w14:textId="0A7E89E3" w:rsidR="005F5D35" w:rsidRPr="007808B9" w:rsidRDefault="00786FF0" w:rsidP="005F5D35">
      <w:pPr>
        <w:pStyle w:val="Body"/>
        <w:rPr>
          <w:rStyle w:val="eop"/>
        </w:rPr>
      </w:pPr>
      <w:r>
        <w:t xml:space="preserve">The </w:t>
      </w:r>
      <w:r w:rsidRPr="00786FF0">
        <w:t xml:space="preserve">Family Violence Multi Agency Risk Assessment and Management Framework </w:t>
      </w:r>
      <w:r>
        <w:t>(</w:t>
      </w:r>
      <w:r w:rsidR="005F5D35" w:rsidRPr="003232F0">
        <w:t>MARAM</w:t>
      </w:r>
      <w:r>
        <w:t>)</w:t>
      </w:r>
      <w:r w:rsidR="005F5D35" w:rsidRPr="003232F0">
        <w:t xml:space="preserve"> </w:t>
      </w:r>
      <w:r w:rsidR="00B3522C">
        <w:t>is</w:t>
      </w:r>
      <w:r w:rsidR="005F5D35" w:rsidRPr="003232F0">
        <w:t xml:space="preserve"> designed to increase the safety and wellbeing of Victorians by supporting relevant services to </w:t>
      </w:r>
      <w:r w:rsidR="005F5D35" w:rsidRPr="007808B9">
        <w:t xml:space="preserve">effectively identify, assess and manage family violence risk. MARAM </w:t>
      </w:r>
      <w:r w:rsidR="00586F16">
        <w:t xml:space="preserve">is </w:t>
      </w:r>
      <w:r w:rsidR="005F5D35" w:rsidRPr="007808B9">
        <w:t xml:space="preserve">established in law under Part 11 of the </w:t>
      </w:r>
      <w:r w:rsidR="005F5D35" w:rsidRPr="007808B9">
        <w:rPr>
          <w:i/>
          <w:iCs/>
        </w:rPr>
        <w:t>Family Violence Protection Act 2008.</w:t>
      </w:r>
      <w:r w:rsidR="005F5D35" w:rsidRPr="007808B9">
        <w:t xml:space="preserve"> </w:t>
      </w:r>
    </w:p>
    <w:p w14:paraId="535239F4" w14:textId="6CAF4AC4" w:rsidR="005F5D35" w:rsidRDefault="005F5D35" w:rsidP="005F5D35">
      <w:pPr>
        <w:pStyle w:val="Body"/>
      </w:pPr>
      <w:r w:rsidRPr="007808B9">
        <w:t>MARAM describes best practice for family violence risk assessment and management, based on current evidence and research. It sets out principles to guide the service system response to family</w:t>
      </w:r>
      <w:r w:rsidRPr="003232F0">
        <w:t xml:space="preserve"> violence, policies, procedures, practice guidance and tools, and staff responsibilities for family violence risk assessment and management.</w:t>
      </w:r>
    </w:p>
    <w:p w14:paraId="2FA8E76C" w14:textId="77777777" w:rsidR="005F5D35" w:rsidRPr="007808B9" w:rsidRDefault="005F5D35" w:rsidP="005F5D35">
      <w:pPr>
        <w:pStyle w:val="Body"/>
      </w:pPr>
      <w:r w:rsidRPr="007808B9">
        <w:t xml:space="preserve">Refer: </w:t>
      </w:r>
      <w:hyperlink r:id="rId83" w:history="1">
        <w:r w:rsidRPr="00271554">
          <w:rPr>
            <w:rStyle w:val="Hyperlink"/>
          </w:rPr>
          <w:t>Family Violence Multi Agency Risk Assessment and Management Framework</w:t>
        </w:r>
      </w:hyperlink>
      <w:r w:rsidRPr="007808B9">
        <w:t xml:space="preserve"> &lt;https://www.vic.gov.au/family-violence-multi-agency-risk-assessment-and-management&gt;</w:t>
      </w:r>
    </w:p>
    <w:p w14:paraId="7DC2D5E0" w14:textId="53F7B7B9" w:rsidR="005F5D35" w:rsidRPr="007808B9" w:rsidRDefault="002965A0" w:rsidP="005F5D35">
      <w:pPr>
        <w:pStyle w:val="Body"/>
      </w:pPr>
      <w:r>
        <w:t>Refer:</w:t>
      </w:r>
      <w:r w:rsidR="005F5D35" w:rsidRPr="007808B9">
        <w:t xml:space="preserve"> </w:t>
      </w:r>
      <w:hyperlink r:id="rId84" w:history="1">
        <w:r w:rsidR="005F5D35" w:rsidRPr="00271554">
          <w:rPr>
            <w:rStyle w:val="Hyperlink"/>
          </w:rPr>
          <w:t>Information sharing guides, templates and tools page</w:t>
        </w:r>
      </w:hyperlink>
      <w:r w:rsidR="005F5D35" w:rsidRPr="007808B9">
        <w:t xml:space="preserve"> &lt;https://www.vic.gov.au/guides-templates-tools-for-information-sharing&gt;</w:t>
      </w:r>
    </w:p>
    <w:p w14:paraId="3693E2B2" w14:textId="0CEFF579" w:rsidR="005F5D35" w:rsidRPr="005B37DE" w:rsidRDefault="005F5D35" w:rsidP="000E7482">
      <w:pPr>
        <w:pStyle w:val="Heading3"/>
        <w:numPr>
          <w:ilvl w:val="2"/>
          <w:numId w:val="21"/>
        </w:numPr>
      </w:pPr>
      <w:r w:rsidRPr="005B37DE">
        <w:t xml:space="preserve">Complex Needs Coordinator responsibilities </w:t>
      </w:r>
    </w:p>
    <w:p w14:paraId="78347620" w14:textId="106A0C20" w:rsidR="005F5D35" w:rsidRDefault="005F5D35" w:rsidP="005F5D35">
      <w:pPr>
        <w:pStyle w:val="Body"/>
      </w:pPr>
      <w:r w:rsidRPr="00123DB7">
        <w:t xml:space="preserve">Complex Needs Coordinators </w:t>
      </w:r>
      <w:r w:rsidR="00690120">
        <w:t>are</w:t>
      </w:r>
      <w:r w:rsidRPr="00123DB7">
        <w:t xml:space="preserve"> prescribed by regulations made under the </w:t>
      </w:r>
      <w:r w:rsidRPr="00690120">
        <w:rPr>
          <w:i/>
          <w:iCs/>
        </w:rPr>
        <w:t>Family Violence Protection Act</w:t>
      </w:r>
      <w:r w:rsidRPr="00123DB7">
        <w:t>.</w:t>
      </w:r>
      <w:r>
        <w:t xml:space="preserve"> </w:t>
      </w:r>
      <w:r w:rsidR="00054E09">
        <w:t xml:space="preserve">All </w:t>
      </w:r>
      <w:r w:rsidRPr="00123DB7">
        <w:t xml:space="preserve">Complex Needs Coordinators must </w:t>
      </w:r>
      <w:r w:rsidR="000F03FE" w:rsidRPr="00123DB7">
        <w:t>understand</w:t>
      </w:r>
      <w:r w:rsidRPr="00123DB7">
        <w:t xml:space="preserve"> </w:t>
      </w:r>
      <w:r>
        <w:t xml:space="preserve">the spectrum of </w:t>
      </w:r>
      <w:r w:rsidRPr="00123DB7">
        <w:t>family violence</w:t>
      </w:r>
      <w:r>
        <w:t>, the evidence-based risk factors used to determine risk, and the complexity of experiences across the community.</w:t>
      </w:r>
    </w:p>
    <w:p w14:paraId="75BF84BF" w14:textId="40FB79C7" w:rsidR="005F5D35" w:rsidRPr="00123DB7" w:rsidRDefault="005F5D35" w:rsidP="005F5D35">
      <w:pPr>
        <w:pStyle w:val="Body"/>
        <w:rPr>
          <w:rStyle w:val="eop"/>
        </w:rPr>
      </w:pPr>
      <w:r w:rsidRPr="001E664D">
        <w:t>Complex</w:t>
      </w:r>
      <w:r w:rsidRPr="38DF8100">
        <w:t xml:space="preserve"> Needs Coordinators are aligned to the </w:t>
      </w:r>
      <w:r w:rsidR="00A4440E">
        <w:t>i</w:t>
      </w:r>
      <w:r w:rsidRPr="00A4440E">
        <w:t>dentification</w:t>
      </w:r>
      <w:r w:rsidRPr="38DF8100">
        <w:t xml:space="preserve"> (universal) level of family violence risk assessment and risk management. </w:t>
      </w:r>
      <w:r w:rsidRPr="00123DB7">
        <w:t xml:space="preserve">The </w:t>
      </w:r>
      <w:r w:rsidR="00A4440E" w:rsidRPr="00123DB7">
        <w:t xml:space="preserve">table </w:t>
      </w:r>
      <w:r w:rsidRPr="00123DB7">
        <w:t xml:space="preserve">below displays the six practice responsibilities that make up the MARAM responsibilities </w:t>
      </w:r>
      <w:r w:rsidR="00054E09">
        <w:t xml:space="preserve">for </w:t>
      </w:r>
      <w:r w:rsidRPr="00123DB7">
        <w:t xml:space="preserve">Complex Needs Coordinators. </w:t>
      </w:r>
    </w:p>
    <w:p w14:paraId="4F549C35" w14:textId="368A23AC" w:rsidR="005F5D35" w:rsidRPr="00123DB7" w:rsidRDefault="005F5D35" w:rsidP="005F5D35">
      <w:pPr>
        <w:pStyle w:val="Tablecaption"/>
      </w:pPr>
      <w:r w:rsidRPr="00123DB7">
        <w:t xml:space="preserve">Complex Needs Coordinators MARAM </w:t>
      </w:r>
      <w:r w:rsidR="000F03FE" w:rsidRPr="00123DB7">
        <w:t>practice responsibilities</w:t>
      </w:r>
    </w:p>
    <w:tbl>
      <w:tblPr>
        <w:tblStyle w:val="TableGrid"/>
        <w:tblW w:w="0" w:type="auto"/>
        <w:tblLook w:val="04A0" w:firstRow="1" w:lastRow="0" w:firstColumn="1" w:lastColumn="0" w:noHBand="0" w:noVBand="1"/>
      </w:tblPr>
      <w:tblGrid>
        <w:gridCol w:w="5622"/>
        <w:gridCol w:w="3394"/>
      </w:tblGrid>
      <w:tr w:rsidR="005F5D35" w:rsidRPr="00123DB7" w14:paraId="076BF0CD" w14:textId="77777777" w:rsidTr="00DA30B8">
        <w:trPr>
          <w:tblHeader/>
        </w:trPr>
        <w:tc>
          <w:tcPr>
            <w:tcW w:w="5622" w:type="dxa"/>
          </w:tcPr>
          <w:p w14:paraId="7BF96ACD" w14:textId="77777777" w:rsidR="005F5D35" w:rsidRPr="00123DB7" w:rsidRDefault="005F5D35">
            <w:pPr>
              <w:pStyle w:val="Tablecolhead"/>
            </w:pPr>
            <w:r w:rsidRPr="00123DB7">
              <w:t>Responsibility</w:t>
            </w:r>
          </w:p>
        </w:tc>
        <w:tc>
          <w:tcPr>
            <w:tcW w:w="3394" w:type="dxa"/>
          </w:tcPr>
          <w:p w14:paraId="2A833A9A" w14:textId="77777777" w:rsidR="005F5D35" w:rsidRPr="00123DB7" w:rsidRDefault="005F5D35">
            <w:pPr>
              <w:pStyle w:val="Tablecolhead"/>
            </w:pPr>
            <w:r w:rsidRPr="00123DB7">
              <w:t>Complex Needs Coordinators</w:t>
            </w:r>
          </w:p>
        </w:tc>
      </w:tr>
      <w:tr w:rsidR="005F5D35" w:rsidRPr="00123DB7" w14:paraId="062A99FA" w14:textId="77777777">
        <w:tc>
          <w:tcPr>
            <w:tcW w:w="5622" w:type="dxa"/>
          </w:tcPr>
          <w:p w14:paraId="5301AD8E" w14:textId="4F5FEA03" w:rsidR="005F5D35" w:rsidRPr="00123DB7" w:rsidRDefault="005F5D35">
            <w:pPr>
              <w:pStyle w:val="Body"/>
            </w:pPr>
            <w:r w:rsidRPr="00123DB7">
              <w:t>1: Engage respectfully, sensitively, and safely</w:t>
            </w:r>
          </w:p>
        </w:tc>
        <w:tc>
          <w:tcPr>
            <w:tcW w:w="3394" w:type="dxa"/>
          </w:tcPr>
          <w:p w14:paraId="026C0C90" w14:textId="77777777" w:rsidR="005F5D35" w:rsidRPr="00123DB7" w:rsidRDefault="005F5D35">
            <w:pPr>
              <w:pStyle w:val="Body"/>
            </w:pPr>
            <w:r w:rsidRPr="00123DB7">
              <w:t>Yes</w:t>
            </w:r>
          </w:p>
        </w:tc>
      </w:tr>
      <w:tr w:rsidR="005F5D35" w:rsidRPr="00123DB7" w14:paraId="0FDB504F" w14:textId="77777777">
        <w:tc>
          <w:tcPr>
            <w:tcW w:w="5622" w:type="dxa"/>
          </w:tcPr>
          <w:p w14:paraId="2B61BF00" w14:textId="77777777" w:rsidR="005F5D35" w:rsidRPr="00123DB7" w:rsidRDefault="005F5D35">
            <w:pPr>
              <w:pStyle w:val="Body"/>
            </w:pPr>
            <w:r w:rsidRPr="00123DB7">
              <w:t>2: Identify family violence risk</w:t>
            </w:r>
          </w:p>
        </w:tc>
        <w:tc>
          <w:tcPr>
            <w:tcW w:w="3394" w:type="dxa"/>
          </w:tcPr>
          <w:p w14:paraId="5FE92FCA" w14:textId="77777777" w:rsidR="005F5D35" w:rsidRPr="00123DB7" w:rsidRDefault="005F5D35">
            <w:pPr>
              <w:pStyle w:val="Body"/>
            </w:pPr>
            <w:r w:rsidRPr="00123DB7">
              <w:t>Yes</w:t>
            </w:r>
          </w:p>
        </w:tc>
      </w:tr>
      <w:tr w:rsidR="005F5D35" w:rsidRPr="00123DB7" w14:paraId="18FFBD26" w14:textId="77777777">
        <w:tc>
          <w:tcPr>
            <w:tcW w:w="5622" w:type="dxa"/>
          </w:tcPr>
          <w:p w14:paraId="6BA4A27D" w14:textId="77777777" w:rsidR="005F5D35" w:rsidRPr="00123DB7" w:rsidRDefault="005F5D35">
            <w:pPr>
              <w:pStyle w:val="Body"/>
            </w:pPr>
            <w:r w:rsidRPr="00123DB7">
              <w:t>5: Seek consultation with family violence specialists</w:t>
            </w:r>
          </w:p>
        </w:tc>
        <w:tc>
          <w:tcPr>
            <w:tcW w:w="3394" w:type="dxa"/>
          </w:tcPr>
          <w:p w14:paraId="25FA93AB" w14:textId="77777777" w:rsidR="005F5D35" w:rsidRPr="00123DB7" w:rsidRDefault="005F5D35">
            <w:pPr>
              <w:pStyle w:val="Body"/>
            </w:pPr>
            <w:r w:rsidRPr="00123DB7">
              <w:t>Yes</w:t>
            </w:r>
          </w:p>
        </w:tc>
      </w:tr>
      <w:tr w:rsidR="005F5D35" w:rsidRPr="00123DB7" w14:paraId="462BCF27" w14:textId="77777777">
        <w:tc>
          <w:tcPr>
            <w:tcW w:w="5622" w:type="dxa"/>
          </w:tcPr>
          <w:p w14:paraId="26080CDC" w14:textId="77777777" w:rsidR="005F5D35" w:rsidRPr="00123DB7" w:rsidRDefault="005F5D35">
            <w:pPr>
              <w:pStyle w:val="Body"/>
            </w:pPr>
            <w:r w:rsidRPr="00123DB7">
              <w:t xml:space="preserve">6: </w:t>
            </w:r>
            <w:r>
              <w:t>Contribute to s</w:t>
            </w:r>
            <w:r w:rsidRPr="00123DB7">
              <w:t>haring of information with other services</w:t>
            </w:r>
            <w:r>
              <w:t xml:space="preserve"> (through the Family Violence Information Sharing Scheme or other mechanism) </w:t>
            </w:r>
          </w:p>
        </w:tc>
        <w:tc>
          <w:tcPr>
            <w:tcW w:w="3394" w:type="dxa"/>
          </w:tcPr>
          <w:p w14:paraId="05310F7D" w14:textId="24F92B76" w:rsidR="005F5D35" w:rsidRPr="00123DB7" w:rsidRDefault="005F5D35">
            <w:pPr>
              <w:pStyle w:val="Body"/>
            </w:pPr>
            <w:r>
              <w:t>Yes</w:t>
            </w:r>
          </w:p>
        </w:tc>
      </w:tr>
      <w:tr w:rsidR="005F5D35" w:rsidRPr="00123DB7" w14:paraId="1714AA58" w14:textId="77777777">
        <w:tc>
          <w:tcPr>
            <w:tcW w:w="5622" w:type="dxa"/>
          </w:tcPr>
          <w:p w14:paraId="19B6F379" w14:textId="77777777" w:rsidR="005F5D35" w:rsidRPr="00123DB7" w:rsidRDefault="005F5D35">
            <w:pPr>
              <w:pStyle w:val="Body"/>
            </w:pPr>
            <w:r w:rsidRPr="00123DB7">
              <w:lastRenderedPageBreak/>
              <w:t>9: Contribute to coordinated risk management</w:t>
            </w:r>
          </w:p>
        </w:tc>
        <w:tc>
          <w:tcPr>
            <w:tcW w:w="3394" w:type="dxa"/>
          </w:tcPr>
          <w:p w14:paraId="1AA71671" w14:textId="77777777" w:rsidR="005F5D35" w:rsidRPr="00123DB7" w:rsidRDefault="005F5D35">
            <w:pPr>
              <w:pStyle w:val="Body"/>
            </w:pPr>
            <w:r w:rsidRPr="00123DB7">
              <w:t>Yes</w:t>
            </w:r>
          </w:p>
        </w:tc>
      </w:tr>
      <w:tr w:rsidR="005F5D35" w:rsidRPr="00123DB7" w14:paraId="3A4FE0CD" w14:textId="77777777">
        <w:tc>
          <w:tcPr>
            <w:tcW w:w="5622" w:type="dxa"/>
          </w:tcPr>
          <w:p w14:paraId="0ED7BBC7" w14:textId="77777777" w:rsidR="005F5D35" w:rsidRPr="00123DB7" w:rsidRDefault="005F5D35">
            <w:pPr>
              <w:pStyle w:val="Body"/>
            </w:pPr>
            <w:r w:rsidRPr="00123DB7">
              <w:t>10: Collaborate for ongoing risk assessment and risk management purposes</w:t>
            </w:r>
          </w:p>
        </w:tc>
        <w:tc>
          <w:tcPr>
            <w:tcW w:w="3394" w:type="dxa"/>
          </w:tcPr>
          <w:p w14:paraId="054B718D" w14:textId="77777777" w:rsidR="005F5D35" w:rsidRPr="00123DB7" w:rsidRDefault="005F5D35">
            <w:pPr>
              <w:pStyle w:val="Body"/>
            </w:pPr>
            <w:r w:rsidRPr="00123DB7">
              <w:t>Yes</w:t>
            </w:r>
          </w:p>
        </w:tc>
      </w:tr>
    </w:tbl>
    <w:p w14:paraId="7F129929" w14:textId="77777777" w:rsidR="005F5D35" w:rsidRPr="008C357A" w:rsidRDefault="005F5D35" w:rsidP="00A50EDE">
      <w:pPr>
        <w:pStyle w:val="Body"/>
        <w:spacing w:before="120"/>
      </w:pPr>
      <w:r w:rsidRPr="008C357A">
        <w:t xml:space="preserve">Refer: </w:t>
      </w:r>
      <w:hyperlink r:id="rId85" w:anchor="pillar-3-responsibilities-for-risk-assessment-and-management" w:history="1">
        <w:r w:rsidRPr="00F72D74">
          <w:rPr>
            <w:rStyle w:val="Hyperlink"/>
          </w:rPr>
          <w:t>Family Violence Multi Agency Risk Assessment and Management Framework Part C Pillars</w:t>
        </w:r>
      </w:hyperlink>
    </w:p>
    <w:p w14:paraId="078AAEDD" w14:textId="77777777" w:rsidR="005F5D35" w:rsidRDefault="005F5D35" w:rsidP="005F5D35">
      <w:pPr>
        <w:pStyle w:val="Body"/>
        <w:rPr>
          <w:rStyle w:val="eop"/>
        </w:rPr>
      </w:pPr>
      <w:r>
        <w:rPr>
          <w:rStyle w:val="eop"/>
        </w:rPr>
        <w:t>&lt;</w:t>
      </w:r>
      <w:r w:rsidRPr="00B04EF2">
        <w:rPr>
          <w:rStyle w:val="eop"/>
        </w:rPr>
        <w:t>https://www.vic.gov.au/family-violence-multi-agency-risk-assessment-and-management-framework/part-c-pillars#pillar-3-responsibilities-for-risk-assessment-and-management</w:t>
      </w:r>
      <w:r>
        <w:rPr>
          <w:rStyle w:val="eop"/>
        </w:rPr>
        <w:t>&gt;</w:t>
      </w:r>
    </w:p>
    <w:p w14:paraId="6E62F63A" w14:textId="6ED8FD58" w:rsidR="005F5D35" w:rsidRPr="005B37DE" w:rsidRDefault="00A50EDE" w:rsidP="000E7482">
      <w:pPr>
        <w:pStyle w:val="Heading3"/>
        <w:numPr>
          <w:ilvl w:val="2"/>
          <w:numId w:val="21"/>
        </w:numPr>
        <w:rPr>
          <w:rStyle w:val="eop"/>
        </w:rPr>
      </w:pPr>
      <w:r>
        <w:rPr>
          <w:rStyle w:val="eop"/>
        </w:rPr>
        <w:t>T</w:t>
      </w:r>
      <w:r w:rsidR="005F5D35" w:rsidRPr="005B37DE">
        <w:rPr>
          <w:rStyle w:val="eop"/>
        </w:rPr>
        <w:t xml:space="preserve">raining </w:t>
      </w:r>
      <w:r>
        <w:rPr>
          <w:rStyle w:val="eop"/>
        </w:rPr>
        <w:t xml:space="preserve">for </w:t>
      </w:r>
      <w:r w:rsidR="005F5D35" w:rsidRPr="005B37DE">
        <w:rPr>
          <w:rStyle w:val="eop"/>
        </w:rPr>
        <w:t>Complex Needs Coordinators</w:t>
      </w:r>
    </w:p>
    <w:p w14:paraId="658CF3C6" w14:textId="221D187D" w:rsidR="005F5D35" w:rsidRPr="008B0750" w:rsidRDefault="005F5D35" w:rsidP="005F5D35">
      <w:pPr>
        <w:pStyle w:val="Body"/>
        <w:rPr>
          <w:rFonts w:eastAsia="MS Gothic" w:cs="Arial"/>
          <w:szCs w:val="21"/>
        </w:rPr>
      </w:pPr>
      <w:r w:rsidRPr="008B0750">
        <w:rPr>
          <w:rFonts w:eastAsia="MS Gothic" w:cs="Arial"/>
          <w:szCs w:val="21"/>
        </w:rPr>
        <w:t>The department has three training programs t</w:t>
      </w:r>
      <w:r w:rsidR="00A50EDE">
        <w:rPr>
          <w:rFonts w:eastAsia="MS Gothic" w:cs="Arial"/>
          <w:szCs w:val="21"/>
        </w:rPr>
        <w:t xml:space="preserve">hat </w:t>
      </w:r>
      <w:r w:rsidRPr="008B0750">
        <w:rPr>
          <w:rFonts w:eastAsia="MS Gothic" w:cs="Arial"/>
          <w:szCs w:val="21"/>
        </w:rPr>
        <w:t xml:space="preserve">Complex Needs Coordinators </w:t>
      </w:r>
      <w:r w:rsidR="00A50EDE">
        <w:rPr>
          <w:rFonts w:eastAsia="MS Gothic" w:cs="Arial"/>
          <w:szCs w:val="21"/>
        </w:rPr>
        <w:t>mus</w:t>
      </w:r>
      <w:r w:rsidRPr="008B0750">
        <w:rPr>
          <w:rFonts w:eastAsia="MS Gothic" w:cs="Arial"/>
          <w:szCs w:val="21"/>
        </w:rPr>
        <w:t xml:space="preserve">t undertake </w:t>
      </w:r>
      <w:r w:rsidR="00200BDC">
        <w:rPr>
          <w:rFonts w:eastAsia="MS Gothic" w:cs="Arial"/>
          <w:szCs w:val="21"/>
        </w:rPr>
        <w:t>for their</w:t>
      </w:r>
      <w:r w:rsidRPr="008B0750">
        <w:rPr>
          <w:rFonts w:eastAsia="MS Gothic" w:cs="Arial"/>
          <w:szCs w:val="21"/>
        </w:rPr>
        <w:t xml:space="preserve"> MARAM (and Information Sharing) responsibilities, these are:</w:t>
      </w:r>
    </w:p>
    <w:p w14:paraId="6B70D190" w14:textId="13E2178D" w:rsidR="005F5D35" w:rsidRPr="008B0750" w:rsidRDefault="005F5D35" w:rsidP="00740A47">
      <w:pPr>
        <w:pStyle w:val="Bullet1"/>
        <w:rPr>
          <w:rFonts w:eastAsia="MS Mincho"/>
        </w:rPr>
      </w:pPr>
      <w:r w:rsidRPr="004447C9">
        <w:t>Recognising and responding to family violence in Housing eLearn</w:t>
      </w:r>
    </w:p>
    <w:p w14:paraId="62246AF6" w14:textId="5CFC21B0" w:rsidR="005F5D35" w:rsidRPr="008B0750" w:rsidRDefault="005F5D35" w:rsidP="00740A47">
      <w:pPr>
        <w:pStyle w:val="Bullet1"/>
        <w:rPr>
          <w:rFonts w:eastAsia="MS Mincho"/>
        </w:rPr>
      </w:pPr>
      <w:r w:rsidRPr="004447C9">
        <w:t>Child and Family Violence Information Sharing Schemes eLearn</w:t>
      </w:r>
    </w:p>
    <w:p w14:paraId="64D3F02A" w14:textId="11589315" w:rsidR="005F5D35" w:rsidRPr="00AA350B" w:rsidRDefault="005F5D35" w:rsidP="00740A47">
      <w:pPr>
        <w:pStyle w:val="Bullet1"/>
        <w:rPr>
          <w:rFonts w:eastAsia="MS Gothic" w:cs="Arial"/>
          <w:szCs w:val="21"/>
        </w:rPr>
      </w:pPr>
      <w:r w:rsidRPr="004447C9">
        <w:t>MARAM Screening and Identification for Housing webinar</w:t>
      </w:r>
      <w:r w:rsidR="00AA350B" w:rsidRPr="008B0750">
        <w:rPr>
          <w:rFonts w:eastAsia="MS Gothic" w:cs="Arial"/>
          <w:szCs w:val="21"/>
        </w:rPr>
        <w:t>.</w:t>
      </w:r>
    </w:p>
    <w:p w14:paraId="31B169EE" w14:textId="54ED1D1D" w:rsidR="005F5D35" w:rsidRPr="00C64EBC" w:rsidRDefault="002D4940" w:rsidP="000E7482">
      <w:pPr>
        <w:pStyle w:val="Heading3"/>
        <w:numPr>
          <w:ilvl w:val="2"/>
          <w:numId w:val="21"/>
        </w:numPr>
      </w:pPr>
      <w:r>
        <w:t>T</w:t>
      </w:r>
      <w:r w:rsidR="005F5D35" w:rsidRPr="00C64EBC">
        <w:t>ools to support identification of family violence risk</w:t>
      </w:r>
    </w:p>
    <w:p w14:paraId="0101D01C" w14:textId="1BDCFD8F" w:rsidR="005F5D35" w:rsidRPr="00C64EBC" w:rsidRDefault="004447C9" w:rsidP="005F5D35">
      <w:pPr>
        <w:pStyle w:val="Body"/>
        <w:rPr>
          <w:rFonts w:eastAsia="MS Gothic" w:cs="Arial"/>
          <w:szCs w:val="21"/>
        </w:rPr>
      </w:pPr>
      <w:r>
        <w:rPr>
          <w:rFonts w:eastAsia="MS Gothic" w:cs="Arial"/>
          <w:szCs w:val="21"/>
        </w:rPr>
        <w:t>There</w:t>
      </w:r>
      <w:r w:rsidR="005F5D35" w:rsidRPr="668EC76D">
        <w:rPr>
          <w:rFonts w:eastAsia="MS Gothic" w:cs="Arial"/>
        </w:rPr>
        <w:t xml:space="preserve"> are </w:t>
      </w:r>
      <w:r>
        <w:rPr>
          <w:rFonts w:eastAsia="MS Gothic" w:cs="Arial"/>
          <w:szCs w:val="21"/>
        </w:rPr>
        <w:t>t</w:t>
      </w:r>
      <w:r w:rsidR="005F5D35" w:rsidRPr="00C64EBC">
        <w:rPr>
          <w:rFonts w:eastAsia="MS Gothic" w:cs="Arial"/>
          <w:szCs w:val="21"/>
        </w:rPr>
        <w:t xml:space="preserve">ools designed to assist with family violence identification and basic safety planning </w:t>
      </w:r>
      <w:r w:rsidR="004C43B1">
        <w:rPr>
          <w:rFonts w:eastAsia="MS Gothic" w:cs="Arial"/>
          <w:szCs w:val="21"/>
        </w:rPr>
        <w:t>at</w:t>
      </w:r>
      <w:r w:rsidR="005F5D35">
        <w:rPr>
          <w:rFonts w:eastAsia="MS Gothic" w:cs="Arial"/>
          <w:szCs w:val="21"/>
        </w:rPr>
        <w:t xml:space="preserve"> </w:t>
      </w:r>
      <w:hyperlink r:id="rId86" w:history="1">
        <w:r w:rsidR="005F5D35" w:rsidRPr="00E362FA">
          <w:rPr>
            <w:rStyle w:val="Hyperlink"/>
            <w:rFonts w:eastAsia="MS Gothic" w:cs="Arial"/>
            <w:szCs w:val="21"/>
          </w:rPr>
          <w:t>Family violence practice: MARAM and information sharing</w:t>
        </w:r>
      </w:hyperlink>
      <w:r w:rsidR="00A860A5">
        <w:rPr>
          <w:rFonts w:eastAsia="MS Gothic" w:cs="Arial"/>
          <w:szCs w:val="21"/>
        </w:rPr>
        <w:t xml:space="preserve"> </w:t>
      </w:r>
      <w:r w:rsidR="005F5D35" w:rsidRPr="00C64EBC">
        <w:rPr>
          <w:rFonts w:eastAsia="MS Gothic" w:cs="Arial"/>
          <w:szCs w:val="21"/>
        </w:rPr>
        <w:t>&lt;https://dhhsvicgovau.sharepoint.com/sites/dffh/SitePages/Family-violence-practice-better-outcomes-for-individuals-and-families.aspx&gt;.</w:t>
      </w:r>
    </w:p>
    <w:p w14:paraId="6AD26F0A" w14:textId="3E7BE269" w:rsidR="005F5D35" w:rsidRPr="00686405" w:rsidRDefault="005F5D35" w:rsidP="00346F7B">
      <w:pPr>
        <w:pStyle w:val="Body"/>
        <w:rPr>
          <w:rStyle w:val="eop"/>
        </w:rPr>
      </w:pPr>
      <w:r w:rsidRPr="00C64EBC">
        <w:rPr>
          <w:rFonts w:eastAsia="MS Gothic" w:cs="Arial"/>
          <w:szCs w:val="21"/>
        </w:rPr>
        <w:t>These tools include</w:t>
      </w:r>
      <w:r w:rsidR="00346F7B">
        <w:rPr>
          <w:rFonts w:eastAsia="MS Gothic" w:cs="Arial"/>
          <w:szCs w:val="21"/>
        </w:rPr>
        <w:t xml:space="preserve"> the </w:t>
      </w:r>
      <w:r w:rsidR="73322503">
        <w:t>Adult Victim Survivor Screening and Identification Tool</w:t>
      </w:r>
      <w:r w:rsidR="00A860A5">
        <w:rPr>
          <w:rStyle w:val="eop"/>
        </w:rPr>
        <w:t xml:space="preserve"> and </w:t>
      </w:r>
      <w:r w:rsidR="00346F7B">
        <w:rPr>
          <w:rStyle w:val="eop"/>
        </w:rPr>
        <w:t xml:space="preserve">the </w:t>
      </w:r>
      <w:r w:rsidR="73322503">
        <w:t xml:space="preserve">Observable Signs of Trauma </w:t>
      </w:r>
      <w:r w:rsidR="00A860A5">
        <w:t xml:space="preserve">tool </w:t>
      </w:r>
      <w:r w:rsidR="73322503">
        <w:t xml:space="preserve">that may indicate </w:t>
      </w:r>
      <w:r w:rsidR="00A860A5">
        <w:t>f</w:t>
      </w:r>
      <w:r w:rsidR="73322503">
        <w:t xml:space="preserve">amily </w:t>
      </w:r>
      <w:r w:rsidR="00A860A5">
        <w:t>v</w:t>
      </w:r>
      <w:r w:rsidR="73322503">
        <w:t>iolence</w:t>
      </w:r>
      <w:r w:rsidR="00A860A5">
        <w:t xml:space="preserve">, response options and a </w:t>
      </w:r>
      <w:r w:rsidR="004C43B1">
        <w:t>safety</w:t>
      </w:r>
      <w:r w:rsidR="00A860A5">
        <w:t xml:space="preserve"> plan</w:t>
      </w:r>
      <w:r w:rsidR="004C43B1">
        <w:t>ning.</w:t>
      </w:r>
    </w:p>
    <w:p w14:paraId="25FAC8B9" w14:textId="402B4473" w:rsidR="005F5D35" w:rsidRPr="003D73F0" w:rsidRDefault="0000269E" w:rsidP="005F5D35">
      <w:pPr>
        <w:pStyle w:val="Bodyafterbullets"/>
        <w:rPr>
          <w:rStyle w:val="eop"/>
          <w:rFonts w:cs="Arial"/>
          <w:szCs w:val="21"/>
        </w:rPr>
      </w:pPr>
      <w:r>
        <w:rPr>
          <w:rFonts w:eastAsia="MS Gothic" w:cs="Arial"/>
          <w:szCs w:val="21"/>
        </w:rPr>
        <w:t xml:space="preserve">Refer: </w:t>
      </w:r>
      <w:r w:rsidR="005F5D35" w:rsidRPr="00DF4EB5">
        <w:rPr>
          <w:rFonts w:eastAsia="MS Gothic" w:cs="Arial"/>
          <w:color w:val="004C97"/>
          <w:szCs w:val="21"/>
        </w:rPr>
        <w:t>Guidance on the Using the Screening and Identification Tool</w:t>
      </w:r>
      <w:r w:rsidRPr="00DF4EB5">
        <w:rPr>
          <w:rFonts w:eastAsia="MS Gothic" w:cs="Arial"/>
          <w:szCs w:val="21"/>
        </w:rPr>
        <w:t>:</w:t>
      </w:r>
      <w:r w:rsidR="005F5D35">
        <w:rPr>
          <w:rFonts w:eastAsia="MS Gothic" w:cs="Arial"/>
          <w:szCs w:val="21"/>
        </w:rPr>
        <w:t xml:space="preserve"> </w:t>
      </w:r>
      <w:r w:rsidR="005F5D35" w:rsidRPr="003D73F0">
        <w:rPr>
          <w:rFonts w:eastAsia="MS Gothic" w:cs="Arial"/>
          <w:szCs w:val="21"/>
        </w:rPr>
        <w:t>&lt;https://www.vic.gov.au/sites/default/files/2020-06/APPENDIX%202_0_0.docx&gt;.</w:t>
      </w:r>
    </w:p>
    <w:p w14:paraId="7ACDD314" w14:textId="57B4167A" w:rsidR="005F5D35" w:rsidRPr="00A20C47" w:rsidRDefault="005F5D35" w:rsidP="000E7482">
      <w:pPr>
        <w:pStyle w:val="Heading2"/>
        <w:numPr>
          <w:ilvl w:val="1"/>
          <w:numId w:val="21"/>
        </w:numPr>
      </w:pPr>
      <w:bookmarkStart w:id="481" w:name="_Toc112856300"/>
      <w:bookmarkStart w:id="482" w:name="_Toc125713784"/>
      <w:bookmarkStart w:id="483" w:name="_Toc137636804"/>
      <w:bookmarkStart w:id="484" w:name="_Toc32229326"/>
      <w:bookmarkStart w:id="485" w:name="_Toc65508297"/>
      <w:bookmarkStart w:id="486" w:name="_Hlk15543907"/>
      <w:bookmarkStart w:id="487" w:name="_Toc145318642"/>
      <w:r w:rsidRPr="00A20C47">
        <w:t>Supervision</w:t>
      </w:r>
      <w:bookmarkEnd w:id="481"/>
      <w:bookmarkEnd w:id="482"/>
      <w:bookmarkEnd w:id="483"/>
      <w:r w:rsidR="000F03FE">
        <w:t xml:space="preserve"> and support</w:t>
      </w:r>
      <w:bookmarkEnd w:id="487"/>
    </w:p>
    <w:p w14:paraId="6489DDB7" w14:textId="09F853E7" w:rsidR="00346F7B" w:rsidRDefault="00346F7B" w:rsidP="00AA350B">
      <w:pPr>
        <w:pStyle w:val="Body"/>
      </w:pPr>
      <w:r w:rsidRPr="00A20C47">
        <w:t xml:space="preserve">The </w:t>
      </w:r>
      <w:r w:rsidRPr="00346F7B">
        <w:rPr>
          <w:i/>
          <w:iCs/>
        </w:rPr>
        <w:t>Supervision and support framework</w:t>
      </w:r>
      <w:r w:rsidRPr="00A20C47">
        <w:t xml:space="preserve"> outlines required practices in detail and </w:t>
      </w:r>
      <w:r>
        <w:t xml:space="preserve">is a </w:t>
      </w:r>
      <w:r w:rsidRPr="00A20C47">
        <w:t>reference</w:t>
      </w:r>
      <w:r>
        <w:t xml:space="preserve"> for </w:t>
      </w:r>
      <w:r w:rsidRPr="00A20C47">
        <w:t xml:space="preserve">supervision. Prompts for supervision are in </w:t>
      </w:r>
      <w:r>
        <w:t>the Complex Needs supervision record.</w:t>
      </w:r>
    </w:p>
    <w:p w14:paraId="1F0745E0" w14:textId="5D92E567" w:rsidR="005F5D35" w:rsidRPr="00A20C47" w:rsidRDefault="005F5D35" w:rsidP="00AA350B">
      <w:pPr>
        <w:pStyle w:val="Body"/>
      </w:pPr>
      <w:r w:rsidRPr="00A20C47">
        <w:t>Effective supervision supports good working relationships, helps staff address issues</w:t>
      </w:r>
      <w:r w:rsidR="00B4257C">
        <w:t>,</w:t>
      </w:r>
      <w:r w:rsidRPr="00A20C47">
        <w:t xml:space="preserve"> celebrate</w:t>
      </w:r>
      <w:r w:rsidR="00B4257C">
        <w:t>s</w:t>
      </w:r>
      <w:r w:rsidRPr="00A20C47">
        <w:t xml:space="preserve"> achievements, provides opportunity to discuss learning and development </w:t>
      </w:r>
      <w:r w:rsidR="00B4257C">
        <w:t xml:space="preserve">needs, </w:t>
      </w:r>
      <w:r w:rsidRPr="00A20C47">
        <w:t>and promotes effective complex needs service responses.</w:t>
      </w:r>
      <w:r w:rsidR="00AA350B">
        <w:t xml:space="preserve"> </w:t>
      </w:r>
      <w:r w:rsidR="00DD603A">
        <w:t>Supervision</w:t>
      </w:r>
      <w:r w:rsidR="00B4257C">
        <w:t xml:space="preserve"> can:</w:t>
      </w:r>
    </w:p>
    <w:p w14:paraId="751062CF" w14:textId="1BC81187" w:rsidR="005F5D35" w:rsidRPr="00442B1D" w:rsidRDefault="73322503" w:rsidP="00740A47">
      <w:pPr>
        <w:pStyle w:val="Bullet1"/>
      </w:pPr>
      <w:r>
        <w:t>confirm shared expectations about staff and a line manager responsibilities</w:t>
      </w:r>
      <w:r w:rsidR="00346F7B">
        <w:t xml:space="preserve"> </w:t>
      </w:r>
      <w:r>
        <w:t>and accountabilities</w:t>
      </w:r>
    </w:p>
    <w:p w14:paraId="24457633" w14:textId="5CBBC62C" w:rsidR="005F5D35" w:rsidRPr="00442B1D" w:rsidRDefault="73322503" w:rsidP="00740A47">
      <w:pPr>
        <w:pStyle w:val="Bullet1"/>
      </w:pPr>
      <w:r>
        <w:t>enhanc</w:t>
      </w:r>
      <w:r w:rsidR="00B4257C">
        <w:t>e</w:t>
      </w:r>
      <w:r>
        <w:t xml:space="preserve"> supervisee well-being, learning and professional development</w:t>
      </w:r>
    </w:p>
    <w:p w14:paraId="17D44BCF" w14:textId="2A2D0088" w:rsidR="005F5D35" w:rsidRPr="00442B1D" w:rsidRDefault="73322503" w:rsidP="00740A47">
      <w:pPr>
        <w:pStyle w:val="Bullet1"/>
      </w:pPr>
      <w:r>
        <w:t>provid</w:t>
      </w:r>
      <w:r w:rsidR="00B4257C">
        <w:t>e</w:t>
      </w:r>
      <w:r>
        <w:t xml:space="preserve"> a regular opportunity for coaching and reflective practice</w:t>
      </w:r>
    </w:p>
    <w:p w14:paraId="466D1067" w14:textId="7F91BDEB" w:rsidR="005F5D35" w:rsidRPr="00442B1D" w:rsidRDefault="73322503" w:rsidP="00740A47">
      <w:pPr>
        <w:pStyle w:val="Bullet1"/>
      </w:pPr>
      <w:r>
        <w:t>establish and monitor compliance with legislati</w:t>
      </w:r>
      <w:r w:rsidR="00346F7B">
        <w:t>on</w:t>
      </w:r>
      <w:r>
        <w:t>, the VPS Code of Conduct, and best practice.</w:t>
      </w:r>
    </w:p>
    <w:p w14:paraId="66153C9F" w14:textId="1425237E" w:rsidR="005F5D35" w:rsidRPr="00A20C47" w:rsidRDefault="00BE6D44" w:rsidP="005F5D35">
      <w:pPr>
        <w:rPr>
          <w:rStyle w:val="BodyChar"/>
        </w:rPr>
      </w:pPr>
      <w:r>
        <w:rPr>
          <w:rStyle w:val="BodyChar"/>
        </w:rPr>
        <w:t xml:space="preserve">Complex Needs </w:t>
      </w:r>
      <w:r w:rsidR="005F5D35" w:rsidRPr="00A20C47">
        <w:rPr>
          <w:rStyle w:val="BodyChar"/>
        </w:rPr>
        <w:t xml:space="preserve">Coordinators may seek supplementary </w:t>
      </w:r>
      <w:r w:rsidR="00A27F77">
        <w:rPr>
          <w:rStyle w:val="BodyChar"/>
        </w:rPr>
        <w:t xml:space="preserve">support and </w:t>
      </w:r>
      <w:r w:rsidR="00946A6F">
        <w:rPr>
          <w:rStyle w:val="BodyChar"/>
        </w:rPr>
        <w:t>capacity building</w:t>
      </w:r>
      <w:r w:rsidR="009118DD">
        <w:rPr>
          <w:rStyle w:val="BodyChar"/>
        </w:rPr>
        <w:t xml:space="preserve"> through:</w:t>
      </w:r>
    </w:p>
    <w:p w14:paraId="0666BDB5" w14:textId="326759B7" w:rsidR="005F5D35" w:rsidRPr="00A20C47" w:rsidRDefault="005F5D35" w:rsidP="00740A47">
      <w:pPr>
        <w:pStyle w:val="Bullet1"/>
      </w:pPr>
      <w:r w:rsidRPr="00A20C47">
        <w:t>“</w:t>
      </w:r>
      <w:r w:rsidR="00A27F77">
        <w:t>b</w:t>
      </w:r>
      <w:r w:rsidRPr="00A20C47">
        <w:t>uddy” with another area (or Coordinator) for ad-hoc or regular scheduled supervision</w:t>
      </w:r>
    </w:p>
    <w:p w14:paraId="2E888B4B" w14:textId="759E15DA" w:rsidR="005F5D35" w:rsidRPr="00A20C47" w:rsidRDefault="005F5D35" w:rsidP="00740A47">
      <w:pPr>
        <w:pStyle w:val="Bullet1"/>
      </w:pPr>
      <w:r w:rsidRPr="00A20C47">
        <w:t>case presentations at statewide meetings to discuss complex cases</w:t>
      </w:r>
    </w:p>
    <w:p w14:paraId="47547B1C" w14:textId="3998BBE9" w:rsidR="005F5D35" w:rsidRPr="00A20C47" w:rsidRDefault="005F5D35" w:rsidP="00740A47">
      <w:pPr>
        <w:pStyle w:val="Bullet1"/>
      </w:pPr>
      <w:r w:rsidRPr="00A20C47">
        <w:t xml:space="preserve">existing </w:t>
      </w:r>
      <w:r w:rsidR="00A27F77">
        <w:t>departmental</w:t>
      </w:r>
      <w:r w:rsidRPr="00A20C47">
        <w:t xml:space="preserve"> and DJCS practice advisors </w:t>
      </w:r>
    </w:p>
    <w:p w14:paraId="1F71B983" w14:textId="1B8C30DB" w:rsidR="005F5D35" w:rsidRPr="00A20C47" w:rsidRDefault="006D511F" w:rsidP="00740A47">
      <w:pPr>
        <w:pStyle w:val="Bullet1"/>
      </w:pPr>
      <w:hyperlink r:id="rId87" w:history="1">
        <w:r w:rsidR="005F5D35" w:rsidRPr="004C5A05">
          <w:rPr>
            <w:rStyle w:val="Hyperlink"/>
            <w:color w:val="auto"/>
            <w:u w:val="none"/>
          </w:rPr>
          <w:t>Peer Support Network</w:t>
        </w:r>
      </w:hyperlink>
      <w:r w:rsidR="005F5D35" w:rsidRPr="00F32163">
        <w:rPr>
          <w:rStyle w:val="BodyChar"/>
        </w:rPr>
        <w:t xml:space="preserve">; employee wellbeing support service </w:t>
      </w:r>
      <w:r w:rsidR="00346F7B">
        <w:rPr>
          <w:rStyle w:val="BodyChar"/>
        </w:rPr>
        <w:t xml:space="preserve">in </w:t>
      </w:r>
      <w:r w:rsidR="005F5D35" w:rsidRPr="00F32163">
        <w:rPr>
          <w:rStyle w:val="BodyChar"/>
        </w:rPr>
        <w:t xml:space="preserve">the </w:t>
      </w:r>
      <w:r w:rsidR="00346F7B">
        <w:rPr>
          <w:rStyle w:val="BodyChar"/>
        </w:rPr>
        <w:t xml:space="preserve">DH </w:t>
      </w:r>
      <w:r w:rsidR="005F5D35" w:rsidRPr="00F32163">
        <w:rPr>
          <w:rStyle w:val="BodyChar"/>
        </w:rPr>
        <w:t>and DFFH</w:t>
      </w:r>
      <w:r w:rsidR="005F5D35">
        <w:rPr>
          <w:rStyle w:val="BodyChar"/>
        </w:rPr>
        <w:t>.</w:t>
      </w:r>
    </w:p>
    <w:p w14:paraId="68E69108" w14:textId="0DFFBDA9" w:rsidR="005F5D35" w:rsidRPr="00A20C47" w:rsidRDefault="73322503" w:rsidP="00740A47">
      <w:pPr>
        <w:pStyle w:val="Bullet1"/>
      </w:pPr>
      <w:r>
        <w:lastRenderedPageBreak/>
        <w:t xml:space="preserve">Central Complex Needs </w:t>
      </w:r>
      <w:r w:rsidR="00D25BAE">
        <w:t>T</w:t>
      </w:r>
      <w:r>
        <w:t>eam</w:t>
      </w:r>
    </w:p>
    <w:p w14:paraId="7056D3D1" w14:textId="59414B3F" w:rsidR="005F5D35" w:rsidRDefault="00A27F77" w:rsidP="00740A47">
      <w:pPr>
        <w:pStyle w:val="Bullet1"/>
      </w:pPr>
      <w:r>
        <w:t xml:space="preserve">departmental mentors </w:t>
      </w:r>
    </w:p>
    <w:p w14:paraId="4E08F90D" w14:textId="27604F06" w:rsidR="005F5D35" w:rsidRDefault="00A27F77" w:rsidP="00740A47">
      <w:pPr>
        <w:pStyle w:val="Bullet1"/>
      </w:pPr>
      <w:r>
        <w:t>use existing relationships with external service providers/stakeholders</w:t>
      </w:r>
    </w:p>
    <w:p w14:paraId="03F0DC09" w14:textId="6CE6D87E" w:rsidR="00D25BAE" w:rsidRDefault="001F3E6A" w:rsidP="00740A47">
      <w:pPr>
        <w:pStyle w:val="Bullet1"/>
      </w:pPr>
      <w:r>
        <w:t>(EAP) Converge International Employee Wellbeing and Support Program</w:t>
      </w:r>
      <w:r w:rsidR="00346F7B">
        <w:t>.</w:t>
      </w:r>
      <w:r>
        <w:t xml:space="preserve"> </w:t>
      </w:r>
    </w:p>
    <w:p w14:paraId="73E4C6D5" w14:textId="77777777" w:rsidR="00D25BAE" w:rsidRDefault="00D25BAE" w:rsidP="0080461F">
      <w:pPr>
        <w:pStyle w:val="lastbullett"/>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2643"/>
      </w:tblGrid>
      <w:tr w:rsidR="005F5D35" w14:paraId="2D1EBE3A" w14:textId="77777777" w:rsidTr="7DAFCD5E">
        <w:tc>
          <w:tcPr>
            <w:tcW w:w="0" w:type="auto"/>
            <w:shd w:val="clear" w:color="auto" w:fill="CCE9F8"/>
            <w:vAlign w:val="center"/>
          </w:tcPr>
          <w:p w14:paraId="2CE84063" w14:textId="77777777" w:rsidR="005F5D35" w:rsidRDefault="005F5D35" w:rsidP="00F01EE8">
            <w:pPr>
              <w:pStyle w:val="Body"/>
              <w:spacing w:before="120"/>
            </w:pPr>
            <w:r>
              <w:rPr>
                <w:noProof/>
              </w:rPr>
              <w:drawing>
                <wp:inline distT="0" distB="0" distL="0" distR="0" wp14:anchorId="03584ED0" wp14:editId="0C222014">
                  <wp:extent cx="540000" cy="54000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40">
                            <a:extLst>
                              <a:ext uri="{96DAC541-7B7A-43D3-8B79-37D633B846F1}">
                                <asvg:svgBlip xmlns:asvg="http://schemas.microsoft.com/office/drawing/2016/SVG/main" r:embed="rId41"/>
                              </a:ext>
                            </a:extLst>
                          </a:blip>
                          <a:stretch>
                            <a:fillRect/>
                          </a:stretch>
                        </pic:blipFill>
                        <pic:spPr>
                          <a:xfrm>
                            <a:off x="0" y="0"/>
                            <a:ext cx="540000" cy="540000"/>
                          </a:xfrm>
                          <a:prstGeom prst="rect">
                            <a:avLst/>
                          </a:prstGeom>
                        </pic:spPr>
                      </pic:pic>
                    </a:graphicData>
                  </a:graphic>
                </wp:inline>
              </w:drawing>
            </w:r>
          </w:p>
        </w:tc>
        <w:tc>
          <w:tcPr>
            <w:tcW w:w="0" w:type="auto"/>
          </w:tcPr>
          <w:p w14:paraId="64FAF220" w14:textId="77777777" w:rsidR="005F5D35" w:rsidRPr="00B22A07" w:rsidRDefault="005F5D35">
            <w:pPr>
              <w:pStyle w:val="Tablecolhead"/>
              <w:rPr>
                <w:rFonts w:eastAsia="Arial"/>
              </w:rPr>
            </w:pPr>
            <w:r w:rsidRPr="00B22A07">
              <w:rPr>
                <w:rFonts w:eastAsia="Arial"/>
              </w:rPr>
              <w:t>Documentation required</w:t>
            </w:r>
          </w:p>
          <w:p w14:paraId="0A279F81" w14:textId="5790CCBC" w:rsidR="005F5D35" w:rsidRPr="00B22A07" w:rsidRDefault="00634BED" w:rsidP="00740A47">
            <w:pPr>
              <w:pStyle w:val="Bullet1"/>
            </w:pPr>
            <w:r>
              <w:t xml:space="preserve">13 </w:t>
            </w:r>
            <w:r w:rsidR="00833AAA">
              <w:t>S</w:t>
            </w:r>
            <w:r w:rsidR="73322503">
              <w:t>upervision record</w:t>
            </w:r>
          </w:p>
        </w:tc>
      </w:tr>
    </w:tbl>
    <w:p w14:paraId="0F7490EA" w14:textId="184B8C62" w:rsidR="005F5D35" w:rsidRPr="00D64F1C" w:rsidRDefault="005F5D35" w:rsidP="005F5D35">
      <w:pPr>
        <w:pStyle w:val="Bodyafterbullets"/>
      </w:pPr>
      <w:r>
        <w:t xml:space="preserve">Refer: </w:t>
      </w:r>
      <w:hyperlink r:id="rId88" w:history="1">
        <w:r w:rsidRPr="00833AAA">
          <w:rPr>
            <w:rStyle w:val="Hyperlink"/>
          </w:rPr>
          <w:t>Supervision and support framework in housing</w:t>
        </w:r>
      </w:hyperlink>
      <w:r>
        <w:t xml:space="preserve"> </w:t>
      </w:r>
      <w:r w:rsidRPr="00D64F1C">
        <w:t>&lt;https://dhhsvicgovau.sharepoint.com/:w:/r/sites/Publichousingresources/_layouts/15/Doc.aspx?sourcedoc=%7B4A84DECE-A10A-4955-8448-BCFA0CA0000B%7D&amp;file=FINAL-Supervision-and-support-framework-in-housing-June-2021-.docx&amp;action=default&amp;mobileredirect=true&gt;</w:t>
      </w:r>
    </w:p>
    <w:p w14:paraId="5601D7D7" w14:textId="77777777" w:rsidR="006F5298" w:rsidRDefault="006F5298">
      <w:pPr>
        <w:spacing w:after="0" w:line="240" w:lineRule="auto"/>
        <w:rPr>
          <w:rFonts w:eastAsia="MS Gothic" w:cs="Arial"/>
          <w:bCs/>
          <w:color w:val="002060"/>
          <w:kern w:val="32"/>
          <w:sz w:val="44"/>
          <w:szCs w:val="44"/>
        </w:rPr>
      </w:pPr>
      <w:bookmarkStart w:id="488" w:name="_rjefff" w:colFirst="0" w:colLast="0"/>
      <w:bookmarkEnd w:id="484"/>
      <w:bookmarkEnd w:id="485"/>
      <w:bookmarkEnd w:id="486"/>
      <w:bookmarkEnd w:id="488"/>
      <w:r>
        <w:rPr>
          <w:color w:val="002060"/>
        </w:rPr>
        <w:br w:type="page"/>
      </w:r>
    </w:p>
    <w:p w14:paraId="41EE0B17" w14:textId="5948B984" w:rsidR="007D27F9" w:rsidRDefault="007D27F9" w:rsidP="000E7482">
      <w:pPr>
        <w:pStyle w:val="Heading1"/>
        <w:numPr>
          <w:ilvl w:val="0"/>
          <w:numId w:val="23"/>
        </w:numPr>
        <w:pBdr>
          <w:top w:val="nil"/>
          <w:left w:val="nil"/>
          <w:bottom w:val="nil"/>
          <w:right w:val="nil"/>
          <w:between w:val="nil"/>
        </w:pBdr>
        <w:spacing w:line="240" w:lineRule="auto"/>
        <w:rPr>
          <w:color w:val="002060"/>
        </w:rPr>
      </w:pPr>
      <w:bookmarkStart w:id="489" w:name="_Toc145318643"/>
      <w:r>
        <w:rPr>
          <w:color w:val="002060"/>
        </w:rPr>
        <w:lastRenderedPageBreak/>
        <w:t>C</w:t>
      </w:r>
      <w:r w:rsidRPr="00EC7B59">
        <w:rPr>
          <w:color w:val="002060"/>
        </w:rPr>
        <w:t>omplex needs contacts</w:t>
      </w:r>
      <w:bookmarkEnd w:id="5"/>
      <w:bookmarkEnd w:id="6"/>
      <w:bookmarkEnd w:id="7"/>
      <w:bookmarkEnd w:id="8"/>
      <w:bookmarkEnd w:id="9"/>
      <w:bookmarkEnd w:id="489"/>
    </w:p>
    <w:p w14:paraId="642C4473" w14:textId="0FCE8A95" w:rsidR="007D27F9" w:rsidRDefault="007D27F9" w:rsidP="007D27F9">
      <w:pPr>
        <w:pStyle w:val="Body"/>
      </w:pPr>
      <w:bookmarkStart w:id="490" w:name="_Hlk15042223"/>
      <w:r>
        <w:t>Complex Needs Coordinator</w:t>
      </w:r>
      <w:r w:rsidR="006F5298">
        <w:t>s in local areas are</w:t>
      </w:r>
      <w:r>
        <w:t xml:space="preserve"> first point of contact for all complex needs queries.</w:t>
      </w:r>
      <w:bookmarkStart w:id="491" w:name="_j8sehv" w:colFirst="0" w:colLast="0"/>
      <w:bookmarkEnd w:id="491"/>
    </w:p>
    <w:p w14:paraId="114ADA7A" w14:textId="77777777" w:rsidR="007D27F9" w:rsidRDefault="007D27F9" w:rsidP="007D27F9">
      <w:pPr>
        <w:pStyle w:val="Heading3"/>
      </w:pPr>
      <w:r>
        <w:t>General enquiries</w:t>
      </w:r>
    </w:p>
    <w:tbl>
      <w:tblPr>
        <w:tblStyle w:val="TableGrid"/>
        <w:tblW w:w="5000" w:type="pct"/>
        <w:tblLook w:val="04A0" w:firstRow="1" w:lastRow="0" w:firstColumn="1" w:lastColumn="0" w:noHBand="0" w:noVBand="1"/>
      </w:tblPr>
      <w:tblGrid>
        <w:gridCol w:w="3282"/>
        <w:gridCol w:w="2051"/>
        <w:gridCol w:w="3955"/>
      </w:tblGrid>
      <w:tr w:rsidR="007D27F9" w:rsidRPr="00487627" w14:paraId="7BA48474" w14:textId="77777777">
        <w:tc>
          <w:tcPr>
            <w:tcW w:w="1787" w:type="pct"/>
          </w:tcPr>
          <w:p w14:paraId="7FAC46F8" w14:textId="77777777" w:rsidR="007D27F9" w:rsidRPr="00487627" w:rsidRDefault="007D27F9">
            <w:pPr>
              <w:pStyle w:val="Tablecolhead"/>
            </w:pPr>
            <w:r w:rsidRPr="00487627">
              <w:t>Area</w:t>
            </w:r>
          </w:p>
        </w:tc>
        <w:tc>
          <w:tcPr>
            <w:tcW w:w="1124" w:type="pct"/>
          </w:tcPr>
          <w:p w14:paraId="0F2B9155" w14:textId="77777777" w:rsidR="007D27F9" w:rsidRPr="00487627" w:rsidRDefault="007D27F9">
            <w:pPr>
              <w:pStyle w:val="Tablecolhead"/>
            </w:pPr>
            <w:r w:rsidRPr="00487627">
              <w:t>Office</w:t>
            </w:r>
          </w:p>
        </w:tc>
        <w:tc>
          <w:tcPr>
            <w:tcW w:w="2089" w:type="pct"/>
          </w:tcPr>
          <w:p w14:paraId="15731976" w14:textId="77777777" w:rsidR="007D27F9" w:rsidRPr="00487627" w:rsidRDefault="007D27F9">
            <w:pPr>
              <w:pStyle w:val="Tablecolhead"/>
            </w:pPr>
            <w:r w:rsidRPr="00487627">
              <w:t>Contact</w:t>
            </w:r>
          </w:p>
        </w:tc>
      </w:tr>
      <w:tr w:rsidR="007D27F9" w:rsidRPr="001B0D1A" w14:paraId="0ADAA8F5" w14:textId="77777777">
        <w:tc>
          <w:tcPr>
            <w:tcW w:w="1787" w:type="pct"/>
          </w:tcPr>
          <w:p w14:paraId="717A4602" w14:textId="77777777" w:rsidR="007D27F9" w:rsidRPr="001B0D1A" w:rsidRDefault="007D27F9">
            <w:pPr>
              <w:pStyle w:val="Tabletext"/>
              <w:rPr>
                <w:rFonts w:cs="Arial"/>
                <w:szCs w:val="21"/>
              </w:rPr>
            </w:pPr>
            <w:r>
              <w:rPr>
                <w:rFonts w:cs="Arial"/>
                <w:szCs w:val="21"/>
              </w:rPr>
              <w:t>Statewide</w:t>
            </w:r>
          </w:p>
        </w:tc>
        <w:tc>
          <w:tcPr>
            <w:tcW w:w="1124" w:type="pct"/>
          </w:tcPr>
          <w:p w14:paraId="7ADC9BE8" w14:textId="77777777" w:rsidR="007D27F9" w:rsidRPr="001B0D1A" w:rsidRDefault="007D27F9">
            <w:pPr>
              <w:pStyle w:val="Tabletext"/>
              <w:rPr>
                <w:rFonts w:cs="Arial"/>
                <w:szCs w:val="21"/>
              </w:rPr>
            </w:pPr>
            <w:r>
              <w:rPr>
                <w:rFonts w:cs="Arial"/>
                <w:szCs w:val="21"/>
              </w:rPr>
              <w:t>Melbourne CBD</w:t>
            </w:r>
          </w:p>
        </w:tc>
        <w:tc>
          <w:tcPr>
            <w:tcW w:w="2089" w:type="pct"/>
          </w:tcPr>
          <w:p w14:paraId="7C5603BF" w14:textId="77777777" w:rsidR="007D27F9" w:rsidRPr="001B0D1A" w:rsidRDefault="006D511F">
            <w:pPr>
              <w:pStyle w:val="Tabletext"/>
              <w:rPr>
                <w:rFonts w:cs="Arial"/>
                <w:szCs w:val="21"/>
              </w:rPr>
            </w:pPr>
            <w:hyperlink r:id="rId89" w:history="1">
              <w:r w:rsidR="007D27F9" w:rsidRPr="00AD04F0">
                <w:rPr>
                  <w:rStyle w:val="Hyperlink"/>
                </w:rPr>
                <w:t>Central.ComplexNeeds@dffh.vic.gov.au</w:t>
              </w:r>
            </w:hyperlink>
          </w:p>
        </w:tc>
      </w:tr>
    </w:tbl>
    <w:p w14:paraId="01906825" w14:textId="77777777" w:rsidR="007D27F9" w:rsidRPr="00487627" w:rsidRDefault="007D27F9" w:rsidP="007D27F9">
      <w:pPr>
        <w:pStyle w:val="Heading3"/>
      </w:pPr>
      <w:r w:rsidRPr="00487627">
        <w:t>North division</w:t>
      </w:r>
    </w:p>
    <w:tbl>
      <w:tblPr>
        <w:tblStyle w:val="TableGrid"/>
        <w:tblW w:w="5000" w:type="pct"/>
        <w:tblLook w:val="04A0" w:firstRow="1" w:lastRow="0" w:firstColumn="1" w:lastColumn="0" w:noHBand="0" w:noVBand="1"/>
      </w:tblPr>
      <w:tblGrid>
        <w:gridCol w:w="2899"/>
        <w:gridCol w:w="1676"/>
        <w:gridCol w:w="4713"/>
      </w:tblGrid>
      <w:tr w:rsidR="007D27F9" w:rsidRPr="00487627" w14:paraId="09366559" w14:textId="77777777">
        <w:tc>
          <w:tcPr>
            <w:tcW w:w="2191" w:type="pct"/>
          </w:tcPr>
          <w:p w14:paraId="1BF7FC34" w14:textId="77777777" w:rsidR="007D27F9" w:rsidRPr="00487627" w:rsidRDefault="007D27F9">
            <w:pPr>
              <w:pStyle w:val="Tablecolhead"/>
            </w:pPr>
            <w:bookmarkStart w:id="492" w:name="_Hlk10726012"/>
            <w:r w:rsidRPr="00487627">
              <w:t>Area</w:t>
            </w:r>
          </w:p>
        </w:tc>
        <w:tc>
          <w:tcPr>
            <w:tcW w:w="1528" w:type="pct"/>
          </w:tcPr>
          <w:p w14:paraId="1393298A" w14:textId="77777777" w:rsidR="007D27F9" w:rsidRPr="00487627" w:rsidRDefault="007D27F9">
            <w:pPr>
              <w:pStyle w:val="Tablecolhead"/>
            </w:pPr>
            <w:r w:rsidRPr="00487627">
              <w:t>Office</w:t>
            </w:r>
          </w:p>
        </w:tc>
        <w:tc>
          <w:tcPr>
            <w:tcW w:w="1281" w:type="pct"/>
          </w:tcPr>
          <w:p w14:paraId="0FAD5F87" w14:textId="77777777" w:rsidR="007D27F9" w:rsidRPr="00487627" w:rsidRDefault="007D27F9">
            <w:pPr>
              <w:pStyle w:val="Tablecolhead"/>
            </w:pPr>
            <w:r w:rsidRPr="00487627">
              <w:t>Contact</w:t>
            </w:r>
          </w:p>
        </w:tc>
      </w:tr>
      <w:tr w:rsidR="007D27F9" w:rsidRPr="001B0D1A" w14:paraId="437AC9D1" w14:textId="77777777">
        <w:tc>
          <w:tcPr>
            <w:tcW w:w="2191" w:type="pct"/>
          </w:tcPr>
          <w:p w14:paraId="06DAB202" w14:textId="77777777" w:rsidR="007D27F9" w:rsidRPr="001B0D1A" w:rsidRDefault="007D27F9">
            <w:pPr>
              <w:pStyle w:val="Tabletext"/>
              <w:rPr>
                <w:rFonts w:cs="Arial"/>
              </w:rPr>
            </w:pPr>
            <w:bookmarkStart w:id="493" w:name="_Int_ucNIfPij"/>
            <w:r w:rsidRPr="638F93E6">
              <w:rPr>
                <w:rFonts w:cs="Arial"/>
              </w:rPr>
              <w:t>North East</w:t>
            </w:r>
            <w:bookmarkEnd w:id="493"/>
            <w:r w:rsidRPr="638F93E6">
              <w:rPr>
                <w:rFonts w:cs="Arial"/>
              </w:rPr>
              <w:t xml:space="preserve"> Melbourne</w:t>
            </w:r>
          </w:p>
        </w:tc>
        <w:tc>
          <w:tcPr>
            <w:tcW w:w="1528" w:type="pct"/>
          </w:tcPr>
          <w:p w14:paraId="0EEBA812" w14:textId="77777777" w:rsidR="007D27F9" w:rsidRPr="001B0D1A" w:rsidRDefault="007D27F9">
            <w:pPr>
              <w:pStyle w:val="Tabletext"/>
              <w:rPr>
                <w:rFonts w:cs="Arial"/>
                <w:szCs w:val="21"/>
              </w:rPr>
            </w:pPr>
            <w:r w:rsidRPr="001B0D1A">
              <w:rPr>
                <w:rFonts w:cs="Arial"/>
                <w:szCs w:val="21"/>
              </w:rPr>
              <w:t>Preston</w:t>
            </w:r>
          </w:p>
        </w:tc>
        <w:tc>
          <w:tcPr>
            <w:tcW w:w="1281" w:type="pct"/>
          </w:tcPr>
          <w:p w14:paraId="019B7241" w14:textId="77777777" w:rsidR="007D27F9" w:rsidRPr="001B0D1A" w:rsidRDefault="006D511F">
            <w:pPr>
              <w:pStyle w:val="Tabletext"/>
              <w:rPr>
                <w:rFonts w:cs="Arial"/>
                <w:szCs w:val="21"/>
              </w:rPr>
            </w:pPr>
            <w:hyperlink r:id="rId90" w:history="1">
              <w:r w:rsidR="007D27F9" w:rsidRPr="005948AF">
                <w:rPr>
                  <w:rStyle w:val="Hyperlink"/>
                  <w:rFonts w:eastAsia="MS Mincho" w:cs="Arial"/>
                  <w:szCs w:val="21"/>
                  <w:shd w:val="clear" w:color="auto" w:fill="FFFFFF"/>
                </w:rPr>
                <w:t>NEMAComplexClients@dffh.vic.gov.au</w:t>
              </w:r>
            </w:hyperlink>
          </w:p>
        </w:tc>
      </w:tr>
      <w:tr w:rsidR="007D27F9" w:rsidRPr="001B0D1A" w14:paraId="638E0123" w14:textId="77777777">
        <w:tc>
          <w:tcPr>
            <w:tcW w:w="2191" w:type="pct"/>
          </w:tcPr>
          <w:p w14:paraId="589D40D6" w14:textId="77777777" w:rsidR="007D27F9" w:rsidRPr="001B0D1A" w:rsidRDefault="007D27F9">
            <w:pPr>
              <w:pStyle w:val="Tabletext"/>
              <w:rPr>
                <w:rFonts w:cs="Arial"/>
                <w:szCs w:val="21"/>
              </w:rPr>
            </w:pPr>
            <w:r w:rsidRPr="001B0D1A">
              <w:rPr>
                <w:rFonts w:cs="Arial"/>
                <w:szCs w:val="21"/>
              </w:rPr>
              <w:t>Hume M</w:t>
            </w:r>
            <w:r>
              <w:rPr>
                <w:rFonts w:cs="Arial"/>
                <w:szCs w:val="21"/>
              </w:rPr>
              <w:t>erri-bek</w:t>
            </w:r>
          </w:p>
        </w:tc>
        <w:tc>
          <w:tcPr>
            <w:tcW w:w="1528" w:type="pct"/>
          </w:tcPr>
          <w:p w14:paraId="23CD40A3" w14:textId="77777777" w:rsidR="007D27F9" w:rsidRPr="001B0D1A" w:rsidRDefault="007D27F9">
            <w:pPr>
              <w:pStyle w:val="Tabletext"/>
              <w:rPr>
                <w:rFonts w:cs="Arial"/>
                <w:szCs w:val="21"/>
              </w:rPr>
            </w:pPr>
            <w:r w:rsidRPr="001B0D1A">
              <w:rPr>
                <w:rFonts w:cs="Arial"/>
                <w:szCs w:val="21"/>
              </w:rPr>
              <w:t>Broadmeadows</w:t>
            </w:r>
          </w:p>
        </w:tc>
        <w:tc>
          <w:tcPr>
            <w:tcW w:w="1281" w:type="pct"/>
          </w:tcPr>
          <w:p w14:paraId="14358077" w14:textId="77777777" w:rsidR="007D27F9" w:rsidRPr="001B0D1A" w:rsidRDefault="006D511F">
            <w:pPr>
              <w:pStyle w:val="Tabletext"/>
              <w:rPr>
                <w:rFonts w:cs="Arial"/>
                <w:szCs w:val="21"/>
              </w:rPr>
            </w:pPr>
            <w:hyperlink r:id="rId91" w:history="1">
              <w:r w:rsidR="007D27F9" w:rsidRPr="002258CC">
                <w:rPr>
                  <w:rStyle w:val="Hyperlink"/>
                  <w:rFonts w:cs="Arial"/>
                  <w:szCs w:val="21"/>
                </w:rPr>
                <w:t>HumeMoreland.ComplexNeeds@dffh.vic.gov.au</w:t>
              </w:r>
            </w:hyperlink>
          </w:p>
        </w:tc>
      </w:tr>
      <w:tr w:rsidR="007D27F9" w:rsidRPr="001B0D1A" w14:paraId="58754533" w14:textId="77777777">
        <w:tc>
          <w:tcPr>
            <w:tcW w:w="2191" w:type="pct"/>
          </w:tcPr>
          <w:p w14:paraId="59CE867D" w14:textId="77777777" w:rsidR="007D27F9" w:rsidRPr="001B0D1A" w:rsidRDefault="007D27F9">
            <w:pPr>
              <w:pStyle w:val="Tabletext"/>
              <w:rPr>
                <w:rFonts w:cs="Arial"/>
                <w:szCs w:val="21"/>
              </w:rPr>
            </w:pPr>
            <w:r w:rsidRPr="001B0D1A">
              <w:rPr>
                <w:rFonts w:cs="Arial"/>
                <w:szCs w:val="21"/>
              </w:rPr>
              <w:t>Loddon</w:t>
            </w:r>
          </w:p>
        </w:tc>
        <w:tc>
          <w:tcPr>
            <w:tcW w:w="1528" w:type="pct"/>
          </w:tcPr>
          <w:p w14:paraId="630A3D07" w14:textId="77777777" w:rsidR="007D27F9" w:rsidRPr="001B0D1A" w:rsidRDefault="007D27F9">
            <w:pPr>
              <w:pStyle w:val="Tabletext"/>
              <w:rPr>
                <w:rFonts w:cs="Arial"/>
                <w:szCs w:val="21"/>
              </w:rPr>
            </w:pPr>
            <w:r w:rsidRPr="001B0D1A">
              <w:rPr>
                <w:rFonts w:cs="Arial"/>
                <w:szCs w:val="21"/>
              </w:rPr>
              <w:t>Bendigo</w:t>
            </w:r>
          </w:p>
        </w:tc>
        <w:tc>
          <w:tcPr>
            <w:tcW w:w="1281" w:type="pct"/>
          </w:tcPr>
          <w:p w14:paraId="1AD42AA9" w14:textId="77777777" w:rsidR="007D27F9" w:rsidRPr="001B0D1A" w:rsidRDefault="006D511F">
            <w:pPr>
              <w:pStyle w:val="Tabletext"/>
              <w:rPr>
                <w:rFonts w:cs="Arial"/>
                <w:szCs w:val="21"/>
              </w:rPr>
            </w:pPr>
            <w:hyperlink r:id="rId92" w:history="1">
              <w:r w:rsidR="007D27F9" w:rsidRPr="005948AF">
                <w:rPr>
                  <w:rStyle w:val="Hyperlink"/>
                  <w:rFonts w:cs="Arial"/>
                  <w:szCs w:val="21"/>
                </w:rPr>
                <w:t>Loddon.ComplexNeeds@dffh.vic.gov.au</w:t>
              </w:r>
            </w:hyperlink>
          </w:p>
        </w:tc>
      </w:tr>
      <w:tr w:rsidR="007D27F9" w:rsidRPr="001B0D1A" w14:paraId="36FD4CC0" w14:textId="77777777">
        <w:tc>
          <w:tcPr>
            <w:tcW w:w="2191" w:type="pct"/>
          </w:tcPr>
          <w:p w14:paraId="25EC8B06" w14:textId="77777777" w:rsidR="007D27F9" w:rsidRPr="001B0D1A" w:rsidRDefault="007D27F9">
            <w:pPr>
              <w:pStyle w:val="Tabletext"/>
              <w:rPr>
                <w:rFonts w:cs="Arial"/>
                <w:szCs w:val="21"/>
              </w:rPr>
            </w:pPr>
            <w:r w:rsidRPr="001B0D1A">
              <w:rPr>
                <w:rFonts w:cs="Arial"/>
                <w:szCs w:val="21"/>
              </w:rPr>
              <w:t>Mallee</w:t>
            </w:r>
          </w:p>
        </w:tc>
        <w:tc>
          <w:tcPr>
            <w:tcW w:w="1528" w:type="pct"/>
          </w:tcPr>
          <w:p w14:paraId="7E9E2251" w14:textId="77777777" w:rsidR="007D27F9" w:rsidRPr="001B0D1A" w:rsidRDefault="007D27F9">
            <w:pPr>
              <w:pStyle w:val="Tabletext"/>
              <w:rPr>
                <w:rFonts w:cs="Arial"/>
                <w:szCs w:val="21"/>
              </w:rPr>
            </w:pPr>
            <w:r w:rsidRPr="001B0D1A">
              <w:rPr>
                <w:rFonts w:cs="Arial"/>
                <w:szCs w:val="21"/>
              </w:rPr>
              <w:t>Mildura</w:t>
            </w:r>
          </w:p>
        </w:tc>
        <w:tc>
          <w:tcPr>
            <w:tcW w:w="1281" w:type="pct"/>
          </w:tcPr>
          <w:p w14:paraId="13978606" w14:textId="77777777" w:rsidR="007D27F9" w:rsidRPr="001B0D1A" w:rsidRDefault="006D511F">
            <w:pPr>
              <w:pStyle w:val="Tabletext"/>
              <w:rPr>
                <w:rFonts w:cs="Arial"/>
                <w:szCs w:val="21"/>
              </w:rPr>
            </w:pPr>
            <w:hyperlink r:id="rId93" w:history="1">
              <w:r w:rsidR="007D27F9" w:rsidRPr="00FD7B7E">
                <w:rPr>
                  <w:rStyle w:val="Hyperlink"/>
                  <w:rFonts w:cs="Arial"/>
                  <w:szCs w:val="21"/>
                </w:rPr>
                <w:t>MalleeComplexNeeds@dffh.vic.gov.au</w:t>
              </w:r>
            </w:hyperlink>
          </w:p>
        </w:tc>
      </w:tr>
    </w:tbl>
    <w:bookmarkEnd w:id="492"/>
    <w:p w14:paraId="2E7640E9" w14:textId="77777777" w:rsidR="007D27F9" w:rsidRPr="00487627" w:rsidRDefault="007D27F9" w:rsidP="007D27F9">
      <w:pPr>
        <w:pStyle w:val="Heading3"/>
      </w:pPr>
      <w:r w:rsidRPr="00487627">
        <w:t>East division</w:t>
      </w:r>
    </w:p>
    <w:tbl>
      <w:tblPr>
        <w:tblStyle w:val="TableGrid"/>
        <w:tblW w:w="5000" w:type="pct"/>
        <w:tblLook w:val="04A0" w:firstRow="1" w:lastRow="0" w:firstColumn="1" w:lastColumn="0" w:noHBand="0" w:noVBand="1"/>
      </w:tblPr>
      <w:tblGrid>
        <w:gridCol w:w="2991"/>
        <w:gridCol w:w="1759"/>
        <w:gridCol w:w="4538"/>
      </w:tblGrid>
      <w:tr w:rsidR="007D27F9" w:rsidRPr="00487627" w14:paraId="5DD0712C" w14:textId="77777777">
        <w:tc>
          <w:tcPr>
            <w:tcW w:w="2191" w:type="pct"/>
          </w:tcPr>
          <w:p w14:paraId="09A4F859" w14:textId="77777777" w:rsidR="007D27F9" w:rsidRPr="00487627" w:rsidRDefault="007D27F9">
            <w:pPr>
              <w:pStyle w:val="Tablecolhead"/>
            </w:pPr>
            <w:r w:rsidRPr="00487627">
              <w:t>Area</w:t>
            </w:r>
          </w:p>
        </w:tc>
        <w:tc>
          <w:tcPr>
            <w:tcW w:w="1528" w:type="pct"/>
          </w:tcPr>
          <w:p w14:paraId="18D82FAC" w14:textId="77777777" w:rsidR="007D27F9" w:rsidRPr="00487627" w:rsidRDefault="007D27F9">
            <w:pPr>
              <w:pStyle w:val="Tablecolhead"/>
            </w:pPr>
            <w:r w:rsidRPr="00487627">
              <w:t>Office</w:t>
            </w:r>
          </w:p>
        </w:tc>
        <w:tc>
          <w:tcPr>
            <w:tcW w:w="1281" w:type="pct"/>
          </w:tcPr>
          <w:p w14:paraId="38A99BF2" w14:textId="77777777" w:rsidR="007D27F9" w:rsidRPr="00487627" w:rsidRDefault="007D27F9">
            <w:pPr>
              <w:pStyle w:val="Tablecolhead"/>
            </w:pPr>
            <w:r w:rsidRPr="00487627">
              <w:t>Contact</w:t>
            </w:r>
          </w:p>
        </w:tc>
      </w:tr>
      <w:tr w:rsidR="007D27F9" w:rsidRPr="001B0D1A" w14:paraId="2AF06209" w14:textId="77777777">
        <w:tc>
          <w:tcPr>
            <w:tcW w:w="2191" w:type="pct"/>
          </w:tcPr>
          <w:p w14:paraId="20929228" w14:textId="77777777" w:rsidR="007D27F9" w:rsidRPr="001B0D1A" w:rsidRDefault="007D27F9">
            <w:pPr>
              <w:pStyle w:val="Tabletext"/>
              <w:rPr>
                <w:rFonts w:cs="Arial"/>
                <w:szCs w:val="21"/>
              </w:rPr>
            </w:pPr>
            <w:r w:rsidRPr="001B0D1A">
              <w:rPr>
                <w:rFonts w:cs="Arial"/>
                <w:szCs w:val="21"/>
              </w:rPr>
              <w:t>Inner Eastern Melbourne</w:t>
            </w:r>
          </w:p>
        </w:tc>
        <w:tc>
          <w:tcPr>
            <w:tcW w:w="1528" w:type="pct"/>
          </w:tcPr>
          <w:p w14:paraId="31FDD4F6" w14:textId="77777777" w:rsidR="007D27F9" w:rsidRPr="001B0D1A" w:rsidRDefault="007D27F9">
            <w:pPr>
              <w:pStyle w:val="Tabletext"/>
              <w:rPr>
                <w:rFonts w:cs="Arial"/>
                <w:szCs w:val="21"/>
              </w:rPr>
            </w:pPr>
            <w:r w:rsidRPr="001B0D1A">
              <w:rPr>
                <w:rFonts w:cs="Arial"/>
                <w:szCs w:val="21"/>
              </w:rPr>
              <w:t>Box Hill</w:t>
            </w:r>
          </w:p>
        </w:tc>
        <w:tc>
          <w:tcPr>
            <w:tcW w:w="1281" w:type="pct"/>
          </w:tcPr>
          <w:p w14:paraId="71DF9F55" w14:textId="77777777" w:rsidR="007D27F9" w:rsidRPr="001B0D1A" w:rsidRDefault="006D511F">
            <w:pPr>
              <w:pStyle w:val="Tabletext"/>
              <w:rPr>
                <w:rFonts w:cs="Arial"/>
                <w:szCs w:val="21"/>
              </w:rPr>
            </w:pPr>
            <w:hyperlink r:id="rId94" w:history="1">
              <w:r w:rsidR="007D27F9" w:rsidRPr="005948AF">
                <w:rPr>
                  <w:rStyle w:val="Hyperlink"/>
                  <w:rFonts w:eastAsia="MS Mincho" w:cs="Arial"/>
                  <w:szCs w:val="21"/>
                  <w:shd w:val="clear" w:color="auto" w:fill="FFFFFF"/>
                </w:rPr>
                <w:t>IEMAComplexNeeds@dffh.vic.gov.au</w:t>
              </w:r>
            </w:hyperlink>
          </w:p>
        </w:tc>
      </w:tr>
      <w:tr w:rsidR="007D27F9" w:rsidRPr="001B0D1A" w14:paraId="1BFC9848" w14:textId="77777777">
        <w:tc>
          <w:tcPr>
            <w:tcW w:w="2191" w:type="pct"/>
          </w:tcPr>
          <w:p w14:paraId="62EDCB4F" w14:textId="77777777" w:rsidR="007D27F9" w:rsidRPr="001B0D1A" w:rsidRDefault="007D27F9">
            <w:pPr>
              <w:pStyle w:val="Tabletext"/>
              <w:rPr>
                <w:rFonts w:cs="Arial"/>
                <w:szCs w:val="21"/>
              </w:rPr>
            </w:pPr>
            <w:r w:rsidRPr="001B0D1A">
              <w:rPr>
                <w:rFonts w:cs="Arial"/>
                <w:szCs w:val="21"/>
              </w:rPr>
              <w:t>Outer Eastern Melbourne</w:t>
            </w:r>
          </w:p>
        </w:tc>
        <w:tc>
          <w:tcPr>
            <w:tcW w:w="1528" w:type="pct"/>
          </w:tcPr>
          <w:p w14:paraId="579D7FF2" w14:textId="77777777" w:rsidR="007D27F9" w:rsidRPr="00D87491" w:rsidRDefault="007D27F9">
            <w:pPr>
              <w:pStyle w:val="Tabletext"/>
              <w:rPr>
                <w:rFonts w:cs="Arial"/>
                <w:szCs w:val="21"/>
              </w:rPr>
            </w:pPr>
            <w:r w:rsidRPr="00D87491">
              <w:rPr>
                <w:rFonts w:cs="Arial"/>
                <w:szCs w:val="21"/>
              </w:rPr>
              <w:t>Ringwood</w:t>
            </w:r>
          </w:p>
        </w:tc>
        <w:tc>
          <w:tcPr>
            <w:tcW w:w="1281" w:type="pct"/>
          </w:tcPr>
          <w:p w14:paraId="5042567B" w14:textId="77777777" w:rsidR="007D27F9" w:rsidRPr="00A51259" w:rsidRDefault="006D511F">
            <w:pPr>
              <w:pStyle w:val="Tabletext"/>
              <w:rPr>
                <w:szCs w:val="21"/>
              </w:rPr>
            </w:pPr>
            <w:hyperlink r:id="rId95" w:history="1">
              <w:r w:rsidR="007D27F9" w:rsidRPr="00D87491">
                <w:rPr>
                  <w:rStyle w:val="Hyperlink"/>
                  <w:szCs w:val="21"/>
                </w:rPr>
                <w:t>OEMA.ComplexNeeds@dffh.vic.gov.au</w:t>
              </w:r>
            </w:hyperlink>
          </w:p>
        </w:tc>
      </w:tr>
      <w:tr w:rsidR="007D27F9" w:rsidRPr="001B0D1A" w14:paraId="5A456E8C" w14:textId="77777777">
        <w:tc>
          <w:tcPr>
            <w:tcW w:w="2191" w:type="pct"/>
          </w:tcPr>
          <w:p w14:paraId="446AD5B4" w14:textId="77777777" w:rsidR="007D27F9" w:rsidRPr="001B0D1A" w:rsidRDefault="007D27F9">
            <w:pPr>
              <w:pStyle w:val="Tabletext"/>
              <w:rPr>
                <w:rFonts w:cs="Arial"/>
                <w:szCs w:val="21"/>
              </w:rPr>
            </w:pPr>
            <w:r w:rsidRPr="001B0D1A">
              <w:rPr>
                <w:rFonts w:cs="Arial"/>
                <w:szCs w:val="21"/>
              </w:rPr>
              <w:t>Goulburn</w:t>
            </w:r>
          </w:p>
        </w:tc>
        <w:tc>
          <w:tcPr>
            <w:tcW w:w="1528" w:type="pct"/>
          </w:tcPr>
          <w:p w14:paraId="5195222C" w14:textId="77777777" w:rsidR="007D27F9" w:rsidRPr="00D87491" w:rsidRDefault="007D27F9">
            <w:pPr>
              <w:pStyle w:val="Tabletext"/>
              <w:rPr>
                <w:rFonts w:cs="Arial"/>
                <w:szCs w:val="21"/>
              </w:rPr>
            </w:pPr>
            <w:r w:rsidRPr="00D87491">
              <w:rPr>
                <w:rFonts w:cs="Arial"/>
                <w:szCs w:val="21"/>
              </w:rPr>
              <w:t>Shepparton</w:t>
            </w:r>
          </w:p>
        </w:tc>
        <w:tc>
          <w:tcPr>
            <w:tcW w:w="1281" w:type="pct"/>
          </w:tcPr>
          <w:p w14:paraId="614CCC45" w14:textId="77777777" w:rsidR="007D27F9" w:rsidRPr="00D87491" w:rsidRDefault="006D511F">
            <w:pPr>
              <w:pStyle w:val="Tabletext"/>
              <w:rPr>
                <w:rFonts w:cs="Arial"/>
                <w:szCs w:val="21"/>
              </w:rPr>
            </w:pPr>
            <w:hyperlink r:id="rId96" w:history="1">
              <w:r w:rsidR="007D27F9" w:rsidRPr="00873B65">
                <w:rPr>
                  <w:rStyle w:val="Hyperlink"/>
                  <w:rFonts w:cs="Arial"/>
                  <w:szCs w:val="21"/>
                </w:rPr>
                <w:t>Goulburn.ComplexNeeds@dffh.vic.gov.au</w:t>
              </w:r>
            </w:hyperlink>
          </w:p>
        </w:tc>
      </w:tr>
      <w:tr w:rsidR="007D27F9" w:rsidRPr="001B0D1A" w14:paraId="25F32CC9" w14:textId="77777777">
        <w:tc>
          <w:tcPr>
            <w:tcW w:w="2191" w:type="pct"/>
          </w:tcPr>
          <w:p w14:paraId="34AED7E3" w14:textId="77777777" w:rsidR="007D27F9" w:rsidRPr="001B0D1A" w:rsidRDefault="007D27F9">
            <w:pPr>
              <w:pStyle w:val="Tabletext"/>
              <w:rPr>
                <w:rFonts w:cs="Arial"/>
                <w:szCs w:val="21"/>
              </w:rPr>
            </w:pPr>
            <w:r w:rsidRPr="001B0D1A">
              <w:rPr>
                <w:rFonts w:cs="Arial"/>
                <w:szCs w:val="21"/>
              </w:rPr>
              <w:t>Ovens Murray</w:t>
            </w:r>
          </w:p>
        </w:tc>
        <w:tc>
          <w:tcPr>
            <w:tcW w:w="1528" w:type="pct"/>
          </w:tcPr>
          <w:p w14:paraId="329CEFF0" w14:textId="77777777" w:rsidR="007D27F9" w:rsidRPr="001B0D1A" w:rsidRDefault="007D27F9">
            <w:pPr>
              <w:pStyle w:val="Tabletext"/>
              <w:rPr>
                <w:rFonts w:cs="Arial"/>
                <w:szCs w:val="21"/>
              </w:rPr>
            </w:pPr>
            <w:r w:rsidRPr="001B0D1A">
              <w:rPr>
                <w:rFonts w:cs="Arial"/>
                <w:szCs w:val="21"/>
              </w:rPr>
              <w:t>Wangaratta</w:t>
            </w:r>
          </w:p>
        </w:tc>
        <w:tc>
          <w:tcPr>
            <w:tcW w:w="1281" w:type="pct"/>
          </w:tcPr>
          <w:p w14:paraId="49ADA72C" w14:textId="77777777" w:rsidR="007D27F9" w:rsidRPr="001B0D1A" w:rsidRDefault="006D511F">
            <w:pPr>
              <w:pStyle w:val="Tabletext"/>
              <w:rPr>
                <w:rFonts w:cs="Arial"/>
                <w:szCs w:val="21"/>
              </w:rPr>
            </w:pPr>
            <w:hyperlink r:id="rId97" w:history="1">
              <w:r w:rsidR="007D27F9" w:rsidRPr="00890CBF">
                <w:rPr>
                  <w:rStyle w:val="Hyperlink"/>
                  <w:rFonts w:cs="Arial"/>
                  <w:szCs w:val="21"/>
                </w:rPr>
                <w:t>OvensMurray.ComplexNeeds@dffh.vic.gov.au</w:t>
              </w:r>
            </w:hyperlink>
          </w:p>
        </w:tc>
      </w:tr>
    </w:tbl>
    <w:p w14:paraId="7D09E0C6" w14:textId="77777777" w:rsidR="007D27F9" w:rsidRPr="00487627" w:rsidRDefault="007D27F9" w:rsidP="007D27F9">
      <w:pPr>
        <w:pStyle w:val="Heading3"/>
      </w:pPr>
      <w:r w:rsidRPr="00487627">
        <w:t>South division</w:t>
      </w:r>
    </w:p>
    <w:tbl>
      <w:tblPr>
        <w:tblStyle w:val="TableGrid"/>
        <w:tblW w:w="5000" w:type="pct"/>
        <w:tblLook w:val="04A0" w:firstRow="1" w:lastRow="0" w:firstColumn="1" w:lastColumn="0" w:noHBand="0" w:noVBand="1"/>
      </w:tblPr>
      <w:tblGrid>
        <w:gridCol w:w="3446"/>
        <w:gridCol w:w="2214"/>
        <w:gridCol w:w="3628"/>
      </w:tblGrid>
      <w:tr w:rsidR="007D27F9" w:rsidRPr="00487627" w14:paraId="4CA7F711" w14:textId="77777777">
        <w:tc>
          <w:tcPr>
            <w:tcW w:w="2191" w:type="pct"/>
          </w:tcPr>
          <w:p w14:paraId="7F011040" w14:textId="77777777" w:rsidR="007D27F9" w:rsidRPr="00487627" w:rsidRDefault="007D27F9">
            <w:pPr>
              <w:pStyle w:val="Tablecolhead"/>
            </w:pPr>
            <w:r w:rsidRPr="00487627">
              <w:t>Area</w:t>
            </w:r>
          </w:p>
        </w:tc>
        <w:tc>
          <w:tcPr>
            <w:tcW w:w="1528" w:type="pct"/>
          </w:tcPr>
          <w:p w14:paraId="66D95F0F" w14:textId="77777777" w:rsidR="007D27F9" w:rsidRPr="00487627" w:rsidRDefault="007D27F9">
            <w:pPr>
              <w:pStyle w:val="Tablecolhead"/>
            </w:pPr>
            <w:r w:rsidRPr="00487627">
              <w:t>Office</w:t>
            </w:r>
          </w:p>
        </w:tc>
        <w:tc>
          <w:tcPr>
            <w:tcW w:w="1281" w:type="pct"/>
          </w:tcPr>
          <w:p w14:paraId="3C20AD5F" w14:textId="77777777" w:rsidR="007D27F9" w:rsidRPr="00487627" w:rsidRDefault="007D27F9">
            <w:pPr>
              <w:pStyle w:val="Tablecolhead"/>
            </w:pPr>
            <w:r w:rsidRPr="00487627">
              <w:t>Contact</w:t>
            </w:r>
          </w:p>
        </w:tc>
      </w:tr>
      <w:tr w:rsidR="007D27F9" w:rsidRPr="001B0D1A" w14:paraId="79B2942E" w14:textId="77777777">
        <w:tc>
          <w:tcPr>
            <w:tcW w:w="2191" w:type="pct"/>
          </w:tcPr>
          <w:p w14:paraId="62BE340B" w14:textId="77777777" w:rsidR="007D27F9" w:rsidRPr="001B0D1A" w:rsidRDefault="007D27F9">
            <w:pPr>
              <w:pStyle w:val="Tabletext"/>
              <w:rPr>
                <w:rFonts w:cs="Arial"/>
                <w:szCs w:val="21"/>
              </w:rPr>
            </w:pPr>
            <w:r w:rsidRPr="001B0D1A">
              <w:rPr>
                <w:rFonts w:cs="Arial"/>
                <w:szCs w:val="21"/>
              </w:rPr>
              <w:t>Southern Melbourne</w:t>
            </w:r>
          </w:p>
        </w:tc>
        <w:tc>
          <w:tcPr>
            <w:tcW w:w="1528" w:type="pct"/>
          </w:tcPr>
          <w:p w14:paraId="35DF8747" w14:textId="77777777" w:rsidR="007D27F9" w:rsidRPr="001B0D1A" w:rsidRDefault="007D27F9">
            <w:pPr>
              <w:pStyle w:val="Tabletext"/>
              <w:rPr>
                <w:rFonts w:cs="Arial"/>
                <w:szCs w:val="21"/>
              </w:rPr>
            </w:pPr>
            <w:r w:rsidRPr="001B0D1A">
              <w:rPr>
                <w:rFonts w:cs="Arial"/>
                <w:szCs w:val="21"/>
              </w:rPr>
              <w:t>Dandenong</w:t>
            </w:r>
          </w:p>
        </w:tc>
        <w:tc>
          <w:tcPr>
            <w:tcW w:w="1281" w:type="pct"/>
          </w:tcPr>
          <w:p w14:paraId="5B557D3E" w14:textId="77777777" w:rsidR="007D27F9" w:rsidRPr="001B0D1A" w:rsidRDefault="006D511F">
            <w:pPr>
              <w:pStyle w:val="Tabletext"/>
              <w:rPr>
                <w:rFonts w:cs="Arial"/>
                <w:szCs w:val="21"/>
              </w:rPr>
            </w:pPr>
            <w:hyperlink r:id="rId98" w:history="1">
              <w:r w:rsidR="007D27F9" w:rsidRPr="005948AF">
                <w:rPr>
                  <w:rStyle w:val="Hyperlink"/>
                  <w:rFonts w:eastAsia="MS Mincho" w:cs="Arial"/>
                  <w:szCs w:val="21"/>
                  <w:shd w:val="clear" w:color="auto" w:fill="FFFFFF"/>
                </w:rPr>
                <w:t>complex.clientsSM@dffh.vic.gov.au</w:t>
              </w:r>
            </w:hyperlink>
          </w:p>
        </w:tc>
      </w:tr>
      <w:tr w:rsidR="007D27F9" w:rsidRPr="001B0D1A" w14:paraId="2D8D1B18" w14:textId="77777777">
        <w:tc>
          <w:tcPr>
            <w:tcW w:w="2191" w:type="pct"/>
          </w:tcPr>
          <w:p w14:paraId="52EB8EB0" w14:textId="77777777" w:rsidR="007D27F9" w:rsidRPr="001B0D1A" w:rsidRDefault="007D27F9">
            <w:pPr>
              <w:pStyle w:val="Tabletext"/>
              <w:rPr>
                <w:rFonts w:cs="Arial"/>
                <w:szCs w:val="21"/>
              </w:rPr>
            </w:pPr>
            <w:r w:rsidRPr="001B0D1A">
              <w:rPr>
                <w:rFonts w:cs="Arial"/>
                <w:szCs w:val="21"/>
              </w:rPr>
              <w:t>Bayside Peninsula</w:t>
            </w:r>
          </w:p>
        </w:tc>
        <w:tc>
          <w:tcPr>
            <w:tcW w:w="1528" w:type="pct"/>
          </w:tcPr>
          <w:p w14:paraId="31CDD805" w14:textId="77777777" w:rsidR="007D27F9" w:rsidRPr="001B0D1A" w:rsidRDefault="007D27F9">
            <w:pPr>
              <w:pStyle w:val="Tabletext"/>
              <w:rPr>
                <w:rFonts w:cs="Arial"/>
                <w:szCs w:val="21"/>
              </w:rPr>
            </w:pPr>
            <w:r w:rsidRPr="001B0D1A">
              <w:rPr>
                <w:rFonts w:cs="Arial"/>
                <w:szCs w:val="21"/>
              </w:rPr>
              <w:t>Dandenong</w:t>
            </w:r>
          </w:p>
        </w:tc>
        <w:tc>
          <w:tcPr>
            <w:tcW w:w="1281" w:type="pct"/>
          </w:tcPr>
          <w:p w14:paraId="40E508BD" w14:textId="77777777" w:rsidR="007D27F9" w:rsidRPr="001B0D1A" w:rsidRDefault="006D511F">
            <w:pPr>
              <w:pStyle w:val="Tabletext"/>
              <w:rPr>
                <w:rFonts w:cs="Arial"/>
                <w:szCs w:val="21"/>
              </w:rPr>
            </w:pPr>
            <w:hyperlink r:id="rId99" w:history="1">
              <w:r w:rsidR="007D27F9" w:rsidRPr="005948AF">
                <w:rPr>
                  <w:rStyle w:val="Hyperlink"/>
                  <w:rFonts w:eastAsia="MS Mincho" w:cs="Arial"/>
                  <w:szCs w:val="21"/>
                  <w:shd w:val="clear" w:color="auto" w:fill="FFFFFF"/>
                </w:rPr>
                <w:t>Complex.ClientsBP@dffh.vic.gov.au</w:t>
              </w:r>
            </w:hyperlink>
          </w:p>
        </w:tc>
      </w:tr>
      <w:tr w:rsidR="007D27F9" w:rsidRPr="001B0D1A" w14:paraId="2B0B93AC" w14:textId="77777777">
        <w:tc>
          <w:tcPr>
            <w:tcW w:w="2191" w:type="pct"/>
          </w:tcPr>
          <w:p w14:paraId="195538CB" w14:textId="77777777" w:rsidR="007D27F9" w:rsidRPr="001B0D1A" w:rsidRDefault="007D27F9">
            <w:pPr>
              <w:pStyle w:val="Tabletext"/>
              <w:rPr>
                <w:rFonts w:cs="Arial"/>
                <w:szCs w:val="21"/>
              </w:rPr>
            </w:pPr>
            <w:r w:rsidRPr="001B0D1A">
              <w:rPr>
                <w:rFonts w:cs="Arial"/>
                <w:szCs w:val="21"/>
              </w:rPr>
              <w:t>Inner Gippsland</w:t>
            </w:r>
          </w:p>
        </w:tc>
        <w:tc>
          <w:tcPr>
            <w:tcW w:w="1528" w:type="pct"/>
          </w:tcPr>
          <w:p w14:paraId="75708BC0" w14:textId="77777777" w:rsidR="007D27F9" w:rsidRPr="001B0D1A" w:rsidRDefault="007D27F9">
            <w:pPr>
              <w:pStyle w:val="Tabletext"/>
              <w:rPr>
                <w:rFonts w:cs="Arial"/>
                <w:szCs w:val="21"/>
              </w:rPr>
            </w:pPr>
            <w:r w:rsidRPr="001B0D1A">
              <w:rPr>
                <w:rFonts w:cs="Arial"/>
                <w:szCs w:val="21"/>
              </w:rPr>
              <w:t>Morwell</w:t>
            </w:r>
          </w:p>
        </w:tc>
        <w:tc>
          <w:tcPr>
            <w:tcW w:w="1281" w:type="pct"/>
          </w:tcPr>
          <w:p w14:paraId="79AE33F1" w14:textId="77777777" w:rsidR="007D27F9" w:rsidRPr="001B0D1A" w:rsidRDefault="006D511F">
            <w:pPr>
              <w:pStyle w:val="Tabletext"/>
              <w:rPr>
                <w:rFonts w:cs="Arial"/>
                <w:szCs w:val="21"/>
              </w:rPr>
            </w:pPr>
            <w:hyperlink r:id="rId100" w:history="1">
              <w:r w:rsidR="007D27F9" w:rsidRPr="005948AF">
                <w:rPr>
                  <w:rStyle w:val="Hyperlink"/>
                  <w:rFonts w:eastAsia="MS Mincho" w:cs="Arial"/>
                  <w:szCs w:val="21"/>
                  <w:shd w:val="clear" w:color="auto" w:fill="FFFFFF"/>
                </w:rPr>
                <w:t>complex.clientsIG@dffh.vic.gov.au</w:t>
              </w:r>
            </w:hyperlink>
          </w:p>
        </w:tc>
      </w:tr>
      <w:tr w:rsidR="007D27F9" w:rsidRPr="001B0D1A" w14:paraId="20D1B714" w14:textId="77777777">
        <w:tc>
          <w:tcPr>
            <w:tcW w:w="2191" w:type="pct"/>
          </w:tcPr>
          <w:p w14:paraId="762CEF58" w14:textId="77777777" w:rsidR="007D27F9" w:rsidRPr="001B0D1A" w:rsidRDefault="007D27F9">
            <w:pPr>
              <w:pStyle w:val="Tabletext"/>
              <w:rPr>
                <w:rFonts w:cs="Arial"/>
                <w:szCs w:val="21"/>
              </w:rPr>
            </w:pPr>
            <w:r w:rsidRPr="001B0D1A">
              <w:rPr>
                <w:rFonts w:cs="Arial"/>
                <w:szCs w:val="21"/>
              </w:rPr>
              <w:t>Outer Gippsland</w:t>
            </w:r>
          </w:p>
        </w:tc>
        <w:tc>
          <w:tcPr>
            <w:tcW w:w="1528" w:type="pct"/>
          </w:tcPr>
          <w:p w14:paraId="34E6F636" w14:textId="77777777" w:rsidR="007D27F9" w:rsidRPr="001B0D1A" w:rsidRDefault="007D27F9">
            <w:pPr>
              <w:pStyle w:val="Tabletext"/>
              <w:rPr>
                <w:rFonts w:cs="Arial"/>
                <w:szCs w:val="21"/>
              </w:rPr>
            </w:pPr>
            <w:r w:rsidRPr="001B0D1A">
              <w:rPr>
                <w:rFonts w:cs="Arial"/>
                <w:szCs w:val="21"/>
              </w:rPr>
              <w:t>Sale</w:t>
            </w:r>
          </w:p>
        </w:tc>
        <w:tc>
          <w:tcPr>
            <w:tcW w:w="1281" w:type="pct"/>
          </w:tcPr>
          <w:p w14:paraId="1B80372F" w14:textId="7DE44DFB" w:rsidR="007D27F9" w:rsidRPr="001B0D1A" w:rsidRDefault="006D511F">
            <w:pPr>
              <w:pStyle w:val="Tabletext"/>
              <w:rPr>
                <w:rFonts w:cs="Arial"/>
                <w:szCs w:val="21"/>
              </w:rPr>
            </w:pPr>
            <w:hyperlink r:id="rId101" w:history="1">
              <w:r w:rsidR="00B11EE2" w:rsidRPr="00D25D7C">
                <w:rPr>
                  <w:rStyle w:val="Hyperlink"/>
                  <w:rFonts w:eastAsia="MS Mincho" w:cs="Arial"/>
                  <w:szCs w:val="21"/>
                  <w:shd w:val="clear" w:color="auto" w:fill="FFFFFF"/>
                </w:rPr>
                <w:t>complex.clients.oga@dffh.vic.gov.au</w:t>
              </w:r>
            </w:hyperlink>
            <w:r w:rsidR="00B11EE2">
              <w:rPr>
                <w:rFonts w:eastAsia="MS Mincho"/>
              </w:rPr>
              <w:t xml:space="preserve"> </w:t>
            </w:r>
          </w:p>
        </w:tc>
      </w:tr>
    </w:tbl>
    <w:p w14:paraId="28694C2A" w14:textId="77777777" w:rsidR="007D27F9" w:rsidRPr="00487627" w:rsidRDefault="007D27F9" w:rsidP="007D27F9">
      <w:pPr>
        <w:pStyle w:val="Heading3"/>
      </w:pPr>
      <w:r w:rsidRPr="00487627">
        <w:t>West division</w:t>
      </w:r>
    </w:p>
    <w:tbl>
      <w:tblPr>
        <w:tblStyle w:val="TableGrid"/>
        <w:tblW w:w="5000" w:type="pct"/>
        <w:tblLook w:val="04A0" w:firstRow="1" w:lastRow="0" w:firstColumn="1" w:lastColumn="0" w:noHBand="0" w:noVBand="1"/>
      </w:tblPr>
      <w:tblGrid>
        <w:gridCol w:w="2877"/>
        <w:gridCol w:w="1646"/>
        <w:gridCol w:w="4765"/>
      </w:tblGrid>
      <w:tr w:rsidR="007D27F9" w:rsidRPr="00487627" w14:paraId="596FA8C7" w14:textId="77777777" w:rsidTr="000D1D60">
        <w:tc>
          <w:tcPr>
            <w:tcW w:w="1549" w:type="pct"/>
          </w:tcPr>
          <w:p w14:paraId="6A9BAF30" w14:textId="77777777" w:rsidR="007D27F9" w:rsidRPr="00487627" w:rsidRDefault="007D27F9">
            <w:pPr>
              <w:pStyle w:val="Tablecolhead"/>
            </w:pPr>
            <w:bookmarkStart w:id="494" w:name="_338fx5o" w:colFirst="0" w:colLast="0"/>
            <w:bookmarkEnd w:id="494"/>
            <w:r w:rsidRPr="00487627">
              <w:t>Area</w:t>
            </w:r>
          </w:p>
        </w:tc>
        <w:tc>
          <w:tcPr>
            <w:tcW w:w="886" w:type="pct"/>
          </w:tcPr>
          <w:p w14:paraId="719CACA9" w14:textId="77777777" w:rsidR="007D27F9" w:rsidRPr="00487627" w:rsidRDefault="007D27F9">
            <w:pPr>
              <w:pStyle w:val="Tablecolhead"/>
            </w:pPr>
            <w:r w:rsidRPr="00487627">
              <w:t>Office</w:t>
            </w:r>
          </w:p>
        </w:tc>
        <w:tc>
          <w:tcPr>
            <w:tcW w:w="2565" w:type="pct"/>
          </w:tcPr>
          <w:p w14:paraId="2298C2A3" w14:textId="77777777" w:rsidR="007D27F9" w:rsidRPr="00487627" w:rsidRDefault="007D27F9">
            <w:pPr>
              <w:pStyle w:val="Tablecolhead"/>
            </w:pPr>
            <w:r w:rsidRPr="00487627">
              <w:t>Contact</w:t>
            </w:r>
          </w:p>
        </w:tc>
      </w:tr>
      <w:tr w:rsidR="000D1D60" w:rsidRPr="001B0D1A" w14:paraId="311951B7" w14:textId="77777777" w:rsidTr="000D1D60">
        <w:tc>
          <w:tcPr>
            <w:tcW w:w="1549" w:type="pct"/>
          </w:tcPr>
          <w:p w14:paraId="518F7A83" w14:textId="2111AAB1" w:rsidR="000D1D60" w:rsidRPr="001B0D1A" w:rsidRDefault="000D1D60" w:rsidP="000D1D60">
            <w:pPr>
              <w:pStyle w:val="Tabletext"/>
              <w:rPr>
                <w:rFonts w:cs="Arial"/>
                <w:szCs w:val="21"/>
              </w:rPr>
            </w:pPr>
            <w:r w:rsidRPr="001B0D1A">
              <w:rPr>
                <w:rFonts w:cs="Arial"/>
                <w:szCs w:val="21"/>
              </w:rPr>
              <w:t>Western Melbourne</w:t>
            </w:r>
          </w:p>
        </w:tc>
        <w:tc>
          <w:tcPr>
            <w:tcW w:w="886" w:type="pct"/>
          </w:tcPr>
          <w:p w14:paraId="085BD347" w14:textId="11A3A96F" w:rsidR="000D1D60" w:rsidRPr="001B0D1A" w:rsidRDefault="000D1D60" w:rsidP="000D1D60">
            <w:pPr>
              <w:pStyle w:val="Tabletext"/>
              <w:rPr>
                <w:rFonts w:cs="Arial"/>
                <w:szCs w:val="21"/>
              </w:rPr>
            </w:pPr>
            <w:r w:rsidRPr="001B0D1A">
              <w:rPr>
                <w:rFonts w:cs="Arial"/>
                <w:szCs w:val="21"/>
              </w:rPr>
              <w:t>Footscray</w:t>
            </w:r>
          </w:p>
        </w:tc>
        <w:tc>
          <w:tcPr>
            <w:tcW w:w="2565" w:type="pct"/>
          </w:tcPr>
          <w:p w14:paraId="45C4FC8C" w14:textId="396224F0" w:rsidR="000D1D60" w:rsidRDefault="006D511F" w:rsidP="000D1D60">
            <w:pPr>
              <w:pStyle w:val="Tabletext"/>
            </w:pPr>
            <w:hyperlink r:id="rId102" w:history="1">
              <w:r w:rsidR="000D1D60" w:rsidRPr="000302A7">
                <w:rPr>
                  <w:rStyle w:val="Hyperlink"/>
                  <w:rFonts w:cs="Arial"/>
                  <w:szCs w:val="21"/>
                </w:rPr>
                <w:t>WMBM.ComplexNeeds@dffh.vic.gov.au</w:t>
              </w:r>
            </w:hyperlink>
            <w:r w:rsidR="000D1D60" w:rsidRPr="000302A7">
              <w:rPr>
                <w:rFonts w:cs="Arial"/>
                <w:szCs w:val="21"/>
              </w:rPr>
              <w:t xml:space="preserve"> </w:t>
            </w:r>
          </w:p>
        </w:tc>
      </w:tr>
      <w:tr w:rsidR="000D1D60" w:rsidRPr="001B0D1A" w14:paraId="75CE77EF" w14:textId="77777777" w:rsidTr="000D1D60">
        <w:tc>
          <w:tcPr>
            <w:tcW w:w="1549" w:type="pct"/>
          </w:tcPr>
          <w:p w14:paraId="5FAF495A" w14:textId="44BEB567" w:rsidR="000D1D60" w:rsidRPr="001B0D1A" w:rsidRDefault="000D1D60" w:rsidP="000D1D60">
            <w:pPr>
              <w:pStyle w:val="Tabletext"/>
              <w:rPr>
                <w:rFonts w:cs="Arial"/>
                <w:szCs w:val="21"/>
              </w:rPr>
            </w:pPr>
            <w:r w:rsidRPr="001B0D1A">
              <w:rPr>
                <w:rFonts w:cs="Arial"/>
                <w:szCs w:val="21"/>
              </w:rPr>
              <w:t>Brimbank Melton</w:t>
            </w:r>
          </w:p>
        </w:tc>
        <w:tc>
          <w:tcPr>
            <w:tcW w:w="886" w:type="pct"/>
          </w:tcPr>
          <w:p w14:paraId="629DF070" w14:textId="77777777" w:rsidR="000D1D60" w:rsidRPr="001B0D1A" w:rsidRDefault="000D1D60" w:rsidP="000D1D60">
            <w:pPr>
              <w:pStyle w:val="Tabletext"/>
              <w:rPr>
                <w:rFonts w:cs="Arial"/>
                <w:szCs w:val="21"/>
              </w:rPr>
            </w:pPr>
            <w:r w:rsidRPr="001B0D1A">
              <w:rPr>
                <w:rFonts w:cs="Arial"/>
                <w:szCs w:val="21"/>
              </w:rPr>
              <w:t>Sunshine</w:t>
            </w:r>
          </w:p>
        </w:tc>
        <w:tc>
          <w:tcPr>
            <w:tcW w:w="2565" w:type="pct"/>
          </w:tcPr>
          <w:p w14:paraId="601DE45C" w14:textId="052FD5F8" w:rsidR="000D1D60" w:rsidRPr="001B0D1A" w:rsidRDefault="006D511F" w:rsidP="000D1D60">
            <w:pPr>
              <w:pStyle w:val="Tabletext"/>
              <w:rPr>
                <w:rFonts w:cs="Arial"/>
                <w:szCs w:val="21"/>
              </w:rPr>
            </w:pPr>
            <w:hyperlink r:id="rId103" w:history="1">
              <w:r w:rsidR="000D1D60" w:rsidRPr="000302A7">
                <w:rPr>
                  <w:rStyle w:val="Hyperlink"/>
                  <w:rFonts w:cs="Arial"/>
                  <w:szCs w:val="21"/>
                </w:rPr>
                <w:t>WMBM.ComplexNeeds@dffh.vic.gov.au</w:t>
              </w:r>
            </w:hyperlink>
            <w:r w:rsidR="000D1D60" w:rsidRPr="000302A7">
              <w:rPr>
                <w:rFonts w:cs="Arial"/>
                <w:szCs w:val="21"/>
              </w:rPr>
              <w:t xml:space="preserve"> </w:t>
            </w:r>
          </w:p>
        </w:tc>
      </w:tr>
      <w:tr w:rsidR="007D27F9" w:rsidRPr="001B0D1A" w14:paraId="5BAD9DC2" w14:textId="77777777" w:rsidTr="000D1D60">
        <w:tc>
          <w:tcPr>
            <w:tcW w:w="1549" w:type="pct"/>
          </w:tcPr>
          <w:p w14:paraId="0CDBF5DA" w14:textId="77777777" w:rsidR="007D27F9" w:rsidRPr="001B0D1A" w:rsidRDefault="007D27F9">
            <w:pPr>
              <w:pStyle w:val="Tabletext"/>
              <w:rPr>
                <w:rFonts w:cs="Arial"/>
                <w:szCs w:val="21"/>
              </w:rPr>
            </w:pPr>
            <w:r w:rsidRPr="001B0D1A">
              <w:rPr>
                <w:rFonts w:cs="Arial"/>
                <w:szCs w:val="21"/>
              </w:rPr>
              <w:t>Central Highlands</w:t>
            </w:r>
          </w:p>
        </w:tc>
        <w:tc>
          <w:tcPr>
            <w:tcW w:w="886" w:type="pct"/>
          </w:tcPr>
          <w:p w14:paraId="6D736091" w14:textId="77777777" w:rsidR="007D27F9" w:rsidRPr="001B0D1A" w:rsidRDefault="007D27F9">
            <w:pPr>
              <w:pStyle w:val="Tabletext"/>
              <w:rPr>
                <w:rFonts w:cs="Arial"/>
                <w:szCs w:val="21"/>
              </w:rPr>
            </w:pPr>
            <w:r w:rsidRPr="001B0D1A">
              <w:rPr>
                <w:rFonts w:cs="Arial"/>
                <w:szCs w:val="21"/>
              </w:rPr>
              <w:t>Ballarat</w:t>
            </w:r>
          </w:p>
        </w:tc>
        <w:tc>
          <w:tcPr>
            <w:tcW w:w="2565" w:type="pct"/>
          </w:tcPr>
          <w:p w14:paraId="7E4C999A" w14:textId="77777777" w:rsidR="007D27F9" w:rsidRPr="001B0D1A" w:rsidRDefault="006D511F">
            <w:pPr>
              <w:pStyle w:val="Tabletext"/>
              <w:rPr>
                <w:rFonts w:cs="Arial"/>
                <w:szCs w:val="21"/>
              </w:rPr>
            </w:pPr>
            <w:hyperlink r:id="rId104" w:history="1">
              <w:r w:rsidR="007D27F9" w:rsidRPr="005948AF">
                <w:rPr>
                  <w:rStyle w:val="Hyperlink"/>
                  <w:rFonts w:eastAsia="MS Mincho" w:cs="Arial"/>
                  <w:szCs w:val="21"/>
                  <w:shd w:val="clear" w:color="auto" w:fill="FFFFFF"/>
                </w:rPr>
                <w:t>CHA.ComplexClientsReferrals@dffh.vic.gov.au</w:t>
              </w:r>
            </w:hyperlink>
          </w:p>
        </w:tc>
      </w:tr>
      <w:tr w:rsidR="007D27F9" w:rsidRPr="001B0D1A" w14:paraId="33B620EA" w14:textId="77777777" w:rsidTr="000D1D60">
        <w:tc>
          <w:tcPr>
            <w:tcW w:w="1549" w:type="pct"/>
          </w:tcPr>
          <w:p w14:paraId="2E89FC36" w14:textId="77777777" w:rsidR="007D27F9" w:rsidRPr="001B0D1A" w:rsidRDefault="007D27F9">
            <w:pPr>
              <w:pStyle w:val="Tabletext"/>
              <w:rPr>
                <w:rFonts w:cs="Arial"/>
                <w:szCs w:val="21"/>
              </w:rPr>
            </w:pPr>
            <w:r w:rsidRPr="001B0D1A">
              <w:rPr>
                <w:rFonts w:cs="Arial"/>
                <w:szCs w:val="21"/>
              </w:rPr>
              <w:t>Barwon</w:t>
            </w:r>
          </w:p>
        </w:tc>
        <w:tc>
          <w:tcPr>
            <w:tcW w:w="886" w:type="pct"/>
          </w:tcPr>
          <w:p w14:paraId="7E9D6A32" w14:textId="77777777" w:rsidR="007D27F9" w:rsidRPr="001B0D1A" w:rsidRDefault="007D27F9">
            <w:pPr>
              <w:pStyle w:val="Tabletext"/>
              <w:rPr>
                <w:rFonts w:cs="Arial"/>
                <w:szCs w:val="21"/>
              </w:rPr>
            </w:pPr>
            <w:r w:rsidRPr="001B0D1A">
              <w:rPr>
                <w:rFonts w:cs="Arial"/>
                <w:szCs w:val="21"/>
              </w:rPr>
              <w:t>Geelong</w:t>
            </w:r>
          </w:p>
        </w:tc>
        <w:tc>
          <w:tcPr>
            <w:tcW w:w="2565" w:type="pct"/>
          </w:tcPr>
          <w:p w14:paraId="78000469" w14:textId="77777777" w:rsidR="007D27F9" w:rsidRPr="001B0D1A" w:rsidRDefault="006D511F">
            <w:pPr>
              <w:pStyle w:val="Tabletext"/>
              <w:rPr>
                <w:rFonts w:cs="Arial"/>
                <w:szCs w:val="21"/>
              </w:rPr>
            </w:pPr>
            <w:hyperlink r:id="rId105" w:history="1">
              <w:r w:rsidR="007D27F9" w:rsidRPr="00FA760C">
                <w:rPr>
                  <w:rStyle w:val="Hyperlink"/>
                  <w:rFonts w:cs="Arial"/>
                  <w:szCs w:val="21"/>
                </w:rPr>
                <w:t>ComplexNeeds.Barwon@dffh.vic.gov.au</w:t>
              </w:r>
            </w:hyperlink>
            <w:r w:rsidR="007D27F9">
              <w:rPr>
                <w:rFonts w:cs="Arial"/>
                <w:szCs w:val="21"/>
              </w:rPr>
              <w:t xml:space="preserve"> </w:t>
            </w:r>
          </w:p>
        </w:tc>
      </w:tr>
      <w:tr w:rsidR="007D27F9" w:rsidRPr="001B0D1A" w14:paraId="6304988C" w14:textId="77777777" w:rsidTr="000D1D60">
        <w:tc>
          <w:tcPr>
            <w:tcW w:w="1549" w:type="pct"/>
          </w:tcPr>
          <w:p w14:paraId="6D1972B8" w14:textId="77777777" w:rsidR="007D27F9" w:rsidRPr="001B0D1A" w:rsidRDefault="007D27F9">
            <w:pPr>
              <w:pStyle w:val="Tabletext"/>
              <w:rPr>
                <w:rFonts w:cs="Arial"/>
              </w:rPr>
            </w:pPr>
            <w:r w:rsidRPr="638F93E6">
              <w:rPr>
                <w:rFonts w:cs="Arial"/>
              </w:rPr>
              <w:t xml:space="preserve">Wimmera </w:t>
            </w:r>
            <w:bookmarkStart w:id="495" w:name="_Int_EOBCJ4ir"/>
            <w:r w:rsidRPr="638F93E6">
              <w:rPr>
                <w:rFonts w:cs="Arial"/>
              </w:rPr>
              <w:t>South West</w:t>
            </w:r>
            <w:bookmarkEnd w:id="495"/>
          </w:p>
        </w:tc>
        <w:tc>
          <w:tcPr>
            <w:tcW w:w="886" w:type="pct"/>
          </w:tcPr>
          <w:p w14:paraId="0452E227" w14:textId="77777777" w:rsidR="007D27F9" w:rsidRPr="001B0D1A" w:rsidRDefault="007D27F9">
            <w:pPr>
              <w:pStyle w:val="Tabletext"/>
              <w:rPr>
                <w:rFonts w:cs="Arial"/>
                <w:szCs w:val="21"/>
              </w:rPr>
            </w:pPr>
            <w:r w:rsidRPr="001B0D1A">
              <w:rPr>
                <w:rFonts w:cs="Arial"/>
                <w:szCs w:val="21"/>
              </w:rPr>
              <w:t>Warrnambool</w:t>
            </w:r>
          </w:p>
        </w:tc>
        <w:tc>
          <w:tcPr>
            <w:tcW w:w="2565" w:type="pct"/>
          </w:tcPr>
          <w:p w14:paraId="7ABA9575" w14:textId="77777777" w:rsidR="007D27F9" w:rsidRPr="001B0D1A" w:rsidRDefault="006D511F">
            <w:pPr>
              <w:pStyle w:val="Tabletext"/>
              <w:rPr>
                <w:rFonts w:cs="Arial"/>
                <w:szCs w:val="21"/>
              </w:rPr>
            </w:pPr>
            <w:hyperlink r:id="rId106" w:history="1">
              <w:r w:rsidR="007D27F9" w:rsidRPr="005948AF">
                <w:rPr>
                  <w:rStyle w:val="Hyperlink"/>
                  <w:rFonts w:cs="Arial"/>
                  <w:szCs w:val="21"/>
                </w:rPr>
                <w:t>WSWA.ComplexNeeds@dffh.vic.gov.au</w:t>
              </w:r>
            </w:hyperlink>
            <w:r w:rsidR="007D27F9">
              <w:rPr>
                <w:rFonts w:cs="Arial"/>
                <w:szCs w:val="21"/>
              </w:rPr>
              <w:t xml:space="preserve"> </w:t>
            </w:r>
          </w:p>
        </w:tc>
      </w:tr>
    </w:tbl>
    <w:p w14:paraId="418D8972" w14:textId="0819DD7C" w:rsidR="00F54A35" w:rsidRDefault="00F54A35" w:rsidP="000E7482">
      <w:pPr>
        <w:pStyle w:val="Heading1"/>
        <w:numPr>
          <w:ilvl w:val="0"/>
          <w:numId w:val="23"/>
        </w:numPr>
      </w:pPr>
      <w:bookmarkStart w:id="496" w:name="_Toc145318644"/>
      <w:bookmarkEnd w:id="490"/>
      <w:r>
        <w:lastRenderedPageBreak/>
        <w:t>Complex needs</w:t>
      </w:r>
      <w:bookmarkEnd w:id="10"/>
      <w:bookmarkEnd w:id="11"/>
      <w:bookmarkEnd w:id="12"/>
      <w:bookmarkEnd w:id="13"/>
      <w:bookmarkEnd w:id="14"/>
      <w:r w:rsidR="001B1C68">
        <w:t xml:space="preserve"> forms</w:t>
      </w:r>
      <w:r w:rsidR="009F6A92">
        <w:t xml:space="preserve"> and templates</w:t>
      </w:r>
      <w:bookmarkEnd w:id="496"/>
    </w:p>
    <w:p w14:paraId="6DDEA869" w14:textId="7E2DE39D" w:rsidR="00F54A35" w:rsidRDefault="00F54A35" w:rsidP="00F54A35">
      <w:pPr>
        <w:pStyle w:val="Body"/>
      </w:pPr>
      <w:r>
        <w:t>The following templates are available from the Complex Needs Coordinators for areas and divisions to support the delivery of services consistent with this framework</w:t>
      </w:r>
      <w:r w:rsidR="005C19F7">
        <w:t xml:space="preserve">. </w:t>
      </w:r>
      <w:r w:rsidR="00465741">
        <w:t>S</w:t>
      </w:r>
      <w:r w:rsidR="00D85429">
        <w:t>ome templates have been modified to</w:t>
      </w:r>
      <w:r w:rsidR="00F96F40">
        <w:t xml:space="preserve"> integrate the </w:t>
      </w:r>
      <w:r w:rsidR="001A4770">
        <w:t>Assertive Outreach and Support</w:t>
      </w:r>
      <w:r w:rsidR="00F96F40">
        <w:t xml:space="preserve"> (AOS) pilot program </w:t>
      </w:r>
      <w:r w:rsidR="00465741">
        <w:t xml:space="preserve">for </w:t>
      </w:r>
      <w:r w:rsidR="00F96F40" w:rsidRPr="00465741">
        <w:t>metropolitan areas.</w:t>
      </w:r>
    </w:p>
    <w:tbl>
      <w:tblPr>
        <w:tblStyle w:val="TableGrid"/>
        <w:tblW w:w="5000" w:type="pct"/>
        <w:tblLook w:val="04A0" w:firstRow="1" w:lastRow="0" w:firstColumn="1" w:lastColumn="0" w:noHBand="0" w:noVBand="1"/>
      </w:tblPr>
      <w:tblGrid>
        <w:gridCol w:w="550"/>
        <w:gridCol w:w="8738"/>
      </w:tblGrid>
      <w:tr w:rsidR="00F54A35" w14:paraId="0CD308D6" w14:textId="77777777">
        <w:tc>
          <w:tcPr>
            <w:tcW w:w="296" w:type="pct"/>
            <w:shd w:val="clear" w:color="auto" w:fill="auto"/>
          </w:tcPr>
          <w:p w14:paraId="11EFC7B9" w14:textId="77777777" w:rsidR="00F54A35" w:rsidRPr="00487627" w:rsidRDefault="00F54A35">
            <w:pPr>
              <w:pStyle w:val="Tablecolhead"/>
            </w:pPr>
            <w:r w:rsidRPr="00487627">
              <w:t>1</w:t>
            </w:r>
          </w:p>
        </w:tc>
        <w:tc>
          <w:tcPr>
            <w:tcW w:w="4704" w:type="pct"/>
          </w:tcPr>
          <w:p w14:paraId="36CDB62F" w14:textId="4B163DDE" w:rsidR="00F54A35" w:rsidRPr="00100340" w:rsidRDefault="005B1FF9">
            <w:pPr>
              <w:pStyle w:val="Tabletext"/>
            </w:pPr>
            <w:r w:rsidRPr="00BF2573">
              <w:t>Complex Needs Referral Form</w:t>
            </w:r>
          </w:p>
        </w:tc>
      </w:tr>
      <w:tr w:rsidR="00AE5865" w14:paraId="39A77E39" w14:textId="77777777">
        <w:tc>
          <w:tcPr>
            <w:tcW w:w="296" w:type="pct"/>
            <w:shd w:val="clear" w:color="auto" w:fill="auto"/>
          </w:tcPr>
          <w:p w14:paraId="13F518AD" w14:textId="3F21AB77" w:rsidR="00AE5865" w:rsidRPr="00BF73D9" w:rsidRDefault="00AE5865" w:rsidP="00BF73D9">
            <w:pPr>
              <w:pStyle w:val="Tablecolhead"/>
            </w:pPr>
            <w:r w:rsidRPr="00BF73D9">
              <w:t>1</w:t>
            </w:r>
            <w:r w:rsidR="00F01EE8" w:rsidRPr="00BF73D9">
              <w:t>a</w:t>
            </w:r>
          </w:p>
        </w:tc>
        <w:tc>
          <w:tcPr>
            <w:tcW w:w="4704" w:type="pct"/>
          </w:tcPr>
          <w:p w14:paraId="3CC055C7" w14:textId="4AABB5F7" w:rsidR="00AE5865" w:rsidRPr="00BF73D9" w:rsidRDefault="005B1FF9">
            <w:pPr>
              <w:pStyle w:val="Tabletext"/>
            </w:pPr>
            <w:r w:rsidRPr="00BF73D9">
              <w:t xml:space="preserve">Complex Needs Intake Form </w:t>
            </w:r>
          </w:p>
        </w:tc>
      </w:tr>
      <w:tr w:rsidR="00F54A35" w14:paraId="53FDDA30" w14:textId="77777777">
        <w:tc>
          <w:tcPr>
            <w:tcW w:w="296" w:type="pct"/>
            <w:shd w:val="clear" w:color="auto" w:fill="auto"/>
          </w:tcPr>
          <w:p w14:paraId="1706B277" w14:textId="071C4059" w:rsidR="00F54A35" w:rsidRPr="00487627" w:rsidRDefault="00F54A35">
            <w:pPr>
              <w:pStyle w:val="Tablecolhead"/>
            </w:pPr>
            <w:r w:rsidRPr="00487627">
              <w:t>1</w:t>
            </w:r>
            <w:r w:rsidR="00F01EE8">
              <w:t>b</w:t>
            </w:r>
          </w:p>
        </w:tc>
        <w:tc>
          <w:tcPr>
            <w:tcW w:w="4704" w:type="pct"/>
          </w:tcPr>
          <w:p w14:paraId="76F945F6" w14:textId="1E45095C" w:rsidR="00F54A35" w:rsidRPr="00100340" w:rsidRDefault="005B1FF9">
            <w:pPr>
              <w:pStyle w:val="Tabletext"/>
            </w:pPr>
            <w:r w:rsidRPr="00100340">
              <w:t xml:space="preserve">Complex Needs Care Plan </w:t>
            </w:r>
          </w:p>
        </w:tc>
      </w:tr>
      <w:tr w:rsidR="00F54A35" w14:paraId="440C2731" w14:textId="77777777">
        <w:tc>
          <w:tcPr>
            <w:tcW w:w="296" w:type="pct"/>
            <w:shd w:val="clear" w:color="auto" w:fill="auto"/>
          </w:tcPr>
          <w:p w14:paraId="4CA84BF6" w14:textId="044AFA82" w:rsidR="00F54A35" w:rsidRPr="00487627" w:rsidRDefault="00F54A35">
            <w:pPr>
              <w:pStyle w:val="Tablecolhead"/>
            </w:pPr>
            <w:r w:rsidRPr="00487627">
              <w:t>1</w:t>
            </w:r>
            <w:r w:rsidR="00F01EE8">
              <w:t>c</w:t>
            </w:r>
          </w:p>
        </w:tc>
        <w:tc>
          <w:tcPr>
            <w:tcW w:w="4704" w:type="pct"/>
          </w:tcPr>
          <w:p w14:paraId="6F77051D" w14:textId="2459F437" w:rsidR="00F54A35" w:rsidRPr="00100340" w:rsidRDefault="00F54A35">
            <w:pPr>
              <w:pStyle w:val="Tabletext"/>
            </w:pPr>
            <w:r w:rsidRPr="00100340">
              <w:t xml:space="preserve">Complex Needs </w:t>
            </w:r>
            <w:r w:rsidR="005B1FF9" w:rsidRPr="00100340">
              <w:t xml:space="preserve">Recommendations </w:t>
            </w:r>
            <w:r w:rsidR="00555E2E">
              <w:t>a</w:t>
            </w:r>
            <w:r w:rsidR="005B1FF9" w:rsidRPr="00100340">
              <w:t>nd Closure Form</w:t>
            </w:r>
            <w:r w:rsidR="005B1FF9">
              <w:t xml:space="preserve"> </w:t>
            </w:r>
          </w:p>
        </w:tc>
      </w:tr>
      <w:tr w:rsidR="00F54A35" w14:paraId="6BF07749" w14:textId="77777777">
        <w:tc>
          <w:tcPr>
            <w:tcW w:w="296" w:type="pct"/>
            <w:shd w:val="clear" w:color="auto" w:fill="auto"/>
          </w:tcPr>
          <w:p w14:paraId="21484DCE" w14:textId="7DAF38F4" w:rsidR="00F54A35" w:rsidRPr="00487627" w:rsidRDefault="00F54A35">
            <w:pPr>
              <w:pStyle w:val="Tablecolhead"/>
            </w:pPr>
            <w:r w:rsidRPr="00487627">
              <w:t>1</w:t>
            </w:r>
            <w:r w:rsidR="00F01EE8">
              <w:t>d</w:t>
            </w:r>
          </w:p>
        </w:tc>
        <w:tc>
          <w:tcPr>
            <w:tcW w:w="4704" w:type="pct"/>
          </w:tcPr>
          <w:p w14:paraId="6DDDAADB" w14:textId="3FA296B5" w:rsidR="00F54A35" w:rsidRPr="00100340" w:rsidRDefault="005B1FF9">
            <w:pPr>
              <w:pStyle w:val="Tabletext"/>
            </w:pPr>
            <w:r w:rsidRPr="00100340">
              <w:t>Complex Needs Case Note</w:t>
            </w:r>
          </w:p>
        </w:tc>
      </w:tr>
      <w:tr w:rsidR="00281CC7" w14:paraId="39C00159" w14:textId="77777777">
        <w:tc>
          <w:tcPr>
            <w:tcW w:w="296" w:type="pct"/>
            <w:shd w:val="clear" w:color="auto" w:fill="auto"/>
          </w:tcPr>
          <w:p w14:paraId="509E9A8A" w14:textId="329F4497" w:rsidR="00281CC7" w:rsidRPr="00487627" w:rsidRDefault="00281CC7">
            <w:pPr>
              <w:pStyle w:val="Tablecolhead"/>
            </w:pPr>
            <w:r>
              <w:t>1e</w:t>
            </w:r>
          </w:p>
        </w:tc>
        <w:tc>
          <w:tcPr>
            <w:tcW w:w="4704" w:type="pct"/>
          </w:tcPr>
          <w:p w14:paraId="6F9B740D" w14:textId="1FE6F98B" w:rsidR="00281CC7" w:rsidRPr="00100340" w:rsidRDefault="00281CC7">
            <w:pPr>
              <w:pStyle w:val="Tabletext"/>
            </w:pPr>
            <w:r>
              <w:t xml:space="preserve">Assertive Outreach </w:t>
            </w:r>
            <w:r w:rsidR="005B1FF9">
              <w:t xml:space="preserve">and </w:t>
            </w:r>
            <w:r>
              <w:t xml:space="preserve">Support </w:t>
            </w:r>
            <w:r w:rsidR="005B1FF9">
              <w:t>(</w:t>
            </w:r>
            <w:r>
              <w:t>AOS</w:t>
            </w:r>
            <w:r w:rsidR="005B1FF9">
              <w:t>) Closure Report</w:t>
            </w:r>
          </w:p>
        </w:tc>
      </w:tr>
      <w:tr w:rsidR="00F54A35" w14:paraId="5C0BB31F" w14:textId="77777777">
        <w:tc>
          <w:tcPr>
            <w:tcW w:w="296" w:type="pct"/>
            <w:shd w:val="clear" w:color="auto" w:fill="auto"/>
          </w:tcPr>
          <w:p w14:paraId="031D22BC" w14:textId="77777777" w:rsidR="00F54A35" w:rsidRPr="00487627" w:rsidRDefault="00F54A35">
            <w:pPr>
              <w:pStyle w:val="Tablecolhead"/>
            </w:pPr>
            <w:r w:rsidRPr="00487627">
              <w:t>2</w:t>
            </w:r>
          </w:p>
        </w:tc>
        <w:tc>
          <w:tcPr>
            <w:tcW w:w="4704" w:type="pct"/>
          </w:tcPr>
          <w:p w14:paraId="0FCA397A" w14:textId="4E727642" w:rsidR="00F54A35" w:rsidRPr="00100340" w:rsidRDefault="00F54A35">
            <w:pPr>
              <w:pStyle w:val="Tabletext"/>
            </w:pPr>
            <w:r w:rsidRPr="00100340">
              <w:t xml:space="preserve">MACNI </w:t>
            </w:r>
            <w:r w:rsidR="005B1FF9" w:rsidRPr="00100340">
              <w:t xml:space="preserve">Assessment </w:t>
            </w:r>
            <w:r w:rsidR="005B1FF9">
              <w:t>a</w:t>
            </w:r>
            <w:r w:rsidR="005B1FF9" w:rsidRPr="00100340">
              <w:t>nd Care Plan Development Report</w:t>
            </w:r>
          </w:p>
        </w:tc>
      </w:tr>
      <w:tr w:rsidR="00F54A35" w14:paraId="3159C24E" w14:textId="77777777">
        <w:tc>
          <w:tcPr>
            <w:tcW w:w="296" w:type="pct"/>
            <w:shd w:val="clear" w:color="auto" w:fill="auto"/>
          </w:tcPr>
          <w:p w14:paraId="47E386C6" w14:textId="77777777" w:rsidR="00F54A35" w:rsidRPr="00487627" w:rsidRDefault="00F54A35">
            <w:pPr>
              <w:pStyle w:val="Tablecolhead"/>
            </w:pPr>
            <w:r w:rsidRPr="00487627">
              <w:t>3</w:t>
            </w:r>
          </w:p>
        </w:tc>
        <w:tc>
          <w:tcPr>
            <w:tcW w:w="4704" w:type="pct"/>
          </w:tcPr>
          <w:p w14:paraId="7EB643F3" w14:textId="3653033A" w:rsidR="00F54A35" w:rsidRPr="00100340" w:rsidRDefault="00F54A35">
            <w:pPr>
              <w:pStyle w:val="Tabletext"/>
            </w:pPr>
            <w:r w:rsidRPr="00100340">
              <w:t xml:space="preserve">MACNI </w:t>
            </w:r>
            <w:r w:rsidR="005B1FF9" w:rsidRPr="00100340">
              <w:t>Care Plan</w:t>
            </w:r>
          </w:p>
        </w:tc>
      </w:tr>
      <w:tr w:rsidR="009852F8" w14:paraId="2F692CA0" w14:textId="77777777">
        <w:tc>
          <w:tcPr>
            <w:tcW w:w="296" w:type="pct"/>
            <w:shd w:val="clear" w:color="auto" w:fill="auto"/>
          </w:tcPr>
          <w:p w14:paraId="64AFC787" w14:textId="68EC02E4" w:rsidR="009852F8" w:rsidRPr="00487627" w:rsidRDefault="009852F8">
            <w:pPr>
              <w:pStyle w:val="Tablecolhead"/>
            </w:pPr>
            <w:r>
              <w:t>3a</w:t>
            </w:r>
          </w:p>
        </w:tc>
        <w:tc>
          <w:tcPr>
            <w:tcW w:w="4704" w:type="pct"/>
          </w:tcPr>
          <w:p w14:paraId="468675FC" w14:textId="2AF93050" w:rsidR="009852F8" w:rsidRPr="00100340" w:rsidRDefault="009852F8">
            <w:pPr>
              <w:pStyle w:val="Tabletext"/>
            </w:pPr>
            <w:r>
              <w:t>Department of Families Fairness and Housing Cultural Plan</w:t>
            </w:r>
          </w:p>
        </w:tc>
      </w:tr>
      <w:tr w:rsidR="00F54A35" w14:paraId="294B6104" w14:textId="77777777">
        <w:tc>
          <w:tcPr>
            <w:tcW w:w="296" w:type="pct"/>
            <w:shd w:val="clear" w:color="auto" w:fill="auto"/>
          </w:tcPr>
          <w:p w14:paraId="5B7FFC15" w14:textId="77777777" w:rsidR="00F54A35" w:rsidRPr="00487627" w:rsidRDefault="00F54A35">
            <w:pPr>
              <w:pStyle w:val="Tablecolhead"/>
            </w:pPr>
            <w:r w:rsidRPr="00487627">
              <w:t>4</w:t>
            </w:r>
          </w:p>
        </w:tc>
        <w:tc>
          <w:tcPr>
            <w:tcW w:w="4704" w:type="pct"/>
          </w:tcPr>
          <w:p w14:paraId="57F691FC" w14:textId="42B49C83" w:rsidR="00F54A35" w:rsidRPr="00100340" w:rsidRDefault="00F54A35">
            <w:pPr>
              <w:pStyle w:val="Tabletext"/>
            </w:pPr>
            <w:r w:rsidRPr="00100340">
              <w:t xml:space="preserve">MACNI </w:t>
            </w:r>
            <w:r w:rsidR="005B1FF9" w:rsidRPr="00100340">
              <w:t>Transition/Exit Plan</w:t>
            </w:r>
          </w:p>
        </w:tc>
      </w:tr>
      <w:tr w:rsidR="00F54A35" w14:paraId="4E62A4C5" w14:textId="77777777">
        <w:tc>
          <w:tcPr>
            <w:tcW w:w="296" w:type="pct"/>
            <w:shd w:val="clear" w:color="auto" w:fill="auto"/>
          </w:tcPr>
          <w:p w14:paraId="4BD5A294" w14:textId="77777777" w:rsidR="00F54A35" w:rsidRPr="00487627" w:rsidRDefault="00F54A35">
            <w:pPr>
              <w:pStyle w:val="Tablecolhead"/>
            </w:pPr>
            <w:r w:rsidRPr="00487627">
              <w:t>5a</w:t>
            </w:r>
          </w:p>
        </w:tc>
        <w:tc>
          <w:tcPr>
            <w:tcW w:w="4704" w:type="pct"/>
          </w:tcPr>
          <w:p w14:paraId="5DCAF695" w14:textId="7E34312C" w:rsidR="00F54A35" w:rsidRPr="00100340" w:rsidRDefault="00E77233">
            <w:pPr>
              <w:pStyle w:val="Tabletext"/>
            </w:pPr>
            <w:r w:rsidRPr="00100340">
              <w:t xml:space="preserve">Consent </w:t>
            </w:r>
            <w:r>
              <w:t>f</w:t>
            </w:r>
            <w:r w:rsidRPr="00100340">
              <w:t xml:space="preserve">or MACNI Referral </w:t>
            </w:r>
            <w:r>
              <w:t>a</w:t>
            </w:r>
            <w:r w:rsidRPr="00100340">
              <w:t>nd Eligibility Consideration</w:t>
            </w:r>
          </w:p>
        </w:tc>
      </w:tr>
      <w:tr w:rsidR="00F54A35" w:rsidRPr="00C74C88" w14:paraId="1C876A90" w14:textId="77777777">
        <w:tc>
          <w:tcPr>
            <w:tcW w:w="296" w:type="pct"/>
            <w:shd w:val="clear" w:color="auto" w:fill="auto"/>
          </w:tcPr>
          <w:p w14:paraId="3957EFF6" w14:textId="77777777" w:rsidR="00F54A35" w:rsidRPr="00487627" w:rsidRDefault="00F54A35">
            <w:pPr>
              <w:pStyle w:val="Tablecolhead"/>
            </w:pPr>
            <w:r w:rsidRPr="00487627">
              <w:t>5b</w:t>
            </w:r>
          </w:p>
        </w:tc>
        <w:tc>
          <w:tcPr>
            <w:tcW w:w="4704" w:type="pct"/>
          </w:tcPr>
          <w:p w14:paraId="7D9D7466" w14:textId="334F6018" w:rsidR="00F54A35" w:rsidRPr="00100340" w:rsidRDefault="00E77233">
            <w:pPr>
              <w:pStyle w:val="Tabletext"/>
            </w:pPr>
            <w:r w:rsidRPr="00100340">
              <w:t xml:space="preserve">Consent </w:t>
            </w:r>
            <w:r>
              <w:t>f</w:t>
            </w:r>
            <w:r w:rsidRPr="00100340">
              <w:t xml:space="preserve">or Duty </w:t>
            </w:r>
            <w:r>
              <w:t>o</w:t>
            </w:r>
            <w:r w:rsidRPr="00100340">
              <w:t>f Care Referral</w:t>
            </w:r>
          </w:p>
        </w:tc>
      </w:tr>
      <w:tr w:rsidR="00F54A35" w:rsidRPr="00290075" w14:paraId="5297911C" w14:textId="77777777">
        <w:tc>
          <w:tcPr>
            <w:tcW w:w="296" w:type="pct"/>
            <w:shd w:val="clear" w:color="auto" w:fill="auto"/>
          </w:tcPr>
          <w:p w14:paraId="75C8167F" w14:textId="77777777" w:rsidR="00F54A35" w:rsidRPr="00487627" w:rsidRDefault="00F54A35">
            <w:pPr>
              <w:pStyle w:val="Tablecolhead"/>
            </w:pPr>
            <w:r w:rsidRPr="00487627">
              <w:t>6a</w:t>
            </w:r>
          </w:p>
        </w:tc>
        <w:tc>
          <w:tcPr>
            <w:tcW w:w="4704" w:type="pct"/>
          </w:tcPr>
          <w:p w14:paraId="181401D9" w14:textId="4B1A6A14" w:rsidR="00F54A35" w:rsidRPr="00100340" w:rsidRDefault="00F54A35">
            <w:pPr>
              <w:pStyle w:val="Tabletext"/>
            </w:pPr>
            <w:r w:rsidRPr="00100340">
              <w:t xml:space="preserve">Complex Needs Panel </w:t>
            </w:r>
            <w:r w:rsidR="005B1FF9" w:rsidRPr="00100340">
              <w:t>Information Pack Checklist</w:t>
            </w:r>
          </w:p>
        </w:tc>
      </w:tr>
      <w:tr w:rsidR="00F54A35" w14:paraId="6B3452C9" w14:textId="77777777">
        <w:tc>
          <w:tcPr>
            <w:tcW w:w="296" w:type="pct"/>
            <w:shd w:val="clear" w:color="auto" w:fill="auto"/>
          </w:tcPr>
          <w:p w14:paraId="1BA6D09E" w14:textId="77777777" w:rsidR="00F54A35" w:rsidRPr="00487627" w:rsidRDefault="00F54A35">
            <w:pPr>
              <w:pStyle w:val="Tablecolhead"/>
            </w:pPr>
            <w:r w:rsidRPr="00487627">
              <w:t>6b</w:t>
            </w:r>
          </w:p>
        </w:tc>
        <w:tc>
          <w:tcPr>
            <w:tcW w:w="4704" w:type="pct"/>
          </w:tcPr>
          <w:p w14:paraId="699DF106" w14:textId="59697C92" w:rsidR="00F54A35" w:rsidRPr="00100340" w:rsidRDefault="00F54A35">
            <w:pPr>
              <w:pStyle w:val="Tabletext"/>
            </w:pPr>
            <w:r w:rsidRPr="00100340">
              <w:t xml:space="preserve">Complex Needs Panel </w:t>
            </w:r>
            <w:r w:rsidR="005B1FF9" w:rsidRPr="00100340">
              <w:t>Manual</w:t>
            </w:r>
          </w:p>
        </w:tc>
      </w:tr>
      <w:tr w:rsidR="00F54A35" w:rsidRPr="000D261C" w14:paraId="7F74A42E" w14:textId="77777777">
        <w:tc>
          <w:tcPr>
            <w:tcW w:w="296" w:type="pct"/>
            <w:shd w:val="clear" w:color="auto" w:fill="auto"/>
          </w:tcPr>
          <w:p w14:paraId="5158E088" w14:textId="77777777" w:rsidR="00F54A35" w:rsidRPr="00487627" w:rsidRDefault="00F54A35">
            <w:pPr>
              <w:pStyle w:val="Tablecolhead"/>
            </w:pPr>
            <w:r w:rsidRPr="00487627">
              <w:t>6c</w:t>
            </w:r>
          </w:p>
        </w:tc>
        <w:tc>
          <w:tcPr>
            <w:tcW w:w="4704" w:type="pct"/>
          </w:tcPr>
          <w:p w14:paraId="59AA9074" w14:textId="36D49428" w:rsidR="00F54A35" w:rsidRPr="00100340" w:rsidRDefault="00F54A35">
            <w:pPr>
              <w:pStyle w:val="Tabletext"/>
            </w:pPr>
            <w:r w:rsidRPr="00100340">
              <w:t xml:space="preserve">Complex Needs Panel Terms </w:t>
            </w:r>
            <w:r w:rsidR="005B1FF9">
              <w:t>o</w:t>
            </w:r>
            <w:r w:rsidR="005B1FF9" w:rsidRPr="00100340">
              <w:t xml:space="preserve">f </w:t>
            </w:r>
            <w:r w:rsidRPr="00100340">
              <w:t>Reference</w:t>
            </w:r>
          </w:p>
        </w:tc>
      </w:tr>
      <w:tr w:rsidR="00F54A35" w:rsidRPr="000D261C" w14:paraId="2DFD20DE" w14:textId="77777777">
        <w:tc>
          <w:tcPr>
            <w:tcW w:w="296" w:type="pct"/>
            <w:shd w:val="clear" w:color="auto" w:fill="auto"/>
          </w:tcPr>
          <w:p w14:paraId="38CB6415" w14:textId="77777777" w:rsidR="00F54A35" w:rsidRPr="00487627" w:rsidRDefault="00F54A35">
            <w:pPr>
              <w:pStyle w:val="Tablecolhead"/>
            </w:pPr>
            <w:r w:rsidRPr="00487627">
              <w:t>6d</w:t>
            </w:r>
          </w:p>
        </w:tc>
        <w:tc>
          <w:tcPr>
            <w:tcW w:w="4704" w:type="pct"/>
          </w:tcPr>
          <w:p w14:paraId="6DCB5EB4" w14:textId="0787678B" w:rsidR="00F54A35" w:rsidRPr="00100340" w:rsidRDefault="00F54A35">
            <w:pPr>
              <w:pStyle w:val="Tabletext"/>
            </w:pPr>
            <w:r w:rsidRPr="00100340">
              <w:t xml:space="preserve">Complex Needs Panel </w:t>
            </w:r>
            <w:r w:rsidR="005B1FF9" w:rsidRPr="00100340">
              <w:t>Member Prompt Sheet</w:t>
            </w:r>
          </w:p>
        </w:tc>
      </w:tr>
      <w:tr w:rsidR="00F54A35" w:rsidRPr="000D261C" w14:paraId="5F26ED04" w14:textId="77777777">
        <w:tc>
          <w:tcPr>
            <w:tcW w:w="296" w:type="pct"/>
            <w:shd w:val="clear" w:color="auto" w:fill="auto"/>
          </w:tcPr>
          <w:p w14:paraId="62E2B9B1" w14:textId="77777777" w:rsidR="00F54A35" w:rsidRPr="00487627" w:rsidRDefault="00F54A35">
            <w:pPr>
              <w:pStyle w:val="Tablecolhead"/>
            </w:pPr>
            <w:r w:rsidRPr="00487627">
              <w:t>6e</w:t>
            </w:r>
          </w:p>
        </w:tc>
        <w:tc>
          <w:tcPr>
            <w:tcW w:w="4704" w:type="pct"/>
          </w:tcPr>
          <w:p w14:paraId="2EFA9B5C" w14:textId="5DD494BA" w:rsidR="00F54A35" w:rsidRPr="00100340" w:rsidRDefault="00F54A35">
            <w:pPr>
              <w:pStyle w:val="Tabletext"/>
            </w:pPr>
            <w:r w:rsidRPr="00100340">
              <w:t xml:space="preserve">Complex Needs Panel Deed </w:t>
            </w:r>
            <w:r w:rsidR="005B1FF9">
              <w:t>o</w:t>
            </w:r>
            <w:r w:rsidR="005B1FF9" w:rsidRPr="00100340">
              <w:t xml:space="preserve">f </w:t>
            </w:r>
            <w:r w:rsidRPr="000860D0">
              <w:t xml:space="preserve">Confidentiality </w:t>
            </w:r>
            <w:r w:rsidR="005B1FF9" w:rsidRPr="000860D0">
              <w:t xml:space="preserve">(For </w:t>
            </w:r>
            <w:r w:rsidR="0003299C">
              <w:t>n</w:t>
            </w:r>
            <w:r w:rsidR="005B1FF9" w:rsidRPr="000860D0">
              <w:t>on-</w:t>
            </w:r>
            <w:r w:rsidRPr="000860D0">
              <w:t xml:space="preserve">VPS </w:t>
            </w:r>
            <w:r w:rsidR="005B1FF9" w:rsidRPr="000860D0">
              <w:t>Panel Members)</w:t>
            </w:r>
          </w:p>
        </w:tc>
      </w:tr>
      <w:tr w:rsidR="00F54A35" w:rsidRPr="000D261C" w14:paraId="098F60CB" w14:textId="77777777">
        <w:tc>
          <w:tcPr>
            <w:tcW w:w="296" w:type="pct"/>
            <w:shd w:val="clear" w:color="auto" w:fill="auto"/>
          </w:tcPr>
          <w:p w14:paraId="735F8F10" w14:textId="77777777" w:rsidR="00F54A35" w:rsidRPr="00487627" w:rsidRDefault="00F54A35">
            <w:pPr>
              <w:pStyle w:val="Tablecolhead"/>
            </w:pPr>
            <w:r w:rsidRPr="00487627">
              <w:t>6f</w:t>
            </w:r>
          </w:p>
        </w:tc>
        <w:tc>
          <w:tcPr>
            <w:tcW w:w="4704" w:type="pct"/>
          </w:tcPr>
          <w:p w14:paraId="34004622" w14:textId="57A79F89" w:rsidR="00F54A35" w:rsidRPr="00100340" w:rsidRDefault="00F54A35">
            <w:pPr>
              <w:pStyle w:val="Tabletext"/>
            </w:pPr>
            <w:r w:rsidRPr="00100340">
              <w:t xml:space="preserve">Complex Needs Panel </w:t>
            </w:r>
            <w:r w:rsidR="005B1FF9" w:rsidRPr="00100340">
              <w:t xml:space="preserve">Agenda </w:t>
            </w:r>
          </w:p>
        </w:tc>
      </w:tr>
      <w:tr w:rsidR="00F54A35" w14:paraId="37E5E62E" w14:textId="77777777">
        <w:tc>
          <w:tcPr>
            <w:tcW w:w="296" w:type="pct"/>
            <w:shd w:val="clear" w:color="auto" w:fill="auto"/>
          </w:tcPr>
          <w:p w14:paraId="5C810870" w14:textId="77777777" w:rsidR="00F54A35" w:rsidRPr="00487627" w:rsidRDefault="00F54A35">
            <w:pPr>
              <w:pStyle w:val="Tablecolhead"/>
            </w:pPr>
            <w:r w:rsidRPr="00487627">
              <w:t>6g</w:t>
            </w:r>
          </w:p>
        </w:tc>
        <w:tc>
          <w:tcPr>
            <w:tcW w:w="4704" w:type="pct"/>
          </w:tcPr>
          <w:p w14:paraId="5D2D8F78" w14:textId="574437ED" w:rsidR="00F54A35" w:rsidRPr="00100340" w:rsidRDefault="00F54A35">
            <w:pPr>
              <w:pStyle w:val="Tabletext"/>
            </w:pPr>
            <w:r w:rsidRPr="00100340">
              <w:t xml:space="preserve">Complex Needs Panel </w:t>
            </w:r>
            <w:r w:rsidR="005B1FF9" w:rsidRPr="00100340">
              <w:t xml:space="preserve">Minutes – </w:t>
            </w:r>
            <w:r w:rsidR="00F27945">
              <w:t>t</w:t>
            </w:r>
            <w:r w:rsidR="005B1FF9" w:rsidRPr="00100340">
              <w:t>o Panel Members</w:t>
            </w:r>
          </w:p>
        </w:tc>
      </w:tr>
      <w:tr w:rsidR="00F54A35" w14:paraId="77163E43" w14:textId="77777777">
        <w:tc>
          <w:tcPr>
            <w:tcW w:w="296" w:type="pct"/>
            <w:shd w:val="clear" w:color="auto" w:fill="auto"/>
          </w:tcPr>
          <w:p w14:paraId="09BC48A8" w14:textId="77777777" w:rsidR="00F54A35" w:rsidRPr="00487627" w:rsidRDefault="00F54A35">
            <w:pPr>
              <w:pStyle w:val="Tablecolhead"/>
            </w:pPr>
            <w:r w:rsidRPr="00487627">
              <w:t>6h</w:t>
            </w:r>
          </w:p>
        </w:tc>
        <w:tc>
          <w:tcPr>
            <w:tcW w:w="4704" w:type="pct"/>
          </w:tcPr>
          <w:p w14:paraId="173C159F" w14:textId="1804CF76" w:rsidR="00F54A35" w:rsidRPr="00100340" w:rsidRDefault="00F54A35">
            <w:pPr>
              <w:pStyle w:val="Tabletext"/>
            </w:pPr>
            <w:r w:rsidRPr="00100340">
              <w:t xml:space="preserve">Complex Needs Panel </w:t>
            </w:r>
            <w:r w:rsidR="005B1FF9" w:rsidRPr="00100340">
              <w:t xml:space="preserve">Session Report – </w:t>
            </w:r>
            <w:r w:rsidR="00F27945">
              <w:t>t</w:t>
            </w:r>
            <w:r w:rsidR="005B1FF9" w:rsidRPr="00100340">
              <w:t xml:space="preserve">o </w:t>
            </w:r>
            <w:r w:rsidR="005B1FF9">
              <w:t>a</w:t>
            </w:r>
            <w:r w:rsidR="005B1FF9" w:rsidRPr="00100340">
              <w:t xml:space="preserve"> Specific Care Team</w:t>
            </w:r>
          </w:p>
        </w:tc>
      </w:tr>
      <w:tr w:rsidR="00F54A35" w14:paraId="48F6C868" w14:textId="77777777">
        <w:tc>
          <w:tcPr>
            <w:tcW w:w="296" w:type="pct"/>
            <w:shd w:val="clear" w:color="auto" w:fill="auto"/>
          </w:tcPr>
          <w:p w14:paraId="2B5F97D0" w14:textId="77777777" w:rsidR="00F54A35" w:rsidRPr="00487627" w:rsidRDefault="00F54A35">
            <w:pPr>
              <w:pStyle w:val="Tablecolhead"/>
            </w:pPr>
            <w:r w:rsidRPr="00487627">
              <w:t>6i</w:t>
            </w:r>
          </w:p>
        </w:tc>
        <w:tc>
          <w:tcPr>
            <w:tcW w:w="4704" w:type="pct"/>
          </w:tcPr>
          <w:p w14:paraId="0D4FC9A0" w14:textId="669DF5A0" w:rsidR="00F54A35" w:rsidRPr="00100340" w:rsidRDefault="00F54A35">
            <w:pPr>
              <w:pStyle w:val="Tabletext"/>
            </w:pPr>
            <w:r w:rsidRPr="00100340">
              <w:t xml:space="preserve">MACNI </w:t>
            </w:r>
            <w:r w:rsidR="005B1FF9" w:rsidRPr="00100340">
              <w:t xml:space="preserve">Eligibility Consideration Request Form </w:t>
            </w:r>
          </w:p>
        </w:tc>
      </w:tr>
      <w:tr w:rsidR="00F54A35" w14:paraId="2B34339D" w14:textId="77777777">
        <w:tc>
          <w:tcPr>
            <w:tcW w:w="296" w:type="pct"/>
            <w:shd w:val="clear" w:color="auto" w:fill="auto"/>
          </w:tcPr>
          <w:p w14:paraId="3E7309FC" w14:textId="77777777" w:rsidR="00F54A35" w:rsidRPr="00487627" w:rsidRDefault="00F54A35">
            <w:pPr>
              <w:pStyle w:val="Tablecolhead"/>
            </w:pPr>
            <w:r w:rsidRPr="00487627">
              <w:t>6j</w:t>
            </w:r>
          </w:p>
        </w:tc>
        <w:tc>
          <w:tcPr>
            <w:tcW w:w="4704" w:type="pct"/>
          </w:tcPr>
          <w:p w14:paraId="5E52D7F8" w14:textId="18856EAC" w:rsidR="00F54A35" w:rsidRPr="00100340" w:rsidRDefault="00F54A35">
            <w:pPr>
              <w:pStyle w:val="Tabletext"/>
            </w:pPr>
            <w:r w:rsidRPr="00100340">
              <w:t xml:space="preserve">MACNI </w:t>
            </w:r>
            <w:r w:rsidR="005B1FF9" w:rsidRPr="00100340">
              <w:t xml:space="preserve">Care Plan Review Report </w:t>
            </w:r>
          </w:p>
        </w:tc>
      </w:tr>
      <w:tr w:rsidR="00F54A35" w14:paraId="27A0063C" w14:textId="77777777">
        <w:tc>
          <w:tcPr>
            <w:tcW w:w="296" w:type="pct"/>
            <w:shd w:val="clear" w:color="auto" w:fill="auto"/>
          </w:tcPr>
          <w:p w14:paraId="0CACE4CE" w14:textId="77777777" w:rsidR="00F54A35" w:rsidRPr="00487627" w:rsidRDefault="00F54A35">
            <w:pPr>
              <w:pStyle w:val="Tablecolhead"/>
            </w:pPr>
            <w:r w:rsidRPr="00487627">
              <w:t>6k</w:t>
            </w:r>
          </w:p>
        </w:tc>
        <w:tc>
          <w:tcPr>
            <w:tcW w:w="4704" w:type="pct"/>
          </w:tcPr>
          <w:p w14:paraId="5FD27359" w14:textId="5F4B424C" w:rsidR="00F54A35" w:rsidRPr="00100340" w:rsidRDefault="00F54A35">
            <w:pPr>
              <w:pStyle w:val="Tabletext"/>
            </w:pPr>
            <w:r w:rsidRPr="00100340">
              <w:t xml:space="preserve">MACNI </w:t>
            </w:r>
            <w:r w:rsidR="005B1FF9" w:rsidRPr="00100340">
              <w:t>Progress Update</w:t>
            </w:r>
          </w:p>
        </w:tc>
      </w:tr>
      <w:tr w:rsidR="00F54A35" w14:paraId="75966836" w14:textId="77777777">
        <w:tc>
          <w:tcPr>
            <w:tcW w:w="296" w:type="pct"/>
            <w:shd w:val="clear" w:color="auto" w:fill="auto"/>
          </w:tcPr>
          <w:p w14:paraId="411BEAA9" w14:textId="77777777" w:rsidR="00F54A35" w:rsidRPr="00487627" w:rsidRDefault="00F54A35">
            <w:pPr>
              <w:pStyle w:val="Tablecolhead"/>
            </w:pPr>
            <w:r w:rsidRPr="00487627">
              <w:t>6l</w:t>
            </w:r>
          </w:p>
        </w:tc>
        <w:tc>
          <w:tcPr>
            <w:tcW w:w="4704" w:type="pct"/>
          </w:tcPr>
          <w:p w14:paraId="67063E71" w14:textId="151A4BF1" w:rsidR="00F54A35" w:rsidRPr="00100340" w:rsidRDefault="00F54A35">
            <w:pPr>
              <w:pStyle w:val="Tabletext"/>
            </w:pPr>
            <w:r w:rsidRPr="00100340">
              <w:t xml:space="preserve">MACNI </w:t>
            </w:r>
            <w:r w:rsidR="005B1FF9" w:rsidRPr="00100340">
              <w:t xml:space="preserve">Care Plan Closure Report </w:t>
            </w:r>
          </w:p>
        </w:tc>
      </w:tr>
      <w:tr w:rsidR="00F54A35" w:rsidRPr="00745E4C" w14:paraId="206CCA97" w14:textId="77777777">
        <w:tc>
          <w:tcPr>
            <w:tcW w:w="296" w:type="pct"/>
            <w:shd w:val="clear" w:color="auto" w:fill="auto"/>
          </w:tcPr>
          <w:p w14:paraId="2628E6CA" w14:textId="77777777" w:rsidR="00F54A35" w:rsidRPr="00487627" w:rsidRDefault="00F54A35">
            <w:pPr>
              <w:pStyle w:val="Tablecolhead"/>
            </w:pPr>
            <w:r w:rsidRPr="00487627">
              <w:t>6m</w:t>
            </w:r>
          </w:p>
        </w:tc>
        <w:tc>
          <w:tcPr>
            <w:tcW w:w="4704" w:type="pct"/>
          </w:tcPr>
          <w:p w14:paraId="0A2AA0F0" w14:textId="7BDFCA35" w:rsidR="00F54A35" w:rsidRPr="00100340" w:rsidRDefault="00F54A35">
            <w:pPr>
              <w:pStyle w:val="Tabletext"/>
            </w:pPr>
            <w:r w:rsidRPr="00100340">
              <w:t xml:space="preserve">Complex Needs Panel </w:t>
            </w:r>
            <w:r w:rsidR="005B1FF9" w:rsidRPr="00100340">
              <w:t xml:space="preserve">Out Of Session Request Form </w:t>
            </w:r>
          </w:p>
        </w:tc>
      </w:tr>
      <w:tr w:rsidR="00F54A35" w:rsidRPr="002A7081" w14:paraId="7573B0B7" w14:textId="77777777">
        <w:tc>
          <w:tcPr>
            <w:tcW w:w="296" w:type="pct"/>
            <w:shd w:val="clear" w:color="auto" w:fill="auto"/>
          </w:tcPr>
          <w:p w14:paraId="08A4CD90" w14:textId="77777777" w:rsidR="00F54A35" w:rsidRPr="00487627" w:rsidRDefault="00F54A35">
            <w:pPr>
              <w:pStyle w:val="Tablecolhead"/>
            </w:pPr>
            <w:r w:rsidRPr="00487627">
              <w:t>7a</w:t>
            </w:r>
          </w:p>
        </w:tc>
        <w:tc>
          <w:tcPr>
            <w:tcW w:w="4704" w:type="pct"/>
          </w:tcPr>
          <w:p w14:paraId="356EC476" w14:textId="3ADF494A" w:rsidR="00F54A35" w:rsidRPr="00100340" w:rsidRDefault="00F54A35">
            <w:pPr>
              <w:pStyle w:val="Tabletext"/>
            </w:pPr>
            <w:r w:rsidRPr="00100340">
              <w:t xml:space="preserve">Brokerage </w:t>
            </w:r>
            <w:r w:rsidR="005B1FF9" w:rsidRPr="00100340">
              <w:t>Checklist</w:t>
            </w:r>
          </w:p>
        </w:tc>
      </w:tr>
      <w:tr w:rsidR="00F54A35" w14:paraId="025FF283" w14:textId="77777777">
        <w:tc>
          <w:tcPr>
            <w:tcW w:w="296" w:type="pct"/>
            <w:shd w:val="clear" w:color="auto" w:fill="auto"/>
          </w:tcPr>
          <w:p w14:paraId="724F521D" w14:textId="77777777" w:rsidR="00F54A35" w:rsidRPr="00487627" w:rsidRDefault="00F54A35">
            <w:pPr>
              <w:pStyle w:val="Tablecolhead"/>
            </w:pPr>
            <w:r w:rsidRPr="00487627">
              <w:t>7b</w:t>
            </w:r>
          </w:p>
        </w:tc>
        <w:tc>
          <w:tcPr>
            <w:tcW w:w="4704" w:type="pct"/>
          </w:tcPr>
          <w:p w14:paraId="680E29A1" w14:textId="2C6510F8" w:rsidR="00F54A35" w:rsidRPr="00100340" w:rsidRDefault="00F54A35">
            <w:pPr>
              <w:pStyle w:val="Tabletext"/>
            </w:pPr>
            <w:r w:rsidRPr="00100340">
              <w:t xml:space="preserve">Brokerage </w:t>
            </w:r>
            <w:r w:rsidR="005B1FF9" w:rsidRPr="00100340">
              <w:t>Request Form</w:t>
            </w:r>
          </w:p>
        </w:tc>
      </w:tr>
      <w:tr w:rsidR="00F54A35" w:rsidRPr="00784B28" w14:paraId="17128328" w14:textId="77777777">
        <w:tc>
          <w:tcPr>
            <w:tcW w:w="296" w:type="pct"/>
            <w:shd w:val="clear" w:color="auto" w:fill="auto"/>
          </w:tcPr>
          <w:p w14:paraId="35E74A15" w14:textId="77777777" w:rsidR="00F54A35" w:rsidRPr="00487627" w:rsidRDefault="00F54A35">
            <w:pPr>
              <w:pStyle w:val="Tablecolhead"/>
            </w:pPr>
            <w:r w:rsidRPr="00487627">
              <w:t>7c</w:t>
            </w:r>
          </w:p>
        </w:tc>
        <w:tc>
          <w:tcPr>
            <w:tcW w:w="4704" w:type="pct"/>
          </w:tcPr>
          <w:p w14:paraId="0511CDD8" w14:textId="5116E813" w:rsidR="00F54A35" w:rsidRPr="00100340" w:rsidRDefault="00F54A35">
            <w:pPr>
              <w:pStyle w:val="Tabletext"/>
            </w:pPr>
            <w:r w:rsidRPr="00100340">
              <w:t xml:space="preserve">Brokerage </w:t>
            </w:r>
            <w:r w:rsidR="005B1FF9" w:rsidRPr="00100340">
              <w:t>Agreement</w:t>
            </w:r>
          </w:p>
        </w:tc>
      </w:tr>
      <w:tr w:rsidR="00F54A35" w:rsidRPr="00745E4C" w14:paraId="4C8C6D3D" w14:textId="77777777">
        <w:tc>
          <w:tcPr>
            <w:tcW w:w="296" w:type="pct"/>
            <w:shd w:val="clear" w:color="auto" w:fill="auto"/>
          </w:tcPr>
          <w:p w14:paraId="3C3E4509" w14:textId="77777777" w:rsidR="00F54A35" w:rsidRPr="00487627" w:rsidRDefault="00F54A35">
            <w:pPr>
              <w:pStyle w:val="Tablecolhead"/>
            </w:pPr>
            <w:r w:rsidRPr="00487627">
              <w:t>7d</w:t>
            </w:r>
          </w:p>
        </w:tc>
        <w:tc>
          <w:tcPr>
            <w:tcW w:w="4704" w:type="pct"/>
          </w:tcPr>
          <w:p w14:paraId="3BEB4A41" w14:textId="7CA91012" w:rsidR="00F54A35" w:rsidRPr="00100340" w:rsidRDefault="00F54A35">
            <w:pPr>
              <w:pStyle w:val="Tabletext"/>
            </w:pPr>
            <w:r w:rsidRPr="00100340">
              <w:t xml:space="preserve">Brokerage </w:t>
            </w:r>
            <w:r w:rsidR="005B1FF9" w:rsidRPr="00100340">
              <w:t xml:space="preserve">Notification Template – For </w:t>
            </w:r>
            <w:r w:rsidRPr="00100340">
              <w:t xml:space="preserve">Complex Needs Panel </w:t>
            </w:r>
          </w:p>
        </w:tc>
      </w:tr>
      <w:tr w:rsidR="00F54A35" w14:paraId="04D329D2" w14:textId="77777777">
        <w:tc>
          <w:tcPr>
            <w:tcW w:w="296" w:type="pct"/>
            <w:shd w:val="clear" w:color="auto" w:fill="auto"/>
          </w:tcPr>
          <w:p w14:paraId="42479DE5" w14:textId="77777777" w:rsidR="00F54A35" w:rsidRPr="00487627" w:rsidRDefault="00F54A35">
            <w:pPr>
              <w:pStyle w:val="Tablecolhead"/>
            </w:pPr>
            <w:r w:rsidRPr="00487627">
              <w:lastRenderedPageBreak/>
              <w:t>8a</w:t>
            </w:r>
          </w:p>
        </w:tc>
        <w:tc>
          <w:tcPr>
            <w:tcW w:w="4704" w:type="pct"/>
          </w:tcPr>
          <w:p w14:paraId="508120C6" w14:textId="1105EB47" w:rsidR="00F54A35" w:rsidRPr="00100340" w:rsidRDefault="00F54A35">
            <w:pPr>
              <w:pStyle w:val="Tabletext"/>
            </w:pPr>
            <w:r w:rsidRPr="00100340">
              <w:t xml:space="preserve">MACNI </w:t>
            </w:r>
            <w:r w:rsidR="005B1FF9" w:rsidRPr="00100340">
              <w:t xml:space="preserve">Eligibility Consideration Notification – Letter </w:t>
            </w:r>
            <w:r w:rsidR="005B1FF9">
              <w:t>t</w:t>
            </w:r>
            <w:r w:rsidR="005B1FF9" w:rsidRPr="00100340">
              <w:t>o Client, Parent/Guardian</w:t>
            </w:r>
          </w:p>
        </w:tc>
      </w:tr>
      <w:tr w:rsidR="00F54A35" w14:paraId="7346CB65" w14:textId="77777777">
        <w:tc>
          <w:tcPr>
            <w:tcW w:w="296" w:type="pct"/>
            <w:shd w:val="clear" w:color="auto" w:fill="auto"/>
          </w:tcPr>
          <w:p w14:paraId="33F80141" w14:textId="77777777" w:rsidR="00F54A35" w:rsidRPr="00487627" w:rsidRDefault="00F54A35">
            <w:pPr>
              <w:pStyle w:val="Tablecolhead"/>
            </w:pPr>
            <w:r w:rsidRPr="00487627">
              <w:t>8b</w:t>
            </w:r>
          </w:p>
        </w:tc>
        <w:tc>
          <w:tcPr>
            <w:tcW w:w="4704" w:type="pct"/>
          </w:tcPr>
          <w:p w14:paraId="4C54FBA5" w14:textId="7C5AF2D2" w:rsidR="00F54A35" w:rsidRPr="00100340" w:rsidRDefault="00F54A35">
            <w:pPr>
              <w:pStyle w:val="Tabletext"/>
            </w:pPr>
            <w:r w:rsidRPr="00100340">
              <w:t xml:space="preserve">MACNI </w:t>
            </w:r>
            <w:r w:rsidR="005B1FF9" w:rsidRPr="00100340">
              <w:t xml:space="preserve">Eligibility Decision Notification – Letter </w:t>
            </w:r>
            <w:r w:rsidR="005B1FF9">
              <w:t>t</w:t>
            </w:r>
            <w:r w:rsidR="005B1FF9" w:rsidRPr="00100340">
              <w:t>o Client, Parent/Guardian</w:t>
            </w:r>
          </w:p>
        </w:tc>
      </w:tr>
      <w:tr w:rsidR="00F54A35" w14:paraId="44DE30C5" w14:textId="77777777">
        <w:tc>
          <w:tcPr>
            <w:tcW w:w="296" w:type="pct"/>
            <w:shd w:val="clear" w:color="auto" w:fill="auto"/>
          </w:tcPr>
          <w:p w14:paraId="7DF5D574" w14:textId="77777777" w:rsidR="00F54A35" w:rsidRPr="00487627" w:rsidRDefault="00F54A35">
            <w:pPr>
              <w:pStyle w:val="Tablecolhead"/>
            </w:pPr>
            <w:r w:rsidRPr="00487627">
              <w:t>8c</w:t>
            </w:r>
          </w:p>
        </w:tc>
        <w:tc>
          <w:tcPr>
            <w:tcW w:w="4704" w:type="pct"/>
          </w:tcPr>
          <w:p w14:paraId="5B0AB568" w14:textId="00664288" w:rsidR="00F54A35" w:rsidRPr="00100340" w:rsidRDefault="00F54A35">
            <w:pPr>
              <w:pStyle w:val="Tabletext"/>
            </w:pPr>
            <w:r w:rsidRPr="00100340">
              <w:t xml:space="preserve">MACNI </w:t>
            </w:r>
            <w:r w:rsidR="005B1FF9" w:rsidRPr="00100340">
              <w:t xml:space="preserve">Care Plan Notification – Letter </w:t>
            </w:r>
            <w:r w:rsidR="005B1FF9">
              <w:t>t</w:t>
            </w:r>
            <w:r w:rsidR="005B1FF9" w:rsidRPr="00100340">
              <w:t xml:space="preserve">o Client, Parent/Guardian </w:t>
            </w:r>
            <w:r w:rsidR="005B1FF9">
              <w:t>w</w:t>
            </w:r>
            <w:r w:rsidR="005B1FF9" w:rsidRPr="00100340">
              <w:t>ith Care Plan (</w:t>
            </w:r>
            <w:r w:rsidR="005B1FF9">
              <w:t>or a version of</w:t>
            </w:r>
            <w:r w:rsidR="005B1FF9" w:rsidRPr="00100340">
              <w:t>)</w:t>
            </w:r>
          </w:p>
        </w:tc>
      </w:tr>
      <w:tr w:rsidR="00F54A35" w14:paraId="5226071C" w14:textId="77777777">
        <w:tc>
          <w:tcPr>
            <w:tcW w:w="296" w:type="pct"/>
            <w:shd w:val="clear" w:color="auto" w:fill="auto"/>
          </w:tcPr>
          <w:p w14:paraId="1B01D52D" w14:textId="77777777" w:rsidR="00F54A35" w:rsidRPr="00487627" w:rsidRDefault="00F54A35">
            <w:pPr>
              <w:pStyle w:val="Tablecolhead"/>
            </w:pPr>
            <w:r w:rsidRPr="00487627">
              <w:t>8d</w:t>
            </w:r>
          </w:p>
        </w:tc>
        <w:tc>
          <w:tcPr>
            <w:tcW w:w="4704" w:type="pct"/>
          </w:tcPr>
          <w:p w14:paraId="305BF07F" w14:textId="71A4A4B4" w:rsidR="00F54A35" w:rsidRPr="00100340" w:rsidRDefault="00F54A35">
            <w:pPr>
              <w:pStyle w:val="Tabletext"/>
            </w:pPr>
            <w:r w:rsidRPr="00100340">
              <w:t xml:space="preserve">MACNI </w:t>
            </w:r>
            <w:r w:rsidR="005B1FF9" w:rsidRPr="00100340">
              <w:t xml:space="preserve">Care Plan Suspension Notification – Letter </w:t>
            </w:r>
            <w:r w:rsidR="005B1FF9">
              <w:t>t</w:t>
            </w:r>
            <w:r w:rsidR="005B1FF9" w:rsidRPr="00100340">
              <w:t>o Client, Parent/Guardian</w:t>
            </w:r>
          </w:p>
        </w:tc>
      </w:tr>
      <w:tr w:rsidR="00F54A35" w14:paraId="59CB7815" w14:textId="77777777">
        <w:tc>
          <w:tcPr>
            <w:tcW w:w="296" w:type="pct"/>
            <w:shd w:val="clear" w:color="auto" w:fill="auto"/>
          </w:tcPr>
          <w:p w14:paraId="17EBA83F" w14:textId="77777777" w:rsidR="00F54A35" w:rsidRPr="00487627" w:rsidRDefault="00F54A35">
            <w:pPr>
              <w:pStyle w:val="Tablecolhead"/>
            </w:pPr>
            <w:r w:rsidRPr="00487627">
              <w:t>8e</w:t>
            </w:r>
          </w:p>
        </w:tc>
        <w:tc>
          <w:tcPr>
            <w:tcW w:w="4704" w:type="pct"/>
          </w:tcPr>
          <w:p w14:paraId="46A24204" w14:textId="7A0F3BDF" w:rsidR="00F54A35" w:rsidRPr="00100340" w:rsidRDefault="00F54A35">
            <w:pPr>
              <w:pStyle w:val="Tabletext"/>
            </w:pPr>
            <w:r w:rsidRPr="00100340">
              <w:t xml:space="preserve">MACNI </w:t>
            </w:r>
            <w:r w:rsidR="005B1FF9" w:rsidRPr="00100340">
              <w:t xml:space="preserve">Care Plan Suspension Notification – Letter </w:t>
            </w:r>
            <w:r w:rsidR="005B1FF9">
              <w:t>t</w:t>
            </w:r>
            <w:r w:rsidR="005B1FF9" w:rsidRPr="00100340">
              <w:t xml:space="preserve">o Services </w:t>
            </w:r>
            <w:r w:rsidR="0003299C">
              <w:t>w</w:t>
            </w:r>
            <w:r w:rsidR="005B1FF9" w:rsidRPr="00100340">
              <w:t xml:space="preserve">ithin </w:t>
            </w:r>
            <w:r w:rsidR="005B1FF9">
              <w:t>t</w:t>
            </w:r>
            <w:r w:rsidR="005B1FF9" w:rsidRPr="00100340">
              <w:t xml:space="preserve">he Care Plan </w:t>
            </w:r>
          </w:p>
        </w:tc>
      </w:tr>
      <w:tr w:rsidR="00F54A35" w14:paraId="78471356" w14:textId="77777777">
        <w:tc>
          <w:tcPr>
            <w:tcW w:w="296" w:type="pct"/>
            <w:shd w:val="clear" w:color="auto" w:fill="auto"/>
          </w:tcPr>
          <w:p w14:paraId="6DCA954B" w14:textId="77777777" w:rsidR="00F54A35" w:rsidRPr="00487627" w:rsidRDefault="00F54A35">
            <w:pPr>
              <w:pStyle w:val="Tablecolhead"/>
            </w:pPr>
            <w:r w:rsidRPr="00487627">
              <w:t>8f</w:t>
            </w:r>
          </w:p>
        </w:tc>
        <w:tc>
          <w:tcPr>
            <w:tcW w:w="4704" w:type="pct"/>
          </w:tcPr>
          <w:p w14:paraId="0FCE4C05" w14:textId="225834E2" w:rsidR="00F54A35" w:rsidRPr="00100340" w:rsidRDefault="00F54A35">
            <w:pPr>
              <w:pStyle w:val="Tabletext"/>
            </w:pPr>
            <w:r w:rsidRPr="00100340">
              <w:t xml:space="preserve">MACNI </w:t>
            </w:r>
            <w:r w:rsidR="005B1FF9" w:rsidRPr="00100340">
              <w:t xml:space="preserve">Care Plan Closure Notification – Letter </w:t>
            </w:r>
            <w:r w:rsidR="005B1FF9">
              <w:t>t</w:t>
            </w:r>
            <w:r w:rsidR="005B1FF9" w:rsidRPr="00100340">
              <w:t>o Client, Parent/Guardian</w:t>
            </w:r>
          </w:p>
        </w:tc>
      </w:tr>
      <w:tr w:rsidR="00F54A35" w14:paraId="046D0B05" w14:textId="77777777">
        <w:tc>
          <w:tcPr>
            <w:tcW w:w="296" w:type="pct"/>
            <w:shd w:val="clear" w:color="auto" w:fill="auto"/>
          </w:tcPr>
          <w:p w14:paraId="59BDBAEF" w14:textId="77777777" w:rsidR="00F54A35" w:rsidRPr="00487627" w:rsidRDefault="00F54A35">
            <w:pPr>
              <w:pStyle w:val="Tablecolhead"/>
            </w:pPr>
            <w:r w:rsidRPr="00487627">
              <w:t>8g</w:t>
            </w:r>
          </w:p>
        </w:tc>
        <w:tc>
          <w:tcPr>
            <w:tcW w:w="4704" w:type="pct"/>
          </w:tcPr>
          <w:p w14:paraId="5EB943DB" w14:textId="73439F1B" w:rsidR="00F54A35" w:rsidRPr="00100340" w:rsidRDefault="00F54A35">
            <w:pPr>
              <w:pStyle w:val="Tabletext"/>
            </w:pPr>
            <w:r w:rsidRPr="00100340">
              <w:t xml:space="preserve">MACNI </w:t>
            </w:r>
            <w:r w:rsidR="005B1FF9" w:rsidRPr="00100340">
              <w:t xml:space="preserve">Care Plan Closure Notification – Letter </w:t>
            </w:r>
            <w:r w:rsidR="005B1FF9">
              <w:t>t</w:t>
            </w:r>
            <w:r w:rsidR="005B1FF9" w:rsidRPr="00100340">
              <w:t xml:space="preserve">o Services </w:t>
            </w:r>
            <w:r w:rsidR="0003299C">
              <w:t>w</w:t>
            </w:r>
            <w:r w:rsidR="005B1FF9" w:rsidRPr="00100340">
              <w:t xml:space="preserve">ithin </w:t>
            </w:r>
            <w:r w:rsidR="005B1FF9">
              <w:t>t</w:t>
            </w:r>
            <w:r w:rsidR="005B1FF9" w:rsidRPr="00100340">
              <w:t xml:space="preserve">he Care Plan </w:t>
            </w:r>
          </w:p>
        </w:tc>
      </w:tr>
      <w:tr w:rsidR="00F54A35" w14:paraId="5387FEE9" w14:textId="77777777">
        <w:tc>
          <w:tcPr>
            <w:tcW w:w="296" w:type="pct"/>
            <w:shd w:val="clear" w:color="auto" w:fill="auto"/>
          </w:tcPr>
          <w:p w14:paraId="664C65DA" w14:textId="77777777" w:rsidR="00F54A35" w:rsidRPr="00487627" w:rsidRDefault="00F54A35">
            <w:pPr>
              <w:pStyle w:val="Tablecolhead"/>
            </w:pPr>
            <w:r w:rsidRPr="00487627">
              <w:t>9</w:t>
            </w:r>
          </w:p>
        </w:tc>
        <w:tc>
          <w:tcPr>
            <w:tcW w:w="4704" w:type="pct"/>
          </w:tcPr>
          <w:p w14:paraId="1BEC4E63" w14:textId="15009241" w:rsidR="00F54A35" w:rsidRPr="00100340" w:rsidRDefault="00F54A35">
            <w:pPr>
              <w:pStyle w:val="Tabletext"/>
            </w:pPr>
            <w:r w:rsidRPr="00100340">
              <w:t xml:space="preserve">Formal MACNI </w:t>
            </w:r>
            <w:r w:rsidR="005B1FF9" w:rsidRPr="00100340">
              <w:t>Client Information Checklist</w:t>
            </w:r>
          </w:p>
        </w:tc>
      </w:tr>
      <w:tr w:rsidR="00F54A35" w14:paraId="7DBB75F7" w14:textId="77777777">
        <w:tc>
          <w:tcPr>
            <w:tcW w:w="296" w:type="pct"/>
            <w:shd w:val="clear" w:color="auto" w:fill="auto"/>
          </w:tcPr>
          <w:p w14:paraId="234B0D68" w14:textId="77777777" w:rsidR="00F54A35" w:rsidRPr="00487627" w:rsidRDefault="00F54A35">
            <w:pPr>
              <w:pStyle w:val="Tablecolhead"/>
            </w:pPr>
            <w:r w:rsidRPr="00487627">
              <w:t>10</w:t>
            </w:r>
          </w:p>
        </w:tc>
        <w:tc>
          <w:tcPr>
            <w:tcW w:w="4704" w:type="pct"/>
          </w:tcPr>
          <w:p w14:paraId="114E23AE" w14:textId="68C6DE27" w:rsidR="00F54A35" w:rsidRPr="00100340" w:rsidRDefault="00F54A35">
            <w:pPr>
              <w:pStyle w:val="Tabletext"/>
            </w:pPr>
            <w:r w:rsidRPr="00100340">
              <w:t xml:space="preserve">Formal MACNI </w:t>
            </w:r>
            <w:r w:rsidR="005B1FF9" w:rsidRPr="00100340">
              <w:t>Service Provider Checklist</w:t>
            </w:r>
          </w:p>
        </w:tc>
      </w:tr>
      <w:tr w:rsidR="00F54A35" w14:paraId="4966CB06" w14:textId="77777777">
        <w:tc>
          <w:tcPr>
            <w:tcW w:w="296" w:type="pct"/>
            <w:shd w:val="clear" w:color="auto" w:fill="auto"/>
          </w:tcPr>
          <w:p w14:paraId="1BA987EF" w14:textId="77777777" w:rsidR="00F54A35" w:rsidRPr="00487627" w:rsidRDefault="00F54A35">
            <w:pPr>
              <w:pStyle w:val="Tablecolhead"/>
            </w:pPr>
            <w:r w:rsidRPr="00487627">
              <w:t>11</w:t>
            </w:r>
          </w:p>
        </w:tc>
        <w:tc>
          <w:tcPr>
            <w:tcW w:w="4704" w:type="pct"/>
          </w:tcPr>
          <w:p w14:paraId="51D09166" w14:textId="688F9644" w:rsidR="00F54A35" w:rsidRPr="00D64F1C" w:rsidRDefault="00F54A35">
            <w:pPr>
              <w:pStyle w:val="Tabletext"/>
            </w:pPr>
            <w:r w:rsidRPr="00D64F1C">
              <w:t xml:space="preserve">New </w:t>
            </w:r>
            <w:r w:rsidR="005B1FF9" w:rsidRPr="00D64F1C">
              <w:t>Staff Orientation Checklist</w:t>
            </w:r>
          </w:p>
        </w:tc>
      </w:tr>
      <w:tr w:rsidR="00F54A35" w:rsidRPr="009235D1" w14:paraId="56F8D5E4" w14:textId="77777777">
        <w:tc>
          <w:tcPr>
            <w:tcW w:w="296" w:type="pct"/>
            <w:shd w:val="clear" w:color="auto" w:fill="auto"/>
          </w:tcPr>
          <w:p w14:paraId="07877E46" w14:textId="77777777" w:rsidR="00F54A35" w:rsidRPr="00D64F1C" w:rsidRDefault="00F54A35">
            <w:pPr>
              <w:pStyle w:val="Tablecolhead"/>
            </w:pPr>
            <w:r w:rsidRPr="00D64F1C">
              <w:t>12</w:t>
            </w:r>
          </w:p>
        </w:tc>
        <w:tc>
          <w:tcPr>
            <w:tcW w:w="4704" w:type="pct"/>
          </w:tcPr>
          <w:p w14:paraId="7403F5C7" w14:textId="530FB30D" w:rsidR="00F54A35" w:rsidRPr="00D64F1C" w:rsidRDefault="00F54A35">
            <w:pPr>
              <w:pStyle w:val="Tabletext"/>
            </w:pPr>
            <w:r w:rsidRPr="00D64F1C">
              <w:t xml:space="preserve">Capacity </w:t>
            </w:r>
            <w:r w:rsidR="005B1FF9" w:rsidRPr="00D64F1C">
              <w:t xml:space="preserve">Building </w:t>
            </w:r>
            <w:r w:rsidR="005B1FF9">
              <w:t>Request</w:t>
            </w:r>
          </w:p>
        </w:tc>
      </w:tr>
      <w:tr w:rsidR="00F54A35" w:rsidRPr="009235D1" w14:paraId="0BC20577" w14:textId="77777777">
        <w:tc>
          <w:tcPr>
            <w:tcW w:w="296" w:type="pct"/>
            <w:shd w:val="clear" w:color="auto" w:fill="auto"/>
          </w:tcPr>
          <w:p w14:paraId="23327CBF" w14:textId="77777777" w:rsidR="00F54A35" w:rsidRPr="00D64F1C" w:rsidRDefault="00F54A35">
            <w:pPr>
              <w:pStyle w:val="Tablecolhead"/>
            </w:pPr>
            <w:r w:rsidRPr="00D64F1C">
              <w:t>13</w:t>
            </w:r>
          </w:p>
        </w:tc>
        <w:tc>
          <w:tcPr>
            <w:tcW w:w="4704" w:type="pct"/>
          </w:tcPr>
          <w:p w14:paraId="62E87AF5" w14:textId="00390AFA" w:rsidR="00F54A35" w:rsidRPr="00D64F1C" w:rsidRDefault="00F54A35">
            <w:pPr>
              <w:pStyle w:val="Tabletext"/>
            </w:pPr>
            <w:r w:rsidRPr="00D64F1C">
              <w:t xml:space="preserve">Supervision </w:t>
            </w:r>
            <w:r w:rsidR="005B1FF9" w:rsidRPr="00D64F1C">
              <w:t>Record</w:t>
            </w:r>
          </w:p>
        </w:tc>
      </w:tr>
    </w:tbl>
    <w:p w14:paraId="67293777" w14:textId="77777777" w:rsidR="005D038D" w:rsidRPr="005D038D" w:rsidRDefault="005D038D" w:rsidP="005D038D">
      <w:pPr>
        <w:pStyle w:val="Body"/>
      </w:pPr>
      <w:r w:rsidRPr="005D038D">
        <w:br w:type="page"/>
      </w:r>
    </w:p>
    <w:p w14:paraId="1AD304E5" w14:textId="77777777" w:rsidR="00283F30" w:rsidRDefault="00283F30" w:rsidP="00AE184A">
      <w:pPr>
        <w:pStyle w:val="Heading1"/>
        <w:sectPr w:rsidR="00283F30" w:rsidSect="008C6DEE">
          <w:footerReference w:type="even" r:id="rId107"/>
          <w:footerReference w:type="default" r:id="rId108"/>
          <w:footerReference w:type="first" r:id="rId109"/>
          <w:pgSz w:w="11906" w:h="16838" w:code="9"/>
          <w:pgMar w:top="1418" w:right="1304" w:bottom="1701" w:left="1304" w:header="680" w:footer="851" w:gutter="0"/>
          <w:cols w:space="340"/>
          <w:docGrid w:linePitch="360"/>
        </w:sectPr>
      </w:pPr>
    </w:p>
    <w:p w14:paraId="57FD6EB1" w14:textId="35FFDA2B" w:rsidR="00AE184A" w:rsidRDefault="00AE184A" w:rsidP="00AE184A">
      <w:pPr>
        <w:pStyle w:val="Heading1"/>
      </w:pPr>
      <w:bookmarkStart w:id="497" w:name="_Toc145318645"/>
      <w:r>
        <w:lastRenderedPageBreak/>
        <w:t>Appendix 1 AOS process flow</w:t>
      </w:r>
      <w:bookmarkEnd w:id="497"/>
    </w:p>
    <w:p w14:paraId="4F645139" w14:textId="750352F6" w:rsidR="0058075F" w:rsidRPr="00124ED9" w:rsidRDefault="00DA30B8" w:rsidP="00124ED9">
      <w:pPr>
        <w:pStyle w:val="Body"/>
        <w:rPr>
          <w:b/>
          <w:bCs/>
        </w:rPr>
      </w:pPr>
      <w:r>
        <w:rPr>
          <w:b/>
          <w:bCs/>
        </w:rPr>
        <w:t>Figure</w:t>
      </w:r>
      <w:r w:rsidR="0058075F" w:rsidRPr="00124ED9">
        <w:rPr>
          <w:b/>
          <w:bCs/>
        </w:rPr>
        <w:t xml:space="preserve"> 1: Intake and Allo</w:t>
      </w:r>
      <w:r w:rsidR="00124ED9" w:rsidRPr="00124ED9">
        <w:rPr>
          <w:b/>
          <w:bCs/>
        </w:rPr>
        <w:t>cation</w:t>
      </w:r>
    </w:p>
    <w:p w14:paraId="24A2363E" w14:textId="7D50B5DA" w:rsidR="00124ED9" w:rsidRDefault="007E3A39" w:rsidP="00AE184A">
      <w:pPr>
        <w:pStyle w:val="Body"/>
      </w:pPr>
      <w:r>
        <w:rPr>
          <w:noProof/>
        </w:rPr>
        <w:drawing>
          <wp:inline distT="0" distB="0" distL="0" distR="0" wp14:anchorId="6C4EEB23" wp14:editId="3CB10440">
            <wp:extent cx="7839075" cy="4871790"/>
            <wp:effectExtent l="0" t="0" r="0" b="5080"/>
            <wp:docPr id="264910479" name="Picture 264910479" descr="Details the AOS process flow for intake and al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10479" name="Picture 264910479" descr="Details the AOS process flow for intake and allocation"/>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852799" cy="4880319"/>
                    </a:xfrm>
                    <a:prstGeom prst="rect">
                      <a:avLst/>
                    </a:prstGeom>
                    <a:noFill/>
                  </pic:spPr>
                </pic:pic>
              </a:graphicData>
            </a:graphic>
          </wp:inline>
        </w:drawing>
      </w:r>
    </w:p>
    <w:p w14:paraId="0AD79835" w14:textId="1AE127F0" w:rsidR="00124ED9" w:rsidRPr="00124ED9" w:rsidRDefault="00DA30B8" w:rsidP="00124ED9">
      <w:pPr>
        <w:pStyle w:val="Body"/>
        <w:rPr>
          <w:b/>
          <w:bCs/>
        </w:rPr>
      </w:pPr>
      <w:r>
        <w:rPr>
          <w:b/>
          <w:bCs/>
        </w:rPr>
        <w:lastRenderedPageBreak/>
        <w:t>Figure</w:t>
      </w:r>
      <w:r w:rsidR="00124ED9" w:rsidRPr="00124ED9">
        <w:rPr>
          <w:b/>
          <w:bCs/>
        </w:rPr>
        <w:t xml:space="preserve"> </w:t>
      </w:r>
      <w:r w:rsidR="00124ED9">
        <w:rPr>
          <w:b/>
          <w:bCs/>
        </w:rPr>
        <w:t>2</w:t>
      </w:r>
      <w:r w:rsidR="00124ED9" w:rsidRPr="00124ED9">
        <w:rPr>
          <w:b/>
          <w:bCs/>
        </w:rPr>
        <w:t xml:space="preserve">: </w:t>
      </w:r>
      <w:r w:rsidR="00124ED9">
        <w:rPr>
          <w:b/>
          <w:bCs/>
        </w:rPr>
        <w:t>AOS Service Delivery</w:t>
      </w:r>
    </w:p>
    <w:p w14:paraId="64151020" w14:textId="3EDAC2C8" w:rsidR="00283F30" w:rsidRDefault="00300C8D" w:rsidP="00D16E90">
      <w:pPr>
        <w:pStyle w:val="Body"/>
        <w:sectPr w:rsidR="00283F30" w:rsidSect="00283F30">
          <w:pgSz w:w="16838" w:h="11906" w:orient="landscape" w:code="9"/>
          <w:pgMar w:top="1304" w:right="1418" w:bottom="1304" w:left="1701" w:header="680" w:footer="851" w:gutter="0"/>
          <w:cols w:space="340"/>
          <w:docGrid w:linePitch="360"/>
        </w:sectPr>
      </w:pPr>
      <w:r w:rsidRPr="00300C8D">
        <w:rPr>
          <w:noProof/>
        </w:rPr>
        <w:drawing>
          <wp:inline distT="0" distB="0" distL="0" distR="0" wp14:anchorId="1061904D" wp14:editId="7AF082D5">
            <wp:extent cx="9001125" cy="5393079"/>
            <wp:effectExtent l="0" t="0" r="0" b="0"/>
            <wp:docPr id="264910477" name="Picture 264910477" descr="Details the AOS process flow for service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10477" name="Picture 264910477" descr="Details the AOS process flow for service delivery"/>
                    <pic:cNvPicPr/>
                  </pic:nvPicPr>
                  <pic:blipFill>
                    <a:blip r:embed="rId111"/>
                    <a:stretch>
                      <a:fillRect/>
                    </a:stretch>
                  </pic:blipFill>
                  <pic:spPr>
                    <a:xfrm>
                      <a:off x="0" y="0"/>
                      <a:ext cx="9016433" cy="5402251"/>
                    </a:xfrm>
                    <a:prstGeom prst="rect">
                      <a:avLst/>
                    </a:prstGeom>
                  </pic:spPr>
                </pic:pic>
              </a:graphicData>
            </a:graphic>
          </wp:inline>
        </w:drawing>
      </w:r>
    </w:p>
    <w:p w14:paraId="1DDCEAF1" w14:textId="3BED05CD" w:rsidR="0024179D" w:rsidRPr="00CC7047" w:rsidRDefault="0024179D" w:rsidP="0024179D">
      <w:pPr>
        <w:pStyle w:val="Heading1"/>
      </w:pPr>
      <w:bookmarkStart w:id="498" w:name="_Toc145318646"/>
      <w:r>
        <w:lastRenderedPageBreak/>
        <w:t xml:space="preserve">Appendix </w:t>
      </w:r>
      <w:r w:rsidR="00AE184A">
        <w:t>2</w:t>
      </w:r>
      <w:r>
        <w:t xml:space="preserve"> </w:t>
      </w:r>
      <w:r w:rsidR="005547C4">
        <w:t>MACNI l</w:t>
      </w:r>
      <w:r w:rsidRPr="00CC7047">
        <w:t>egislative requirements</w:t>
      </w:r>
      <w:bookmarkEnd w:id="498"/>
      <w:r w:rsidRPr="00CC7047">
        <w:t xml:space="preserve"> </w:t>
      </w:r>
      <w:bookmarkEnd w:id="15"/>
      <w:bookmarkEnd w:id="16"/>
      <w:bookmarkEnd w:id="17"/>
      <w:bookmarkEnd w:id="18"/>
      <w:bookmarkEnd w:id="19"/>
    </w:p>
    <w:tbl>
      <w:tblPr>
        <w:tblStyle w:val="TableGrid"/>
        <w:tblW w:w="0" w:type="auto"/>
        <w:tblLook w:val="04A0" w:firstRow="1" w:lastRow="0" w:firstColumn="1" w:lastColumn="0" w:noHBand="0" w:noVBand="1"/>
      </w:tblPr>
      <w:tblGrid>
        <w:gridCol w:w="1502"/>
        <w:gridCol w:w="1873"/>
        <w:gridCol w:w="5913"/>
      </w:tblGrid>
      <w:tr w:rsidR="0024179D" w:rsidRPr="00487627" w14:paraId="7EADD052" w14:textId="77777777" w:rsidTr="7DAFCD5E">
        <w:trPr>
          <w:tblHeader/>
        </w:trPr>
        <w:tc>
          <w:tcPr>
            <w:tcW w:w="1588" w:type="dxa"/>
            <w:shd w:val="clear" w:color="auto" w:fill="auto"/>
            <w:vAlign w:val="center"/>
          </w:tcPr>
          <w:p w14:paraId="3F2DD80C" w14:textId="77777777" w:rsidR="0024179D" w:rsidRPr="00487627" w:rsidRDefault="0024179D">
            <w:pPr>
              <w:pStyle w:val="Tablecolhead"/>
            </w:pPr>
            <w:r w:rsidRPr="00487627">
              <w:t>MACNI Service</w:t>
            </w:r>
          </w:p>
        </w:tc>
        <w:tc>
          <w:tcPr>
            <w:tcW w:w="2268" w:type="dxa"/>
            <w:shd w:val="clear" w:color="auto" w:fill="auto"/>
            <w:vAlign w:val="center"/>
          </w:tcPr>
          <w:p w14:paraId="5CC61C8C" w14:textId="77777777" w:rsidR="0024179D" w:rsidRPr="00487627" w:rsidRDefault="0024179D">
            <w:pPr>
              <w:pStyle w:val="Tablecolhead"/>
            </w:pPr>
            <w:r w:rsidRPr="00534EEF">
              <w:rPr>
                <w:i/>
                <w:iCs/>
              </w:rPr>
              <w:t>Human Services (Complex Needs) Act 2009</w:t>
            </w:r>
            <w:r w:rsidRPr="00487627">
              <w:t xml:space="preserve"> Section</w:t>
            </w:r>
          </w:p>
        </w:tc>
        <w:tc>
          <w:tcPr>
            <w:tcW w:w="10029" w:type="dxa"/>
            <w:shd w:val="clear" w:color="auto" w:fill="auto"/>
            <w:vAlign w:val="center"/>
          </w:tcPr>
          <w:p w14:paraId="37421F0C" w14:textId="77777777" w:rsidR="0024179D" w:rsidRPr="00487627" w:rsidRDefault="0024179D">
            <w:pPr>
              <w:pStyle w:val="Tablecolhead"/>
            </w:pPr>
            <w:r w:rsidRPr="00487627">
              <w:t xml:space="preserve">Legislative requirement </w:t>
            </w:r>
          </w:p>
        </w:tc>
      </w:tr>
      <w:tr w:rsidR="0024179D" w14:paraId="4BFBBA52" w14:textId="77777777" w:rsidTr="7DAFCD5E">
        <w:trPr>
          <w:trHeight w:val="6315"/>
        </w:trPr>
        <w:tc>
          <w:tcPr>
            <w:tcW w:w="1588" w:type="dxa"/>
          </w:tcPr>
          <w:p w14:paraId="6D1DC622" w14:textId="77777777" w:rsidR="0024179D" w:rsidRPr="00657003" w:rsidRDefault="0024179D">
            <w:pPr>
              <w:pStyle w:val="Body"/>
            </w:pPr>
            <w:r w:rsidRPr="00657003">
              <w:t>Eligibility</w:t>
            </w:r>
          </w:p>
        </w:tc>
        <w:tc>
          <w:tcPr>
            <w:tcW w:w="2268" w:type="dxa"/>
          </w:tcPr>
          <w:p w14:paraId="2A46F95E" w14:textId="77777777" w:rsidR="0024179D" w:rsidRPr="00657003" w:rsidRDefault="0024179D">
            <w:pPr>
              <w:pStyle w:val="Tabletext"/>
            </w:pPr>
            <w:r w:rsidRPr="00657003">
              <w:t>9 Notice to be given to persons before determination is made</w:t>
            </w:r>
          </w:p>
        </w:tc>
        <w:tc>
          <w:tcPr>
            <w:tcW w:w="10029" w:type="dxa"/>
          </w:tcPr>
          <w:p w14:paraId="7FD95E17" w14:textId="77777777" w:rsidR="0024179D" w:rsidRPr="00C85C8E" w:rsidRDefault="0024179D">
            <w:pPr>
              <w:pStyle w:val="Tabletext"/>
              <w:rPr>
                <w:rFonts w:eastAsia="Arial"/>
              </w:rPr>
            </w:pPr>
            <w:r w:rsidRPr="00C85C8E">
              <w:rPr>
                <w:rFonts w:eastAsia="Arial"/>
              </w:rPr>
              <w:t>The Act requires that a person is not considered for the determination of eligibility if the person refuses to be considered and that the person may at any time refuse to be considered for eligibility or to be the subject of a care plan.</w:t>
            </w:r>
          </w:p>
          <w:p w14:paraId="50FB9B7B" w14:textId="77777777" w:rsidR="0024179D" w:rsidRPr="00C85C8E" w:rsidRDefault="0024179D">
            <w:pPr>
              <w:pStyle w:val="Tabletext"/>
              <w:rPr>
                <w:rFonts w:eastAsia="Arial"/>
              </w:rPr>
            </w:pPr>
            <w:r w:rsidRPr="00C85C8E">
              <w:rPr>
                <w:rFonts w:eastAsia="Arial"/>
              </w:rPr>
              <w:t xml:space="preserve">The Act requires that before a person can be considered, the department </w:t>
            </w:r>
            <w:r w:rsidRPr="00083D65">
              <w:rPr>
                <w:rFonts w:eastAsia="Arial"/>
                <w:bCs/>
              </w:rPr>
              <w:t>must notify the person in writing</w:t>
            </w:r>
            <w:r w:rsidRPr="00C85C8E">
              <w:rPr>
                <w:rFonts w:eastAsia="Arial"/>
              </w:rPr>
              <w:t xml:space="preserve"> that the department:</w:t>
            </w:r>
          </w:p>
          <w:p w14:paraId="5F8892BA" w14:textId="77777777" w:rsidR="0024179D" w:rsidRPr="00C85C8E" w:rsidRDefault="20278BA4" w:rsidP="000E7482">
            <w:pPr>
              <w:pStyle w:val="Tablebullet1"/>
              <w:numPr>
                <w:ilvl w:val="0"/>
                <w:numId w:val="14"/>
              </w:numPr>
            </w:pPr>
            <w:r w:rsidRPr="7DAFCD5E">
              <w:rPr>
                <w:rFonts w:eastAsia="Arial"/>
              </w:rPr>
              <w:t>may consider whether the person appears to be eligible unless the person refuses to be considered for eligibility</w:t>
            </w:r>
          </w:p>
          <w:p w14:paraId="1571C9A2" w14:textId="77777777" w:rsidR="0024179D" w:rsidRPr="00C85C8E" w:rsidRDefault="20278BA4" w:rsidP="000E7482">
            <w:pPr>
              <w:pStyle w:val="Tablebullet1"/>
              <w:numPr>
                <w:ilvl w:val="0"/>
                <w:numId w:val="14"/>
              </w:numPr>
            </w:pPr>
            <w:r w:rsidRPr="7DAFCD5E">
              <w:rPr>
                <w:rFonts w:eastAsia="Arial"/>
              </w:rPr>
              <w:t>will ensure a care plan is developed if eligible unless the person refuses to be the subject of a care plan</w:t>
            </w:r>
          </w:p>
          <w:p w14:paraId="4950FA15" w14:textId="77777777" w:rsidR="0024179D" w:rsidRPr="00C85C8E" w:rsidRDefault="20278BA4" w:rsidP="000E7482">
            <w:pPr>
              <w:pStyle w:val="Tablebullet1"/>
              <w:numPr>
                <w:ilvl w:val="0"/>
                <w:numId w:val="14"/>
              </w:numPr>
            </w:pPr>
            <w:r w:rsidRPr="7DAFCD5E">
              <w:rPr>
                <w:rFonts w:eastAsia="Arial"/>
              </w:rPr>
              <w:t>may seek to obtain from any person or organisation health and/or personal information about the person for the purpose of considering whether the person is eligible or developing them a care plan</w:t>
            </w:r>
          </w:p>
          <w:p w14:paraId="4296D43E" w14:textId="77777777" w:rsidR="0024179D" w:rsidRPr="00C85C8E" w:rsidRDefault="20278BA4" w:rsidP="000E7482">
            <w:pPr>
              <w:pStyle w:val="Tablebullet1"/>
              <w:numPr>
                <w:ilvl w:val="0"/>
                <w:numId w:val="14"/>
              </w:numPr>
            </w:pPr>
            <w:r w:rsidRPr="7DAFCD5E">
              <w:rPr>
                <w:rFonts w:eastAsia="Arial"/>
              </w:rPr>
              <w:t>may disclose health and/or personal information about the person to a service provider identified their care plan if the department is satisfied that the disclosure is in the best interests of the person and would assist the service provider in giving effect to the care plan, and of how to contact the relevant department contact.</w:t>
            </w:r>
          </w:p>
          <w:p w14:paraId="2F59157B" w14:textId="77777777" w:rsidR="0024179D" w:rsidRPr="00C85C8E" w:rsidRDefault="0024179D">
            <w:pPr>
              <w:pStyle w:val="Tabletext"/>
              <w:rPr>
                <w:rFonts w:eastAsia="Arial"/>
              </w:rPr>
            </w:pPr>
            <w:r w:rsidRPr="00C85C8E">
              <w:rPr>
                <w:rFonts w:eastAsia="Arial"/>
              </w:rPr>
              <w:t xml:space="preserve">At the same time, the person is notified that a </w:t>
            </w:r>
            <w:r>
              <w:t>Care Plan Coordinator</w:t>
            </w:r>
            <w:r w:rsidRPr="00C85C8E">
              <w:rPr>
                <w:rFonts w:eastAsia="Arial"/>
              </w:rPr>
              <w:t>:</w:t>
            </w:r>
          </w:p>
          <w:p w14:paraId="0799EA0D" w14:textId="77777777" w:rsidR="0024179D" w:rsidRPr="00657003" w:rsidRDefault="20278BA4" w:rsidP="000E7482">
            <w:pPr>
              <w:pStyle w:val="Tablebullet1"/>
              <w:numPr>
                <w:ilvl w:val="0"/>
                <w:numId w:val="14"/>
              </w:numPr>
            </w:pPr>
            <w:r w:rsidRPr="7DAFCD5E">
              <w:rPr>
                <w:rFonts w:eastAsia="Arial"/>
              </w:rPr>
              <w:t>may seek to obtain from any person or organisation health and/or personal information about the person for the purpose of developing their care plan</w:t>
            </w:r>
          </w:p>
          <w:p w14:paraId="36B4AA72" w14:textId="77777777" w:rsidR="0024179D" w:rsidRPr="00657003" w:rsidRDefault="20278BA4" w:rsidP="000E7482">
            <w:pPr>
              <w:pStyle w:val="Tablebullet1"/>
              <w:numPr>
                <w:ilvl w:val="0"/>
                <w:numId w:val="14"/>
              </w:numPr>
            </w:pPr>
            <w:r w:rsidRPr="7DAFCD5E">
              <w:rPr>
                <w:rFonts w:eastAsia="Arial"/>
              </w:rPr>
              <w:t>may disclose personal information or health information about the person to another service provider identified in the care plan if the first-mentioned service provider is satisfied that the disclosure is in the best interests of the person and would assist the second-mentioned service provider in giving effect to the care plan.</w:t>
            </w:r>
          </w:p>
        </w:tc>
      </w:tr>
      <w:tr w:rsidR="0024179D" w14:paraId="487DD2A3" w14:textId="77777777" w:rsidTr="7DAFCD5E">
        <w:tc>
          <w:tcPr>
            <w:tcW w:w="1588" w:type="dxa"/>
          </w:tcPr>
          <w:p w14:paraId="1327ACA4" w14:textId="77777777" w:rsidR="0024179D" w:rsidRPr="00657003" w:rsidRDefault="0024179D">
            <w:pPr>
              <w:pStyle w:val="Body"/>
            </w:pPr>
            <w:r w:rsidRPr="00657003">
              <w:t>Eligibility</w:t>
            </w:r>
          </w:p>
        </w:tc>
        <w:tc>
          <w:tcPr>
            <w:tcW w:w="2268" w:type="dxa"/>
          </w:tcPr>
          <w:p w14:paraId="7416C2AD" w14:textId="77777777" w:rsidR="0024179D" w:rsidRPr="00657003" w:rsidRDefault="0024179D">
            <w:pPr>
              <w:pStyle w:val="Tabletext"/>
            </w:pPr>
            <w:r w:rsidRPr="00657003">
              <w:t>10 Secretary to notify person of determination of eligibility</w:t>
            </w:r>
          </w:p>
        </w:tc>
        <w:tc>
          <w:tcPr>
            <w:tcW w:w="10029" w:type="dxa"/>
          </w:tcPr>
          <w:p w14:paraId="28376268" w14:textId="77777777" w:rsidR="0024179D" w:rsidRPr="00C85C8E" w:rsidRDefault="0024179D">
            <w:pPr>
              <w:pStyle w:val="Tabletext"/>
              <w:rPr>
                <w:rFonts w:eastAsia="Arial"/>
              </w:rPr>
            </w:pPr>
            <w:r w:rsidRPr="00C85C8E">
              <w:rPr>
                <w:rFonts w:eastAsia="Arial"/>
              </w:rPr>
              <w:t>The department must notify in writing a person whose eligibility has been considered whether or not the department has determined that the person is eligible.</w:t>
            </w:r>
          </w:p>
          <w:p w14:paraId="6FC6F77C" w14:textId="77777777" w:rsidR="0024179D" w:rsidRPr="00C85C8E" w:rsidRDefault="0024179D">
            <w:pPr>
              <w:pStyle w:val="Tabletext"/>
              <w:rPr>
                <w:rFonts w:eastAsia="Arial"/>
              </w:rPr>
            </w:pPr>
            <w:r w:rsidRPr="00C85C8E">
              <w:rPr>
                <w:rFonts w:eastAsia="Arial"/>
              </w:rPr>
              <w:t xml:space="preserve">The </w:t>
            </w:r>
            <w:r>
              <w:rPr>
                <w:rFonts w:eastAsia="Arial"/>
              </w:rPr>
              <w:t>Complex Needs Coordinator</w:t>
            </w:r>
            <w:r w:rsidRPr="00C85C8E">
              <w:rPr>
                <w:rFonts w:eastAsia="Arial"/>
              </w:rPr>
              <w:t xml:space="preserve"> ensures that the above notification requirements are satisfied. A standardised </w:t>
            </w:r>
            <w:r w:rsidRPr="00C85C8E">
              <w:rPr>
                <w:rFonts w:eastAsia="Arial"/>
                <w:i/>
              </w:rPr>
              <w:t xml:space="preserve">Eligibility consideration letter </w:t>
            </w:r>
            <w:r w:rsidRPr="00C85C8E">
              <w:rPr>
                <w:rFonts w:eastAsia="Arial"/>
              </w:rPr>
              <w:t>is provided/sent</w:t>
            </w:r>
            <w:r w:rsidRPr="00C85C8E">
              <w:rPr>
                <w:rFonts w:eastAsia="Arial"/>
                <w:i/>
              </w:rPr>
              <w:t xml:space="preserve"> to </w:t>
            </w:r>
            <w:r w:rsidRPr="00C85C8E">
              <w:rPr>
                <w:rFonts w:eastAsia="Arial"/>
              </w:rPr>
              <w:t xml:space="preserve">the person to seek their consent for the consideration of eligibility, including </w:t>
            </w:r>
            <w:r w:rsidRPr="00C85C8E">
              <w:rPr>
                <w:rFonts w:eastAsia="Arial"/>
                <w:i/>
              </w:rPr>
              <w:t>a Consent for eligibility determination form.</w:t>
            </w:r>
          </w:p>
          <w:p w14:paraId="3F1149BB" w14:textId="77777777" w:rsidR="0024179D" w:rsidRPr="00C85C8E" w:rsidRDefault="0024179D">
            <w:pPr>
              <w:pStyle w:val="Tabletext"/>
              <w:rPr>
                <w:rFonts w:eastAsia="Arial"/>
              </w:rPr>
            </w:pPr>
            <w:r w:rsidRPr="00C85C8E">
              <w:rPr>
                <w:rFonts w:eastAsia="Arial"/>
              </w:rPr>
              <w:t xml:space="preserve">The </w:t>
            </w:r>
            <w:r>
              <w:rPr>
                <w:rFonts w:eastAsia="Arial"/>
              </w:rPr>
              <w:t>Complex Needs Coordinator</w:t>
            </w:r>
            <w:r w:rsidRPr="00C85C8E">
              <w:rPr>
                <w:rFonts w:eastAsia="Arial"/>
              </w:rPr>
              <w:t xml:space="preserve"> then schedules the referral consideration for a </w:t>
            </w:r>
            <w:r>
              <w:rPr>
                <w:rFonts w:eastAsia="Arial"/>
              </w:rPr>
              <w:t>Panel</w:t>
            </w:r>
            <w:r w:rsidRPr="00C85C8E">
              <w:rPr>
                <w:rFonts w:eastAsia="Arial"/>
              </w:rPr>
              <w:t xml:space="preserve"> meeting, providing the panel with the </w:t>
            </w:r>
            <w:r w:rsidRPr="00C85C8E">
              <w:rPr>
                <w:rFonts w:eastAsia="Arial"/>
                <w:i/>
              </w:rPr>
              <w:t>Request for eligibility determination to panel form</w:t>
            </w:r>
            <w:r w:rsidRPr="00C85C8E">
              <w:rPr>
                <w:rFonts w:eastAsia="Arial"/>
              </w:rPr>
              <w:t xml:space="preserve">. The </w:t>
            </w:r>
            <w:r w:rsidRPr="00C85C8E">
              <w:rPr>
                <w:rFonts w:eastAsia="Arial"/>
              </w:rPr>
              <w:lastRenderedPageBreak/>
              <w:t xml:space="preserve">panel may also provide advice on service responses and identify systemic issues to be addressed through service planning. In particular, the </w:t>
            </w:r>
            <w:r>
              <w:rPr>
                <w:rFonts w:eastAsia="Arial"/>
              </w:rPr>
              <w:t>Panel</w:t>
            </w:r>
            <w:r w:rsidRPr="00C85C8E">
              <w:rPr>
                <w:rFonts w:eastAsia="Arial"/>
              </w:rPr>
              <w:t xml:space="preserve"> ensures that Aboriginal community-controlled organisations have been engaged for Aboriginal clients.</w:t>
            </w:r>
          </w:p>
          <w:p w14:paraId="1546642D" w14:textId="77777777" w:rsidR="0024179D" w:rsidRDefault="0024179D">
            <w:pPr>
              <w:pStyle w:val="Tabletext"/>
            </w:pPr>
            <w:r w:rsidRPr="00C85C8E">
              <w:rPr>
                <w:rFonts w:eastAsia="Arial"/>
              </w:rPr>
              <w:t xml:space="preserve">The panel considers and </w:t>
            </w:r>
            <w:r>
              <w:rPr>
                <w:rFonts w:eastAsia="Arial"/>
              </w:rPr>
              <w:t>recommends</w:t>
            </w:r>
            <w:r w:rsidRPr="00C85C8E">
              <w:rPr>
                <w:rFonts w:eastAsia="Arial"/>
              </w:rPr>
              <w:t xml:space="preserve"> (as relevant) the referral which requires </w:t>
            </w:r>
            <w:r>
              <w:t>Executive</w:t>
            </w:r>
            <w:r w:rsidRPr="00C85C8E">
              <w:rPr>
                <w:rFonts w:eastAsia="Arial"/>
              </w:rPr>
              <w:t xml:space="preserve"> Director approval. A standardised </w:t>
            </w:r>
            <w:r w:rsidRPr="00C85C8E">
              <w:rPr>
                <w:rFonts w:eastAsia="Arial"/>
                <w:i/>
              </w:rPr>
              <w:t>Eligibility outcome letter</w:t>
            </w:r>
            <w:r w:rsidRPr="00C85C8E">
              <w:rPr>
                <w:rFonts w:eastAsia="Arial"/>
              </w:rPr>
              <w:t xml:space="preserve"> is then sent to the eligible client.</w:t>
            </w:r>
          </w:p>
        </w:tc>
      </w:tr>
      <w:tr w:rsidR="0024179D" w14:paraId="779256C4" w14:textId="77777777" w:rsidTr="7DAFCD5E">
        <w:tc>
          <w:tcPr>
            <w:tcW w:w="1588" w:type="dxa"/>
          </w:tcPr>
          <w:p w14:paraId="1E068B36" w14:textId="77777777" w:rsidR="0024179D" w:rsidRPr="00657003" w:rsidRDefault="0024179D">
            <w:pPr>
              <w:pStyle w:val="Body"/>
            </w:pPr>
            <w:r w:rsidRPr="00657003">
              <w:lastRenderedPageBreak/>
              <w:t>Care plans</w:t>
            </w:r>
          </w:p>
        </w:tc>
        <w:tc>
          <w:tcPr>
            <w:tcW w:w="2268" w:type="dxa"/>
          </w:tcPr>
          <w:p w14:paraId="7C1761D8" w14:textId="77777777" w:rsidR="0024179D" w:rsidRPr="00657003" w:rsidRDefault="0024179D">
            <w:pPr>
              <w:pStyle w:val="Tabletext"/>
            </w:pPr>
            <w:r w:rsidRPr="00657003">
              <w:t>11 - 18</w:t>
            </w:r>
          </w:p>
        </w:tc>
        <w:tc>
          <w:tcPr>
            <w:tcW w:w="10029" w:type="dxa"/>
          </w:tcPr>
          <w:p w14:paraId="28118365" w14:textId="77777777" w:rsidR="0024179D" w:rsidRPr="00C85C8E" w:rsidRDefault="0024179D">
            <w:pPr>
              <w:pStyle w:val="Tabletext"/>
              <w:rPr>
                <w:rFonts w:eastAsia="Arial"/>
              </w:rPr>
            </w:pPr>
            <w:r w:rsidRPr="00C85C8E">
              <w:rPr>
                <w:rFonts w:eastAsia="Arial"/>
              </w:rPr>
              <w:t>In summary, the Act requires the:</w:t>
            </w:r>
          </w:p>
          <w:p w14:paraId="42EA9122" w14:textId="77777777" w:rsidR="0024179D" w:rsidRPr="00C85C8E" w:rsidRDefault="20278BA4" w:rsidP="000E7482">
            <w:pPr>
              <w:pStyle w:val="Tablebullet1"/>
              <w:numPr>
                <w:ilvl w:val="0"/>
                <w:numId w:val="14"/>
              </w:numPr>
            </w:pPr>
            <w:r w:rsidRPr="7DAFCD5E">
              <w:rPr>
                <w:rFonts w:eastAsia="Arial"/>
              </w:rPr>
              <w:t>department to ensure that a care plan is developed, based on a comprehensive assessment of the person’s needs after a person has been determined as eligible</w:t>
            </w:r>
          </w:p>
          <w:p w14:paraId="3BCE9E38" w14:textId="77777777" w:rsidR="0024179D" w:rsidRPr="00657003" w:rsidRDefault="20278BA4" w:rsidP="000E7482">
            <w:pPr>
              <w:pStyle w:val="Tablebullet1"/>
              <w:numPr>
                <w:ilvl w:val="0"/>
                <w:numId w:val="14"/>
              </w:numPr>
            </w:pPr>
            <w:r w:rsidRPr="7DAFCD5E">
              <w:rPr>
                <w:rFonts w:eastAsia="Arial"/>
              </w:rPr>
              <w:t>care plan to specify the care, treatment and support strategies recommended for the person taking into account their best interests</w:t>
            </w:r>
          </w:p>
          <w:p w14:paraId="00988E28" w14:textId="77777777" w:rsidR="0024179D" w:rsidRPr="00657003" w:rsidRDefault="20278BA4" w:rsidP="000E7482">
            <w:pPr>
              <w:pStyle w:val="Tablebullet1"/>
              <w:numPr>
                <w:ilvl w:val="0"/>
                <w:numId w:val="14"/>
              </w:numPr>
            </w:pPr>
            <w:r w:rsidRPr="7DAFCD5E">
              <w:rPr>
                <w:rFonts w:eastAsia="Arial"/>
              </w:rPr>
              <w:t>care plan is initially not for longer than 12 months but thereafter may be extended with the total duration of a care plan not exceeding 36 months.</w:t>
            </w:r>
          </w:p>
        </w:tc>
      </w:tr>
      <w:tr w:rsidR="0024179D" w14:paraId="082871A2" w14:textId="77777777" w:rsidTr="7DAFCD5E">
        <w:tc>
          <w:tcPr>
            <w:tcW w:w="1588" w:type="dxa"/>
          </w:tcPr>
          <w:p w14:paraId="44178CEC" w14:textId="77777777" w:rsidR="0024179D" w:rsidRPr="00657003" w:rsidRDefault="0024179D">
            <w:pPr>
              <w:pStyle w:val="Body"/>
            </w:pPr>
            <w:r w:rsidRPr="00657003">
              <w:t>Care plan development</w:t>
            </w:r>
          </w:p>
        </w:tc>
        <w:tc>
          <w:tcPr>
            <w:tcW w:w="2268" w:type="dxa"/>
          </w:tcPr>
          <w:p w14:paraId="56861885" w14:textId="77777777" w:rsidR="0024179D" w:rsidRPr="00657003" w:rsidRDefault="0024179D">
            <w:pPr>
              <w:pStyle w:val="Tabletext"/>
            </w:pPr>
            <w:r w:rsidRPr="00657003">
              <w:t>13 What does development of a care plan involve?</w:t>
            </w:r>
          </w:p>
        </w:tc>
        <w:tc>
          <w:tcPr>
            <w:tcW w:w="10029" w:type="dxa"/>
          </w:tcPr>
          <w:p w14:paraId="71677789" w14:textId="77777777" w:rsidR="0024179D" w:rsidRPr="00C85C8E" w:rsidRDefault="0024179D">
            <w:pPr>
              <w:pStyle w:val="Tabletext"/>
              <w:rPr>
                <w:rFonts w:eastAsia="Arial"/>
              </w:rPr>
            </w:pPr>
            <w:r w:rsidRPr="00C85C8E">
              <w:rPr>
                <w:rFonts w:eastAsia="Arial"/>
              </w:rPr>
              <w:t>The Act requires that the department or an appointed care plan development service provider must ensure that:</w:t>
            </w:r>
          </w:p>
          <w:p w14:paraId="2961BF14" w14:textId="77777777" w:rsidR="0024179D" w:rsidRPr="00C85C8E" w:rsidRDefault="20278BA4" w:rsidP="000E7482">
            <w:pPr>
              <w:pStyle w:val="Tablebullet1"/>
              <w:numPr>
                <w:ilvl w:val="0"/>
                <w:numId w:val="14"/>
              </w:numPr>
            </w:pPr>
            <w:r w:rsidRPr="7DAFCD5E">
              <w:rPr>
                <w:rFonts w:eastAsia="Arial"/>
              </w:rPr>
              <w:t>the client is consulted in person and if deemed necessary and the client agrees, their family and carers are consulted</w:t>
            </w:r>
          </w:p>
          <w:p w14:paraId="25EC22EE" w14:textId="77777777" w:rsidR="0024179D" w:rsidRPr="00C85C8E" w:rsidRDefault="20278BA4" w:rsidP="000E7482">
            <w:pPr>
              <w:pStyle w:val="Tablebullet1"/>
              <w:numPr>
                <w:ilvl w:val="0"/>
                <w:numId w:val="14"/>
              </w:numPr>
            </w:pPr>
            <w:r w:rsidRPr="7DAFCD5E">
              <w:rPr>
                <w:rFonts w:eastAsia="Arial"/>
              </w:rPr>
              <w:t>the persons and organisations currently providing welfare, health, mental health, disability, drug and alcohol treatment, offender or housing and support services to the client are consulted</w:t>
            </w:r>
          </w:p>
          <w:p w14:paraId="6F04D4EE" w14:textId="77777777" w:rsidR="0024179D" w:rsidRPr="00C85C8E" w:rsidRDefault="20278BA4" w:rsidP="000E7482">
            <w:pPr>
              <w:pStyle w:val="Tablebullet1"/>
              <w:numPr>
                <w:ilvl w:val="0"/>
                <w:numId w:val="14"/>
              </w:numPr>
            </w:pPr>
            <w:r w:rsidRPr="7DAFCD5E">
              <w:rPr>
                <w:rFonts w:eastAsia="Arial"/>
              </w:rPr>
              <w:t>a comprehensive assessment of the person’s needs is carried out</w:t>
            </w:r>
          </w:p>
          <w:p w14:paraId="2769B1D0" w14:textId="77777777" w:rsidR="0024179D" w:rsidRPr="00C85C8E" w:rsidRDefault="20278BA4" w:rsidP="000E7482">
            <w:pPr>
              <w:pStyle w:val="Tablebullet1"/>
              <w:numPr>
                <w:ilvl w:val="0"/>
                <w:numId w:val="14"/>
              </w:numPr>
            </w:pPr>
            <w:r w:rsidRPr="7DAFCD5E">
              <w:rPr>
                <w:rFonts w:eastAsia="Arial"/>
              </w:rPr>
              <w:t>relevant health/personal information in relation to the client is obtained and considered.</w:t>
            </w:r>
          </w:p>
          <w:p w14:paraId="1CD73C13" w14:textId="77777777" w:rsidR="0024179D" w:rsidRDefault="0024179D">
            <w:pPr>
              <w:pStyle w:val="Tabletext"/>
            </w:pPr>
            <w:r w:rsidRPr="00C85C8E">
              <w:rPr>
                <w:rFonts w:eastAsia="Arial"/>
              </w:rPr>
              <w:t xml:space="preserve">Following the determination of a client’s eligibility, a care plan developer is appointed by a </w:t>
            </w:r>
            <w:r>
              <w:rPr>
                <w:rFonts w:eastAsia="Arial"/>
              </w:rPr>
              <w:t>Panel</w:t>
            </w:r>
            <w:r w:rsidRPr="00C85C8E">
              <w:rPr>
                <w:rFonts w:eastAsia="Arial"/>
              </w:rPr>
              <w:t xml:space="preserve"> to assess the client’s needs and develop the care plan. The </w:t>
            </w:r>
            <w:r>
              <w:rPr>
                <w:rFonts w:eastAsia="Arial"/>
              </w:rPr>
              <w:t>Panel</w:t>
            </w:r>
            <w:r w:rsidRPr="00C85C8E">
              <w:rPr>
                <w:rFonts w:eastAsia="Arial"/>
              </w:rPr>
              <w:t xml:space="preserve"> ensures a care plan is developed as a partnership between a range of services, the client, family members and significant others.</w:t>
            </w:r>
          </w:p>
        </w:tc>
      </w:tr>
      <w:tr w:rsidR="0024179D" w14:paraId="00912021" w14:textId="77777777" w:rsidTr="7DAFCD5E">
        <w:tc>
          <w:tcPr>
            <w:tcW w:w="1588" w:type="dxa"/>
          </w:tcPr>
          <w:p w14:paraId="129C0755" w14:textId="77777777" w:rsidR="0024179D" w:rsidRPr="00657003" w:rsidRDefault="0024179D">
            <w:pPr>
              <w:pStyle w:val="Body"/>
            </w:pPr>
            <w:r w:rsidRPr="00657003">
              <w:t>Care plan development</w:t>
            </w:r>
          </w:p>
        </w:tc>
        <w:tc>
          <w:tcPr>
            <w:tcW w:w="2268" w:type="dxa"/>
          </w:tcPr>
          <w:p w14:paraId="06D1F331" w14:textId="77777777" w:rsidR="0024179D" w:rsidRPr="00657003" w:rsidRDefault="0024179D">
            <w:pPr>
              <w:pStyle w:val="Tabletext"/>
            </w:pPr>
            <w:r w:rsidRPr="00657003">
              <w:t>14 Seeking and disclosing information for purposes of developing a care plan</w:t>
            </w:r>
          </w:p>
        </w:tc>
        <w:tc>
          <w:tcPr>
            <w:tcW w:w="10029" w:type="dxa"/>
          </w:tcPr>
          <w:p w14:paraId="3F6B51D4" w14:textId="77777777" w:rsidR="0024179D" w:rsidRPr="00C85C8E" w:rsidRDefault="0024179D">
            <w:pPr>
              <w:pStyle w:val="Tabletext"/>
              <w:rPr>
                <w:rFonts w:eastAsia="Arial"/>
              </w:rPr>
            </w:pPr>
            <w:r w:rsidRPr="00C85C8E">
              <w:rPr>
                <w:rFonts w:eastAsia="Arial"/>
              </w:rPr>
              <w:t>The Act enables the department and a service provider appointed by the department for the development of the care plan, to seek to obtain health/personal information about the client from any person or organisation for the purposes of developing a care plan that relates to the client.</w:t>
            </w:r>
          </w:p>
          <w:p w14:paraId="132F003E" w14:textId="77777777" w:rsidR="0024179D" w:rsidRPr="00C85C8E" w:rsidRDefault="0024179D">
            <w:pPr>
              <w:pStyle w:val="Tabletext"/>
              <w:rPr>
                <w:rFonts w:eastAsia="Arial"/>
              </w:rPr>
            </w:pPr>
            <w:r w:rsidRPr="00C85C8E">
              <w:rPr>
                <w:rFonts w:eastAsia="Arial"/>
              </w:rPr>
              <w:t>The Act also indicates that the following are authorised to disclose health/personal information about the client to the department or a service provider developing a care plan, the:</w:t>
            </w:r>
          </w:p>
          <w:p w14:paraId="0D291648" w14:textId="77777777" w:rsidR="0024179D" w:rsidRPr="00C85C8E" w:rsidRDefault="20278BA4" w:rsidP="000E7482">
            <w:pPr>
              <w:pStyle w:val="Tablebullet1"/>
              <w:numPr>
                <w:ilvl w:val="0"/>
                <w:numId w:val="14"/>
              </w:numPr>
            </w:pPr>
            <w:r w:rsidRPr="7DAFCD5E">
              <w:rPr>
                <w:rFonts w:eastAsia="Arial"/>
              </w:rPr>
              <w:t>department, in the case of a service provider requesting information</w:t>
            </w:r>
          </w:p>
          <w:p w14:paraId="7C486DC4" w14:textId="77777777" w:rsidR="0024179D" w:rsidRPr="00C85C8E" w:rsidRDefault="20278BA4" w:rsidP="000E7482">
            <w:pPr>
              <w:pStyle w:val="Tablebullet1"/>
              <w:numPr>
                <w:ilvl w:val="0"/>
                <w:numId w:val="14"/>
              </w:numPr>
            </w:pPr>
            <w:r w:rsidRPr="7DAFCD5E">
              <w:rPr>
                <w:rFonts w:eastAsia="Arial"/>
              </w:rPr>
              <w:lastRenderedPageBreak/>
              <w:t>Public Advocate</w:t>
            </w:r>
          </w:p>
          <w:p w14:paraId="01A7FF74" w14:textId="77777777" w:rsidR="0024179D" w:rsidRPr="00657003" w:rsidRDefault="20278BA4" w:rsidP="000E7482">
            <w:pPr>
              <w:pStyle w:val="Tablebullet1"/>
              <w:numPr>
                <w:ilvl w:val="0"/>
                <w:numId w:val="14"/>
              </w:numPr>
            </w:pPr>
            <w:r w:rsidRPr="7DAFCD5E">
              <w:rPr>
                <w:rFonts w:eastAsia="Arial"/>
              </w:rPr>
              <w:t>Mental Health Tribunal</w:t>
            </w:r>
            <w:bookmarkStart w:id="499" w:name="_nmf14n"/>
            <w:bookmarkEnd w:id="499"/>
          </w:p>
          <w:p w14:paraId="24FFB360" w14:textId="77777777" w:rsidR="0024179D" w:rsidRDefault="20278BA4" w:rsidP="000E7482">
            <w:pPr>
              <w:pStyle w:val="Tablebullet1"/>
              <w:numPr>
                <w:ilvl w:val="0"/>
                <w:numId w:val="14"/>
              </w:numPr>
            </w:pPr>
            <w:r w:rsidRPr="7DAFCD5E">
              <w:rPr>
                <w:rFonts w:eastAsia="Arial"/>
              </w:rPr>
              <w:t>any person or organisation that provides or has provided welfare, health, mental health, disability, drug and alcohol treatment, offender, emergency, or housing and support services to the client.</w:t>
            </w:r>
          </w:p>
        </w:tc>
      </w:tr>
      <w:tr w:rsidR="0024179D" w14:paraId="4B854D60" w14:textId="77777777" w:rsidTr="7DAFCD5E">
        <w:tc>
          <w:tcPr>
            <w:tcW w:w="1588" w:type="dxa"/>
          </w:tcPr>
          <w:p w14:paraId="5A8A3E15" w14:textId="77777777" w:rsidR="0024179D" w:rsidRPr="00657003" w:rsidRDefault="0024179D">
            <w:pPr>
              <w:pStyle w:val="Body"/>
            </w:pPr>
            <w:r w:rsidRPr="00657003">
              <w:lastRenderedPageBreak/>
              <w:t>Copy of care plan</w:t>
            </w:r>
          </w:p>
        </w:tc>
        <w:tc>
          <w:tcPr>
            <w:tcW w:w="2268" w:type="dxa"/>
          </w:tcPr>
          <w:p w14:paraId="047C94A5" w14:textId="77777777" w:rsidR="0024179D" w:rsidRPr="00657003" w:rsidRDefault="0024179D">
            <w:pPr>
              <w:pStyle w:val="Tabletext"/>
            </w:pPr>
            <w:r w:rsidRPr="00657003">
              <w:t>15 Copy of care plan and notice to be given to eligible persons</w:t>
            </w:r>
          </w:p>
        </w:tc>
        <w:tc>
          <w:tcPr>
            <w:tcW w:w="10029" w:type="dxa"/>
          </w:tcPr>
          <w:p w14:paraId="3A5F3F94" w14:textId="77777777" w:rsidR="0024179D" w:rsidRPr="00C85C8E" w:rsidRDefault="0024179D">
            <w:pPr>
              <w:pStyle w:val="Tabletext"/>
              <w:rPr>
                <w:rFonts w:eastAsia="Arial"/>
              </w:rPr>
            </w:pPr>
            <w:r w:rsidRPr="00C85C8E">
              <w:rPr>
                <w:rFonts w:eastAsia="Arial"/>
              </w:rPr>
              <w:t>The Act requires</w:t>
            </w:r>
            <w:r w:rsidRPr="00C85C8E">
              <w:rPr>
                <w:rFonts w:eastAsia="Arial"/>
                <w:b/>
              </w:rPr>
              <w:t xml:space="preserve"> </w:t>
            </w:r>
            <w:r w:rsidRPr="00C85C8E">
              <w:rPr>
                <w:rFonts w:eastAsia="Arial"/>
              </w:rPr>
              <w:t>that within 14 days after approving a care plan, the department must:</w:t>
            </w:r>
          </w:p>
          <w:p w14:paraId="7316EF19" w14:textId="77777777" w:rsidR="0024179D" w:rsidRPr="00C85C8E" w:rsidRDefault="20278BA4" w:rsidP="000E7482">
            <w:pPr>
              <w:pStyle w:val="Tablebullet1"/>
              <w:numPr>
                <w:ilvl w:val="0"/>
                <w:numId w:val="14"/>
              </w:numPr>
            </w:pPr>
            <w:r w:rsidRPr="7DAFCD5E">
              <w:rPr>
                <w:rFonts w:eastAsia="Arial"/>
              </w:rPr>
              <w:t>give a copy of the care plan to the person</w:t>
            </w:r>
          </w:p>
          <w:p w14:paraId="51DF8638" w14:textId="77777777" w:rsidR="0024179D" w:rsidRPr="00C85C8E" w:rsidRDefault="20278BA4" w:rsidP="000E7482">
            <w:pPr>
              <w:pStyle w:val="Tablebullet1"/>
              <w:numPr>
                <w:ilvl w:val="0"/>
                <w:numId w:val="14"/>
              </w:numPr>
            </w:pPr>
            <w:r w:rsidRPr="7DAFCD5E">
              <w:rPr>
                <w:rFonts w:eastAsia="Arial"/>
              </w:rPr>
              <w:t>give a copy of the whole or any part of the care plan to service providers identified in the care plan if it is in the best interests of the client and assists service providers to give effect to the care plan.</w:t>
            </w:r>
          </w:p>
          <w:p w14:paraId="072D012B" w14:textId="77777777" w:rsidR="0024179D" w:rsidRPr="00C85C8E" w:rsidRDefault="0024179D">
            <w:pPr>
              <w:pStyle w:val="Tabletext"/>
              <w:rPr>
                <w:rFonts w:eastAsia="Arial"/>
              </w:rPr>
            </w:pPr>
            <w:r w:rsidRPr="00C85C8E">
              <w:rPr>
                <w:rFonts w:eastAsia="Arial"/>
              </w:rPr>
              <w:t>The department must notify the person in writing:</w:t>
            </w:r>
          </w:p>
          <w:p w14:paraId="64927488" w14:textId="77777777" w:rsidR="0024179D" w:rsidRPr="00C85C8E" w:rsidRDefault="20278BA4" w:rsidP="000E7482">
            <w:pPr>
              <w:pStyle w:val="Tablebullet1"/>
              <w:numPr>
                <w:ilvl w:val="0"/>
                <w:numId w:val="14"/>
              </w:numPr>
            </w:pPr>
            <w:r w:rsidRPr="7DAFCD5E">
              <w:rPr>
                <w:rFonts w:eastAsia="Arial"/>
              </w:rPr>
              <w:t>that a care plan has been approved</w:t>
            </w:r>
          </w:p>
          <w:p w14:paraId="618D8229" w14:textId="77777777" w:rsidR="0024179D" w:rsidRPr="00C85C8E" w:rsidRDefault="20278BA4" w:rsidP="000E7482">
            <w:pPr>
              <w:pStyle w:val="Tablebullet1"/>
              <w:numPr>
                <w:ilvl w:val="0"/>
                <w:numId w:val="14"/>
              </w:numPr>
            </w:pPr>
            <w:r w:rsidRPr="7DAFCD5E">
              <w:rPr>
                <w:rFonts w:eastAsia="Arial"/>
              </w:rPr>
              <w:t xml:space="preserve">that the department, the </w:t>
            </w:r>
            <w:r>
              <w:t>Care Plan Coordinator</w:t>
            </w:r>
            <w:r w:rsidRPr="7DAFCD5E">
              <w:rPr>
                <w:rFonts w:eastAsia="Arial"/>
              </w:rPr>
              <w:t xml:space="preserve"> and service providers identified in the care plan may share and use health and/or personal information about the client if in the best interests of the client and would assist service providers to give effect to the care plan</w:t>
            </w:r>
          </w:p>
          <w:p w14:paraId="0CC7494C" w14:textId="77777777" w:rsidR="0024179D" w:rsidRPr="00C85C8E" w:rsidRDefault="20278BA4" w:rsidP="000E7482">
            <w:pPr>
              <w:pStyle w:val="Tablebullet1"/>
              <w:numPr>
                <w:ilvl w:val="0"/>
                <w:numId w:val="14"/>
              </w:numPr>
            </w:pPr>
            <w:r w:rsidRPr="7DAFCD5E">
              <w:rPr>
                <w:rFonts w:eastAsia="Arial"/>
              </w:rPr>
              <w:t>of how to contact the department representative</w:t>
            </w:r>
          </w:p>
          <w:p w14:paraId="54539963" w14:textId="77777777" w:rsidR="0024179D" w:rsidRPr="00C85C8E" w:rsidRDefault="20278BA4" w:rsidP="000E7482">
            <w:pPr>
              <w:pStyle w:val="Tablebullet1"/>
              <w:numPr>
                <w:ilvl w:val="0"/>
                <w:numId w:val="14"/>
              </w:numPr>
              <w:rPr>
                <w:b/>
              </w:rPr>
            </w:pPr>
            <w:r w:rsidRPr="7DAFCD5E">
              <w:rPr>
                <w:rFonts w:eastAsia="Arial"/>
              </w:rPr>
              <w:t>that the person may at any time refuse to be the subject of the care plan</w:t>
            </w:r>
          </w:p>
          <w:p w14:paraId="26304E52" w14:textId="77777777" w:rsidR="0024179D" w:rsidRPr="00C85C8E" w:rsidRDefault="20278BA4" w:rsidP="000E7482">
            <w:pPr>
              <w:pStyle w:val="Tablebullet1"/>
              <w:numPr>
                <w:ilvl w:val="0"/>
                <w:numId w:val="14"/>
              </w:numPr>
              <w:rPr>
                <w:b/>
              </w:rPr>
            </w:pPr>
            <w:r w:rsidRPr="7DAFCD5E">
              <w:rPr>
                <w:rFonts w:eastAsia="Arial"/>
              </w:rPr>
              <w:t>that the person may request the department to vary or terminate the care plan.</w:t>
            </w:r>
          </w:p>
          <w:p w14:paraId="26397416" w14:textId="77777777" w:rsidR="0024179D" w:rsidRPr="00C85C8E" w:rsidRDefault="0024179D">
            <w:pPr>
              <w:pStyle w:val="Tabletext"/>
              <w:rPr>
                <w:rFonts w:eastAsia="Arial"/>
              </w:rPr>
            </w:pPr>
            <w:r w:rsidRPr="00C85C8E">
              <w:rPr>
                <w:rFonts w:eastAsia="Arial"/>
              </w:rPr>
              <w:t xml:space="preserve">Typically, the </w:t>
            </w:r>
            <w:r>
              <w:rPr>
                <w:rFonts w:eastAsia="Arial"/>
              </w:rPr>
              <w:t>Complex Needs Coordinator</w:t>
            </w:r>
            <w:r w:rsidRPr="00C85C8E">
              <w:rPr>
                <w:rFonts w:eastAsia="Arial"/>
              </w:rPr>
              <w:t xml:space="preserve"> will engage with the </w:t>
            </w:r>
            <w:r>
              <w:t>Care Plan Coordinator</w:t>
            </w:r>
            <w:r>
              <w:rPr>
                <w:rFonts w:eastAsia="Arial"/>
              </w:rPr>
              <w:t xml:space="preserve"> </w:t>
            </w:r>
            <w:r w:rsidRPr="00C85C8E">
              <w:rPr>
                <w:rFonts w:eastAsia="Arial"/>
              </w:rPr>
              <w:t xml:space="preserve">to establish the best approach for providing the care plan to the client and other engaged service providers. A standardised </w:t>
            </w:r>
            <w:r w:rsidRPr="00C85C8E">
              <w:rPr>
                <w:rFonts w:eastAsia="Arial"/>
                <w:i/>
              </w:rPr>
              <w:t>Care plan letter</w:t>
            </w:r>
            <w:r w:rsidRPr="00C85C8E">
              <w:rPr>
                <w:rFonts w:eastAsia="Arial"/>
              </w:rPr>
              <w:t xml:space="preserve">, with </w:t>
            </w:r>
            <w:r>
              <w:rPr>
                <w:rFonts w:eastAsia="Arial"/>
              </w:rPr>
              <w:t xml:space="preserve">a </w:t>
            </w:r>
            <w:r w:rsidRPr="00C85C8E">
              <w:rPr>
                <w:rFonts w:eastAsia="Arial"/>
              </w:rPr>
              <w:t>copy of the care plan</w:t>
            </w:r>
            <w:r>
              <w:rPr>
                <w:rFonts w:eastAsia="Arial"/>
              </w:rPr>
              <w:t>,</w:t>
            </w:r>
            <w:r w:rsidRPr="00C85C8E">
              <w:rPr>
                <w:rFonts w:eastAsia="Arial"/>
              </w:rPr>
              <w:t xml:space="preserve"> is given/sent to the client. A standardised </w:t>
            </w:r>
            <w:r w:rsidRPr="00C85C8E">
              <w:rPr>
                <w:rFonts w:eastAsia="Arial"/>
                <w:i/>
              </w:rPr>
              <w:t>Care plan letter</w:t>
            </w:r>
            <w:r w:rsidRPr="00C85C8E">
              <w:rPr>
                <w:rFonts w:eastAsia="Arial"/>
              </w:rPr>
              <w:t xml:space="preserve"> </w:t>
            </w:r>
            <w:r w:rsidRPr="00C85C8E">
              <w:rPr>
                <w:rFonts w:eastAsia="Arial"/>
                <w:i/>
              </w:rPr>
              <w:t>(services)</w:t>
            </w:r>
            <w:r w:rsidRPr="00C85C8E">
              <w:rPr>
                <w:rFonts w:eastAsia="Arial"/>
              </w:rPr>
              <w:t xml:space="preserve"> or email is also sent to the services engaged in the care plan, including the whole or relevant part of the care plan.</w:t>
            </w:r>
          </w:p>
          <w:p w14:paraId="052730BC" w14:textId="77777777" w:rsidR="0024179D" w:rsidRDefault="0024179D">
            <w:pPr>
              <w:pStyle w:val="Tabletext"/>
            </w:pPr>
            <w:r w:rsidRPr="00C85C8E">
              <w:rPr>
                <w:rFonts w:eastAsia="Arial"/>
              </w:rPr>
              <w:t xml:space="preserve">For some clients, a </w:t>
            </w:r>
            <w:r>
              <w:rPr>
                <w:rFonts w:eastAsia="Arial"/>
              </w:rPr>
              <w:t>Panel</w:t>
            </w:r>
            <w:r w:rsidRPr="00C85C8E">
              <w:rPr>
                <w:rFonts w:eastAsia="Arial"/>
              </w:rPr>
              <w:t xml:space="preserve"> approves eligibility and a proposed care plan at the same meeting and a consolidated letter (eligibility outcome and care plan) is sent/given to the client. A copy of </w:t>
            </w:r>
            <w:r>
              <w:rPr>
                <w:rFonts w:eastAsia="Arial"/>
              </w:rPr>
              <w:t xml:space="preserve">the </w:t>
            </w:r>
            <w:r w:rsidRPr="00C85C8E">
              <w:rPr>
                <w:rFonts w:eastAsia="Arial"/>
              </w:rPr>
              <w:t>whole or part of the care plan is also given to service providers in the plan.</w:t>
            </w:r>
          </w:p>
        </w:tc>
      </w:tr>
      <w:tr w:rsidR="0024179D" w14:paraId="7791F320" w14:textId="77777777" w:rsidTr="7DAFCD5E">
        <w:trPr>
          <w:trHeight w:val="7697"/>
        </w:trPr>
        <w:tc>
          <w:tcPr>
            <w:tcW w:w="1588" w:type="dxa"/>
          </w:tcPr>
          <w:p w14:paraId="53F634BD" w14:textId="77777777" w:rsidR="0024179D" w:rsidRPr="00657003" w:rsidRDefault="0024179D">
            <w:pPr>
              <w:pStyle w:val="Body"/>
            </w:pPr>
            <w:r w:rsidRPr="00657003">
              <w:lastRenderedPageBreak/>
              <w:t>Care plan coordination</w:t>
            </w:r>
          </w:p>
        </w:tc>
        <w:tc>
          <w:tcPr>
            <w:tcW w:w="2268" w:type="dxa"/>
          </w:tcPr>
          <w:p w14:paraId="275220D6" w14:textId="77777777" w:rsidR="0024179D" w:rsidRPr="00657003" w:rsidRDefault="0024179D">
            <w:pPr>
              <w:pStyle w:val="Tabletext"/>
            </w:pPr>
            <w:r w:rsidRPr="00657003">
              <w:t xml:space="preserve">16 </w:t>
            </w:r>
            <w:r>
              <w:t>Care Plan Coordinator</w:t>
            </w:r>
          </w:p>
        </w:tc>
        <w:tc>
          <w:tcPr>
            <w:tcW w:w="10029" w:type="dxa"/>
          </w:tcPr>
          <w:p w14:paraId="14C273FB" w14:textId="77777777" w:rsidR="0024179D" w:rsidRPr="00C85C8E" w:rsidRDefault="0024179D">
            <w:pPr>
              <w:pStyle w:val="Tabletext"/>
              <w:rPr>
                <w:rFonts w:eastAsia="Arial"/>
              </w:rPr>
            </w:pPr>
            <w:r w:rsidRPr="00C85C8E">
              <w:rPr>
                <w:rFonts w:eastAsia="Arial"/>
              </w:rPr>
              <w:t>The Act requires the</w:t>
            </w:r>
            <w:r w:rsidRPr="00C85C8E">
              <w:rPr>
                <w:rFonts w:eastAsia="Arial"/>
                <w:b/>
              </w:rPr>
              <w:t xml:space="preserve"> </w:t>
            </w:r>
            <w:r w:rsidRPr="00C85C8E">
              <w:rPr>
                <w:rFonts w:eastAsia="Arial"/>
              </w:rPr>
              <w:t xml:space="preserve">department to appoint a </w:t>
            </w:r>
            <w:r>
              <w:t>Care Plan Coordinator</w:t>
            </w:r>
            <w:r w:rsidRPr="00C85C8E">
              <w:rPr>
                <w:rFonts w:eastAsia="Arial"/>
              </w:rPr>
              <w:t xml:space="preserve"> for a person eligible under the Act to:</w:t>
            </w:r>
          </w:p>
          <w:p w14:paraId="02E82D8B" w14:textId="77777777" w:rsidR="0024179D" w:rsidRPr="00C85C8E" w:rsidRDefault="20278BA4" w:rsidP="000E7482">
            <w:pPr>
              <w:pStyle w:val="Tablebullet1"/>
              <w:numPr>
                <w:ilvl w:val="0"/>
                <w:numId w:val="14"/>
              </w:numPr>
            </w:pPr>
            <w:r w:rsidRPr="7DAFCD5E">
              <w:rPr>
                <w:rFonts w:eastAsia="Arial"/>
              </w:rPr>
              <w:t>monitor the care plan implementation and progress of the client</w:t>
            </w:r>
          </w:p>
          <w:p w14:paraId="2027DA4E" w14:textId="77777777" w:rsidR="0024179D" w:rsidRPr="00C85C8E" w:rsidRDefault="20278BA4" w:rsidP="000E7482">
            <w:pPr>
              <w:pStyle w:val="Tablebullet1"/>
              <w:numPr>
                <w:ilvl w:val="0"/>
                <w:numId w:val="14"/>
              </w:numPr>
            </w:pPr>
            <w:r w:rsidRPr="7DAFCD5E">
              <w:rPr>
                <w:rFonts w:eastAsia="Arial"/>
              </w:rPr>
              <w:t xml:space="preserve">coordinate the services provided to the client as per the care plan </w:t>
            </w:r>
          </w:p>
          <w:p w14:paraId="33EEADA4" w14:textId="77777777" w:rsidR="0024179D" w:rsidRPr="00C85C8E" w:rsidRDefault="20278BA4" w:rsidP="000E7482">
            <w:pPr>
              <w:pStyle w:val="Tablebullet1"/>
              <w:numPr>
                <w:ilvl w:val="0"/>
                <w:numId w:val="14"/>
              </w:numPr>
            </w:pPr>
            <w:r w:rsidRPr="7DAFCD5E">
              <w:rPr>
                <w:rFonts w:eastAsia="Arial"/>
              </w:rPr>
              <w:t>provide a report to the department on client progress when requested.</w:t>
            </w:r>
          </w:p>
          <w:p w14:paraId="66884C1C" w14:textId="77777777" w:rsidR="0024179D" w:rsidRPr="00C85C8E" w:rsidRDefault="0024179D">
            <w:pPr>
              <w:pStyle w:val="Tabletext"/>
              <w:rPr>
                <w:rFonts w:eastAsia="Arial"/>
              </w:rPr>
            </w:pPr>
            <w:r w:rsidRPr="00C85C8E">
              <w:rPr>
                <w:rFonts w:eastAsia="Arial"/>
              </w:rPr>
              <w:t>The determination of the care plan coordination service is based on the matching of the person’s needs and the service’s expertise and capacity to provide care plan coordination in a timely and effective manner. As indicated, the care plan coordination service provider is typically recommended in the care plan approved by the department.</w:t>
            </w:r>
          </w:p>
          <w:p w14:paraId="15DCBEB8" w14:textId="77777777" w:rsidR="0024179D" w:rsidRPr="00C85C8E" w:rsidRDefault="0024179D">
            <w:pPr>
              <w:pStyle w:val="Tabletext"/>
              <w:rPr>
                <w:rFonts w:eastAsia="Arial"/>
              </w:rPr>
            </w:pPr>
            <w:bookmarkStart w:id="500" w:name="_2lwamvv" w:colFirst="0" w:colLast="0"/>
            <w:bookmarkEnd w:id="500"/>
            <w:r w:rsidRPr="00C85C8E">
              <w:rPr>
                <w:rFonts w:eastAsia="Arial"/>
              </w:rPr>
              <w:t xml:space="preserve">While a </w:t>
            </w:r>
            <w:r>
              <w:t>Care Plan Coordinator</w:t>
            </w:r>
            <w:r>
              <w:rPr>
                <w:rFonts w:eastAsia="Arial"/>
              </w:rPr>
              <w:t xml:space="preserve"> </w:t>
            </w:r>
            <w:r w:rsidRPr="00C85C8E">
              <w:rPr>
                <w:rFonts w:eastAsia="Arial"/>
              </w:rPr>
              <w:t>can be nominated from any service or program, the service provider needs to demonstrate the following:</w:t>
            </w:r>
          </w:p>
          <w:p w14:paraId="508D4593" w14:textId="77777777" w:rsidR="0024179D" w:rsidRPr="00C85C8E" w:rsidRDefault="20278BA4" w:rsidP="000E7482">
            <w:pPr>
              <w:pStyle w:val="Tablebullet1"/>
              <w:numPr>
                <w:ilvl w:val="0"/>
                <w:numId w:val="14"/>
              </w:numPr>
            </w:pPr>
            <w:r w:rsidRPr="7DAFCD5E">
              <w:rPr>
                <w:rFonts w:eastAsia="Arial"/>
              </w:rPr>
              <w:t>a commitment and expertise integrating clients with complex needs into existing service provision</w:t>
            </w:r>
          </w:p>
          <w:p w14:paraId="56B30319" w14:textId="77777777" w:rsidR="0024179D" w:rsidRPr="00C85C8E" w:rsidRDefault="20278BA4" w:rsidP="000E7482">
            <w:pPr>
              <w:pStyle w:val="Tablebullet1"/>
              <w:numPr>
                <w:ilvl w:val="0"/>
                <w:numId w:val="14"/>
              </w:numPr>
            </w:pPr>
            <w:r w:rsidRPr="7DAFCD5E">
              <w:rPr>
                <w:rFonts w:eastAsia="Arial"/>
              </w:rPr>
              <w:t>experience in advocating for service options that best meet clients’ needs</w:t>
            </w:r>
          </w:p>
          <w:p w14:paraId="2C8AC919" w14:textId="77777777" w:rsidR="0024179D" w:rsidRPr="00C85C8E" w:rsidRDefault="20278BA4" w:rsidP="000E7482">
            <w:pPr>
              <w:pStyle w:val="Tablebullet1"/>
              <w:numPr>
                <w:ilvl w:val="0"/>
                <w:numId w:val="14"/>
              </w:numPr>
            </w:pPr>
            <w:bookmarkStart w:id="501" w:name="_111kx3o"/>
            <w:bookmarkEnd w:id="501"/>
            <w:r w:rsidRPr="7DAFCD5E">
              <w:rPr>
                <w:rFonts w:eastAsia="Arial"/>
              </w:rPr>
              <w:t>an ability to nominate or recruit experienced, influential and highly capable person/s to undertake the care plan coordination role</w:t>
            </w:r>
          </w:p>
          <w:p w14:paraId="635196F3" w14:textId="77777777" w:rsidR="0024179D" w:rsidRPr="00C85C8E" w:rsidRDefault="20278BA4" w:rsidP="000E7482">
            <w:pPr>
              <w:pStyle w:val="Tablebullet1"/>
              <w:numPr>
                <w:ilvl w:val="0"/>
                <w:numId w:val="14"/>
              </w:numPr>
            </w:pPr>
            <w:bookmarkStart w:id="502" w:name="_3l18frh"/>
            <w:bookmarkEnd w:id="502"/>
            <w:r w:rsidRPr="7DAFCD5E">
              <w:rPr>
                <w:rFonts w:eastAsia="Arial"/>
              </w:rPr>
              <w:t xml:space="preserve">the capacity to provide appropriate supervision and support to the </w:t>
            </w:r>
            <w:r>
              <w:t>Care Plan Coordinator</w:t>
            </w:r>
          </w:p>
          <w:p w14:paraId="4C18E46F" w14:textId="77777777" w:rsidR="0024179D" w:rsidRPr="00C85C8E" w:rsidRDefault="20278BA4" w:rsidP="000E7482">
            <w:pPr>
              <w:pStyle w:val="Tablebullet1"/>
              <w:numPr>
                <w:ilvl w:val="0"/>
                <w:numId w:val="14"/>
              </w:numPr>
            </w:pPr>
            <w:r w:rsidRPr="7DAFCD5E">
              <w:rPr>
                <w:rFonts w:eastAsia="Arial"/>
              </w:rPr>
              <w:t>professional values of open communication, effective networking and the capacity to provide independent and objective care team governance</w:t>
            </w:r>
          </w:p>
          <w:p w14:paraId="72004F56" w14:textId="77777777" w:rsidR="0024179D" w:rsidRPr="00C85C8E" w:rsidRDefault="20278BA4" w:rsidP="000E7482">
            <w:pPr>
              <w:pStyle w:val="Tablebullet1"/>
              <w:numPr>
                <w:ilvl w:val="0"/>
                <w:numId w:val="14"/>
              </w:numPr>
            </w:pPr>
            <w:r w:rsidRPr="7DAFCD5E">
              <w:rPr>
                <w:rFonts w:eastAsia="Arial"/>
              </w:rPr>
              <w:t>skill sets in establishing and implementing rigorous accountability frameworks, including the financial acquittal of brokerage funding.</w:t>
            </w:r>
          </w:p>
          <w:p w14:paraId="10F08E5B" w14:textId="77777777" w:rsidR="0024179D" w:rsidRDefault="0024179D">
            <w:pPr>
              <w:pStyle w:val="Tabletext"/>
            </w:pPr>
            <w:r w:rsidRPr="00C85C8E">
              <w:rPr>
                <w:rFonts w:eastAsia="Arial"/>
              </w:rPr>
              <w:t xml:space="preserve">The </w:t>
            </w:r>
            <w:r>
              <w:t>Care Plan Coordinator</w:t>
            </w:r>
            <w:r>
              <w:rPr>
                <w:rFonts w:eastAsia="Arial"/>
              </w:rPr>
              <w:t xml:space="preserve"> </w:t>
            </w:r>
            <w:r w:rsidRPr="00C85C8E">
              <w:rPr>
                <w:rFonts w:eastAsia="Arial"/>
              </w:rPr>
              <w:t xml:space="preserve">continuously collects and analyses information to develop and implement a set of service responses and interventions. This is achieved through cross-sector collaboration and the documentation of clear actions required to achieve client outcomes. Critical to effective care plan coordination is maintaining regular contact with the care team, including well-structured care team meetings, providing support and guidance at critical points and monitoring to ensure tasks are completed within agreed timelines. The </w:t>
            </w:r>
            <w:r>
              <w:t>Care Plan Coordinator</w:t>
            </w:r>
            <w:r>
              <w:rPr>
                <w:rFonts w:eastAsia="Arial"/>
              </w:rPr>
              <w:t xml:space="preserve"> </w:t>
            </w:r>
            <w:r w:rsidRPr="00C85C8E">
              <w:rPr>
                <w:rFonts w:eastAsia="Arial"/>
              </w:rPr>
              <w:t>works to assess and document the effectiveness of agreed service responses.</w:t>
            </w:r>
          </w:p>
        </w:tc>
      </w:tr>
      <w:tr w:rsidR="0024179D" w14:paraId="5BD012BC" w14:textId="77777777" w:rsidTr="7DAFCD5E">
        <w:tc>
          <w:tcPr>
            <w:tcW w:w="1588" w:type="dxa"/>
          </w:tcPr>
          <w:p w14:paraId="35290A10" w14:textId="77777777" w:rsidR="0024179D" w:rsidRPr="00657003" w:rsidRDefault="0024179D">
            <w:pPr>
              <w:pStyle w:val="Body"/>
            </w:pPr>
            <w:r w:rsidRPr="00657003">
              <w:t>Care plan coordination</w:t>
            </w:r>
          </w:p>
        </w:tc>
        <w:tc>
          <w:tcPr>
            <w:tcW w:w="2268" w:type="dxa"/>
          </w:tcPr>
          <w:p w14:paraId="0273CFF9" w14:textId="77777777" w:rsidR="0024179D" w:rsidRPr="00657003" w:rsidRDefault="0024179D">
            <w:pPr>
              <w:pStyle w:val="Tabletext"/>
            </w:pPr>
            <w:r w:rsidRPr="00657003">
              <w:t xml:space="preserve">17 Service providers may share personal and health </w:t>
            </w:r>
            <w:r w:rsidRPr="00657003">
              <w:lastRenderedPageBreak/>
              <w:t>information to give effect to care plan</w:t>
            </w:r>
          </w:p>
        </w:tc>
        <w:tc>
          <w:tcPr>
            <w:tcW w:w="10029" w:type="dxa"/>
          </w:tcPr>
          <w:p w14:paraId="2FFE33DD" w14:textId="77777777" w:rsidR="0024179D" w:rsidRPr="00C85C8E" w:rsidRDefault="0024179D">
            <w:pPr>
              <w:pStyle w:val="Tabletext"/>
              <w:rPr>
                <w:rFonts w:eastAsia="Arial"/>
              </w:rPr>
            </w:pPr>
            <w:r w:rsidRPr="00C85C8E">
              <w:rPr>
                <w:rFonts w:eastAsia="Arial"/>
              </w:rPr>
              <w:lastRenderedPageBreak/>
              <w:t xml:space="preserve">The Act authorises a service provider identified in a care plan to disclose personal information or health information about the eligible person to another service provider in the care </w:t>
            </w:r>
            <w:r w:rsidRPr="00C85C8E">
              <w:rPr>
                <w:rFonts w:eastAsia="Arial"/>
              </w:rPr>
              <w:lastRenderedPageBreak/>
              <w:t>plan if the first service provider is satisfied that the disclosure of the information</w:t>
            </w:r>
          </w:p>
          <w:p w14:paraId="461865CD" w14:textId="77777777" w:rsidR="0024179D" w:rsidRPr="00C85C8E" w:rsidRDefault="20278BA4" w:rsidP="000E7482">
            <w:pPr>
              <w:pStyle w:val="Tablebullet1"/>
              <w:numPr>
                <w:ilvl w:val="0"/>
                <w:numId w:val="14"/>
              </w:numPr>
            </w:pPr>
            <w:r w:rsidRPr="7DAFCD5E">
              <w:rPr>
                <w:rFonts w:eastAsia="Arial"/>
              </w:rPr>
              <w:t>is in the best interests of the person to whom the information relates</w:t>
            </w:r>
          </w:p>
          <w:p w14:paraId="31064303" w14:textId="77777777" w:rsidR="0024179D" w:rsidRPr="00C85C8E" w:rsidRDefault="20278BA4" w:rsidP="000E7482">
            <w:pPr>
              <w:pStyle w:val="Tablebullet1"/>
              <w:numPr>
                <w:ilvl w:val="0"/>
                <w:numId w:val="14"/>
              </w:numPr>
            </w:pPr>
            <w:r w:rsidRPr="7DAFCD5E">
              <w:rPr>
                <w:rFonts w:eastAsia="Arial"/>
              </w:rPr>
              <w:t>would assist the second service provider in giving effect to the care plan.</w:t>
            </w:r>
          </w:p>
          <w:p w14:paraId="5845A640" w14:textId="69BAE6F0" w:rsidR="0024179D" w:rsidRPr="00C85C8E" w:rsidRDefault="0024179D">
            <w:pPr>
              <w:pStyle w:val="Tabletext"/>
              <w:rPr>
                <w:rFonts w:eastAsia="Arial"/>
              </w:rPr>
            </w:pPr>
            <w:r w:rsidRPr="00C85C8E">
              <w:rPr>
                <w:rFonts w:eastAsia="Arial"/>
              </w:rPr>
              <w:t>The Act authorises a service provider identified in a care plan to use personal information or health information about the person to whom the care plan relates that is obtained from another service provider identified in the care plan if the use of the information</w:t>
            </w:r>
            <w:r w:rsidR="00115137">
              <w:rPr>
                <w:rFonts w:eastAsia="Arial"/>
              </w:rPr>
              <w:t xml:space="preserve"> - </w:t>
            </w:r>
          </w:p>
          <w:p w14:paraId="0307CF21" w14:textId="77777777" w:rsidR="0024179D" w:rsidRPr="00C85C8E" w:rsidRDefault="20278BA4" w:rsidP="000E7482">
            <w:pPr>
              <w:pStyle w:val="Tablebullet1"/>
              <w:numPr>
                <w:ilvl w:val="0"/>
                <w:numId w:val="14"/>
              </w:numPr>
            </w:pPr>
            <w:r w:rsidRPr="7DAFCD5E">
              <w:rPr>
                <w:rFonts w:eastAsia="Arial"/>
              </w:rPr>
              <w:t>is in the best interests of the person to whom the information relates; and</w:t>
            </w:r>
          </w:p>
          <w:p w14:paraId="5DA1CB5A" w14:textId="77777777" w:rsidR="0024179D" w:rsidRPr="00C85C8E" w:rsidRDefault="20278BA4" w:rsidP="000E7482">
            <w:pPr>
              <w:pStyle w:val="Tablebullet1"/>
              <w:numPr>
                <w:ilvl w:val="0"/>
                <w:numId w:val="14"/>
              </w:numPr>
            </w:pPr>
            <w:r w:rsidRPr="7DAFCD5E">
              <w:rPr>
                <w:rFonts w:eastAsia="Arial"/>
              </w:rPr>
              <w:t>would assist the first-mentioned service provider in giving effect to the care plan.</w:t>
            </w:r>
          </w:p>
          <w:p w14:paraId="2303158A" w14:textId="77777777" w:rsidR="0024179D" w:rsidRPr="00C85C8E" w:rsidRDefault="0024179D">
            <w:pPr>
              <w:pStyle w:val="Tabletext"/>
              <w:rPr>
                <w:rFonts w:eastAsia="Arial"/>
              </w:rPr>
            </w:pPr>
            <w:r w:rsidRPr="00C85C8E">
              <w:rPr>
                <w:rFonts w:eastAsia="Arial"/>
              </w:rPr>
              <w:t>The Act specifies the limited purpose for which information can be exchanged as when it will assist in giving effect to the care plan. This relates to the development of a care plan and the implementation, monitoring and review of the care plan.</w:t>
            </w:r>
          </w:p>
          <w:p w14:paraId="485E1172" w14:textId="77777777" w:rsidR="0024179D" w:rsidRDefault="0024179D">
            <w:pPr>
              <w:pStyle w:val="Tabletext"/>
            </w:pPr>
            <w:r w:rsidRPr="00C85C8E">
              <w:rPr>
                <w:rFonts w:eastAsia="Arial"/>
              </w:rPr>
              <w:t xml:space="preserve">The Act does not compel service providers to exchange information, rather it allows them to make a professional judgement based on what they believe will be in the best interests of the </w:t>
            </w:r>
            <w:r>
              <w:rPr>
                <w:rFonts w:eastAsia="Arial"/>
              </w:rPr>
              <w:t>client</w:t>
            </w:r>
            <w:r w:rsidRPr="00C85C8E">
              <w:rPr>
                <w:rFonts w:eastAsia="Arial"/>
              </w:rPr>
              <w:t>.</w:t>
            </w:r>
          </w:p>
        </w:tc>
      </w:tr>
      <w:tr w:rsidR="0024179D" w14:paraId="5F4C20B8" w14:textId="77777777" w:rsidTr="7DAFCD5E">
        <w:tc>
          <w:tcPr>
            <w:tcW w:w="1588" w:type="dxa"/>
          </w:tcPr>
          <w:p w14:paraId="586BABB5" w14:textId="77777777" w:rsidR="0024179D" w:rsidRPr="00657003" w:rsidRDefault="0024179D">
            <w:pPr>
              <w:pStyle w:val="Body"/>
            </w:pPr>
            <w:r w:rsidRPr="00657003">
              <w:lastRenderedPageBreak/>
              <w:t>Care plan review</w:t>
            </w:r>
          </w:p>
        </w:tc>
        <w:tc>
          <w:tcPr>
            <w:tcW w:w="2268" w:type="dxa"/>
          </w:tcPr>
          <w:p w14:paraId="35A730CC" w14:textId="77777777" w:rsidR="0024179D" w:rsidRPr="00657003" w:rsidRDefault="0024179D">
            <w:pPr>
              <w:pStyle w:val="Tabletext"/>
            </w:pPr>
            <w:r w:rsidRPr="00657003">
              <w:t xml:space="preserve">16 </w:t>
            </w:r>
            <w:r>
              <w:t>Care Plan Coordinator</w:t>
            </w:r>
          </w:p>
        </w:tc>
        <w:tc>
          <w:tcPr>
            <w:tcW w:w="10029" w:type="dxa"/>
          </w:tcPr>
          <w:p w14:paraId="6A07C71E" w14:textId="77777777" w:rsidR="0024179D" w:rsidRPr="00C85C8E" w:rsidRDefault="0024179D">
            <w:pPr>
              <w:pStyle w:val="Tabletext"/>
              <w:rPr>
                <w:rFonts w:eastAsia="Arial"/>
              </w:rPr>
            </w:pPr>
            <w:r w:rsidRPr="00C85C8E">
              <w:rPr>
                <w:rFonts w:eastAsia="Arial"/>
              </w:rPr>
              <w:t xml:space="preserve">In summary, the Act requires the </w:t>
            </w:r>
            <w:r>
              <w:t>Care Plan Coordinator</w:t>
            </w:r>
            <w:r>
              <w:rPr>
                <w:rFonts w:eastAsia="Arial"/>
              </w:rPr>
              <w:t xml:space="preserve"> </w:t>
            </w:r>
            <w:r w:rsidRPr="00C85C8E">
              <w:rPr>
                <w:rFonts w:eastAsia="Arial"/>
              </w:rPr>
              <w:t>to:</w:t>
            </w:r>
          </w:p>
          <w:p w14:paraId="476EAEE7" w14:textId="77777777" w:rsidR="0024179D" w:rsidRPr="00C85C8E" w:rsidRDefault="20278BA4" w:rsidP="000E7482">
            <w:pPr>
              <w:pStyle w:val="Tablebullet1"/>
              <w:numPr>
                <w:ilvl w:val="0"/>
                <w:numId w:val="14"/>
              </w:numPr>
              <w:rPr>
                <w:b/>
              </w:rPr>
            </w:pPr>
            <w:r w:rsidRPr="7DAFCD5E">
              <w:rPr>
                <w:rFonts w:eastAsia="Arial"/>
              </w:rPr>
              <w:t>monitor the care plan implementation and progress of the client</w:t>
            </w:r>
          </w:p>
          <w:p w14:paraId="7C38A80F" w14:textId="77777777" w:rsidR="0024179D" w:rsidRPr="00C85C8E" w:rsidRDefault="20278BA4" w:rsidP="000E7482">
            <w:pPr>
              <w:pStyle w:val="Tablebullet1"/>
              <w:numPr>
                <w:ilvl w:val="0"/>
                <w:numId w:val="14"/>
              </w:numPr>
              <w:rPr>
                <w:b/>
              </w:rPr>
            </w:pPr>
            <w:r w:rsidRPr="7DAFCD5E">
              <w:rPr>
                <w:rFonts w:eastAsia="Arial"/>
              </w:rPr>
              <w:t>coordinate the services provided to the client as per the care plan</w:t>
            </w:r>
          </w:p>
          <w:p w14:paraId="249446FB" w14:textId="77777777" w:rsidR="0024179D" w:rsidRPr="00C85C8E" w:rsidRDefault="20278BA4" w:rsidP="000E7482">
            <w:pPr>
              <w:pStyle w:val="Tablebullet1"/>
              <w:numPr>
                <w:ilvl w:val="0"/>
                <w:numId w:val="14"/>
              </w:numPr>
              <w:rPr>
                <w:b/>
              </w:rPr>
            </w:pPr>
            <w:r w:rsidRPr="7DAFCD5E">
              <w:rPr>
                <w:rFonts w:eastAsia="Arial"/>
              </w:rPr>
              <w:t>provide a report to the department on client progress when requested.</w:t>
            </w:r>
          </w:p>
          <w:p w14:paraId="6773C4A7" w14:textId="77777777" w:rsidR="0024179D" w:rsidRDefault="0024179D">
            <w:pPr>
              <w:pStyle w:val="Tabletext"/>
            </w:pPr>
            <w:r w:rsidRPr="00C85C8E">
              <w:rPr>
                <w:rFonts w:eastAsia="Arial"/>
              </w:rPr>
              <w:t xml:space="preserve">To achieve this, the </w:t>
            </w:r>
            <w:r>
              <w:t>Care Plan Coordinator</w:t>
            </w:r>
            <w:r>
              <w:rPr>
                <w:rFonts w:eastAsia="Arial"/>
              </w:rPr>
              <w:t xml:space="preserve"> </w:t>
            </w:r>
            <w:r w:rsidRPr="00C85C8E">
              <w:rPr>
                <w:rFonts w:eastAsia="Arial"/>
              </w:rPr>
              <w:t>may seek health and/or personal information from the department or any provider in the care plan.</w:t>
            </w:r>
          </w:p>
        </w:tc>
      </w:tr>
      <w:tr w:rsidR="0024179D" w14:paraId="0153031C" w14:textId="77777777" w:rsidTr="7DAFCD5E">
        <w:trPr>
          <w:trHeight w:val="1628"/>
        </w:trPr>
        <w:tc>
          <w:tcPr>
            <w:tcW w:w="1588" w:type="dxa"/>
          </w:tcPr>
          <w:p w14:paraId="06901BD2" w14:textId="77777777" w:rsidR="0024179D" w:rsidRPr="00657003" w:rsidRDefault="0024179D">
            <w:pPr>
              <w:pStyle w:val="Body"/>
            </w:pPr>
            <w:r w:rsidRPr="00657003">
              <w:t>Care plan variation</w:t>
            </w:r>
          </w:p>
        </w:tc>
        <w:tc>
          <w:tcPr>
            <w:tcW w:w="2268" w:type="dxa"/>
          </w:tcPr>
          <w:p w14:paraId="61880D1F" w14:textId="77777777" w:rsidR="0024179D" w:rsidRPr="00657003" w:rsidRDefault="0024179D">
            <w:pPr>
              <w:pStyle w:val="Tabletext"/>
            </w:pPr>
            <w:r w:rsidRPr="00657003">
              <w:t>18 Variation and termination of care plan</w:t>
            </w:r>
          </w:p>
        </w:tc>
        <w:tc>
          <w:tcPr>
            <w:tcW w:w="10029" w:type="dxa"/>
          </w:tcPr>
          <w:p w14:paraId="3B6C4331" w14:textId="77777777" w:rsidR="0024179D" w:rsidRPr="00C85C8E" w:rsidRDefault="0024179D">
            <w:pPr>
              <w:pStyle w:val="Tabletext"/>
              <w:rPr>
                <w:rFonts w:eastAsia="Arial"/>
              </w:rPr>
            </w:pPr>
            <w:r w:rsidRPr="00C85C8E">
              <w:rPr>
                <w:rFonts w:eastAsia="Arial"/>
              </w:rPr>
              <w:t xml:space="preserve">The Act allows the department to vary a care plan, including the extension of a care plan (to </w:t>
            </w:r>
            <w:r>
              <w:rPr>
                <w:rFonts w:eastAsia="Arial"/>
              </w:rPr>
              <w:t>a</w:t>
            </w:r>
            <w:r w:rsidRPr="00C85C8E">
              <w:rPr>
                <w:rFonts w:eastAsia="Arial"/>
              </w:rPr>
              <w:t xml:space="preserve"> maximum of 36 months).</w:t>
            </w:r>
          </w:p>
          <w:p w14:paraId="435A7BFA" w14:textId="77777777" w:rsidR="0024179D" w:rsidRDefault="0024179D">
            <w:pPr>
              <w:pStyle w:val="Tabletext"/>
            </w:pPr>
            <w:r w:rsidRPr="00C85C8E">
              <w:rPr>
                <w:rFonts w:eastAsia="Arial"/>
              </w:rPr>
              <w:t xml:space="preserve">Following a review, the </w:t>
            </w:r>
            <w:r>
              <w:rPr>
                <w:rFonts w:eastAsia="Arial"/>
              </w:rPr>
              <w:t>Panel</w:t>
            </w:r>
            <w:r w:rsidRPr="00C85C8E">
              <w:rPr>
                <w:rFonts w:eastAsia="Arial"/>
              </w:rPr>
              <w:t xml:space="preserve">’s recommended adjustments are made to the care plan and the plan is </w:t>
            </w:r>
            <w:r>
              <w:rPr>
                <w:rFonts w:eastAsia="Arial"/>
              </w:rPr>
              <w:t>approved</w:t>
            </w:r>
            <w:r w:rsidRPr="00C85C8E">
              <w:rPr>
                <w:rFonts w:eastAsia="Arial"/>
              </w:rPr>
              <w:t xml:space="preserve"> by the </w:t>
            </w:r>
            <w:r>
              <w:t>Executive</w:t>
            </w:r>
            <w:r w:rsidRPr="00C85C8E">
              <w:rPr>
                <w:rFonts w:eastAsia="Arial"/>
              </w:rPr>
              <w:t xml:space="preserve"> Director.</w:t>
            </w:r>
          </w:p>
        </w:tc>
      </w:tr>
      <w:tr w:rsidR="0024179D" w14:paraId="60B170CB" w14:textId="77777777" w:rsidTr="7DAFCD5E">
        <w:tc>
          <w:tcPr>
            <w:tcW w:w="1588" w:type="dxa"/>
          </w:tcPr>
          <w:p w14:paraId="68AB021D" w14:textId="77777777" w:rsidR="0024179D" w:rsidRPr="00657003" w:rsidRDefault="0024179D">
            <w:pPr>
              <w:pStyle w:val="Body"/>
            </w:pPr>
            <w:r w:rsidRPr="00657003">
              <w:t>Care plan closure</w:t>
            </w:r>
          </w:p>
        </w:tc>
        <w:tc>
          <w:tcPr>
            <w:tcW w:w="2268" w:type="dxa"/>
          </w:tcPr>
          <w:p w14:paraId="037D148A" w14:textId="77777777" w:rsidR="0024179D" w:rsidRPr="00657003" w:rsidRDefault="0024179D">
            <w:pPr>
              <w:pStyle w:val="Tabletext"/>
            </w:pPr>
            <w:r w:rsidRPr="00657003">
              <w:t>18 Variation and termination of care plan</w:t>
            </w:r>
          </w:p>
        </w:tc>
        <w:tc>
          <w:tcPr>
            <w:tcW w:w="10029" w:type="dxa"/>
          </w:tcPr>
          <w:p w14:paraId="7089B6B1" w14:textId="77777777" w:rsidR="0024179D" w:rsidRPr="00C85C8E" w:rsidRDefault="0024179D">
            <w:pPr>
              <w:pStyle w:val="Tabletext"/>
              <w:rPr>
                <w:rFonts w:eastAsia="Arial"/>
              </w:rPr>
            </w:pPr>
            <w:r w:rsidRPr="00C85C8E">
              <w:rPr>
                <w:rFonts w:eastAsia="Arial"/>
              </w:rPr>
              <w:t>The Act allows the Secretary (or delegate) to terminate a care plan. If a care plan is terminated, the person and any service provider under the care plan must be notified by the Secretary (or delegate) in writing.</w:t>
            </w:r>
          </w:p>
          <w:p w14:paraId="6E3285DB" w14:textId="77777777" w:rsidR="0024179D" w:rsidRPr="00C85C8E" w:rsidRDefault="0024179D">
            <w:pPr>
              <w:pStyle w:val="Tabletext"/>
              <w:rPr>
                <w:rFonts w:eastAsia="Arial"/>
              </w:rPr>
            </w:pPr>
            <w:r w:rsidRPr="00C85C8E">
              <w:rPr>
                <w:rFonts w:eastAsia="Arial"/>
              </w:rPr>
              <w:t xml:space="preserve">The </w:t>
            </w:r>
            <w:r>
              <w:rPr>
                <w:rFonts w:eastAsia="Arial"/>
              </w:rPr>
              <w:t>Panel</w:t>
            </w:r>
            <w:r w:rsidRPr="00C85C8E">
              <w:rPr>
                <w:rFonts w:eastAsia="Arial"/>
              </w:rPr>
              <w:t xml:space="preserve"> recommends to the </w:t>
            </w:r>
            <w:r>
              <w:t>Executive</w:t>
            </w:r>
            <w:r w:rsidRPr="00C85C8E">
              <w:rPr>
                <w:rFonts w:eastAsia="Arial"/>
              </w:rPr>
              <w:t xml:space="preserve"> Director to close a care plan. The care plan is closed:</w:t>
            </w:r>
          </w:p>
          <w:p w14:paraId="23460F95" w14:textId="77777777" w:rsidR="0024179D" w:rsidRPr="00C85C8E" w:rsidRDefault="20278BA4" w:rsidP="000E7482">
            <w:pPr>
              <w:pStyle w:val="Tablebullet1"/>
              <w:numPr>
                <w:ilvl w:val="0"/>
                <w:numId w:val="14"/>
              </w:numPr>
            </w:pPr>
            <w:r w:rsidRPr="7DAFCD5E">
              <w:rPr>
                <w:rFonts w:eastAsia="Arial"/>
              </w:rPr>
              <w:lastRenderedPageBreak/>
              <w:t>at any point in time if requested by the client</w:t>
            </w:r>
          </w:p>
          <w:p w14:paraId="51D085B1" w14:textId="77777777" w:rsidR="0024179D" w:rsidRPr="00C85C8E" w:rsidRDefault="20278BA4" w:rsidP="000E7482">
            <w:pPr>
              <w:pStyle w:val="Tablebullet1"/>
              <w:numPr>
                <w:ilvl w:val="0"/>
                <w:numId w:val="14"/>
              </w:numPr>
            </w:pPr>
            <w:r w:rsidRPr="7DAFCD5E">
              <w:rPr>
                <w:rFonts w:eastAsia="Arial"/>
              </w:rPr>
              <w:t xml:space="preserve">when the </w:t>
            </w:r>
            <w:r>
              <w:t>Care Plan Coordinator</w:t>
            </w:r>
            <w:r w:rsidRPr="7DAFCD5E">
              <w:rPr>
                <w:rFonts w:eastAsia="Arial"/>
              </w:rPr>
              <w:t>, care team and department, in consultation with the client, agree that the client’s needs/goals have been realised through the care plan</w:t>
            </w:r>
          </w:p>
          <w:p w14:paraId="47A5CAD7" w14:textId="77777777" w:rsidR="0024179D" w:rsidRPr="00C85C8E" w:rsidRDefault="20278BA4" w:rsidP="000E7482">
            <w:pPr>
              <w:pStyle w:val="Tablebullet1"/>
              <w:numPr>
                <w:ilvl w:val="0"/>
                <w:numId w:val="14"/>
              </w:numPr>
            </w:pPr>
            <w:r w:rsidRPr="7DAFCD5E">
              <w:rPr>
                <w:rFonts w:eastAsia="Arial"/>
              </w:rPr>
              <w:t>when the care plan’s duration has reached the maximum duration of 36 months.</w:t>
            </w:r>
          </w:p>
          <w:p w14:paraId="3E637764" w14:textId="77777777" w:rsidR="0024179D" w:rsidRPr="00C85C8E" w:rsidRDefault="0024179D">
            <w:pPr>
              <w:pStyle w:val="Tabletext"/>
              <w:rPr>
                <w:rFonts w:eastAsia="Arial"/>
              </w:rPr>
            </w:pPr>
            <w:r w:rsidRPr="00C85C8E">
              <w:rPr>
                <w:rFonts w:eastAsia="Arial"/>
              </w:rPr>
              <w:t xml:space="preserve">A </w:t>
            </w:r>
            <w:r>
              <w:rPr>
                <w:rFonts w:eastAsia="Arial"/>
              </w:rPr>
              <w:t>Panel</w:t>
            </w:r>
            <w:r w:rsidRPr="00C85C8E">
              <w:rPr>
                <w:rFonts w:eastAsia="Arial"/>
              </w:rPr>
              <w:t xml:space="preserve"> may request the </w:t>
            </w:r>
            <w:r>
              <w:t>Care Plan Coordinator</w:t>
            </w:r>
            <w:r>
              <w:rPr>
                <w:rFonts w:eastAsia="Arial"/>
              </w:rPr>
              <w:t xml:space="preserve"> </w:t>
            </w:r>
            <w:r w:rsidRPr="00C85C8E">
              <w:rPr>
                <w:rFonts w:eastAsia="Arial"/>
              </w:rPr>
              <w:t xml:space="preserve">to prepare a closure report to assist with the final review of the care plan. The report is provided to the panel at the time the </w:t>
            </w:r>
            <w:r>
              <w:t>Care Plan Coordinator</w:t>
            </w:r>
            <w:r>
              <w:rPr>
                <w:rFonts w:eastAsia="Arial"/>
              </w:rPr>
              <w:t xml:space="preserve"> </w:t>
            </w:r>
            <w:r w:rsidRPr="00C85C8E">
              <w:rPr>
                <w:rFonts w:eastAsia="Arial"/>
              </w:rPr>
              <w:t>is recommending that MACNI cease involvement with the client, or when the maximum three-year involvement in MACNI has been reached.</w:t>
            </w:r>
          </w:p>
          <w:p w14:paraId="08E816A4" w14:textId="77777777" w:rsidR="0024179D" w:rsidRPr="00C85C8E" w:rsidRDefault="0024179D">
            <w:pPr>
              <w:pStyle w:val="Tabletext"/>
              <w:rPr>
                <w:rFonts w:eastAsia="Arial"/>
              </w:rPr>
            </w:pPr>
            <w:r w:rsidRPr="00C85C8E">
              <w:rPr>
                <w:rFonts w:eastAsia="Arial"/>
              </w:rPr>
              <w:t>The report reflects on the role MACNI has played in improving the client’s outcomes and enhancing service integration and collaboration. There is an important emphasis on the progress of the client throughout the time with MACNI; the learnings gathered; the client’s perspective on what has been achieved; confirmation of continuing support arrangements (as relevant) and, any other future planning considerations.</w:t>
            </w:r>
          </w:p>
          <w:p w14:paraId="4AB946DA" w14:textId="77777777" w:rsidR="0024179D" w:rsidRPr="00C85C8E" w:rsidRDefault="0024179D">
            <w:pPr>
              <w:pStyle w:val="Tabletext"/>
              <w:rPr>
                <w:rFonts w:eastAsia="Arial"/>
              </w:rPr>
            </w:pPr>
            <w:r w:rsidRPr="00C85C8E">
              <w:rPr>
                <w:rFonts w:eastAsia="Arial"/>
              </w:rPr>
              <w:t xml:space="preserve">The </w:t>
            </w:r>
            <w:r>
              <w:rPr>
                <w:rFonts w:eastAsia="Arial"/>
              </w:rPr>
              <w:t>Complex Needs Coordinator</w:t>
            </w:r>
            <w:r w:rsidRPr="00C85C8E">
              <w:rPr>
                <w:rFonts w:eastAsia="Arial"/>
              </w:rPr>
              <w:t xml:space="preserve"> ensures a letter is provided to the client and services identified in the care plan which explains that the MACNI care plan has ended, identifying any continuing supports and a contact person for questions and the continuing supports. Further, the </w:t>
            </w:r>
            <w:r>
              <w:rPr>
                <w:rFonts w:eastAsia="Arial"/>
              </w:rPr>
              <w:t>Complex Needs C</w:t>
            </w:r>
            <w:r w:rsidRPr="00C85C8E">
              <w:rPr>
                <w:rFonts w:eastAsia="Arial"/>
              </w:rPr>
              <w:t>oordinator ensures all departmental actions are taken in relation to the closure of the care plan, including:</w:t>
            </w:r>
          </w:p>
          <w:p w14:paraId="40DFF8A7" w14:textId="77777777" w:rsidR="0024179D" w:rsidRPr="00C85C8E" w:rsidRDefault="20278BA4" w:rsidP="000E7482">
            <w:pPr>
              <w:pStyle w:val="Tablebullet1"/>
              <w:numPr>
                <w:ilvl w:val="0"/>
                <w:numId w:val="14"/>
              </w:numPr>
            </w:pPr>
            <w:r w:rsidRPr="7DAFCD5E">
              <w:rPr>
                <w:rFonts w:eastAsia="Arial"/>
              </w:rPr>
              <w:t>funding acquittal</w:t>
            </w:r>
          </w:p>
          <w:p w14:paraId="6B53083D" w14:textId="77777777" w:rsidR="0024179D" w:rsidRPr="00C85C8E" w:rsidRDefault="20278BA4" w:rsidP="000E7482">
            <w:pPr>
              <w:pStyle w:val="Tablebullet1"/>
              <w:numPr>
                <w:ilvl w:val="0"/>
                <w:numId w:val="14"/>
              </w:numPr>
            </w:pPr>
            <w:r w:rsidRPr="7DAFCD5E">
              <w:rPr>
                <w:rFonts w:eastAsia="Arial"/>
              </w:rPr>
              <w:t>conclusion of funding to the care plan coordination service</w:t>
            </w:r>
          </w:p>
          <w:p w14:paraId="6B7009BD" w14:textId="77777777" w:rsidR="0024179D" w:rsidRPr="00C85C8E" w:rsidRDefault="20278BA4" w:rsidP="000E7482">
            <w:pPr>
              <w:pStyle w:val="Tablebullet1"/>
              <w:numPr>
                <w:ilvl w:val="0"/>
                <w:numId w:val="14"/>
              </w:numPr>
            </w:pPr>
            <w:r w:rsidRPr="7DAFCD5E">
              <w:rPr>
                <w:rFonts w:eastAsia="Arial"/>
              </w:rPr>
              <w:t>completion of data and record management requirements.</w:t>
            </w:r>
          </w:p>
          <w:p w14:paraId="443281FC" w14:textId="77777777" w:rsidR="0024179D" w:rsidRPr="00C85C8E" w:rsidRDefault="0024179D">
            <w:pPr>
              <w:pStyle w:val="Tabletext"/>
              <w:rPr>
                <w:rFonts w:eastAsia="Arial"/>
              </w:rPr>
            </w:pPr>
            <w:r w:rsidRPr="00C85C8E">
              <w:rPr>
                <w:rFonts w:eastAsia="Arial"/>
              </w:rPr>
              <w:t xml:space="preserve">A standard Care plan closure notification - letter to person, parent/guardian and a Care plan closure notification - letter to care plan coordination service is sent by the </w:t>
            </w:r>
            <w:r>
              <w:rPr>
                <w:rFonts w:eastAsia="Arial"/>
              </w:rPr>
              <w:t>Complex Needs Coordinator</w:t>
            </w:r>
            <w:r w:rsidRPr="00C85C8E">
              <w:rPr>
                <w:rFonts w:eastAsia="Arial"/>
              </w:rPr>
              <w:t>.</w:t>
            </w:r>
          </w:p>
        </w:tc>
      </w:tr>
    </w:tbl>
    <w:p w14:paraId="1047E041" w14:textId="4B039049" w:rsidR="00CA15E8" w:rsidRDefault="00CA15E8" w:rsidP="0024179D">
      <w:pPr>
        <w:pStyle w:val="Body"/>
      </w:pPr>
    </w:p>
    <w:p w14:paraId="62C30DEB" w14:textId="77777777" w:rsidR="00CA15E8" w:rsidRDefault="00CA15E8">
      <w:pPr>
        <w:spacing w:after="0" w:line="240" w:lineRule="auto"/>
        <w:rPr>
          <w:rFonts w:eastAsia="Times"/>
        </w:rPr>
      </w:pPr>
      <w:r>
        <w:br w:type="page"/>
      </w:r>
    </w:p>
    <w:p w14:paraId="0F23FDBB" w14:textId="77777777" w:rsidR="00616961" w:rsidRDefault="00616961" w:rsidP="006E2539">
      <w:pPr>
        <w:pStyle w:val="Heading1"/>
        <w:sectPr w:rsidR="00616961" w:rsidSect="008C6DEE">
          <w:pgSz w:w="11906" w:h="16838" w:code="9"/>
          <w:pgMar w:top="1418" w:right="1304" w:bottom="1701" w:left="1304" w:header="680" w:footer="851" w:gutter="0"/>
          <w:cols w:space="340"/>
          <w:docGrid w:linePitch="360"/>
        </w:sectPr>
      </w:pPr>
    </w:p>
    <w:p w14:paraId="16EC9DD1" w14:textId="006A057F" w:rsidR="00CA15E8" w:rsidRPr="009259DB" w:rsidRDefault="006E2539" w:rsidP="00895BB3">
      <w:pPr>
        <w:pStyle w:val="Heading1"/>
        <w:ind w:right="-767"/>
      </w:pPr>
      <w:bookmarkStart w:id="503" w:name="_Toc145318647"/>
      <w:r w:rsidRPr="009259DB">
        <w:lastRenderedPageBreak/>
        <w:t xml:space="preserve">Appendix </w:t>
      </w:r>
      <w:r w:rsidR="009259DB" w:rsidRPr="009259DB">
        <w:t xml:space="preserve">3 </w:t>
      </w:r>
      <w:r w:rsidR="00CA15E8" w:rsidRPr="009259DB">
        <w:t>Summary</w:t>
      </w:r>
      <w:r w:rsidR="00895BB3">
        <w:t>:</w:t>
      </w:r>
      <w:r w:rsidR="00CA15E8" w:rsidRPr="009259DB">
        <w:t xml:space="preserve"> brokerage approval process</w:t>
      </w:r>
      <w:bookmarkEnd w:id="503"/>
    </w:p>
    <w:p w14:paraId="0E6F106E" w14:textId="255164F7" w:rsidR="00CA15E8" w:rsidRDefault="00CA15E8" w:rsidP="00895BB3">
      <w:pPr>
        <w:pStyle w:val="Body"/>
      </w:pPr>
      <w:r w:rsidRPr="00745E4C">
        <w:t xml:space="preserve">Reminder: Complex Needs Coordinators are required to </w:t>
      </w:r>
      <w:r w:rsidR="000B3C3A">
        <w:t xml:space="preserve">engage </w:t>
      </w:r>
      <w:r w:rsidRPr="00745E4C">
        <w:t xml:space="preserve">with the </w:t>
      </w:r>
      <w:r>
        <w:t>Area Executive</w:t>
      </w:r>
      <w:r w:rsidRPr="00745E4C">
        <w:t xml:space="preserve"> Director prior to </w:t>
      </w:r>
      <w:r w:rsidR="000B3C3A">
        <w:t xml:space="preserve">each </w:t>
      </w:r>
      <w:r w:rsidRPr="00745E4C">
        <w:t xml:space="preserve">panel to ensure brokerage requests are within the </w:t>
      </w:r>
      <w:r>
        <w:t>division</w:t>
      </w:r>
      <w:r w:rsidR="000B3C3A">
        <w:t>’s</w:t>
      </w:r>
      <w:r w:rsidRPr="00745E4C">
        <w:t xml:space="preserve"> complex needs budget</w:t>
      </w:r>
      <w:r w:rsidR="000B3C3A">
        <w:t>.</w:t>
      </w:r>
    </w:p>
    <w:p w14:paraId="72C9A1CF" w14:textId="0DEF65A0" w:rsidR="00616961" w:rsidRDefault="00CA15E8">
      <w:pPr>
        <w:spacing w:after="0" w:line="240" w:lineRule="auto"/>
        <w:sectPr w:rsidR="00616961" w:rsidSect="00DA30B8">
          <w:pgSz w:w="16838" w:h="11906" w:orient="landscape" w:code="9"/>
          <w:pgMar w:top="1304" w:right="1418" w:bottom="1304" w:left="1701" w:header="680" w:footer="851" w:gutter="0"/>
          <w:cols w:space="340"/>
          <w:docGrid w:linePitch="360"/>
        </w:sectPr>
      </w:pPr>
      <w:r>
        <w:rPr>
          <w:noProof/>
        </w:rPr>
        <w:drawing>
          <wp:inline distT="0" distB="0" distL="0" distR="0" wp14:anchorId="6D8A7116" wp14:editId="18458807">
            <wp:extent cx="7846719" cy="4816475"/>
            <wp:effectExtent l="0" t="0" r="1905" b="3175"/>
            <wp:docPr id="8" name="Picture 8" descr="Provides a summary of the brokerage approval processes for each brokerage type as provided in Sectio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ovides a summary of the brokerage approval processes for each brokerage type as provided in Section 8."/>
                    <pic:cNvPicPr/>
                  </pic:nvPicPr>
                  <pic:blipFill>
                    <a:blip r:embed="rId112"/>
                    <a:stretch>
                      <a:fillRect/>
                    </a:stretch>
                  </pic:blipFill>
                  <pic:spPr>
                    <a:xfrm>
                      <a:off x="0" y="0"/>
                      <a:ext cx="7927199" cy="4865875"/>
                    </a:xfrm>
                    <a:prstGeom prst="rect">
                      <a:avLst/>
                    </a:prstGeom>
                  </pic:spPr>
                </pic:pic>
              </a:graphicData>
            </a:graphic>
          </wp:inline>
        </w:drawing>
      </w:r>
    </w:p>
    <w:p w14:paraId="5E785FE4" w14:textId="77777777" w:rsidR="0024179D" w:rsidRDefault="0024179D" w:rsidP="0024179D">
      <w:pPr>
        <w:pStyle w:val="Body"/>
      </w:pPr>
    </w:p>
    <w:sectPr w:rsidR="0024179D" w:rsidSect="00D16E90">
      <w:headerReference w:type="even" r:id="rId113"/>
      <w:headerReference w:type="default" r:id="rId114"/>
      <w:footerReference w:type="even" r:id="rId115"/>
      <w:footerReference w:type="default" r:id="rId116"/>
      <w:pgSz w:w="11906" w:h="16838" w:code="9"/>
      <w:pgMar w:top="1418" w:right="1304" w:bottom="170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9715" w14:textId="77777777" w:rsidR="00934A58" w:rsidRDefault="00934A58">
      <w:r>
        <w:separator/>
      </w:r>
    </w:p>
    <w:p w14:paraId="1E6FF332" w14:textId="77777777" w:rsidR="00934A58" w:rsidRDefault="00934A58"/>
  </w:endnote>
  <w:endnote w:type="continuationSeparator" w:id="0">
    <w:p w14:paraId="4E410CE2" w14:textId="77777777" w:rsidR="00934A58" w:rsidRDefault="00934A58">
      <w:r>
        <w:continuationSeparator/>
      </w:r>
    </w:p>
    <w:p w14:paraId="30980CC0" w14:textId="77777777" w:rsidR="00934A58" w:rsidRDefault="00934A58"/>
  </w:endnote>
  <w:endnote w:type="continuationNotice" w:id="1">
    <w:p w14:paraId="7F5C6C97" w14:textId="77777777" w:rsidR="00934A58" w:rsidRDefault="00934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2036" w14:textId="77777777" w:rsidR="006D511F" w:rsidRDefault="006D5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7E86" w14:textId="5662F9DB" w:rsidR="00431A70" w:rsidRDefault="00843D94">
    <w:pPr>
      <w:pStyle w:val="Footer"/>
    </w:pPr>
    <w:r>
      <w:rPr>
        <w:noProof/>
      </w:rPr>
      <mc:AlternateContent>
        <mc:Choice Requires="wps">
          <w:drawing>
            <wp:anchor distT="0" distB="0" distL="114300" distR="114300" simplePos="0" relativeHeight="251669888" behindDoc="0" locked="0" layoutInCell="0" allowOverlap="1" wp14:anchorId="2E183D19" wp14:editId="5425BC42">
              <wp:simplePos x="0" y="9365456"/>
              <wp:positionH relativeFrom="page">
                <wp:align>center</wp:align>
              </wp:positionH>
              <wp:positionV relativeFrom="page">
                <wp:align>bottom</wp:align>
              </wp:positionV>
              <wp:extent cx="7772400" cy="502285"/>
              <wp:effectExtent l="0" t="0" r="0" b="12065"/>
              <wp:wrapNone/>
              <wp:docPr id="3" name="MSIPCM35614ea6aafa315dde70a57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3B715" w14:textId="77C9F33F"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183D19" id="_x0000_t202" coordsize="21600,21600" o:spt="202" path="m,l,21600r21600,l21600,xe">
              <v:stroke joinstyle="miter"/>
              <v:path gradientshapeok="t" o:connecttype="rect"/>
            </v:shapetype>
            <v:shape id="MSIPCM35614ea6aafa315dde70a575"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698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7C23B715" w14:textId="77C9F33F"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432A" w14:textId="2CB3091C" w:rsidR="00EB4BC7" w:rsidRDefault="00843D94">
    <w:pPr>
      <w:pStyle w:val="Footer"/>
    </w:pPr>
    <w:r>
      <w:rPr>
        <w:noProof/>
      </w:rPr>
      <mc:AlternateContent>
        <mc:Choice Requires="wps">
          <w:drawing>
            <wp:anchor distT="0" distB="0" distL="114300" distR="114300" simplePos="0" relativeHeight="251671423" behindDoc="0" locked="0" layoutInCell="0" allowOverlap="1" wp14:anchorId="6B7149D1" wp14:editId="1DC7610E">
              <wp:simplePos x="0" y="0"/>
              <wp:positionH relativeFrom="page">
                <wp:align>center</wp:align>
              </wp:positionH>
              <wp:positionV relativeFrom="page">
                <wp:align>bottom</wp:align>
              </wp:positionV>
              <wp:extent cx="7772400" cy="502285"/>
              <wp:effectExtent l="0" t="0" r="0" b="12065"/>
              <wp:wrapNone/>
              <wp:docPr id="1934884898" name="MSIPCM43a441d79bb2567407cce51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1A9E1" w14:textId="40290946"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B7149D1" id="_x0000_t202" coordsize="21600,21600" o:spt="202" path="m,l,21600r21600,l21600,xe">
              <v:stroke joinstyle="miter"/>
              <v:path gradientshapeok="t" o:connecttype="rect"/>
            </v:shapetype>
            <v:shape id="MSIPCM43a441d79bb2567407cce517"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67142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071A9E1" w14:textId="40290946"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648B00" w:rsidR="003F24E4" w:rsidRDefault="003F24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22257847" w:rsidR="003F24E4" w:rsidRDefault="00843D94">
    <w:pPr>
      <w:pStyle w:val="Footer"/>
    </w:pPr>
    <w:r>
      <w:rPr>
        <w:noProof/>
      </w:rPr>
      <mc:AlternateContent>
        <mc:Choice Requires="wps">
          <w:drawing>
            <wp:anchor distT="0" distB="0" distL="114300" distR="114300" simplePos="0" relativeHeight="251671487" behindDoc="0" locked="0" layoutInCell="0" allowOverlap="1" wp14:anchorId="1283F6FD" wp14:editId="7A1266EF">
              <wp:simplePos x="0" y="0"/>
              <wp:positionH relativeFrom="page">
                <wp:align>center</wp:align>
              </wp:positionH>
              <wp:positionV relativeFrom="page">
                <wp:align>bottom</wp:align>
              </wp:positionV>
              <wp:extent cx="7772400" cy="502285"/>
              <wp:effectExtent l="0" t="0" r="0" b="12065"/>
              <wp:wrapNone/>
              <wp:docPr id="1934884900" name="MSIPCMbd7b4a1a8f93454516bd89f9"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0F5CB" w14:textId="562F85DA"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83F6FD" id="_x0000_t202" coordsize="21600,21600" o:spt="202" path="m,l,21600r21600,l21600,xe">
              <v:stroke joinstyle="miter"/>
              <v:path gradientshapeok="t" o:connecttype="rect"/>
            </v:shapetype>
            <v:shape id="MSIPCMbd7b4a1a8f93454516bd89f9" o:spid="_x0000_s1028" type="#_x0000_t202" alt="{&quot;HashCode&quot;:904758361,&quot;Height&quot;:9999999.0,&quot;Width&quot;:9999999.0,&quot;Placement&quot;:&quot;Footer&quot;,&quot;Index&quot;:&quot;Primary&quot;,&quot;Section&quot;:2,&quot;Top&quot;:0.0,&quot;Left&quot;:0.0}" style="position:absolute;margin-left:0;margin-top:0;width:612pt;height:39.55pt;z-index:25167148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2E0F5CB" w14:textId="562F85DA"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7982E643" w:rsidR="003F24E4" w:rsidRDefault="00843D94">
    <w:pPr>
      <w:pStyle w:val="Footer"/>
    </w:pPr>
    <w:r>
      <w:rPr>
        <w:noProof/>
      </w:rPr>
      <mc:AlternateContent>
        <mc:Choice Requires="wps">
          <w:drawing>
            <wp:anchor distT="0" distB="0" distL="114300" distR="114300" simplePos="0" relativeHeight="251671552" behindDoc="0" locked="0" layoutInCell="0" allowOverlap="1" wp14:anchorId="2DC87F4B" wp14:editId="45CF210F">
              <wp:simplePos x="0" y="9365456"/>
              <wp:positionH relativeFrom="page">
                <wp:align>center</wp:align>
              </wp:positionH>
              <wp:positionV relativeFrom="page">
                <wp:align>bottom</wp:align>
              </wp:positionV>
              <wp:extent cx="7772400" cy="502285"/>
              <wp:effectExtent l="0" t="0" r="0" b="12065"/>
              <wp:wrapNone/>
              <wp:docPr id="1934884914" name="MSIPCM20b444b39a88b3bfff4b736c"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C4B99" w14:textId="69433663"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C87F4B" id="_x0000_t202" coordsize="21600,21600" o:spt="202" path="m,l,21600r21600,l21600,xe">
              <v:stroke joinstyle="miter"/>
              <v:path gradientshapeok="t" o:connecttype="rect"/>
            </v:shapetype>
            <v:shape id="MSIPCM20b444b39a88b3bfff4b736c" o:spid="_x0000_s1029" type="#_x0000_t202" alt="{&quot;HashCode&quot;:904758361,&quot;Height&quot;:9999999.0,&quot;Width&quot;:9999999.0,&quot;Placement&quot;:&quot;Footer&quot;,&quot;Index&quot;:&quot;FirstPage&quot;,&quot;Section&quot;:2,&quot;Top&quot;:0.0,&quot;Left&quot;:0.0}" style="position:absolute;margin-left:0;margin-top:0;width:612pt;height:39.55pt;z-index:2516715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3CFC4B99" w14:textId="69433663"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51AC7CF0" w:rsidR="00D63636" w:rsidRDefault="00D636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0CD621F0" w:rsidR="00431A70" w:rsidRDefault="00843D94" w:rsidP="00DC00C1">
    <w:pPr>
      <w:pStyle w:val="Footer"/>
      <w:tabs>
        <w:tab w:val="left" w:pos="3667"/>
      </w:tabs>
    </w:pPr>
    <w:r>
      <w:rPr>
        <w:noProof/>
        <w:lang w:eastAsia="en-AU"/>
      </w:rPr>
      <mc:AlternateContent>
        <mc:Choice Requires="wps">
          <w:drawing>
            <wp:anchor distT="0" distB="0" distL="114300" distR="114300" simplePos="0" relativeHeight="251670655" behindDoc="0" locked="0" layoutInCell="0" allowOverlap="1" wp14:anchorId="356D12F2" wp14:editId="4685ECD8">
              <wp:simplePos x="0" y="0"/>
              <wp:positionH relativeFrom="page">
                <wp:align>center</wp:align>
              </wp:positionH>
              <wp:positionV relativeFrom="page">
                <wp:align>bottom</wp:align>
              </wp:positionV>
              <wp:extent cx="7772400" cy="502285"/>
              <wp:effectExtent l="0" t="0" r="0" b="12065"/>
              <wp:wrapNone/>
              <wp:docPr id="1934884916" name="MSIPCM30864b2089080e089466d65b"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C17EB" w14:textId="2CDD113C"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56D12F2" id="_x0000_t202" coordsize="21600,21600" o:spt="202" path="m,l,21600r21600,l21600,xe">
              <v:stroke joinstyle="miter"/>
              <v:path gradientshapeok="t" o:connecttype="rect"/>
            </v:shapetype>
            <v:shape id="MSIPCM30864b2089080e089466d65b" o:spid="_x0000_s1030" type="#_x0000_t202" alt="{&quot;HashCode&quot;:904758361,&quot;Height&quot;:9999999.0,&quot;Width&quot;:9999999.0,&quot;Placement&quot;:&quot;Footer&quot;,&quot;Index&quot;:&quot;Primary&quot;,&quot;Section&quot;:6,&quot;Top&quot;:0.0,&quot;Left&quot;:0.0}" style="position:absolute;margin-left:0;margin-top:0;width:612pt;height:39.55pt;z-index:2516706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2BEC17EB" w14:textId="2CDD113C" w:rsidR="00843D94" w:rsidRPr="006D511F" w:rsidRDefault="006D511F" w:rsidP="006D511F">
                    <w:pPr>
                      <w:spacing w:after="0"/>
                      <w:jc w:val="center"/>
                      <w:rPr>
                        <w:rFonts w:ascii="Arial Black" w:hAnsi="Arial Black"/>
                        <w:color w:val="000000"/>
                        <w:sz w:val="20"/>
                      </w:rPr>
                    </w:pPr>
                    <w:r w:rsidRPr="006D511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3EEF" w14:textId="77777777" w:rsidR="00934A58" w:rsidRDefault="00934A58" w:rsidP="00207717">
      <w:pPr>
        <w:spacing w:before="120"/>
      </w:pPr>
      <w:r>
        <w:separator/>
      </w:r>
    </w:p>
  </w:footnote>
  <w:footnote w:type="continuationSeparator" w:id="0">
    <w:p w14:paraId="5BDF2A4D" w14:textId="77777777" w:rsidR="00934A58" w:rsidRDefault="00934A58">
      <w:r>
        <w:continuationSeparator/>
      </w:r>
    </w:p>
    <w:p w14:paraId="1B66B2ED" w14:textId="77777777" w:rsidR="00934A58" w:rsidRDefault="00934A58"/>
  </w:footnote>
  <w:footnote w:type="continuationNotice" w:id="1">
    <w:p w14:paraId="4A29B00D" w14:textId="77777777" w:rsidR="00934A58" w:rsidRDefault="00934A58">
      <w:pPr>
        <w:spacing w:after="0" w:line="240" w:lineRule="auto"/>
      </w:pPr>
    </w:p>
  </w:footnote>
  <w:footnote w:id="2">
    <w:p w14:paraId="713D59FB" w14:textId="77777777" w:rsidR="00803F38" w:rsidRPr="007939B1" w:rsidRDefault="00803F38" w:rsidP="00803F38">
      <w:pPr>
        <w:pStyle w:val="FootnoteText"/>
        <w:rPr>
          <w:lang w:val="en-US"/>
        </w:rPr>
      </w:pPr>
      <w:r>
        <w:rPr>
          <w:rStyle w:val="FootnoteReference"/>
        </w:rPr>
        <w:footnoteRef/>
      </w:r>
      <w:r>
        <w:t xml:space="preserve"> </w:t>
      </w:r>
      <w:r>
        <w:rPr>
          <w:lang w:val="en-US"/>
        </w:rPr>
        <w:t>HPP1.1(f), 1.2, 1.3, 1.5, 2.1 and 2.2(h).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06F2" w14:textId="77777777" w:rsidR="006D511F" w:rsidRDefault="006D5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E1A9" w14:textId="77777777" w:rsidR="006D511F" w:rsidRDefault="006D5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F7A9" w14:textId="77777777" w:rsidR="006D511F" w:rsidRDefault="006D51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265DCF9A" w:rsidR="00562811" w:rsidRPr="001C7128" w:rsidRDefault="00911C2A" w:rsidP="001C7128">
    <w:pPr>
      <w:pStyle w:val="Header"/>
    </w:pPr>
    <w:r>
      <w:t>Service Provision Framework: Complex Needs (</w:t>
    </w:r>
    <w:r w:rsidR="00A27F77">
      <w:t xml:space="preserve">August </w:t>
    </w:r>
    <w:r>
      <w:t>2023)</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8KbGNS5om+YNFK" int2:id="AUYraFN6">
      <int2:state int2:value="Rejected" int2:type="AugLoop_Text_Critique"/>
    </int2:textHash>
    <int2:textHash int2:hashCode="3lQtftw3vNGcnB" int2:id="G78cUkQR">
      <int2:state int2:value="Rejected" int2:type="AugLoop_Text_Critique"/>
    </int2:textHash>
    <int2:textHash int2:hashCode="U1KHVfYIh3cCh9" int2:id="HUZkDHqL">
      <int2:state int2:value="Rejected" int2:type="AugLoop_Text_Critique"/>
    </int2:textHash>
    <int2:textHash int2:hashCode="QJWpmkKkc0O664" int2:id="NkALkMhY">
      <int2:state int2:value="Rejected" int2:type="AugLoop_Text_Critique"/>
    </int2:textHash>
    <int2:textHash int2:hashCode="vJlBQLWp6B22CL" int2:id="OCLJ7UWv">
      <int2:state int2:value="Rejected" int2:type="AugLoop_Text_Critique"/>
    </int2:textHash>
    <int2:textHash int2:hashCode="Jl9n6kKnJUaYUh" int2:id="f81KITZ7">
      <int2:state int2:value="Rejected" int2:type="AugLoop_Text_Critique"/>
    </int2:textHash>
    <int2:textHash int2:hashCode="Cj+1DyrgE4pV1V" int2:id="j8bSR8HD">
      <int2:state int2:value="Rejected" int2:type="AugLoop_Text_Critique"/>
    </int2:textHash>
    <int2:textHash int2:hashCode="NMH8MUkkVxGvha" int2:id="kd9t4SCL">
      <int2:state int2:value="Rejected" int2:type="AugLoop_Text_Critique"/>
    </int2:textHash>
    <int2:textHash int2:hashCode="PgGMHMyd/qQP+F" int2:id="lnmmottV">
      <int2:state int2:value="Rejected" int2:type="AugLoop_Text_Critique"/>
    </int2:textHash>
    <int2:textHash int2:hashCode="BC3EUS+j05HFFw" int2:id="pKobim0s">
      <int2:state int2:value="Rejected" int2:type="AugLoop_Text_Critique"/>
    </int2:textHash>
    <int2:bookmark int2:bookmarkName="_Int_8UvEzXDw" int2:invalidationBookmarkName="" int2:hashCode="FFLkaJUurI+qCy" int2:id="12i3mDxi">
      <int2:state int2:value="Rejected" int2:type="AugLoop_Text_Critique"/>
    </int2:bookmark>
    <int2:bookmark int2:bookmarkName="_Int_17JFy2Sl" int2:invalidationBookmarkName="" int2:hashCode="x4ABgqtAQosrgn" int2:id="3Ctqujye">
      <int2:state int2:value="Rejected" int2:type="AugLoop_Text_Critique"/>
    </int2:bookmark>
    <int2:bookmark int2:bookmarkName="_Int_ucNIfPij" int2:invalidationBookmarkName="" int2:hashCode="i33lLgnrOq2Y05" int2:id="3NiAahoU">
      <int2:state int2:value="Rejected" int2:type="AugLoop_Text_Critique"/>
    </int2:bookmark>
    <int2:bookmark int2:bookmarkName="_Int_RVGJBNGr" int2:invalidationBookmarkName="" int2:hashCode="mvSkCiM+zyeXGd" int2:id="5Xyz1Emg">
      <int2:state int2:value="Rejected" int2:type="AugLoop_Text_Critique"/>
    </int2:bookmark>
    <int2:bookmark int2:bookmarkName="_Int_0oRPdahw" int2:invalidationBookmarkName="" int2:hashCode="XJ/8hkaA91M73p" int2:id="9pTPxlBO">
      <int2:state int2:value="Rejected" int2:type="AugLoop_Text_Critique"/>
    </int2:bookmark>
    <int2:bookmark int2:bookmarkName="_Int_6z9I1J4B" int2:invalidationBookmarkName="" int2:hashCode="mvSkCiM+zyeXGd" int2:id="BWctcJnZ">
      <int2:state int2:value="Rejected" int2:type="AugLoop_Text_Critique"/>
    </int2:bookmark>
    <int2:bookmark int2:bookmarkName="_Int_OEdFioQl" int2:invalidationBookmarkName="" int2:hashCode="Ud4rg1vTWmfrMt" int2:id="BqixL1OG">
      <int2:state int2:value="Rejected" int2:type="AugLoop_Text_Critique"/>
    </int2:bookmark>
    <int2:bookmark int2:bookmarkName="_Int_sRXeEDCp" int2:invalidationBookmarkName="" int2:hashCode="mvSkCiM+zyeXGd" int2:id="CW22JlDQ">
      <int2:state int2:value="Rejected" int2:type="AugLoop_Text_Critique"/>
    </int2:bookmark>
    <int2:bookmark int2:bookmarkName="_Int_EOBCJ4ir" int2:invalidationBookmarkName="" int2:hashCode="ckzU3eT2qPFv8D" int2:id="DwPqj8z8">
      <int2:state int2:value="Rejected" int2:type="AugLoop_Text_Critique"/>
    </int2:bookmark>
    <int2:bookmark int2:bookmarkName="_Int_YTK5P8du" int2:invalidationBookmarkName="" int2:hashCode="UMX/TJp1eO48QE" int2:id="MysUyWGR">
      <int2:state int2:value="Rejected" int2:type="AugLoop_Text_Critique"/>
    </int2:bookmark>
    <int2:bookmark int2:bookmarkName="_Int_6jpI9OpC" int2:invalidationBookmarkName="" int2:hashCode="EpYSOWkjkzqXUT" int2:id="Nwtu44Yo">
      <int2:state int2:value="Rejected" int2:type="AugLoop_Text_Critique"/>
    </int2:bookmark>
    <int2:bookmark int2:bookmarkName="_Int_MEnzUd5M" int2:invalidationBookmarkName="" int2:hashCode="B5vDtqWdmVzoak" int2:id="ScvmTjfe">
      <int2:state int2:value="Rejected" int2:type="AugLoop_Text_Critique"/>
    </int2:bookmark>
    <int2:bookmark int2:bookmarkName="_Int_OgdC2FC3" int2:invalidationBookmarkName="" int2:hashCode="2WQQAtwXS15Xd5" int2:id="SuYrpWzI">
      <int2:state int2:value="Rejected" int2:type="AugLoop_Text_Critique"/>
    </int2:bookmark>
    <int2:bookmark int2:bookmarkName="_Int_2alc1zI2" int2:invalidationBookmarkName="" int2:hashCode="SradH0SdDJdch8" int2:id="TDTbsWjx">
      <int2:state int2:value="Rejected" int2:type="AugLoop_Text_Critique"/>
    </int2:bookmark>
    <int2:bookmark int2:bookmarkName="_Int_WAdGCtBi" int2:invalidationBookmarkName="" int2:hashCode="XPf0qibiqx25B8" int2:id="XwDDbCu6">
      <int2:state int2:value="Rejected" int2:type="AugLoop_Text_Critique"/>
    </int2:bookmark>
    <int2:bookmark int2:bookmarkName="_Int_PNHYfFJ1" int2:invalidationBookmarkName="" int2:hashCode="MqKi+oYQwIA1A3" int2:id="Y9G5um7s">
      <int2:state int2:value="Rejected" int2:type="AugLoop_Text_Critique"/>
    </int2:bookmark>
    <int2:bookmark int2:bookmarkName="_Int_761o7MMi" int2:invalidationBookmarkName="" int2:hashCode="Ud4rg1vTWmfrMt" int2:id="YW5eo33U">
      <int2:state int2:value="Rejected" int2:type="AugLoop_Text_Critique"/>
    </int2:bookmark>
    <int2:bookmark int2:bookmarkName="_Int_hVHEs63v" int2:invalidationBookmarkName="" int2:hashCode="mvSkCiM+zyeXGd" int2:id="YbrJjUAI">
      <int2:state int2:value="Rejected" int2:type="AugLoop_Text_Critique"/>
    </int2:bookmark>
    <int2:bookmark int2:bookmarkName="_Int_3zAu2ZoB" int2:invalidationBookmarkName="" int2:hashCode="GnfUFiJMu+d6Q5" int2:id="YiVatypW">
      <int2:state int2:value="Rejected" int2:type="AugLoop_Text_Critique"/>
    </int2:bookmark>
    <int2:bookmark int2:bookmarkName="_Int_BhR7sORe" int2:invalidationBookmarkName="" int2:hashCode="mvSkCiM+zyeXGd" int2:id="Yo0pgFrC">
      <int2:state int2:value="Rejected" int2:type="AugLoop_Text_Critique"/>
    </int2:bookmark>
    <int2:bookmark int2:bookmarkName="_Int_ES4YFoVi" int2:invalidationBookmarkName="" int2:hashCode="f1OmjTJDRvyEV6" int2:id="bJyny6vl">
      <int2:state int2:value="Rejected" int2:type="AugLoop_Text_Critique"/>
    </int2:bookmark>
    <int2:bookmark int2:bookmarkName="_Int_5axUqI59" int2:invalidationBookmarkName="" int2:hashCode="XPf0qibiqx25B8" int2:id="hGiRB84x">
      <int2:state int2:value="Rejected" int2:type="AugLoop_Text_Critique"/>
    </int2:bookmark>
    <int2:bookmark int2:bookmarkName="_Int_F6FLTdIP" int2:invalidationBookmarkName="" int2:hashCode="mvSkCiM+zyeXGd" int2:id="qC9Xqf1g">
      <int2:state int2:value="Rejected" int2:type="AugLoop_Text_Critique"/>
    </int2:bookmark>
    <int2:bookmark int2:bookmarkName="_Int_XTjueBQW" int2:invalidationBookmarkName="" int2:hashCode="Sp0aF3aEk0/t4g" int2:id="wEdytsKC">
      <int2:state int2:value="Rejected" int2:type="AugLoop_Text_Critique"/>
    </int2:bookmark>
    <int2:bookmark int2:bookmarkName="_Int_Zh8iGXvI" int2:invalidationBookmarkName="" int2:hashCode="XXShOK9QAj92nn" int2:id="xMcTUtNZ">
      <int2:state int2:value="Rejected" int2:type="AugLoop_Text_Critique"/>
    </int2:bookmark>
    <int2:bookmark int2:bookmarkName="_Int_FC9H7qHm" int2:invalidationBookmarkName="" int2:hashCode="f1OmjTJDRvyEV6" int2:id="yP2voVym">
      <int2:state int2:value="Rejected" int2:type="AugLoop_Text_Critique"/>
    </int2:bookmark>
    <int2:bookmark int2:bookmarkName="_Int_wDtdyFV2" int2:invalidationBookmarkName="" int2:hashCode="ZanletI6wlweVG" int2:id="zz7QKaq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241"/>
    <w:multiLevelType w:val="multilevel"/>
    <w:tmpl w:val="E72075B8"/>
    <w:lvl w:ilvl="0">
      <w:start w:val="8"/>
      <w:numFmt w:val="decimal"/>
      <w:lvlText w:val="%1"/>
      <w:lvlJc w:val="left"/>
      <w:pPr>
        <w:ind w:left="280" w:hanging="640"/>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800" w:hanging="2160"/>
      </w:pPr>
      <w:rPr>
        <w:rFonts w:hint="default"/>
      </w:rPr>
    </w:lvl>
  </w:abstractNum>
  <w:abstractNum w:abstractNumId="1" w15:restartNumberingAfterBreak="0">
    <w:nsid w:val="03451027"/>
    <w:multiLevelType w:val="multilevel"/>
    <w:tmpl w:val="C670623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3A50056"/>
    <w:multiLevelType w:val="multilevel"/>
    <w:tmpl w:val="4B4E7622"/>
    <w:numStyleLink w:val="ZZNumbersloweralpha"/>
  </w:abstractNum>
  <w:abstractNum w:abstractNumId="3" w15:restartNumberingAfterBreak="0">
    <w:nsid w:val="07F750F5"/>
    <w:multiLevelType w:val="multilevel"/>
    <w:tmpl w:val="1ACEC2D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B8D43DB"/>
    <w:multiLevelType w:val="multilevel"/>
    <w:tmpl w:val="9D040EF8"/>
    <w:styleLink w:val="ZZNumberslowerroman"/>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0DDE3D15"/>
    <w:multiLevelType w:val="multilevel"/>
    <w:tmpl w:val="2C82EB9E"/>
    <w:lvl w:ilvl="0">
      <w:start w:val="9"/>
      <w:numFmt w:val="decimal"/>
      <w:lvlText w:val="%1"/>
      <w:lvlJc w:val="left"/>
      <w:pPr>
        <w:ind w:left="800" w:hanging="800"/>
      </w:pPr>
      <w:rPr>
        <w:rFonts w:hint="default"/>
      </w:rPr>
    </w:lvl>
    <w:lvl w:ilvl="1">
      <w:start w:val="3"/>
      <w:numFmt w:val="decimal"/>
      <w:lvlText w:val="%1.%2"/>
      <w:lvlJc w:val="left"/>
      <w:pPr>
        <w:ind w:left="800" w:hanging="800"/>
      </w:pPr>
      <w:rPr>
        <w:rFonts w:hint="default"/>
      </w:rPr>
    </w:lvl>
    <w:lvl w:ilvl="2">
      <w:start w:val="13"/>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405092"/>
    <w:multiLevelType w:val="hybridMultilevel"/>
    <w:tmpl w:val="3C2CC66E"/>
    <w:numStyleLink w:val="ZZBullets"/>
  </w:abstractNum>
  <w:abstractNum w:abstractNumId="7" w15:restartNumberingAfterBreak="0">
    <w:nsid w:val="18E23F90"/>
    <w:multiLevelType w:val="hybridMultilevel"/>
    <w:tmpl w:val="E550C21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hAnsi="Arial" w:hint="default"/>
        <w:color w:val="auto"/>
        <w:sz w:val="20"/>
        <w:szCs w:val="18"/>
      </w:rPr>
    </w:lvl>
    <w:lvl w:ilvl="2" w:tplc="B664CACA">
      <w:start w:val="1"/>
      <w:numFmt w:val="bullet"/>
      <w:lvlText w:val="–"/>
      <w:lvlJc w:val="left"/>
      <w:pPr>
        <w:ind w:left="587" w:hanging="360"/>
      </w:pPr>
      <w:rPr>
        <w:rFonts w:ascii="Arial" w:hAnsi="Arial" w:hint="default"/>
        <w:color w:val="auto"/>
        <w:sz w:val="20"/>
        <w:szCs w:val="1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104735"/>
    <w:multiLevelType w:val="hybridMultilevel"/>
    <w:tmpl w:val="9578C9E0"/>
    <w:lvl w:ilvl="0" w:tplc="50E4D066">
      <w:start w:val="12"/>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1345AF"/>
    <w:multiLevelType w:val="hybridMultilevel"/>
    <w:tmpl w:val="7CAC3F08"/>
    <w:lvl w:ilvl="0" w:tplc="B664CACA">
      <w:start w:val="1"/>
      <w:numFmt w:val="bullet"/>
      <w:lvlText w:val="–"/>
      <w:lvlJc w:val="left"/>
      <w:pPr>
        <w:ind w:left="587" w:hanging="360"/>
      </w:pPr>
      <w:rPr>
        <w:rFonts w:ascii="Arial" w:hAnsi="Arial" w:hint="default"/>
        <w:color w:val="auto"/>
        <w:sz w:val="20"/>
        <w:szCs w:val="18"/>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C5220A6"/>
    <w:multiLevelType w:val="hybridMultilevel"/>
    <w:tmpl w:val="62189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017509"/>
    <w:multiLevelType w:val="multilevel"/>
    <w:tmpl w:val="126C09F4"/>
    <w:lvl w:ilvl="0">
      <w:start w:val="8"/>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28B6DC2"/>
    <w:multiLevelType w:val="multilevel"/>
    <w:tmpl w:val="D68EAD7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3995C5F"/>
    <w:multiLevelType w:val="hybridMultilevel"/>
    <w:tmpl w:val="F87AE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DC6B8D"/>
    <w:multiLevelType w:val="hybridMultilevel"/>
    <w:tmpl w:val="3A6C944E"/>
    <w:lvl w:ilvl="0" w:tplc="CFCAFC9A">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124EE1"/>
    <w:multiLevelType w:val="multilevel"/>
    <w:tmpl w:val="CEA88BC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3E5657"/>
    <w:multiLevelType w:val="multilevel"/>
    <w:tmpl w:val="436E34D0"/>
    <w:lvl w:ilvl="0">
      <w:start w:val="7"/>
      <w:numFmt w:val="decimal"/>
      <w:lvlText w:val="%1"/>
      <w:lvlJc w:val="left"/>
      <w:pPr>
        <w:ind w:left="800" w:hanging="800"/>
      </w:pPr>
      <w:rPr>
        <w:rFonts w:hint="default"/>
      </w:rPr>
    </w:lvl>
    <w:lvl w:ilvl="1">
      <w:start w:val="14"/>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F603493"/>
    <w:multiLevelType w:val="hybridMultilevel"/>
    <w:tmpl w:val="75F47332"/>
    <w:lvl w:ilvl="0" w:tplc="B664CACA">
      <w:start w:val="1"/>
      <w:numFmt w:val="bullet"/>
      <w:lvlText w:val="–"/>
      <w:lvlJc w:val="left"/>
      <w:pPr>
        <w:ind w:left="720" w:hanging="360"/>
      </w:pPr>
      <w:rPr>
        <w:rFonts w:ascii="Arial" w:hAnsi="Arial" w:hint="default"/>
        <w:color w:val="auto"/>
        <w:sz w:val="20"/>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207C6"/>
    <w:multiLevelType w:val="hybridMultilevel"/>
    <w:tmpl w:val="1FFA3912"/>
    <w:lvl w:ilvl="0" w:tplc="FFFFFFFF">
      <w:start w:val="1"/>
      <w:numFmt w:val="bullet"/>
      <w:lvlText w:val=""/>
      <w:lvlJc w:val="left"/>
      <w:pPr>
        <w:ind w:left="720" w:hanging="360"/>
      </w:pPr>
      <w:rPr>
        <w:rFonts w:ascii="Symbol" w:hAnsi="Symbol" w:hint="default"/>
      </w:rPr>
    </w:lvl>
    <w:lvl w:ilvl="1" w:tplc="B664CACA">
      <w:start w:val="1"/>
      <w:numFmt w:val="bullet"/>
      <w:lvlText w:val="–"/>
      <w:lvlJc w:val="left"/>
      <w:pPr>
        <w:ind w:left="360" w:hanging="360"/>
      </w:pPr>
      <w:rPr>
        <w:rFonts w:ascii="Arial" w:hAnsi="Arial" w:hint="default"/>
        <w:color w:val="auto"/>
        <w:sz w:val="20"/>
        <w:szCs w:val="18"/>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710B64"/>
    <w:multiLevelType w:val="hybridMultilevel"/>
    <w:tmpl w:val="9D10029A"/>
    <w:lvl w:ilvl="0" w:tplc="09A2D630">
      <w:start w:val="1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8E5405"/>
    <w:multiLevelType w:val="multilevel"/>
    <w:tmpl w:val="37F07A40"/>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4CD4BFF"/>
    <w:multiLevelType w:val="multilevel"/>
    <w:tmpl w:val="6BC0017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C4303A5"/>
    <w:multiLevelType w:val="multilevel"/>
    <w:tmpl w:val="4B4E7622"/>
    <w:styleLink w:val="ZZNumbersloweralpha"/>
    <w:lvl w:ilvl="0">
      <w:start w:val="1"/>
      <w:numFmt w:val="lowerLetter"/>
      <w:lvlText w:val="(%1)"/>
      <w:lvlJc w:val="left"/>
      <w:pPr>
        <w:tabs>
          <w:tab w:val="num" w:pos="397"/>
        </w:tabs>
        <w:ind w:left="397" w:hanging="397"/>
      </w:pPr>
      <w:rPr>
        <w:rFonts w:ascii="Arial" w:eastAsia="Times" w:hAnsi="Arial" w:cs="Times New Roman"/>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hybridMultilevel"/>
    <w:tmpl w:val="9A227634"/>
    <w:lvl w:ilvl="0" w:tplc="2830376A">
      <w:start w:val="1"/>
      <w:numFmt w:val="bullet"/>
      <w:pStyle w:val="Tablebullet1"/>
      <w:lvlText w:val="•"/>
      <w:lvlJc w:val="left"/>
      <w:pPr>
        <w:ind w:left="227" w:hanging="227"/>
      </w:pPr>
      <w:rPr>
        <w:rFonts w:ascii="Calibri" w:hAnsi="Calibri" w:hint="default"/>
      </w:rPr>
    </w:lvl>
    <w:lvl w:ilvl="1" w:tplc="2FC06128">
      <w:start w:val="1"/>
      <w:numFmt w:val="bullet"/>
      <w:lvlRestart w:val="0"/>
      <w:pStyle w:val="Tablebullet2"/>
      <w:lvlText w:val="–"/>
      <w:lvlJc w:val="left"/>
      <w:pPr>
        <w:tabs>
          <w:tab w:val="num" w:pos="227"/>
        </w:tabs>
        <w:ind w:left="454" w:hanging="227"/>
      </w:pPr>
      <w:rPr>
        <w:rFonts w:ascii="Calibri" w:hAnsi="Calibri" w:hint="default"/>
      </w:rPr>
    </w:lvl>
    <w:lvl w:ilvl="2" w:tplc="9FC01C0A">
      <w:start w:val="1"/>
      <w:numFmt w:val="decimal"/>
      <w:lvlRestart w:val="0"/>
      <w:lvlText w:val=""/>
      <w:lvlJc w:val="left"/>
      <w:pPr>
        <w:ind w:left="0" w:firstLine="0"/>
      </w:pPr>
    </w:lvl>
    <w:lvl w:ilvl="3" w:tplc="0F162888">
      <w:start w:val="1"/>
      <w:numFmt w:val="decimal"/>
      <w:lvlRestart w:val="0"/>
      <w:lvlText w:val=""/>
      <w:lvlJc w:val="left"/>
      <w:pPr>
        <w:ind w:left="0" w:firstLine="0"/>
      </w:pPr>
    </w:lvl>
    <w:lvl w:ilvl="4" w:tplc="405679A6">
      <w:start w:val="1"/>
      <w:numFmt w:val="decimal"/>
      <w:lvlRestart w:val="0"/>
      <w:lvlText w:val=""/>
      <w:lvlJc w:val="left"/>
      <w:pPr>
        <w:ind w:left="0" w:firstLine="0"/>
      </w:pPr>
    </w:lvl>
    <w:lvl w:ilvl="5" w:tplc="752EC19C">
      <w:start w:val="1"/>
      <w:numFmt w:val="decimal"/>
      <w:lvlRestart w:val="0"/>
      <w:lvlText w:val=""/>
      <w:lvlJc w:val="left"/>
      <w:pPr>
        <w:ind w:left="0" w:firstLine="0"/>
      </w:pPr>
    </w:lvl>
    <w:lvl w:ilvl="6" w:tplc="1E2CF598">
      <w:start w:val="1"/>
      <w:numFmt w:val="decimal"/>
      <w:lvlRestart w:val="0"/>
      <w:lvlText w:val=""/>
      <w:lvlJc w:val="left"/>
      <w:pPr>
        <w:ind w:left="0" w:firstLine="0"/>
      </w:pPr>
    </w:lvl>
    <w:lvl w:ilvl="7" w:tplc="6C5228A4">
      <w:start w:val="1"/>
      <w:numFmt w:val="decimal"/>
      <w:lvlRestart w:val="0"/>
      <w:lvlText w:val=""/>
      <w:lvlJc w:val="left"/>
      <w:pPr>
        <w:ind w:left="0" w:firstLine="0"/>
      </w:pPr>
    </w:lvl>
    <w:lvl w:ilvl="8" w:tplc="7A2207DE">
      <w:start w:val="1"/>
      <w:numFmt w:val="decimal"/>
      <w:lvlRestart w:val="0"/>
      <w:lvlText w:val=""/>
      <w:lvlJc w:val="left"/>
      <w:pPr>
        <w:ind w:left="0" w:firstLine="0"/>
      </w:pPr>
    </w:lvl>
  </w:abstractNum>
  <w:abstractNum w:abstractNumId="24" w15:restartNumberingAfterBreak="0">
    <w:nsid w:val="3EC54A41"/>
    <w:multiLevelType w:val="multilevel"/>
    <w:tmpl w:val="127EB8D4"/>
    <w:styleLink w:val="ZZNumbers"/>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3FBE29E3"/>
    <w:multiLevelType w:val="multilevel"/>
    <w:tmpl w:val="5AC6EC64"/>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8153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AC2508"/>
    <w:multiLevelType w:val="hybridMultilevel"/>
    <w:tmpl w:val="90BCE190"/>
    <w:lvl w:ilvl="0" w:tplc="E0A824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574D0E"/>
    <w:multiLevelType w:val="multilevel"/>
    <w:tmpl w:val="F57E9870"/>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43E204D8"/>
    <w:multiLevelType w:val="multilevel"/>
    <w:tmpl w:val="F1DC1324"/>
    <w:lvl w:ilvl="0">
      <w:start w:val="6"/>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45C504D"/>
    <w:multiLevelType w:val="multilevel"/>
    <w:tmpl w:val="A61AB0A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452C6F07"/>
    <w:multiLevelType w:val="multilevel"/>
    <w:tmpl w:val="7F3A667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47C463C5"/>
    <w:multiLevelType w:val="multilevel"/>
    <w:tmpl w:val="957892F2"/>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87912B5"/>
    <w:multiLevelType w:val="multilevel"/>
    <w:tmpl w:val="DC38133C"/>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4B9305B0"/>
    <w:multiLevelType w:val="hybridMultilevel"/>
    <w:tmpl w:val="BA864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B22D46"/>
    <w:multiLevelType w:val="multilevel"/>
    <w:tmpl w:val="3AE49638"/>
    <w:lvl w:ilvl="0">
      <w:start w:val="7"/>
      <w:numFmt w:val="decimal"/>
      <w:lvlText w:val="%1"/>
      <w:lvlJc w:val="left"/>
      <w:pPr>
        <w:ind w:left="900" w:hanging="900"/>
      </w:pPr>
      <w:rPr>
        <w:rFonts w:hint="default"/>
      </w:rPr>
    </w:lvl>
    <w:lvl w:ilvl="1">
      <w:start w:val="12"/>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4D4F0C29"/>
    <w:multiLevelType w:val="hybridMultilevel"/>
    <w:tmpl w:val="4FEA1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EE84E52"/>
    <w:multiLevelType w:val="hybridMultilevel"/>
    <w:tmpl w:val="B00061D4"/>
    <w:lvl w:ilvl="0" w:tplc="B664CACA">
      <w:start w:val="1"/>
      <w:numFmt w:val="bullet"/>
      <w:lvlText w:val="–"/>
      <w:lvlJc w:val="left"/>
      <w:pPr>
        <w:ind w:left="587" w:hanging="360"/>
      </w:pPr>
      <w:rPr>
        <w:rFonts w:ascii="Arial" w:hAnsi="Arial" w:hint="default"/>
        <w:color w:val="auto"/>
        <w:sz w:val="20"/>
        <w:szCs w:val="18"/>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8" w15:restartNumberingAfterBreak="0">
    <w:nsid w:val="52BD5530"/>
    <w:multiLevelType w:val="multilevel"/>
    <w:tmpl w:val="B2DAE38A"/>
    <w:lvl w:ilvl="0">
      <w:start w:val="2"/>
      <w:numFmt w:val="decimal"/>
      <w:lvlText w:val="%1"/>
      <w:lvlJc w:val="left"/>
      <w:pPr>
        <w:ind w:left="400" w:hanging="40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41611C2"/>
    <w:multiLevelType w:val="hybridMultilevel"/>
    <w:tmpl w:val="350ED9F2"/>
    <w:styleLink w:val="ZZNumbersdigit"/>
    <w:lvl w:ilvl="0" w:tplc="2830376A">
      <w:start w:val="1"/>
      <w:numFmt w:val="bullet"/>
      <w:lvlText w:val="•"/>
      <w:lvlJc w:val="left"/>
      <w:pPr>
        <w:ind w:left="227" w:hanging="227"/>
      </w:pPr>
      <w:rPr>
        <w:rFonts w:ascii="Calibri" w:hAnsi="Calibri" w:hint="default"/>
      </w:rPr>
    </w:lvl>
    <w:lvl w:ilvl="1" w:tplc="2FC06128">
      <w:start w:val="1"/>
      <w:numFmt w:val="bullet"/>
      <w:lvlRestart w:val="0"/>
      <w:lvlText w:val="–"/>
      <w:lvlJc w:val="left"/>
      <w:pPr>
        <w:tabs>
          <w:tab w:val="num" w:pos="227"/>
        </w:tabs>
        <w:ind w:left="454" w:hanging="227"/>
      </w:pPr>
      <w:rPr>
        <w:rFonts w:ascii="Calibri" w:hAnsi="Calibri" w:hint="default"/>
      </w:rPr>
    </w:lvl>
    <w:lvl w:ilvl="2" w:tplc="9FC01C0A">
      <w:start w:val="1"/>
      <w:numFmt w:val="decimal"/>
      <w:lvlRestart w:val="0"/>
      <w:lvlText w:val=""/>
      <w:lvlJc w:val="left"/>
      <w:pPr>
        <w:ind w:left="0" w:firstLine="0"/>
      </w:pPr>
    </w:lvl>
    <w:lvl w:ilvl="3" w:tplc="0F162888">
      <w:start w:val="1"/>
      <w:numFmt w:val="decimal"/>
      <w:lvlRestart w:val="0"/>
      <w:lvlText w:val=""/>
      <w:lvlJc w:val="left"/>
      <w:pPr>
        <w:ind w:left="0" w:firstLine="0"/>
      </w:pPr>
    </w:lvl>
    <w:lvl w:ilvl="4" w:tplc="405679A6">
      <w:start w:val="1"/>
      <w:numFmt w:val="decimal"/>
      <w:lvlRestart w:val="0"/>
      <w:lvlText w:val=""/>
      <w:lvlJc w:val="left"/>
      <w:pPr>
        <w:ind w:left="0" w:firstLine="0"/>
      </w:pPr>
    </w:lvl>
    <w:lvl w:ilvl="5" w:tplc="752EC19C">
      <w:start w:val="1"/>
      <w:numFmt w:val="decimal"/>
      <w:lvlRestart w:val="0"/>
      <w:lvlText w:val=""/>
      <w:lvlJc w:val="left"/>
      <w:pPr>
        <w:ind w:left="0" w:firstLine="0"/>
      </w:pPr>
    </w:lvl>
    <w:lvl w:ilvl="6" w:tplc="1E2CF598">
      <w:start w:val="1"/>
      <w:numFmt w:val="decimal"/>
      <w:lvlRestart w:val="0"/>
      <w:lvlText w:val=""/>
      <w:lvlJc w:val="left"/>
      <w:pPr>
        <w:ind w:left="0" w:firstLine="0"/>
      </w:pPr>
    </w:lvl>
    <w:lvl w:ilvl="7" w:tplc="6C5228A4">
      <w:start w:val="1"/>
      <w:numFmt w:val="decimal"/>
      <w:lvlRestart w:val="0"/>
      <w:lvlText w:val=""/>
      <w:lvlJc w:val="left"/>
      <w:pPr>
        <w:ind w:left="0" w:firstLine="0"/>
      </w:pPr>
    </w:lvl>
    <w:lvl w:ilvl="8" w:tplc="7A2207DE">
      <w:start w:val="1"/>
      <w:numFmt w:val="decimal"/>
      <w:lvlRestart w:val="0"/>
      <w:lvlText w:val=""/>
      <w:lvlJc w:val="left"/>
      <w:pPr>
        <w:ind w:left="0" w:firstLine="0"/>
      </w:pPr>
    </w:lvl>
  </w:abstractNum>
  <w:abstractNum w:abstractNumId="40" w15:restartNumberingAfterBreak="0">
    <w:nsid w:val="54BA1E5A"/>
    <w:multiLevelType w:val="hybridMultilevel"/>
    <w:tmpl w:val="3C2CC66E"/>
    <w:styleLink w:val="ZZBullets"/>
    <w:lvl w:ilvl="0" w:tplc="0FC20670">
      <w:start w:val="1"/>
      <w:numFmt w:val="bullet"/>
      <w:pStyle w:val="Bullet1"/>
      <w:lvlText w:val=""/>
      <w:lvlJc w:val="left"/>
      <w:pPr>
        <w:ind w:left="720" w:hanging="360"/>
      </w:pPr>
      <w:rPr>
        <w:rFonts w:ascii="Symbol" w:hAnsi="Symbol" w:hint="default"/>
      </w:rPr>
    </w:lvl>
    <w:lvl w:ilvl="1" w:tplc="6050515E">
      <w:start w:val="1"/>
      <w:numFmt w:val="bullet"/>
      <w:pStyle w:val="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DE253C"/>
    <w:multiLevelType w:val="multilevel"/>
    <w:tmpl w:val="7004B29A"/>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5FB74C39"/>
    <w:multiLevelType w:val="multilevel"/>
    <w:tmpl w:val="C27ED59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5FD95CE9"/>
    <w:multiLevelType w:val="hybridMultilevel"/>
    <w:tmpl w:val="1426617C"/>
    <w:lvl w:ilvl="0" w:tplc="875A24D2">
      <w:start w:val="10"/>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22324C0"/>
    <w:multiLevelType w:val="multilevel"/>
    <w:tmpl w:val="04B0321A"/>
    <w:lvl w:ilvl="0">
      <w:start w:val="1"/>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2EF460E"/>
    <w:multiLevelType w:val="hybridMultilevel"/>
    <w:tmpl w:val="B17C739E"/>
    <w:lvl w:ilvl="0" w:tplc="B664CACA">
      <w:start w:val="1"/>
      <w:numFmt w:val="bullet"/>
      <w:lvlText w:val="–"/>
      <w:lvlJc w:val="left"/>
      <w:pPr>
        <w:ind w:left="720" w:hanging="360"/>
      </w:pPr>
      <w:rPr>
        <w:rFonts w:ascii="Arial" w:hAnsi="Arial" w:hint="default"/>
        <w:color w:val="auto"/>
        <w:sz w:val="20"/>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65E127D2"/>
    <w:multiLevelType w:val="hybridMultilevel"/>
    <w:tmpl w:val="E7DEF7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64F2F2B"/>
    <w:multiLevelType w:val="multilevel"/>
    <w:tmpl w:val="7FE634A6"/>
    <w:lvl w:ilvl="0">
      <w:start w:val="9"/>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698A2C17"/>
    <w:multiLevelType w:val="multilevel"/>
    <w:tmpl w:val="65A864B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51" w15:restartNumberingAfterBreak="0">
    <w:nsid w:val="79C5481B"/>
    <w:multiLevelType w:val="hybridMultilevel"/>
    <w:tmpl w:val="10DA0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6B3F41"/>
    <w:multiLevelType w:val="hybridMultilevel"/>
    <w:tmpl w:val="D7B6FD9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3" w15:restartNumberingAfterBreak="0">
    <w:nsid w:val="7D5A2BA8"/>
    <w:multiLevelType w:val="multilevel"/>
    <w:tmpl w:val="50845E18"/>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926113207">
    <w:abstractNumId w:val="40"/>
    <w:lvlOverride w:ilvl="0">
      <w:lvl w:ilvl="0" w:tplc="0FC20670">
        <w:start w:val="1"/>
        <w:numFmt w:val="bullet"/>
        <w:pStyle w:val="Bullet1"/>
        <w:lvlText w:val=""/>
        <w:lvlJc w:val="left"/>
        <w:pPr>
          <w:ind w:left="720" w:hanging="360"/>
        </w:pPr>
        <w:rPr>
          <w:rFonts w:ascii="Symbol" w:hAnsi="Symbol" w:hint="default"/>
          <w:color w:val="auto"/>
          <w:sz w:val="20"/>
          <w:szCs w:val="18"/>
        </w:rPr>
      </w:lvl>
    </w:lvlOverride>
  </w:num>
  <w:num w:numId="2" w16cid:durableId="1270619488">
    <w:abstractNumId w:val="39"/>
  </w:num>
  <w:num w:numId="3" w16cid:durableId="374038137">
    <w:abstractNumId w:val="46"/>
  </w:num>
  <w:num w:numId="4" w16cid:durableId="1670055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1222674">
    <w:abstractNumId w:val="25"/>
  </w:num>
  <w:num w:numId="6" w16cid:durableId="2019038497">
    <w:abstractNumId w:val="22"/>
  </w:num>
  <w:num w:numId="7" w16cid:durableId="319314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667021">
    <w:abstractNumId w:val="49"/>
  </w:num>
  <w:num w:numId="9" w16cid:durableId="1456482839">
    <w:abstractNumId w:val="12"/>
  </w:num>
  <w:num w:numId="10" w16cid:durableId="1701540693">
    <w:abstractNumId w:val="44"/>
  </w:num>
  <w:num w:numId="11" w16cid:durableId="1282228859">
    <w:abstractNumId w:val="31"/>
  </w:num>
  <w:num w:numId="12" w16cid:durableId="1998344338">
    <w:abstractNumId w:val="41"/>
  </w:num>
  <w:num w:numId="13" w16cid:durableId="432478431">
    <w:abstractNumId w:val="24"/>
  </w:num>
  <w:num w:numId="14" w16cid:durableId="11537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0887">
    <w:abstractNumId w:val="50"/>
  </w:num>
  <w:num w:numId="16" w16cid:durableId="1897547681">
    <w:abstractNumId w:val="23"/>
  </w:num>
  <w:num w:numId="17" w16cid:durableId="615794537">
    <w:abstractNumId w:val="4"/>
  </w:num>
  <w:num w:numId="18" w16cid:durableId="1833449580">
    <w:abstractNumId w:val="40"/>
  </w:num>
  <w:num w:numId="19" w16cid:durableId="1493133273">
    <w:abstractNumId w:val="29"/>
  </w:num>
  <w:num w:numId="20" w16cid:durableId="1755592249">
    <w:abstractNumId w:val="1"/>
  </w:num>
  <w:num w:numId="21" w16cid:durableId="547962149">
    <w:abstractNumId w:val="20"/>
  </w:num>
  <w:num w:numId="22" w16cid:durableId="164901541">
    <w:abstractNumId w:val="32"/>
  </w:num>
  <w:num w:numId="23" w16cid:durableId="1041437163">
    <w:abstractNumId w:val="19"/>
  </w:num>
  <w:num w:numId="24" w16cid:durableId="1815902675">
    <w:abstractNumId w:val="14"/>
  </w:num>
  <w:num w:numId="25" w16cid:durableId="69930627">
    <w:abstractNumId w:val="42"/>
  </w:num>
  <w:num w:numId="26" w16cid:durableId="1581717819">
    <w:abstractNumId w:val="30"/>
  </w:num>
  <w:num w:numId="27" w16cid:durableId="1366364771">
    <w:abstractNumId w:val="10"/>
  </w:num>
  <w:num w:numId="28" w16cid:durableId="1444112018">
    <w:abstractNumId w:val="11"/>
  </w:num>
  <w:num w:numId="29" w16cid:durableId="1139764774">
    <w:abstractNumId w:val="52"/>
  </w:num>
  <w:num w:numId="30" w16cid:durableId="361051926">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3024039">
    <w:abstractNumId w:val="15"/>
  </w:num>
  <w:num w:numId="32" w16cid:durableId="16472641">
    <w:abstractNumId w:val="26"/>
  </w:num>
  <w:num w:numId="33" w16cid:durableId="818303494">
    <w:abstractNumId w:val="38"/>
  </w:num>
  <w:num w:numId="34" w16cid:durableId="1748381479">
    <w:abstractNumId w:val="35"/>
  </w:num>
  <w:num w:numId="35" w16cid:durableId="968123451">
    <w:abstractNumId w:val="0"/>
  </w:num>
  <w:num w:numId="36" w16cid:durableId="1690445793">
    <w:abstractNumId w:val="28"/>
  </w:num>
  <w:num w:numId="37" w16cid:durableId="718170017">
    <w:abstractNumId w:val="3"/>
  </w:num>
  <w:num w:numId="38" w16cid:durableId="1788692904">
    <w:abstractNumId w:val="53"/>
  </w:num>
  <w:num w:numId="39" w16cid:durableId="2098942266">
    <w:abstractNumId w:val="33"/>
  </w:num>
  <w:num w:numId="40" w16cid:durableId="1785536828">
    <w:abstractNumId w:val="5"/>
  </w:num>
  <w:num w:numId="41" w16cid:durableId="1659072767">
    <w:abstractNumId w:val="4"/>
    <w:lvlOverride w:ilvl="0">
      <w:startOverride w:val="12"/>
    </w:lvlOverride>
  </w:num>
  <w:num w:numId="42" w16cid:durableId="696924941">
    <w:abstractNumId w:val="16"/>
  </w:num>
  <w:num w:numId="43" w16cid:durableId="701826210">
    <w:abstractNumId w:val="43"/>
  </w:num>
  <w:num w:numId="44" w16cid:durableId="1600720018">
    <w:abstractNumId w:val="48"/>
  </w:num>
  <w:num w:numId="45" w16cid:durableId="1573656951">
    <w:abstractNumId w:val="21"/>
  </w:num>
  <w:num w:numId="46" w16cid:durableId="712970502">
    <w:abstractNumId w:val="8"/>
  </w:num>
  <w:num w:numId="47" w16cid:durableId="1070467845">
    <w:abstractNumId w:val="47"/>
  </w:num>
  <w:num w:numId="48" w16cid:durableId="659579028">
    <w:abstractNumId w:val="34"/>
  </w:num>
  <w:num w:numId="49" w16cid:durableId="1777016275">
    <w:abstractNumId w:val="13"/>
  </w:num>
  <w:num w:numId="50" w16cid:durableId="1232422633">
    <w:abstractNumId w:val="6"/>
    <w:lvlOverride w:ilvl="0">
      <w:lvl w:ilvl="0" w:tplc="8FBE02B4">
        <w:start w:val="1"/>
        <w:numFmt w:val="bullet"/>
        <w:pStyle w:val="Bullet1"/>
        <w:lvlText w:val=""/>
        <w:lvlJc w:val="left"/>
        <w:pPr>
          <w:ind w:left="720" w:hanging="360"/>
        </w:pPr>
        <w:rPr>
          <w:rFonts w:ascii="Symbol" w:hAnsi="Symbol" w:hint="default"/>
          <w:color w:val="auto"/>
        </w:rPr>
      </w:lvl>
    </w:lvlOverride>
  </w:num>
  <w:num w:numId="51" w16cid:durableId="433281104">
    <w:abstractNumId w:val="9"/>
  </w:num>
  <w:num w:numId="52" w16cid:durableId="2110390443">
    <w:abstractNumId w:val="37"/>
  </w:num>
  <w:num w:numId="53" w16cid:durableId="1878856151">
    <w:abstractNumId w:val="18"/>
  </w:num>
  <w:num w:numId="54" w16cid:durableId="363941062">
    <w:abstractNumId w:val="51"/>
  </w:num>
  <w:num w:numId="55" w16cid:durableId="1755514006">
    <w:abstractNumId w:val="17"/>
  </w:num>
  <w:num w:numId="56" w16cid:durableId="1819767416">
    <w:abstractNumId w:val="27"/>
  </w:num>
  <w:num w:numId="57" w16cid:durableId="1037393895">
    <w:abstractNumId w:val="45"/>
  </w:num>
  <w:num w:numId="58" w16cid:durableId="956640928">
    <w:abstractNumId w:val="7"/>
  </w:num>
  <w:num w:numId="59" w16cid:durableId="358169235">
    <w:abstractNumId w:val="6"/>
  </w:num>
  <w:num w:numId="60" w16cid:durableId="82905958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1"/>
    <w:rsid w:val="00000719"/>
    <w:rsid w:val="00000A2F"/>
    <w:rsid w:val="00000E8D"/>
    <w:rsid w:val="0000210D"/>
    <w:rsid w:val="0000269E"/>
    <w:rsid w:val="00002D68"/>
    <w:rsid w:val="000030AF"/>
    <w:rsid w:val="000033F7"/>
    <w:rsid w:val="00003403"/>
    <w:rsid w:val="0000360D"/>
    <w:rsid w:val="00003995"/>
    <w:rsid w:val="0000442C"/>
    <w:rsid w:val="000044AE"/>
    <w:rsid w:val="000045B9"/>
    <w:rsid w:val="00004BCE"/>
    <w:rsid w:val="00004DAE"/>
    <w:rsid w:val="00004FB4"/>
    <w:rsid w:val="00005347"/>
    <w:rsid w:val="00005589"/>
    <w:rsid w:val="000061D7"/>
    <w:rsid w:val="00006481"/>
    <w:rsid w:val="0000651C"/>
    <w:rsid w:val="00006AD0"/>
    <w:rsid w:val="00006CE0"/>
    <w:rsid w:val="000072B6"/>
    <w:rsid w:val="00007ACD"/>
    <w:rsid w:val="0001021B"/>
    <w:rsid w:val="0001025E"/>
    <w:rsid w:val="000108D9"/>
    <w:rsid w:val="000116B7"/>
    <w:rsid w:val="00011B0C"/>
    <w:rsid w:val="00011B2C"/>
    <w:rsid w:val="00011D61"/>
    <w:rsid w:val="00011D89"/>
    <w:rsid w:val="00011E59"/>
    <w:rsid w:val="0001200A"/>
    <w:rsid w:val="000130EF"/>
    <w:rsid w:val="000134C6"/>
    <w:rsid w:val="00013787"/>
    <w:rsid w:val="00013BCE"/>
    <w:rsid w:val="000154FD"/>
    <w:rsid w:val="00015C79"/>
    <w:rsid w:val="0001627E"/>
    <w:rsid w:val="00016638"/>
    <w:rsid w:val="00016C9C"/>
    <w:rsid w:val="00016E5B"/>
    <w:rsid w:val="000174D4"/>
    <w:rsid w:val="00017696"/>
    <w:rsid w:val="00017D45"/>
    <w:rsid w:val="0002004D"/>
    <w:rsid w:val="00020678"/>
    <w:rsid w:val="000209AE"/>
    <w:rsid w:val="00020CB6"/>
    <w:rsid w:val="00020CBA"/>
    <w:rsid w:val="00020D7D"/>
    <w:rsid w:val="00021457"/>
    <w:rsid w:val="00021C54"/>
    <w:rsid w:val="00021FAB"/>
    <w:rsid w:val="000221B3"/>
    <w:rsid w:val="00022271"/>
    <w:rsid w:val="00023399"/>
    <w:rsid w:val="0002340F"/>
    <w:rsid w:val="000235E8"/>
    <w:rsid w:val="00024D89"/>
    <w:rsid w:val="000250B6"/>
    <w:rsid w:val="00025320"/>
    <w:rsid w:val="00025EC7"/>
    <w:rsid w:val="00027F53"/>
    <w:rsid w:val="0003226E"/>
    <w:rsid w:val="000323BC"/>
    <w:rsid w:val="00032531"/>
    <w:rsid w:val="0003299C"/>
    <w:rsid w:val="00032A3E"/>
    <w:rsid w:val="00033D81"/>
    <w:rsid w:val="00033DC9"/>
    <w:rsid w:val="000349C4"/>
    <w:rsid w:val="00035E55"/>
    <w:rsid w:val="00036072"/>
    <w:rsid w:val="000360BD"/>
    <w:rsid w:val="0003613F"/>
    <w:rsid w:val="00036B10"/>
    <w:rsid w:val="00037366"/>
    <w:rsid w:val="00040EE7"/>
    <w:rsid w:val="000413B9"/>
    <w:rsid w:val="00041BF0"/>
    <w:rsid w:val="00041F8C"/>
    <w:rsid w:val="000421D1"/>
    <w:rsid w:val="00042290"/>
    <w:rsid w:val="0004268D"/>
    <w:rsid w:val="00042C8A"/>
    <w:rsid w:val="000443A5"/>
    <w:rsid w:val="0004536B"/>
    <w:rsid w:val="00045CFD"/>
    <w:rsid w:val="0004629D"/>
    <w:rsid w:val="00046B68"/>
    <w:rsid w:val="00046FA1"/>
    <w:rsid w:val="0004714A"/>
    <w:rsid w:val="00047C02"/>
    <w:rsid w:val="00050391"/>
    <w:rsid w:val="0005113E"/>
    <w:rsid w:val="000511B1"/>
    <w:rsid w:val="00051B3F"/>
    <w:rsid w:val="000527DD"/>
    <w:rsid w:val="00052904"/>
    <w:rsid w:val="00052DB2"/>
    <w:rsid w:val="0005341E"/>
    <w:rsid w:val="000536BF"/>
    <w:rsid w:val="00053A96"/>
    <w:rsid w:val="00054253"/>
    <w:rsid w:val="000542CF"/>
    <w:rsid w:val="00054E09"/>
    <w:rsid w:val="0005561A"/>
    <w:rsid w:val="00056520"/>
    <w:rsid w:val="00056AFE"/>
    <w:rsid w:val="00056DB0"/>
    <w:rsid w:val="00056EC4"/>
    <w:rsid w:val="000578B2"/>
    <w:rsid w:val="000578E0"/>
    <w:rsid w:val="00060252"/>
    <w:rsid w:val="00060959"/>
    <w:rsid w:val="00060A97"/>
    <w:rsid w:val="00060C8F"/>
    <w:rsid w:val="00060D86"/>
    <w:rsid w:val="0006100E"/>
    <w:rsid w:val="00062667"/>
    <w:rsid w:val="0006289D"/>
    <w:rsid w:val="0006298A"/>
    <w:rsid w:val="00063585"/>
    <w:rsid w:val="00065CFF"/>
    <w:rsid w:val="00065F21"/>
    <w:rsid w:val="000663CD"/>
    <w:rsid w:val="0006728D"/>
    <w:rsid w:val="000672F9"/>
    <w:rsid w:val="00067E01"/>
    <w:rsid w:val="000708BA"/>
    <w:rsid w:val="000709C2"/>
    <w:rsid w:val="000714A9"/>
    <w:rsid w:val="00072475"/>
    <w:rsid w:val="00072694"/>
    <w:rsid w:val="000726F7"/>
    <w:rsid w:val="000733FE"/>
    <w:rsid w:val="00073571"/>
    <w:rsid w:val="00074219"/>
    <w:rsid w:val="00074ED5"/>
    <w:rsid w:val="000751E1"/>
    <w:rsid w:val="000753A1"/>
    <w:rsid w:val="000757AF"/>
    <w:rsid w:val="00076156"/>
    <w:rsid w:val="00076779"/>
    <w:rsid w:val="0008097C"/>
    <w:rsid w:val="00080E29"/>
    <w:rsid w:val="00080F83"/>
    <w:rsid w:val="00081452"/>
    <w:rsid w:val="0008170F"/>
    <w:rsid w:val="0008172D"/>
    <w:rsid w:val="00081AD5"/>
    <w:rsid w:val="0008204A"/>
    <w:rsid w:val="0008207E"/>
    <w:rsid w:val="00082965"/>
    <w:rsid w:val="000832F4"/>
    <w:rsid w:val="000839C1"/>
    <w:rsid w:val="00083B17"/>
    <w:rsid w:val="00083D65"/>
    <w:rsid w:val="000845C8"/>
    <w:rsid w:val="00084A80"/>
    <w:rsid w:val="0008508E"/>
    <w:rsid w:val="000850C8"/>
    <w:rsid w:val="00086BC0"/>
    <w:rsid w:val="00087951"/>
    <w:rsid w:val="00090648"/>
    <w:rsid w:val="00090FEB"/>
    <w:rsid w:val="0009113B"/>
    <w:rsid w:val="00091708"/>
    <w:rsid w:val="00091D2F"/>
    <w:rsid w:val="00091F67"/>
    <w:rsid w:val="00093402"/>
    <w:rsid w:val="00093486"/>
    <w:rsid w:val="000939ED"/>
    <w:rsid w:val="00093C13"/>
    <w:rsid w:val="00094DA3"/>
    <w:rsid w:val="000960A0"/>
    <w:rsid w:val="00096361"/>
    <w:rsid w:val="00096A12"/>
    <w:rsid w:val="00096CD1"/>
    <w:rsid w:val="00096ECD"/>
    <w:rsid w:val="00096F6F"/>
    <w:rsid w:val="000979F4"/>
    <w:rsid w:val="00097E92"/>
    <w:rsid w:val="000A012C"/>
    <w:rsid w:val="000A0A4B"/>
    <w:rsid w:val="000A0EB9"/>
    <w:rsid w:val="000A13D3"/>
    <w:rsid w:val="000A186C"/>
    <w:rsid w:val="000A1E4B"/>
    <w:rsid w:val="000A1EA4"/>
    <w:rsid w:val="000A2476"/>
    <w:rsid w:val="000A3130"/>
    <w:rsid w:val="000A3ACD"/>
    <w:rsid w:val="000A5863"/>
    <w:rsid w:val="000A5BD3"/>
    <w:rsid w:val="000A641A"/>
    <w:rsid w:val="000A6950"/>
    <w:rsid w:val="000A6E40"/>
    <w:rsid w:val="000B002D"/>
    <w:rsid w:val="000B02D2"/>
    <w:rsid w:val="000B1D68"/>
    <w:rsid w:val="000B1F43"/>
    <w:rsid w:val="000B2EC8"/>
    <w:rsid w:val="000B2F8B"/>
    <w:rsid w:val="000B396F"/>
    <w:rsid w:val="000B3C3A"/>
    <w:rsid w:val="000B3EDB"/>
    <w:rsid w:val="000B543D"/>
    <w:rsid w:val="000B55F9"/>
    <w:rsid w:val="000B58A9"/>
    <w:rsid w:val="000B5BF7"/>
    <w:rsid w:val="000B6BC8"/>
    <w:rsid w:val="000B6DD9"/>
    <w:rsid w:val="000B7803"/>
    <w:rsid w:val="000B7841"/>
    <w:rsid w:val="000C0303"/>
    <w:rsid w:val="000C0769"/>
    <w:rsid w:val="000C0786"/>
    <w:rsid w:val="000C17C8"/>
    <w:rsid w:val="000C1B36"/>
    <w:rsid w:val="000C1D25"/>
    <w:rsid w:val="000C2C5F"/>
    <w:rsid w:val="000C33E0"/>
    <w:rsid w:val="000C3C84"/>
    <w:rsid w:val="000C3E3A"/>
    <w:rsid w:val="000C4022"/>
    <w:rsid w:val="000C42EA"/>
    <w:rsid w:val="000C4546"/>
    <w:rsid w:val="000C4A10"/>
    <w:rsid w:val="000C4DF6"/>
    <w:rsid w:val="000C5518"/>
    <w:rsid w:val="000C593D"/>
    <w:rsid w:val="000C5AC9"/>
    <w:rsid w:val="000C5BB5"/>
    <w:rsid w:val="000C6AC3"/>
    <w:rsid w:val="000C6C55"/>
    <w:rsid w:val="000C7434"/>
    <w:rsid w:val="000C7E0A"/>
    <w:rsid w:val="000D02EC"/>
    <w:rsid w:val="000D1242"/>
    <w:rsid w:val="000D16CA"/>
    <w:rsid w:val="000D1CB8"/>
    <w:rsid w:val="000D1D60"/>
    <w:rsid w:val="000D2846"/>
    <w:rsid w:val="000D2ABA"/>
    <w:rsid w:val="000D2EF2"/>
    <w:rsid w:val="000D3455"/>
    <w:rsid w:val="000D4FE9"/>
    <w:rsid w:val="000D548C"/>
    <w:rsid w:val="000D5630"/>
    <w:rsid w:val="000D5D60"/>
    <w:rsid w:val="000D6B66"/>
    <w:rsid w:val="000D6B7A"/>
    <w:rsid w:val="000D6C9F"/>
    <w:rsid w:val="000D738A"/>
    <w:rsid w:val="000E001C"/>
    <w:rsid w:val="000E00ED"/>
    <w:rsid w:val="000E0970"/>
    <w:rsid w:val="000E1FE1"/>
    <w:rsid w:val="000E21B5"/>
    <w:rsid w:val="000E2A2D"/>
    <w:rsid w:val="000E2AE2"/>
    <w:rsid w:val="000E2D0B"/>
    <w:rsid w:val="000E3CC7"/>
    <w:rsid w:val="000E468E"/>
    <w:rsid w:val="000E610F"/>
    <w:rsid w:val="000E6BD4"/>
    <w:rsid w:val="000E6C3B"/>
    <w:rsid w:val="000E6C4D"/>
    <w:rsid w:val="000E6D6D"/>
    <w:rsid w:val="000E73D6"/>
    <w:rsid w:val="000E7482"/>
    <w:rsid w:val="000E7612"/>
    <w:rsid w:val="000E7CEE"/>
    <w:rsid w:val="000F03FE"/>
    <w:rsid w:val="000F1DB2"/>
    <w:rsid w:val="000F1F1E"/>
    <w:rsid w:val="000F2259"/>
    <w:rsid w:val="000F23E0"/>
    <w:rsid w:val="000F248A"/>
    <w:rsid w:val="000F2506"/>
    <w:rsid w:val="000F2DDA"/>
    <w:rsid w:val="000F2EA0"/>
    <w:rsid w:val="000F3934"/>
    <w:rsid w:val="000F42E6"/>
    <w:rsid w:val="000F46D0"/>
    <w:rsid w:val="000F48E1"/>
    <w:rsid w:val="000F5213"/>
    <w:rsid w:val="000F5244"/>
    <w:rsid w:val="000F5F0C"/>
    <w:rsid w:val="000F63B6"/>
    <w:rsid w:val="000F64DE"/>
    <w:rsid w:val="000F6DF3"/>
    <w:rsid w:val="000F781A"/>
    <w:rsid w:val="00100FA8"/>
    <w:rsid w:val="00101001"/>
    <w:rsid w:val="00101659"/>
    <w:rsid w:val="001016A7"/>
    <w:rsid w:val="00102311"/>
    <w:rsid w:val="001027C3"/>
    <w:rsid w:val="00102BCE"/>
    <w:rsid w:val="00103276"/>
    <w:rsid w:val="0010342C"/>
    <w:rsid w:val="001034D6"/>
    <w:rsid w:val="0010392D"/>
    <w:rsid w:val="00103E35"/>
    <w:rsid w:val="0010447F"/>
    <w:rsid w:val="00104F48"/>
    <w:rsid w:val="00104FE3"/>
    <w:rsid w:val="0010515D"/>
    <w:rsid w:val="001053CF"/>
    <w:rsid w:val="00106403"/>
    <w:rsid w:val="00106B41"/>
    <w:rsid w:val="0010714F"/>
    <w:rsid w:val="00110ADC"/>
    <w:rsid w:val="00110E24"/>
    <w:rsid w:val="00110EE3"/>
    <w:rsid w:val="00111F82"/>
    <w:rsid w:val="001120C5"/>
    <w:rsid w:val="00112FC3"/>
    <w:rsid w:val="00113106"/>
    <w:rsid w:val="00113132"/>
    <w:rsid w:val="00113162"/>
    <w:rsid w:val="001142A4"/>
    <w:rsid w:val="001144F7"/>
    <w:rsid w:val="001148B1"/>
    <w:rsid w:val="00115137"/>
    <w:rsid w:val="0011550D"/>
    <w:rsid w:val="00115BBE"/>
    <w:rsid w:val="00117F9B"/>
    <w:rsid w:val="00120378"/>
    <w:rsid w:val="00120BD3"/>
    <w:rsid w:val="00121578"/>
    <w:rsid w:val="00121656"/>
    <w:rsid w:val="00121A8D"/>
    <w:rsid w:val="00122FA4"/>
    <w:rsid w:val="00122FEA"/>
    <w:rsid w:val="001232BD"/>
    <w:rsid w:val="001237C2"/>
    <w:rsid w:val="0012497C"/>
    <w:rsid w:val="00124AE8"/>
    <w:rsid w:val="00124ED5"/>
    <w:rsid w:val="00124ED9"/>
    <w:rsid w:val="00125C85"/>
    <w:rsid w:val="001267FC"/>
    <w:rsid w:val="00126B4F"/>
    <w:rsid w:val="00126F77"/>
    <w:rsid w:val="001276D3"/>
    <w:rsid w:val="001276FA"/>
    <w:rsid w:val="001277B8"/>
    <w:rsid w:val="001308A8"/>
    <w:rsid w:val="00130F6C"/>
    <w:rsid w:val="001310C7"/>
    <w:rsid w:val="00131306"/>
    <w:rsid w:val="0013163A"/>
    <w:rsid w:val="00132067"/>
    <w:rsid w:val="00132103"/>
    <w:rsid w:val="001337A6"/>
    <w:rsid w:val="00133851"/>
    <w:rsid w:val="00133E4F"/>
    <w:rsid w:val="0013457A"/>
    <w:rsid w:val="00134890"/>
    <w:rsid w:val="001353BB"/>
    <w:rsid w:val="0013684C"/>
    <w:rsid w:val="0013695A"/>
    <w:rsid w:val="001369EF"/>
    <w:rsid w:val="001371E3"/>
    <w:rsid w:val="00137983"/>
    <w:rsid w:val="0014000F"/>
    <w:rsid w:val="0014058B"/>
    <w:rsid w:val="00140AA3"/>
    <w:rsid w:val="001411DC"/>
    <w:rsid w:val="001416B6"/>
    <w:rsid w:val="00141D42"/>
    <w:rsid w:val="00141FF4"/>
    <w:rsid w:val="0014207B"/>
    <w:rsid w:val="00142B5B"/>
    <w:rsid w:val="001442AD"/>
    <w:rsid w:val="001447B3"/>
    <w:rsid w:val="00144FBE"/>
    <w:rsid w:val="00145391"/>
    <w:rsid w:val="00146127"/>
    <w:rsid w:val="00146A5E"/>
    <w:rsid w:val="00146B50"/>
    <w:rsid w:val="00147942"/>
    <w:rsid w:val="00150E2C"/>
    <w:rsid w:val="00151088"/>
    <w:rsid w:val="001512EA"/>
    <w:rsid w:val="00152073"/>
    <w:rsid w:val="00152329"/>
    <w:rsid w:val="00152B26"/>
    <w:rsid w:val="00152C03"/>
    <w:rsid w:val="0015312C"/>
    <w:rsid w:val="001538A4"/>
    <w:rsid w:val="00153A51"/>
    <w:rsid w:val="00154CD3"/>
    <w:rsid w:val="001556D7"/>
    <w:rsid w:val="00156598"/>
    <w:rsid w:val="001577E2"/>
    <w:rsid w:val="00157C46"/>
    <w:rsid w:val="00157ED0"/>
    <w:rsid w:val="00161181"/>
    <w:rsid w:val="001612C5"/>
    <w:rsid w:val="00161752"/>
    <w:rsid w:val="00161939"/>
    <w:rsid w:val="00161AA0"/>
    <w:rsid w:val="00161D2E"/>
    <w:rsid w:val="00161F3E"/>
    <w:rsid w:val="00162093"/>
    <w:rsid w:val="0016243A"/>
    <w:rsid w:val="00162CA9"/>
    <w:rsid w:val="00162D34"/>
    <w:rsid w:val="00162E6E"/>
    <w:rsid w:val="00164732"/>
    <w:rsid w:val="00164B1B"/>
    <w:rsid w:val="001652AC"/>
    <w:rsid w:val="00165459"/>
    <w:rsid w:val="00165A57"/>
    <w:rsid w:val="00165E18"/>
    <w:rsid w:val="001668E4"/>
    <w:rsid w:val="00166985"/>
    <w:rsid w:val="00167392"/>
    <w:rsid w:val="00170677"/>
    <w:rsid w:val="001708A9"/>
    <w:rsid w:val="001712C2"/>
    <w:rsid w:val="00171652"/>
    <w:rsid w:val="00171B9A"/>
    <w:rsid w:val="00171C18"/>
    <w:rsid w:val="0017219F"/>
    <w:rsid w:val="001726BF"/>
    <w:rsid w:val="00172BAF"/>
    <w:rsid w:val="00172CC3"/>
    <w:rsid w:val="00172D95"/>
    <w:rsid w:val="00172ED0"/>
    <w:rsid w:val="00172EE8"/>
    <w:rsid w:val="001731B5"/>
    <w:rsid w:val="00175DB2"/>
    <w:rsid w:val="00175DF4"/>
    <w:rsid w:val="00175E50"/>
    <w:rsid w:val="0017674D"/>
    <w:rsid w:val="001771DD"/>
    <w:rsid w:val="001773CC"/>
    <w:rsid w:val="00177995"/>
    <w:rsid w:val="00177A8C"/>
    <w:rsid w:val="001802D8"/>
    <w:rsid w:val="00180394"/>
    <w:rsid w:val="00180476"/>
    <w:rsid w:val="00180777"/>
    <w:rsid w:val="00180984"/>
    <w:rsid w:val="0018244E"/>
    <w:rsid w:val="0018284B"/>
    <w:rsid w:val="00183356"/>
    <w:rsid w:val="001837E7"/>
    <w:rsid w:val="00183B59"/>
    <w:rsid w:val="00184866"/>
    <w:rsid w:val="001869FD"/>
    <w:rsid w:val="00186B33"/>
    <w:rsid w:val="00191226"/>
    <w:rsid w:val="0019143B"/>
    <w:rsid w:val="00191718"/>
    <w:rsid w:val="00191A6B"/>
    <w:rsid w:val="00191CDD"/>
    <w:rsid w:val="00192AE3"/>
    <w:rsid w:val="00192F9D"/>
    <w:rsid w:val="00193CEF"/>
    <w:rsid w:val="0019527B"/>
    <w:rsid w:val="00196081"/>
    <w:rsid w:val="00196EB8"/>
    <w:rsid w:val="00196EFB"/>
    <w:rsid w:val="001979FF"/>
    <w:rsid w:val="00197A3D"/>
    <w:rsid w:val="00197B17"/>
    <w:rsid w:val="00197FCC"/>
    <w:rsid w:val="001A006F"/>
    <w:rsid w:val="001A00E3"/>
    <w:rsid w:val="001A087B"/>
    <w:rsid w:val="001A0FD2"/>
    <w:rsid w:val="001A1422"/>
    <w:rsid w:val="001A1950"/>
    <w:rsid w:val="001A1C54"/>
    <w:rsid w:val="001A26E5"/>
    <w:rsid w:val="001A3ACE"/>
    <w:rsid w:val="001A3CC4"/>
    <w:rsid w:val="001A3E2B"/>
    <w:rsid w:val="001A4154"/>
    <w:rsid w:val="001A4770"/>
    <w:rsid w:val="001A4783"/>
    <w:rsid w:val="001A49D1"/>
    <w:rsid w:val="001A4A66"/>
    <w:rsid w:val="001A4C01"/>
    <w:rsid w:val="001A54A7"/>
    <w:rsid w:val="001A558E"/>
    <w:rsid w:val="001A57D3"/>
    <w:rsid w:val="001A6272"/>
    <w:rsid w:val="001A752B"/>
    <w:rsid w:val="001A75DD"/>
    <w:rsid w:val="001A77ED"/>
    <w:rsid w:val="001A79BC"/>
    <w:rsid w:val="001A7E1F"/>
    <w:rsid w:val="001A7F3B"/>
    <w:rsid w:val="001B058F"/>
    <w:rsid w:val="001B1C68"/>
    <w:rsid w:val="001B1EA2"/>
    <w:rsid w:val="001B31E1"/>
    <w:rsid w:val="001B3E9D"/>
    <w:rsid w:val="001B446F"/>
    <w:rsid w:val="001B4E7D"/>
    <w:rsid w:val="001B56E3"/>
    <w:rsid w:val="001B6039"/>
    <w:rsid w:val="001B6B48"/>
    <w:rsid w:val="001B6B96"/>
    <w:rsid w:val="001B738B"/>
    <w:rsid w:val="001B7532"/>
    <w:rsid w:val="001C09DB"/>
    <w:rsid w:val="001C0F18"/>
    <w:rsid w:val="001C0F86"/>
    <w:rsid w:val="001C1C6B"/>
    <w:rsid w:val="001C277E"/>
    <w:rsid w:val="001C28DC"/>
    <w:rsid w:val="001C2A72"/>
    <w:rsid w:val="001C2AAB"/>
    <w:rsid w:val="001C31B7"/>
    <w:rsid w:val="001C362B"/>
    <w:rsid w:val="001C4D06"/>
    <w:rsid w:val="001C50FF"/>
    <w:rsid w:val="001C5E1C"/>
    <w:rsid w:val="001C668F"/>
    <w:rsid w:val="001C7128"/>
    <w:rsid w:val="001D006C"/>
    <w:rsid w:val="001D0B75"/>
    <w:rsid w:val="001D0F3A"/>
    <w:rsid w:val="001D1E04"/>
    <w:rsid w:val="001D2007"/>
    <w:rsid w:val="001D2352"/>
    <w:rsid w:val="001D3461"/>
    <w:rsid w:val="001D35F7"/>
    <w:rsid w:val="001D39A5"/>
    <w:rsid w:val="001D3AFF"/>
    <w:rsid w:val="001D3C09"/>
    <w:rsid w:val="001D41B2"/>
    <w:rsid w:val="001D44E8"/>
    <w:rsid w:val="001D4753"/>
    <w:rsid w:val="001D49A1"/>
    <w:rsid w:val="001D5B14"/>
    <w:rsid w:val="001D60EC"/>
    <w:rsid w:val="001D673B"/>
    <w:rsid w:val="001D68B2"/>
    <w:rsid w:val="001D6F59"/>
    <w:rsid w:val="001D7F96"/>
    <w:rsid w:val="001E0B10"/>
    <w:rsid w:val="001E0D20"/>
    <w:rsid w:val="001E23B8"/>
    <w:rsid w:val="001E4152"/>
    <w:rsid w:val="001E44DF"/>
    <w:rsid w:val="001E47EF"/>
    <w:rsid w:val="001E59A1"/>
    <w:rsid w:val="001E60EC"/>
    <w:rsid w:val="001E68A5"/>
    <w:rsid w:val="001E6910"/>
    <w:rsid w:val="001E6BB0"/>
    <w:rsid w:val="001E7282"/>
    <w:rsid w:val="001E772A"/>
    <w:rsid w:val="001E799B"/>
    <w:rsid w:val="001E7CE9"/>
    <w:rsid w:val="001F1F4B"/>
    <w:rsid w:val="001F232D"/>
    <w:rsid w:val="001F24BE"/>
    <w:rsid w:val="001F3171"/>
    <w:rsid w:val="001F361A"/>
    <w:rsid w:val="001F3826"/>
    <w:rsid w:val="001F3A13"/>
    <w:rsid w:val="001F3E6A"/>
    <w:rsid w:val="001F3F9E"/>
    <w:rsid w:val="001F54BD"/>
    <w:rsid w:val="001F5665"/>
    <w:rsid w:val="001F5CD8"/>
    <w:rsid w:val="001F624C"/>
    <w:rsid w:val="001F6946"/>
    <w:rsid w:val="001F6E46"/>
    <w:rsid w:val="001F7C91"/>
    <w:rsid w:val="001F7E8C"/>
    <w:rsid w:val="00200957"/>
    <w:rsid w:val="00200BDC"/>
    <w:rsid w:val="00200BDE"/>
    <w:rsid w:val="00201903"/>
    <w:rsid w:val="0020191C"/>
    <w:rsid w:val="00201F82"/>
    <w:rsid w:val="0020232C"/>
    <w:rsid w:val="0020269C"/>
    <w:rsid w:val="002026C0"/>
    <w:rsid w:val="002033B7"/>
    <w:rsid w:val="002033DB"/>
    <w:rsid w:val="00203D1E"/>
    <w:rsid w:val="00204B2D"/>
    <w:rsid w:val="00204D94"/>
    <w:rsid w:val="00204F07"/>
    <w:rsid w:val="00206463"/>
    <w:rsid w:val="002064BD"/>
    <w:rsid w:val="00206F2F"/>
    <w:rsid w:val="00206F8A"/>
    <w:rsid w:val="00207717"/>
    <w:rsid w:val="00207B94"/>
    <w:rsid w:val="00207E40"/>
    <w:rsid w:val="0021053D"/>
    <w:rsid w:val="00210A92"/>
    <w:rsid w:val="00210EEB"/>
    <w:rsid w:val="0021105C"/>
    <w:rsid w:val="002122B4"/>
    <w:rsid w:val="002123CB"/>
    <w:rsid w:val="00212ADD"/>
    <w:rsid w:val="00212B95"/>
    <w:rsid w:val="002133AD"/>
    <w:rsid w:val="00213E20"/>
    <w:rsid w:val="002146EA"/>
    <w:rsid w:val="00214F0E"/>
    <w:rsid w:val="00215322"/>
    <w:rsid w:val="002153E2"/>
    <w:rsid w:val="00215CC8"/>
    <w:rsid w:val="00215FCE"/>
    <w:rsid w:val="00216C03"/>
    <w:rsid w:val="00217702"/>
    <w:rsid w:val="002179AA"/>
    <w:rsid w:val="00217D5D"/>
    <w:rsid w:val="00220065"/>
    <w:rsid w:val="00220A1A"/>
    <w:rsid w:val="00220C04"/>
    <w:rsid w:val="00220F63"/>
    <w:rsid w:val="0022109D"/>
    <w:rsid w:val="00221939"/>
    <w:rsid w:val="00221BDC"/>
    <w:rsid w:val="00221BF6"/>
    <w:rsid w:val="00222689"/>
    <w:rsid w:val="0022278D"/>
    <w:rsid w:val="00223E4C"/>
    <w:rsid w:val="00223FA7"/>
    <w:rsid w:val="00225F44"/>
    <w:rsid w:val="0022701F"/>
    <w:rsid w:val="0022751F"/>
    <w:rsid w:val="00227804"/>
    <w:rsid w:val="00227C68"/>
    <w:rsid w:val="00230577"/>
    <w:rsid w:val="00231A91"/>
    <w:rsid w:val="00231F22"/>
    <w:rsid w:val="00232287"/>
    <w:rsid w:val="002323E9"/>
    <w:rsid w:val="00232820"/>
    <w:rsid w:val="00233065"/>
    <w:rsid w:val="002333F5"/>
    <w:rsid w:val="00233724"/>
    <w:rsid w:val="002365B4"/>
    <w:rsid w:val="00237936"/>
    <w:rsid w:val="00237EF1"/>
    <w:rsid w:val="0024074C"/>
    <w:rsid w:val="00240956"/>
    <w:rsid w:val="00241088"/>
    <w:rsid w:val="002412A3"/>
    <w:rsid w:val="0024137D"/>
    <w:rsid w:val="0024179D"/>
    <w:rsid w:val="002421F2"/>
    <w:rsid w:val="002425D2"/>
    <w:rsid w:val="0024299E"/>
    <w:rsid w:val="00242F2F"/>
    <w:rsid w:val="002432E1"/>
    <w:rsid w:val="002433E4"/>
    <w:rsid w:val="00243D7D"/>
    <w:rsid w:val="002449C8"/>
    <w:rsid w:val="00244CD7"/>
    <w:rsid w:val="00245058"/>
    <w:rsid w:val="00245208"/>
    <w:rsid w:val="00245E36"/>
    <w:rsid w:val="00246207"/>
    <w:rsid w:val="00246921"/>
    <w:rsid w:val="00246C5E"/>
    <w:rsid w:val="00246DB4"/>
    <w:rsid w:val="00247903"/>
    <w:rsid w:val="00250960"/>
    <w:rsid w:val="00251343"/>
    <w:rsid w:val="00251E87"/>
    <w:rsid w:val="00252715"/>
    <w:rsid w:val="0025273A"/>
    <w:rsid w:val="00252AAF"/>
    <w:rsid w:val="0025305B"/>
    <w:rsid w:val="002536A4"/>
    <w:rsid w:val="00253A3E"/>
    <w:rsid w:val="00254F58"/>
    <w:rsid w:val="00255E2D"/>
    <w:rsid w:val="00255FC5"/>
    <w:rsid w:val="0025673B"/>
    <w:rsid w:val="00257124"/>
    <w:rsid w:val="0025773A"/>
    <w:rsid w:val="002600BD"/>
    <w:rsid w:val="002601EE"/>
    <w:rsid w:val="00260D88"/>
    <w:rsid w:val="002610BC"/>
    <w:rsid w:val="00261958"/>
    <w:rsid w:val="002619B3"/>
    <w:rsid w:val="00261D69"/>
    <w:rsid w:val="002620BC"/>
    <w:rsid w:val="002620C7"/>
    <w:rsid w:val="0026238D"/>
    <w:rsid w:val="002626E4"/>
    <w:rsid w:val="00262802"/>
    <w:rsid w:val="00263269"/>
    <w:rsid w:val="00263898"/>
    <w:rsid w:val="00263A90"/>
    <w:rsid w:val="0026408B"/>
    <w:rsid w:val="0026550F"/>
    <w:rsid w:val="002656FC"/>
    <w:rsid w:val="00265B57"/>
    <w:rsid w:val="002662DF"/>
    <w:rsid w:val="00266536"/>
    <w:rsid w:val="00267C3E"/>
    <w:rsid w:val="00270316"/>
    <w:rsid w:val="00270411"/>
    <w:rsid w:val="002709BB"/>
    <w:rsid w:val="0027131C"/>
    <w:rsid w:val="00271AF6"/>
    <w:rsid w:val="00273B93"/>
    <w:rsid w:val="00273BAC"/>
    <w:rsid w:val="00273F1E"/>
    <w:rsid w:val="002757EE"/>
    <w:rsid w:val="002763B3"/>
    <w:rsid w:val="002765C7"/>
    <w:rsid w:val="002774BD"/>
    <w:rsid w:val="002775CC"/>
    <w:rsid w:val="002802E3"/>
    <w:rsid w:val="002807B1"/>
    <w:rsid w:val="0028154A"/>
    <w:rsid w:val="00281740"/>
    <w:rsid w:val="00281CC7"/>
    <w:rsid w:val="0028213D"/>
    <w:rsid w:val="00282220"/>
    <w:rsid w:val="00282A7F"/>
    <w:rsid w:val="00283148"/>
    <w:rsid w:val="00283788"/>
    <w:rsid w:val="00283F30"/>
    <w:rsid w:val="00284456"/>
    <w:rsid w:val="00284938"/>
    <w:rsid w:val="0028514C"/>
    <w:rsid w:val="002851F3"/>
    <w:rsid w:val="002857AD"/>
    <w:rsid w:val="00285C45"/>
    <w:rsid w:val="002862F1"/>
    <w:rsid w:val="00286326"/>
    <w:rsid w:val="00286F62"/>
    <w:rsid w:val="0029067E"/>
    <w:rsid w:val="002906B5"/>
    <w:rsid w:val="00290872"/>
    <w:rsid w:val="00291373"/>
    <w:rsid w:val="002914A1"/>
    <w:rsid w:val="00291D4C"/>
    <w:rsid w:val="00291F8D"/>
    <w:rsid w:val="00292AD4"/>
    <w:rsid w:val="00292C82"/>
    <w:rsid w:val="00294188"/>
    <w:rsid w:val="002953DD"/>
    <w:rsid w:val="0029554A"/>
    <w:rsid w:val="0029597D"/>
    <w:rsid w:val="00295B0F"/>
    <w:rsid w:val="00295C90"/>
    <w:rsid w:val="002962C3"/>
    <w:rsid w:val="002965A0"/>
    <w:rsid w:val="002967B4"/>
    <w:rsid w:val="002969C3"/>
    <w:rsid w:val="00296F11"/>
    <w:rsid w:val="0029752B"/>
    <w:rsid w:val="002975F0"/>
    <w:rsid w:val="00297833"/>
    <w:rsid w:val="00297965"/>
    <w:rsid w:val="00297ACF"/>
    <w:rsid w:val="00297B27"/>
    <w:rsid w:val="00297F1A"/>
    <w:rsid w:val="00297FB7"/>
    <w:rsid w:val="002A0A9C"/>
    <w:rsid w:val="002A144E"/>
    <w:rsid w:val="002A1623"/>
    <w:rsid w:val="002A1FE5"/>
    <w:rsid w:val="002A26FB"/>
    <w:rsid w:val="002A2DC9"/>
    <w:rsid w:val="002A3DC3"/>
    <w:rsid w:val="002A483C"/>
    <w:rsid w:val="002A6333"/>
    <w:rsid w:val="002A6B42"/>
    <w:rsid w:val="002A6D9B"/>
    <w:rsid w:val="002A73DD"/>
    <w:rsid w:val="002A7408"/>
    <w:rsid w:val="002A78CA"/>
    <w:rsid w:val="002A7C67"/>
    <w:rsid w:val="002A7ED4"/>
    <w:rsid w:val="002B079A"/>
    <w:rsid w:val="002B0C7C"/>
    <w:rsid w:val="002B1161"/>
    <w:rsid w:val="002B1729"/>
    <w:rsid w:val="002B1736"/>
    <w:rsid w:val="002B18BF"/>
    <w:rsid w:val="002B21F9"/>
    <w:rsid w:val="002B25F4"/>
    <w:rsid w:val="002B36C7"/>
    <w:rsid w:val="002B3841"/>
    <w:rsid w:val="002B4541"/>
    <w:rsid w:val="002B46A9"/>
    <w:rsid w:val="002B4826"/>
    <w:rsid w:val="002B4DD4"/>
    <w:rsid w:val="002B5277"/>
    <w:rsid w:val="002B5375"/>
    <w:rsid w:val="002B56B1"/>
    <w:rsid w:val="002B664B"/>
    <w:rsid w:val="002B6F27"/>
    <w:rsid w:val="002B77C1"/>
    <w:rsid w:val="002C06E6"/>
    <w:rsid w:val="002C0DAA"/>
    <w:rsid w:val="002C0ED7"/>
    <w:rsid w:val="002C1465"/>
    <w:rsid w:val="002C2728"/>
    <w:rsid w:val="002C2DEB"/>
    <w:rsid w:val="002C3B9A"/>
    <w:rsid w:val="002C4C95"/>
    <w:rsid w:val="002C5B7C"/>
    <w:rsid w:val="002C5BE7"/>
    <w:rsid w:val="002C5F9A"/>
    <w:rsid w:val="002C60E7"/>
    <w:rsid w:val="002C71E7"/>
    <w:rsid w:val="002D12DC"/>
    <w:rsid w:val="002D1451"/>
    <w:rsid w:val="002D1C30"/>
    <w:rsid w:val="002D1C43"/>
    <w:rsid w:val="002D1E0D"/>
    <w:rsid w:val="002D212B"/>
    <w:rsid w:val="002D3561"/>
    <w:rsid w:val="002D3600"/>
    <w:rsid w:val="002D3CA3"/>
    <w:rsid w:val="002D4940"/>
    <w:rsid w:val="002D5006"/>
    <w:rsid w:val="002D5536"/>
    <w:rsid w:val="002D5732"/>
    <w:rsid w:val="002D5DAD"/>
    <w:rsid w:val="002D69AB"/>
    <w:rsid w:val="002D6A3E"/>
    <w:rsid w:val="002D7647"/>
    <w:rsid w:val="002D79D6"/>
    <w:rsid w:val="002D7C61"/>
    <w:rsid w:val="002E00BB"/>
    <w:rsid w:val="002E012A"/>
    <w:rsid w:val="002E01D0"/>
    <w:rsid w:val="002E04C0"/>
    <w:rsid w:val="002E0F20"/>
    <w:rsid w:val="002E161D"/>
    <w:rsid w:val="002E1E5F"/>
    <w:rsid w:val="002E281E"/>
    <w:rsid w:val="002E2845"/>
    <w:rsid w:val="002E28A2"/>
    <w:rsid w:val="002E296D"/>
    <w:rsid w:val="002E3100"/>
    <w:rsid w:val="002E35AB"/>
    <w:rsid w:val="002E3621"/>
    <w:rsid w:val="002E4484"/>
    <w:rsid w:val="002E507D"/>
    <w:rsid w:val="002E52AF"/>
    <w:rsid w:val="002E6930"/>
    <w:rsid w:val="002E6C95"/>
    <w:rsid w:val="002E6E85"/>
    <w:rsid w:val="002E79CF"/>
    <w:rsid w:val="002E7C36"/>
    <w:rsid w:val="002F01EF"/>
    <w:rsid w:val="002F0266"/>
    <w:rsid w:val="002F02D5"/>
    <w:rsid w:val="002F0D9A"/>
    <w:rsid w:val="002F0EDA"/>
    <w:rsid w:val="002F0FF9"/>
    <w:rsid w:val="002F1927"/>
    <w:rsid w:val="002F29F1"/>
    <w:rsid w:val="002F2C45"/>
    <w:rsid w:val="002F2FD5"/>
    <w:rsid w:val="002F363D"/>
    <w:rsid w:val="002F3D32"/>
    <w:rsid w:val="002F5F31"/>
    <w:rsid w:val="002F5F46"/>
    <w:rsid w:val="002F7B76"/>
    <w:rsid w:val="0030046F"/>
    <w:rsid w:val="00300C8D"/>
    <w:rsid w:val="00301043"/>
    <w:rsid w:val="00301189"/>
    <w:rsid w:val="003017A3"/>
    <w:rsid w:val="00302216"/>
    <w:rsid w:val="003022E7"/>
    <w:rsid w:val="0030248A"/>
    <w:rsid w:val="00303021"/>
    <w:rsid w:val="0030313E"/>
    <w:rsid w:val="003036B5"/>
    <w:rsid w:val="0030394A"/>
    <w:rsid w:val="00303D39"/>
    <w:rsid w:val="00303E53"/>
    <w:rsid w:val="0030438E"/>
    <w:rsid w:val="00305CC1"/>
    <w:rsid w:val="00305CDD"/>
    <w:rsid w:val="00306E5F"/>
    <w:rsid w:val="00307552"/>
    <w:rsid w:val="00307E14"/>
    <w:rsid w:val="003110F2"/>
    <w:rsid w:val="00312D00"/>
    <w:rsid w:val="00312F3B"/>
    <w:rsid w:val="003130D4"/>
    <w:rsid w:val="00314054"/>
    <w:rsid w:val="0031409A"/>
    <w:rsid w:val="003153A8"/>
    <w:rsid w:val="00315802"/>
    <w:rsid w:val="00315B9B"/>
    <w:rsid w:val="003165B8"/>
    <w:rsid w:val="00316F27"/>
    <w:rsid w:val="00317286"/>
    <w:rsid w:val="003172FF"/>
    <w:rsid w:val="0031744D"/>
    <w:rsid w:val="003174D2"/>
    <w:rsid w:val="00317820"/>
    <w:rsid w:val="00317F20"/>
    <w:rsid w:val="003200C0"/>
    <w:rsid w:val="003202BD"/>
    <w:rsid w:val="003206D2"/>
    <w:rsid w:val="00321223"/>
    <w:rsid w:val="003213E8"/>
    <w:rsid w:val="003214F1"/>
    <w:rsid w:val="00322E4B"/>
    <w:rsid w:val="00322F37"/>
    <w:rsid w:val="0032472A"/>
    <w:rsid w:val="00324D47"/>
    <w:rsid w:val="00326054"/>
    <w:rsid w:val="00326462"/>
    <w:rsid w:val="0032682E"/>
    <w:rsid w:val="00326D83"/>
    <w:rsid w:val="00327586"/>
    <w:rsid w:val="00327870"/>
    <w:rsid w:val="00327C96"/>
    <w:rsid w:val="00330A5E"/>
    <w:rsid w:val="003316E8"/>
    <w:rsid w:val="003321B7"/>
    <w:rsid w:val="0033259D"/>
    <w:rsid w:val="00332A0E"/>
    <w:rsid w:val="003333D2"/>
    <w:rsid w:val="00334247"/>
    <w:rsid w:val="003342B9"/>
    <w:rsid w:val="00334686"/>
    <w:rsid w:val="00334B85"/>
    <w:rsid w:val="00334C2F"/>
    <w:rsid w:val="00334FFC"/>
    <w:rsid w:val="003359AD"/>
    <w:rsid w:val="0033602F"/>
    <w:rsid w:val="0033646D"/>
    <w:rsid w:val="00337339"/>
    <w:rsid w:val="00337580"/>
    <w:rsid w:val="00340162"/>
    <w:rsid w:val="00340345"/>
    <w:rsid w:val="003406C6"/>
    <w:rsid w:val="00340D86"/>
    <w:rsid w:val="003418CC"/>
    <w:rsid w:val="00341C89"/>
    <w:rsid w:val="003422F8"/>
    <w:rsid w:val="003434EE"/>
    <w:rsid w:val="00343D25"/>
    <w:rsid w:val="003447F3"/>
    <w:rsid w:val="003459BD"/>
    <w:rsid w:val="00346159"/>
    <w:rsid w:val="003461CF"/>
    <w:rsid w:val="003467E6"/>
    <w:rsid w:val="00346F7B"/>
    <w:rsid w:val="0034788E"/>
    <w:rsid w:val="0035077F"/>
    <w:rsid w:val="00350C5D"/>
    <w:rsid w:val="00350C6F"/>
    <w:rsid w:val="00350D38"/>
    <w:rsid w:val="00351B36"/>
    <w:rsid w:val="00352CC7"/>
    <w:rsid w:val="003533E7"/>
    <w:rsid w:val="003539EB"/>
    <w:rsid w:val="0035737C"/>
    <w:rsid w:val="0035799C"/>
    <w:rsid w:val="00357B4E"/>
    <w:rsid w:val="003601FE"/>
    <w:rsid w:val="0036155D"/>
    <w:rsid w:val="00362E3C"/>
    <w:rsid w:val="003635B0"/>
    <w:rsid w:val="00363A9E"/>
    <w:rsid w:val="00363ACE"/>
    <w:rsid w:val="00363D23"/>
    <w:rsid w:val="00364214"/>
    <w:rsid w:val="00365AD4"/>
    <w:rsid w:val="00367289"/>
    <w:rsid w:val="00370A1A"/>
    <w:rsid w:val="003716FD"/>
    <w:rsid w:val="00371F9F"/>
    <w:rsid w:val="0037204B"/>
    <w:rsid w:val="00372F14"/>
    <w:rsid w:val="003732A2"/>
    <w:rsid w:val="00373744"/>
    <w:rsid w:val="003738D1"/>
    <w:rsid w:val="00374486"/>
    <w:rsid w:val="003744CF"/>
    <w:rsid w:val="003744E5"/>
    <w:rsid w:val="00374717"/>
    <w:rsid w:val="003752A2"/>
    <w:rsid w:val="0037676C"/>
    <w:rsid w:val="00377067"/>
    <w:rsid w:val="00377449"/>
    <w:rsid w:val="00377714"/>
    <w:rsid w:val="00377FEC"/>
    <w:rsid w:val="003802BA"/>
    <w:rsid w:val="00380B1C"/>
    <w:rsid w:val="00381043"/>
    <w:rsid w:val="003811F1"/>
    <w:rsid w:val="00381577"/>
    <w:rsid w:val="00381B9D"/>
    <w:rsid w:val="003829E5"/>
    <w:rsid w:val="003838F1"/>
    <w:rsid w:val="00383BFB"/>
    <w:rsid w:val="00386109"/>
    <w:rsid w:val="00386335"/>
    <w:rsid w:val="00386427"/>
    <w:rsid w:val="003865EA"/>
    <w:rsid w:val="00386652"/>
    <w:rsid w:val="003867AB"/>
    <w:rsid w:val="003868B0"/>
    <w:rsid w:val="00386944"/>
    <w:rsid w:val="00386A30"/>
    <w:rsid w:val="00386BA0"/>
    <w:rsid w:val="00387694"/>
    <w:rsid w:val="0039052F"/>
    <w:rsid w:val="0039081D"/>
    <w:rsid w:val="00390F98"/>
    <w:rsid w:val="0039166A"/>
    <w:rsid w:val="0039222B"/>
    <w:rsid w:val="003925FE"/>
    <w:rsid w:val="00392A3C"/>
    <w:rsid w:val="00392CF7"/>
    <w:rsid w:val="00393058"/>
    <w:rsid w:val="003944C3"/>
    <w:rsid w:val="003956CC"/>
    <w:rsid w:val="00395BBD"/>
    <w:rsid w:val="00395C9A"/>
    <w:rsid w:val="00396E1F"/>
    <w:rsid w:val="003970BB"/>
    <w:rsid w:val="00397B96"/>
    <w:rsid w:val="003A0709"/>
    <w:rsid w:val="003A0853"/>
    <w:rsid w:val="003A0CDA"/>
    <w:rsid w:val="003A1E2A"/>
    <w:rsid w:val="003A2821"/>
    <w:rsid w:val="003A2BC9"/>
    <w:rsid w:val="003A2EFF"/>
    <w:rsid w:val="003A3376"/>
    <w:rsid w:val="003A43A1"/>
    <w:rsid w:val="003A4C95"/>
    <w:rsid w:val="003A4EB4"/>
    <w:rsid w:val="003A5D0F"/>
    <w:rsid w:val="003A6027"/>
    <w:rsid w:val="003A6830"/>
    <w:rsid w:val="003A6B67"/>
    <w:rsid w:val="003A6D3E"/>
    <w:rsid w:val="003A6F6B"/>
    <w:rsid w:val="003A75F9"/>
    <w:rsid w:val="003A7EE7"/>
    <w:rsid w:val="003A7F3D"/>
    <w:rsid w:val="003B06EA"/>
    <w:rsid w:val="003B0C32"/>
    <w:rsid w:val="003B1151"/>
    <w:rsid w:val="003B1291"/>
    <w:rsid w:val="003B130F"/>
    <w:rsid w:val="003B13B6"/>
    <w:rsid w:val="003B14C3"/>
    <w:rsid w:val="003B15E6"/>
    <w:rsid w:val="003B19E1"/>
    <w:rsid w:val="003B1B0F"/>
    <w:rsid w:val="003B1B48"/>
    <w:rsid w:val="003B22EF"/>
    <w:rsid w:val="003B2577"/>
    <w:rsid w:val="003B37EA"/>
    <w:rsid w:val="003B3BFE"/>
    <w:rsid w:val="003B4087"/>
    <w:rsid w:val="003B408A"/>
    <w:rsid w:val="003B452A"/>
    <w:rsid w:val="003B4552"/>
    <w:rsid w:val="003B48C7"/>
    <w:rsid w:val="003B4EFA"/>
    <w:rsid w:val="003B5B11"/>
    <w:rsid w:val="003B6729"/>
    <w:rsid w:val="003B6B15"/>
    <w:rsid w:val="003B6DB9"/>
    <w:rsid w:val="003B7351"/>
    <w:rsid w:val="003B7EBB"/>
    <w:rsid w:val="003C08A2"/>
    <w:rsid w:val="003C1019"/>
    <w:rsid w:val="003C13FA"/>
    <w:rsid w:val="003C2045"/>
    <w:rsid w:val="003C2122"/>
    <w:rsid w:val="003C2378"/>
    <w:rsid w:val="003C24E7"/>
    <w:rsid w:val="003C3781"/>
    <w:rsid w:val="003C3A7D"/>
    <w:rsid w:val="003C43A1"/>
    <w:rsid w:val="003C4C7C"/>
    <w:rsid w:val="003C4FC0"/>
    <w:rsid w:val="003C55F4"/>
    <w:rsid w:val="003C595E"/>
    <w:rsid w:val="003C5FC6"/>
    <w:rsid w:val="003C67F0"/>
    <w:rsid w:val="003C6D3B"/>
    <w:rsid w:val="003C7897"/>
    <w:rsid w:val="003C7A3F"/>
    <w:rsid w:val="003C7DBD"/>
    <w:rsid w:val="003D0B9E"/>
    <w:rsid w:val="003D1E51"/>
    <w:rsid w:val="003D20FC"/>
    <w:rsid w:val="003D2766"/>
    <w:rsid w:val="003D28C7"/>
    <w:rsid w:val="003D2A74"/>
    <w:rsid w:val="003D2AFA"/>
    <w:rsid w:val="003D328E"/>
    <w:rsid w:val="003D3382"/>
    <w:rsid w:val="003D3D88"/>
    <w:rsid w:val="003D3E8F"/>
    <w:rsid w:val="003D4F22"/>
    <w:rsid w:val="003D4FAF"/>
    <w:rsid w:val="003D5842"/>
    <w:rsid w:val="003D6475"/>
    <w:rsid w:val="003D6A77"/>
    <w:rsid w:val="003D6E88"/>
    <w:rsid w:val="003D6EE6"/>
    <w:rsid w:val="003D777C"/>
    <w:rsid w:val="003E00E6"/>
    <w:rsid w:val="003E18DA"/>
    <w:rsid w:val="003E2035"/>
    <w:rsid w:val="003E2632"/>
    <w:rsid w:val="003E2661"/>
    <w:rsid w:val="003E375C"/>
    <w:rsid w:val="003E3AEC"/>
    <w:rsid w:val="003E3AF4"/>
    <w:rsid w:val="003E3BCA"/>
    <w:rsid w:val="003E3D51"/>
    <w:rsid w:val="003E4086"/>
    <w:rsid w:val="003E437F"/>
    <w:rsid w:val="003E5FFB"/>
    <w:rsid w:val="003E639E"/>
    <w:rsid w:val="003E6453"/>
    <w:rsid w:val="003E66FD"/>
    <w:rsid w:val="003E6E89"/>
    <w:rsid w:val="003E6F40"/>
    <w:rsid w:val="003E71E5"/>
    <w:rsid w:val="003E733B"/>
    <w:rsid w:val="003E73C7"/>
    <w:rsid w:val="003E78BA"/>
    <w:rsid w:val="003E7E4D"/>
    <w:rsid w:val="003F009B"/>
    <w:rsid w:val="003F0445"/>
    <w:rsid w:val="003F08AE"/>
    <w:rsid w:val="003F0CF0"/>
    <w:rsid w:val="003F149A"/>
    <w:rsid w:val="003F14B1"/>
    <w:rsid w:val="003F24E4"/>
    <w:rsid w:val="003F2B20"/>
    <w:rsid w:val="003F2CD1"/>
    <w:rsid w:val="003F3289"/>
    <w:rsid w:val="003F3C62"/>
    <w:rsid w:val="003F3DA8"/>
    <w:rsid w:val="003F3EBD"/>
    <w:rsid w:val="003F464B"/>
    <w:rsid w:val="003F5B31"/>
    <w:rsid w:val="003F5CB9"/>
    <w:rsid w:val="003F665C"/>
    <w:rsid w:val="003F6983"/>
    <w:rsid w:val="003F7CA0"/>
    <w:rsid w:val="004002E1"/>
    <w:rsid w:val="00400797"/>
    <w:rsid w:val="00400B83"/>
    <w:rsid w:val="004013C7"/>
    <w:rsid w:val="00401B5A"/>
    <w:rsid w:val="00401FCF"/>
    <w:rsid w:val="004024E4"/>
    <w:rsid w:val="0040269C"/>
    <w:rsid w:val="00403534"/>
    <w:rsid w:val="00406271"/>
    <w:rsid w:val="00406285"/>
    <w:rsid w:val="00406B48"/>
    <w:rsid w:val="004070BD"/>
    <w:rsid w:val="0040726D"/>
    <w:rsid w:val="0040755B"/>
    <w:rsid w:val="0040796C"/>
    <w:rsid w:val="00410512"/>
    <w:rsid w:val="004115A2"/>
    <w:rsid w:val="0041197E"/>
    <w:rsid w:val="0041469B"/>
    <w:rsid w:val="004148F9"/>
    <w:rsid w:val="004156A8"/>
    <w:rsid w:val="00417166"/>
    <w:rsid w:val="00417920"/>
    <w:rsid w:val="00417BF4"/>
    <w:rsid w:val="0042084E"/>
    <w:rsid w:val="00420B9B"/>
    <w:rsid w:val="00421E15"/>
    <w:rsid w:val="00421EEF"/>
    <w:rsid w:val="00422A8A"/>
    <w:rsid w:val="00423B58"/>
    <w:rsid w:val="00424B87"/>
    <w:rsid w:val="00424D65"/>
    <w:rsid w:val="00425052"/>
    <w:rsid w:val="0042526D"/>
    <w:rsid w:val="004256ED"/>
    <w:rsid w:val="00425D47"/>
    <w:rsid w:val="00425E93"/>
    <w:rsid w:val="00425FCB"/>
    <w:rsid w:val="0042698D"/>
    <w:rsid w:val="00426EC1"/>
    <w:rsid w:val="00427CFA"/>
    <w:rsid w:val="00430393"/>
    <w:rsid w:val="00430984"/>
    <w:rsid w:val="00431806"/>
    <w:rsid w:val="0043188F"/>
    <w:rsid w:val="00431A70"/>
    <w:rsid w:val="00431A82"/>
    <w:rsid w:val="00431F42"/>
    <w:rsid w:val="00432381"/>
    <w:rsid w:val="004332F5"/>
    <w:rsid w:val="00433FA8"/>
    <w:rsid w:val="004348CD"/>
    <w:rsid w:val="00434B9B"/>
    <w:rsid w:val="00434E21"/>
    <w:rsid w:val="00434EBA"/>
    <w:rsid w:val="00435DA3"/>
    <w:rsid w:val="00436B84"/>
    <w:rsid w:val="00436DB6"/>
    <w:rsid w:val="00436EEB"/>
    <w:rsid w:val="004377A2"/>
    <w:rsid w:val="00440624"/>
    <w:rsid w:val="004410B2"/>
    <w:rsid w:val="00441397"/>
    <w:rsid w:val="00442A3C"/>
    <w:rsid w:val="00442C6C"/>
    <w:rsid w:val="00443CBE"/>
    <w:rsid w:val="00443E8A"/>
    <w:rsid w:val="00444104"/>
    <w:rsid w:val="004441BC"/>
    <w:rsid w:val="0044452B"/>
    <w:rsid w:val="004447C9"/>
    <w:rsid w:val="00444BBC"/>
    <w:rsid w:val="00446013"/>
    <w:rsid w:val="0044647A"/>
    <w:rsid w:val="0044649F"/>
    <w:rsid w:val="00446828"/>
    <w:rsid w:val="0044683C"/>
    <w:rsid w:val="004468B4"/>
    <w:rsid w:val="00446BFF"/>
    <w:rsid w:val="00446D86"/>
    <w:rsid w:val="00446DE1"/>
    <w:rsid w:val="00446F7D"/>
    <w:rsid w:val="004473FB"/>
    <w:rsid w:val="00447F36"/>
    <w:rsid w:val="00450B29"/>
    <w:rsid w:val="00450C02"/>
    <w:rsid w:val="00451AA0"/>
    <w:rsid w:val="0045224E"/>
    <w:rsid w:val="0045230A"/>
    <w:rsid w:val="004525EB"/>
    <w:rsid w:val="004529E2"/>
    <w:rsid w:val="00453B6E"/>
    <w:rsid w:val="00453D12"/>
    <w:rsid w:val="004541CB"/>
    <w:rsid w:val="00454536"/>
    <w:rsid w:val="00454750"/>
    <w:rsid w:val="00454AD0"/>
    <w:rsid w:val="00454B6D"/>
    <w:rsid w:val="00455703"/>
    <w:rsid w:val="00455A81"/>
    <w:rsid w:val="00455CE8"/>
    <w:rsid w:val="00456AE4"/>
    <w:rsid w:val="0045715B"/>
    <w:rsid w:val="00457337"/>
    <w:rsid w:val="00457948"/>
    <w:rsid w:val="004579AB"/>
    <w:rsid w:val="00457AF4"/>
    <w:rsid w:val="00457B18"/>
    <w:rsid w:val="00460037"/>
    <w:rsid w:val="004604E1"/>
    <w:rsid w:val="004613F9"/>
    <w:rsid w:val="0046150E"/>
    <w:rsid w:val="00461585"/>
    <w:rsid w:val="0046176B"/>
    <w:rsid w:val="004618B9"/>
    <w:rsid w:val="00461F39"/>
    <w:rsid w:val="004622AC"/>
    <w:rsid w:val="0046253C"/>
    <w:rsid w:val="00462E3D"/>
    <w:rsid w:val="00463173"/>
    <w:rsid w:val="0046324F"/>
    <w:rsid w:val="00463321"/>
    <w:rsid w:val="00463BAE"/>
    <w:rsid w:val="0046438C"/>
    <w:rsid w:val="00464DF5"/>
    <w:rsid w:val="00465741"/>
    <w:rsid w:val="0046618D"/>
    <w:rsid w:val="00466824"/>
    <w:rsid w:val="004668FB"/>
    <w:rsid w:val="004669CA"/>
    <w:rsid w:val="00466E79"/>
    <w:rsid w:val="00466EEE"/>
    <w:rsid w:val="00466FD2"/>
    <w:rsid w:val="0047065A"/>
    <w:rsid w:val="0047079F"/>
    <w:rsid w:val="00470D7D"/>
    <w:rsid w:val="00470F03"/>
    <w:rsid w:val="00471435"/>
    <w:rsid w:val="0047159D"/>
    <w:rsid w:val="0047298C"/>
    <w:rsid w:val="00472EB5"/>
    <w:rsid w:val="004733DC"/>
    <w:rsid w:val="0047372D"/>
    <w:rsid w:val="00473BA3"/>
    <w:rsid w:val="004740C4"/>
    <w:rsid w:val="004743DD"/>
    <w:rsid w:val="00474CEA"/>
    <w:rsid w:val="00475FC0"/>
    <w:rsid w:val="00476765"/>
    <w:rsid w:val="00477DCD"/>
    <w:rsid w:val="00480797"/>
    <w:rsid w:val="00481553"/>
    <w:rsid w:val="004819A7"/>
    <w:rsid w:val="00481D20"/>
    <w:rsid w:val="0048230C"/>
    <w:rsid w:val="00482B64"/>
    <w:rsid w:val="00482DFF"/>
    <w:rsid w:val="00483968"/>
    <w:rsid w:val="004841BE"/>
    <w:rsid w:val="00484F86"/>
    <w:rsid w:val="004852DC"/>
    <w:rsid w:val="004862D8"/>
    <w:rsid w:val="00486ADA"/>
    <w:rsid w:val="00487149"/>
    <w:rsid w:val="00487C87"/>
    <w:rsid w:val="00490746"/>
    <w:rsid w:val="00490852"/>
    <w:rsid w:val="00491C9C"/>
    <w:rsid w:val="00492753"/>
    <w:rsid w:val="00492758"/>
    <w:rsid w:val="00492884"/>
    <w:rsid w:val="00492F30"/>
    <w:rsid w:val="004933CD"/>
    <w:rsid w:val="00493802"/>
    <w:rsid w:val="004946F4"/>
    <w:rsid w:val="0049487E"/>
    <w:rsid w:val="004948B9"/>
    <w:rsid w:val="00494FF9"/>
    <w:rsid w:val="00495210"/>
    <w:rsid w:val="00495B83"/>
    <w:rsid w:val="004971F6"/>
    <w:rsid w:val="0049721E"/>
    <w:rsid w:val="00497621"/>
    <w:rsid w:val="00497E8C"/>
    <w:rsid w:val="004A0983"/>
    <w:rsid w:val="004A160D"/>
    <w:rsid w:val="004A1E16"/>
    <w:rsid w:val="004A2017"/>
    <w:rsid w:val="004A2076"/>
    <w:rsid w:val="004A27BD"/>
    <w:rsid w:val="004A292A"/>
    <w:rsid w:val="004A3BBA"/>
    <w:rsid w:val="004A3D89"/>
    <w:rsid w:val="004A3E81"/>
    <w:rsid w:val="004A4195"/>
    <w:rsid w:val="004A4AB3"/>
    <w:rsid w:val="004A5568"/>
    <w:rsid w:val="004A5A0A"/>
    <w:rsid w:val="004A5C62"/>
    <w:rsid w:val="004A5CE5"/>
    <w:rsid w:val="004A6536"/>
    <w:rsid w:val="004A66FB"/>
    <w:rsid w:val="004A6B0E"/>
    <w:rsid w:val="004A6D4A"/>
    <w:rsid w:val="004A707A"/>
    <w:rsid w:val="004A707D"/>
    <w:rsid w:val="004A7140"/>
    <w:rsid w:val="004A7220"/>
    <w:rsid w:val="004A78B1"/>
    <w:rsid w:val="004A7973"/>
    <w:rsid w:val="004A79D8"/>
    <w:rsid w:val="004A7A08"/>
    <w:rsid w:val="004A7ADD"/>
    <w:rsid w:val="004B0407"/>
    <w:rsid w:val="004B0974"/>
    <w:rsid w:val="004B0AA3"/>
    <w:rsid w:val="004B0AB0"/>
    <w:rsid w:val="004B0BB6"/>
    <w:rsid w:val="004B0E77"/>
    <w:rsid w:val="004B0EA8"/>
    <w:rsid w:val="004B14F8"/>
    <w:rsid w:val="004B1554"/>
    <w:rsid w:val="004B16AA"/>
    <w:rsid w:val="004B1E0E"/>
    <w:rsid w:val="004B1F8B"/>
    <w:rsid w:val="004B2446"/>
    <w:rsid w:val="004B366B"/>
    <w:rsid w:val="004B37B8"/>
    <w:rsid w:val="004B3A28"/>
    <w:rsid w:val="004B4185"/>
    <w:rsid w:val="004B4189"/>
    <w:rsid w:val="004B5571"/>
    <w:rsid w:val="004B5968"/>
    <w:rsid w:val="004B5CD6"/>
    <w:rsid w:val="004B5F8C"/>
    <w:rsid w:val="004B63B5"/>
    <w:rsid w:val="004B64B2"/>
    <w:rsid w:val="004B7118"/>
    <w:rsid w:val="004B72D6"/>
    <w:rsid w:val="004B7D9A"/>
    <w:rsid w:val="004C0103"/>
    <w:rsid w:val="004C014B"/>
    <w:rsid w:val="004C23BE"/>
    <w:rsid w:val="004C3E38"/>
    <w:rsid w:val="004C43B1"/>
    <w:rsid w:val="004C5541"/>
    <w:rsid w:val="004C5A05"/>
    <w:rsid w:val="004C5D04"/>
    <w:rsid w:val="004C6EEE"/>
    <w:rsid w:val="004C702B"/>
    <w:rsid w:val="004C74B2"/>
    <w:rsid w:val="004C76F3"/>
    <w:rsid w:val="004D0033"/>
    <w:rsid w:val="004D016B"/>
    <w:rsid w:val="004D0B45"/>
    <w:rsid w:val="004D0DF3"/>
    <w:rsid w:val="004D137D"/>
    <w:rsid w:val="004D1606"/>
    <w:rsid w:val="004D1B22"/>
    <w:rsid w:val="004D210C"/>
    <w:rsid w:val="004D22F2"/>
    <w:rsid w:val="004D23CC"/>
    <w:rsid w:val="004D263F"/>
    <w:rsid w:val="004D2847"/>
    <w:rsid w:val="004D3172"/>
    <w:rsid w:val="004D36F2"/>
    <w:rsid w:val="004D476C"/>
    <w:rsid w:val="004D4B20"/>
    <w:rsid w:val="004D4C8E"/>
    <w:rsid w:val="004D5581"/>
    <w:rsid w:val="004D55B5"/>
    <w:rsid w:val="004D6272"/>
    <w:rsid w:val="004D6CF7"/>
    <w:rsid w:val="004D7184"/>
    <w:rsid w:val="004E013C"/>
    <w:rsid w:val="004E0EFE"/>
    <w:rsid w:val="004E1106"/>
    <w:rsid w:val="004E138F"/>
    <w:rsid w:val="004E196B"/>
    <w:rsid w:val="004E1E9A"/>
    <w:rsid w:val="004E1EE6"/>
    <w:rsid w:val="004E205A"/>
    <w:rsid w:val="004E20DC"/>
    <w:rsid w:val="004E2143"/>
    <w:rsid w:val="004E2510"/>
    <w:rsid w:val="004E4358"/>
    <w:rsid w:val="004E4649"/>
    <w:rsid w:val="004E5C2B"/>
    <w:rsid w:val="004E7404"/>
    <w:rsid w:val="004E7AE1"/>
    <w:rsid w:val="004E7CBD"/>
    <w:rsid w:val="004F00DD"/>
    <w:rsid w:val="004F0163"/>
    <w:rsid w:val="004F0962"/>
    <w:rsid w:val="004F0F3F"/>
    <w:rsid w:val="004F164D"/>
    <w:rsid w:val="004F2133"/>
    <w:rsid w:val="004F27E4"/>
    <w:rsid w:val="004F3873"/>
    <w:rsid w:val="004F3D45"/>
    <w:rsid w:val="004F4175"/>
    <w:rsid w:val="004F4986"/>
    <w:rsid w:val="004F4D1E"/>
    <w:rsid w:val="004F5323"/>
    <w:rsid w:val="004F5398"/>
    <w:rsid w:val="004F55F1"/>
    <w:rsid w:val="004F66F8"/>
    <w:rsid w:val="004F6936"/>
    <w:rsid w:val="004F6EF9"/>
    <w:rsid w:val="004F721D"/>
    <w:rsid w:val="004F7472"/>
    <w:rsid w:val="00500677"/>
    <w:rsid w:val="00500C13"/>
    <w:rsid w:val="00500F06"/>
    <w:rsid w:val="00500F1E"/>
    <w:rsid w:val="00500F43"/>
    <w:rsid w:val="00501C95"/>
    <w:rsid w:val="00502BE3"/>
    <w:rsid w:val="0050311A"/>
    <w:rsid w:val="005038DA"/>
    <w:rsid w:val="00503DC6"/>
    <w:rsid w:val="00503FF0"/>
    <w:rsid w:val="00505BAB"/>
    <w:rsid w:val="00506F5D"/>
    <w:rsid w:val="00507256"/>
    <w:rsid w:val="005072EB"/>
    <w:rsid w:val="00510434"/>
    <w:rsid w:val="00510BAD"/>
    <w:rsid w:val="00510C37"/>
    <w:rsid w:val="00510CA9"/>
    <w:rsid w:val="005112E4"/>
    <w:rsid w:val="0051137B"/>
    <w:rsid w:val="005126D0"/>
    <w:rsid w:val="00513520"/>
    <w:rsid w:val="00513CAC"/>
    <w:rsid w:val="00513E02"/>
    <w:rsid w:val="00514667"/>
    <w:rsid w:val="00514A8F"/>
    <w:rsid w:val="0051568D"/>
    <w:rsid w:val="00515DD4"/>
    <w:rsid w:val="00515E84"/>
    <w:rsid w:val="0051708E"/>
    <w:rsid w:val="00517996"/>
    <w:rsid w:val="00517BD6"/>
    <w:rsid w:val="00522388"/>
    <w:rsid w:val="005225AA"/>
    <w:rsid w:val="005234B1"/>
    <w:rsid w:val="005243FE"/>
    <w:rsid w:val="00524775"/>
    <w:rsid w:val="005250DC"/>
    <w:rsid w:val="00525346"/>
    <w:rsid w:val="005265F2"/>
    <w:rsid w:val="005268EA"/>
    <w:rsid w:val="00526AC7"/>
    <w:rsid w:val="00526C15"/>
    <w:rsid w:val="00526C97"/>
    <w:rsid w:val="00527308"/>
    <w:rsid w:val="00527B9A"/>
    <w:rsid w:val="00527E84"/>
    <w:rsid w:val="00530DFB"/>
    <w:rsid w:val="00531A28"/>
    <w:rsid w:val="00531E39"/>
    <w:rsid w:val="0053309B"/>
    <w:rsid w:val="0053614A"/>
    <w:rsid w:val="00536499"/>
    <w:rsid w:val="00537F8D"/>
    <w:rsid w:val="0053895A"/>
    <w:rsid w:val="00540138"/>
    <w:rsid w:val="00540172"/>
    <w:rsid w:val="00540E1D"/>
    <w:rsid w:val="005412C7"/>
    <w:rsid w:val="00541391"/>
    <w:rsid w:val="00542A03"/>
    <w:rsid w:val="00543011"/>
    <w:rsid w:val="00543903"/>
    <w:rsid w:val="005439C7"/>
    <w:rsid w:val="00543BCC"/>
    <w:rsid w:val="00543F11"/>
    <w:rsid w:val="005445A4"/>
    <w:rsid w:val="005445FA"/>
    <w:rsid w:val="00545393"/>
    <w:rsid w:val="00545C56"/>
    <w:rsid w:val="00546305"/>
    <w:rsid w:val="0054671C"/>
    <w:rsid w:val="00546E31"/>
    <w:rsid w:val="00546EAB"/>
    <w:rsid w:val="005473D0"/>
    <w:rsid w:val="00547776"/>
    <w:rsid w:val="00547A95"/>
    <w:rsid w:val="005500C3"/>
    <w:rsid w:val="005509E4"/>
    <w:rsid w:val="00550D93"/>
    <w:rsid w:val="0055119B"/>
    <w:rsid w:val="00551937"/>
    <w:rsid w:val="00551A37"/>
    <w:rsid w:val="00551F22"/>
    <w:rsid w:val="00553625"/>
    <w:rsid w:val="005537AC"/>
    <w:rsid w:val="005543A0"/>
    <w:rsid w:val="005547C4"/>
    <w:rsid w:val="005550D4"/>
    <w:rsid w:val="00555378"/>
    <w:rsid w:val="00555558"/>
    <w:rsid w:val="00555C60"/>
    <w:rsid w:val="00555C67"/>
    <w:rsid w:val="00555DC9"/>
    <w:rsid w:val="00555E2E"/>
    <w:rsid w:val="00556170"/>
    <w:rsid w:val="00556205"/>
    <w:rsid w:val="00556531"/>
    <w:rsid w:val="0055700E"/>
    <w:rsid w:val="0055703F"/>
    <w:rsid w:val="00557EA1"/>
    <w:rsid w:val="00560293"/>
    <w:rsid w:val="00560DD6"/>
    <w:rsid w:val="00561202"/>
    <w:rsid w:val="0056132B"/>
    <w:rsid w:val="00561393"/>
    <w:rsid w:val="0056170C"/>
    <w:rsid w:val="00561BD3"/>
    <w:rsid w:val="005623BD"/>
    <w:rsid w:val="00562507"/>
    <w:rsid w:val="00562811"/>
    <w:rsid w:val="00563719"/>
    <w:rsid w:val="00563A6D"/>
    <w:rsid w:val="00564092"/>
    <w:rsid w:val="005640ED"/>
    <w:rsid w:val="00564E88"/>
    <w:rsid w:val="00565E03"/>
    <w:rsid w:val="00567B6A"/>
    <w:rsid w:val="0057005F"/>
    <w:rsid w:val="005702B5"/>
    <w:rsid w:val="005703AA"/>
    <w:rsid w:val="00570BEA"/>
    <w:rsid w:val="005714D8"/>
    <w:rsid w:val="005718C4"/>
    <w:rsid w:val="00572031"/>
    <w:rsid w:val="00572282"/>
    <w:rsid w:val="005726C9"/>
    <w:rsid w:val="00573CE3"/>
    <w:rsid w:val="005753DE"/>
    <w:rsid w:val="0057658B"/>
    <w:rsid w:val="00576E84"/>
    <w:rsid w:val="00577017"/>
    <w:rsid w:val="0057732D"/>
    <w:rsid w:val="0057746F"/>
    <w:rsid w:val="00577542"/>
    <w:rsid w:val="00577734"/>
    <w:rsid w:val="0058028E"/>
    <w:rsid w:val="00580394"/>
    <w:rsid w:val="0058075F"/>
    <w:rsid w:val="005809CD"/>
    <w:rsid w:val="0058290D"/>
    <w:rsid w:val="00582930"/>
    <w:rsid w:val="00582B8C"/>
    <w:rsid w:val="00583008"/>
    <w:rsid w:val="00584349"/>
    <w:rsid w:val="0058502D"/>
    <w:rsid w:val="005852AC"/>
    <w:rsid w:val="005854E0"/>
    <w:rsid w:val="00585E4E"/>
    <w:rsid w:val="00586F16"/>
    <w:rsid w:val="0058757E"/>
    <w:rsid w:val="00587D4F"/>
    <w:rsid w:val="00590387"/>
    <w:rsid w:val="00592984"/>
    <w:rsid w:val="00592E0A"/>
    <w:rsid w:val="00593781"/>
    <w:rsid w:val="00594183"/>
    <w:rsid w:val="005945C6"/>
    <w:rsid w:val="00594EEC"/>
    <w:rsid w:val="00595D15"/>
    <w:rsid w:val="00595FAB"/>
    <w:rsid w:val="00596624"/>
    <w:rsid w:val="00596A4B"/>
    <w:rsid w:val="00596F1A"/>
    <w:rsid w:val="00597406"/>
    <w:rsid w:val="00597507"/>
    <w:rsid w:val="005979F3"/>
    <w:rsid w:val="00597C38"/>
    <w:rsid w:val="005A145E"/>
    <w:rsid w:val="005A1C5E"/>
    <w:rsid w:val="005A25D9"/>
    <w:rsid w:val="005A3F87"/>
    <w:rsid w:val="005A4674"/>
    <w:rsid w:val="005A479D"/>
    <w:rsid w:val="005A4E7C"/>
    <w:rsid w:val="005A50D9"/>
    <w:rsid w:val="005A56A2"/>
    <w:rsid w:val="005A5DF0"/>
    <w:rsid w:val="005A60A9"/>
    <w:rsid w:val="005A7115"/>
    <w:rsid w:val="005A720B"/>
    <w:rsid w:val="005A724B"/>
    <w:rsid w:val="005A7DC5"/>
    <w:rsid w:val="005B0EA9"/>
    <w:rsid w:val="005B1214"/>
    <w:rsid w:val="005B1C6D"/>
    <w:rsid w:val="005B1FF9"/>
    <w:rsid w:val="005B21B6"/>
    <w:rsid w:val="005B338D"/>
    <w:rsid w:val="005B3A08"/>
    <w:rsid w:val="005B436C"/>
    <w:rsid w:val="005B4C45"/>
    <w:rsid w:val="005B54F1"/>
    <w:rsid w:val="005B61CD"/>
    <w:rsid w:val="005B6AB9"/>
    <w:rsid w:val="005B7A63"/>
    <w:rsid w:val="005C0098"/>
    <w:rsid w:val="005C085E"/>
    <w:rsid w:val="005C0955"/>
    <w:rsid w:val="005C1146"/>
    <w:rsid w:val="005C1596"/>
    <w:rsid w:val="005C19F7"/>
    <w:rsid w:val="005C1D8B"/>
    <w:rsid w:val="005C312D"/>
    <w:rsid w:val="005C349A"/>
    <w:rsid w:val="005C3CFF"/>
    <w:rsid w:val="005C44D1"/>
    <w:rsid w:val="005C4701"/>
    <w:rsid w:val="005C496A"/>
    <w:rsid w:val="005C49DA"/>
    <w:rsid w:val="005C50F3"/>
    <w:rsid w:val="005C54B5"/>
    <w:rsid w:val="005C5D80"/>
    <w:rsid w:val="005C5D91"/>
    <w:rsid w:val="005C5F05"/>
    <w:rsid w:val="005C7525"/>
    <w:rsid w:val="005D038D"/>
    <w:rsid w:val="005D0656"/>
    <w:rsid w:val="005D066B"/>
    <w:rsid w:val="005D07B8"/>
    <w:rsid w:val="005D07DA"/>
    <w:rsid w:val="005D1CC2"/>
    <w:rsid w:val="005D25EB"/>
    <w:rsid w:val="005D272B"/>
    <w:rsid w:val="005D2ABA"/>
    <w:rsid w:val="005D2BFA"/>
    <w:rsid w:val="005D3476"/>
    <w:rsid w:val="005D3A2C"/>
    <w:rsid w:val="005D446D"/>
    <w:rsid w:val="005D54F2"/>
    <w:rsid w:val="005D55C4"/>
    <w:rsid w:val="005D5C53"/>
    <w:rsid w:val="005D6597"/>
    <w:rsid w:val="005D69F6"/>
    <w:rsid w:val="005D6AB1"/>
    <w:rsid w:val="005E03BE"/>
    <w:rsid w:val="005E0E79"/>
    <w:rsid w:val="005E12B9"/>
    <w:rsid w:val="005E13F2"/>
    <w:rsid w:val="005E14E7"/>
    <w:rsid w:val="005E19C5"/>
    <w:rsid w:val="005E202B"/>
    <w:rsid w:val="005E21B9"/>
    <w:rsid w:val="005E26A3"/>
    <w:rsid w:val="005E27B1"/>
    <w:rsid w:val="005E2ECB"/>
    <w:rsid w:val="005E3507"/>
    <w:rsid w:val="005E3DFD"/>
    <w:rsid w:val="005E4007"/>
    <w:rsid w:val="005E4082"/>
    <w:rsid w:val="005E447E"/>
    <w:rsid w:val="005E4B56"/>
    <w:rsid w:val="005E4FD1"/>
    <w:rsid w:val="005E54D3"/>
    <w:rsid w:val="005E5861"/>
    <w:rsid w:val="005E63A8"/>
    <w:rsid w:val="005E6CA4"/>
    <w:rsid w:val="005E6D74"/>
    <w:rsid w:val="005F0775"/>
    <w:rsid w:val="005F0CF5"/>
    <w:rsid w:val="005F21EB"/>
    <w:rsid w:val="005F2872"/>
    <w:rsid w:val="005F301C"/>
    <w:rsid w:val="005F38B8"/>
    <w:rsid w:val="005F3D72"/>
    <w:rsid w:val="005F3EC5"/>
    <w:rsid w:val="005F5085"/>
    <w:rsid w:val="005F566F"/>
    <w:rsid w:val="005F587C"/>
    <w:rsid w:val="005F5D35"/>
    <w:rsid w:val="005F6160"/>
    <w:rsid w:val="005F64CF"/>
    <w:rsid w:val="005F66A5"/>
    <w:rsid w:val="005F6B20"/>
    <w:rsid w:val="005F76CB"/>
    <w:rsid w:val="005F7CE6"/>
    <w:rsid w:val="00600ECA"/>
    <w:rsid w:val="00601DBC"/>
    <w:rsid w:val="00602B03"/>
    <w:rsid w:val="00602D70"/>
    <w:rsid w:val="00602E3F"/>
    <w:rsid w:val="00602EE1"/>
    <w:rsid w:val="00603143"/>
    <w:rsid w:val="006033B8"/>
    <w:rsid w:val="00603A5B"/>
    <w:rsid w:val="00603E38"/>
    <w:rsid w:val="006041AD"/>
    <w:rsid w:val="006041DE"/>
    <w:rsid w:val="006042A6"/>
    <w:rsid w:val="006046C1"/>
    <w:rsid w:val="00604C20"/>
    <w:rsid w:val="00604FDF"/>
    <w:rsid w:val="00605908"/>
    <w:rsid w:val="00607850"/>
    <w:rsid w:val="00607EF7"/>
    <w:rsid w:val="00610777"/>
    <w:rsid w:val="00610D7C"/>
    <w:rsid w:val="00611101"/>
    <w:rsid w:val="0061235C"/>
    <w:rsid w:val="006125F4"/>
    <w:rsid w:val="00613414"/>
    <w:rsid w:val="00613564"/>
    <w:rsid w:val="006142D5"/>
    <w:rsid w:val="00615817"/>
    <w:rsid w:val="00615A4D"/>
    <w:rsid w:val="00615F41"/>
    <w:rsid w:val="00616961"/>
    <w:rsid w:val="00616DE9"/>
    <w:rsid w:val="00617742"/>
    <w:rsid w:val="00617B47"/>
    <w:rsid w:val="00617BB3"/>
    <w:rsid w:val="006200FC"/>
    <w:rsid w:val="00620154"/>
    <w:rsid w:val="006203C7"/>
    <w:rsid w:val="0062124F"/>
    <w:rsid w:val="006213FD"/>
    <w:rsid w:val="006215AE"/>
    <w:rsid w:val="0062164C"/>
    <w:rsid w:val="0062185F"/>
    <w:rsid w:val="0062193A"/>
    <w:rsid w:val="00622654"/>
    <w:rsid w:val="006230D8"/>
    <w:rsid w:val="0062408D"/>
    <w:rsid w:val="006240CC"/>
    <w:rsid w:val="0062469E"/>
    <w:rsid w:val="006247F8"/>
    <w:rsid w:val="00624940"/>
    <w:rsid w:val="006254F8"/>
    <w:rsid w:val="00625CC1"/>
    <w:rsid w:val="00625F55"/>
    <w:rsid w:val="006262E2"/>
    <w:rsid w:val="00626388"/>
    <w:rsid w:val="006268FF"/>
    <w:rsid w:val="00626F56"/>
    <w:rsid w:val="006279A3"/>
    <w:rsid w:val="00627AC5"/>
    <w:rsid w:val="00627D60"/>
    <w:rsid w:val="00627DA1"/>
    <w:rsid w:val="00627DA7"/>
    <w:rsid w:val="00630014"/>
    <w:rsid w:val="00630279"/>
    <w:rsid w:val="006303B3"/>
    <w:rsid w:val="006308E9"/>
    <w:rsid w:val="006308F2"/>
    <w:rsid w:val="00630ABE"/>
    <w:rsid w:val="00630DA4"/>
    <w:rsid w:val="00631BE9"/>
    <w:rsid w:val="00631CD4"/>
    <w:rsid w:val="00631F44"/>
    <w:rsid w:val="0063231A"/>
    <w:rsid w:val="00632597"/>
    <w:rsid w:val="00633168"/>
    <w:rsid w:val="006344BB"/>
    <w:rsid w:val="00634B62"/>
    <w:rsid w:val="00634BED"/>
    <w:rsid w:val="00634C9B"/>
    <w:rsid w:val="00634D13"/>
    <w:rsid w:val="006358B4"/>
    <w:rsid w:val="00636949"/>
    <w:rsid w:val="00636CF0"/>
    <w:rsid w:val="0063786C"/>
    <w:rsid w:val="00637B35"/>
    <w:rsid w:val="00637BA4"/>
    <w:rsid w:val="00637F47"/>
    <w:rsid w:val="00641724"/>
    <w:rsid w:val="006419AA"/>
    <w:rsid w:val="00641EF9"/>
    <w:rsid w:val="00642009"/>
    <w:rsid w:val="00642873"/>
    <w:rsid w:val="006432A3"/>
    <w:rsid w:val="00643F67"/>
    <w:rsid w:val="00644291"/>
    <w:rsid w:val="00644349"/>
    <w:rsid w:val="00644B1F"/>
    <w:rsid w:val="00644B7E"/>
    <w:rsid w:val="00644D7B"/>
    <w:rsid w:val="0064518B"/>
    <w:rsid w:val="006454E6"/>
    <w:rsid w:val="006459F1"/>
    <w:rsid w:val="00646070"/>
    <w:rsid w:val="00646235"/>
    <w:rsid w:val="0064637F"/>
    <w:rsid w:val="00646A68"/>
    <w:rsid w:val="00646D49"/>
    <w:rsid w:val="00646F57"/>
    <w:rsid w:val="00647A31"/>
    <w:rsid w:val="006505BD"/>
    <w:rsid w:val="006508EA"/>
    <w:rsid w:val="00650909"/>
    <w:rsid w:val="0065092E"/>
    <w:rsid w:val="00650BD3"/>
    <w:rsid w:val="00651483"/>
    <w:rsid w:val="00651EE9"/>
    <w:rsid w:val="00652168"/>
    <w:rsid w:val="00652410"/>
    <w:rsid w:val="00653659"/>
    <w:rsid w:val="006544E9"/>
    <w:rsid w:val="00654893"/>
    <w:rsid w:val="006557A7"/>
    <w:rsid w:val="006558AA"/>
    <w:rsid w:val="006561F2"/>
    <w:rsid w:val="00656290"/>
    <w:rsid w:val="00656945"/>
    <w:rsid w:val="0065694D"/>
    <w:rsid w:val="00656E44"/>
    <w:rsid w:val="006579CF"/>
    <w:rsid w:val="00660173"/>
    <w:rsid w:val="006601C9"/>
    <w:rsid w:val="006608D8"/>
    <w:rsid w:val="00660B18"/>
    <w:rsid w:val="00660DC0"/>
    <w:rsid w:val="0066168C"/>
    <w:rsid w:val="006621D7"/>
    <w:rsid w:val="006623D6"/>
    <w:rsid w:val="0066302A"/>
    <w:rsid w:val="0066309A"/>
    <w:rsid w:val="0066314F"/>
    <w:rsid w:val="00663167"/>
    <w:rsid w:val="0066363C"/>
    <w:rsid w:val="006649FB"/>
    <w:rsid w:val="00664ACD"/>
    <w:rsid w:val="00664B4F"/>
    <w:rsid w:val="00665139"/>
    <w:rsid w:val="00665749"/>
    <w:rsid w:val="00666050"/>
    <w:rsid w:val="00666C0F"/>
    <w:rsid w:val="00666D7E"/>
    <w:rsid w:val="00667770"/>
    <w:rsid w:val="00667CE0"/>
    <w:rsid w:val="00667EDC"/>
    <w:rsid w:val="00670597"/>
    <w:rsid w:val="006706D0"/>
    <w:rsid w:val="00670ACB"/>
    <w:rsid w:val="00671A7C"/>
    <w:rsid w:val="0067312B"/>
    <w:rsid w:val="0067467B"/>
    <w:rsid w:val="00677574"/>
    <w:rsid w:val="006805CF"/>
    <w:rsid w:val="006812ED"/>
    <w:rsid w:val="006814B9"/>
    <w:rsid w:val="00682737"/>
    <w:rsid w:val="006827E7"/>
    <w:rsid w:val="00682F15"/>
    <w:rsid w:val="006833F1"/>
    <w:rsid w:val="00683878"/>
    <w:rsid w:val="00684380"/>
    <w:rsid w:val="0068454C"/>
    <w:rsid w:val="00684DAF"/>
    <w:rsid w:val="00685589"/>
    <w:rsid w:val="00685644"/>
    <w:rsid w:val="00685CC8"/>
    <w:rsid w:val="00686740"/>
    <w:rsid w:val="006873ED"/>
    <w:rsid w:val="006875EB"/>
    <w:rsid w:val="006876EE"/>
    <w:rsid w:val="00687781"/>
    <w:rsid w:val="00690120"/>
    <w:rsid w:val="006902C6"/>
    <w:rsid w:val="00690933"/>
    <w:rsid w:val="006909B5"/>
    <w:rsid w:val="00690A9F"/>
    <w:rsid w:val="00690C3F"/>
    <w:rsid w:val="00691B62"/>
    <w:rsid w:val="00692258"/>
    <w:rsid w:val="006924E9"/>
    <w:rsid w:val="006933B5"/>
    <w:rsid w:val="00693546"/>
    <w:rsid w:val="00693CC9"/>
    <w:rsid w:val="00693D14"/>
    <w:rsid w:val="00695161"/>
    <w:rsid w:val="0069691B"/>
    <w:rsid w:val="00696B1A"/>
    <w:rsid w:val="00696F27"/>
    <w:rsid w:val="00697730"/>
    <w:rsid w:val="006977E7"/>
    <w:rsid w:val="00697828"/>
    <w:rsid w:val="006A0CA7"/>
    <w:rsid w:val="006A0EB3"/>
    <w:rsid w:val="006A1267"/>
    <w:rsid w:val="006A15BC"/>
    <w:rsid w:val="006A18C2"/>
    <w:rsid w:val="006A24A9"/>
    <w:rsid w:val="006A2717"/>
    <w:rsid w:val="006A2B50"/>
    <w:rsid w:val="006A2F81"/>
    <w:rsid w:val="006A3383"/>
    <w:rsid w:val="006A3891"/>
    <w:rsid w:val="006A44F2"/>
    <w:rsid w:val="006A5921"/>
    <w:rsid w:val="006A5A1B"/>
    <w:rsid w:val="006A71B4"/>
    <w:rsid w:val="006A790B"/>
    <w:rsid w:val="006B077C"/>
    <w:rsid w:val="006B0AC7"/>
    <w:rsid w:val="006B0B1E"/>
    <w:rsid w:val="006B0C81"/>
    <w:rsid w:val="006B10ED"/>
    <w:rsid w:val="006B11B8"/>
    <w:rsid w:val="006B1670"/>
    <w:rsid w:val="006B230C"/>
    <w:rsid w:val="006B288D"/>
    <w:rsid w:val="006B4AF5"/>
    <w:rsid w:val="006B4F2D"/>
    <w:rsid w:val="006B5350"/>
    <w:rsid w:val="006B5873"/>
    <w:rsid w:val="006B5D8B"/>
    <w:rsid w:val="006B665F"/>
    <w:rsid w:val="006B6803"/>
    <w:rsid w:val="006B690C"/>
    <w:rsid w:val="006B6E63"/>
    <w:rsid w:val="006B76F7"/>
    <w:rsid w:val="006C07F4"/>
    <w:rsid w:val="006C0D15"/>
    <w:rsid w:val="006C0D98"/>
    <w:rsid w:val="006C1ACC"/>
    <w:rsid w:val="006C2C86"/>
    <w:rsid w:val="006C432A"/>
    <w:rsid w:val="006C6B4D"/>
    <w:rsid w:val="006C6EF6"/>
    <w:rsid w:val="006C717E"/>
    <w:rsid w:val="006C74B3"/>
    <w:rsid w:val="006C7CC8"/>
    <w:rsid w:val="006D0173"/>
    <w:rsid w:val="006D04D6"/>
    <w:rsid w:val="006D0F16"/>
    <w:rsid w:val="006D1993"/>
    <w:rsid w:val="006D1ECB"/>
    <w:rsid w:val="006D22DC"/>
    <w:rsid w:val="006D2A3F"/>
    <w:rsid w:val="006D2FBC"/>
    <w:rsid w:val="006D3405"/>
    <w:rsid w:val="006D3476"/>
    <w:rsid w:val="006D37DE"/>
    <w:rsid w:val="006D38C6"/>
    <w:rsid w:val="006D3EF9"/>
    <w:rsid w:val="006D45C6"/>
    <w:rsid w:val="006D479F"/>
    <w:rsid w:val="006D4CCF"/>
    <w:rsid w:val="006D511F"/>
    <w:rsid w:val="006D51FC"/>
    <w:rsid w:val="006D60E0"/>
    <w:rsid w:val="006D6930"/>
    <w:rsid w:val="006D6E34"/>
    <w:rsid w:val="006D7639"/>
    <w:rsid w:val="006DD06E"/>
    <w:rsid w:val="006E138B"/>
    <w:rsid w:val="006E166B"/>
    <w:rsid w:val="006E1867"/>
    <w:rsid w:val="006E18EA"/>
    <w:rsid w:val="006E1925"/>
    <w:rsid w:val="006E2351"/>
    <w:rsid w:val="006E2539"/>
    <w:rsid w:val="006E2560"/>
    <w:rsid w:val="006E2783"/>
    <w:rsid w:val="006E2DE9"/>
    <w:rsid w:val="006E3B93"/>
    <w:rsid w:val="006E54B5"/>
    <w:rsid w:val="006E5A27"/>
    <w:rsid w:val="006E678F"/>
    <w:rsid w:val="006E726A"/>
    <w:rsid w:val="006E735E"/>
    <w:rsid w:val="006E79C8"/>
    <w:rsid w:val="006F0330"/>
    <w:rsid w:val="006F079B"/>
    <w:rsid w:val="006F087C"/>
    <w:rsid w:val="006F1339"/>
    <w:rsid w:val="006F152A"/>
    <w:rsid w:val="006F185B"/>
    <w:rsid w:val="006F19A4"/>
    <w:rsid w:val="006F1DE9"/>
    <w:rsid w:val="006F1FDC"/>
    <w:rsid w:val="006F2593"/>
    <w:rsid w:val="006F293A"/>
    <w:rsid w:val="006F2A36"/>
    <w:rsid w:val="006F2BB4"/>
    <w:rsid w:val="006F2D26"/>
    <w:rsid w:val="006F31B4"/>
    <w:rsid w:val="006F32EE"/>
    <w:rsid w:val="006F3666"/>
    <w:rsid w:val="006F3A5C"/>
    <w:rsid w:val="006F4726"/>
    <w:rsid w:val="006F5298"/>
    <w:rsid w:val="006F5AD9"/>
    <w:rsid w:val="006F5CE5"/>
    <w:rsid w:val="006F6435"/>
    <w:rsid w:val="006F6565"/>
    <w:rsid w:val="006F6B76"/>
    <w:rsid w:val="006F6B8C"/>
    <w:rsid w:val="006F756B"/>
    <w:rsid w:val="006F7BED"/>
    <w:rsid w:val="006FF97F"/>
    <w:rsid w:val="007013AF"/>
    <w:rsid w:val="007013C2"/>
    <w:rsid w:val="007013EF"/>
    <w:rsid w:val="007018E6"/>
    <w:rsid w:val="00701D9F"/>
    <w:rsid w:val="0070262D"/>
    <w:rsid w:val="007029D3"/>
    <w:rsid w:val="00702B0B"/>
    <w:rsid w:val="00703181"/>
    <w:rsid w:val="0070350B"/>
    <w:rsid w:val="00704737"/>
    <w:rsid w:val="0070494B"/>
    <w:rsid w:val="00705225"/>
    <w:rsid w:val="00705250"/>
    <w:rsid w:val="007055BD"/>
    <w:rsid w:val="00705813"/>
    <w:rsid w:val="007058DB"/>
    <w:rsid w:val="00705D75"/>
    <w:rsid w:val="00705FDC"/>
    <w:rsid w:val="007074EF"/>
    <w:rsid w:val="0071002B"/>
    <w:rsid w:val="00710550"/>
    <w:rsid w:val="00710640"/>
    <w:rsid w:val="00710AE9"/>
    <w:rsid w:val="00710F78"/>
    <w:rsid w:val="00711D91"/>
    <w:rsid w:val="00712834"/>
    <w:rsid w:val="00713023"/>
    <w:rsid w:val="0071343B"/>
    <w:rsid w:val="00713836"/>
    <w:rsid w:val="00713A78"/>
    <w:rsid w:val="007147BE"/>
    <w:rsid w:val="00714CFD"/>
    <w:rsid w:val="00714E9F"/>
    <w:rsid w:val="00715129"/>
    <w:rsid w:val="00715E23"/>
    <w:rsid w:val="00716205"/>
    <w:rsid w:val="0071712D"/>
    <w:rsid w:val="00717237"/>
    <w:rsid w:val="007173CA"/>
    <w:rsid w:val="0071788B"/>
    <w:rsid w:val="007179FE"/>
    <w:rsid w:val="00717C1E"/>
    <w:rsid w:val="00717D7C"/>
    <w:rsid w:val="00717D8F"/>
    <w:rsid w:val="007205D6"/>
    <w:rsid w:val="007215FC"/>
    <w:rsid w:val="007216AA"/>
    <w:rsid w:val="00721A7B"/>
    <w:rsid w:val="00721AB5"/>
    <w:rsid w:val="00721CFB"/>
    <w:rsid w:val="00721DEF"/>
    <w:rsid w:val="007233D9"/>
    <w:rsid w:val="0072376C"/>
    <w:rsid w:val="00724A43"/>
    <w:rsid w:val="00724D7C"/>
    <w:rsid w:val="00724DEC"/>
    <w:rsid w:val="00724E96"/>
    <w:rsid w:val="00725D62"/>
    <w:rsid w:val="00727130"/>
    <w:rsid w:val="007273AC"/>
    <w:rsid w:val="00727512"/>
    <w:rsid w:val="00727687"/>
    <w:rsid w:val="00727BF5"/>
    <w:rsid w:val="007302E6"/>
    <w:rsid w:val="00730B97"/>
    <w:rsid w:val="00730BC2"/>
    <w:rsid w:val="00731AD4"/>
    <w:rsid w:val="0073366F"/>
    <w:rsid w:val="00734131"/>
    <w:rsid w:val="00734278"/>
    <w:rsid w:val="007346E4"/>
    <w:rsid w:val="00734BCC"/>
    <w:rsid w:val="00735564"/>
    <w:rsid w:val="007355B5"/>
    <w:rsid w:val="00735F07"/>
    <w:rsid w:val="007365EF"/>
    <w:rsid w:val="00736ED5"/>
    <w:rsid w:val="00740461"/>
    <w:rsid w:val="00740A47"/>
    <w:rsid w:val="00740F22"/>
    <w:rsid w:val="00741003"/>
    <w:rsid w:val="00741172"/>
    <w:rsid w:val="00741442"/>
    <w:rsid w:val="00741657"/>
    <w:rsid w:val="00741CF0"/>
    <w:rsid w:val="00741D57"/>
    <w:rsid w:val="00741F1A"/>
    <w:rsid w:val="007447DA"/>
    <w:rsid w:val="00744AC3"/>
    <w:rsid w:val="00744ED4"/>
    <w:rsid w:val="007450F8"/>
    <w:rsid w:val="0074549D"/>
    <w:rsid w:val="0074562F"/>
    <w:rsid w:val="00745674"/>
    <w:rsid w:val="00745785"/>
    <w:rsid w:val="00745F17"/>
    <w:rsid w:val="00745F4B"/>
    <w:rsid w:val="0074640F"/>
    <w:rsid w:val="0074696E"/>
    <w:rsid w:val="00750135"/>
    <w:rsid w:val="00750EC2"/>
    <w:rsid w:val="00751A2B"/>
    <w:rsid w:val="00752701"/>
    <w:rsid w:val="00752892"/>
    <w:rsid w:val="00752B28"/>
    <w:rsid w:val="007536BC"/>
    <w:rsid w:val="007541A9"/>
    <w:rsid w:val="00754E2D"/>
    <w:rsid w:val="00754E36"/>
    <w:rsid w:val="0075557E"/>
    <w:rsid w:val="0075593B"/>
    <w:rsid w:val="007559B8"/>
    <w:rsid w:val="00756426"/>
    <w:rsid w:val="007566D1"/>
    <w:rsid w:val="007573A1"/>
    <w:rsid w:val="007574BE"/>
    <w:rsid w:val="007577D6"/>
    <w:rsid w:val="00757941"/>
    <w:rsid w:val="007606CC"/>
    <w:rsid w:val="007606FD"/>
    <w:rsid w:val="0076236A"/>
    <w:rsid w:val="00762896"/>
    <w:rsid w:val="00762DED"/>
    <w:rsid w:val="00763139"/>
    <w:rsid w:val="007631B1"/>
    <w:rsid w:val="0076460B"/>
    <w:rsid w:val="00764A1F"/>
    <w:rsid w:val="00764A63"/>
    <w:rsid w:val="00765ACC"/>
    <w:rsid w:val="007666DE"/>
    <w:rsid w:val="0076672E"/>
    <w:rsid w:val="007669D5"/>
    <w:rsid w:val="00766D4D"/>
    <w:rsid w:val="00767EAF"/>
    <w:rsid w:val="00770F37"/>
    <w:rsid w:val="007711A0"/>
    <w:rsid w:val="007715D4"/>
    <w:rsid w:val="00772AA1"/>
    <w:rsid w:val="00772D5E"/>
    <w:rsid w:val="007732E6"/>
    <w:rsid w:val="007737DB"/>
    <w:rsid w:val="0077463E"/>
    <w:rsid w:val="00775199"/>
    <w:rsid w:val="00775742"/>
    <w:rsid w:val="00776026"/>
    <w:rsid w:val="00776928"/>
    <w:rsid w:val="00776D56"/>
    <w:rsid w:val="00776E0F"/>
    <w:rsid w:val="007774B1"/>
    <w:rsid w:val="00777BE1"/>
    <w:rsid w:val="00777F21"/>
    <w:rsid w:val="00777FA5"/>
    <w:rsid w:val="00780FDE"/>
    <w:rsid w:val="00781E0A"/>
    <w:rsid w:val="00782222"/>
    <w:rsid w:val="00782272"/>
    <w:rsid w:val="00782F1C"/>
    <w:rsid w:val="007833D8"/>
    <w:rsid w:val="00783F46"/>
    <w:rsid w:val="00783F53"/>
    <w:rsid w:val="00784C5C"/>
    <w:rsid w:val="007854FF"/>
    <w:rsid w:val="00785677"/>
    <w:rsid w:val="0078609A"/>
    <w:rsid w:val="00786430"/>
    <w:rsid w:val="00786F16"/>
    <w:rsid w:val="00786FF0"/>
    <w:rsid w:val="007874F6"/>
    <w:rsid w:val="0078756D"/>
    <w:rsid w:val="00787A99"/>
    <w:rsid w:val="007902D8"/>
    <w:rsid w:val="00790598"/>
    <w:rsid w:val="00791BD7"/>
    <w:rsid w:val="007928B3"/>
    <w:rsid w:val="00792A20"/>
    <w:rsid w:val="00792F05"/>
    <w:rsid w:val="007933F7"/>
    <w:rsid w:val="0079526A"/>
    <w:rsid w:val="007952ED"/>
    <w:rsid w:val="00795DF8"/>
    <w:rsid w:val="007965AE"/>
    <w:rsid w:val="00796AAB"/>
    <w:rsid w:val="00796E20"/>
    <w:rsid w:val="00797C32"/>
    <w:rsid w:val="007A071F"/>
    <w:rsid w:val="007A0C16"/>
    <w:rsid w:val="007A11E8"/>
    <w:rsid w:val="007A1A19"/>
    <w:rsid w:val="007A2CD6"/>
    <w:rsid w:val="007A3952"/>
    <w:rsid w:val="007A3D91"/>
    <w:rsid w:val="007A4439"/>
    <w:rsid w:val="007A4BFC"/>
    <w:rsid w:val="007A4CF2"/>
    <w:rsid w:val="007A5102"/>
    <w:rsid w:val="007A5819"/>
    <w:rsid w:val="007A59B5"/>
    <w:rsid w:val="007A6029"/>
    <w:rsid w:val="007A646F"/>
    <w:rsid w:val="007B01D1"/>
    <w:rsid w:val="007B042B"/>
    <w:rsid w:val="007B0772"/>
    <w:rsid w:val="007B0914"/>
    <w:rsid w:val="007B1289"/>
    <w:rsid w:val="007B1374"/>
    <w:rsid w:val="007B16D1"/>
    <w:rsid w:val="007B2C42"/>
    <w:rsid w:val="007B2DFE"/>
    <w:rsid w:val="007B2F15"/>
    <w:rsid w:val="007B3107"/>
    <w:rsid w:val="007B32E5"/>
    <w:rsid w:val="007B3833"/>
    <w:rsid w:val="007B3DB9"/>
    <w:rsid w:val="007B4867"/>
    <w:rsid w:val="007B52ED"/>
    <w:rsid w:val="007B589F"/>
    <w:rsid w:val="007B6047"/>
    <w:rsid w:val="007B6186"/>
    <w:rsid w:val="007B73BC"/>
    <w:rsid w:val="007B769E"/>
    <w:rsid w:val="007C0671"/>
    <w:rsid w:val="007C068B"/>
    <w:rsid w:val="007C1838"/>
    <w:rsid w:val="007C20B9"/>
    <w:rsid w:val="007C2374"/>
    <w:rsid w:val="007C2416"/>
    <w:rsid w:val="007C2557"/>
    <w:rsid w:val="007C255B"/>
    <w:rsid w:val="007C2933"/>
    <w:rsid w:val="007C2970"/>
    <w:rsid w:val="007C2C06"/>
    <w:rsid w:val="007C2E2E"/>
    <w:rsid w:val="007C4540"/>
    <w:rsid w:val="007C533B"/>
    <w:rsid w:val="007C5484"/>
    <w:rsid w:val="007C6890"/>
    <w:rsid w:val="007C7301"/>
    <w:rsid w:val="007C7859"/>
    <w:rsid w:val="007C7F28"/>
    <w:rsid w:val="007D02D9"/>
    <w:rsid w:val="007D0401"/>
    <w:rsid w:val="007D0EED"/>
    <w:rsid w:val="007D1466"/>
    <w:rsid w:val="007D16CD"/>
    <w:rsid w:val="007D1801"/>
    <w:rsid w:val="007D1917"/>
    <w:rsid w:val="007D27F9"/>
    <w:rsid w:val="007D2BDE"/>
    <w:rsid w:val="007D2FB6"/>
    <w:rsid w:val="007D33CF"/>
    <w:rsid w:val="007D41CC"/>
    <w:rsid w:val="007D489F"/>
    <w:rsid w:val="007D49EB"/>
    <w:rsid w:val="007D4BA1"/>
    <w:rsid w:val="007D4E5E"/>
    <w:rsid w:val="007D5116"/>
    <w:rsid w:val="007D52C1"/>
    <w:rsid w:val="007D5E1C"/>
    <w:rsid w:val="007D5F7B"/>
    <w:rsid w:val="007D6F5F"/>
    <w:rsid w:val="007D713A"/>
    <w:rsid w:val="007D72F7"/>
    <w:rsid w:val="007D756E"/>
    <w:rsid w:val="007D7CD8"/>
    <w:rsid w:val="007E066E"/>
    <w:rsid w:val="007E0DE2"/>
    <w:rsid w:val="007E1D32"/>
    <w:rsid w:val="007E3667"/>
    <w:rsid w:val="007E3A39"/>
    <w:rsid w:val="007E3B98"/>
    <w:rsid w:val="007E417A"/>
    <w:rsid w:val="007E4527"/>
    <w:rsid w:val="007E4853"/>
    <w:rsid w:val="007E628B"/>
    <w:rsid w:val="007E6676"/>
    <w:rsid w:val="007E6850"/>
    <w:rsid w:val="007E688A"/>
    <w:rsid w:val="007E6B3B"/>
    <w:rsid w:val="007E70E4"/>
    <w:rsid w:val="007E7BAB"/>
    <w:rsid w:val="007F10AF"/>
    <w:rsid w:val="007F115B"/>
    <w:rsid w:val="007F1ACE"/>
    <w:rsid w:val="007F20E8"/>
    <w:rsid w:val="007F2626"/>
    <w:rsid w:val="007F28A5"/>
    <w:rsid w:val="007F31B6"/>
    <w:rsid w:val="007F3A48"/>
    <w:rsid w:val="007F546C"/>
    <w:rsid w:val="007F625F"/>
    <w:rsid w:val="007F6359"/>
    <w:rsid w:val="007F665E"/>
    <w:rsid w:val="007F697D"/>
    <w:rsid w:val="007F7421"/>
    <w:rsid w:val="007F7705"/>
    <w:rsid w:val="007F7998"/>
    <w:rsid w:val="007F7C69"/>
    <w:rsid w:val="00800412"/>
    <w:rsid w:val="00800CD2"/>
    <w:rsid w:val="00800E8C"/>
    <w:rsid w:val="00801B46"/>
    <w:rsid w:val="0080262F"/>
    <w:rsid w:val="00803717"/>
    <w:rsid w:val="00803F38"/>
    <w:rsid w:val="0080461F"/>
    <w:rsid w:val="0080555A"/>
    <w:rsid w:val="0080587B"/>
    <w:rsid w:val="00806468"/>
    <w:rsid w:val="00806B40"/>
    <w:rsid w:val="00806B6D"/>
    <w:rsid w:val="00806BD9"/>
    <w:rsid w:val="00807BB1"/>
    <w:rsid w:val="00807D06"/>
    <w:rsid w:val="00807FB3"/>
    <w:rsid w:val="0081012F"/>
    <w:rsid w:val="008103B2"/>
    <w:rsid w:val="00810DA6"/>
    <w:rsid w:val="008119CA"/>
    <w:rsid w:val="00811D69"/>
    <w:rsid w:val="00811D72"/>
    <w:rsid w:val="00811E68"/>
    <w:rsid w:val="00812440"/>
    <w:rsid w:val="00812C18"/>
    <w:rsid w:val="00812CBD"/>
    <w:rsid w:val="00812EE9"/>
    <w:rsid w:val="008130C4"/>
    <w:rsid w:val="008145D1"/>
    <w:rsid w:val="008155F0"/>
    <w:rsid w:val="008157FB"/>
    <w:rsid w:val="00816735"/>
    <w:rsid w:val="00816760"/>
    <w:rsid w:val="00816869"/>
    <w:rsid w:val="00816994"/>
    <w:rsid w:val="00816B67"/>
    <w:rsid w:val="00816D0B"/>
    <w:rsid w:val="00817641"/>
    <w:rsid w:val="00820141"/>
    <w:rsid w:val="00820E0C"/>
    <w:rsid w:val="00822DA6"/>
    <w:rsid w:val="00823275"/>
    <w:rsid w:val="0082366F"/>
    <w:rsid w:val="00823DA7"/>
    <w:rsid w:val="00823E8E"/>
    <w:rsid w:val="0082453C"/>
    <w:rsid w:val="008249F9"/>
    <w:rsid w:val="00824BC3"/>
    <w:rsid w:val="00825142"/>
    <w:rsid w:val="008252A8"/>
    <w:rsid w:val="00825E80"/>
    <w:rsid w:val="0082770B"/>
    <w:rsid w:val="00830EB1"/>
    <w:rsid w:val="00831B47"/>
    <w:rsid w:val="00831C24"/>
    <w:rsid w:val="0083256E"/>
    <w:rsid w:val="00832788"/>
    <w:rsid w:val="008327CA"/>
    <w:rsid w:val="0083339A"/>
    <w:rsid w:val="0083341A"/>
    <w:rsid w:val="008335D5"/>
    <w:rsid w:val="008338A2"/>
    <w:rsid w:val="00833AAA"/>
    <w:rsid w:val="00834362"/>
    <w:rsid w:val="00834923"/>
    <w:rsid w:val="00835C1D"/>
    <w:rsid w:val="00835D6B"/>
    <w:rsid w:val="00835E26"/>
    <w:rsid w:val="00836207"/>
    <w:rsid w:val="008365D0"/>
    <w:rsid w:val="00836EF3"/>
    <w:rsid w:val="0083786A"/>
    <w:rsid w:val="00840122"/>
    <w:rsid w:val="008402E2"/>
    <w:rsid w:val="008404E4"/>
    <w:rsid w:val="00841031"/>
    <w:rsid w:val="008415D7"/>
    <w:rsid w:val="00841AA9"/>
    <w:rsid w:val="00841C99"/>
    <w:rsid w:val="00841DFE"/>
    <w:rsid w:val="00843D42"/>
    <w:rsid w:val="00843D94"/>
    <w:rsid w:val="00843E62"/>
    <w:rsid w:val="0084534A"/>
    <w:rsid w:val="00846E31"/>
    <w:rsid w:val="008474FE"/>
    <w:rsid w:val="00847D1B"/>
    <w:rsid w:val="008520AF"/>
    <w:rsid w:val="0085214F"/>
    <w:rsid w:val="00852177"/>
    <w:rsid w:val="0085221B"/>
    <w:rsid w:val="00852427"/>
    <w:rsid w:val="00852873"/>
    <w:rsid w:val="00852FA7"/>
    <w:rsid w:val="008538FD"/>
    <w:rsid w:val="00853CBF"/>
    <w:rsid w:val="00853CDF"/>
    <w:rsid w:val="00853EE4"/>
    <w:rsid w:val="0085414C"/>
    <w:rsid w:val="00855535"/>
    <w:rsid w:val="008573B1"/>
    <w:rsid w:val="0085772D"/>
    <w:rsid w:val="008577B5"/>
    <w:rsid w:val="00857C5A"/>
    <w:rsid w:val="00860A3E"/>
    <w:rsid w:val="00860D86"/>
    <w:rsid w:val="00861115"/>
    <w:rsid w:val="00861B93"/>
    <w:rsid w:val="00861C7A"/>
    <w:rsid w:val="00861E24"/>
    <w:rsid w:val="00861E52"/>
    <w:rsid w:val="0086255E"/>
    <w:rsid w:val="00862783"/>
    <w:rsid w:val="00862AA6"/>
    <w:rsid w:val="008633F0"/>
    <w:rsid w:val="00863A59"/>
    <w:rsid w:val="00863B7C"/>
    <w:rsid w:val="00863FBA"/>
    <w:rsid w:val="00864C8D"/>
    <w:rsid w:val="008655E0"/>
    <w:rsid w:val="00865AC3"/>
    <w:rsid w:val="00865BF1"/>
    <w:rsid w:val="00866013"/>
    <w:rsid w:val="00866113"/>
    <w:rsid w:val="008662D1"/>
    <w:rsid w:val="00867BF9"/>
    <w:rsid w:val="00867D9D"/>
    <w:rsid w:val="00867E1E"/>
    <w:rsid w:val="00870772"/>
    <w:rsid w:val="008711ED"/>
    <w:rsid w:val="008714C9"/>
    <w:rsid w:val="00871930"/>
    <w:rsid w:val="00871937"/>
    <w:rsid w:val="00871F12"/>
    <w:rsid w:val="00872E0A"/>
    <w:rsid w:val="008731C8"/>
    <w:rsid w:val="00873564"/>
    <w:rsid w:val="00873594"/>
    <w:rsid w:val="00873796"/>
    <w:rsid w:val="00875184"/>
    <w:rsid w:val="00875285"/>
    <w:rsid w:val="00875C92"/>
    <w:rsid w:val="008764B2"/>
    <w:rsid w:val="00876686"/>
    <w:rsid w:val="008770D8"/>
    <w:rsid w:val="00877635"/>
    <w:rsid w:val="00877D16"/>
    <w:rsid w:val="00877FB1"/>
    <w:rsid w:val="00880480"/>
    <w:rsid w:val="00880B59"/>
    <w:rsid w:val="00880DF3"/>
    <w:rsid w:val="00880FA2"/>
    <w:rsid w:val="008810E6"/>
    <w:rsid w:val="00881935"/>
    <w:rsid w:val="00881C30"/>
    <w:rsid w:val="00881F02"/>
    <w:rsid w:val="00882E4F"/>
    <w:rsid w:val="00883EBB"/>
    <w:rsid w:val="008843BC"/>
    <w:rsid w:val="00884B62"/>
    <w:rsid w:val="008850E9"/>
    <w:rsid w:val="0088529C"/>
    <w:rsid w:val="00887556"/>
    <w:rsid w:val="00887903"/>
    <w:rsid w:val="00887C5B"/>
    <w:rsid w:val="00887F04"/>
    <w:rsid w:val="008902C7"/>
    <w:rsid w:val="00890914"/>
    <w:rsid w:val="00890A9C"/>
    <w:rsid w:val="00890E68"/>
    <w:rsid w:val="00891889"/>
    <w:rsid w:val="0089270A"/>
    <w:rsid w:val="008935DD"/>
    <w:rsid w:val="00893AF6"/>
    <w:rsid w:val="0089415E"/>
    <w:rsid w:val="00894BC4"/>
    <w:rsid w:val="00894D72"/>
    <w:rsid w:val="008950FF"/>
    <w:rsid w:val="00895A58"/>
    <w:rsid w:val="00895BB3"/>
    <w:rsid w:val="00895BBD"/>
    <w:rsid w:val="00895D49"/>
    <w:rsid w:val="00895FC4"/>
    <w:rsid w:val="00896356"/>
    <w:rsid w:val="00896890"/>
    <w:rsid w:val="008A02C0"/>
    <w:rsid w:val="008A04D3"/>
    <w:rsid w:val="008A0701"/>
    <w:rsid w:val="008A090C"/>
    <w:rsid w:val="008A1289"/>
    <w:rsid w:val="008A1A54"/>
    <w:rsid w:val="008A2064"/>
    <w:rsid w:val="008A22C2"/>
    <w:rsid w:val="008A2336"/>
    <w:rsid w:val="008A25C7"/>
    <w:rsid w:val="008A28A8"/>
    <w:rsid w:val="008A2962"/>
    <w:rsid w:val="008A3576"/>
    <w:rsid w:val="008A37E3"/>
    <w:rsid w:val="008A44A9"/>
    <w:rsid w:val="008A529E"/>
    <w:rsid w:val="008A5B32"/>
    <w:rsid w:val="008A6F4F"/>
    <w:rsid w:val="008A7659"/>
    <w:rsid w:val="008A776B"/>
    <w:rsid w:val="008B06ED"/>
    <w:rsid w:val="008B08AC"/>
    <w:rsid w:val="008B09B7"/>
    <w:rsid w:val="008B19F6"/>
    <w:rsid w:val="008B1B6C"/>
    <w:rsid w:val="008B2029"/>
    <w:rsid w:val="008B23F4"/>
    <w:rsid w:val="008B255B"/>
    <w:rsid w:val="008B26D0"/>
    <w:rsid w:val="008B2A40"/>
    <w:rsid w:val="008B2EE4"/>
    <w:rsid w:val="008B338A"/>
    <w:rsid w:val="008B3821"/>
    <w:rsid w:val="008B3CBA"/>
    <w:rsid w:val="008B43F8"/>
    <w:rsid w:val="008B446F"/>
    <w:rsid w:val="008B4808"/>
    <w:rsid w:val="008B4D3D"/>
    <w:rsid w:val="008B5495"/>
    <w:rsid w:val="008B57C7"/>
    <w:rsid w:val="008B5D9A"/>
    <w:rsid w:val="008B5F9D"/>
    <w:rsid w:val="008B62EE"/>
    <w:rsid w:val="008B675C"/>
    <w:rsid w:val="008B7EC5"/>
    <w:rsid w:val="008B7FDF"/>
    <w:rsid w:val="008C00E2"/>
    <w:rsid w:val="008C02AE"/>
    <w:rsid w:val="008C10C6"/>
    <w:rsid w:val="008C22E2"/>
    <w:rsid w:val="008C2CE2"/>
    <w:rsid w:val="008C2D02"/>
    <w:rsid w:val="008C2F92"/>
    <w:rsid w:val="008C3546"/>
    <w:rsid w:val="008C3CAA"/>
    <w:rsid w:val="008C3DEC"/>
    <w:rsid w:val="008C456A"/>
    <w:rsid w:val="008C457E"/>
    <w:rsid w:val="008C483B"/>
    <w:rsid w:val="008C48C5"/>
    <w:rsid w:val="008C5752"/>
    <w:rsid w:val="008C589D"/>
    <w:rsid w:val="008C66DA"/>
    <w:rsid w:val="008C6786"/>
    <w:rsid w:val="008C6D41"/>
    <w:rsid w:val="008C6D51"/>
    <w:rsid w:val="008C6DEE"/>
    <w:rsid w:val="008C6ECC"/>
    <w:rsid w:val="008CF06B"/>
    <w:rsid w:val="008D0041"/>
    <w:rsid w:val="008D0448"/>
    <w:rsid w:val="008D0DF2"/>
    <w:rsid w:val="008D1299"/>
    <w:rsid w:val="008D18BF"/>
    <w:rsid w:val="008D23DE"/>
    <w:rsid w:val="008D2846"/>
    <w:rsid w:val="008D3845"/>
    <w:rsid w:val="008D3AB5"/>
    <w:rsid w:val="008D4236"/>
    <w:rsid w:val="008D462F"/>
    <w:rsid w:val="008D4E1E"/>
    <w:rsid w:val="008D640C"/>
    <w:rsid w:val="008D66ED"/>
    <w:rsid w:val="008D6A1E"/>
    <w:rsid w:val="008D6DCF"/>
    <w:rsid w:val="008E34FC"/>
    <w:rsid w:val="008E3E93"/>
    <w:rsid w:val="008E4376"/>
    <w:rsid w:val="008E4B67"/>
    <w:rsid w:val="008E6985"/>
    <w:rsid w:val="008E708C"/>
    <w:rsid w:val="008E7408"/>
    <w:rsid w:val="008E7807"/>
    <w:rsid w:val="008E7A0A"/>
    <w:rsid w:val="008E7A76"/>
    <w:rsid w:val="008E7B49"/>
    <w:rsid w:val="008F06A5"/>
    <w:rsid w:val="008F164A"/>
    <w:rsid w:val="008F1708"/>
    <w:rsid w:val="008F2D4E"/>
    <w:rsid w:val="008F316B"/>
    <w:rsid w:val="008F3240"/>
    <w:rsid w:val="008F32F4"/>
    <w:rsid w:val="008F3B98"/>
    <w:rsid w:val="008F3E01"/>
    <w:rsid w:val="008F3FA7"/>
    <w:rsid w:val="008F41C2"/>
    <w:rsid w:val="008F457F"/>
    <w:rsid w:val="008F5528"/>
    <w:rsid w:val="008F59F6"/>
    <w:rsid w:val="008F5B35"/>
    <w:rsid w:val="008F5F10"/>
    <w:rsid w:val="008F69A8"/>
    <w:rsid w:val="008F6EFE"/>
    <w:rsid w:val="008F6FB5"/>
    <w:rsid w:val="008F7C11"/>
    <w:rsid w:val="00900719"/>
    <w:rsid w:val="009017AC"/>
    <w:rsid w:val="00901DCE"/>
    <w:rsid w:val="00902860"/>
    <w:rsid w:val="00902A9A"/>
    <w:rsid w:val="00902B7B"/>
    <w:rsid w:val="009030BB"/>
    <w:rsid w:val="009031D6"/>
    <w:rsid w:val="0090380C"/>
    <w:rsid w:val="0090499F"/>
    <w:rsid w:val="00904A1C"/>
    <w:rsid w:val="00905030"/>
    <w:rsid w:val="00905605"/>
    <w:rsid w:val="009057FD"/>
    <w:rsid w:val="00905C45"/>
    <w:rsid w:val="00905E2B"/>
    <w:rsid w:val="00905E38"/>
    <w:rsid w:val="0090640A"/>
    <w:rsid w:val="00906490"/>
    <w:rsid w:val="0090671B"/>
    <w:rsid w:val="00907CBA"/>
    <w:rsid w:val="00910376"/>
    <w:rsid w:val="00910452"/>
    <w:rsid w:val="009104F4"/>
    <w:rsid w:val="00910A50"/>
    <w:rsid w:val="009111B2"/>
    <w:rsid w:val="009111EA"/>
    <w:rsid w:val="00911513"/>
    <w:rsid w:val="00911570"/>
    <w:rsid w:val="009118DD"/>
    <w:rsid w:val="00911C2A"/>
    <w:rsid w:val="009121F5"/>
    <w:rsid w:val="0091240D"/>
    <w:rsid w:val="00912562"/>
    <w:rsid w:val="00912F55"/>
    <w:rsid w:val="00912FB8"/>
    <w:rsid w:val="009137E6"/>
    <w:rsid w:val="009138C9"/>
    <w:rsid w:val="0091400B"/>
    <w:rsid w:val="009140E1"/>
    <w:rsid w:val="0091494F"/>
    <w:rsid w:val="00914B4E"/>
    <w:rsid w:val="009151F5"/>
    <w:rsid w:val="00915769"/>
    <w:rsid w:val="00915883"/>
    <w:rsid w:val="00915CC3"/>
    <w:rsid w:val="00915FDB"/>
    <w:rsid w:val="00917698"/>
    <w:rsid w:val="009179FA"/>
    <w:rsid w:val="009208BB"/>
    <w:rsid w:val="00920D05"/>
    <w:rsid w:val="0092136E"/>
    <w:rsid w:val="0092154C"/>
    <w:rsid w:val="0092154D"/>
    <w:rsid w:val="0092174E"/>
    <w:rsid w:val="00921A49"/>
    <w:rsid w:val="009225DC"/>
    <w:rsid w:val="00922F19"/>
    <w:rsid w:val="0092332A"/>
    <w:rsid w:val="009234FB"/>
    <w:rsid w:val="0092392D"/>
    <w:rsid w:val="00923EB8"/>
    <w:rsid w:val="00924AB1"/>
    <w:rsid w:val="00924AE1"/>
    <w:rsid w:val="00924B57"/>
    <w:rsid w:val="009259DB"/>
    <w:rsid w:val="009260FD"/>
    <w:rsid w:val="009269B1"/>
    <w:rsid w:val="0092724D"/>
    <w:rsid w:val="009272B3"/>
    <w:rsid w:val="009272EC"/>
    <w:rsid w:val="00927A9A"/>
    <w:rsid w:val="009315BE"/>
    <w:rsid w:val="009318EA"/>
    <w:rsid w:val="00931DBF"/>
    <w:rsid w:val="009326DC"/>
    <w:rsid w:val="009326DD"/>
    <w:rsid w:val="009327B9"/>
    <w:rsid w:val="0093338F"/>
    <w:rsid w:val="00933803"/>
    <w:rsid w:val="00934247"/>
    <w:rsid w:val="009343CF"/>
    <w:rsid w:val="00934853"/>
    <w:rsid w:val="00934995"/>
    <w:rsid w:val="00934A58"/>
    <w:rsid w:val="00934E77"/>
    <w:rsid w:val="0093594C"/>
    <w:rsid w:val="0093664F"/>
    <w:rsid w:val="0093696D"/>
    <w:rsid w:val="00937A53"/>
    <w:rsid w:val="00937BD9"/>
    <w:rsid w:val="00937D72"/>
    <w:rsid w:val="009403B7"/>
    <w:rsid w:val="009426F3"/>
    <w:rsid w:val="0094460D"/>
    <w:rsid w:val="00944C28"/>
    <w:rsid w:val="009452B7"/>
    <w:rsid w:val="00946659"/>
    <w:rsid w:val="00946A6F"/>
    <w:rsid w:val="00947156"/>
    <w:rsid w:val="00947792"/>
    <w:rsid w:val="00947E7E"/>
    <w:rsid w:val="0095025A"/>
    <w:rsid w:val="00950E2C"/>
    <w:rsid w:val="0095129C"/>
    <w:rsid w:val="0095132F"/>
    <w:rsid w:val="00951D50"/>
    <w:rsid w:val="00951E76"/>
    <w:rsid w:val="009525EB"/>
    <w:rsid w:val="009528E4"/>
    <w:rsid w:val="00952CDF"/>
    <w:rsid w:val="00952EAF"/>
    <w:rsid w:val="009531DF"/>
    <w:rsid w:val="009539C3"/>
    <w:rsid w:val="0095470B"/>
    <w:rsid w:val="00954874"/>
    <w:rsid w:val="00954B9B"/>
    <w:rsid w:val="00954CE5"/>
    <w:rsid w:val="00955090"/>
    <w:rsid w:val="0095615A"/>
    <w:rsid w:val="00956289"/>
    <w:rsid w:val="0095724B"/>
    <w:rsid w:val="00957937"/>
    <w:rsid w:val="00957E33"/>
    <w:rsid w:val="00957EDD"/>
    <w:rsid w:val="00961285"/>
    <w:rsid w:val="00961400"/>
    <w:rsid w:val="00961B4C"/>
    <w:rsid w:val="00961D5E"/>
    <w:rsid w:val="00962DB1"/>
    <w:rsid w:val="00963420"/>
    <w:rsid w:val="00963646"/>
    <w:rsid w:val="00963CE9"/>
    <w:rsid w:val="0096506F"/>
    <w:rsid w:val="009651CC"/>
    <w:rsid w:val="0096595A"/>
    <w:rsid w:val="00965C1B"/>
    <w:rsid w:val="0096632D"/>
    <w:rsid w:val="009670A9"/>
    <w:rsid w:val="00967124"/>
    <w:rsid w:val="00967C78"/>
    <w:rsid w:val="009701EF"/>
    <w:rsid w:val="009702B7"/>
    <w:rsid w:val="0097039E"/>
    <w:rsid w:val="0097166C"/>
    <w:rsid w:val="009718C7"/>
    <w:rsid w:val="00972D51"/>
    <w:rsid w:val="00973210"/>
    <w:rsid w:val="0097325E"/>
    <w:rsid w:val="00974411"/>
    <w:rsid w:val="009748A7"/>
    <w:rsid w:val="00974CE1"/>
    <w:rsid w:val="0097559F"/>
    <w:rsid w:val="00975CF7"/>
    <w:rsid w:val="009761EA"/>
    <w:rsid w:val="00976C48"/>
    <w:rsid w:val="009772CA"/>
    <w:rsid w:val="0097761E"/>
    <w:rsid w:val="00977B1B"/>
    <w:rsid w:val="00977D86"/>
    <w:rsid w:val="009807AA"/>
    <w:rsid w:val="00980C2A"/>
    <w:rsid w:val="00981625"/>
    <w:rsid w:val="00981D9B"/>
    <w:rsid w:val="00982454"/>
    <w:rsid w:val="00982CF0"/>
    <w:rsid w:val="00982F55"/>
    <w:rsid w:val="00983103"/>
    <w:rsid w:val="009831C8"/>
    <w:rsid w:val="0098399E"/>
    <w:rsid w:val="00983E16"/>
    <w:rsid w:val="009852F8"/>
    <w:rsid w:val="009853E1"/>
    <w:rsid w:val="00985A91"/>
    <w:rsid w:val="0098619D"/>
    <w:rsid w:val="00986E6B"/>
    <w:rsid w:val="009872A8"/>
    <w:rsid w:val="00987524"/>
    <w:rsid w:val="00987731"/>
    <w:rsid w:val="009879B1"/>
    <w:rsid w:val="00987C78"/>
    <w:rsid w:val="00990032"/>
    <w:rsid w:val="00990897"/>
    <w:rsid w:val="00990A65"/>
    <w:rsid w:val="00990B19"/>
    <w:rsid w:val="0099153B"/>
    <w:rsid w:val="00991769"/>
    <w:rsid w:val="0099232C"/>
    <w:rsid w:val="0099255A"/>
    <w:rsid w:val="00994386"/>
    <w:rsid w:val="00994E47"/>
    <w:rsid w:val="00995891"/>
    <w:rsid w:val="00995B83"/>
    <w:rsid w:val="00996A3D"/>
    <w:rsid w:val="00996D10"/>
    <w:rsid w:val="00997A0D"/>
    <w:rsid w:val="009A0134"/>
    <w:rsid w:val="009A0219"/>
    <w:rsid w:val="009A0A8D"/>
    <w:rsid w:val="009A13D8"/>
    <w:rsid w:val="009A1A37"/>
    <w:rsid w:val="009A1B30"/>
    <w:rsid w:val="009A279E"/>
    <w:rsid w:val="009A3015"/>
    <w:rsid w:val="009A3490"/>
    <w:rsid w:val="009A3844"/>
    <w:rsid w:val="009A4370"/>
    <w:rsid w:val="009A4785"/>
    <w:rsid w:val="009A5AAA"/>
    <w:rsid w:val="009A6A25"/>
    <w:rsid w:val="009A6C94"/>
    <w:rsid w:val="009B0009"/>
    <w:rsid w:val="009B00C5"/>
    <w:rsid w:val="009B0142"/>
    <w:rsid w:val="009B01F0"/>
    <w:rsid w:val="009B05FD"/>
    <w:rsid w:val="009B0A6F"/>
    <w:rsid w:val="009B0A94"/>
    <w:rsid w:val="009B0C62"/>
    <w:rsid w:val="009B1762"/>
    <w:rsid w:val="009B29D1"/>
    <w:rsid w:val="009B2AE8"/>
    <w:rsid w:val="009B3853"/>
    <w:rsid w:val="009B393F"/>
    <w:rsid w:val="009B5088"/>
    <w:rsid w:val="009B5351"/>
    <w:rsid w:val="009B55B5"/>
    <w:rsid w:val="009B5622"/>
    <w:rsid w:val="009B59E9"/>
    <w:rsid w:val="009B68DD"/>
    <w:rsid w:val="009B70AA"/>
    <w:rsid w:val="009B714F"/>
    <w:rsid w:val="009B73EA"/>
    <w:rsid w:val="009B74B5"/>
    <w:rsid w:val="009B7C3C"/>
    <w:rsid w:val="009C008D"/>
    <w:rsid w:val="009C130A"/>
    <w:rsid w:val="009C245E"/>
    <w:rsid w:val="009C3CF1"/>
    <w:rsid w:val="009C3D89"/>
    <w:rsid w:val="009C4E63"/>
    <w:rsid w:val="009C4ECC"/>
    <w:rsid w:val="009C5348"/>
    <w:rsid w:val="009C5544"/>
    <w:rsid w:val="009C57C8"/>
    <w:rsid w:val="009C5E77"/>
    <w:rsid w:val="009C5F62"/>
    <w:rsid w:val="009C7A7E"/>
    <w:rsid w:val="009D02E8"/>
    <w:rsid w:val="009D0414"/>
    <w:rsid w:val="009D20FB"/>
    <w:rsid w:val="009D2E69"/>
    <w:rsid w:val="009D328F"/>
    <w:rsid w:val="009D3343"/>
    <w:rsid w:val="009D356F"/>
    <w:rsid w:val="009D380A"/>
    <w:rsid w:val="009D51D0"/>
    <w:rsid w:val="009D54BF"/>
    <w:rsid w:val="009D5584"/>
    <w:rsid w:val="009D5AD2"/>
    <w:rsid w:val="009D5C43"/>
    <w:rsid w:val="009D5D06"/>
    <w:rsid w:val="009D6A03"/>
    <w:rsid w:val="009D70A4"/>
    <w:rsid w:val="009D71DE"/>
    <w:rsid w:val="009D742B"/>
    <w:rsid w:val="009D7B14"/>
    <w:rsid w:val="009D7EDD"/>
    <w:rsid w:val="009D8C3A"/>
    <w:rsid w:val="009DC8F6"/>
    <w:rsid w:val="009E08D1"/>
    <w:rsid w:val="009E0CB4"/>
    <w:rsid w:val="009E0D96"/>
    <w:rsid w:val="009E11B3"/>
    <w:rsid w:val="009E1B95"/>
    <w:rsid w:val="009E26A8"/>
    <w:rsid w:val="009E3163"/>
    <w:rsid w:val="009E4609"/>
    <w:rsid w:val="009E496F"/>
    <w:rsid w:val="009E4B0D"/>
    <w:rsid w:val="009E5250"/>
    <w:rsid w:val="009E6008"/>
    <w:rsid w:val="009E608C"/>
    <w:rsid w:val="009E60F1"/>
    <w:rsid w:val="009E7497"/>
    <w:rsid w:val="009E7A69"/>
    <w:rsid w:val="009E7C5D"/>
    <w:rsid w:val="009E7C5F"/>
    <w:rsid w:val="009E7F92"/>
    <w:rsid w:val="009F02A3"/>
    <w:rsid w:val="009F2182"/>
    <w:rsid w:val="009F25B1"/>
    <w:rsid w:val="009F2E52"/>
    <w:rsid w:val="009F2EA0"/>
    <w:rsid w:val="009F2F27"/>
    <w:rsid w:val="009F34AA"/>
    <w:rsid w:val="009F3720"/>
    <w:rsid w:val="009F4D56"/>
    <w:rsid w:val="009F54F8"/>
    <w:rsid w:val="009F55E6"/>
    <w:rsid w:val="009F57FD"/>
    <w:rsid w:val="009F5B73"/>
    <w:rsid w:val="009F5C61"/>
    <w:rsid w:val="009F5F72"/>
    <w:rsid w:val="009F6754"/>
    <w:rsid w:val="009F6A92"/>
    <w:rsid w:val="009F6BCB"/>
    <w:rsid w:val="009F6F20"/>
    <w:rsid w:val="009F73AF"/>
    <w:rsid w:val="009F75EC"/>
    <w:rsid w:val="009F7681"/>
    <w:rsid w:val="009F788C"/>
    <w:rsid w:val="009F7AF4"/>
    <w:rsid w:val="009F7B78"/>
    <w:rsid w:val="009F7E2B"/>
    <w:rsid w:val="009F7F76"/>
    <w:rsid w:val="00A0057A"/>
    <w:rsid w:val="00A0088C"/>
    <w:rsid w:val="00A0116C"/>
    <w:rsid w:val="00A011A7"/>
    <w:rsid w:val="00A0174B"/>
    <w:rsid w:val="00A0185A"/>
    <w:rsid w:val="00A01E68"/>
    <w:rsid w:val="00A01F0F"/>
    <w:rsid w:val="00A01FB1"/>
    <w:rsid w:val="00A0220E"/>
    <w:rsid w:val="00A02FA1"/>
    <w:rsid w:val="00A039E6"/>
    <w:rsid w:val="00A03B16"/>
    <w:rsid w:val="00A04986"/>
    <w:rsid w:val="00A04CCE"/>
    <w:rsid w:val="00A04E0E"/>
    <w:rsid w:val="00A05A3E"/>
    <w:rsid w:val="00A05E68"/>
    <w:rsid w:val="00A068C1"/>
    <w:rsid w:val="00A06A82"/>
    <w:rsid w:val="00A07421"/>
    <w:rsid w:val="00A0776B"/>
    <w:rsid w:val="00A10198"/>
    <w:rsid w:val="00A1094A"/>
    <w:rsid w:val="00A10AF7"/>
    <w:rsid w:val="00A10D41"/>
    <w:rsid w:val="00A10F75"/>
    <w:rsid w:val="00A10FB9"/>
    <w:rsid w:val="00A11421"/>
    <w:rsid w:val="00A11D53"/>
    <w:rsid w:val="00A11DA2"/>
    <w:rsid w:val="00A11F68"/>
    <w:rsid w:val="00A123AA"/>
    <w:rsid w:val="00A124CA"/>
    <w:rsid w:val="00A12B1A"/>
    <w:rsid w:val="00A13750"/>
    <w:rsid w:val="00A1389F"/>
    <w:rsid w:val="00A144DD"/>
    <w:rsid w:val="00A149F7"/>
    <w:rsid w:val="00A1569B"/>
    <w:rsid w:val="00A157B1"/>
    <w:rsid w:val="00A16AC3"/>
    <w:rsid w:val="00A173DD"/>
    <w:rsid w:val="00A17841"/>
    <w:rsid w:val="00A17F8D"/>
    <w:rsid w:val="00A203CB"/>
    <w:rsid w:val="00A205C1"/>
    <w:rsid w:val="00A21DC1"/>
    <w:rsid w:val="00A21E95"/>
    <w:rsid w:val="00A220F7"/>
    <w:rsid w:val="00A22229"/>
    <w:rsid w:val="00A225A3"/>
    <w:rsid w:val="00A22C2D"/>
    <w:rsid w:val="00A22EB8"/>
    <w:rsid w:val="00A23182"/>
    <w:rsid w:val="00A24442"/>
    <w:rsid w:val="00A244AD"/>
    <w:rsid w:val="00A24536"/>
    <w:rsid w:val="00A24963"/>
    <w:rsid w:val="00A24ADA"/>
    <w:rsid w:val="00A27517"/>
    <w:rsid w:val="00A27DF1"/>
    <w:rsid w:val="00A27F77"/>
    <w:rsid w:val="00A301B9"/>
    <w:rsid w:val="00A304FC"/>
    <w:rsid w:val="00A30E91"/>
    <w:rsid w:val="00A31871"/>
    <w:rsid w:val="00A31878"/>
    <w:rsid w:val="00A31FBB"/>
    <w:rsid w:val="00A32577"/>
    <w:rsid w:val="00A3267D"/>
    <w:rsid w:val="00A330BB"/>
    <w:rsid w:val="00A33270"/>
    <w:rsid w:val="00A333C0"/>
    <w:rsid w:val="00A339CE"/>
    <w:rsid w:val="00A33A5B"/>
    <w:rsid w:val="00A34002"/>
    <w:rsid w:val="00A34C76"/>
    <w:rsid w:val="00A35A86"/>
    <w:rsid w:val="00A36621"/>
    <w:rsid w:val="00A40015"/>
    <w:rsid w:val="00A403DE"/>
    <w:rsid w:val="00A4089D"/>
    <w:rsid w:val="00A408F3"/>
    <w:rsid w:val="00A410C0"/>
    <w:rsid w:val="00A41182"/>
    <w:rsid w:val="00A41D7B"/>
    <w:rsid w:val="00A4239B"/>
    <w:rsid w:val="00A42CC6"/>
    <w:rsid w:val="00A42EEE"/>
    <w:rsid w:val="00A43C82"/>
    <w:rsid w:val="00A43E5E"/>
    <w:rsid w:val="00A4440E"/>
    <w:rsid w:val="00A446F5"/>
    <w:rsid w:val="00A4476A"/>
    <w:rsid w:val="00A44882"/>
    <w:rsid w:val="00A44922"/>
    <w:rsid w:val="00A449E8"/>
    <w:rsid w:val="00A45125"/>
    <w:rsid w:val="00A45FE7"/>
    <w:rsid w:val="00A46407"/>
    <w:rsid w:val="00A4666E"/>
    <w:rsid w:val="00A46F3C"/>
    <w:rsid w:val="00A47087"/>
    <w:rsid w:val="00A478DA"/>
    <w:rsid w:val="00A50984"/>
    <w:rsid w:val="00A509EC"/>
    <w:rsid w:val="00A50B0C"/>
    <w:rsid w:val="00A50DFF"/>
    <w:rsid w:val="00A50EDE"/>
    <w:rsid w:val="00A5250A"/>
    <w:rsid w:val="00A526A5"/>
    <w:rsid w:val="00A532DA"/>
    <w:rsid w:val="00A54715"/>
    <w:rsid w:val="00A54CA8"/>
    <w:rsid w:val="00A5506E"/>
    <w:rsid w:val="00A55194"/>
    <w:rsid w:val="00A5610F"/>
    <w:rsid w:val="00A56A69"/>
    <w:rsid w:val="00A572BE"/>
    <w:rsid w:val="00A57B2C"/>
    <w:rsid w:val="00A6012B"/>
    <w:rsid w:val="00A6061C"/>
    <w:rsid w:val="00A613FE"/>
    <w:rsid w:val="00A6184C"/>
    <w:rsid w:val="00A61D4F"/>
    <w:rsid w:val="00A62481"/>
    <w:rsid w:val="00A624A1"/>
    <w:rsid w:val="00A62899"/>
    <w:rsid w:val="00A62D44"/>
    <w:rsid w:val="00A63B61"/>
    <w:rsid w:val="00A64388"/>
    <w:rsid w:val="00A64D16"/>
    <w:rsid w:val="00A64DFB"/>
    <w:rsid w:val="00A6570C"/>
    <w:rsid w:val="00A661E9"/>
    <w:rsid w:val="00A66BFA"/>
    <w:rsid w:val="00A66CFE"/>
    <w:rsid w:val="00A67263"/>
    <w:rsid w:val="00A67772"/>
    <w:rsid w:val="00A67F34"/>
    <w:rsid w:val="00A70331"/>
    <w:rsid w:val="00A7161C"/>
    <w:rsid w:val="00A71663"/>
    <w:rsid w:val="00A71BD7"/>
    <w:rsid w:val="00A71CE4"/>
    <w:rsid w:val="00A71FD0"/>
    <w:rsid w:val="00A7272C"/>
    <w:rsid w:val="00A72CB6"/>
    <w:rsid w:val="00A731C8"/>
    <w:rsid w:val="00A73F81"/>
    <w:rsid w:val="00A740BA"/>
    <w:rsid w:val="00A745BF"/>
    <w:rsid w:val="00A74C23"/>
    <w:rsid w:val="00A753F7"/>
    <w:rsid w:val="00A75550"/>
    <w:rsid w:val="00A757A3"/>
    <w:rsid w:val="00A7643A"/>
    <w:rsid w:val="00A76572"/>
    <w:rsid w:val="00A77AA3"/>
    <w:rsid w:val="00A77D99"/>
    <w:rsid w:val="00A77F7B"/>
    <w:rsid w:val="00A801BF"/>
    <w:rsid w:val="00A802F8"/>
    <w:rsid w:val="00A80BD6"/>
    <w:rsid w:val="00A815A8"/>
    <w:rsid w:val="00A8199B"/>
    <w:rsid w:val="00A81A8D"/>
    <w:rsid w:val="00A8236D"/>
    <w:rsid w:val="00A82E34"/>
    <w:rsid w:val="00A82F16"/>
    <w:rsid w:val="00A833B6"/>
    <w:rsid w:val="00A83630"/>
    <w:rsid w:val="00A84FD8"/>
    <w:rsid w:val="00A854EB"/>
    <w:rsid w:val="00A8566C"/>
    <w:rsid w:val="00A85732"/>
    <w:rsid w:val="00A85D26"/>
    <w:rsid w:val="00A85EFA"/>
    <w:rsid w:val="00A860A5"/>
    <w:rsid w:val="00A86DFB"/>
    <w:rsid w:val="00A86E8E"/>
    <w:rsid w:val="00A8719F"/>
    <w:rsid w:val="00A872BF"/>
    <w:rsid w:val="00A872E5"/>
    <w:rsid w:val="00A87969"/>
    <w:rsid w:val="00A87C4C"/>
    <w:rsid w:val="00A90B5C"/>
    <w:rsid w:val="00A90F74"/>
    <w:rsid w:val="00A91406"/>
    <w:rsid w:val="00A916D8"/>
    <w:rsid w:val="00A9175F"/>
    <w:rsid w:val="00A918FE"/>
    <w:rsid w:val="00A91F00"/>
    <w:rsid w:val="00A92C25"/>
    <w:rsid w:val="00A92C40"/>
    <w:rsid w:val="00A9330F"/>
    <w:rsid w:val="00A93DCF"/>
    <w:rsid w:val="00A9542E"/>
    <w:rsid w:val="00A95475"/>
    <w:rsid w:val="00A95AE9"/>
    <w:rsid w:val="00A96B42"/>
    <w:rsid w:val="00A96D71"/>
    <w:rsid w:val="00A96E65"/>
    <w:rsid w:val="00A96ECE"/>
    <w:rsid w:val="00A97C72"/>
    <w:rsid w:val="00A97CFF"/>
    <w:rsid w:val="00A97F0C"/>
    <w:rsid w:val="00AA1887"/>
    <w:rsid w:val="00AA19A6"/>
    <w:rsid w:val="00AA1F52"/>
    <w:rsid w:val="00AA24C6"/>
    <w:rsid w:val="00AA25C7"/>
    <w:rsid w:val="00AA310B"/>
    <w:rsid w:val="00AA350B"/>
    <w:rsid w:val="00AA4175"/>
    <w:rsid w:val="00AA41EB"/>
    <w:rsid w:val="00AA4777"/>
    <w:rsid w:val="00AA4EB3"/>
    <w:rsid w:val="00AA515C"/>
    <w:rsid w:val="00AA5419"/>
    <w:rsid w:val="00AA63D4"/>
    <w:rsid w:val="00AA67EB"/>
    <w:rsid w:val="00AA6EB3"/>
    <w:rsid w:val="00AA72AA"/>
    <w:rsid w:val="00AA7373"/>
    <w:rsid w:val="00AA77CD"/>
    <w:rsid w:val="00AB06C1"/>
    <w:rsid w:val="00AB06E8"/>
    <w:rsid w:val="00AB1CD3"/>
    <w:rsid w:val="00AB1FE3"/>
    <w:rsid w:val="00AB2226"/>
    <w:rsid w:val="00AB29C3"/>
    <w:rsid w:val="00AB2A49"/>
    <w:rsid w:val="00AB352F"/>
    <w:rsid w:val="00AB3F7B"/>
    <w:rsid w:val="00AB3FDE"/>
    <w:rsid w:val="00AB4050"/>
    <w:rsid w:val="00AB525E"/>
    <w:rsid w:val="00AB54FB"/>
    <w:rsid w:val="00AB5C6B"/>
    <w:rsid w:val="00AB6A1B"/>
    <w:rsid w:val="00AB771E"/>
    <w:rsid w:val="00AB7B42"/>
    <w:rsid w:val="00AC1959"/>
    <w:rsid w:val="00AC1D4C"/>
    <w:rsid w:val="00AC2241"/>
    <w:rsid w:val="00AC262F"/>
    <w:rsid w:val="00AC274B"/>
    <w:rsid w:val="00AC275A"/>
    <w:rsid w:val="00AC2EA7"/>
    <w:rsid w:val="00AC44D0"/>
    <w:rsid w:val="00AC46B6"/>
    <w:rsid w:val="00AC4764"/>
    <w:rsid w:val="00AC544E"/>
    <w:rsid w:val="00AC5DB7"/>
    <w:rsid w:val="00AC6192"/>
    <w:rsid w:val="00AC65A7"/>
    <w:rsid w:val="00AC6999"/>
    <w:rsid w:val="00AC6C82"/>
    <w:rsid w:val="00AC6D36"/>
    <w:rsid w:val="00AD0CBA"/>
    <w:rsid w:val="00AD0D3A"/>
    <w:rsid w:val="00AD10B1"/>
    <w:rsid w:val="00AD1821"/>
    <w:rsid w:val="00AD1DC1"/>
    <w:rsid w:val="00AD23E9"/>
    <w:rsid w:val="00AD26E2"/>
    <w:rsid w:val="00AD2B63"/>
    <w:rsid w:val="00AD4CFF"/>
    <w:rsid w:val="00AD52AE"/>
    <w:rsid w:val="00AD6715"/>
    <w:rsid w:val="00AD771F"/>
    <w:rsid w:val="00AD784C"/>
    <w:rsid w:val="00AD78CC"/>
    <w:rsid w:val="00AD7C08"/>
    <w:rsid w:val="00AD7E95"/>
    <w:rsid w:val="00AE039C"/>
    <w:rsid w:val="00AE0731"/>
    <w:rsid w:val="00AE09EF"/>
    <w:rsid w:val="00AE10F5"/>
    <w:rsid w:val="00AE126A"/>
    <w:rsid w:val="00AE13A1"/>
    <w:rsid w:val="00AE1825"/>
    <w:rsid w:val="00AE184A"/>
    <w:rsid w:val="00AE1BAE"/>
    <w:rsid w:val="00AE3005"/>
    <w:rsid w:val="00AE32AE"/>
    <w:rsid w:val="00AE3BD5"/>
    <w:rsid w:val="00AE3BF9"/>
    <w:rsid w:val="00AE455D"/>
    <w:rsid w:val="00AE47F2"/>
    <w:rsid w:val="00AE5159"/>
    <w:rsid w:val="00AE5865"/>
    <w:rsid w:val="00AE5885"/>
    <w:rsid w:val="00AE59A0"/>
    <w:rsid w:val="00AE5ADA"/>
    <w:rsid w:val="00AE5D74"/>
    <w:rsid w:val="00AE5F03"/>
    <w:rsid w:val="00AE65AB"/>
    <w:rsid w:val="00AF0C57"/>
    <w:rsid w:val="00AF0E08"/>
    <w:rsid w:val="00AF0FB7"/>
    <w:rsid w:val="00AF142E"/>
    <w:rsid w:val="00AF214A"/>
    <w:rsid w:val="00AF2444"/>
    <w:rsid w:val="00AF24F0"/>
    <w:rsid w:val="00AF26F3"/>
    <w:rsid w:val="00AF2807"/>
    <w:rsid w:val="00AF4322"/>
    <w:rsid w:val="00AF4708"/>
    <w:rsid w:val="00AF5F04"/>
    <w:rsid w:val="00AF695C"/>
    <w:rsid w:val="00AF69FD"/>
    <w:rsid w:val="00AF78FD"/>
    <w:rsid w:val="00AF7EA4"/>
    <w:rsid w:val="00B00672"/>
    <w:rsid w:val="00B00C52"/>
    <w:rsid w:val="00B016DB"/>
    <w:rsid w:val="00B01B4D"/>
    <w:rsid w:val="00B026A0"/>
    <w:rsid w:val="00B02E8C"/>
    <w:rsid w:val="00B03E52"/>
    <w:rsid w:val="00B03F66"/>
    <w:rsid w:val="00B04038"/>
    <w:rsid w:val="00B04489"/>
    <w:rsid w:val="00B04C3F"/>
    <w:rsid w:val="00B04FC2"/>
    <w:rsid w:val="00B05248"/>
    <w:rsid w:val="00B06571"/>
    <w:rsid w:val="00B068BA"/>
    <w:rsid w:val="00B06A62"/>
    <w:rsid w:val="00B07217"/>
    <w:rsid w:val="00B079EA"/>
    <w:rsid w:val="00B10274"/>
    <w:rsid w:val="00B11E0F"/>
    <w:rsid w:val="00B11EE2"/>
    <w:rsid w:val="00B12D2D"/>
    <w:rsid w:val="00B1348E"/>
    <w:rsid w:val="00B13851"/>
    <w:rsid w:val="00B13B1C"/>
    <w:rsid w:val="00B13CA2"/>
    <w:rsid w:val="00B148F0"/>
    <w:rsid w:val="00B14972"/>
    <w:rsid w:val="00B14A34"/>
    <w:rsid w:val="00B14B5F"/>
    <w:rsid w:val="00B14D63"/>
    <w:rsid w:val="00B14FBD"/>
    <w:rsid w:val="00B1510E"/>
    <w:rsid w:val="00B15226"/>
    <w:rsid w:val="00B1572A"/>
    <w:rsid w:val="00B158AF"/>
    <w:rsid w:val="00B1635F"/>
    <w:rsid w:val="00B17213"/>
    <w:rsid w:val="00B17CBD"/>
    <w:rsid w:val="00B17E47"/>
    <w:rsid w:val="00B20666"/>
    <w:rsid w:val="00B21E5D"/>
    <w:rsid w:val="00B21F90"/>
    <w:rsid w:val="00B22291"/>
    <w:rsid w:val="00B22E0A"/>
    <w:rsid w:val="00B23662"/>
    <w:rsid w:val="00B23E4D"/>
    <w:rsid w:val="00B23F9A"/>
    <w:rsid w:val="00B23FDE"/>
    <w:rsid w:val="00B2417B"/>
    <w:rsid w:val="00B24E6F"/>
    <w:rsid w:val="00B252A9"/>
    <w:rsid w:val="00B2538E"/>
    <w:rsid w:val="00B255F5"/>
    <w:rsid w:val="00B25FD5"/>
    <w:rsid w:val="00B264E0"/>
    <w:rsid w:val="00B26CB5"/>
    <w:rsid w:val="00B26CE5"/>
    <w:rsid w:val="00B272A2"/>
    <w:rsid w:val="00B27502"/>
    <w:rsid w:val="00B2752E"/>
    <w:rsid w:val="00B307CC"/>
    <w:rsid w:val="00B30C24"/>
    <w:rsid w:val="00B312B8"/>
    <w:rsid w:val="00B3191F"/>
    <w:rsid w:val="00B31CED"/>
    <w:rsid w:val="00B31E49"/>
    <w:rsid w:val="00B321BE"/>
    <w:rsid w:val="00B32628"/>
    <w:rsid w:val="00B326B7"/>
    <w:rsid w:val="00B3278F"/>
    <w:rsid w:val="00B331C3"/>
    <w:rsid w:val="00B338DB"/>
    <w:rsid w:val="00B34420"/>
    <w:rsid w:val="00B34DE1"/>
    <w:rsid w:val="00B35108"/>
    <w:rsid w:val="00B3522C"/>
    <w:rsid w:val="00B3588E"/>
    <w:rsid w:val="00B35BCD"/>
    <w:rsid w:val="00B3651F"/>
    <w:rsid w:val="00B3660F"/>
    <w:rsid w:val="00B374B8"/>
    <w:rsid w:val="00B37E1E"/>
    <w:rsid w:val="00B3F740"/>
    <w:rsid w:val="00B407BA"/>
    <w:rsid w:val="00B408F0"/>
    <w:rsid w:val="00B40D53"/>
    <w:rsid w:val="00B41301"/>
    <w:rsid w:val="00B4198F"/>
    <w:rsid w:val="00B41A73"/>
    <w:rsid w:val="00B41B2B"/>
    <w:rsid w:val="00B41CBB"/>
    <w:rsid w:val="00B41F3D"/>
    <w:rsid w:val="00B41FF8"/>
    <w:rsid w:val="00B4226A"/>
    <w:rsid w:val="00B4257C"/>
    <w:rsid w:val="00B42657"/>
    <w:rsid w:val="00B4267C"/>
    <w:rsid w:val="00B4295A"/>
    <w:rsid w:val="00B4303B"/>
    <w:rsid w:val="00B431E8"/>
    <w:rsid w:val="00B439C8"/>
    <w:rsid w:val="00B44EAD"/>
    <w:rsid w:val="00B44FC7"/>
    <w:rsid w:val="00B45141"/>
    <w:rsid w:val="00B4699D"/>
    <w:rsid w:val="00B51434"/>
    <w:rsid w:val="00B514A8"/>
    <w:rsid w:val="00B519CD"/>
    <w:rsid w:val="00B51E68"/>
    <w:rsid w:val="00B51E9D"/>
    <w:rsid w:val="00B5273A"/>
    <w:rsid w:val="00B52752"/>
    <w:rsid w:val="00B539B5"/>
    <w:rsid w:val="00B5505C"/>
    <w:rsid w:val="00B5548F"/>
    <w:rsid w:val="00B55C76"/>
    <w:rsid w:val="00B567AE"/>
    <w:rsid w:val="00B57329"/>
    <w:rsid w:val="00B5736A"/>
    <w:rsid w:val="00B60414"/>
    <w:rsid w:val="00B60890"/>
    <w:rsid w:val="00B60E61"/>
    <w:rsid w:val="00B61308"/>
    <w:rsid w:val="00B613F1"/>
    <w:rsid w:val="00B61B9E"/>
    <w:rsid w:val="00B61F7F"/>
    <w:rsid w:val="00B62596"/>
    <w:rsid w:val="00B62B50"/>
    <w:rsid w:val="00B62D8A"/>
    <w:rsid w:val="00B635B7"/>
    <w:rsid w:val="00B63AE8"/>
    <w:rsid w:val="00B63BE2"/>
    <w:rsid w:val="00B63D20"/>
    <w:rsid w:val="00B642A9"/>
    <w:rsid w:val="00B6446D"/>
    <w:rsid w:val="00B64FEF"/>
    <w:rsid w:val="00B65950"/>
    <w:rsid w:val="00B664C4"/>
    <w:rsid w:val="00B664D4"/>
    <w:rsid w:val="00B66A85"/>
    <w:rsid w:val="00B66D83"/>
    <w:rsid w:val="00B672C0"/>
    <w:rsid w:val="00B676FD"/>
    <w:rsid w:val="00B6778B"/>
    <w:rsid w:val="00B678B6"/>
    <w:rsid w:val="00B70903"/>
    <w:rsid w:val="00B71403"/>
    <w:rsid w:val="00B73774"/>
    <w:rsid w:val="00B73929"/>
    <w:rsid w:val="00B73DC5"/>
    <w:rsid w:val="00B74168"/>
    <w:rsid w:val="00B75646"/>
    <w:rsid w:val="00B75FF0"/>
    <w:rsid w:val="00B7629E"/>
    <w:rsid w:val="00B76ADA"/>
    <w:rsid w:val="00B772CC"/>
    <w:rsid w:val="00B80556"/>
    <w:rsid w:val="00B805EA"/>
    <w:rsid w:val="00B80C5D"/>
    <w:rsid w:val="00B80FF0"/>
    <w:rsid w:val="00B81213"/>
    <w:rsid w:val="00B82157"/>
    <w:rsid w:val="00B8256F"/>
    <w:rsid w:val="00B82AF3"/>
    <w:rsid w:val="00B8325C"/>
    <w:rsid w:val="00B83E73"/>
    <w:rsid w:val="00B8426A"/>
    <w:rsid w:val="00B85525"/>
    <w:rsid w:val="00B856D5"/>
    <w:rsid w:val="00B863CD"/>
    <w:rsid w:val="00B875BD"/>
    <w:rsid w:val="00B90729"/>
    <w:rsid w:val="00B907DA"/>
    <w:rsid w:val="00B90956"/>
    <w:rsid w:val="00B90D0E"/>
    <w:rsid w:val="00B90EA4"/>
    <w:rsid w:val="00B91C66"/>
    <w:rsid w:val="00B91F99"/>
    <w:rsid w:val="00B9384D"/>
    <w:rsid w:val="00B94A04"/>
    <w:rsid w:val="00B94C5E"/>
    <w:rsid w:val="00B950BC"/>
    <w:rsid w:val="00B951E1"/>
    <w:rsid w:val="00B954CC"/>
    <w:rsid w:val="00B95CD4"/>
    <w:rsid w:val="00B96229"/>
    <w:rsid w:val="00B96877"/>
    <w:rsid w:val="00B96A6A"/>
    <w:rsid w:val="00B96A8A"/>
    <w:rsid w:val="00B9714C"/>
    <w:rsid w:val="00B97C1D"/>
    <w:rsid w:val="00BA02A0"/>
    <w:rsid w:val="00BA131E"/>
    <w:rsid w:val="00BA1638"/>
    <w:rsid w:val="00BA1FDA"/>
    <w:rsid w:val="00BA2406"/>
    <w:rsid w:val="00BA29AD"/>
    <w:rsid w:val="00BA33CF"/>
    <w:rsid w:val="00BA3EE4"/>
    <w:rsid w:val="00BA3F8D"/>
    <w:rsid w:val="00BA42E1"/>
    <w:rsid w:val="00BA47F4"/>
    <w:rsid w:val="00BA4CC6"/>
    <w:rsid w:val="00BA5D0B"/>
    <w:rsid w:val="00BA64E6"/>
    <w:rsid w:val="00BA6567"/>
    <w:rsid w:val="00BA6923"/>
    <w:rsid w:val="00BA6A56"/>
    <w:rsid w:val="00BA74B8"/>
    <w:rsid w:val="00BA7737"/>
    <w:rsid w:val="00BA7A43"/>
    <w:rsid w:val="00BA7BC9"/>
    <w:rsid w:val="00BB0107"/>
    <w:rsid w:val="00BB1ABB"/>
    <w:rsid w:val="00BB1E9E"/>
    <w:rsid w:val="00BB2C25"/>
    <w:rsid w:val="00BB4741"/>
    <w:rsid w:val="00BB5026"/>
    <w:rsid w:val="00BB555F"/>
    <w:rsid w:val="00BB599D"/>
    <w:rsid w:val="00BB5BCF"/>
    <w:rsid w:val="00BB6EF1"/>
    <w:rsid w:val="00BB7A10"/>
    <w:rsid w:val="00BC00C1"/>
    <w:rsid w:val="00BC1381"/>
    <w:rsid w:val="00BC1554"/>
    <w:rsid w:val="00BC24CE"/>
    <w:rsid w:val="00BC26A5"/>
    <w:rsid w:val="00BC2945"/>
    <w:rsid w:val="00BC3575"/>
    <w:rsid w:val="00BC45CE"/>
    <w:rsid w:val="00BC4617"/>
    <w:rsid w:val="00BC60BE"/>
    <w:rsid w:val="00BC6CEA"/>
    <w:rsid w:val="00BC6F73"/>
    <w:rsid w:val="00BC7098"/>
    <w:rsid w:val="00BC7468"/>
    <w:rsid w:val="00BC7B95"/>
    <w:rsid w:val="00BC7BEB"/>
    <w:rsid w:val="00BC7D4F"/>
    <w:rsid w:val="00BC7ED7"/>
    <w:rsid w:val="00BD1163"/>
    <w:rsid w:val="00BD18FD"/>
    <w:rsid w:val="00BD19EA"/>
    <w:rsid w:val="00BD1A8C"/>
    <w:rsid w:val="00BD2850"/>
    <w:rsid w:val="00BD28AB"/>
    <w:rsid w:val="00BD2C1C"/>
    <w:rsid w:val="00BD3432"/>
    <w:rsid w:val="00BD3917"/>
    <w:rsid w:val="00BD3F6C"/>
    <w:rsid w:val="00BD4B2E"/>
    <w:rsid w:val="00BD5949"/>
    <w:rsid w:val="00BD594C"/>
    <w:rsid w:val="00BD599B"/>
    <w:rsid w:val="00BD5C10"/>
    <w:rsid w:val="00BD5FE0"/>
    <w:rsid w:val="00BD65AB"/>
    <w:rsid w:val="00BD6B54"/>
    <w:rsid w:val="00BD7D0F"/>
    <w:rsid w:val="00BE007E"/>
    <w:rsid w:val="00BE0980"/>
    <w:rsid w:val="00BE1C78"/>
    <w:rsid w:val="00BE21AF"/>
    <w:rsid w:val="00BE2295"/>
    <w:rsid w:val="00BE2646"/>
    <w:rsid w:val="00BE28D2"/>
    <w:rsid w:val="00BE2FB6"/>
    <w:rsid w:val="00BE44C9"/>
    <w:rsid w:val="00BE4921"/>
    <w:rsid w:val="00BE4A64"/>
    <w:rsid w:val="00BE5477"/>
    <w:rsid w:val="00BE5E43"/>
    <w:rsid w:val="00BE6141"/>
    <w:rsid w:val="00BE6C0C"/>
    <w:rsid w:val="00BE6D44"/>
    <w:rsid w:val="00BF009F"/>
    <w:rsid w:val="00BF03E3"/>
    <w:rsid w:val="00BF1B67"/>
    <w:rsid w:val="00BF2573"/>
    <w:rsid w:val="00BF260C"/>
    <w:rsid w:val="00BF3C76"/>
    <w:rsid w:val="00BF41B8"/>
    <w:rsid w:val="00BF4614"/>
    <w:rsid w:val="00BF46AF"/>
    <w:rsid w:val="00BF47F6"/>
    <w:rsid w:val="00BF4FF1"/>
    <w:rsid w:val="00BF557D"/>
    <w:rsid w:val="00BF5A5D"/>
    <w:rsid w:val="00BF6027"/>
    <w:rsid w:val="00BF6147"/>
    <w:rsid w:val="00BF658D"/>
    <w:rsid w:val="00BF73D9"/>
    <w:rsid w:val="00BF77F0"/>
    <w:rsid w:val="00BF7DBA"/>
    <w:rsid w:val="00BF7F58"/>
    <w:rsid w:val="00C005CB"/>
    <w:rsid w:val="00C00CED"/>
    <w:rsid w:val="00C01381"/>
    <w:rsid w:val="00C01AB1"/>
    <w:rsid w:val="00C025CA"/>
    <w:rsid w:val="00C026A0"/>
    <w:rsid w:val="00C02F43"/>
    <w:rsid w:val="00C03947"/>
    <w:rsid w:val="00C039DF"/>
    <w:rsid w:val="00C0488E"/>
    <w:rsid w:val="00C0501F"/>
    <w:rsid w:val="00C053A6"/>
    <w:rsid w:val="00C05915"/>
    <w:rsid w:val="00C06137"/>
    <w:rsid w:val="00C06929"/>
    <w:rsid w:val="00C0763F"/>
    <w:rsid w:val="00C079B8"/>
    <w:rsid w:val="00C07D3A"/>
    <w:rsid w:val="00C10037"/>
    <w:rsid w:val="00C10336"/>
    <w:rsid w:val="00C115E1"/>
    <w:rsid w:val="00C11A3D"/>
    <w:rsid w:val="00C122B0"/>
    <w:rsid w:val="00C12332"/>
    <w:rsid w:val="00C123EA"/>
    <w:rsid w:val="00C1284C"/>
    <w:rsid w:val="00C12A49"/>
    <w:rsid w:val="00C12B05"/>
    <w:rsid w:val="00C13371"/>
    <w:rsid w:val="00C133EE"/>
    <w:rsid w:val="00C149D0"/>
    <w:rsid w:val="00C15022"/>
    <w:rsid w:val="00C15137"/>
    <w:rsid w:val="00C15220"/>
    <w:rsid w:val="00C1563D"/>
    <w:rsid w:val="00C15D95"/>
    <w:rsid w:val="00C16348"/>
    <w:rsid w:val="00C16A09"/>
    <w:rsid w:val="00C16FB3"/>
    <w:rsid w:val="00C1729B"/>
    <w:rsid w:val="00C1751B"/>
    <w:rsid w:val="00C20E70"/>
    <w:rsid w:val="00C213C0"/>
    <w:rsid w:val="00C21D49"/>
    <w:rsid w:val="00C21D86"/>
    <w:rsid w:val="00C2223D"/>
    <w:rsid w:val="00C226CA"/>
    <w:rsid w:val="00C2285A"/>
    <w:rsid w:val="00C23725"/>
    <w:rsid w:val="00C23844"/>
    <w:rsid w:val="00C25E32"/>
    <w:rsid w:val="00C25F27"/>
    <w:rsid w:val="00C26588"/>
    <w:rsid w:val="00C27703"/>
    <w:rsid w:val="00C27DE9"/>
    <w:rsid w:val="00C30553"/>
    <w:rsid w:val="00C32989"/>
    <w:rsid w:val="00C32CDF"/>
    <w:rsid w:val="00C33388"/>
    <w:rsid w:val="00C35484"/>
    <w:rsid w:val="00C361B3"/>
    <w:rsid w:val="00C36FC6"/>
    <w:rsid w:val="00C4010D"/>
    <w:rsid w:val="00C40961"/>
    <w:rsid w:val="00C41486"/>
    <w:rsid w:val="00C4173A"/>
    <w:rsid w:val="00C42125"/>
    <w:rsid w:val="00C43189"/>
    <w:rsid w:val="00C435D4"/>
    <w:rsid w:val="00C43627"/>
    <w:rsid w:val="00C43693"/>
    <w:rsid w:val="00C43935"/>
    <w:rsid w:val="00C43C58"/>
    <w:rsid w:val="00C450E4"/>
    <w:rsid w:val="00C45464"/>
    <w:rsid w:val="00C45DF5"/>
    <w:rsid w:val="00C45ECF"/>
    <w:rsid w:val="00C4700C"/>
    <w:rsid w:val="00C47D02"/>
    <w:rsid w:val="00C47FED"/>
    <w:rsid w:val="00C50DED"/>
    <w:rsid w:val="00C50F71"/>
    <w:rsid w:val="00C51C71"/>
    <w:rsid w:val="00C52217"/>
    <w:rsid w:val="00C528B5"/>
    <w:rsid w:val="00C5342A"/>
    <w:rsid w:val="00C5365A"/>
    <w:rsid w:val="00C53BD6"/>
    <w:rsid w:val="00C54AC8"/>
    <w:rsid w:val="00C55196"/>
    <w:rsid w:val="00C5538F"/>
    <w:rsid w:val="00C5618F"/>
    <w:rsid w:val="00C5684F"/>
    <w:rsid w:val="00C56ED4"/>
    <w:rsid w:val="00C602FF"/>
    <w:rsid w:val="00C60411"/>
    <w:rsid w:val="00C60E38"/>
    <w:rsid w:val="00C60F82"/>
    <w:rsid w:val="00C61174"/>
    <w:rsid w:val="00C6148F"/>
    <w:rsid w:val="00C61B5E"/>
    <w:rsid w:val="00C61F12"/>
    <w:rsid w:val="00C621B1"/>
    <w:rsid w:val="00C6249D"/>
    <w:rsid w:val="00C62F7A"/>
    <w:rsid w:val="00C63B9C"/>
    <w:rsid w:val="00C65B20"/>
    <w:rsid w:val="00C66011"/>
    <w:rsid w:val="00C661AD"/>
    <w:rsid w:val="00C6682F"/>
    <w:rsid w:val="00C66FA4"/>
    <w:rsid w:val="00C67BF4"/>
    <w:rsid w:val="00C67EB1"/>
    <w:rsid w:val="00C7068C"/>
    <w:rsid w:val="00C712FF"/>
    <w:rsid w:val="00C7275E"/>
    <w:rsid w:val="00C731AF"/>
    <w:rsid w:val="00C73310"/>
    <w:rsid w:val="00C73717"/>
    <w:rsid w:val="00C737CC"/>
    <w:rsid w:val="00C73C11"/>
    <w:rsid w:val="00C73C52"/>
    <w:rsid w:val="00C7451A"/>
    <w:rsid w:val="00C74C5D"/>
    <w:rsid w:val="00C75158"/>
    <w:rsid w:val="00C75198"/>
    <w:rsid w:val="00C76654"/>
    <w:rsid w:val="00C809E9"/>
    <w:rsid w:val="00C80E76"/>
    <w:rsid w:val="00C8117D"/>
    <w:rsid w:val="00C827E7"/>
    <w:rsid w:val="00C829F9"/>
    <w:rsid w:val="00C82EA0"/>
    <w:rsid w:val="00C82ED0"/>
    <w:rsid w:val="00C844D8"/>
    <w:rsid w:val="00C852A5"/>
    <w:rsid w:val="00C8550A"/>
    <w:rsid w:val="00C85980"/>
    <w:rsid w:val="00C85E8D"/>
    <w:rsid w:val="00C863C4"/>
    <w:rsid w:val="00C8697F"/>
    <w:rsid w:val="00C86E63"/>
    <w:rsid w:val="00C87BBB"/>
    <w:rsid w:val="00C901C7"/>
    <w:rsid w:val="00C9036F"/>
    <w:rsid w:val="00C90DAB"/>
    <w:rsid w:val="00C9145B"/>
    <w:rsid w:val="00C920EA"/>
    <w:rsid w:val="00C9228D"/>
    <w:rsid w:val="00C92502"/>
    <w:rsid w:val="00C93648"/>
    <w:rsid w:val="00C93C3E"/>
    <w:rsid w:val="00C940F0"/>
    <w:rsid w:val="00C943BF"/>
    <w:rsid w:val="00C9588F"/>
    <w:rsid w:val="00C96E75"/>
    <w:rsid w:val="00C971AF"/>
    <w:rsid w:val="00C972EA"/>
    <w:rsid w:val="00C97DB8"/>
    <w:rsid w:val="00C97EDE"/>
    <w:rsid w:val="00CA0678"/>
    <w:rsid w:val="00CA0D05"/>
    <w:rsid w:val="00CA12E3"/>
    <w:rsid w:val="00CA1476"/>
    <w:rsid w:val="00CA15E8"/>
    <w:rsid w:val="00CA175B"/>
    <w:rsid w:val="00CA1813"/>
    <w:rsid w:val="00CA2218"/>
    <w:rsid w:val="00CA2500"/>
    <w:rsid w:val="00CA282D"/>
    <w:rsid w:val="00CA3523"/>
    <w:rsid w:val="00CA3806"/>
    <w:rsid w:val="00CA402E"/>
    <w:rsid w:val="00CA634D"/>
    <w:rsid w:val="00CA63EB"/>
    <w:rsid w:val="00CA6597"/>
    <w:rsid w:val="00CA6611"/>
    <w:rsid w:val="00CA6AE6"/>
    <w:rsid w:val="00CA6CD5"/>
    <w:rsid w:val="00CA782F"/>
    <w:rsid w:val="00CA7999"/>
    <w:rsid w:val="00CA7E0F"/>
    <w:rsid w:val="00CB03F7"/>
    <w:rsid w:val="00CB0518"/>
    <w:rsid w:val="00CB187B"/>
    <w:rsid w:val="00CB21BD"/>
    <w:rsid w:val="00CB26B9"/>
    <w:rsid w:val="00CB2835"/>
    <w:rsid w:val="00CB2B97"/>
    <w:rsid w:val="00CB2F5D"/>
    <w:rsid w:val="00CB3285"/>
    <w:rsid w:val="00CB367B"/>
    <w:rsid w:val="00CB427F"/>
    <w:rsid w:val="00CB4500"/>
    <w:rsid w:val="00CB4854"/>
    <w:rsid w:val="00CB4D89"/>
    <w:rsid w:val="00CB53A6"/>
    <w:rsid w:val="00CB5506"/>
    <w:rsid w:val="00CB57E0"/>
    <w:rsid w:val="00CB5EA8"/>
    <w:rsid w:val="00CB71B9"/>
    <w:rsid w:val="00CB7E26"/>
    <w:rsid w:val="00CB7F3C"/>
    <w:rsid w:val="00CC039E"/>
    <w:rsid w:val="00CC0C72"/>
    <w:rsid w:val="00CC0DF7"/>
    <w:rsid w:val="00CC1F80"/>
    <w:rsid w:val="00CC29AA"/>
    <w:rsid w:val="00CC2BFD"/>
    <w:rsid w:val="00CC2F46"/>
    <w:rsid w:val="00CC369B"/>
    <w:rsid w:val="00CC45CF"/>
    <w:rsid w:val="00CC5144"/>
    <w:rsid w:val="00CC6F40"/>
    <w:rsid w:val="00CC7F1E"/>
    <w:rsid w:val="00CD064A"/>
    <w:rsid w:val="00CD0E09"/>
    <w:rsid w:val="00CD0F66"/>
    <w:rsid w:val="00CD12B4"/>
    <w:rsid w:val="00CD1524"/>
    <w:rsid w:val="00CD18FC"/>
    <w:rsid w:val="00CD1C73"/>
    <w:rsid w:val="00CD1F6F"/>
    <w:rsid w:val="00CD20FA"/>
    <w:rsid w:val="00CD2252"/>
    <w:rsid w:val="00CD24E0"/>
    <w:rsid w:val="00CD2B26"/>
    <w:rsid w:val="00CD2DDA"/>
    <w:rsid w:val="00CD3476"/>
    <w:rsid w:val="00CD4726"/>
    <w:rsid w:val="00CD4847"/>
    <w:rsid w:val="00CD5A4F"/>
    <w:rsid w:val="00CD5BFE"/>
    <w:rsid w:val="00CD61BF"/>
    <w:rsid w:val="00CD64DF"/>
    <w:rsid w:val="00CD65EC"/>
    <w:rsid w:val="00CD7325"/>
    <w:rsid w:val="00CD768F"/>
    <w:rsid w:val="00CD7730"/>
    <w:rsid w:val="00CD7CB6"/>
    <w:rsid w:val="00CD7E61"/>
    <w:rsid w:val="00CE07D8"/>
    <w:rsid w:val="00CE0A19"/>
    <w:rsid w:val="00CE194F"/>
    <w:rsid w:val="00CE225F"/>
    <w:rsid w:val="00CE2376"/>
    <w:rsid w:val="00CE25CC"/>
    <w:rsid w:val="00CE3687"/>
    <w:rsid w:val="00CE3DDD"/>
    <w:rsid w:val="00CE443B"/>
    <w:rsid w:val="00CE5059"/>
    <w:rsid w:val="00CE6024"/>
    <w:rsid w:val="00CE60CF"/>
    <w:rsid w:val="00CE657E"/>
    <w:rsid w:val="00CE68BF"/>
    <w:rsid w:val="00CE7508"/>
    <w:rsid w:val="00CE77DB"/>
    <w:rsid w:val="00CE7C0F"/>
    <w:rsid w:val="00CF0AC9"/>
    <w:rsid w:val="00CF1339"/>
    <w:rsid w:val="00CF16A2"/>
    <w:rsid w:val="00CF1BC6"/>
    <w:rsid w:val="00CF230C"/>
    <w:rsid w:val="00CF28A8"/>
    <w:rsid w:val="00CF2F50"/>
    <w:rsid w:val="00CF3BA2"/>
    <w:rsid w:val="00CF4ACB"/>
    <w:rsid w:val="00CF5406"/>
    <w:rsid w:val="00CF549D"/>
    <w:rsid w:val="00CF5FB4"/>
    <w:rsid w:val="00CF6198"/>
    <w:rsid w:val="00CF6748"/>
    <w:rsid w:val="00CF696D"/>
    <w:rsid w:val="00CF76F4"/>
    <w:rsid w:val="00D001AF"/>
    <w:rsid w:val="00D0027E"/>
    <w:rsid w:val="00D00685"/>
    <w:rsid w:val="00D007F7"/>
    <w:rsid w:val="00D014F3"/>
    <w:rsid w:val="00D018BB"/>
    <w:rsid w:val="00D01B0E"/>
    <w:rsid w:val="00D021AB"/>
    <w:rsid w:val="00D02511"/>
    <w:rsid w:val="00D02679"/>
    <w:rsid w:val="00D02919"/>
    <w:rsid w:val="00D029B8"/>
    <w:rsid w:val="00D02AA6"/>
    <w:rsid w:val="00D02EA0"/>
    <w:rsid w:val="00D04115"/>
    <w:rsid w:val="00D048E3"/>
    <w:rsid w:val="00D04C61"/>
    <w:rsid w:val="00D05643"/>
    <w:rsid w:val="00D05B3F"/>
    <w:rsid w:val="00D05B8D"/>
    <w:rsid w:val="00D05B9B"/>
    <w:rsid w:val="00D05BC5"/>
    <w:rsid w:val="00D0604B"/>
    <w:rsid w:val="00D064C8"/>
    <w:rsid w:val="00D065A2"/>
    <w:rsid w:val="00D068D3"/>
    <w:rsid w:val="00D069B9"/>
    <w:rsid w:val="00D076B2"/>
    <w:rsid w:val="00D079AA"/>
    <w:rsid w:val="00D07F00"/>
    <w:rsid w:val="00D10753"/>
    <w:rsid w:val="00D109D2"/>
    <w:rsid w:val="00D1130F"/>
    <w:rsid w:val="00D11915"/>
    <w:rsid w:val="00D1246A"/>
    <w:rsid w:val="00D13695"/>
    <w:rsid w:val="00D1398E"/>
    <w:rsid w:val="00D13CBC"/>
    <w:rsid w:val="00D13D55"/>
    <w:rsid w:val="00D13DC9"/>
    <w:rsid w:val="00D146BC"/>
    <w:rsid w:val="00D14BC1"/>
    <w:rsid w:val="00D1507B"/>
    <w:rsid w:val="00D1571F"/>
    <w:rsid w:val="00D16E90"/>
    <w:rsid w:val="00D17B72"/>
    <w:rsid w:val="00D206A2"/>
    <w:rsid w:val="00D210F5"/>
    <w:rsid w:val="00D217BF"/>
    <w:rsid w:val="00D21906"/>
    <w:rsid w:val="00D21952"/>
    <w:rsid w:val="00D22EA9"/>
    <w:rsid w:val="00D2398B"/>
    <w:rsid w:val="00D23B93"/>
    <w:rsid w:val="00D23DC2"/>
    <w:rsid w:val="00D23E28"/>
    <w:rsid w:val="00D23F6A"/>
    <w:rsid w:val="00D240EE"/>
    <w:rsid w:val="00D24BDF"/>
    <w:rsid w:val="00D2549C"/>
    <w:rsid w:val="00D25BAE"/>
    <w:rsid w:val="00D25DA0"/>
    <w:rsid w:val="00D26E65"/>
    <w:rsid w:val="00D27A70"/>
    <w:rsid w:val="00D300D6"/>
    <w:rsid w:val="00D3047E"/>
    <w:rsid w:val="00D3075E"/>
    <w:rsid w:val="00D307F7"/>
    <w:rsid w:val="00D3185C"/>
    <w:rsid w:val="00D31B04"/>
    <w:rsid w:val="00D31E79"/>
    <w:rsid w:val="00D3205F"/>
    <w:rsid w:val="00D3318E"/>
    <w:rsid w:val="00D333D4"/>
    <w:rsid w:val="00D33857"/>
    <w:rsid w:val="00D33E72"/>
    <w:rsid w:val="00D34409"/>
    <w:rsid w:val="00D34BB1"/>
    <w:rsid w:val="00D355A8"/>
    <w:rsid w:val="00D35BD6"/>
    <w:rsid w:val="00D35E73"/>
    <w:rsid w:val="00D361B5"/>
    <w:rsid w:val="00D3676E"/>
    <w:rsid w:val="00D370E1"/>
    <w:rsid w:val="00D371C7"/>
    <w:rsid w:val="00D37363"/>
    <w:rsid w:val="00D40137"/>
    <w:rsid w:val="00D411A2"/>
    <w:rsid w:val="00D41F4D"/>
    <w:rsid w:val="00D42202"/>
    <w:rsid w:val="00D423F8"/>
    <w:rsid w:val="00D42852"/>
    <w:rsid w:val="00D42A4C"/>
    <w:rsid w:val="00D43787"/>
    <w:rsid w:val="00D43ACD"/>
    <w:rsid w:val="00D44883"/>
    <w:rsid w:val="00D44A37"/>
    <w:rsid w:val="00D4606D"/>
    <w:rsid w:val="00D46314"/>
    <w:rsid w:val="00D46FDA"/>
    <w:rsid w:val="00D50B9C"/>
    <w:rsid w:val="00D513AF"/>
    <w:rsid w:val="00D5165C"/>
    <w:rsid w:val="00D523F2"/>
    <w:rsid w:val="00D526A7"/>
    <w:rsid w:val="00D52D73"/>
    <w:rsid w:val="00D52E58"/>
    <w:rsid w:val="00D537F5"/>
    <w:rsid w:val="00D54E13"/>
    <w:rsid w:val="00D550AD"/>
    <w:rsid w:val="00D56B20"/>
    <w:rsid w:val="00D572F8"/>
    <w:rsid w:val="00D578B3"/>
    <w:rsid w:val="00D579F7"/>
    <w:rsid w:val="00D6005C"/>
    <w:rsid w:val="00D602DC"/>
    <w:rsid w:val="00D613A3"/>
    <w:rsid w:val="00D615B0"/>
    <w:rsid w:val="00D618F4"/>
    <w:rsid w:val="00D61E69"/>
    <w:rsid w:val="00D61E79"/>
    <w:rsid w:val="00D621E9"/>
    <w:rsid w:val="00D62231"/>
    <w:rsid w:val="00D622DA"/>
    <w:rsid w:val="00D63636"/>
    <w:rsid w:val="00D63AB5"/>
    <w:rsid w:val="00D640AD"/>
    <w:rsid w:val="00D640C2"/>
    <w:rsid w:val="00D646B1"/>
    <w:rsid w:val="00D649BE"/>
    <w:rsid w:val="00D64A03"/>
    <w:rsid w:val="00D64EEC"/>
    <w:rsid w:val="00D656A4"/>
    <w:rsid w:val="00D658C0"/>
    <w:rsid w:val="00D65A4D"/>
    <w:rsid w:val="00D66091"/>
    <w:rsid w:val="00D661B4"/>
    <w:rsid w:val="00D6667A"/>
    <w:rsid w:val="00D66B7E"/>
    <w:rsid w:val="00D67332"/>
    <w:rsid w:val="00D67996"/>
    <w:rsid w:val="00D67F37"/>
    <w:rsid w:val="00D714CC"/>
    <w:rsid w:val="00D71769"/>
    <w:rsid w:val="00D717B5"/>
    <w:rsid w:val="00D72342"/>
    <w:rsid w:val="00D72BD2"/>
    <w:rsid w:val="00D72DF4"/>
    <w:rsid w:val="00D730DA"/>
    <w:rsid w:val="00D734EE"/>
    <w:rsid w:val="00D7357B"/>
    <w:rsid w:val="00D738B1"/>
    <w:rsid w:val="00D74821"/>
    <w:rsid w:val="00D7514B"/>
    <w:rsid w:val="00D75C9E"/>
    <w:rsid w:val="00D75EA7"/>
    <w:rsid w:val="00D76001"/>
    <w:rsid w:val="00D76617"/>
    <w:rsid w:val="00D77010"/>
    <w:rsid w:val="00D771DA"/>
    <w:rsid w:val="00D7721A"/>
    <w:rsid w:val="00D77252"/>
    <w:rsid w:val="00D77EA1"/>
    <w:rsid w:val="00D77F26"/>
    <w:rsid w:val="00D805E6"/>
    <w:rsid w:val="00D81952"/>
    <w:rsid w:val="00D81ADF"/>
    <w:rsid w:val="00D81F21"/>
    <w:rsid w:val="00D82782"/>
    <w:rsid w:val="00D82F06"/>
    <w:rsid w:val="00D83532"/>
    <w:rsid w:val="00D83AE5"/>
    <w:rsid w:val="00D83D06"/>
    <w:rsid w:val="00D84453"/>
    <w:rsid w:val="00D85429"/>
    <w:rsid w:val="00D855AF"/>
    <w:rsid w:val="00D861F1"/>
    <w:rsid w:val="00D864F2"/>
    <w:rsid w:val="00D86672"/>
    <w:rsid w:val="00D87F3B"/>
    <w:rsid w:val="00D9001B"/>
    <w:rsid w:val="00D90056"/>
    <w:rsid w:val="00D909EB"/>
    <w:rsid w:val="00D92A79"/>
    <w:rsid w:val="00D938A8"/>
    <w:rsid w:val="00D943F8"/>
    <w:rsid w:val="00D94B60"/>
    <w:rsid w:val="00D95470"/>
    <w:rsid w:val="00D961F4"/>
    <w:rsid w:val="00D96B55"/>
    <w:rsid w:val="00D97414"/>
    <w:rsid w:val="00D9743A"/>
    <w:rsid w:val="00D97B23"/>
    <w:rsid w:val="00DA00DB"/>
    <w:rsid w:val="00DA04A6"/>
    <w:rsid w:val="00DA2589"/>
    <w:rsid w:val="00DA2619"/>
    <w:rsid w:val="00DA2AF0"/>
    <w:rsid w:val="00DA2F49"/>
    <w:rsid w:val="00DA30B8"/>
    <w:rsid w:val="00DA354E"/>
    <w:rsid w:val="00DA360E"/>
    <w:rsid w:val="00DA421D"/>
    <w:rsid w:val="00DA4239"/>
    <w:rsid w:val="00DA4CA0"/>
    <w:rsid w:val="00DA588C"/>
    <w:rsid w:val="00DA5988"/>
    <w:rsid w:val="00DA61D5"/>
    <w:rsid w:val="00DA65DE"/>
    <w:rsid w:val="00DA6B27"/>
    <w:rsid w:val="00DA6EB7"/>
    <w:rsid w:val="00DA7832"/>
    <w:rsid w:val="00DB0947"/>
    <w:rsid w:val="00DB0A20"/>
    <w:rsid w:val="00DB0B61"/>
    <w:rsid w:val="00DB1474"/>
    <w:rsid w:val="00DB2127"/>
    <w:rsid w:val="00DB2962"/>
    <w:rsid w:val="00DB2A04"/>
    <w:rsid w:val="00DB39F3"/>
    <w:rsid w:val="00DB3ADC"/>
    <w:rsid w:val="00DB3BDF"/>
    <w:rsid w:val="00DB413C"/>
    <w:rsid w:val="00DB4DA9"/>
    <w:rsid w:val="00DB52FB"/>
    <w:rsid w:val="00DB5DB9"/>
    <w:rsid w:val="00DB69F6"/>
    <w:rsid w:val="00DB6BC0"/>
    <w:rsid w:val="00DB6C5B"/>
    <w:rsid w:val="00DB6F35"/>
    <w:rsid w:val="00DC00C1"/>
    <w:rsid w:val="00DC0127"/>
    <w:rsid w:val="00DC013B"/>
    <w:rsid w:val="00DC05F5"/>
    <w:rsid w:val="00DC0707"/>
    <w:rsid w:val="00DC090B"/>
    <w:rsid w:val="00DC125E"/>
    <w:rsid w:val="00DC1679"/>
    <w:rsid w:val="00DC219B"/>
    <w:rsid w:val="00DC2306"/>
    <w:rsid w:val="00DC28EF"/>
    <w:rsid w:val="00DC2CF1"/>
    <w:rsid w:val="00DC2DC7"/>
    <w:rsid w:val="00DC2FF3"/>
    <w:rsid w:val="00DC3707"/>
    <w:rsid w:val="00DC3A7C"/>
    <w:rsid w:val="00DC455B"/>
    <w:rsid w:val="00DC4FCF"/>
    <w:rsid w:val="00DC50E0"/>
    <w:rsid w:val="00DC5707"/>
    <w:rsid w:val="00DC607A"/>
    <w:rsid w:val="00DC61F8"/>
    <w:rsid w:val="00DC6386"/>
    <w:rsid w:val="00DC6E51"/>
    <w:rsid w:val="00DC72F3"/>
    <w:rsid w:val="00DC7384"/>
    <w:rsid w:val="00DC798E"/>
    <w:rsid w:val="00DD0122"/>
    <w:rsid w:val="00DD0EFA"/>
    <w:rsid w:val="00DD1130"/>
    <w:rsid w:val="00DD14C9"/>
    <w:rsid w:val="00DD1951"/>
    <w:rsid w:val="00DD3353"/>
    <w:rsid w:val="00DD381C"/>
    <w:rsid w:val="00DD43C2"/>
    <w:rsid w:val="00DD46F9"/>
    <w:rsid w:val="00DD487D"/>
    <w:rsid w:val="00DD48D0"/>
    <w:rsid w:val="00DD4E60"/>
    <w:rsid w:val="00DD4E83"/>
    <w:rsid w:val="00DD603A"/>
    <w:rsid w:val="00DD619F"/>
    <w:rsid w:val="00DD6628"/>
    <w:rsid w:val="00DD6945"/>
    <w:rsid w:val="00DD6C7A"/>
    <w:rsid w:val="00DE01AD"/>
    <w:rsid w:val="00DE096A"/>
    <w:rsid w:val="00DE1278"/>
    <w:rsid w:val="00DE1AA8"/>
    <w:rsid w:val="00DE2A7C"/>
    <w:rsid w:val="00DE2D04"/>
    <w:rsid w:val="00DE3250"/>
    <w:rsid w:val="00DE364C"/>
    <w:rsid w:val="00DE5188"/>
    <w:rsid w:val="00DE6028"/>
    <w:rsid w:val="00DE64A3"/>
    <w:rsid w:val="00DE6C85"/>
    <w:rsid w:val="00DE724F"/>
    <w:rsid w:val="00DE78A3"/>
    <w:rsid w:val="00DE7956"/>
    <w:rsid w:val="00DE7DBB"/>
    <w:rsid w:val="00DE7E92"/>
    <w:rsid w:val="00DF0350"/>
    <w:rsid w:val="00DF05BE"/>
    <w:rsid w:val="00DF1A71"/>
    <w:rsid w:val="00DF1ADC"/>
    <w:rsid w:val="00DF2A22"/>
    <w:rsid w:val="00DF3823"/>
    <w:rsid w:val="00DF4EB5"/>
    <w:rsid w:val="00DF5038"/>
    <w:rsid w:val="00DF50A3"/>
    <w:rsid w:val="00DF50FC"/>
    <w:rsid w:val="00DF5275"/>
    <w:rsid w:val="00DF55A3"/>
    <w:rsid w:val="00DF580C"/>
    <w:rsid w:val="00DF68C7"/>
    <w:rsid w:val="00DF6A7E"/>
    <w:rsid w:val="00DF6CB3"/>
    <w:rsid w:val="00DF6E05"/>
    <w:rsid w:val="00DF7247"/>
    <w:rsid w:val="00DF731A"/>
    <w:rsid w:val="00DF798B"/>
    <w:rsid w:val="00DF7A9F"/>
    <w:rsid w:val="00DF7AEF"/>
    <w:rsid w:val="00E005AC"/>
    <w:rsid w:val="00E00651"/>
    <w:rsid w:val="00E00F5A"/>
    <w:rsid w:val="00E024E0"/>
    <w:rsid w:val="00E0369B"/>
    <w:rsid w:val="00E038B4"/>
    <w:rsid w:val="00E03A83"/>
    <w:rsid w:val="00E03C3B"/>
    <w:rsid w:val="00E03F87"/>
    <w:rsid w:val="00E04054"/>
    <w:rsid w:val="00E04BBB"/>
    <w:rsid w:val="00E050B9"/>
    <w:rsid w:val="00E056B6"/>
    <w:rsid w:val="00E05FE1"/>
    <w:rsid w:val="00E06B75"/>
    <w:rsid w:val="00E11332"/>
    <w:rsid w:val="00E11352"/>
    <w:rsid w:val="00E11AC6"/>
    <w:rsid w:val="00E1208A"/>
    <w:rsid w:val="00E124E3"/>
    <w:rsid w:val="00E1302D"/>
    <w:rsid w:val="00E15244"/>
    <w:rsid w:val="00E15246"/>
    <w:rsid w:val="00E1558D"/>
    <w:rsid w:val="00E170DC"/>
    <w:rsid w:val="00E17546"/>
    <w:rsid w:val="00E17932"/>
    <w:rsid w:val="00E202FA"/>
    <w:rsid w:val="00E210B5"/>
    <w:rsid w:val="00E21193"/>
    <w:rsid w:val="00E21419"/>
    <w:rsid w:val="00E214D9"/>
    <w:rsid w:val="00E21A21"/>
    <w:rsid w:val="00E21A6D"/>
    <w:rsid w:val="00E224F6"/>
    <w:rsid w:val="00E22E94"/>
    <w:rsid w:val="00E23318"/>
    <w:rsid w:val="00E2380A"/>
    <w:rsid w:val="00E24A55"/>
    <w:rsid w:val="00E2579F"/>
    <w:rsid w:val="00E261B3"/>
    <w:rsid w:val="00E2651F"/>
    <w:rsid w:val="00E26818"/>
    <w:rsid w:val="00E27195"/>
    <w:rsid w:val="00E27258"/>
    <w:rsid w:val="00E272FE"/>
    <w:rsid w:val="00E27FFC"/>
    <w:rsid w:val="00E30B15"/>
    <w:rsid w:val="00E30D08"/>
    <w:rsid w:val="00E31811"/>
    <w:rsid w:val="00E31AC0"/>
    <w:rsid w:val="00E3201F"/>
    <w:rsid w:val="00E32316"/>
    <w:rsid w:val="00E32BA6"/>
    <w:rsid w:val="00E33218"/>
    <w:rsid w:val="00E33237"/>
    <w:rsid w:val="00E33702"/>
    <w:rsid w:val="00E35F14"/>
    <w:rsid w:val="00E361BC"/>
    <w:rsid w:val="00E362FA"/>
    <w:rsid w:val="00E36873"/>
    <w:rsid w:val="00E37383"/>
    <w:rsid w:val="00E3739A"/>
    <w:rsid w:val="00E37C3C"/>
    <w:rsid w:val="00E40181"/>
    <w:rsid w:val="00E4064F"/>
    <w:rsid w:val="00E4096A"/>
    <w:rsid w:val="00E41301"/>
    <w:rsid w:val="00E414B9"/>
    <w:rsid w:val="00E41863"/>
    <w:rsid w:val="00E42863"/>
    <w:rsid w:val="00E42CC3"/>
    <w:rsid w:val="00E42DF9"/>
    <w:rsid w:val="00E4348C"/>
    <w:rsid w:val="00E43E62"/>
    <w:rsid w:val="00E43F01"/>
    <w:rsid w:val="00E45D56"/>
    <w:rsid w:val="00E45E02"/>
    <w:rsid w:val="00E470BB"/>
    <w:rsid w:val="00E47319"/>
    <w:rsid w:val="00E473D0"/>
    <w:rsid w:val="00E47586"/>
    <w:rsid w:val="00E47A59"/>
    <w:rsid w:val="00E4C277"/>
    <w:rsid w:val="00E528B9"/>
    <w:rsid w:val="00E53693"/>
    <w:rsid w:val="00E54950"/>
    <w:rsid w:val="00E54DDB"/>
    <w:rsid w:val="00E54EA9"/>
    <w:rsid w:val="00E55097"/>
    <w:rsid w:val="00E55169"/>
    <w:rsid w:val="00E55833"/>
    <w:rsid w:val="00E55EC6"/>
    <w:rsid w:val="00E55FB3"/>
    <w:rsid w:val="00E561CB"/>
    <w:rsid w:val="00E56A01"/>
    <w:rsid w:val="00E57C56"/>
    <w:rsid w:val="00E600EF"/>
    <w:rsid w:val="00E608CA"/>
    <w:rsid w:val="00E61373"/>
    <w:rsid w:val="00E61587"/>
    <w:rsid w:val="00E617F9"/>
    <w:rsid w:val="00E61DCF"/>
    <w:rsid w:val="00E629A1"/>
    <w:rsid w:val="00E62AB1"/>
    <w:rsid w:val="00E64878"/>
    <w:rsid w:val="00E648B1"/>
    <w:rsid w:val="00E64FDC"/>
    <w:rsid w:val="00E66037"/>
    <w:rsid w:val="00E66042"/>
    <w:rsid w:val="00E66536"/>
    <w:rsid w:val="00E6794C"/>
    <w:rsid w:val="00E702A8"/>
    <w:rsid w:val="00E70EEA"/>
    <w:rsid w:val="00E71591"/>
    <w:rsid w:val="00E71759"/>
    <w:rsid w:val="00E71CEB"/>
    <w:rsid w:val="00E72737"/>
    <w:rsid w:val="00E732C6"/>
    <w:rsid w:val="00E7395D"/>
    <w:rsid w:val="00E7474F"/>
    <w:rsid w:val="00E74F35"/>
    <w:rsid w:val="00E7508F"/>
    <w:rsid w:val="00E75E41"/>
    <w:rsid w:val="00E76F08"/>
    <w:rsid w:val="00E77182"/>
    <w:rsid w:val="00E77233"/>
    <w:rsid w:val="00E80DE3"/>
    <w:rsid w:val="00E81285"/>
    <w:rsid w:val="00E81B95"/>
    <w:rsid w:val="00E824A6"/>
    <w:rsid w:val="00E8283A"/>
    <w:rsid w:val="00E82C37"/>
    <w:rsid w:val="00E82C55"/>
    <w:rsid w:val="00E83101"/>
    <w:rsid w:val="00E83B0E"/>
    <w:rsid w:val="00E83ED4"/>
    <w:rsid w:val="00E855E5"/>
    <w:rsid w:val="00E858D9"/>
    <w:rsid w:val="00E85C25"/>
    <w:rsid w:val="00E85D73"/>
    <w:rsid w:val="00E8787E"/>
    <w:rsid w:val="00E9080E"/>
    <w:rsid w:val="00E91926"/>
    <w:rsid w:val="00E91D17"/>
    <w:rsid w:val="00E92158"/>
    <w:rsid w:val="00E928AF"/>
    <w:rsid w:val="00E92987"/>
    <w:rsid w:val="00E92AC3"/>
    <w:rsid w:val="00E937A7"/>
    <w:rsid w:val="00E93BDA"/>
    <w:rsid w:val="00E93CD9"/>
    <w:rsid w:val="00E94252"/>
    <w:rsid w:val="00E9548F"/>
    <w:rsid w:val="00E9585B"/>
    <w:rsid w:val="00E959F6"/>
    <w:rsid w:val="00E95B31"/>
    <w:rsid w:val="00E95E31"/>
    <w:rsid w:val="00E962EB"/>
    <w:rsid w:val="00E96C7F"/>
    <w:rsid w:val="00E97D4F"/>
    <w:rsid w:val="00EA02E5"/>
    <w:rsid w:val="00EA0CCF"/>
    <w:rsid w:val="00EA12C6"/>
    <w:rsid w:val="00EA19D3"/>
    <w:rsid w:val="00EA2F6A"/>
    <w:rsid w:val="00EA32B3"/>
    <w:rsid w:val="00EA4ABF"/>
    <w:rsid w:val="00EA4FFC"/>
    <w:rsid w:val="00EA5237"/>
    <w:rsid w:val="00EA53A1"/>
    <w:rsid w:val="00EA565F"/>
    <w:rsid w:val="00EA60B4"/>
    <w:rsid w:val="00EB00E0"/>
    <w:rsid w:val="00EB05D5"/>
    <w:rsid w:val="00EB0BB6"/>
    <w:rsid w:val="00EB234C"/>
    <w:rsid w:val="00EB23E4"/>
    <w:rsid w:val="00EB29CB"/>
    <w:rsid w:val="00EB2A85"/>
    <w:rsid w:val="00EB2F58"/>
    <w:rsid w:val="00EB302F"/>
    <w:rsid w:val="00EB3DED"/>
    <w:rsid w:val="00EB4397"/>
    <w:rsid w:val="00EB4AAE"/>
    <w:rsid w:val="00EB4B37"/>
    <w:rsid w:val="00EB4BC7"/>
    <w:rsid w:val="00EB4FEE"/>
    <w:rsid w:val="00EB5551"/>
    <w:rsid w:val="00EB62D1"/>
    <w:rsid w:val="00EB6336"/>
    <w:rsid w:val="00EB7C75"/>
    <w:rsid w:val="00EC01BC"/>
    <w:rsid w:val="00EC059F"/>
    <w:rsid w:val="00EC15AE"/>
    <w:rsid w:val="00EC1F24"/>
    <w:rsid w:val="00EC22F6"/>
    <w:rsid w:val="00EC2D1F"/>
    <w:rsid w:val="00EC3DB9"/>
    <w:rsid w:val="00EC4336"/>
    <w:rsid w:val="00EC4526"/>
    <w:rsid w:val="00EC4531"/>
    <w:rsid w:val="00EC5B16"/>
    <w:rsid w:val="00EC5FDD"/>
    <w:rsid w:val="00EC612B"/>
    <w:rsid w:val="00EC69C7"/>
    <w:rsid w:val="00EC6E1F"/>
    <w:rsid w:val="00EC7860"/>
    <w:rsid w:val="00EC7A4A"/>
    <w:rsid w:val="00EC7FF8"/>
    <w:rsid w:val="00ED02ED"/>
    <w:rsid w:val="00ED05BE"/>
    <w:rsid w:val="00ED079F"/>
    <w:rsid w:val="00ED1ECD"/>
    <w:rsid w:val="00ED20B8"/>
    <w:rsid w:val="00ED31CC"/>
    <w:rsid w:val="00ED37D8"/>
    <w:rsid w:val="00ED3E1B"/>
    <w:rsid w:val="00ED49F2"/>
    <w:rsid w:val="00ED4ABE"/>
    <w:rsid w:val="00ED4E40"/>
    <w:rsid w:val="00ED527A"/>
    <w:rsid w:val="00ED55D3"/>
    <w:rsid w:val="00ED5B9B"/>
    <w:rsid w:val="00ED6BAD"/>
    <w:rsid w:val="00ED6EFD"/>
    <w:rsid w:val="00ED7447"/>
    <w:rsid w:val="00ED7762"/>
    <w:rsid w:val="00ED7AF6"/>
    <w:rsid w:val="00EE00D6"/>
    <w:rsid w:val="00EE02C4"/>
    <w:rsid w:val="00EE076D"/>
    <w:rsid w:val="00EE0793"/>
    <w:rsid w:val="00EE0A53"/>
    <w:rsid w:val="00EE0B4E"/>
    <w:rsid w:val="00EE0ED2"/>
    <w:rsid w:val="00EE11E7"/>
    <w:rsid w:val="00EE1488"/>
    <w:rsid w:val="00EE15A0"/>
    <w:rsid w:val="00EE1EB2"/>
    <w:rsid w:val="00EE29AD"/>
    <w:rsid w:val="00EE2A91"/>
    <w:rsid w:val="00EE33E3"/>
    <w:rsid w:val="00EE39A8"/>
    <w:rsid w:val="00EE3E24"/>
    <w:rsid w:val="00EE3F06"/>
    <w:rsid w:val="00EE45DE"/>
    <w:rsid w:val="00EE4D5D"/>
    <w:rsid w:val="00EE50A8"/>
    <w:rsid w:val="00EE5131"/>
    <w:rsid w:val="00EE51E7"/>
    <w:rsid w:val="00EE606E"/>
    <w:rsid w:val="00EE7C82"/>
    <w:rsid w:val="00EF0614"/>
    <w:rsid w:val="00EF0D76"/>
    <w:rsid w:val="00EF109B"/>
    <w:rsid w:val="00EF1D20"/>
    <w:rsid w:val="00EF201C"/>
    <w:rsid w:val="00EF2118"/>
    <w:rsid w:val="00EF28C9"/>
    <w:rsid w:val="00EF2C72"/>
    <w:rsid w:val="00EF2EC6"/>
    <w:rsid w:val="00EF30AA"/>
    <w:rsid w:val="00EF36AF"/>
    <w:rsid w:val="00EF4BDE"/>
    <w:rsid w:val="00EF5181"/>
    <w:rsid w:val="00EF59A3"/>
    <w:rsid w:val="00EF6675"/>
    <w:rsid w:val="00EF7089"/>
    <w:rsid w:val="00EF71F6"/>
    <w:rsid w:val="00EF793A"/>
    <w:rsid w:val="00F0063D"/>
    <w:rsid w:val="00F0089D"/>
    <w:rsid w:val="00F009FE"/>
    <w:rsid w:val="00F00F9C"/>
    <w:rsid w:val="00F01126"/>
    <w:rsid w:val="00F01522"/>
    <w:rsid w:val="00F01E5F"/>
    <w:rsid w:val="00F01EE8"/>
    <w:rsid w:val="00F024F3"/>
    <w:rsid w:val="00F02ABA"/>
    <w:rsid w:val="00F02D62"/>
    <w:rsid w:val="00F02DE2"/>
    <w:rsid w:val="00F0358C"/>
    <w:rsid w:val="00F0437A"/>
    <w:rsid w:val="00F04AF0"/>
    <w:rsid w:val="00F051C0"/>
    <w:rsid w:val="00F0615B"/>
    <w:rsid w:val="00F06AA8"/>
    <w:rsid w:val="00F06EA4"/>
    <w:rsid w:val="00F0754A"/>
    <w:rsid w:val="00F07902"/>
    <w:rsid w:val="00F101B8"/>
    <w:rsid w:val="00F10F39"/>
    <w:rsid w:val="00F11037"/>
    <w:rsid w:val="00F1134D"/>
    <w:rsid w:val="00F1152B"/>
    <w:rsid w:val="00F11773"/>
    <w:rsid w:val="00F12EB5"/>
    <w:rsid w:val="00F13DD3"/>
    <w:rsid w:val="00F14A3E"/>
    <w:rsid w:val="00F15144"/>
    <w:rsid w:val="00F15219"/>
    <w:rsid w:val="00F15EBF"/>
    <w:rsid w:val="00F164AB"/>
    <w:rsid w:val="00F164AC"/>
    <w:rsid w:val="00F16F1B"/>
    <w:rsid w:val="00F17ABC"/>
    <w:rsid w:val="00F20483"/>
    <w:rsid w:val="00F21676"/>
    <w:rsid w:val="00F22723"/>
    <w:rsid w:val="00F22F3A"/>
    <w:rsid w:val="00F241DB"/>
    <w:rsid w:val="00F24E42"/>
    <w:rsid w:val="00F250A9"/>
    <w:rsid w:val="00F255E4"/>
    <w:rsid w:val="00F25A56"/>
    <w:rsid w:val="00F266A8"/>
    <w:rsid w:val="00F267AF"/>
    <w:rsid w:val="00F27945"/>
    <w:rsid w:val="00F27F7F"/>
    <w:rsid w:val="00F30816"/>
    <w:rsid w:val="00F30972"/>
    <w:rsid w:val="00F30FF4"/>
    <w:rsid w:val="00F3120E"/>
    <w:rsid w:val="00F3122E"/>
    <w:rsid w:val="00F31619"/>
    <w:rsid w:val="00F31EE8"/>
    <w:rsid w:val="00F32368"/>
    <w:rsid w:val="00F324C8"/>
    <w:rsid w:val="00F32C0A"/>
    <w:rsid w:val="00F331A0"/>
    <w:rsid w:val="00F331AD"/>
    <w:rsid w:val="00F340DD"/>
    <w:rsid w:val="00F35287"/>
    <w:rsid w:val="00F36DA3"/>
    <w:rsid w:val="00F37CD2"/>
    <w:rsid w:val="00F37D67"/>
    <w:rsid w:val="00F40532"/>
    <w:rsid w:val="00F40640"/>
    <w:rsid w:val="00F40A70"/>
    <w:rsid w:val="00F42D62"/>
    <w:rsid w:val="00F4306D"/>
    <w:rsid w:val="00F432B2"/>
    <w:rsid w:val="00F43324"/>
    <w:rsid w:val="00F43A37"/>
    <w:rsid w:val="00F43FAB"/>
    <w:rsid w:val="00F44667"/>
    <w:rsid w:val="00F45442"/>
    <w:rsid w:val="00F46274"/>
    <w:rsid w:val="00F46302"/>
    <w:rsid w:val="00F4641B"/>
    <w:rsid w:val="00F46EB8"/>
    <w:rsid w:val="00F47133"/>
    <w:rsid w:val="00F5023C"/>
    <w:rsid w:val="00F503C3"/>
    <w:rsid w:val="00F50537"/>
    <w:rsid w:val="00F5062A"/>
    <w:rsid w:val="00F50842"/>
    <w:rsid w:val="00F50B69"/>
    <w:rsid w:val="00F50CD1"/>
    <w:rsid w:val="00F511E4"/>
    <w:rsid w:val="00F512DB"/>
    <w:rsid w:val="00F512EA"/>
    <w:rsid w:val="00F5156B"/>
    <w:rsid w:val="00F51945"/>
    <w:rsid w:val="00F52474"/>
    <w:rsid w:val="00F52784"/>
    <w:rsid w:val="00F52D09"/>
    <w:rsid w:val="00F52E08"/>
    <w:rsid w:val="00F53266"/>
    <w:rsid w:val="00F53A66"/>
    <w:rsid w:val="00F53DF5"/>
    <w:rsid w:val="00F5462D"/>
    <w:rsid w:val="00F5483A"/>
    <w:rsid w:val="00F54A35"/>
    <w:rsid w:val="00F54D90"/>
    <w:rsid w:val="00F54F9F"/>
    <w:rsid w:val="00F552BC"/>
    <w:rsid w:val="00F553D4"/>
    <w:rsid w:val="00F555D6"/>
    <w:rsid w:val="00F55B21"/>
    <w:rsid w:val="00F56EF6"/>
    <w:rsid w:val="00F56FAD"/>
    <w:rsid w:val="00F60082"/>
    <w:rsid w:val="00F610E6"/>
    <w:rsid w:val="00F61A9F"/>
    <w:rsid w:val="00F61B5F"/>
    <w:rsid w:val="00F61E84"/>
    <w:rsid w:val="00F6292D"/>
    <w:rsid w:val="00F629AF"/>
    <w:rsid w:val="00F62A41"/>
    <w:rsid w:val="00F636A9"/>
    <w:rsid w:val="00F64696"/>
    <w:rsid w:val="00F64B31"/>
    <w:rsid w:val="00F65AA9"/>
    <w:rsid w:val="00F65D21"/>
    <w:rsid w:val="00F66B9A"/>
    <w:rsid w:val="00F66F2D"/>
    <w:rsid w:val="00F672A0"/>
    <w:rsid w:val="00F6768F"/>
    <w:rsid w:val="00F705CE"/>
    <w:rsid w:val="00F71283"/>
    <w:rsid w:val="00F715B3"/>
    <w:rsid w:val="00F71CCB"/>
    <w:rsid w:val="00F72560"/>
    <w:rsid w:val="00F72774"/>
    <w:rsid w:val="00F72C2C"/>
    <w:rsid w:val="00F72DCA"/>
    <w:rsid w:val="00F7390E"/>
    <w:rsid w:val="00F741F2"/>
    <w:rsid w:val="00F744DE"/>
    <w:rsid w:val="00F7500D"/>
    <w:rsid w:val="00F757E3"/>
    <w:rsid w:val="00F758B8"/>
    <w:rsid w:val="00F75BDB"/>
    <w:rsid w:val="00F75ECF"/>
    <w:rsid w:val="00F76CAB"/>
    <w:rsid w:val="00F77242"/>
    <w:rsid w:val="00F772C6"/>
    <w:rsid w:val="00F8022D"/>
    <w:rsid w:val="00F80B57"/>
    <w:rsid w:val="00F815B5"/>
    <w:rsid w:val="00F83C84"/>
    <w:rsid w:val="00F83DE5"/>
    <w:rsid w:val="00F840DC"/>
    <w:rsid w:val="00F84EF7"/>
    <w:rsid w:val="00F85195"/>
    <w:rsid w:val="00F857D4"/>
    <w:rsid w:val="00F8650B"/>
    <w:rsid w:val="00F865B4"/>
    <w:rsid w:val="00F8679F"/>
    <w:rsid w:val="00F8682F"/>
    <w:rsid w:val="00F868E3"/>
    <w:rsid w:val="00F87171"/>
    <w:rsid w:val="00F87B00"/>
    <w:rsid w:val="00F908D1"/>
    <w:rsid w:val="00F91D5C"/>
    <w:rsid w:val="00F91E57"/>
    <w:rsid w:val="00F925D6"/>
    <w:rsid w:val="00F92712"/>
    <w:rsid w:val="00F927FA"/>
    <w:rsid w:val="00F9284B"/>
    <w:rsid w:val="00F931EF"/>
    <w:rsid w:val="00F938BA"/>
    <w:rsid w:val="00F94128"/>
    <w:rsid w:val="00F941B2"/>
    <w:rsid w:val="00F94DC3"/>
    <w:rsid w:val="00F95621"/>
    <w:rsid w:val="00F959DA"/>
    <w:rsid w:val="00F95E1C"/>
    <w:rsid w:val="00F95FAD"/>
    <w:rsid w:val="00F96F40"/>
    <w:rsid w:val="00F970B8"/>
    <w:rsid w:val="00F97285"/>
    <w:rsid w:val="00F97919"/>
    <w:rsid w:val="00FA052C"/>
    <w:rsid w:val="00FA0E0E"/>
    <w:rsid w:val="00FA177C"/>
    <w:rsid w:val="00FA18AF"/>
    <w:rsid w:val="00FA1F60"/>
    <w:rsid w:val="00FA230B"/>
    <w:rsid w:val="00FA2468"/>
    <w:rsid w:val="00FA29F7"/>
    <w:rsid w:val="00FA2B7E"/>
    <w:rsid w:val="00FA2C46"/>
    <w:rsid w:val="00FA308F"/>
    <w:rsid w:val="00FA3525"/>
    <w:rsid w:val="00FA38D0"/>
    <w:rsid w:val="00FA394F"/>
    <w:rsid w:val="00FA3FBA"/>
    <w:rsid w:val="00FA42B6"/>
    <w:rsid w:val="00FA4849"/>
    <w:rsid w:val="00FA4A39"/>
    <w:rsid w:val="00FA58B2"/>
    <w:rsid w:val="00FA5A53"/>
    <w:rsid w:val="00FA5E3F"/>
    <w:rsid w:val="00FA64D0"/>
    <w:rsid w:val="00FA777E"/>
    <w:rsid w:val="00FA7CC1"/>
    <w:rsid w:val="00FB03AD"/>
    <w:rsid w:val="00FB0E59"/>
    <w:rsid w:val="00FB1E8B"/>
    <w:rsid w:val="00FB1F6E"/>
    <w:rsid w:val="00FB3064"/>
    <w:rsid w:val="00FB390E"/>
    <w:rsid w:val="00FB3913"/>
    <w:rsid w:val="00FB3B18"/>
    <w:rsid w:val="00FB4769"/>
    <w:rsid w:val="00FB4CD0"/>
    <w:rsid w:val="00FB4CDA"/>
    <w:rsid w:val="00FB6481"/>
    <w:rsid w:val="00FB6D36"/>
    <w:rsid w:val="00FB72AF"/>
    <w:rsid w:val="00FB78B6"/>
    <w:rsid w:val="00FC0965"/>
    <w:rsid w:val="00FC0F81"/>
    <w:rsid w:val="00FC1996"/>
    <w:rsid w:val="00FC1C45"/>
    <w:rsid w:val="00FC252F"/>
    <w:rsid w:val="00FC27D9"/>
    <w:rsid w:val="00FC333E"/>
    <w:rsid w:val="00FC3418"/>
    <w:rsid w:val="00FC3924"/>
    <w:rsid w:val="00FC395C"/>
    <w:rsid w:val="00FC4F3D"/>
    <w:rsid w:val="00FC5E8E"/>
    <w:rsid w:val="00FC5F2C"/>
    <w:rsid w:val="00FC6ED4"/>
    <w:rsid w:val="00FD045F"/>
    <w:rsid w:val="00FD0EA7"/>
    <w:rsid w:val="00FD1A58"/>
    <w:rsid w:val="00FD22F4"/>
    <w:rsid w:val="00FD256B"/>
    <w:rsid w:val="00FD2935"/>
    <w:rsid w:val="00FD3766"/>
    <w:rsid w:val="00FD3B6B"/>
    <w:rsid w:val="00FD3D05"/>
    <w:rsid w:val="00FD47C4"/>
    <w:rsid w:val="00FD4FC0"/>
    <w:rsid w:val="00FD5088"/>
    <w:rsid w:val="00FD56EA"/>
    <w:rsid w:val="00FD5EA9"/>
    <w:rsid w:val="00FE003E"/>
    <w:rsid w:val="00FE0A1A"/>
    <w:rsid w:val="00FE0BB3"/>
    <w:rsid w:val="00FE0BEC"/>
    <w:rsid w:val="00FE1402"/>
    <w:rsid w:val="00FE1B38"/>
    <w:rsid w:val="00FE2C07"/>
    <w:rsid w:val="00FE2DCF"/>
    <w:rsid w:val="00FE2E58"/>
    <w:rsid w:val="00FE331E"/>
    <w:rsid w:val="00FE3818"/>
    <w:rsid w:val="00FE3FA7"/>
    <w:rsid w:val="00FE4081"/>
    <w:rsid w:val="00FE43D2"/>
    <w:rsid w:val="00FE4EA1"/>
    <w:rsid w:val="00FE505C"/>
    <w:rsid w:val="00FE58FB"/>
    <w:rsid w:val="00FE61EC"/>
    <w:rsid w:val="00FF0BC9"/>
    <w:rsid w:val="00FF1F39"/>
    <w:rsid w:val="00FF2A4E"/>
    <w:rsid w:val="00FF2FCE"/>
    <w:rsid w:val="00FF32D4"/>
    <w:rsid w:val="00FF3E9F"/>
    <w:rsid w:val="00FF4075"/>
    <w:rsid w:val="00FF408B"/>
    <w:rsid w:val="00FF468E"/>
    <w:rsid w:val="00FF48A3"/>
    <w:rsid w:val="00FF4F56"/>
    <w:rsid w:val="00FF4F7D"/>
    <w:rsid w:val="00FF55D5"/>
    <w:rsid w:val="00FF5785"/>
    <w:rsid w:val="00FF5BB3"/>
    <w:rsid w:val="00FF6016"/>
    <w:rsid w:val="00FF6B3C"/>
    <w:rsid w:val="00FF6D9D"/>
    <w:rsid w:val="00FF6F86"/>
    <w:rsid w:val="00FF75CE"/>
    <w:rsid w:val="00FF7620"/>
    <w:rsid w:val="00FF7DD5"/>
    <w:rsid w:val="00FF7F00"/>
    <w:rsid w:val="00FFB08C"/>
    <w:rsid w:val="0115AD3A"/>
    <w:rsid w:val="011A95EE"/>
    <w:rsid w:val="01222097"/>
    <w:rsid w:val="01360DFC"/>
    <w:rsid w:val="014218A9"/>
    <w:rsid w:val="014FB27A"/>
    <w:rsid w:val="0154B7C5"/>
    <w:rsid w:val="015D4F9B"/>
    <w:rsid w:val="01720A02"/>
    <w:rsid w:val="019B2007"/>
    <w:rsid w:val="01B9DFC7"/>
    <w:rsid w:val="01C5B087"/>
    <w:rsid w:val="01F7700F"/>
    <w:rsid w:val="020BBD29"/>
    <w:rsid w:val="020C045D"/>
    <w:rsid w:val="02274E01"/>
    <w:rsid w:val="0248BE07"/>
    <w:rsid w:val="02657543"/>
    <w:rsid w:val="02812BC0"/>
    <w:rsid w:val="028F5425"/>
    <w:rsid w:val="0309FC50"/>
    <w:rsid w:val="03215809"/>
    <w:rsid w:val="0330A54C"/>
    <w:rsid w:val="0331BD3F"/>
    <w:rsid w:val="035377A2"/>
    <w:rsid w:val="03566FF9"/>
    <w:rsid w:val="0365B994"/>
    <w:rsid w:val="0379C14D"/>
    <w:rsid w:val="037BC261"/>
    <w:rsid w:val="03807CCA"/>
    <w:rsid w:val="038B9CE7"/>
    <w:rsid w:val="038BD6FD"/>
    <w:rsid w:val="03955AF2"/>
    <w:rsid w:val="03AE0631"/>
    <w:rsid w:val="03E301BE"/>
    <w:rsid w:val="0404BCE0"/>
    <w:rsid w:val="0405ED1C"/>
    <w:rsid w:val="041931B7"/>
    <w:rsid w:val="0430BA2C"/>
    <w:rsid w:val="0439174E"/>
    <w:rsid w:val="04739B36"/>
    <w:rsid w:val="047FE877"/>
    <w:rsid w:val="0486F01D"/>
    <w:rsid w:val="0492046B"/>
    <w:rsid w:val="04A7C744"/>
    <w:rsid w:val="04AA8F02"/>
    <w:rsid w:val="04CCE9A8"/>
    <w:rsid w:val="04DE4C0C"/>
    <w:rsid w:val="04DE8D78"/>
    <w:rsid w:val="04EB2892"/>
    <w:rsid w:val="050C23EC"/>
    <w:rsid w:val="053AF884"/>
    <w:rsid w:val="0541733B"/>
    <w:rsid w:val="054AA042"/>
    <w:rsid w:val="054AC4B6"/>
    <w:rsid w:val="054BCEB4"/>
    <w:rsid w:val="054D3B22"/>
    <w:rsid w:val="054D555B"/>
    <w:rsid w:val="057995AC"/>
    <w:rsid w:val="057F9BCF"/>
    <w:rsid w:val="05990626"/>
    <w:rsid w:val="05AEB2AC"/>
    <w:rsid w:val="05B8A04E"/>
    <w:rsid w:val="05B8B3A3"/>
    <w:rsid w:val="05BE1305"/>
    <w:rsid w:val="05EEBEE7"/>
    <w:rsid w:val="06250E3D"/>
    <w:rsid w:val="0634FD67"/>
    <w:rsid w:val="06355E75"/>
    <w:rsid w:val="06402F92"/>
    <w:rsid w:val="064A6198"/>
    <w:rsid w:val="06565271"/>
    <w:rsid w:val="065A2402"/>
    <w:rsid w:val="066E52E6"/>
    <w:rsid w:val="066F7530"/>
    <w:rsid w:val="0690E94F"/>
    <w:rsid w:val="06A1DD0F"/>
    <w:rsid w:val="06B0A70A"/>
    <w:rsid w:val="06BB63A4"/>
    <w:rsid w:val="06FABC10"/>
    <w:rsid w:val="070C5DF2"/>
    <w:rsid w:val="07162B86"/>
    <w:rsid w:val="07274052"/>
    <w:rsid w:val="072F4CCA"/>
    <w:rsid w:val="0733EF3C"/>
    <w:rsid w:val="07391E3E"/>
    <w:rsid w:val="0795E9F8"/>
    <w:rsid w:val="07BC0BB3"/>
    <w:rsid w:val="07D2E0D7"/>
    <w:rsid w:val="07E6BCB1"/>
    <w:rsid w:val="07F720AE"/>
    <w:rsid w:val="0818C973"/>
    <w:rsid w:val="0847EAAA"/>
    <w:rsid w:val="086C432F"/>
    <w:rsid w:val="08B9E407"/>
    <w:rsid w:val="08CDB1BB"/>
    <w:rsid w:val="08DEFF87"/>
    <w:rsid w:val="08E129A6"/>
    <w:rsid w:val="08E61989"/>
    <w:rsid w:val="08E8E724"/>
    <w:rsid w:val="08EB8390"/>
    <w:rsid w:val="08F316F4"/>
    <w:rsid w:val="09093530"/>
    <w:rsid w:val="090A35C5"/>
    <w:rsid w:val="091A7F77"/>
    <w:rsid w:val="091B62BB"/>
    <w:rsid w:val="09272661"/>
    <w:rsid w:val="0934010E"/>
    <w:rsid w:val="093A12CA"/>
    <w:rsid w:val="09488C88"/>
    <w:rsid w:val="09524021"/>
    <w:rsid w:val="09780633"/>
    <w:rsid w:val="09946DD1"/>
    <w:rsid w:val="09AEA9EF"/>
    <w:rsid w:val="09B5F329"/>
    <w:rsid w:val="09BF0821"/>
    <w:rsid w:val="09DC44CE"/>
    <w:rsid w:val="09DF7257"/>
    <w:rsid w:val="09F9B78B"/>
    <w:rsid w:val="0A150D83"/>
    <w:rsid w:val="0A277131"/>
    <w:rsid w:val="0A769F6D"/>
    <w:rsid w:val="0A8FE3A2"/>
    <w:rsid w:val="0AA21446"/>
    <w:rsid w:val="0ADEA64D"/>
    <w:rsid w:val="0AE7B53D"/>
    <w:rsid w:val="0B205047"/>
    <w:rsid w:val="0B209D82"/>
    <w:rsid w:val="0B2195C2"/>
    <w:rsid w:val="0B602575"/>
    <w:rsid w:val="0B701B00"/>
    <w:rsid w:val="0B85D593"/>
    <w:rsid w:val="0B8B8EAF"/>
    <w:rsid w:val="0B918E6F"/>
    <w:rsid w:val="0B92F3DF"/>
    <w:rsid w:val="0BB581D9"/>
    <w:rsid w:val="0C087614"/>
    <w:rsid w:val="0C0FDCF5"/>
    <w:rsid w:val="0C13F006"/>
    <w:rsid w:val="0C169F4E"/>
    <w:rsid w:val="0C30F82D"/>
    <w:rsid w:val="0C33ECAD"/>
    <w:rsid w:val="0C57D438"/>
    <w:rsid w:val="0C5CCC9E"/>
    <w:rsid w:val="0C79EBB9"/>
    <w:rsid w:val="0CAEE20D"/>
    <w:rsid w:val="0CC0963B"/>
    <w:rsid w:val="0CC7EE3C"/>
    <w:rsid w:val="0CF81C45"/>
    <w:rsid w:val="0CF8D7FA"/>
    <w:rsid w:val="0CFE0B17"/>
    <w:rsid w:val="0D08B10F"/>
    <w:rsid w:val="0D0A7F98"/>
    <w:rsid w:val="0D0E8163"/>
    <w:rsid w:val="0D9766B1"/>
    <w:rsid w:val="0D9DD695"/>
    <w:rsid w:val="0DA03CD6"/>
    <w:rsid w:val="0DB6B2A3"/>
    <w:rsid w:val="0DC9D14F"/>
    <w:rsid w:val="0DCF46B3"/>
    <w:rsid w:val="0E125BA5"/>
    <w:rsid w:val="0E12B5E5"/>
    <w:rsid w:val="0E18A5A3"/>
    <w:rsid w:val="0E1C61DB"/>
    <w:rsid w:val="0E563600"/>
    <w:rsid w:val="0E66C0A5"/>
    <w:rsid w:val="0E67BCE9"/>
    <w:rsid w:val="0E7B45AD"/>
    <w:rsid w:val="0ECBC8F0"/>
    <w:rsid w:val="0EE90AED"/>
    <w:rsid w:val="0EEDCF13"/>
    <w:rsid w:val="0F2E87B8"/>
    <w:rsid w:val="0F3BAE97"/>
    <w:rsid w:val="0F6F38EE"/>
    <w:rsid w:val="0F703293"/>
    <w:rsid w:val="0F72C3B4"/>
    <w:rsid w:val="0F87644F"/>
    <w:rsid w:val="0F94375E"/>
    <w:rsid w:val="0FA9C960"/>
    <w:rsid w:val="0FE6BA4E"/>
    <w:rsid w:val="0FEAF0CD"/>
    <w:rsid w:val="0FEF2DD0"/>
    <w:rsid w:val="1004E407"/>
    <w:rsid w:val="101E77F0"/>
    <w:rsid w:val="103FFA19"/>
    <w:rsid w:val="105013A2"/>
    <w:rsid w:val="106AF089"/>
    <w:rsid w:val="10AC7702"/>
    <w:rsid w:val="10B92193"/>
    <w:rsid w:val="10BBE49B"/>
    <w:rsid w:val="10C83D52"/>
    <w:rsid w:val="10D9E0B7"/>
    <w:rsid w:val="10DC46B0"/>
    <w:rsid w:val="10F7DF8A"/>
    <w:rsid w:val="110C0695"/>
    <w:rsid w:val="111F642F"/>
    <w:rsid w:val="11238392"/>
    <w:rsid w:val="113391AC"/>
    <w:rsid w:val="115A3EB0"/>
    <w:rsid w:val="116809B1"/>
    <w:rsid w:val="117E0ED7"/>
    <w:rsid w:val="117E46EA"/>
    <w:rsid w:val="119593E5"/>
    <w:rsid w:val="11A1396F"/>
    <w:rsid w:val="11A79316"/>
    <w:rsid w:val="11D1C1A0"/>
    <w:rsid w:val="11EBECA7"/>
    <w:rsid w:val="1202B876"/>
    <w:rsid w:val="124224AB"/>
    <w:rsid w:val="124DC4DB"/>
    <w:rsid w:val="1277D9CF"/>
    <w:rsid w:val="12848EE2"/>
    <w:rsid w:val="12917B01"/>
    <w:rsid w:val="12A12575"/>
    <w:rsid w:val="12B31879"/>
    <w:rsid w:val="12C7AE37"/>
    <w:rsid w:val="12DFF3E3"/>
    <w:rsid w:val="12F7EF43"/>
    <w:rsid w:val="13153868"/>
    <w:rsid w:val="13252966"/>
    <w:rsid w:val="13812513"/>
    <w:rsid w:val="13840B2E"/>
    <w:rsid w:val="1388BD45"/>
    <w:rsid w:val="1398AD7D"/>
    <w:rsid w:val="139ED85F"/>
    <w:rsid w:val="13A06AA5"/>
    <w:rsid w:val="13B2BC0C"/>
    <w:rsid w:val="13C2C95C"/>
    <w:rsid w:val="13DE2389"/>
    <w:rsid w:val="13F26591"/>
    <w:rsid w:val="140DBD50"/>
    <w:rsid w:val="142EF83D"/>
    <w:rsid w:val="14372955"/>
    <w:rsid w:val="1464C5BD"/>
    <w:rsid w:val="146F5324"/>
    <w:rsid w:val="147065D3"/>
    <w:rsid w:val="14717E03"/>
    <w:rsid w:val="14753FF5"/>
    <w:rsid w:val="14778386"/>
    <w:rsid w:val="147F8671"/>
    <w:rsid w:val="1480BEFC"/>
    <w:rsid w:val="14AF4041"/>
    <w:rsid w:val="14BCE275"/>
    <w:rsid w:val="14C7E898"/>
    <w:rsid w:val="14DC8BF8"/>
    <w:rsid w:val="14E5FCEC"/>
    <w:rsid w:val="151052EB"/>
    <w:rsid w:val="15126741"/>
    <w:rsid w:val="15127EA6"/>
    <w:rsid w:val="153A5B3D"/>
    <w:rsid w:val="1542320F"/>
    <w:rsid w:val="1586298A"/>
    <w:rsid w:val="15A21AA5"/>
    <w:rsid w:val="15B36B16"/>
    <w:rsid w:val="15D2F2D0"/>
    <w:rsid w:val="15DAAD20"/>
    <w:rsid w:val="15DB30AC"/>
    <w:rsid w:val="15E04960"/>
    <w:rsid w:val="16192E9C"/>
    <w:rsid w:val="161F791F"/>
    <w:rsid w:val="16331C6E"/>
    <w:rsid w:val="1642C2D2"/>
    <w:rsid w:val="16515DEE"/>
    <w:rsid w:val="1651A974"/>
    <w:rsid w:val="16639A3F"/>
    <w:rsid w:val="168CF88F"/>
    <w:rsid w:val="169257CD"/>
    <w:rsid w:val="16B4A982"/>
    <w:rsid w:val="17292505"/>
    <w:rsid w:val="172C0F18"/>
    <w:rsid w:val="172DB791"/>
    <w:rsid w:val="172FCB06"/>
    <w:rsid w:val="17445EAF"/>
    <w:rsid w:val="174ACFB2"/>
    <w:rsid w:val="1752F78F"/>
    <w:rsid w:val="1773C965"/>
    <w:rsid w:val="1778C7EF"/>
    <w:rsid w:val="17D5EAFC"/>
    <w:rsid w:val="17E6E840"/>
    <w:rsid w:val="17EDF825"/>
    <w:rsid w:val="17F3434A"/>
    <w:rsid w:val="180DC36B"/>
    <w:rsid w:val="18122272"/>
    <w:rsid w:val="181578D9"/>
    <w:rsid w:val="1827BDBD"/>
    <w:rsid w:val="18528D0E"/>
    <w:rsid w:val="185C579E"/>
    <w:rsid w:val="186C9541"/>
    <w:rsid w:val="1881D353"/>
    <w:rsid w:val="18AA49F3"/>
    <w:rsid w:val="18C6CFA3"/>
    <w:rsid w:val="18D6FEAD"/>
    <w:rsid w:val="18E8578F"/>
    <w:rsid w:val="190EB579"/>
    <w:rsid w:val="1918B96C"/>
    <w:rsid w:val="191CA6F9"/>
    <w:rsid w:val="191D1721"/>
    <w:rsid w:val="19227868"/>
    <w:rsid w:val="1926365E"/>
    <w:rsid w:val="1944AC4D"/>
    <w:rsid w:val="19464E7F"/>
    <w:rsid w:val="19A66E40"/>
    <w:rsid w:val="19E1A372"/>
    <w:rsid w:val="19EB2C2A"/>
    <w:rsid w:val="1A3A57B5"/>
    <w:rsid w:val="1A494DCD"/>
    <w:rsid w:val="1A52A902"/>
    <w:rsid w:val="1A5BC53E"/>
    <w:rsid w:val="1A5D0FFB"/>
    <w:rsid w:val="1A83FE8B"/>
    <w:rsid w:val="1A91433E"/>
    <w:rsid w:val="1AABA15C"/>
    <w:rsid w:val="1AACCF74"/>
    <w:rsid w:val="1AC0A147"/>
    <w:rsid w:val="1ADAB13B"/>
    <w:rsid w:val="1ADD577B"/>
    <w:rsid w:val="1AEFAE09"/>
    <w:rsid w:val="1AFA3A0C"/>
    <w:rsid w:val="1B2FFA27"/>
    <w:rsid w:val="1B422024"/>
    <w:rsid w:val="1B4EE6BE"/>
    <w:rsid w:val="1B73D4BA"/>
    <w:rsid w:val="1BB16265"/>
    <w:rsid w:val="1BEE09B2"/>
    <w:rsid w:val="1BF98869"/>
    <w:rsid w:val="1C05426B"/>
    <w:rsid w:val="1C07EF62"/>
    <w:rsid w:val="1C0BE103"/>
    <w:rsid w:val="1C14082B"/>
    <w:rsid w:val="1C326056"/>
    <w:rsid w:val="1C32DC31"/>
    <w:rsid w:val="1C5EBD3A"/>
    <w:rsid w:val="1C67542B"/>
    <w:rsid w:val="1C679104"/>
    <w:rsid w:val="1C72D54D"/>
    <w:rsid w:val="1C93EC6D"/>
    <w:rsid w:val="1D0B37BB"/>
    <w:rsid w:val="1D0B597A"/>
    <w:rsid w:val="1D533CF5"/>
    <w:rsid w:val="1D6400A9"/>
    <w:rsid w:val="1D725199"/>
    <w:rsid w:val="1D7E38A8"/>
    <w:rsid w:val="1DA70DF4"/>
    <w:rsid w:val="1DCD70F9"/>
    <w:rsid w:val="1DD063FA"/>
    <w:rsid w:val="1DD0764B"/>
    <w:rsid w:val="1DD6EFBF"/>
    <w:rsid w:val="1E181D70"/>
    <w:rsid w:val="1E34904D"/>
    <w:rsid w:val="1E422903"/>
    <w:rsid w:val="1E71F3D7"/>
    <w:rsid w:val="1E75B396"/>
    <w:rsid w:val="1E8C0AC5"/>
    <w:rsid w:val="1E93DD45"/>
    <w:rsid w:val="1EB0008E"/>
    <w:rsid w:val="1EC8C260"/>
    <w:rsid w:val="1EE81CBE"/>
    <w:rsid w:val="1F58A129"/>
    <w:rsid w:val="1F68BC50"/>
    <w:rsid w:val="1F9AAEF5"/>
    <w:rsid w:val="1FC42A12"/>
    <w:rsid w:val="1FCFE1AD"/>
    <w:rsid w:val="2021EA91"/>
    <w:rsid w:val="202695FE"/>
    <w:rsid w:val="20278BA4"/>
    <w:rsid w:val="204593D0"/>
    <w:rsid w:val="208DB634"/>
    <w:rsid w:val="2099BB7D"/>
    <w:rsid w:val="20A365C5"/>
    <w:rsid w:val="20A53332"/>
    <w:rsid w:val="20C952BD"/>
    <w:rsid w:val="20F25039"/>
    <w:rsid w:val="2138BDB0"/>
    <w:rsid w:val="216F756A"/>
    <w:rsid w:val="219C5EBF"/>
    <w:rsid w:val="21AC5B45"/>
    <w:rsid w:val="21AE97BF"/>
    <w:rsid w:val="21CF8355"/>
    <w:rsid w:val="21DBB0FD"/>
    <w:rsid w:val="21E691B4"/>
    <w:rsid w:val="21ED08F1"/>
    <w:rsid w:val="22053BBD"/>
    <w:rsid w:val="2223878C"/>
    <w:rsid w:val="222AB2EC"/>
    <w:rsid w:val="225FDB27"/>
    <w:rsid w:val="22627979"/>
    <w:rsid w:val="2262D83F"/>
    <w:rsid w:val="226874FD"/>
    <w:rsid w:val="22ADFA39"/>
    <w:rsid w:val="22B9A6A5"/>
    <w:rsid w:val="22E6114A"/>
    <w:rsid w:val="233E3DFA"/>
    <w:rsid w:val="2355D2E7"/>
    <w:rsid w:val="235EDA12"/>
    <w:rsid w:val="23711A89"/>
    <w:rsid w:val="23A21B23"/>
    <w:rsid w:val="23A3C00D"/>
    <w:rsid w:val="23A78744"/>
    <w:rsid w:val="23C2C633"/>
    <w:rsid w:val="2409D9BB"/>
    <w:rsid w:val="241A10D1"/>
    <w:rsid w:val="2433D98A"/>
    <w:rsid w:val="243BE229"/>
    <w:rsid w:val="24445F94"/>
    <w:rsid w:val="24662571"/>
    <w:rsid w:val="24681629"/>
    <w:rsid w:val="246BB729"/>
    <w:rsid w:val="246E1A53"/>
    <w:rsid w:val="247E1073"/>
    <w:rsid w:val="249C3E7E"/>
    <w:rsid w:val="24C6B79C"/>
    <w:rsid w:val="24CC5572"/>
    <w:rsid w:val="24D73A89"/>
    <w:rsid w:val="24ED9023"/>
    <w:rsid w:val="250CD634"/>
    <w:rsid w:val="2511F948"/>
    <w:rsid w:val="2535D0E9"/>
    <w:rsid w:val="254A3DED"/>
    <w:rsid w:val="255D5838"/>
    <w:rsid w:val="2570E0E9"/>
    <w:rsid w:val="257C3AE6"/>
    <w:rsid w:val="257EC8A5"/>
    <w:rsid w:val="258C7F0A"/>
    <w:rsid w:val="25AC83F9"/>
    <w:rsid w:val="25C6A3BF"/>
    <w:rsid w:val="25EF6F2A"/>
    <w:rsid w:val="25FF2853"/>
    <w:rsid w:val="264CEB58"/>
    <w:rsid w:val="2679EC5E"/>
    <w:rsid w:val="267A77D2"/>
    <w:rsid w:val="26B5D410"/>
    <w:rsid w:val="26D0E61D"/>
    <w:rsid w:val="26EA148C"/>
    <w:rsid w:val="270597AB"/>
    <w:rsid w:val="270BC28E"/>
    <w:rsid w:val="27375239"/>
    <w:rsid w:val="27544A62"/>
    <w:rsid w:val="2756D532"/>
    <w:rsid w:val="2760705C"/>
    <w:rsid w:val="27646B7A"/>
    <w:rsid w:val="2764BE6D"/>
    <w:rsid w:val="2776785D"/>
    <w:rsid w:val="277739F3"/>
    <w:rsid w:val="278EABC1"/>
    <w:rsid w:val="27936849"/>
    <w:rsid w:val="2798341D"/>
    <w:rsid w:val="27DD8549"/>
    <w:rsid w:val="27F16910"/>
    <w:rsid w:val="281FC5BC"/>
    <w:rsid w:val="28247EAD"/>
    <w:rsid w:val="2832ECC0"/>
    <w:rsid w:val="284D0C4A"/>
    <w:rsid w:val="284D5D60"/>
    <w:rsid w:val="284E4E4B"/>
    <w:rsid w:val="285886C3"/>
    <w:rsid w:val="28588B57"/>
    <w:rsid w:val="286376A3"/>
    <w:rsid w:val="28796C0F"/>
    <w:rsid w:val="287D73D4"/>
    <w:rsid w:val="289436F0"/>
    <w:rsid w:val="28AC8F5A"/>
    <w:rsid w:val="28AFD10A"/>
    <w:rsid w:val="28EFE9E9"/>
    <w:rsid w:val="2908D36F"/>
    <w:rsid w:val="29153DE7"/>
    <w:rsid w:val="292198EF"/>
    <w:rsid w:val="2929ED46"/>
    <w:rsid w:val="29313518"/>
    <w:rsid w:val="2932DD6D"/>
    <w:rsid w:val="294715E1"/>
    <w:rsid w:val="295A147E"/>
    <w:rsid w:val="29726F75"/>
    <w:rsid w:val="299D767C"/>
    <w:rsid w:val="29B30FC4"/>
    <w:rsid w:val="29BA329E"/>
    <w:rsid w:val="29BBADAA"/>
    <w:rsid w:val="29BD5860"/>
    <w:rsid w:val="29D82945"/>
    <w:rsid w:val="2A239920"/>
    <w:rsid w:val="2A248D1C"/>
    <w:rsid w:val="2A2C79C7"/>
    <w:rsid w:val="2A4991C3"/>
    <w:rsid w:val="2A5C4A15"/>
    <w:rsid w:val="2A82C133"/>
    <w:rsid w:val="2AB5C881"/>
    <w:rsid w:val="2AD74376"/>
    <w:rsid w:val="2AD89695"/>
    <w:rsid w:val="2AE12859"/>
    <w:rsid w:val="2AFDCEC1"/>
    <w:rsid w:val="2B04C952"/>
    <w:rsid w:val="2B20E8D0"/>
    <w:rsid w:val="2B262C34"/>
    <w:rsid w:val="2B2A4FFF"/>
    <w:rsid w:val="2B47F901"/>
    <w:rsid w:val="2B63C107"/>
    <w:rsid w:val="2B8D44F2"/>
    <w:rsid w:val="2BB95EDA"/>
    <w:rsid w:val="2BC2C174"/>
    <w:rsid w:val="2C2A0010"/>
    <w:rsid w:val="2C3EAC15"/>
    <w:rsid w:val="2C588C88"/>
    <w:rsid w:val="2C5EC073"/>
    <w:rsid w:val="2C6C750B"/>
    <w:rsid w:val="2C7C71DE"/>
    <w:rsid w:val="2C7E70F0"/>
    <w:rsid w:val="2C8AF3C6"/>
    <w:rsid w:val="2C8F0D6F"/>
    <w:rsid w:val="2CA01C04"/>
    <w:rsid w:val="2CA85D11"/>
    <w:rsid w:val="2CAD8DD8"/>
    <w:rsid w:val="2CB541DC"/>
    <w:rsid w:val="2CC51065"/>
    <w:rsid w:val="2CC66670"/>
    <w:rsid w:val="2CDF637C"/>
    <w:rsid w:val="2CED5B4C"/>
    <w:rsid w:val="2CF42205"/>
    <w:rsid w:val="2CF96213"/>
    <w:rsid w:val="2D4AFCCB"/>
    <w:rsid w:val="2D774406"/>
    <w:rsid w:val="2D7CEFB6"/>
    <w:rsid w:val="2D832405"/>
    <w:rsid w:val="2D94147A"/>
    <w:rsid w:val="2DAB7ADD"/>
    <w:rsid w:val="2DF00119"/>
    <w:rsid w:val="2E4DEAB8"/>
    <w:rsid w:val="2E63B827"/>
    <w:rsid w:val="2E6D2128"/>
    <w:rsid w:val="2E745524"/>
    <w:rsid w:val="2E8E8E46"/>
    <w:rsid w:val="2EA23E06"/>
    <w:rsid w:val="2EC6C5CA"/>
    <w:rsid w:val="2EEBE6F7"/>
    <w:rsid w:val="2EFB8009"/>
    <w:rsid w:val="2F1C7D4E"/>
    <w:rsid w:val="2F3E70C6"/>
    <w:rsid w:val="2F764CD7"/>
    <w:rsid w:val="2F9D0E84"/>
    <w:rsid w:val="2FAFB91E"/>
    <w:rsid w:val="2FD69376"/>
    <w:rsid w:val="2FFF8888"/>
    <w:rsid w:val="2FFFE5BE"/>
    <w:rsid w:val="301A04A2"/>
    <w:rsid w:val="303028DA"/>
    <w:rsid w:val="3043A4B5"/>
    <w:rsid w:val="305A255B"/>
    <w:rsid w:val="30667AF3"/>
    <w:rsid w:val="306E0C5E"/>
    <w:rsid w:val="308116A4"/>
    <w:rsid w:val="30BC0EB1"/>
    <w:rsid w:val="30D41220"/>
    <w:rsid w:val="31532E1E"/>
    <w:rsid w:val="315D86F2"/>
    <w:rsid w:val="317A4B00"/>
    <w:rsid w:val="318997D3"/>
    <w:rsid w:val="3193611E"/>
    <w:rsid w:val="3198E0D5"/>
    <w:rsid w:val="31A3B897"/>
    <w:rsid w:val="31ADB747"/>
    <w:rsid w:val="31C71E9F"/>
    <w:rsid w:val="31D89E3F"/>
    <w:rsid w:val="31DD1B36"/>
    <w:rsid w:val="31EC4881"/>
    <w:rsid w:val="31F8C31C"/>
    <w:rsid w:val="32104FF1"/>
    <w:rsid w:val="32164981"/>
    <w:rsid w:val="3218B0B9"/>
    <w:rsid w:val="322274C6"/>
    <w:rsid w:val="3246738F"/>
    <w:rsid w:val="3258FA03"/>
    <w:rsid w:val="3260CFA4"/>
    <w:rsid w:val="3268282D"/>
    <w:rsid w:val="327904AD"/>
    <w:rsid w:val="32AE0BBA"/>
    <w:rsid w:val="32C46662"/>
    <w:rsid w:val="331CF99B"/>
    <w:rsid w:val="332CA1E2"/>
    <w:rsid w:val="332FEF33"/>
    <w:rsid w:val="334031BC"/>
    <w:rsid w:val="334800ED"/>
    <w:rsid w:val="3363F31B"/>
    <w:rsid w:val="33A78BBB"/>
    <w:rsid w:val="33CB8F33"/>
    <w:rsid w:val="33CCABE9"/>
    <w:rsid w:val="33E281AE"/>
    <w:rsid w:val="33E5609C"/>
    <w:rsid w:val="33ECD653"/>
    <w:rsid w:val="33F025E5"/>
    <w:rsid w:val="34209446"/>
    <w:rsid w:val="34296836"/>
    <w:rsid w:val="34661D18"/>
    <w:rsid w:val="346FA43D"/>
    <w:rsid w:val="34808E1B"/>
    <w:rsid w:val="34B3FB48"/>
    <w:rsid w:val="34D256B4"/>
    <w:rsid w:val="34DFC1BE"/>
    <w:rsid w:val="3502F629"/>
    <w:rsid w:val="3512467C"/>
    <w:rsid w:val="3527AB34"/>
    <w:rsid w:val="353063DE"/>
    <w:rsid w:val="354F1441"/>
    <w:rsid w:val="35524B88"/>
    <w:rsid w:val="355B151E"/>
    <w:rsid w:val="35641CA0"/>
    <w:rsid w:val="3575A97D"/>
    <w:rsid w:val="359044A1"/>
    <w:rsid w:val="359145B1"/>
    <w:rsid w:val="35D79B24"/>
    <w:rsid w:val="35F96E4C"/>
    <w:rsid w:val="366E40A7"/>
    <w:rsid w:val="3682AD19"/>
    <w:rsid w:val="3684AB51"/>
    <w:rsid w:val="36AF81D1"/>
    <w:rsid w:val="36C932D3"/>
    <w:rsid w:val="36EE1D6B"/>
    <w:rsid w:val="36FCE385"/>
    <w:rsid w:val="3702FC02"/>
    <w:rsid w:val="37333021"/>
    <w:rsid w:val="374B37C7"/>
    <w:rsid w:val="376AE507"/>
    <w:rsid w:val="378ACC7E"/>
    <w:rsid w:val="37CB40C1"/>
    <w:rsid w:val="37DE4B26"/>
    <w:rsid w:val="3803B160"/>
    <w:rsid w:val="380FE4A7"/>
    <w:rsid w:val="3827C851"/>
    <w:rsid w:val="382B26BD"/>
    <w:rsid w:val="38567773"/>
    <w:rsid w:val="385E12C8"/>
    <w:rsid w:val="38670301"/>
    <w:rsid w:val="388875FC"/>
    <w:rsid w:val="388FC667"/>
    <w:rsid w:val="38AA21A1"/>
    <w:rsid w:val="38C37AE7"/>
    <w:rsid w:val="3915B352"/>
    <w:rsid w:val="39205EFA"/>
    <w:rsid w:val="392C3937"/>
    <w:rsid w:val="394428DA"/>
    <w:rsid w:val="3969029A"/>
    <w:rsid w:val="397FB62A"/>
    <w:rsid w:val="39AD2088"/>
    <w:rsid w:val="39CDA31C"/>
    <w:rsid w:val="3A39D1BD"/>
    <w:rsid w:val="3A4A0578"/>
    <w:rsid w:val="3A5E5422"/>
    <w:rsid w:val="3A968571"/>
    <w:rsid w:val="3AA8F411"/>
    <w:rsid w:val="3AB9D309"/>
    <w:rsid w:val="3AC3C7E6"/>
    <w:rsid w:val="3ACDDF95"/>
    <w:rsid w:val="3ACF5FA5"/>
    <w:rsid w:val="3AD8B4A3"/>
    <w:rsid w:val="3AEB73A8"/>
    <w:rsid w:val="3AF70D82"/>
    <w:rsid w:val="3B0F39F3"/>
    <w:rsid w:val="3B1D29F6"/>
    <w:rsid w:val="3B292C9F"/>
    <w:rsid w:val="3B7A75A2"/>
    <w:rsid w:val="3BAA7397"/>
    <w:rsid w:val="3BC10F3D"/>
    <w:rsid w:val="3C0A363B"/>
    <w:rsid w:val="3C0BD5D5"/>
    <w:rsid w:val="3C42DD38"/>
    <w:rsid w:val="3C4A4211"/>
    <w:rsid w:val="3C50344D"/>
    <w:rsid w:val="3C8AFEC6"/>
    <w:rsid w:val="3C91873A"/>
    <w:rsid w:val="3C920D83"/>
    <w:rsid w:val="3CB5299A"/>
    <w:rsid w:val="3CB59773"/>
    <w:rsid w:val="3D148B7D"/>
    <w:rsid w:val="3D14D747"/>
    <w:rsid w:val="3D15B95C"/>
    <w:rsid w:val="3D56CE0C"/>
    <w:rsid w:val="3D649ADE"/>
    <w:rsid w:val="3D6E6B0A"/>
    <w:rsid w:val="3D92531B"/>
    <w:rsid w:val="3DF6DD80"/>
    <w:rsid w:val="3DF94CF8"/>
    <w:rsid w:val="3E14BF61"/>
    <w:rsid w:val="3E374AA1"/>
    <w:rsid w:val="3E4C91AA"/>
    <w:rsid w:val="3E60B394"/>
    <w:rsid w:val="3E6F0E7A"/>
    <w:rsid w:val="3E95AD97"/>
    <w:rsid w:val="3EAF9CFE"/>
    <w:rsid w:val="3EB76820"/>
    <w:rsid w:val="3EC45879"/>
    <w:rsid w:val="3ECBDF1A"/>
    <w:rsid w:val="3EF1EEA4"/>
    <w:rsid w:val="3EFFA8F5"/>
    <w:rsid w:val="3F10B3A5"/>
    <w:rsid w:val="3F1974F4"/>
    <w:rsid w:val="3F19F47B"/>
    <w:rsid w:val="3F1C2DD4"/>
    <w:rsid w:val="3F283F1E"/>
    <w:rsid w:val="3F48E072"/>
    <w:rsid w:val="3F57D252"/>
    <w:rsid w:val="3F5F6571"/>
    <w:rsid w:val="3F606073"/>
    <w:rsid w:val="3F645DFE"/>
    <w:rsid w:val="3F9C4191"/>
    <w:rsid w:val="3FDF69F7"/>
    <w:rsid w:val="400B606B"/>
    <w:rsid w:val="400D830A"/>
    <w:rsid w:val="401E95F9"/>
    <w:rsid w:val="403C649A"/>
    <w:rsid w:val="40556A5A"/>
    <w:rsid w:val="4074085D"/>
    <w:rsid w:val="4079D31C"/>
    <w:rsid w:val="407E032E"/>
    <w:rsid w:val="40838EBC"/>
    <w:rsid w:val="409C8DD0"/>
    <w:rsid w:val="40C6EDDB"/>
    <w:rsid w:val="40D6A21C"/>
    <w:rsid w:val="40F626AD"/>
    <w:rsid w:val="40FEDCA4"/>
    <w:rsid w:val="41005256"/>
    <w:rsid w:val="4119AA91"/>
    <w:rsid w:val="41308BDE"/>
    <w:rsid w:val="413541F9"/>
    <w:rsid w:val="413893E0"/>
    <w:rsid w:val="415E6B90"/>
    <w:rsid w:val="416ACAEF"/>
    <w:rsid w:val="41717E94"/>
    <w:rsid w:val="418DE03F"/>
    <w:rsid w:val="41ADB947"/>
    <w:rsid w:val="41BB5BDF"/>
    <w:rsid w:val="41C7C082"/>
    <w:rsid w:val="41D8B79C"/>
    <w:rsid w:val="41E4EFBA"/>
    <w:rsid w:val="423A7540"/>
    <w:rsid w:val="425FFD56"/>
    <w:rsid w:val="42907D7F"/>
    <w:rsid w:val="42964312"/>
    <w:rsid w:val="42A74B79"/>
    <w:rsid w:val="42B195BF"/>
    <w:rsid w:val="42BF6C43"/>
    <w:rsid w:val="42C052CE"/>
    <w:rsid w:val="42CDA4AC"/>
    <w:rsid w:val="42F5AAEF"/>
    <w:rsid w:val="430AB47F"/>
    <w:rsid w:val="4340657B"/>
    <w:rsid w:val="43497A35"/>
    <w:rsid w:val="435185A7"/>
    <w:rsid w:val="43695F55"/>
    <w:rsid w:val="4371EE4E"/>
    <w:rsid w:val="4380DDF4"/>
    <w:rsid w:val="43956066"/>
    <w:rsid w:val="43BB4732"/>
    <w:rsid w:val="43D4AD2B"/>
    <w:rsid w:val="43D85FFC"/>
    <w:rsid w:val="43E75302"/>
    <w:rsid w:val="4424984A"/>
    <w:rsid w:val="4429D005"/>
    <w:rsid w:val="442C5CF6"/>
    <w:rsid w:val="443882AC"/>
    <w:rsid w:val="44403987"/>
    <w:rsid w:val="444CD40B"/>
    <w:rsid w:val="447EC3A4"/>
    <w:rsid w:val="448C89DF"/>
    <w:rsid w:val="44A78B87"/>
    <w:rsid w:val="44B91B85"/>
    <w:rsid w:val="44BAAC32"/>
    <w:rsid w:val="44C251FA"/>
    <w:rsid w:val="44D0C938"/>
    <w:rsid w:val="44E431A8"/>
    <w:rsid w:val="44EB2F02"/>
    <w:rsid w:val="450FA3B3"/>
    <w:rsid w:val="45293B66"/>
    <w:rsid w:val="454FF9E7"/>
    <w:rsid w:val="45522FCF"/>
    <w:rsid w:val="45626584"/>
    <w:rsid w:val="45627A60"/>
    <w:rsid w:val="4587F4C3"/>
    <w:rsid w:val="45985E39"/>
    <w:rsid w:val="45B81B33"/>
    <w:rsid w:val="45CBCD00"/>
    <w:rsid w:val="45EBDC15"/>
    <w:rsid w:val="45F176FA"/>
    <w:rsid w:val="45F7D262"/>
    <w:rsid w:val="46310E83"/>
    <w:rsid w:val="463D49DD"/>
    <w:rsid w:val="4640D660"/>
    <w:rsid w:val="464E8D83"/>
    <w:rsid w:val="4665CDEA"/>
    <w:rsid w:val="4667FA99"/>
    <w:rsid w:val="4671F496"/>
    <w:rsid w:val="46849AF7"/>
    <w:rsid w:val="468F426A"/>
    <w:rsid w:val="46CB613B"/>
    <w:rsid w:val="46E12FAD"/>
    <w:rsid w:val="46E65423"/>
    <w:rsid w:val="4701B643"/>
    <w:rsid w:val="4704E51C"/>
    <w:rsid w:val="47077B51"/>
    <w:rsid w:val="471B171D"/>
    <w:rsid w:val="4721BFAE"/>
    <w:rsid w:val="473A5A2F"/>
    <w:rsid w:val="475C8B83"/>
    <w:rsid w:val="475D058C"/>
    <w:rsid w:val="475F7F90"/>
    <w:rsid w:val="4771AFC2"/>
    <w:rsid w:val="47966062"/>
    <w:rsid w:val="47966821"/>
    <w:rsid w:val="47B1F26A"/>
    <w:rsid w:val="47B34A1E"/>
    <w:rsid w:val="47B7476B"/>
    <w:rsid w:val="47BBB422"/>
    <w:rsid w:val="47C6C6CE"/>
    <w:rsid w:val="48088694"/>
    <w:rsid w:val="4813C19B"/>
    <w:rsid w:val="4829D09D"/>
    <w:rsid w:val="48309AFE"/>
    <w:rsid w:val="4836F13C"/>
    <w:rsid w:val="48419EFB"/>
    <w:rsid w:val="485FFF1C"/>
    <w:rsid w:val="48922071"/>
    <w:rsid w:val="4892430E"/>
    <w:rsid w:val="48AED0DF"/>
    <w:rsid w:val="48AFEE24"/>
    <w:rsid w:val="48B22D92"/>
    <w:rsid w:val="48B45B6D"/>
    <w:rsid w:val="48B80AD8"/>
    <w:rsid w:val="48BF8B89"/>
    <w:rsid w:val="48FB56A5"/>
    <w:rsid w:val="49270A45"/>
    <w:rsid w:val="493693F8"/>
    <w:rsid w:val="4952729E"/>
    <w:rsid w:val="4952EAF0"/>
    <w:rsid w:val="4959A2FC"/>
    <w:rsid w:val="4971A11C"/>
    <w:rsid w:val="4979749F"/>
    <w:rsid w:val="4980836E"/>
    <w:rsid w:val="49A6F6B3"/>
    <w:rsid w:val="49B76105"/>
    <w:rsid w:val="49DEBE03"/>
    <w:rsid w:val="49F16823"/>
    <w:rsid w:val="4A02C6C6"/>
    <w:rsid w:val="4A0301FD"/>
    <w:rsid w:val="4A08762E"/>
    <w:rsid w:val="4A2173A2"/>
    <w:rsid w:val="4A287216"/>
    <w:rsid w:val="4A30A491"/>
    <w:rsid w:val="4A324F90"/>
    <w:rsid w:val="4A512AA2"/>
    <w:rsid w:val="4A52F2ED"/>
    <w:rsid w:val="4A6EEF8D"/>
    <w:rsid w:val="4A6F331E"/>
    <w:rsid w:val="4A7DC033"/>
    <w:rsid w:val="4AAEDA45"/>
    <w:rsid w:val="4AE3068A"/>
    <w:rsid w:val="4AEA349C"/>
    <w:rsid w:val="4B0A6EE7"/>
    <w:rsid w:val="4B0B936B"/>
    <w:rsid w:val="4B3E8D41"/>
    <w:rsid w:val="4B47BFD0"/>
    <w:rsid w:val="4B5DC59C"/>
    <w:rsid w:val="4B7E274E"/>
    <w:rsid w:val="4B89C834"/>
    <w:rsid w:val="4B9C2AED"/>
    <w:rsid w:val="4B9D16FA"/>
    <w:rsid w:val="4BA05695"/>
    <w:rsid w:val="4BA68060"/>
    <w:rsid w:val="4BB74828"/>
    <w:rsid w:val="4BBDFDA0"/>
    <w:rsid w:val="4BCC9938"/>
    <w:rsid w:val="4BECADB5"/>
    <w:rsid w:val="4BFBF9A3"/>
    <w:rsid w:val="4BFFCF62"/>
    <w:rsid w:val="4C001F0C"/>
    <w:rsid w:val="4C4134B9"/>
    <w:rsid w:val="4C42B2F4"/>
    <w:rsid w:val="4C717F6E"/>
    <w:rsid w:val="4C7AF047"/>
    <w:rsid w:val="4C7B856F"/>
    <w:rsid w:val="4C7C7603"/>
    <w:rsid w:val="4C92F5B8"/>
    <w:rsid w:val="4CA9B567"/>
    <w:rsid w:val="4CB9A76A"/>
    <w:rsid w:val="4CD66823"/>
    <w:rsid w:val="4CEFD7E1"/>
    <w:rsid w:val="4CF932A2"/>
    <w:rsid w:val="4D05A704"/>
    <w:rsid w:val="4D190F52"/>
    <w:rsid w:val="4D35C890"/>
    <w:rsid w:val="4D36E28B"/>
    <w:rsid w:val="4D8FE81F"/>
    <w:rsid w:val="4DA8253B"/>
    <w:rsid w:val="4DA937AC"/>
    <w:rsid w:val="4DC39BF0"/>
    <w:rsid w:val="4DCCB615"/>
    <w:rsid w:val="4DD89922"/>
    <w:rsid w:val="4DEC3DCA"/>
    <w:rsid w:val="4E15F365"/>
    <w:rsid w:val="4E49F43D"/>
    <w:rsid w:val="4E72B140"/>
    <w:rsid w:val="4E8EFC9C"/>
    <w:rsid w:val="4EF2996F"/>
    <w:rsid w:val="4F2D5D8F"/>
    <w:rsid w:val="4F339A65"/>
    <w:rsid w:val="4F5ED7FA"/>
    <w:rsid w:val="4F729891"/>
    <w:rsid w:val="4F8D50E8"/>
    <w:rsid w:val="4FC75BE2"/>
    <w:rsid w:val="4FCDE28A"/>
    <w:rsid w:val="4FD49B4B"/>
    <w:rsid w:val="4FDFBF03"/>
    <w:rsid w:val="4FEF3178"/>
    <w:rsid w:val="4FF0456D"/>
    <w:rsid w:val="4FFDA121"/>
    <w:rsid w:val="50285BAC"/>
    <w:rsid w:val="505349F4"/>
    <w:rsid w:val="505A4E61"/>
    <w:rsid w:val="50620AF4"/>
    <w:rsid w:val="50719975"/>
    <w:rsid w:val="50737C1F"/>
    <w:rsid w:val="508C7071"/>
    <w:rsid w:val="509127D5"/>
    <w:rsid w:val="509E44E4"/>
    <w:rsid w:val="50ABA899"/>
    <w:rsid w:val="50DEF8F9"/>
    <w:rsid w:val="50EB3726"/>
    <w:rsid w:val="51091618"/>
    <w:rsid w:val="51134491"/>
    <w:rsid w:val="514612F8"/>
    <w:rsid w:val="514B8D20"/>
    <w:rsid w:val="51539CE5"/>
    <w:rsid w:val="51769F0F"/>
    <w:rsid w:val="518BEE5A"/>
    <w:rsid w:val="518F7E3F"/>
    <w:rsid w:val="5193357F"/>
    <w:rsid w:val="519897FE"/>
    <w:rsid w:val="51AC2FD2"/>
    <w:rsid w:val="51C2A47B"/>
    <w:rsid w:val="51DD24E9"/>
    <w:rsid w:val="520639F2"/>
    <w:rsid w:val="520BD81E"/>
    <w:rsid w:val="523A2D6E"/>
    <w:rsid w:val="5269AF2E"/>
    <w:rsid w:val="526D46E9"/>
    <w:rsid w:val="5295C1A5"/>
    <w:rsid w:val="52BA6B02"/>
    <w:rsid w:val="52CC97BA"/>
    <w:rsid w:val="52D19675"/>
    <w:rsid w:val="5302E058"/>
    <w:rsid w:val="532445EF"/>
    <w:rsid w:val="5327738A"/>
    <w:rsid w:val="532786E1"/>
    <w:rsid w:val="53493203"/>
    <w:rsid w:val="534CA27B"/>
    <w:rsid w:val="53578595"/>
    <w:rsid w:val="535A9468"/>
    <w:rsid w:val="535E3121"/>
    <w:rsid w:val="535ECF3A"/>
    <w:rsid w:val="5369BCFD"/>
    <w:rsid w:val="539DB6E1"/>
    <w:rsid w:val="53CB6774"/>
    <w:rsid w:val="53E0301E"/>
    <w:rsid w:val="53E30B75"/>
    <w:rsid w:val="53EEECEC"/>
    <w:rsid w:val="540CF565"/>
    <w:rsid w:val="5411842E"/>
    <w:rsid w:val="545DE087"/>
    <w:rsid w:val="546203A6"/>
    <w:rsid w:val="54644117"/>
    <w:rsid w:val="546825EA"/>
    <w:rsid w:val="54733BF0"/>
    <w:rsid w:val="5485E381"/>
    <w:rsid w:val="549C0217"/>
    <w:rsid w:val="54A9396E"/>
    <w:rsid w:val="54B268CF"/>
    <w:rsid w:val="54B6AB15"/>
    <w:rsid w:val="54BE2B2A"/>
    <w:rsid w:val="54C01650"/>
    <w:rsid w:val="54C8A86D"/>
    <w:rsid w:val="54DBD147"/>
    <w:rsid w:val="54EEAE27"/>
    <w:rsid w:val="54F4BF3B"/>
    <w:rsid w:val="550D1147"/>
    <w:rsid w:val="552CA49A"/>
    <w:rsid w:val="5564DA30"/>
    <w:rsid w:val="55AEECBC"/>
    <w:rsid w:val="55BE2B62"/>
    <w:rsid w:val="55BE974B"/>
    <w:rsid w:val="55D565A1"/>
    <w:rsid w:val="562856AC"/>
    <w:rsid w:val="562A62DF"/>
    <w:rsid w:val="562A871B"/>
    <w:rsid w:val="56373650"/>
    <w:rsid w:val="5659E4FF"/>
    <w:rsid w:val="565CF353"/>
    <w:rsid w:val="569F0BCE"/>
    <w:rsid w:val="56A1D373"/>
    <w:rsid w:val="56B5F348"/>
    <w:rsid w:val="56FBDB9D"/>
    <w:rsid w:val="56FC7FFB"/>
    <w:rsid w:val="57076D6A"/>
    <w:rsid w:val="5743701E"/>
    <w:rsid w:val="57472109"/>
    <w:rsid w:val="5752CF6A"/>
    <w:rsid w:val="57ADA1C6"/>
    <w:rsid w:val="57BCCC66"/>
    <w:rsid w:val="57F3D4DE"/>
    <w:rsid w:val="57FC8766"/>
    <w:rsid w:val="58032D26"/>
    <w:rsid w:val="581ACFDF"/>
    <w:rsid w:val="581E612A"/>
    <w:rsid w:val="5820C0C5"/>
    <w:rsid w:val="584CF208"/>
    <w:rsid w:val="5897AAC5"/>
    <w:rsid w:val="58E26A31"/>
    <w:rsid w:val="58EC33B9"/>
    <w:rsid w:val="58EE0FC6"/>
    <w:rsid w:val="58F33135"/>
    <w:rsid w:val="5903BD30"/>
    <w:rsid w:val="59126419"/>
    <w:rsid w:val="591FE31A"/>
    <w:rsid w:val="5922053B"/>
    <w:rsid w:val="593AD853"/>
    <w:rsid w:val="594F4132"/>
    <w:rsid w:val="5980A076"/>
    <w:rsid w:val="5988E203"/>
    <w:rsid w:val="599B04A0"/>
    <w:rsid w:val="59C47895"/>
    <w:rsid w:val="59DFAD46"/>
    <w:rsid w:val="59E91FAC"/>
    <w:rsid w:val="59EF4C01"/>
    <w:rsid w:val="59F74A0B"/>
    <w:rsid w:val="59F98809"/>
    <w:rsid w:val="59FE7240"/>
    <w:rsid w:val="5A14B6E4"/>
    <w:rsid w:val="5A3BCAC2"/>
    <w:rsid w:val="5A4D3737"/>
    <w:rsid w:val="5A6BC60A"/>
    <w:rsid w:val="5A7C9189"/>
    <w:rsid w:val="5A82EEC4"/>
    <w:rsid w:val="5A900900"/>
    <w:rsid w:val="5A97181E"/>
    <w:rsid w:val="5AA1927B"/>
    <w:rsid w:val="5ABFA1C1"/>
    <w:rsid w:val="5AC6AD88"/>
    <w:rsid w:val="5ADDE16D"/>
    <w:rsid w:val="5AEC1274"/>
    <w:rsid w:val="5B01E0F3"/>
    <w:rsid w:val="5B08FF25"/>
    <w:rsid w:val="5B0CD4F8"/>
    <w:rsid w:val="5B0F3D08"/>
    <w:rsid w:val="5B1257E8"/>
    <w:rsid w:val="5B198909"/>
    <w:rsid w:val="5B4B9E97"/>
    <w:rsid w:val="5B73A7AB"/>
    <w:rsid w:val="5B9CF62E"/>
    <w:rsid w:val="5BA3A32C"/>
    <w:rsid w:val="5BA6C5B7"/>
    <w:rsid w:val="5BCDE760"/>
    <w:rsid w:val="5C005956"/>
    <w:rsid w:val="5C21A8E3"/>
    <w:rsid w:val="5C74C65F"/>
    <w:rsid w:val="5C7E2C27"/>
    <w:rsid w:val="5C940B9B"/>
    <w:rsid w:val="5C9C3F77"/>
    <w:rsid w:val="5CCD60CD"/>
    <w:rsid w:val="5CDAE340"/>
    <w:rsid w:val="5CE9104C"/>
    <w:rsid w:val="5CF4801A"/>
    <w:rsid w:val="5CFEE972"/>
    <w:rsid w:val="5D1EFBAE"/>
    <w:rsid w:val="5D3F14A1"/>
    <w:rsid w:val="5D4F7212"/>
    <w:rsid w:val="5D50F452"/>
    <w:rsid w:val="5D59F571"/>
    <w:rsid w:val="5D69EEE2"/>
    <w:rsid w:val="5D7CB424"/>
    <w:rsid w:val="5D828FD4"/>
    <w:rsid w:val="5DE623EF"/>
    <w:rsid w:val="5DEDFE37"/>
    <w:rsid w:val="5E13116C"/>
    <w:rsid w:val="5E22DB5F"/>
    <w:rsid w:val="5E387381"/>
    <w:rsid w:val="5E49F140"/>
    <w:rsid w:val="5E4E63D6"/>
    <w:rsid w:val="5E768FFF"/>
    <w:rsid w:val="5E7F4760"/>
    <w:rsid w:val="5E84F58A"/>
    <w:rsid w:val="5E9BA015"/>
    <w:rsid w:val="5EA6CDCB"/>
    <w:rsid w:val="5EC4F7D0"/>
    <w:rsid w:val="5F10F0BD"/>
    <w:rsid w:val="5F653BBB"/>
    <w:rsid w:val="5F87B7A3"/>
    <w:rsid w:val="5F9B6F00"/>
    <w:rsid w:val="5F9DCE40"/>
    <w:rsid w:val="5FAF975A"/>
    <w:rsid w:val="5FB6A933"/>
    <w:rsid w:val="5FC066B5"/>
    <w:rsid w:val="5FD75D1D"/>
    <w:rsid w:val="5FECA199"/>
    <w:rsid w:val="5FF77E05"/>
    <w:rsid w:val="606B1933"/>
    <w:rsid w:val="606E17F6"/>
    <w:rsid w:val="60796460"/>
    <w:rsid w:val="60A69EE4"/>
    <w:rsid w:val="60B2DAF4"/>
    <w:rsid w:val="60CA2624"/>
    <w:rsid w:val="60D1EB41"/>
    <w:rsid w:val="60D4F83E"/>
    <w:rsid w:val="60E1C20D"/>
    <w:rsid w:val="60E53F31"/>
    <w:rsid w:val="614008FC"/>
    <w:rsid w:val="616302F7"/>
    <w:rsid w:val="61B1A39C"/>
    <w:rsid w:val="61BA7648"/>
    <w:rsid w:val="61DDBC20"/>
    <w:rsid w:val="61E0958C"/>
    <w:rsid w:val="61EF8946"/>
    <w:rsid w:val="61F5966C"/>
    <w:rsid w:val="6208FF11"/>
    <w:rsid w:val="62166071"/>
    <w:rsid w:val="62560234"/>
    <w:rsid w:val="625945A3"/>
    <w:rsid w:val="6271AEED"/>
    <w:rsid w:val="6274AEAA"/>
    <w:rsid w:val="627DC7E7"/>
    <w:rsid w:val="62827D97"/>
    <w:rsid w:val="62A498C4"/>
    <w:rsid w:val="62ADFEB4"/>
    <w:rsid w:val="62B42662"/>
    <w:rsid w:val="62E08683"/>
    <w:rsid w:val="62E6C460"/>
    <w:rsid w:val="6301019F"/>
    <w:rsid w:val="6346CB66"/>
    <w:rsid w:val="638F93E6"/>
    <w:rsid w:val="63ACAEFF"/>
    <w:rsid w:val="63B6C753"/>
    <w:rsid w:val="63C2248A"/>
    <w:rsid w:val="63D3CC5C"/>
    <w:rsid w:val="6411CA3C"/>
    <w:rsid w:val="643DBD4D"/>
    <w:rsid w:val="644869A7"/>
    <w:rsid w:val="645CE32E"/>
    <w:rsid w:val="6483ACD7"/>
    <w:rsid w:val="649A5067"/>
    <w:rsid w:val="64BBF737"/>
    <w:rsid w:val="64BBFA11"/>
    <w:rsid w:val="64C497F8"/>
    <w:rsid w:val="64DA9643"/>
    <w:rsid w:val="64E4FA22"/>
    <w:rsid w:val="64EFC5B6"/>
    <w:rsid w:val="64FEE1AE"/>
    <w:rsid w:val="651F35B6"/>
    <w:rsid w:val="65473021"/>
    <w:rsid w:val="655EB3D2"/>
    <w:rsid w:val="658E30C6"/>
    <w:rsid w:val="65A1C635"/>
    <w:rsid w:val="65E568D7"/>
    <w:rsid w:val="65E83AE9"/>
    <w:rsid w:val="65F041AE"/>
    <w:rsid w:val="65FD3D64"/>
    <w:rsid w:val="65FDBA3B"/>
    <w:rsid w:val="66290EDD"/>
    <w:rsid w:val="6633A4B8"/>
    <w:rsid w:val="6641FCE5"/>
    <w:rsid w:val="66555758"/>
    <w:rsid w:val="6675E8AB"/>
    <w:rsid w:val="668009CB"/>
    <w:rsid w:val="669022C7"/>
    <w:rsid w:val="6697CBC9"/>
    <w:rsid w:val="66A5D842"/>
    <w:rsid w:val="66B8D1CE"/>
    <w:rsid w:val="66BF5A01"/>
    <w:rsid w:val="66C1E54D"/>
    <w:rsid w:val="66CB750A"/>
    <w:rsid w:val="67050B12"/>
    <w:rsid w:val="673EBC17"/>
    <w:rsid w:val="6756E86F"/>
    <w:rsid w:val="6756F0FE"/>
    <w:rsid w:val="6775F0A5"/>
    <w:rsid w:val="678F3492"/>
    <w:rsid w:val="67C18456"/>
    <w:rsid w:val="6804CEB7"/>
    <w:rsid w:val="68203817"/>
    <w:rsid w:val="68329B59"/>
    <w:rsid w:val="6847E5D1"/>
    <w:rsid w:val="68569CB9"/>
    <w:rsid w:val="68666A96"/>
    <w:rsid w:val="6896621F"/>
    <w:rsid w:val="68ACA23C"/>
    <w:rsid w:val="68B39E93"/>
    <w:rsid w:val="68B6CB73"/>
    <w:rsid w:val="68C789BE"/>
    <w:rsid w:val="68CD7DF4"/>
    <w:rsid w:val="68CF4210"/>
    <w:rsid w:val="68D90464"/>
    <w:rsid w:val="68E26EC0"/>
    <w:rsid w:val="690ED9AC"/>
    <w:rsid w:val="6912D009"/>
    <w:rsid w:val="6920F4AA"/>
    <w:rsid w:val="6921E5A3"/>
    <w:rsid w:val="69562236"/>
    <w:rsid w:val="696C5669"/>
    <w:rsid w:val="6981FFCD"/>
    <w:rsid w:val="698F654D"/>
    <w:rsid w:val="69A02097"/>
    <w:rsid w:val="69C6AF19"/>
    <w:rsid w:val="6A0E2409"/>
    <w:rsid w:val="6A19EC36"/>
    <w:rsid w:val="6A6B0F41"/>
    <w:rsid w:val="6A7B35FF"/>
    <w:rsid w:val="6A7E9CE3"/>
    <w:rsid w:val="6A832385"/>
    <w:rsid w:val="6A86A3B6"/>
    <w:rsid w:val="6ABB61B4"/>
    <w:rsid w:val="6AE18871"/>
    <w:rsid w:val="6AED1372"/>
    <w:rsid w:val="6AF2A8C0"/>
    <w:rsid w:val="6AFB0AE7"/>
    <w:rsid w:val="6B3A2399"/>
    <w:rsid w:val="6B769C54"/>
    <w:rsid w:val="6B8151BF"/>
    <w:rsid w:val="6B88214F"/>
    <w:rsid w:val="6B95FF6E"/>
    <w:rsid w:val="6B990736"/>
    <w:rsid w:val="6BA4E6C7"/>
    <w:rsid w:val="6BBB4C14"/>
    <w:rsid w:val="6BC09742"/>
    <w:rsid w:val="6BD600E8"/>
    <w:rsid w:val="6BEAC589"/>
    <w:rsid w:val="6C14B50B"/>
    <w:rsid w:val="6C3AD4F4"/>
    <w:rsid w:val="6C6A0FB5"/>
    <w:rsid w:val="6C84F63A"/>
    <w:rsid w:val="6CA0C16D"/>
    <w:rsid w:val="6CAF6EBC"/>
    <w:rsid w:val="6CB85CD1"/>
    <w:rsid w:val="6CB99F9F"/>
    <w:rsid w:val="6CF329F5"/>
    <w:rsid w:val="6D0E5878"/>
    <w:rsid w:val="6D1448E7"/>
    <w:rsid w:val="6D15508A"/>
    <w:rsid w:val="6D1BA1FA"/>
    <w:rsid w:val="6D2410F6"/>
    <w:rsid w:val="6D337377"/>
    <w:rsid w:val="6D3E66F3"/>
    <w:rsid w:val="6D443FC5"/>
    <w:rsid w:val="6D4EA5A5"/>
    <w:rsid w:val="6D5416B5"/>
    <w:rsid w:val="6D6BA6B4"/>
    <w:rsid w:val="6D741BF6"/>
    <w:rsid w:val="6D9E0319"/>
    <w:rsid w:val="6DB060CC"/>
    <w:rsid w:val="6DC62777"/>
    <w:rsid w:val="6DF25FAC"/>
    <w:rsid w:val="6DF542FB"/>
    <w:rsid w:val="6E3C91CE"/>
    <w:rsid w:val="6E559D68"/>
    <w:rsid w:val="6E5D8AE4"/>
    <w:rsid w:val="6E635C91"/>
    <w:rsid w:val="6E96E3FA"/>
    <w:rsid w:val="6EC80925"/>
    <w:rsid w:val="6EEB12AD"/>
    <w:rsid w:val="6EEF6A76"/>
    <w:rsid w:val="6F368C33"/>
    <w:rsid w:val="6F44F1A6"/>
    <w:rsid w:val="6F4A61F0"/>
    <w:rsid w:val="6F56E2BC"/>
    <w:rsid w:val="6F5B48B6"/>
    <w:rsid w:val="6F7FB9C1"/>
    <w:rsid w:val="6FA3DCC9"/>
    <w:rsid w:val="6FA607C5"/>
    <w:rsid w:val="6FAB67F5"/>
    <w:rsid w:val="6FB08139"/>
    <w:rsid w:val="6FB71562"/>
    <w:rsid w:val="6FCC3CC2"/>
    <w:rsid w:val="6FE5FA24"/>
    <w:rsid w:val="70189726"/>
    <w:rsid w:val="701EADD0"/>
    <w:rsid w:val="702F40CC"/>
    <w:rsid w:val="70416425"/>
    <w:rsid w:val="70426A15"/>
    <w:rsid w:val="704611CE"/>
    <w:rsid w:val="704FEB94"/>
    <w:rsid w:val="707EB58F"/>
    <w:rsid w:val="7081BCE4"/>
    <w:rsid w:val="7085F46A"/>
    <w:rsid w:val="708BB871"/>
    <w:rsid w:val="70AE466F"/>
    <w:rsid w:val="70DAC5AB"/>
    <w:rsid w:val="70DB50EA"/>
    <w:rsid w:val="70DBAB2E"/>
    <w:rsid w:val="70E8D645"/>
    <w:rsid w:val="70F085EB"/>
    <w:rsid w:val="70F26509"/>
    <w:rsid w:val="71084F12"/>
    <w:rsid w:val="71172EC5"/>
    <w:rsid w:val="713BA245"/>
    <w:rsid w:val="714BD2A9"/>
    <w:rsid w:val="7150D2D1"/>
    <w:rsid w:val="7155AFE3"/>
    <w:rsid w:val="71584C76"/>
    <w:rsid w:val="718779C3"/>
    <w:rsid w:val="71E30A63"/>
    <w:rsid w:val="723313E1"/>
    <w:rsid w:val="7241C7E1"/>
    <w:rsid w:val="72481229"/>
    <w:rsid w:val="7253C041"/>
    <w:rsid w:val="72836778"/>
    <w:rsid w:val="728BA888"/>
    <w:rsid w:val="728C38AE"/>
    <w:rsid w:val="729682CE"/>
    <w:rsid w:val="729B0E57"/>
    <w:rsid w:val="72A5603A"/>
    <w:rsid w:val="72EC67B3"/>
    <w:rsid w:val="72EDACD0"/>
    <w:rsid w:val="72F2066D"/>
    <w:rsid w:val="72FBC552"/>
    <w:rsid w:val="73046911"/>
    <w:rsid w:val="730E4854"/>
    <w:rsid w:val="731C5221"/>
    <w:rsid w:val="732FBD03"/>
    <w:rsid w:val="73322503"/>
    <w:rsid w:val="73636CA1"/>
    <w:rsid w:val="736E2388"/>
    <w:rsid w:val="737A0AD7"/>
    <w:rsid w:val="73D255AA"/>
    <w:rsid w:val="73E1CFD4"/>
    <w:rsid w:val="73F02313"/>
    <w:rsid w:val="740D3E39"/>
    <w:rsid w:val="7448514C"/>
    <w:rsid w:val="7448DB20"/>
    <w:rsid w:val="746CDDED"/>
    <w:rsid w:val="74887393"/>
    <w:rsid w:val="74933A8F"/>
    <w:rsid w:val="74E81A6F"/>
    <w:rsid w:val="74F7B2D8"/>
    <w:rsid w:val="74FE3BDA"/>
    <w:rsid w:val="7536FF5A"/>
    <w:rsid w:val="75455CCD"/>
    <w:rsid w:val="7545D5D8"/>
    <w:rsid w:val="754F7BB4"/>
    <w:rsid w:val="7585499D"/>
    <w:rsid w:val="762CB64A"/>
    <w:rsid w:val="7630B9F6"/>
    <w:rsid w:val="7633912A"/>
    <w:rsid w:val="76496531"/>
    <w:rsid w:val="76CB3A87"/>
    <w:rsid w:val="76D6142F"/>
    <w:rsid w:val="76E2909E"/>
    <w:rsid w:val="76F0B8A5"/>
    <w:rsid w:val="76F5FE8D"/>
    <w:rsid w:val="76F6C5DE"/>
    <w:rsid w:val="770021F8"/>
    <w:rsid w:val="7700B0CE"/>
    <w:rsid w:val="7726206B"/>
    <w:rsid w:val="77273164"/>
    <w:rsid w:val="7733142A"/>
    <w:rsid w:val="77757CBB"/>
    <w:rsid w:val="777A69D9"/>
    <w:rsid w:val="77932CA0"/>
    <w:rsid w:val="77932CF9"/>
    <w:rsid w:val="77BE1BE5"/>
    <w:rsid w:val="77D8BE55"/>
    <w:rsid w:val="77FB863A"/>
    <w:rsid w:val="78016C0F"/>
    <w:rsid w:val="7802A488"/>
    <w:rsid w:val="782D0A50"/>
    <w:rsid w:val="78468EF1"/>
    <w:rsid w:val="786BB6E5"/>
    <w:rsid w:val="786DDD10"/>
    <w:rsid w:val="786E7E6C"/>
    <w:rsid w:val="7877CF57"/>
    <w:rsid w:val="7888620D"/>
    <w:rsid w:val="788A95C0"/>
    <w:rsid w:val="78940CC1"/>
    <w:rsid w:val="78B05EA4"/>
    <w:rsid w:val="78E6365D"/>
    <w:rsid w:val="78F37223"/>
    <w:rsid w:val="78FDB046"/>
    <w:rsid w:val="78FE65FE"/>
    <w:rsid w:val="791F274E"/>
    <w:rsid w:val="792406D7"/>
    <w:rsid w:val="7931957E"/>
    <w:rsid w:val="79476EBE"/>
    <w:rsid w:val="79528003"/>
    <w:rsid w:val="796F940C"/>
    <w:rsid w:val="797901D9"/>
    <w:rsid w:val="7979F513"/>
    <w:rsid w:val="7989924D"/>
    <w:rsid w:val="79ACB399"/>
    <w:rsid w:val="79DE52D1"/>
    <w:rsid w:val="79E7783E"/>
    <w:rsid w:val="7A391516"/>
    <w:rsid w:val="7A810E40"/>
    <w:rsid w:val="7A99D91E"/>
    <w:rsid w:val="7AA13E63"/>
    <w:rsid w:val="7AAB3F60"/>
    <w:rsid w:val="7AACB77D"/>
    <w:rsid w:val="7ABE63FA"/>
    <w:rsid w:val="7AC886FB"/>
    <w:rsid w:val="7AE51F03"/>
    <w:rsid w:val="7AF7B517"/>
    <w:rsid w:val="7B04257B"/>
    <w:rsid w:val="7B21C4BB"/>
    <w:rsid w:val="7B2A9E0A"/>
    <w:rsid w:val="7B2CA9A8"/>
    <w:rsid w:val="7B353E71"/>
    <w:rsid w:val="7B3610D4"/>
    <w:rsid w:val="7B36763C"/>
    <w:rsid w:val="7B36EB4B"/>
    <w:rsid w:val="7B441744"/>
    <w:rsid w:val="7B71B5E0"/>
    <w:rsid w:val="7B71DE51"/>
    <w:rsid w:val="7B7D4E6A"/>
    <w:rsid w:val="7B825470"/>
    <w:rsid w:val="7B9664B1"/>
    <w:rsid w:val="7B96E173"/>
    <w:rsid w:val="7BBC1CA8"/>
    <w:rsid w:val="7BC13CC1"/>
    <w:rsid w:val="7BC64747"/>
    <w:rsid w:val="7BCA57D2"/>
    <w:rsid w:val="7BE187F1"/>
    <w:rsid w:val="7C0F6915"/>
    <w:rsid w:val="7C401474"/>
    <w:rsid w:val="7CA9D829"/>
    <w:rsid w:val="7CAE5425"/>
    <w:rsid w:val="7CC627D0"/>
    <w:rsid w:val="7CC6C36C"/>
    <w:rsid w:val="7CC87A09"/>
    <w:rsid w:val="7CD1757B"/>
    <w:rsid w:val="7CE0D6B5"/>
    <w:rsid w:val="7CF4310E"/>
    <w:rsid w:val="7D1BFEBB"/>
    <w:rsid w:val="7D20B4D1"/>
    <w:rsid w:val="7D2300A4"/>
    <w:rsid w:val="7D2688AC"/>
    <w:rsid w:val="7D2CFDF0"/>
    <w:rsid w:val="7D52EE36"/>
    <w:rsid w:val="7D572BDC"/>
    <w:rsid w:val="7D66CA44"/>
    <w:rsid w:val="7D6E8AD2"/>
    <w:rsid w:val="7D7379ED"/>
    <w:rsid w:val="7D86970A"/>
    <w:rsid w:val="7DAFCD5E"/>
    <w:rsid w:val="7DB19E1B"/>
    <w:rsid w:val="7DB2DACA"/>
    <w:rsid w:val="7DBE60E7"/>
    <w:rsid w:val="7DBEFD10"/>
    <w:rsid w:val="7DE31A56"/>
    <w:rsid w:val="7DF6A50A"/>
    <w:rsid w:val="7E1D23D4"/>
    <w:rsid w:val="7E1FC924"/>
    <w:rsid w:val="7E2A5002"/>
    <w:rsid w:val="7E2C5732"/>
    <w:rsid w:val="7E458545"/>
    <w:rsid w:val="7E6513EB"/>
    <w:rsid w:val="7E6D6440"/>
    <w:rsid w:val="7E73F287"/>
    <w:rsid w:val="7E767103"/>
    <w:rsid w:val="7E7CF098"/>
    <w:rsid w:val="7E8A0C45"/>
    <w:rsid w:val="7EADFCBC"/>
    <w:rsid w:val="7EB2BD6E"/>
    <w:rsid w:val="7EC5CD52"/>
    <w:rsid w:val="7F0BE589"/>
    <w:rsid w:val="7F12CC4C"/>
    <w:rsid w:val="7F346F94"/>
    <w:rsid w:val="7F3DFB85"/>
    <w:rsid w:val="7F982A3E"/>
    <w:rsid w:val="7F98E113"/>
    <w:rsid w:val="7F9AC7EE"/>
    <w:rsid w:val="7FB3A6FE"/>
    <w:rsid w:val="7FB4E2EA"/>
    <w:rsid w:val="7FC2A2D2"/>
    <w:rsid w:val="7FE054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D88B90C1-B46D-4585-8AE8-FAE0AF06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8B255B"/>
    <w:pPr>
      <w:numPr>
        <w:numId w:val="50"/>
      </w:numPr>
      <w:spacing w:after="4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B255B"/>
    <w:pPr>
      <w:numPr>
        <w:ilvl w:val="1"/>
        <w:numId w:val="50"/>
      </w:numPr>
      <w:spacing w:after="40"/>
      <w:ind w:left="697" w:hanging="35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8"/>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3"/>
      </w:numPr>
    </w:pPr>
  </w:style>
  <w:style w:type="paragraph" w:customStyle="1" w:styleId="Numberdigit">
    <w:name w:val="Number digit"/>
    <w:basedOn w:val="Body"/>
    <w:uiPriority w:val="2"/>
    <w:rsid w:val="00F15144"/>
    <w:pPr>
      <w:numPr>
        <w:numId w:val="7"/>
      </w:numPr>
      <w:ind w:left="720" w:hanging="360"/>
    </w:pPr>
  </w:style>
  <w:style w:type="paragraph" w:customStyle="1" w:styleId="Numberloweralphaindent">
    <w:name w:val="Number lower alpha indent"/>
    <w:basedOn w:val="Body"/>
    <w:uiPriority w:val="3"/>
    <w:rsid w:val="00C60411"/>
    <w:pPr>
      <w:ind w:left="1440" w:hanging="360"/>
    </w:pPr>
  </w:style>
  <w:style w:type="paragraph" w:customStyle="1" w:styleId="Numberdigitindent">
    <w:name w:val="Number digit indent"/>
    <w:basedOn w:val="Body"/>
    <w:uiPriority w:val="3"/>
    <w:rsid w:val="00F15144"/>
    <w:pPr>
      <w:numPr>
        <w:ilvl w:val="1"/>
        <w:numId w:val="7"/>
      </w:numPr>
      <w:tabs>
        <w:tab w:val="num" w:pos="227"/>
      </w:tabs>
      <w:ind w:left="1440" w:hanging="360"/>
    </w:pPr>
  </w:style>
  <w:style w:type="paragraph" w:customStyle="1" w:styleId="Numberloweralpha">
    <w:name w:val="Number lower alpha"/>
    <w:basedOn w:val="Body"/>
    <w:uiPriority w:val="3"/>
    <w:rsid w:val="00C60411"/>
    <w:pPr>
      <w:ind w:left="680" w:hanging="283"/>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17"/>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3"/>
      </w:numPr>
    </w:pPr>
  </w:style>
  <w:style w:type="paragraph" w:customStyle="1" w:styleId="Quotebullet2">
    <w:name w:val="Quote bullet 2"/>
    <w:basedOn w:val="Quotetext"/>
    <w:rsid w:val="00C60411"/>
    <w:pPr>
      <w:numPr>
        <w:ilvl w:val="1"/>
        <w:numId w:val="3"/>
      </w:numPr>
      <w:tabs>
        <w:tab w:val="num" w:pos="227"/>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ui-provider">
    <w:name w:val="ui-provider"/>
    <w:basedOn w:val="DefaultParagraphFont"/>
    <w:rsid w:val="003342B9"/>
  </w:style>
  <w:style w:type="character" w:styleId="Mention">
    <w:name w:val="Mention"/>
    <w:basedOn w:val="DefaultParagraphFont"/>
    <w:uiPriority w:val="99"/>
    <w:unhideWhenUsed/>
    <w:rsid w:val="0057005F"/>
    <w:rPr>
      <w:color w:val="2B579A"/>
      <w:shd w:val="clear" w:color="auto" w:fill="E1DFDD"/>
    </w:rPr>
  </w:style>
  <w:style w:type="character" w:customStyle="1" w:styleId="eop">
    <w:name w:val="eop"/>
    <w:basedOn w:val="DefaultParagraphFont"/>
    <w:rsid w:val="00603A5B"/>
  </w:style>
  <w:style w:type="character" w:customStyle="1" w:styleId="field-wrapper">
    <w:name w:val="field-wrapper"/>
    <w:basedOn w:val="DefaultParagraphFont"/>
    <w:rsid w:val="00B2538E"/>
  </w:style>
  <w:style w:type="paragraph" w:styleId="ListParagraph">
    <w:name w:val="List Paragraph"/>
    <w:basedOn w:val="Normal"/>
    <w:uiPriority w:val="72"/>
    <w:qFormat/>
    <w:rsid w:val="00BC45CE"/>
    <w:pPr>
      <w:ind w:left="720"/>
      <w:contextualSpacing/>
    </w:pPr>
  </w:style>
  <w:style w:type="numbering" w:customStyle="1" w:styleId="ZZNumbers">
    <w:name w:val="ZZ Numbers"/>
    <w:rsid w:val="00E37383"/>
    <w:pPr>
      <w:numPr>
        <w:numId w:val="13"/>
      </w:numPr>
    </w:pPr>
  </w:style>
  <w:style w:type="character" w:customStyle="1" w:styleId="fontcolorthemedarker">
    <w:name w:val="fontcolorthemedarker"/>
    <w:basedOn w:val="DefaultParagraphFont"/>
    <w:rsid w:val="00E37383"/>
  </w:style>
  <w:style w:type="character" w:styleId="Emphasis">
    <w:name w:val="Emphasis"/>
    <w:basedOn w:val="DefaultParagraphFont"/>
    <w:uiPriority w:val="20"/>
    <w:rsid w:val="00E37383"/>
    <w:rPr>
      <w:i/>
      <w:iCs/>
    </w:rPr>
  </w:style>
  <w:style w:type="paragraph" w:customStyle="1" w:styleId="Default">
    <w:name w:val="Default"/>
    <w:rsid w:val="00E37383"/>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E37383"/>
    <w:pPr>
      <w:spacing w:before="100" w:beforeAutospacing="1" w:after="100" w:afterAutospacing="1" w:line="240" w:lineRule="auto"/>
    </w:pPr>
    <w:rPr>
      <w:rFonts w:ascii="Times New Roman" w:hAnsi="Times New Roman"/>
      <w:sz w:val="24"/>
      <w:szCs w:val="24"/>
      <w:lang w:eastAsia="en-AU"/>
    </w:rPr>
  </w:style>
  <w:style w:type="numbering" w:customStyle="1" w:styleId="Numbers">
    <w:name w:val="Numbers"/>
    <w:rsid w:val="00E37383"/>
    <w:pPr>
      <w:numPr>
        <w:numId w:val="15"/>
      </w:numPr>
    </w:pPr>
  </w:style>
  <w:style w:type="character" w:customStyle="1" w:styleId="fontsizemedium">
    <w:name w:val="fontsizemedium"/>
    <w:basedOn w:val="DefaultParagraphFont"/>
    <w:rsid w:val="00E37383"/>
  </w:style>
  <w:style w:type="paragraph" w:customStyle="1" w:styleId="Sectionbreakfirstpage">
    <w:name w:val="Section break first page"/>
    <w:uiPriority w:val="5"/>
    <w:rsid w:val="00E37383"/>
    <w:pPr>
      <w:spacing w:after="400"/>
    </w:pPr>
    <w:rPr>
      <w:rFonts w:ascii="Arial" w:hAnsi="Arial"/>
      <w:lang w:eastAsia="en-US"/>
    </w:rPr>
  </w:style>
  <w:style w:type="character" w:styleId="PlaceholderText">
    <w:name w:val="Placeholder Text"/>
    <w:basedOn w:val="DefaultParagraphFont"/>
    <w:uiPriority w:val="99"/>
    <w:unhideWhenUsed/>
    <w:rsid w:val="00E37383"/>
    <w:rPr>
      <w:color w:val="808080"/>
    </w:rPr>
  </w:style>
  <w:style w:type="character" w:customStyle="1" w:styleId="rpl-text-label">
    <w:name w:val="rpl-text-label"/>
    <w:basedOn w:val="DefaultParagraphFont"/>
    <w:rsid w:val="00E37383"/>
  </w:style>
  <w:style w:type="character" w:customStyle="1" w:styleId="rpl-text-icongroup">
    <w:name w:val="rpl-text-icon__group"/>
    <w:basedOn w:val="DefaultParagraphFont"/>
    <w:rsid w:val="00E37383"/>
  </w:style>
  <w:style w:type="paragraph" w:styleId="PlainText">
    <w:name w:val="Plain Text"/>
    <w:basedOn w:val="Normal"/>
    <w:link w:val="PlainTextChar"/>
    <w:uiPriority w:val="99"/>
    <w:semiHidden/>
    <w:unhideWhenUsed/>
    <w:rsid w:val="00E37383"/>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37383"/>
    <w:rPr>
      <w:rFonts w:ascii="Calibri" w:eastAsiaTheme="minorHAnsi" w:hAnsi="Calibri" w:cstheme="minorBidi"/>
      <w:sz w:val="22"/>
      <w:szCs w:val="21"/>
      <w:lang w:eastAsia="en-US"/>
    </w:rPr>
  </w:style>
  <w:style w:type="paragraph" w:customStyle="1" w:styleId="paragraph">
    <w:name w:val="paragraph"/>
    <w:basedOn w:val="Normal"/>
    <w:rsid w:val="00E37383"/>
    <w:pPr>
      <w:spacing w:before="100" w:beforeAutospacing="1" w:after="100" w:afterAutospacing="1" w:line="240" w:lineRule="auto"/>
    </w:pPr>
    <w:rPr>
      <w:rFonts w:ascii="Times New Roman" w:hAnsi="Times New Roman"/>
      <w:sz w:val="24"/>
      <w:szCs w:val="24"/>
      <w:lang w:eastAsia="en-AU"/>
    </w:rPr>
  </w:style>
  <w:style w:type="character" w:customStyle="1" w:styleId="pagebreaktextspan">
    <w:name w:val="pagebreaktextspan"/>
    <w:basedOn w:val="DefaultParagraphFont"/>
    <w:rsid w:val="00E37383"/>
  </w:style>
  <w:style w:type="table" w:styleId="GridTable6Colorful-Accent1">
    <w:name w:val="Grid Table 6 Colorful Accent 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D7514B"/>
  </w:style>
  <w:style w:type="character" w:customStyle="1" w:styleId="findhit">
    <w:name w:val="findhit"/>
    <w:basedOn w:val="DefaultParagraphFont"/>
    <w:rsid w:val="00EB7C75"/>
  </w:style>
  <w:style w:type="paragraph" w:customStyle="1" w:styleId="lastbullett">
    <w:name w:val="last bullett"/>
    <w:basedOn w:val="Bullet1"/>
    <w:link w:val="lastbullettChar"/>
    <w:uiPriority w:val="11"/>
    <w:qFormat/>
    <w:rsid w:val="001577E2"/>
    <w:pPr>
      <w:spacing w:after="120"/>
    </w:pPr>
  </w:style>
  <w:style w:type="character" w:customStyle="1" w:styleId="Bullet1Char">
    <w:name w:val="Bullet 1 Char"/>
    <w:basedOn w:val="BodyChar"/>
    <w:link w:val="Bullet1"/>
    <w:rsid w:val="008B255B"/>
    <w:rPr>
      <w:rFonts w:ascii="Arial" w:eastAsia="Times" w:hAnsi="Arial"/>
      <w:sz w:val="21"/>
      <w:lang w:eastAsia="en-US"/>
    </w:rPr>
  </w:style>
  <w:style w:type="character" w:customStyle="1" w:styleId="lastbullettChar">
    <w:name w:val="last bullett Char"/>
    <w:basedOn w:val="Bullet1Char"/>
    <w:link w:val="lastbullett"/>
    <w:uiPriority w:val="11"/>
    <w:rsid w:val="001577E2"/>
    <w:rPr>
      <w:rFonts w:ascii="Arial" w:eastAsia="Times" w:hAnsi="Arial"/>
      <w:sz w:val="21"/>
      <w:lang w:eastAsia="en-US"/>
    </w:rPr>
  </w:style>
  <w:style w:type="paragraph" w:customStyle="1" w:styleId="secondbullet">
    <w:name w:val="second bullet"/>
    <w:basedOn w:val="Bullet1"/>
    <w:link w:val="secondbulletChar"/>
    <w:uiPriority w:val="11"/>
    <w:rsid w:val="003A2BC9"/>
    <w:pPr>
      <w:ind w:hanging="630"/>
    </w:pPr>
  </w:style>
  <w:style w:type="character" w:customStyle="1" w:styleId="secondbulletChar">
    <w:name w:val="second bullet Char"/>
    <w:basedOn w:val="Bullet1Char"/>
    <w:link w:val="secondbullet"/>
    <w:uiPriority w:val="11"/>
    <w:rsid w:val="007C6890"/>
    <w:rPr>
      <w:rFonts w:ascii="Arial" w:eastAsia="Times"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7520048">
      <w:bodyDiv w:val="1"/>
      <w:marLeft w:val="0"/>
      <w:marRight w:val="0"/>
      <w:marTop w:val="0"/>
      <w:marBottom w:val="0"/>
      <w:divBdr>
        <w:top w:val="none" w:sz="0" w:space="0" w:color="auto"/>
        <w:left w:val="none" w:sz="0" w:space="0" w:color="auto"/>
        <w:bottom w:val="none" w:sz="0" w:space="0" w:color="auto"/>
        <w:right w:val="none" w:sz="0" w:space="0" w:color="auto"/>
      </w:divBdr>
      <w:divsChild>
        <w:div w:id="1172179842">
          <w:marLeft w:val="0"/>
          <w:marRight w:val="0"/>
          <w:marTop w:val="0"/>
          <w:marBottom w:val="0"/>
          <w:divBdr>
            <w:top w:val="none" w:sz="0" w:space="0" w:color="auto"/>
            <w:left w:val="none" w:sz="0" w:space="0" w:color="auto"/>
            <w:bottom w:val="none" w:sz="0" w:space="0" w:color="auto"/>
            <w:right w:val="none" w:sz="0" w:space="0" w:color="auto"/>
          </w:divBdr>
          <w:divsChild>
            <w:div w:id="488056820">
              <w:marLeft w:val="0"/>
              <w:marRight w:val="0"/>
              <w:marTop w:val="0"/>
              <w:marBottom w:val="0"/>
              <w:divBdr>
                <w:top w:val="none" w:sz="0" w:space="0" w:color="auto"/>
                <w:left w:val="none" w:sz="0" w:space="0" w:color="auto"/>
                <w:bottom w:val="none" w:sz="0" w:space="0" w:color="auto"/>
                <w:right w:val="none" w:sz="0" w:space="0" w:color="auto"/>
              </w:divBdr>
            </w:div>
          </w:divsChild>
        </w:div>
        <w:div w:id="1487742449">
          <w:marLeft w:val="0"/>
          <w:marRight w:val="0"/>
          <w:marTop w:val="0"/>
          <w:marBottom w:val="0"/>
          <w:divBdr>
            <w:top w:val="none" w:sz="0" w:space="0" w:color="auto"/>
            <w:left w:val="none" w:sz="0" w:space="0" w:color="auto"/>
            <w:bottom w:val="none" w:sz="0" w:space="0" w:color="auto"/>
            <w:right w:val="none" w:sz="0" w:space="0" w:color="auto"/>
          </w:divBdr>
          <w:divsChild>
            <w:div w:id="36469103">
              <w:marLeft w:val="0"/>
              <w:marRight w:val="0"/>
              <w:marTop w:val="0"/>
              <w:marBottom w:val="0"/>
              <w:divBdr>
                <w:top w:val="none" w:sz="0" w:space="0" w:color="auto"/>
                <w:left w:val="none" w:sz="0" w:space="0" w:color="auto"/>
                <w:bottom w:val="none" w:sz="0" w:space="0" w:color="auto"/>
                <w:right w:val="none" w:sz="0" w:space="0" w:color="auto"/>
              </w:divBdr>
            </w:div>
            <w:div w:id="14245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5785389">
      <w:bodyDiv w:val="1"/>
      <w:marLeft w:val="0"/>
      <w:marRight w:val="0"/>
      <w:marTop w:val="0"/>
      <w:marBottom w:val="0"/>
      <w:divBdr>
        <w:top w:val="none" w:sz="0" w:space="0" w:color="auto"/>
        <w:left w:val="none" w:sz="0" w:space="0" w:color="auto"/>
        <w:bottom w:val="none" w:sz="0" w:space="0" w:color="auto"/>
        <w:right w:val="none" w:sz="0" w:space="0" w:color="auto"/>
      </w:divBdr>
    </w:div>
    <w:div w:id="76187415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41848190">
      <w:bodyDiv w:val="1"/>
      <w:marLeft w:val="0"/>
      <w:marRight w:val="0"/>
      <w:marTop w:val="0"/>
      <w:marBottom w:val="0"/>
      <w:divBdr>
        <w:top w:val="none" w:sz="0" w:space="0" w:color="auto"/>
        <w:left w:val="none" w:sz="0" w:space="0" w:color="auto"/>
        <w:bottom w:val="none" w:sz="0" w:space="0" w:color="auto"/>
        <w:right w:val="none" w:sz="0" w:space="0" w:color="auto"/>
      </w:divBdr>
    </w:div>
    <w:div w:id="137442191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2349808">
      <w:bodyDiv w:val="1"/>
      <w:marLeft w:val="0"/>
      <w:marRight w:val="0"/>
      <w:marTop w:val="0"/>
      <w:marBottom w:val="0"/>
      <w:divBdr>
        <w:top w:val="none" w:sz="0" w:space="0" w:color="auto"/>
        <w:left w:val="none" w:sz="0" w:space="0" w:color="auto"/>
        <w:bottom w:val="none" w:sz="0" w:space="0" w:color="auto"/>
        <w:right w:val="none" w:sz="0" w:space="0" w:color="auto"/>
      </w:divBdr>
    </w:div>
    <w:div w:id="153919473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stice.vic.gov.au" TargetMode="External"/><Relationship Id="rId117" Type="http://schemas.openxmlformats.org/officeDocument/2006/relationships/fontTable" Target="fontTable.xml"/><Relationship Id="rId21" Type="http://schemas.openxmlformats.org/officeDocument/2006/relationships/hyperlink" Target="https://www.dffh.vic.gov.au/publications/framework-trauma-informed-practice" TargetMode="External"/><Relationship Id="rId42" Type="http://schemas.openxmlformats.org/officeDocument/2006/relationships/image" Target="media/image6.png"/><Relationship Id="rId47" Type="http://schemas.openxmlformats.org/officeDocument/2006/relationships/hyperlink" Target="https://providers.dhhs.vic.gov.au/tenancy-plus-tenancy-support-operational-guidelines" TargetMode="External"/><Relationship Id="rId63" Type="http://schemas.openxmlformats.org/officeDocument/2006/relationships/hyperlink" Target="https://dhhsvicgovau.sharepoint.com/sites/dffh/SitePages/Records.aspx" TargetMode="External"/><Relationship Id="rId68" Type="http://schemas.openxmlformats.org/officeDocument/2006/relationships/hyperlink" Target="https://ccyp.vic.gov.au/child-safe-standards/" TargetMode="External"/><Relationship Id="rId84" Type="http://schemas.openxmlformats.org/officeDocument/2006/relationships/hyperlink" Target="https://www.vic.gov.au/guides-templates-tools-for-information-sharing" TargetMode="External"/><Relationship Id="rId89" Type="http://schemas.openxmlformats.org/officeDocument/2006/relationships/hyperlink" Target="mailto:Central.ComplexNeeds@dffh.vic.gov.au" TargetMode="External"/><Relationship Id="rId112" Type="http://schemas.openxmlformats.org/officeDocument/2006/relationships/image" Target="media/image16.png"/><Relationship Id="rId16" Type="http://schemas.openxmlformats.org/officeDocument/2006/relationships/header" Target="header3.xml"/><Relationship Id="rId107" Type="http://schemas.openxmlformats.org/officeDocument/2006/relationships/footer" Target="footer4.xml"/><Relationship Id="rId11" Type="http://schemas.openxmlformats.org/officeDocument/2006/relationships/image" Target="media/image1.png"/><Relationship Id="rId24" Type="http://schemas.openxmlformats.org/officeDocument/2006/relationships/hyperlink" Target="https://www.vic.gov.au/state-disability-plan" TargetMode="External"/><Relationship Id="rId32" Type="http://schemas.openxmlformats.org/officeDocument/2006/relationships/hyperlink" Target="mailto:northdisabilitypracticeadvice@dhhs.vic.gov.au" TargetMode="External"/><Relationship Id="rId37" Type="http://schemas.openxmlformats.org/officeDocument/2006/relationships/hyperlink" Target="mailto:bcc@dffh.vic.gov.au" TargetMode="External"/><Relationship Id="rId40" Type="http://schemas.openxmlformats.org/officeDocument/2006/relationships/image" Target="media/image4.png"/><Relationship Id="rId45" Type="http://schemas.openxmlformats.org/officeDocument/2006/relationships/hyperlink" Target="https://ovic.vic.gov.au/privacy/for-agencies/information-privacy-principles" TargetMode="External"/><Relationship Id="rId53" Type="http://schemas.openxmlformats.org/officeDocument/2006/relationships/hyperlink" Target="http://www.legislation.vic.gov.au/" TargetMode="External"/><Relationship Id="rId58" Type="http://schemas.openxmlformats.org/officeDocument/2006/relationships/hyperlink" Target="https://dhhsvicgovau.sharepoint.com/sites/dffh/SitePages/Funded-agencies.aspx" TargetMode="External"/><Relationship Id="rId66" Type="http://schemas.openxmlformats.org/officeDocument/2006/relationships/image" Target="media/image13.png"/><Relationship Id="rId74" Type="http://schemas.openxmlformats.org/officeDocument/2006/relationships/hyperlink" Target="mailto:foi@dffh.vic.gov.au" TargetMode="External"/><Relationship Id="rId79" Type="http://schemas.openxmlformats.org/officeDocument/2006/relationships/hyperlink" Target="http://www.coronerscourt.vic.gov.au/" TargetMode="External"/><Relationship Id="rId87" Type="http://schemas.openxmlformats.org/officeDocument/2006/relationships/hyperlink" Target="https://dhhsvicgovau.sharepoint.com/sites/StaffHSW-DH/SitePages/Peer-Support-Network.aspx" TargetMode="External"/><Relationship Id="rId102" Type="http://schemas.openxmlformats.org/officeDocument/2006/relationships/hyperlink" Target="mailto:WMBM.ComplexNeeds@dffh.vic.gov.au" TargetMode="External"/><Relationship Id="rId110" Type="http://schemas.openxmlformats.org/officeDocument/2006/relationships/image" Target="media/image14.png"/><Relationship Id="rId115" Type="http://schemas.openxmlformats.org/officeDocument/2006/relationships/footer" Target="footer7.xml"/><Relationship Id="rId5" Type="http://schemas.openxmlformats.org/officeDocument/2006/relationships/numbering" Target="numbering.xml"/><Relationship Id="rId61" Type="http://schemas.openxmlformats.org/officeDocument/2006/relationships/hyperlink" Target="https://dhhsvicgovau.sharepoint.com/sites/dffh/SitePages/Buying-goods-and-services.aspx?web=1" TargetMode="External"/><Relationship Id="rId82" Type="http://schemas.openxmlformats.org/officeDocument/2006/relationships/hyperlink" Target="https://www.dffh.vic.gov.au/publications/community-services-quality-governance-framework" TargetMode="External"/><Relationship Id="rId90" Type="http://schemas.openxmlformats.org/officeDocument/2006/relationships/hyperlink" Target="mailto:NEMAComplexClients@dffh.vic.gov.au" TargetMode="External"/><Relationship Id="rId95" Type="http://schemas.openxmlformats.org/officeDocument/2006/relationships/hyperlink" Target="mailto:OEMA.ComplexNeeds@dffh.vic.gov.au" TargetMode="External"/><Relationship Id="rId19" Type="http://schemas.openxmlformats.org/officeDocument/2006/relationships/hyperlink" Target="https://www.dffh.vic.gov.au/service-provision-framework-complex-needs" TargetMode="External"/><Relationship Id="rId14" Type="http://schemas.openxmlformats.org/officeDocument/2006/relationships/footer" Target="footer1.xml"/><Relationship Id="rId22" Type="http://schemas.openxmlformats.org/officeDocument/2006/relationships/hyperlink" Target="https://www2.health.vic.gov.au/about/health-strategies/aboriginal-health/korin-korin-balit-djak%3e" TargetMode="External"/><Relationship Id="rId27" Type="http://schemas.openxmlformats.org/officeDocument/2006/relationships/hyperlink" Target="https://www.homes.vic.gov.au" TargetMode="External"/><Relationship Id="rId30" Type="http://schemas.openxmlformats.org/officeDocument/2006/relationships/hyperlink" Target="https://www.myagedcare.gov.au" TargetMode="External"/><Relationship Id="rId35" Type="http://schemas.openxmlformats.org/officeDocument/2006/relationships/hyperlink" Target="mailto:east.disabilitypracticeadvice@dhhs.vic.gov.au" TargetMode="External"/><Relationship Id="rId43" Type="http://schemas.openxmlformats.org/officeDocument/2006/relationships/image" Target="media/image7.svg"/><Relationship Id="rId48" Type="http://schemas.openxmlformats.org/officeDocument/2006/relationships/image" Target="media/image8.png"/><Relationship Id="rId56" Type="http://schemas.openxmlformats.org/officeDocument/2006/relationships/hyperlink" Target="https://providers.dffh.vic.gov.au/human-services-standards" TargetMode="External"/><Relationship Id="rId64" Type="http://schemas.openxmlformats.org/officeDocument/2006/relationships/hyperlink" Target="https://dhhsvicgovau.sharepoint.com/sites/dffh/SitePages/TRIM-EDRM-how-to-guides.aspx" TargetMode="External"/><Relationship Id="rId69" Type="http://schemas.openxmlformats.org/officeDocument/2006/relationships/hyperlink" Target="https://www.dffh.vic.gov.au/publications/privacy-policy" TargetMode="External"/><Relationship Id="rId77" Type="http://schemas.openxmlformats.org/officeDocument/2006/relationships/hyperlink" Target="https://providers.dffh.vic.gov.au/client-incident-management-guide-cims-word" TargetMode="External"/><Relationship Id="rId100" Type="http://schemas.openxmlformats.org/officeDocument/2006/relationships/hyperlink" Target="mailto:complex.clientsIG@dffh.vic.gov.au" TargetMode="External"/><Relationship Id="rId105" Type="http://schemas.openxmlformats.org/officeDocument/2006/relationships/hyperlink" Target="mailto:ComplexNeeds.Barwon@dffh.vic.gov.au" TargetMode="External"/><Relationship Id="rId113" Type="http://schemas.openxmlformats.org/officeDocument/2006/relationships/header" Target="header4.xml"/><Relationship Id="rId11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9.png"/><Relationship Id="rId72" Type="http://schemas.openxmlformats.org/officeDocument/2006/relationships/hyperlink" Target="https://www.dffh.vic.gov.au/making-complaint" TargetMode="External"/><Relationship Id="rId80" Type="http://schemas.openxmlformats.org/officeDocument/2006/relationships/hyperlink" Target="https://dhhs.vic.gov.au/publications/aboriginal-and-torres-strait-islander-cultural-safety-framework" TargetMode="External"/><Relationship Id="rId85" Type="http://schemas.openxmlformats.org/officeDocument/2006/relationships/hyperlink" Target="https://www.vic.gov.au/family-violence-multi-agency-risk-assessment-and-management-framework/part-c-pillars" TargetMode="External"/><Relationship Id="rId93" Type="http://schemas.openxmlformats.org/officeDocument/2006/relationships/hyperlink" Target="mailto:MalleeComplexNeeds@dffh.vic.gov.au" TargetMode="External"/><Relationship Id="rId98" Type="http://schemas.openxmlformats.org/officeDocument/2006/relationships/hyperlink" Target="mailto:complex.clientsSM@dffh.vic.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yperlink" Target="mailto:westdisability@dhhs.vic.gov.au" TargetMode="External"/><Relationship Id="rId38" Type="http://schemas.openxmlformats.org/officeDocument/2006/relationships/hyperlink" Target="mailto:bcc@dffh.vic.gov.au" TargetMode="External"/><Relationship Id="rId46" Type="http://schemas.openxmlformats.org/officeDocument/2006/relationships/hyperlink" Target="https://dhhsvicgovau.sharepoint.com/sites/dffh/SitePages/Protective-markings.aspx" TargetMode="External"/><Relationship Id="rId59" Type="http://schemas.openxmlformats.org/officeDocument/2006/relationships/hyperlink" Target="https://fac.dhhs.vic.gov.au/service-agreement-requirements" TargetMode="External"/><Relationship Id="rId67" Type="http://schemas.openxmlformats.org/officeDocument/2006/relationships/hyperlink" Target="https://www.humanrights.vic.gov.au/legal-and-policy/victorias-human-rights-laws/the-charter" TargetMode="External"/><Relationship Id="rId103" Type="http://schemas.openxmlformats.org/officeDocument/2006/relationships/hyperlink" Target="mailto:WMBM.ComplexNeeds@dffh.vic.gov.au" TargetMode="External"/><Relationship Id="rId108" Type="http://schemas.openxmlformats.org/officeDocument/2006/relationships/footer" Target="footer5.xml"/><Relationship Id="rId116" Type="http://schemas.openxmlformats.org/officeDocument/2006/relationships/footer" Target="footer8.xml"/><Relationship Id="rId20" Type="http://schemas.openxmlformats.org/officeDocument/2006/relationships/hyperlink" Target="https://www.dffh.vic.gov.au/sites/default/files/documents/202110/DFFH%202021%20strategic%20plan.pdf" TargetMode="External"/><Relationship Id="rId41" Type="http://schemas.openxmlformats.org/officeDocument/2006/relationships/image" Target="media/image5.svg"/><Relationship Id="rId54" Type="http://schemas.openxmlformats.org/officeDocument/2006/relationships/image" Target="media/image10.png"/><Relationship Id="rId62" Type="http://schemas.openxmlformats.org/officeDocument/2006/relationships/hyperlink" Target="https://abr.gov.au" TargetMode="External"/><Relationship Id="rId70" Type="http://schemas.openxmlformats.org/officeDocument/2006/relationships/hyperlink" Target="https://dhhsvicgovau.sharepoint.com/sites/dffh/SitePages/Funded-agencies.aspx" TargetMode="External"/><Relationship Id="rId75" Type="http://schemas.openxmlformats.org/officeDocument/2006/relationships/hyperlink" Target="https://www.dffh.vic.gov.au/making-freedom-information-request" TargetMode="External"/><Relationship Id="rId83" Type="http://schemas.openxmlformats.org/officeDocument/2006/relationships/hyperlink" Target="https://www.vic.gov.au/family-violence-multi-agency-risk-assessment-and-management-framework/part-c-pillars" TargetMode="External"/><Relationship Id="rId88" Type="http://schemas.openxmlformats.org/officeDocument/2006/relationships/hyperlink" Target="https://dhhsvicgovau.sharepoint.com/:w:/r/sites/Publichousingresources/_layouts/15/Doc.aspx?sourcedoc=%7B4A84DECE-A10A-4955-8448-BCFA0CA0000B%7D&amp;file=FINAL-Supervision-and-support-framework-in-housing-June-2021-.docx&amp;action=default&amp;mobileredirect=true" TargetMode="External"/><Relationship Id="rId91" Type="http://schemas.openxmlformats.org/officeDocument/2006/relationships/hyperlink" Target="mailto:HumeMoreland.ComplexNeeds@dffh.vic.gov.au" TargetMode="External"/><Relationship Id="rId96" Type="http://schemas.openxmlformats.org/officeDocument/2006/relationships/hyperlink" Target="mailto:Goulburn.ComplexNeeds@dffh.vic.gov.au" TargetMode="External"/><Relationship Id="rId11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hhs.vic.gov.au/publications/aboriginal-and-torres-strait-islander-cultural-safety-framework" TargetMode="External"/><Relationship Id="rId28" Type="http://schemas.openxmlformats.org/officeDocument/2006/relationships/hyperlink" Target="https://www.ndis.gov.au" TargetMode="External"/><Relationship Id="rId36" Type="http://schemas.openxmlformats.org/officeDocument/2006/relationships/hyperlink" Target="https://dhhsvicgovau.sharepoint.com/:w:/r/sites/dffh/_layouts/15/Doc.aspx?sourcedoc=%7B97A8F70D-CF23-41B9-B543-8C01CC6E424F%7D&amp;file=Intensive%20Support%20Team%20-%20Factsheet%20outlining%20program%20offerings.docx&amp;action=default&amp;mobileredirect=true&amp;DefaultItemOpen=1" TargetMode="External"/><Relationship Id="rId49" Type="http://schemas.openxmlformats.org/officeDocument/2006/relationships/hyperlink" Target="https://www.dhhs.vic.gov.au/sites/default/files/documents/201705/Homelessness-Services-Guidelines-and-Conditions-of-Funding-May-2014.pdf" TargetMode="External"/><Relationship Id="rId57" Type="http://schemas.openxmlformats.org/officeDocument/2006/relationships/hyperlink" Target="https://providers.dffh.vic.gov.au/human-services-standards" TargetMode="External"/><Relationship Id="rId106" Type="http://schemas.openxmlformats.org/officeDocument/2006/relationships/hyperlink" Target="mailto:WSWA.ComplexNeeds@dffh.vic.gov.au" TargetMode="External"/><Relationship Id="rId114" Type="http://schemas.openxmlformats.org/officeDocument/2006/relationships/header" Target="header5.xml"/><Relationship Id="rId119"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www.dffh.vic.gov.au/forensic-disability-services" TargetMode="External"/><Relationship Id="rId44" Type="http://schemas.openxmlformats.org/officeDocument/2006/relationships/hyperlink" Target="https://dhhsvicgovau.sharepoint.com/:w:/r/sites/dffh/_layouts/15/Doc.aspx?sourcedoc=%7B2C14437E-01E0-4508-9E9E-7135C3E6F2A8%7D&amp;action=View" TargetMode="External"/><Relationship Id="rId52" Type="http://schemas.openxmlformats.org/officeDocument/2006/relationships/hyperlink" Target="https://dhhsvicgovau.sharepoint.com/sites/dffh/SitePages/Delegations%20and%20Authorisations.aspx" TargetMode="External"/><Relationship Id="rId60" Type="http://schemas.openxmlformats.org/officeDocument/2006/relationships/hyperlink" Target="https://dhhsvicgovau.sharepoint.com/sites/dffh/SitePages/Procurement-governance.aspx" TargetMode="External"/><Relationship Id="rId65" Type="http://schemas.openxmlformats.org/officeDocument/2006/relationships/image" Target="media/image12.png"/><Relationship Id="rId73" Type="http://schemas.openxmlformats.org/officeDocument/2006/relationships/hyperlink" Target="https://dhhsvicgovau.sharepoint.com/:w:/r/sites/dffh/_layouts/15/Doc.aspx?sourcedoc=%7B1F9F7D0A-0933-4062-AD7B-323CC847591F%7D&amp;file=Feedback-including-compliments-and-complaints-management-policy.docx&amp;action=default&amp;mobileredirect=true&amp;DefaultItemOpen=1" TargetMode="External"/><Relationship Id="rId78" Type="http://schemas.openxmlformats.org/officeDocument/2006/relationships/hyperlink" Target="https://providers.dffh.vic.gov.au/client-incident-management-guide-addendum-out-home-care-word" TargetMode="External"/><Relationship Id="rId81" Type="http://schemas.openxmlformats.org/officeDocument/2006/relationships/hyperlink" Target="https://www.ndiscommission.gov.au" TargetMode="External"/><Relationship Id="rId86" Type="http://schemas.openxmlformats.org/officeDocument/2006/relationships/hyperlink" Target="file:///C:/Users/mcro1903/AppData/Local/Microsoft/Windows/INetCache/Content.Outlook/T9E1J6ZM/%3Chttps:/dhhsvicgovau.sharepoint.com/sites/dffh/SitePages/Family-violence-practice-better-outcomes-for-individuals-and-families.aspx%3E" TargetMode="External"/><Relationship Id="rId94" Type="http://schemas.openxmlformats.org/officeDocument/2006/relationships/hyperlink" Target="mailto:IEMAComplexNeeds@dffh.vic.gov.au" TargetMode="External"/><Relationship Id="rId99" Type="http://schemas.openxmlformats.org/officeDocument/2006/relationships/hyperlink" Target="mailto:Complex.ClientsBP@dffh.vic.gov.au" TargetMode="External"/><Relationship Id="rId101" Type="http://schemas.openxmlformats.org/officeDocument/2006/relationships/hyperlink" Target="mailto:complex.clients.oga@dffh.vic.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Central.ComplexNeeds@dffh.vic.gov.au" TargetMode="External"/><Relationship Id="rId39" Type="http://schemas.openxmlformats.org/officeDocument/2006/relationships/image" Target="media/image3.png"/><Relationship Id="rId109" Type="http://schemas.openxmlformats.org/officeDocument/2006/relationships/footer" Target="footer6.xml"/><Relationship Id="rId34" Type="http://schemas.openxmlformats.org/officeDocument/2006/relationships/hyperlink" Target="mailto:south.disabilitypracticeadvice@dhhs.vic.gov.au" TargetMode="External"/><Relationship Id="rId50" Type="http://schemas.openxmlformats.org/officeDocument/2006/relationships/hyperlink" Target="https://providers.dhhs.vic.gov.au/public-housing-and-national-disability-insurance-scheme-roles-and-responsibilities-operational" TargetMode="External"/><Relationship Id="rId55" Type="http://schemas.openxmlformats.org/officeDocument/2006/relationships/image" Target="media/image11.svg"/><Relationship Id="rId76" Type="http://schemas.openxmlformats.org/officeDocument/2006/relationships/hyperlink" Target="https://providers.dffh.vic.gov.au/cims" TargetMode="External"/><Relationship Id="rId97" Type="http://schemas.openxmlformats.org/officeDocument/2006/relationships/hyperlink" Target="mailto:OvensMurray.ComplexNeeds@dffh.vic.gov.au" TargetMode="External"/><Relationship Id="rId104" Type="http://schemas.openxmlformats.org/officeDocument/2006/relationships/hyperlink" Target="mailto:CHA.ComplexClientsReferrals@dffh.vic.gov.au" TargetMode="External"/><Relationship Id="rId120"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providers.dffh.vic.gov.au/human-services-standards" TargetMode="External"/><Relationship Id="rId92" Type="http://schemas.openxmlformats.org/officeDocument/2006/relationships/hyperlink" Target="mailto:Loddon.ComplexNeeds@dffh.vic.gov.au" TargetMode="External"/><Relationship Id="rId2" Type="http://schemas.openxmlformats.org/officeDocument/2006/relationships/customXml" Target="../customXml/item2.xml"/><Relationship Id="rId29" Type="http://schemas.openxmlformats.org/officeDocument/2006/relationships/hyperlink" Target="mailto:enquiries@ndis.gov.au" TargetMode="External"/></Relationships>
</file>

<file path=word/documenttasks/documenttasks1.xml><?xml version="1.0" encoding="utf-8"?>
<t:Tasks xmlns:t="http://schemas.microsoft.com/office/tasks/2019/documenttasks" xmlns:oel="http://schemas.microsoft.com/office/2019/extlst">
  <t:Task id="{18DD2E83-DFD1-4D29-9F58-0FDF0A92F93B}">
    <t:Anchor>
      <t:Comment id="737152523"/>
    </t:Anchor>
    <t:History>
      <t:Event id="{F7AD957B-7581-42A8-A2F5-ECC78E667860}" time="2023-07-24T02:54:50.126Z">
        <t:Attribution userId="S::lauren.brownscombe@dffh.vic.gov.au::5bffc3bd-9612-4457-95c0-ab6ecf722d1f" userProvider="AD" userName="Lauren Brownscombe (DFFH)"/>
        <t:Anchor>
          <t:Comment id="737152523"/>
        </t:Anchor>
        <t:Create/>
      </t:Event>
      <t:Event id="{4D485925-60EB-4363-911B-5D37F08E2104}" time="2023-07-24T02:54:50.126Z">
        <t:Attribution userId="S::lauren.brownscombe@dffh.vic.gov.au::5bffc3bd-9612-4457-95c0-ab6ecf722d1f" userProvider="AD" userName="Lauren Brownscombe (DFFH)"/>
        <t:Anchor>
          <t:Comment id="737152523"/>
        </t:Anchor>
        <t:Assign userId="S::Katherine.Hlasko@dffh.vic.gov.au::84a5d4df-798d-4f5a-9ca6-91adca7caa09" userProvider="AD" userName="Katherine Hlasko (DFFH)"/>
      </t:Event>
      <t:Event id="{1B47E419-F34E-4CC4-9235-1E3C4D625197}" time="2023-07-24T02:54:50.126Z">
        <t:Attribution userId="S::lauren.brownscombe@dffh.vic.gov.au::5bffc3bd-9612-4457-95c0-ab6ecf722d1f" userProvider="AD" userName="Lauren Brownscombe (DFFH)"/>
        <t:Anchor>
          <t:Comment id="737152523"/>
        </t:Anchor>
        <t:SetTitle title="@Katherine Hlasko (DFFH) - end to end doc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Donna Bush (DFFH)</DisplayName>
        <AccountId>85</AccountId>
        <AccountType/>
      </UserInfo>
      <UserInfo>
        <DisplayName>Verna Fisher (DFFH)</DisplayName>
        <AccountId>54</AccountId>
        <AccountType/>
      </UserInfo>
      <UserInfo>
        <DisplayName>Katherine Hlasko (DFFH)</DisplayName>
        <AccountId>13</AccountId>
        <AccountType/>
      </UserInfo>
      <UserInfo>
        <DisplayName>Lauren Brownscombe (DFFH)</DisplayName>
        <AccountId>27</AccountId>
        <AccountType/>
      </UserInfo>
    </SharedWithUsers>
    <_Flow_SignoffStatus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968d3b54a98bd9b503a1851f27ea705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2fdf37046373c5bc61eaf12eb17691f7"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ef5222-d273-4e86-adbf-8aa3d9e99a84"/>
    <ds:schemaRef ds:uri="http://purl.org/dc/elements/1.1/"/>
    <ds:schemaRef ds:uri="http://schemas.microsoft.com/office/2006/metadata/properties"/>
    <ds:schemaRef ds:uri="5ce0f2b5-5be5-4508-bce9-d7011ece0659"/>
    <ds:schemaRef ds:uri="06badf41-c0a1-41a6-983a-efd542c2c878"/>
    <ds:schemaRef ds:uri="http://www.w3.org/XML/1998/namespace"/>
    <ds:schemaRef ds:uri="http://purl.org/dc/dcmitype/"/>
  </ds:schemaRefs>
</ds:datastoreItem>
</file>

<file path=customXml/itemProps2.xml><?xml version="1.0" encoding="utf-8"?>
<ds:datastoreItem xmlns:ds="http://schemas.openxmlformats.org/officeDocument/2006/customXml" ds:itemID="{44F80348-B702-4497-A18C-2E7683280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103</Pages>
  <Words>32129</Words>
  <Characters>190597</Characters>
  <Application>Microsoft Office Word</Application>
  <DocSecurity>0</DocSecurity>
  <Lines>4065</Lines>
  <Paragraphs>2177</Paragraphs>
  <ScaleCrop>false</ScaleCrop>
  <HeadingPairs>
    <vt:vector size="2" baseType="variant">
      <vt:variant>
        <vt:lpstr>Title</vt:lpstr>
      </vt:variant>
      <vt:variant>
        <vt:i4>1</vt:i4>
      </vt:variant>
    </vt:vector>
  </HeadingPairs>
  <TitlesOfParts>
    <vt:vector size="1" baseType="lpstr">
      <vt:lpstr>Service Provision Framework: Complex Needs (August 2023)</vt:lpstr>
    </vt:vector>
  </TitlesOfParts>
  <Company>Victoria State Government, Department of Families, Fairness and Housing</Company>
  <LinksUpToDate>false</LinksUpToDate>
  <CharactersWithSpaces>221764</CharactersWithSpaces>
  <SharedDoc>false</SharedDoc>
  <HyperlinkBase/>
  <HLinks>
    <vt:vector size="1020" baseType="variant">
      <vt:variant>
        <vt:i4>1114216</vt:i4>
      </vt:variant>
      <vt:variant>
        <vt:i4>792</vt:i4>
      </vt:variant>
      <vt:variant>
        <vt:i4>0</vt:i4>
      </vt:variant>
      <vt:variant>
        <vt:i4>5</vt:i4>
      </vt:variant>
      <vt:variant>
        <vt:lpwstr>mailto:WSWA.ComplexNeeds@dffh.vic.gov.au</vt:lpwstr>
      </vt:variant>
      <vt:variant>
        <vt:lpwstr/>
      </vt:variant>
      <vt:variant>
        <vt:i4>7340060</vt:i4>
      </vt:variant>
      <vt:variant>
        <vt:i4>789</vt:i4>
      </vt:variant>
      <vt:variant>
        <vt:i4>0</vt:i4>
      </vt:variant>
      <vt:variant>
        <vt:i4>5</vt:i4>
      </vt:variant>
      <vt:variant>
        <vt:lpwstr>mailto:ComplexNeeds.Barwon@dffh.vic.gov.au</vt:lpwstr>
      </vt:variant>
      <vt:variant>
        <vt:lpwstr/>
      </vt:variant>
      <vt:variant>
        <vt:i4>2883668</vt:i4>
      </vt:variant>
      <vt:variant>
        <vt:i4>786</vt:i4>
      </vt:variant>
      <vt:variant>
        <vt:i4>0</vt:i4>
      </vt:variant>
      <vt:variant>
        <vt:i4>5</vt:i4>
      </vt:variant>
      <vt:variant>
        <vt:lpwstr>mailto:CHA.ComplexClientsReferrals@dffh.vic.gov.au</vt:lpwstr>
      </vt:variant>
      <vt:variant>
        <vt:lpwstr/>
      </vt:variant>
      <vt:variant>
        <vt:i4>262266</vt:i4>
      </vt:variant>
      <vt:variant>
        <vt:i4>783</vt:i4>
      </vt:variant>
      <vt:variant>
        <vt:i4>0</vt:i4>
      </vt:variant>
      <vt:variant>
        <vt:i4>5</vt:i4>
      </vt:variant>
      <vt:variant>
        <vt:lpwstr>mailto:WMBM.ComplexNeeds@dffh.vic.gov.au</vt:lpwstr>
      </vt:variant>
      <vt:variant>
        <vt:lpwstr/>
      </vt:variant>
      <vt:variant>
        <vt:i4>4063233</vt:i4>
      </vt:variant>
      <vt:variant>
        <vt:i4>780</vt:i4>
      </vt:variant>
      <vt:variant>
        <vt:i4>0</vt:i4>
      </vt:variant>
      <vt:variant>
        <vt:i4>5</vt:i4>
      </vt:variant>
      <vt:variant>
        <vt:lpwstr>mailto:complex.clients.oga@dffh.vic.gov.au</vt:lpwstr>
      </vt:variant>
      <vt:variant>
        <vt:lpwstr/>
      </vt:variant>
      <vt:variant>
        <vt:i4>5701665</vt:i4>
      </vt:variant>
      <vt:variant>
        <vt:i4>777</vt:i4>
      </vt:variant>
      <vt:variant>
        <vt:i4>0</vt:i4>
      </vt:variant>
      <vt:variant>
        <vt:i4>5</vt:i4>
      </vt:variant>
      <vt:variant>
        <vt:lpwstr>mailto:complex.clientsIG@dffh.vic.gov.au</vt:lpwstr>
      </vt:variant>
      <vt:variant>
        <vt:lpwstr/>
      </vt:variant>
      <vt:variant>
        <vt:i4>4194346</vt:i4>
      </vt:variant>
      <vt:variant>
        <vt:i4>774</vt:i4>
      </vt:variant>
      <vt:variant>
        <vt:i4>0</vt:i4>
      </vt:variant>
      <vt:variant>
        <vt:i4>5</vt:i4>
      </vt:variant>
      <vt:variant>
        <vt:lpwstr>mailto:Complex.ClientsBP@dffh.vic.gov.au</vt:lpwstr>
      </vt:variant>
      <vt:variant>
        <vt:lpwstr/>
      </vt:variant>
      <vt:variant>
        <vt:i4>6094907</vt:i4>
      </vt:variant>
      <vt:variant>
        <vt:i4>771</vt:i4>
      </vt:variant>
      <vt:variant>
        <vt:i4>0</vt:i4>
      </vt:variant>
      <vt:variant>
        <vt:i4>5</vt:i4>
      </vt:variant>
      <vt:variant>
        <vt:lpwstr>mailto:complex.clientsSM@dffh.vic.gov.au</vt:lpwstr>
      </vt:variant>
      <vt:variant>
        <vt:lpwstr/>
      </vt:variant>
      <vt:variant>
        <vt:i4>5570602</vt:i4>
      </vt:variant>
      <vt:variant>
        <vt:i4>768</vt:i4>
      </vt:variant>
      <vt:variant>
        <vt:i4>0</vt:i4>
      </vt:variant>
      <vt:variant>
        <vt:i4>5</vt:i4>
      </vt:variant>
      <vt:variant>
        <vt:lpwstr>mailto:OvensMurray.ComplexNeeds@dffh.vic.gov.au</vt:lpwstr>
      </vt:variant>
      <vt:variant>
        <vt:lpwstr/>
      </vt:variant>
      <vt:variant>
        <vt:i4>1245282</vt:i4>
      </vt:variant>
      <vt:variant>
        <vt:i4>765</vt:i4>
      </vt:variant>
      <vt:variant>
        <vt:i4>0</vt:i4>
      </vt:variant>
      <vt:variant>
        <vt:i4>5</vt:i4>
      </vt:variant>
      <vt:variant>
        <vt:lpwstr>mailto:Goulburn.ComplexNeeds@dffh.vic.gov.au</vt:lpwstr>
      </vt:variant>
      <vt:variant>
        <vt:lpwstr/>
      </vt:variant>
      <vt:variant>
        <vt:i4>1245310</vt:i4>
      </vt:variant>
      <vt:variant>
        <vt:i4>762</vt:i4>
      </vt:variant>
      <vt:variant>
        <vt:i4>0</vt:i4>
      </vt:variant>
      <vt:variant>
        <vt:i4>5</vt:i4>
      </vt:variant>
      <vt:variant>
        <vt:lpwstr>mailto:OEMA.ComplexNeeds@dffh.vic.gov.au</vt:lpwstr>
      </vt:variant>
      <vt:variant>
        <vt:lpwstr/>
      </vt:variant>
      <vt:variant>
        <vt:i4>5636198</vt:i4>
      </vt:variant>
      <vt:variant>
        <vt:i4>759</vt:i4>
      </vt:variant>
      <vt:variant>
        <vt:i4>0</vt:i4>
      </vt:variant>
      <vt:variant>
        <vt:i4>5</vt:i4>
      </vt:variant>
      <vt:variant>
        <vt:lpwstr>mailto:IEMAComplexNeeds@dffh.vic.gov.au</vt:lpwstr>
      </vt:variant>
      <vt:variant>
        <vt:lpwstr/>
      </vt:variant>
      <vt:variant>
        <vt:i4>3538954</vt:i4>
      </vt:variant>
      <vt:variant>
        <vt:i4>756</vt:i4>
      </vt:variant>
      <vt:variant>
        <vt:i4>0</vt:i4>
      </vt:variant>
      <vt:variant>
        <vt:i4>5</vt:i4>
      </vt:variant>
      <vt:variant>
        <vt:lpwstr>mailto:MalleeComplexNeeds@dffh.vic.gov.au</vt:lpwstr>
      </vt:variant>
      <vt:variant>
        <vt:lpwstr/>
      </vt:variant>
      <vt:variant>
        <vt:i4>7733279</vt:i4>
      </vt:variant>
      <vt:variant>
        <vt:i4>753</vt:i4>
      </vt:variant>
      <vt:variant>
        <vt:i4>0</vt:i4>
      </vt:variant>
      <vt:variant>
        <vt:i4>5</vt:i4>
      </vt:variant>
      <vt:variant>
        <vt:lpwstr>mailto:Loddon.ComplexNeeds@dffh.vic.gov.au</vt:lpwstr>
      </vt:variant>
      <vt:variant>
        <vt:lpwstr/>
      </vt:variant>
      <vt:variant>
        <vt:i4>589925</vt:i4>
      </vt:variant>
      <vt:variant>
        <vt:i4>750</vt:i4>
      </vt:variant>
      <vt:variant>
        <vt:i4>0</vt:i4>
      </vt:variant>
      <vt:variant>
        <vt:i4>5</vt:i4>
      </vt:variant>
      <vt:variant>
        <vt:lpwstr>mailto:HumeMoreland.ComplexNeeds@dffh.vic.gov.au</vt:lpwstr>
      </vt:variant>
      <vt:variant>
        <vt:lpwstr/>
      </vt:variant>
      <vt:variant>
        <vt:i4>2949129</vt:i4>
      </vt:variant>
      <vt:variant>
        <vt:i4>747</vt:i4>
      </vt:variant>
      <vt:variant>
        <vt:i4>0</vt:i4>
      </vt:variant>
      <vt:variant>
        <vt:i4>5</vt:i4>
      </vt:variant>
      <vt:variant>
        <vt:lpwstr>mailto:NEMAComplexClients@dffh.vic.gov.au</vt:lpwstr>
      </vt:variant>
      <vt:variant>
        <vt:lpwstr/>
      </vt:variant>
      <vt:variant>
        <vt:i4>4259900</vt:i4>
      </vt:variant>
      <vt:variant>
        <vt:i4>744</vt:i4>
      </vt:variant>
      <vt:variant>
        <vt:i4>0</vt:i4>
      </vt:variant>
      <vt:variant>
        <vt:i4>5</vt:i4>
      </vt:variant>
      <vt:variant>
        <vt:lpwstr>mailto:Central.ComplexNeeds@dffh.vic.gov.au</vt:lpwstr>
      </vt:variant>
      <vt:variant>
        <vt:lpwstr/>
      </vt:variant>
      <vt:variant>
        <vt:i4>2031727</vt:i4>
      </vt:variant>
      <vt:variant>
        <vt:i4>741</vt:i4>
      </vt:variant>
      <vt:variant>
        <vt:i4>0</vt:i4>
      </vt:variant>
      <vt:variant>
        <vt:i4>5</vt:i4>
      </vt:variant>
      <vt:variant>
        <vt:lpwstr>https://dhhsvicgovau.sharepoint.com/:w:/r/sites/Publichousingresources/_layouts/15/Doc.aspx?sourcedoc=%7B4A84DECE-A10A-4955-8448-BCFA0CA0000B%7D&amp;file=FINAL-Supervision-and-support-framework-in-housing-June-2021-.docx&amp;action=default&amp;mobileredirect=true</vt:lpwstr>
      </vt:variant>
      <vt:variant>
        <vt:lpwstr/>
      </vt:variant>
      <vt:variant>
        <vt:i4>6094858</vt:i4>
      </vt:variant>
      <vt:variant>
        <vt:i4>738</vt:i4>
      </vt:variant>
      <vt:variant>
        <vt:i4>0</vt:i4>
      </vt:variant>
      <vt:variant>
        <vt:i4>5</vt:i4>
      </vt:variant>
      <vt:variant>
        <vt:lpwstr>https://dhhsvicgovau.sharepoint.com/sites/StaffHSW-DH/SitePages/Peer-Support-Network.aspx</vt:lpwstr>
      </vt:variant>
      <vt:variant>
        <vt:lpwstr/>
      </vt:variant>
      <vt:variant>
        <vt:i4>6488133</vt:i4>
      </vt:variant>
      <vt:variant>
        <vt:i4>735</vt:i4>
      </vt:variant>
      <vt:variant>
        <vt:i4>0</vt:i4>
      </vt:variant>
      <vt:variant>
        <vt:i4>5</vt:i4>
      </vt:variant>
      <vt:variant>
        <vt:lpwstr>C:\Users\mcro1903\AppData\Local\Microsoft\Windows\INetCache\Content.Outlook\T9E1J6ZM\&lt;https:\dhhsvicgovau.sharepoint.com\sites\dffh\SitePages\Family-violence-practice-better-outcomes-for-individuals-and-families.aspx&gt;</vt:lpwstr>
      </vt:variant>
      <vt:variant>
        <vt:lpwstr/>
      </vt:variant>
      <vt:variant>
        <vt:i4>6750311</vt:i4>
      </vt:variant>
      <vt:variant>
        <vt:i4>732</vt:i4>
      </vt:variant>
      <vt:variant>
        <vt:i4>0</vt:i4>
      </vt:variant>
      <vt:variant>
        <vt:i4>5</vt:i4>
      </vt:variant>
      <vt:variant>
        <vt:lpwstr>https://www.vic.gov.au/family-violence-multi-agency-risk-assessment-and-management-framework/part-c-pillars</vt:lpwstr>
      </vt:variant>
      <vt:variant>
        <vt:lpwstr>pillar-3-responsibilities-for-risk-assessment-and-management</vt:lpwstr>
      </vt:variant>
      <vt:variant>
        <vt:i4>196614</vt:i4>
      </vt:variant>
      <vt:variant>
        <vt:i4>729</vt:i4>
      </vt:variant>
      <vt:variant>
        <vt:i4>0</vt:i4>
      </vt:variant>
      <vt:variant>
        <vt:i4>5</vt:i4>
      </vt:variant>
      <vt:variant>
        <vt:lpwstr>https://www.vic.gov.au/guides-templates-tools-for-information-sharing</vt:lpwstr>
      </vt:variant>
      <vt:variant>
        <vt:lpwstr/>
      </vt:variant>
      <vt:variant>
        <vt:i4>3407932</vt:i4>
      </vt:variant>
      <vt:variant>
        <vt:i4>726</vt:i4>
      </vt:variant>
      <vt:variant>
        <vt:i4>0</vt:i4>
      </vt:variant>
      <vt:variant>
        <vt:i4>5</vt:i4>
      </vt:variant>
      <vt:variant>
        <vt:lpwstr>https://www.vic.gov.au/family-violence-multi-agency-risk-assessment-and-management-framework/part-c-pillars</vt:lpwstr>
      </vt:variant>
      <vt:variant>
        <vt:lpwstr/>
      </vt:variant>
      <vt:variant>
        <vt:i4>1835085</vt:i4>
      </vt:variant>
      <vt:variant>
        <vt:i4>723</vt:i4>
      </vt:variant>
      <vt:variant>
        <vt:i4>0</vt:i4>
      </vt:variant>
      <vt:variant>
        <vt:i4>5</vt:i4>
      </vt:variant>
      <vt:variant>
        <vt:lpwstr>https://www.dffh.vic.gov.au/publications/community-services-quality-governance-framework</vt:lpwstr>
      </vt:variant>
      <vt:variant>
        <vt:lpwstr/>
      </vt:variant>
      <vt:variant>
        <vt:i4>7733286</vt:i4>
      </vt:variant>
      <vt:variant>
        <vt:i4>720</vt:i4>
      </vt:variant>
      <vt:variant>
        <vt:i4>0</vt:i4>
      </vt:variant>
      <vt:variant>
        <vt:i4>5</vt:i4>
      </vt:variant>
      <vt:variant>
        <vt:lpwstr>https://www.ndiscommission.gov.au/</vt:lpwstr>
      </vt:variant>
      <vt:variant>
        <vt:lpwstr/>
      </vt:variant>
      <vt:variant>
        <vt:i4>5308438</vt:i4>
      </vt:variant>
      <vt:variant>
        <vt:i4>717</vt:i4>
      </vt:variant>
      <vt:variant>
        <vt:i4>0</vt:i4>
      </vt:variant>
      <vt:variant>
        <vt:i4>5</vt:i4>
      </vt:variant>
      <vt:variant>
        <vt:lpwstr>https://dhhs.vic.gov.au/publications/aboriginal-and-torres-strait-islander-cultural-safety-framework</vt:lpwstr>
      </vt:variant>
      <vt:variant>
        <vt:lpwstr/>
      </vt:variant>
      <vt:variant>
        <vt:i4>917510</vt:i4>
      </vt:variant>
      <vt:variant>
        <vt:i4>714</vt:i4>
      </vt:variant>
      <vt:variant>
        <vt:i4>0</vt:i4>
      </vt:variant>
      <vt:variant>
        <vt:i4>5</vt:i4>
      </vt:variant>
      <vt:variant>
        <vt:lpwstr>http://www.coronerscourt.vic.gov.au/</vt:lpwstr>
      </vt:variant>
      <vt:variant>
        <vt:lpwstr/>
      </vt:variant>
      <vt:variant>
        <vt:i4>7340140</vt:i4>
      </vt:variant>
      <vt:variant>
        <vt:i4>711</vt:i4>
      </vt:variant>
      <vt:variant>
        <vt:i4>0</vt:i4>
      </vt:variant>
      <vt:variant>
        <vt:i4>5</vt:i4>
      </vt:variant>
      <vt:variant>
        <vt:lpwstr>https://providers.dffh.vic.gov.au/client-incident-management-guide-addendum-out-home-care-word</vt:lpwstr>
      </vt:variant>
      <vt:variant>
        <vt:lpwstr/>
      </vt:variant>
      <vt:variant>
        <vt:i4>917577</vt:i4>
      </vt:variant>
      <vt:variant>
        <vt:i4>708</vt:i4>
      </vt:variant>
      <vt:variant>
        <vt:i4>0</vt:i4>
      </vt:variant>
      <vt:variant>
        <vt:i4>5</vt:i4>
      </vt:variant>
      <vt:variant>
        <vt:lpwstr>https://providers.dffh.vic.gov.au/client-incident-management-guide-cims-word</vt:lpwstr>
      </vt:variant>
      <vt:variant>
        <vt:lpwstr/>
      </vt:variant>
      <vt:variant>
        <vt:i4>7536753</vt:i4>
      </vt:variant>
      <vt:variant>
        <vt:i4>705</vt:i4>
      </vt:variant>
      <vt:variant>
        <vt:i4>0</vt:i4>
      </vt:variant>
      <vt:variant>
        <vt:i4>5</vt:i4>
      </vt:variant>
      <vt:variant>
        <vt:lpwstr>https://providers.dffh.vic.gov.au/cims</vt:lpwstr>
      </vt:variant>
      <vt:variant>
        <vt:lpwstr/>
      </vt:variant>
      <vt:variant>
        <vt:i4>6291510</vt:i4>
      </vt:variant>
      <vt:variant>
        <vt:i4>702</vt:i4>
      </vt:variant>
      <vt:variant>
        <vt:i4>0</vt:i4>
      </vt:variant>
      <vt:variant>
        <vt:i4>5</vt:i4>
      </vt:variant>
      <vt:variant>
        <vt:lpwstr>https://www.dffh.vic.gov.au/making-freedom-information-request</vt:lpwstr>
      </vt:variant>
      <vt:variant>
        <vt:lpwstr/>
      </vt:variant>
      <vt:variant>
        <vt:i4>3276814</vt:i4>
      </vt:variant>
      <vt:variant>
        <vt:i4>699</vt:i4>
      </vt:variant>
      <vt:variant>
        <vt:i4>0</vt:i4>
      </vt:variant>
      <vt:variant>
        <vt:i4>5</vt:i4>
      </vt:variant>
      <vt:variant>
        <vt:lpwstr>mailto:foi@dffh.vic.gov.au</vt:lpwstr>
      </vt:variant>
      <vt:variant>
        <vt:lpwstr/>
      </vt:variant>
      <vt:variant>
        <vt:i4>6553694</vt:i4>
      </vt:variant>
      <vt:variant>
        <vt:i4>696</vt:i4>
      </vt:variant>
      <vt:variant>
        <vt:i4>0</vt:i4>
      </vt:variant>
      <vt:variant>
        <vt:i4>5</vt:i4>
      </vt:variant>
      <vt:variant>
        <vt:lpwstr>https://dhhsvicgovau.sharepoint.com/:w:/r/sites/dffh/_layouts/15/Doc.aspx?sourcedoc=%7B1F9F7D0A-0933-4062-AD7B-323CC847591F%7D&amp;file=Feedback-including-compliments-and-complaints-management-policy.docx&amp;action=default&amp;mobileredirect=true&amp;DefaultItemOpen=1</vt:lpwstr>
      </vt:variant>
      <vt:variant>
        <vt:lpwstr/>
      </vt:variant>
      <vt:variant>
        <vt:i4>1835082</vt:i4>
      </vt:variant>
      <vt:variant>
        <vt:i4>693</vt:i4>
      </vt:variant>
      <vt:variant>
        <vt:i4>0</vt:i4>
      </vt:variant>
      <vt:variant>
        <vt:i4>5</vt:i4>
      </vt:variant>
      <vt:variant>
        <vt:lpwstr>https://www.dffh.vic.gov.au/making-complaint</vt:lpwstr>
      </vt:variant>
      <vt:variant>
        <vt:lpwstr/>
      </vt:variant>
      <vt:variant>
        <vt:i4>2359339</vt:i4>
      </vt:variant>
      <vt:variant>
        <vt:i4>690</vt:i4>
      </vt:variant>
      <vt:variant>
        <vt:i4>0</vt:i4>
      </vt:variant>
      <vt:variant>
        <vt:i4>5</vt:i4>
      </vt:variant>
      <vt:variant>
        <vt:lpwstr>https://providers.dffh.vic.gov.au/human-services-standards</vt:lpwstr>
      </vt:variant>
      <vt:variant>
        <vt:lpwstr/>
      </vt:variant>
      <vt:variant>
        <vt:i4>1245268</vt:i4>
      </vt:variant>
      <vt:variant>
        <vt:i4>687</vt:i4>
      </vt:variant>
      <vt:variant>
        <vt:i4>0</vt:i4>
      </vt:variant>
      <vt:variant>
        <vt:i4>5</vt:i4>
      </vt:variant>
      <vt:variant>
        <vt:lpwstr>https://dhhsvicgovau.sharepoint.com/sites/dffh/SitePages/Funded-agencies.aspx</vt:lpwstr>
      </vt:variant>
      <vt:variant>
        <vt:lpwstr/>
      </vt:variant>
      <vt:variant>
        <vt:i4>6291553</vt:i4>
      </vt:variant>
      <vt:variant>
        <vt:i4>684</vt:i4>
      </vt:variant>
      <vt:variant>
        <vt:i4>0</vt:i4>
      </vt:variant>
      <vt:variant>
        <vt:i4>5</vt:i4>
      </vt:variant>
      <vt:variant>
        <vt:lpwstr>https://www.dffh.vic.gov.au/publications/privacy-policy</vt:lpwstr>
      </vt:variant>
      <vt:variant>
        <vt:lpwstr/>
      </vt:variant>
      <vt:variant>
        <vt:i4>1179726</vt:i4>
      </vt:variant>
      <vt:variant>
        <vt:i4>681</vt:i4>
      </vt:variant>
      <vt:variant>
        <vt:i4>0</vt:i4>
      </vt:variant>
      <vt:variant>
        <vt:i4>5</vt:i4>
      </vt:variant>
      <vt:variant>
        <vt:lpwstr>https://ccyp.vic.gov.au/child-safe-standards/</vt:lpwstr>
      </vt:variant>
      <vt:variant>
        <vt:lpwstr/>
      </vt:variant>
      <vt:variant>
        <vt:i4>3407924</vt:i4>
      </vt:variant>
      <vt:variant>
        <vt:i4>678</vt:i4>
      </vt:variant>
      <vt:variant>
        <vt:i4>0</vt:i4>
      </vt:variant>
      <vt:variant>
        <vt:i4>5</vt:i4>
      </vt:variant>
      <vt:variant>
        <vt:lpwstr>https://www.humanrights.vic.gov.au/legal-and-policy/victorias-human-rights-laws/the-charter</vt:lpwstr>
      </vt:variant>
      <vt:variant>
        <vt:lpwstr/>
      </vt:variant>
      <vt:variant>
        <vt:i4>6094912</vt:i4>
      </vt:variant>
      <vt:variant>
        <vt:i4>675</vt:i4>
      </vt:variant>
      <vt:variant>
        <vt:i4>0</vt:i4>
      </vt:variant>
      <vt:variant>
        <vt:i4>5</vt:i4>
      </vt:variant>
      <vt:variant>
        <vt:lpwstr>https://dhhsvicgovau.sharepoint.com/sites/dffh/SitePages/TRIM-EDRM-how-to-guides.aspx</vt:lpwstr>
      </vt:variant>
      <vt:variant>
        <vt:lpwstr/>
      </vt:variant>
      <vt:variant>
        <vt:i4>5242957</vt:i4>
      </vt:variant>
      <vt:variant>
        <vt:i4>672</vt:i4>
      </vt:variant>
      <vt:variant>
        <vt:i4>0</vt:i4>
      </vt:variant>
      <vt:variant>
        <vt:i4>5</vt:i4>
      </vt:variant>
      <vt:variant>
        <vt:lpwstr>https://dhhsvicgovau.sharepoint.com/sites/dffh/SitePages/Records.aspx</vt:lpwstr>
      </vt:variant>
      <vt:variant>
        <vt:lpwstr/>
      </vt:variant>
      <vt:variant>
        <vt:i4>6881315</vt:i4>
      </vt:variant>
      <vt:variant>
        <vt:i4>669</vt:i4>
      </vt:variant>
      <vt:variant>
        <vt:i4>0</vt:i4>
      </vt:variant>
      <vt:variant>
        <vt:i4>5</vt:i4>
      </vt:variant>
      <vt:variant>
        <vt:lpwstr>https://abr.gov.au/</vt:lpwstr>
      </vt:variant>
      <vt:variant>
        <vt:lpwstr/>
      </vt:variant>
      <vt:variant>
        <vt:i4>1638470</vt:i4>
      </vt:variant>
      <vt:variant>
        <vt:i4>666</vt:i4>
      </vt:variant>
      <vt:variant>
        <vt:i4>0</vt:i4>
      </vt:variant>
      <vt:variant>
        <vt:i4>5</vt:i4>
      </vt:variant>
      <vt:variant>
        <vt:lpwstr>https://dhhsvicgovau.sharepoint.com/sites/dffh/SitePages/Buying-goods-and-services.aspx?web=1</vt:lpwstr>
      </vt:variant>
      <vt:variant>
        <vt:lpwstr/>
      </vt:variant>
      <vt:variant>
        <vt:i4>720973</vt:i4>
      </vt:variant>
      <vt:variant>
        <vt:i4>663</vt:i4>
      </vt:variant>
      <vt:variant>
        <vt:i4>0</vt:i4>
      </vt:variant>
      <vt:variant>
        <vt:i4>5</vt:i4>
      </vt:variant>
      <vt:variant>
        <vt:lpwstr>https://dhhsvicgovau.sharepoint.com/sites/dffh/SitePages/Procurement-governance.aspx</vt:lpwstr>
      </vt:variant>
      <vt:variant>
        <vt:lpwstr/>
      </vt:variant>
      <vt:variant>
        <vt:i4>7077984</vt:i4>
      </vt:variant>
      <vt:variant>
        <vt:i4>660</vt:i4>
      </vt:variant>
      <vt:variant>
        <vt:i4>0</vt:i4>
      </vt:variant>
      <vt:variant>
        <vt:i4>5</vt:i4>
      </vt:variant>
      <vt:variant>
        <vt:lpwstr>https://fac.dhhs.vic.gov.au/service-agreement-requirements</vt:lpwstr>
      </vt:variant>
      <vt:variant>
        <vt:lpwstr/>
      </vt:variant>
      <vt:variant>
        <vt:i4>1245268</vt:i4>
      </vt:variant>
      <vt:variant>
        <vt:i4>657</vt:i4>
      </vt:variant>
      <vt:variant>
        <vt:i4>0</vt:i4>
      </vt:variant>
      <vt:variant>
        <vt:i4>5</vt:i4>
      </vt:variant>
      <vt:variant>
        <vt:lpwstr>https://dhhsvicgovau.sharepoint.com/sites/dffh/SitePages/Funded-agencies.aspx</vt:lpwstr>
      </vt:variant>
      <vt:variant>
        <vt:lpwstr/>
      </vt:variant>
      <vt:variant>
        <vt:i4>6422637</vt:i4>
      </vt:variant>
      <vt:variant>
        <vt:i4>654</vt:i4>
      </vt:variant>
      <vt:variant>
        <vt:i4>0</vt:i4>
      </vt:variant>
      <vt:variant>
        <vt:i4>5</vt:i4>
      </vt:variant>
      <vt:variant>
        <vt:lpwstr>https://www.ato.gov.au/Business/PAYG-withholding/Payments-you-need-to-withhold-from/Payments-to-employees/Allowances-and-reimbursements/Travel-allowances/</vt:lpwstr>
      </vt:variant>
      <vt:variant>
        <vt:lpwstr/>
      </vt:variant>
      <vt:variant>
        <vt:i4>2359339</vt:i4>
      </vt:variant>
      <vt:variant>
        <vt:i4>651</vt:i4>
      </vt:variant>
      <vt:variant>
        <vt:i4>0</vt:i4>
      </vt:variant>
      <vt:variant>
        <vt:i4>5</vt:i4>
      </vt:variant>
      <vt:variant>
        <vt:lpwstr>https://providers.dffh.vic.gov.au/human-services-standards</vt:lpwstr>
      </vt:variant>
      <vt:variant>
        <vt:lpwstr/>
      </vt:variant>
      <vt:variant>
        <vt:i4>2359339</vt:i4>
      </vt:variant>
      <vt:variant>
        <vt:i4>648</vt:i4>
      </vt:variant>
      <vt:variant>
        <vt:i4>0</vt:i4>
      </vt:variant>
      <vt:variant>
        <vt:i4>5</vt:i4>
      </vt:variant>
      <vt:variant>
        <vt:lpwstr>https://providers.dffh.vic.gov.au/human-services-standards</vt:lpwstr>
      </vt:variant>
      <vt:variant>
        <vt:lpwstr/>
      </vt:variant>
      <vt:variant>
        <vt:i4>8323190</vt:i4>
      </vt:variant>
      <vt:variant>
        <vt:i4>645</vt:i4>
      </vt:variant>
      <vt:variant>
        <vt:i4>0</vt:i4>
      </vt:variant>
      <vt:variant>
        <vt:i4>5</vt:i4>
      </vt:variant>
      <vt:variant>
        <vt:lpwstr>http://www.legislation.vic.gov.au/</vt:lpwstr>
      </vt:variant>
      <vt:variant>
        <vt:lpwstr/>
      </vt:variant>
      <vt:variant>
        <vt:i4>196627</vt:i4>
      </vt:variant>
      <vt:variant>
        <vt:i4>642</vt:i4>
      </vt:variant>
      <vt:variant>
        <vt:i4>0</vt:i4>
      </vt:variant>
      <vt:variant>
        <vt:i4>5</vt:i4>
      </vt:variant>
      <vt:variant>
        <vt:lpwstr>https://dhhsvicgovau.sharepoint.com/sites/dffh/SitePages/Delegations and Authorisations.aspx</vt:lpwstr>
      </vt:variant>
      <vt:variant>
        <vt:lpwstr/>
      </vt:variant>
      <vt:variant>
        <vt:i4>786457</vt:i4>
      </vt:variant>
      <vt:variant>
        <vt:i4>639</vt:i4>
      </vt:variant>
      <vt:variant>
        <vt:i4>0</vt:i4>
      </vt:variant>
      <vt:variant>
        <vt:i4>5</vt:i4>
      </vt:variant>
      <vt:variant>
        <vt:lpwstr>https://providers.dhhs.vic.gov.au/public-housing-and-national-disability-insurance-scheme-roles-and-responsibilities-operational</vt:lpwstr>
      </vt:variant>
      <vt:variant>
        <vt:lpwstr/>
      </vt:variant>
      <vt:variant>
        <vt:i4>4522056</vt:i4>
      </vt:variant>
      <vt:variant>
        <vt:i4>636</vt:i4>
      </vt:variant>
      <vt:variant>
        <vt:i4>0</vt:i4>
      </vt:variant>
      <vt:variant>
        <vt:i4>5</vt:i4>
      </vt:variant>
      <vt:variant>
        <vt:lpwstr>https://www.dhhs.vic.gov.au/sites/default/files/documents/201705/Homelessness-Services-Guidelines-and-Conditions-of-Funding-May-2014.pdf</vt:lpwstr>
      </vt:variant>
      <vt:variant>
        <vt:lpwstr/>
      </vt:variant>
      <vt:variant>
        <vt:i4>5963778</vt:i4>
      </vt:variant>
      <vt:variant>
        <vt:i4>633</vt:i4>
      </vt:variant>
      <vt:variant>
        <vt:i4>0</vt:i4>
      </vt:variant>
      <vt:variant>
        <vt:i4>5</vt:i4>
      </vt:variant>
      <vt:variant>
        <vt:lpwstr>https://providers.dhhs.vic.gov.au/tenancy-plus-tenancy-support-operational-guidelines</vt:lpwstr>
      </vt:variant>
      <vt:variant>
        <vt:lpwstr/>
      </vt:variant>
      <vt:variant>
        <vt:i4>131163</vt:i4>
      </vt:variant>
      <vt:variant>
        <vt:i4>630</vt:i4>
      </vt:variant>
      <vt:variant>
        <vt:i4>0</vt:i4>
      </vt:variant>
      <vt:variant>
        <vt:i4>5</vt:i4>
      </vt:variant>
      <vt:variant>
        <vt:lpwstr>https://dhhsvicgovau.sharepoint.com/sites/dffh/SitePages/Protective-markings.aspx</vt:lpwstr>
      </vt:variant>
      <vt:variant>
        <vt:lpwstr/>
      </vt:variant>
      <vt:variant>
        <vt:i4>2228266</vt:i4>
      </vt:variant>
      <vt:variant>
        <vt:i4>627</vt:i4>
      </vt:variant>
      <vt:variant>
        <vt:i4>0</vt:i4>
      </vt:variant>
      <vt:variant>
        <vt:i4>5</vt:i4>
      </vt:variant>
      <vt:variant>
        <vt:lpwstr>https://ovic.vic.gov.au/privacy/for-agencies/information-privacy-principles</vt:lpwstr>
      </vt:variant>
      <vt:variant>
        <vt:lpwstr/>
      </vt:variant>
      <vt:variant>
        <vt:i4>5636221</vt:i4>
      </vt:variant>
      <vt:variant>
        <vt:i4>624</vt:i4>
      </vt:variant>
      <vt:variant>
        <vt:i4>0</vt:i4>
      </vt:variant>
      <vt:variant>
        <vt:i4>5</vt:i4>
      </vt:variant>
      <vt:variant>
        <vt:lpwstr>https://dhhsvicgovau.sharepoint.com/:w:/r/sites/dffh/_layouts/15/Doc.aspx?sourcedoc=%7B2C14437E-01E0-4508-9E9E-7135C3E6F2A8%7D&amp;action=View</vt:lpwstr>
      </vt:variant>
      <vt:variant>
        <vt:lpwstr/>
      </vt:variant>
      <vt:variant>
        <vt:i4>3932162</vt:i4>
      </vt:variant>
      <vt:variant>
        <vt:i4>621</vt:i4>
      </vt:variant>
      <vt:variant>
        <vt:i4>0</vt:i4>
      </vt:variant>
      <vt:variant>
        <vt:i4>5</vt:i4>
      </vt:variant>
      <vt:variant>
        <vt:lpwstr>mailto:bcc@dffh.vic.gov.au</vt:lpwstr>
      </vt:variant>
      <vt:variant>
        <vt:lpwstr/>
      </vt:variant>
      <vt:variant>
        <vt:i4>3932162</vt:i4>
      </vt:variant>
      <vt:variant>
        <vt:i4>618</vt:i4>
      </vt:variant>
      <vt:variant>
        <vt:i4>0</vt:i4>
      </vt:variant>
      <vt:variant>
        <vt:i4>5</vt:i4>
      </vt:variant>
      <vt:variant>
        <vt:lpwstr>mailto:bcc@dffh.vic.gov.au</vt:lpwstr>
      </vt:variant>
      <vt:variant>
        <vt:lpwstr/>
      </vt:variant>
      <vt:variant>
        <vt:i4>131189</vt:i4>
      </vt:variant>
      <vt:variant>
        <vt:i4>615</vt:i4>
      </vt:variant>
      <vt:variant>
        <vt:i4>0</vt:i4>
      </vt:variant>
      <vt:variant>
        <vt:i4>5</vt:i4>
      </vt:variant>
      <vt:variant>
        <vt:lpwstr>https://dhhsvicgovau.sharepoint.com/:w:/r/sites/dffh/_layouts/15/Doc.aspx?sourcedoc=%7B97A8F70D-CF23-41B9-B543-8C01CC6E424F%7D&amp;file=Intensive%20Support%20Team%20-%20Factsheet%20outlining%20program%20offerings.docx&amp;action=default&amp;mobileredirect=true&amp;DefaultItemOpen=1</vt:lpwstr>
      </vt:variant>
      <vt:variant>
        <vt:lpwstr/>
      </vt:variant>
      <vt:variant>
        <vt:i4>983166</vt:i4>
      </vt:variant>
      <vt:variant>
        <vt:i4>612</vt:i4>
      </vt:variant>
      <vt:variant>
        <vt:i4>0</vt:i4>
      </vt:variant>
      <vt:variant>
        <vt:i4>5</vt:i4>
      </vt:variant>
      <vt:variant>
        <vt:lpwstr>mailto:east.disabilitypracticeadvice@dhhs.vic.gov.au</vt:lpwstr>
      </vt:variant>
      <vt:variant>
        <vt:lpwstr/>
      </vt:variant>
      <vt:variant>
        <vt:i4>2949215</vt:i4>
      </vt:variant>
      <vt:variant>
        <vt:i4>609</vt:i4>
      </vt:variant>
      <vt:variant>
        <vt:i4>0</vt:i4>
      </vt:variant>
      <vt:variant>
        <vt:i4>5</vt:i4>
      </vt:variant>
      <vt:variant>
        <vt:lpwstr>mailto:south.disabilitypracticeadvice@dhhs.vic.gov.au</vt:lpwstr>
      </vt:variant>
      <vt:variant>
        <vt:lpwstr/>
      </vt:variant>
      <vt:variant>
        <vt:i4>3473422</vt:i4>
      </vt:variant>
      <vt:variant>
        <vt:i4>606</vt:i4>
      </vt:variant>
      <vt:variant>
        <vt:i4>0</vt:i4>
      </vt:variant>
      <vt:variant>
        <vt:i4>5</vt:i4>
      </vt:variant>
      <vt:variant>
        <vt:lpwstr>mailto:westdisability@dhhs.vic.gov.au</vt:lpwstr>
      </vt:variant>
      <vt:variant>
        <vt:lpwstr/>
      </vt:variant>
      <vt:variant>
        <vt:i4>4391024</vt:i4>
      </vt:variant>
      <vt:variant>
        <vt:i4>603</vt:i4>
      </vt:variant>
      <vt:variant>
        <vt:i4>0</vt:i4>
      </vt:variant>
      <vt:variant>
        <vt:i4>5</vt:i4>
      </vt:variant>
      <vt:variant>
        <vt:lpwstr>mailto:northdisabilitypracticeadvice@dhhs.vic.gov.au</vt:lpwstr>
      </vt:variant>
      <vt:variant>
        <vt:lpwstr/>
      </vt:variant>
      <vt:variant>
        <vt:i4>5570653</vt:i4>
      </vt:variant>
      <vt:variant>
        <vt:i4>600</vt:i4>
      </vt:variant>
      <vt:variant>
        <vt:i4>0</vt:i4>
      </vt:variant>
      <vt:variant>
        <vt:i4>5</vt:i4>
      </vt:variant>
      <vt:variant>
        <vt:lpwstr>https://www.dffh.vic.gov.au/forensic-disability-services</vt:lpwstr>
      </vt:variant>
      <vt:variant>
        <vt:lpwstr/>
      </vt:variant>
      <vt:variant>
        <vt:i4>6881314</vt:i4>
      </vt:variant>
      <vt:variant>
        <vt:i4>597</vt:i4>
      </vt:variant>
      <vt:variant>
        <vt:i4>0</vt:i4>
      </vt:variant>
      <vt:variant>
        <vt:i4>5</vt:i4>
      </vt:variant>
      <vt:variant>
        <vt:lpwstr>https://www.myagedcare.gov.au/</vt:lpwstr>
      </vt:variant>
      <vt:variant>
        <vt:lpwstr/>
      </vt:variant>
      <vt:variant>
        <vt:i4>1572961</vt:i4>
      </vt:variant>
      <vt:variant>
        <vt:i4>594</vt:i4>
      </vt:variant>
      <vt:variant>
        <vt:i4>0</vt:i4>
      </vt:variant>
      <vt:variant>
        <vt:i4>5</vt:i4>
      </vt:variant>
      <vt:variant>
        <vt:lpwstr>mailto:enquiries@ndis.gov.au</vt:lpwstr>
      </vt:variant>
      <vt:variant>
        <vt:lpwstr/>
      </vt:variant>
      <vt:variant>
        <vt:i4>93</vt:i4>
      </vt:variant>
      <vt:variant>
        <vt:i4>591</vt:i4>
      </vt:variant>
      <vt:variant>
        <vt:i4>0</vt:i4>
      </vt:variant>
      <vt:variant>
        <vt:i4>5</vt:i4>
      </vt:variant>
      <vt:variant>
        <vt:lpwstr>https://www.ndis.gov.au/</vt:lpwstr>
      </vt:variant>
      <vt:variant>
        <vt:lpwstr/>
      </vt:variant>
      <vt:variant>
        <vt:i4>2031699</vt:i4>
      </vt:variant>
      <vt:variant>
        <vt:i4>588</vt:i4>
      </vt:variant>
      <vt:variant>
        <vt:i4>0</vt:i4>
      </vt:variant>
      <vt:variant>
        <vt:i4>5</vt:i4>
      </vt:variant>
      <vt:variant>
        <vt:lpwstr>https://www.homes.vic.gov.au/</vt:lpwstr>
      </vt:variant>
      <vt:variant>
        <vt:lpwstr/>
      </vt:variant>
      <vt:variant>
        <vt:i4>7798832</vt:i4>
      </vt:variant>
      <vt:variant>
        <vt:i4>585</vt:i4>
      </vt:variant>
      <vt:variant>
        <vt:i4>0</vt:i4>
      </vt:variant>
      <vt:variant>
        <vt:i4>5</vt:i4>
      </vt:variant>
      <vt:variant>
        <vt:lpwstr>https://www.justice.vic.gov.au/</vt:lpwstr>
      </vt:variant>
      <vt:variant>
        <vt:lpwstr/>
      </vt:variant>
      <vt:variant>
        <vt:i4>917575</vt:i4>
      </vt:variant>
      <vt:variant>
        <vt:i4>582</vt:i4>
      </vt:variant>
      <vt:variant>
        <vt:i4>0</vt:i4>
      </vt:variant>
      <vt:variant>
        <vt:i4>5</vt:i4>
      </vt:variant>
      <vt:variant>
        <vt:lpwstr>https://www.vic.gov.au/state-disability-plan</vt:lpwstr>
      </vt:variant>
      <vt:variant>
        <vt:lpwstr/>
      </vt:variant>
      <vt:variant>
        <vt:i4>524310</vt:i4>
      </vt:variant>
      <vt:variant>
        <vt:i4>579</vt:i4>
      </vt:variant>
      <vt:variant>
        <vt:i4>0</vt:i4>
      </vt:variant>
      <vt:variant>
        <vt:i4>5</vt:i4>
      </vt:variant>
      <vt:variant>
        <vt:lpwstr>https://www.dhhs.vic.gov.au/publications/aboriginal-and-torres-strait-islander-cultural-safety-framework</vt:lpwstr>
      </vt:variant>
      <vt:variant>
        <vt:lpwstr/>
      </vt:variant>
      <vt:variant>
        <vt:i4>2621556</vt:i4>
      </vt:variant>
      <vt:variant>
        <vt:i4>576</vt:i4>
      </vt:variant>
      <vt:variant>
        <vt:i4>0</vt:i4>
      </vt:variant>
      <vt:variant>
        <vt:i4>5</vt:i4>
      </vt:variant>
      <vt:variant>
        <vt:lpwstr>https://www2.health.vic.gov.au/about/health-strategies/aboriginal-health/korin-korin-balit-djak%3e</vt:lpwstr>
      </vt:variant>
      <vt:variant>
        <vt:lpwstr/>
      </vt:variant>
      <vt:variant>
        <vt:i4>2293809</vt:i4>
      </vt:variant>
      <vt:variant>
        <vt:i4>573</vt:i4>
      </vt:variant>
      <vt:variant>
        <vt:i4>0</vt:i4>
      </vt:variant>
      <vt:variant>
        <vt:i4>5</vt:i4>
      </vt:variant>
      <vt:variant>
        <vt:lpwstr>https://www.dffh.vic.gov.au/publications/framework-trauma-informed-practice</vt:lpwstr>
      </vt:variant>
      <vt:variant>
        <vt:lpwstr/>
      </vt:variant>
      <vt:variant>
        <vt:i4>5701661</vt:i4>
      </vt:variant>
      <vt:variant>
        <vt:i4>570</vt:i4>
      </vt:variant>
      <vt:variant>
        <vt:i4>0</vt:i4>
      </vt:variant>
      <vt:variant>
        <vt:i4>5</vt:i4>
      </vt:variant>
      <vt:variant>
        <vt:lpwstr>https://www.dffh.vic.gov.au/sites/default/files/documents/202110/DFFH 2021 strategic plan.pdf</vt:lpwstr>
      </vt:variant>
      <vt:variant>
        <vt:lpwstr/>
      </vt:variant>
      <vt:variant>
        <vt:i4>1310783</vt:i4>
      </vt:variant>
      <vt:variant>
        <vt:i4>563</vt:i4>
      </vt:variant>
      <vt:variant>
        <vt:i4>0</vt:i4>
      </vt:variant>
      <vt:variant>
        <vt:i4>5</vt:i4>
      </vt:variant>
      <vt:variant>
        <vt:lpwstr/>
      </vt:variant>
      <vt:variant>
        <vt:lpwstr>_Toc144284215</vt:lpwstr>
      </vt:variant>
      <vt:variant>
        <vt:i4>1310783</vt:i4>
      </vt:variant>
      <vt:variant>
        <vt:i4>557</vt:i4>
      </vt:variant>
      <vt:variant>
        <vt:i4>0</vt:i4>
      </vt:variant>
      <vt:variant>
        <vt:i4>5</vt:i4>
      </vt:variant>
      <vt:variant>
        <vt:lpwstr/>
      </vt:variant>
      <vt:variant>
        <vt:lpwstr>_Toc144284214</vt:lpwstr>
      </vt:variant>
      <vt:variant>
        <vt:i4>1310783</vt:i4>
      </vt:variant>
      <vt:variant>
        <vt:i4>551</vt:i4>
      </vt:variant>
      <vt:variant>
        <vt:i4>0</vt:i4>
      </vt:variant>
      <vt:variant>
        <vt:i4>5</vt:i4>
      </vt:variant>
      <vt:variant>
        <vt:lpwstr/>
      </vt:variant>
      <vt:variant>
        <vt:lpwstr>_Toc144284213</vt:lpwstr>
      </vt:variant>
      <vt:variant>
        <vt:i4>1310783</vt:i4>
      </vt:variant>
      <vt:variant>
        <vt:i4>545</vt:i4>
      </vt:variant>
      <vt:variant>
        <vt:i4>0</vt:i4>
      </vt:variant>
      <vt:variant>
        <vt:i4>5</vt:i4>
      </vt:variant>
      <vt:variant>
        <vt:lpwstr/>
      </vt:variant>
      <vt:variant>
        <vt:lpwstr>_Toc144284212</vt:lpwstr>
      </vt:variant>
      <vt:variant>
        <vt:i4>1310783</vt:i4>
      </vt:variant>
      <vt:variant>
        <vt:i4>539</vt:i4>
      </vt:variant>
      <vt:variant>
        <vt:i4>0</vt:i4>
      </vt:variant>
      <vt:variant>
        <vt:i4>5</vt:i4>
      </vt:variant>
      <vt:variant>
        <vt:lpwstr/>
      </vt:variant>
      <vt:variant>
        <vt:lpwstr>_Toc144284211</vt:lpwstr>
      </vt:variant>
      <vt:variant>
        <vt:i4>1310783</vt:i4>
      </vt:variant>
      <vt:variant>
        <vt:i4>533</vt:i4>
      </vt:variant>
      <vt:variant>
        <vt:i4>0</vt:i4>
      </vt:variant>
      <vt:variant>
        <vt:i4>5</vt:i4>
      </vt:variant>
      <vt:variant>
        <vt:lpwstr/>
      </vt:variant>
      <vt:variant>
        <vt:lpwstr>_Toc144284210</vt:lpwstr>
      </vt:variant>
      <vt:variant>
        <vt:i4>1376319</vt:i4>
      </vt:variant>
      <vt:variant>
        <vt:i4>527</vt:i4>
      </vt:variant>
      <vt:variant>
        <vt:i4>0</vt:i4>
      </vt:variant>
      <vt:variant>
        <vt:i4>5</vt:i4>
      </vt:variant>
      <vt:variant>
        <vt:lpwstr/>
      </vt:variant>
      <vt:variant>
        <vt:lpwstr>_Toc144284209</vt:lpwstr>
      </vt:variant>
      <vt:variant>
        <vt:i4>1376319</vt:i4>
      </vt:variant>
      <vt:variant>
        <vt:i4>521</vt:i4>
      </vt:variant>
      <vt:variant>
        <vt:i4>0</vt:i4>
      </vt:variant>
      <vt:variant>
        <vt:i4>5</vt:i4>
      </vt:variant>
      <vt:variant>
        <vt:lpwstr/>
      </vt:variant>
      <vt:variant>
        <vt:lpwstr>_Toc144284208</vt:lpwstr>
      </vt:variant>
      <vt:variant>
        <vt:i4>1376319</vt:i4>
      </vt:variant>
      <vt:variant>
        <vt:i4>515</vt:i4>
      </vt:variant>
      <vt:variant>
        <vt:i4>0</vt:i4>
      </vt:variant>
      <vt:variant>
        <vt:i4>5</vt:i4>
      </vt:variant>
      <vt:variant>
        <vt:lpwstr/>
      </vt:variant>
      <vt:variant>
        <vt:lpwstr>_Toc144284207</vt:lpwstr>
      </vt:variant>
      <vt:variant>
        <vt:i4>1376319</vt:i4>
      </vt:variant>
      <vt:variant>
        <vt:i4>509</vt:i4>
      </vt:variant>
      <vt:variant>
        <vt:i4>0</vt:i4>
      </vt:variant>
      <vt:variant>
        <vt:i4>5</vt:i4>
      </vt:variant>
      <vt:variant>
        <vt:lpwstr/>
      </vt:variant>
      <vt:variant>
        <vt:lpwstr>_Toc144284206</vt:lpwstr>
      </vt:variant>
      <vt:variant>
        <vt:i4>1376319</vt:i4>
      </vt:variant>
      <vt:variant>
        <vt:i4>503</vt:i4>
      </vt:variant>
      <vt:variant>
        <vt:i4>0</vt:i4>
      </vt:variant>
      <vt:variant>
        <vt:i4>5</vt:i4>
      </vt:variant>
      <vt:variant>
        <vt:lpwstr/>
      </vt:variant>
      <vt:variant>
        <vt:lpwstr>_Toc144284205</vt:lpwstr>
      </vt:variant>
      <vt:variant>
        <vt:i4>1376319</vt:i4>
      </vt:variant>
      <vt:variant>
        <vt:i4>497</vt:i4>
      </vt:variant>
      <vt:variant>
        <vt:i4>0</vt:i4>
      </vt:variant>
      <vt:variant>
        <vt:i4>5</vt:i4>
      </vt:variant>
      <vt:variant>
        <vt:lpwstr/>
      </vt:variant>
      <vt:variant>
        <vt:lpwstr>_Toc144284204</vt:lpwstr>
      </vt:variant>
      <vt:variant>
        <vt:i4>1376319</vt:i4>
      </vt:variant>
      <vt:variant>
        <vt:i4>491</vt:i4>
      </vt:variant>
      <vt:variant>
        <vt:i4>0</vt:i4>
      </vt:variant>
      <vt:variant>
        <vt:i4>5</vt:i4>
      </vt:variant>
      <vt:variant>
        <vt:lpwstr/>
      </vt:variant>
      <vt:variant>
        <vt:lpwstr>_Toc144284203</vt:lpwstr>
      </vt:variant>
      <vt:variant>
        <vt:i4>1376319</vt:i4>
      </vt:variant>
      <vt:variant>
        <vt:i4>485</vt:i4>
      </vt:variant>
      <vt:variant>
        <vt:i4>0</vt:i4>
      </vt:variant>
      <vt:variant>
        <vt:i4>5</vt:i4>
      </vt:variant>
      <vt:variant>
        <vt:lpwstr/>
      </vt:variant>
      <vt:variant>
        <vt:lpwstr>_Toc144284202</vt:lpwstr>
      </vt:variant>
      <vt:variant>
        <vt:i4>1376319</vt:i4>
      </vt:variant>
      <vt:variant>
        <vt:i4>479</vt:i4>
      </vt:variant>
      <vt:variant>
        <vt:i4>0</vt:i4>
      </vt:variant>
      <vt:variant>
        <vt:i4>5</vt:i4>
      </vt:variant>
      <vt:variant>
        <vt:lpwstr/>
      </vt:variant>
      <vt:variant>
        <vt:lpwstr>_Toc144284201</vt:lpwstr>
      </vt:variant>
      <vt:variant>
        <vt:i4>1376319</vt:i4>
      </vt:variant>
      <vt:variant>
        <vt:i4>473</vt:i4>
      </vt:variant>
      <vt:variant>
        <vt:i4>0</vt:i4>
      </vt:variant>
      <vt:variant>
        <vt:i4>5</vt:i4>
      </vt:variant>
      <vt:variant>
        <vt:lpwstr/>
      </vt:variant>
      <vt:variant>
        <vt:lpwstr>_Toc144284200</vt:lpwstr>
      </vt:variant>
      <vt:variant>
        <vt:i4>1835068</vt:i4>
      </vt:variant>
      <vt:variant>
        <vt:i4>467</vt:i4>
      </vt:variant>
      <vt:variant>
        <vt:i4>0</vt:i4>
      </vt:variant>
      <vt:variant>
        <vt:i4>5</vt:i4>
      </vt:variant>
      <vt:variant>
        <vt:lpwstr/>
      </vt:variant>
      <vt:variant>
        <vt:lpwstr>_Toc144284199</vt:lpwstr>
      </vt:variant>
      <vt:variant>
        <vt:i4>1835068</vt:i4>
      </vt:variant>
      <vt:variant>
        <vt:i4>461</vt:i4>
      </vt:variant>
      <vt:variant>
        <vt:i4>0</vt:i4>
      </vt:variant>
      <vt:variant>
        <vt:i4>5</vt:i4>
      </vt:variant>
      <vt:variant>
        <vt:lpwstr/>
      </vt:variant>
      <vt:variant>
        <vt:lpwstr>_Toc144284198</vt:lpwstr>
      </vt:variant>
      <vt:variant>
        <vt:i4>1835068</vt:i4>
      </vt:variant>
      <vt:variant>
        <vt:i4>455</vt:i4>
      </vt:variant>
      <vt:variant>
        <vt:i4>0</vt:i4>
      </vt:variant>
      <vt:variant>
        <vt:i4>5</vt:i4>
      </vt:variant>
      <vt:variant>
        <vt:lpwstr/>
      </vt:variant>
      <vt:variant>
        <vt:lpwstr>_Toc144284197</vt:lpwstr>
      </vt:variant>
      <vt:variant>
        <vt:i4>1835068</vt:i4>
      </vt:variant>
      <vt:variant>
        <vt:i4>449</vt:i4>
      </vt:variant>
      <vt:variant>
        <vt:i4>0</vt:i4>
      </vt:variant>
      <vt:variant>
        <vt:i4>5</vt:i4>
      </vt:variant>
      <vt:variant>
        <vt:lpwstr/>
      </vt:variant>
      <vt:variant>
        <vt:lpwstr>_Toc144284196</vt:lpwstr>
      </vt:variant>
      <vt:variant>
        <vt:i4>1835068</vt:i4>
      </vt:variant>
      <vt:variant>
        <vt:i4>443</vt:i4>
      </vt:variant>
      <vt:variant>
        <vt:i4>0</vt:i4>
      </vt:variant>
      <vt:variant>
        <vt:i4>5</vt:i4>
      </vt:variant>
      <vt:variant>
        <vt:lpwstr/>
      </vt:variant>
      <vt:variant>
        <vt:lpwstr>_Toc144284195</vt:lpwstr>
      </vt:variant>
      <vt:variant>
        <vt:i4>1835068</vt:i4>
      </vt:variant>
      <vt:variant>
        <vt:i4>437</vt:i4>
      </vt:variant>
      <vt:variant>
        <vt:i4>0</vt:i4>
      </vt:variant>
      <vt:variant>
        <vt:i4>5</vt:i4>
      </vt:variant>
      <vt:variant>
        <vt:lpwstr/>
      </vt:variant>
      <vt:variant>
        <vt:lpwstr>_Toc144284194</vt:lpwstr>
      </vt:variant>
      <vt:variant>
        <vt:i4>1835068</vt:i4>
      </vt:variant>
      <vt:variant>
        <vt:i4>431</vt:i4>
      </vt:variant>
      <vt:variant>
        <vt:i4>0</vt:i4>
      </vt:variant>
      <vt:variant>
        <vt:i4>5</vt:i4>
      </vt:variant>
      <vt:variant>
        <vt:lpwstr/>
      </vt:variant>
      <vt:variant>
        <vt:lpwstr>_Toc144284193</vt:lpwstr>
      </vt:variant>
      <vt:variant>
        <vt:i4>1835068</vt:i4>
      </vt:variant>
      <vt:variant>
        <vt:i4>425</vt:i4>
      </vt:variant>
      <vt:variant>
        <vt:i4>0</vt:i4>
      </vt:variant>
      <vt:variant>
        <vt:i4>5</vt:i4>
      </vt:variant>
      <vt:variant>
        <vt:lpwstr/>
      </vt:variant>
      <vt:variant>
        <vt:lpwstr>_Toc144284192</vt:lpwstr>
      </vt:variant>
      <vt:variant>
        <vt:i4>1835068</vt:i4>
      </vt:variant>
      <vt:variant>
        <vt:i4>419</vt:i4>
      </vt:variant>
      <vt:variant>
        <vt:i4>0</vt:i4>
      </vt:variant>
      <vt:variant>
        <vt:i4>5</vt:i4>
      </vt:variant>
      <vt:variant>
        <vt:lpwstr/>
      </vt:variant>
      <vt:variant>
        <vt:lpwstr>_Toc144284191</vt:lpwstr>
      </vt:variant>
      <vt:variant>
        <vt:i4>1835068</vt:i4>
      </vt:variant>
      <vt:variant>
        <vt:i4>413</vt:i4>
      </vt:variant>
      <vt:variant>
        <vt:i4>0</vt:i4>
      </vt:variant>
      <vt:variant>
        <vt:i4>5</vt:i4>
      </vt:variant>
      <vt:variant>
        <vt:lpwstr/>
      </vt:variant>
      <vt:variant>
        <vt:lpwstr>_Toc144284190</vt:lpwstr>
      </vt:variant>
      <vt:variant>
        <vt:i4>1900604</vt:i4>
      </vt:variant>
      <vt:variant>
        <vt:i4>407</vt:i4>
      </vt:variant>
      <vt:variant>
        <vt:i4>0</vt:i4>
      </vt:variant>
      <vt:variant>
        <vt:i4>5</vt:i4>
      </vt:variant>
      <vt:variant>
        <vt:lpwstr/>
      </vt:variant>
      <vt:variant>
        <vt:lpwstr>_Toc144284189</vt:lpwstr>
      </vt:variant>
      <vt:variant>
        <vt:i4>1900604</vt:i4>
      </vt:variant>
      <vt:variant>
        <vt:i4>401</vt:i4>
      </vt:variant>
      <vt:variant>
        <vt:i4>0</vt:i4>
      </vt:variant>
      <vt:variant>
        <vt:i4>5</vt:i4>
      </vt:variant>
      <vt:variant>
        <vt:lpwstr/>
      </vt:variant>
      <vt:variant>
        <vt:lpwstr>_Toc144284188</vt:lpwstr>
      </vt:variant>
      <vt:variant>
        <vt:i4>1900604</vt:i4>
      </vt:variant>
      <vt:variant>
        <vt:i4>395</vt:i4>
      </vt:variant>
      <vt:variant>
        <vt:i4>0</vt:i4>
      </vt:variant>
      <vt:variant>
        <vt:i4>5</vt:i4>
      </vt:variant>
      <vt:variant>
        <vt:lpwstr/>
      </vt:variant>
      <vt:variant>
        <vt:lpwstr>_Toc144284187</vt:lpwstr>
      </vt:variant>
      <vt:variant>
        <vt:i4>1900604</vt:i4>
      </vt:variant>
      <vt:variant>
        <vt:i4>389</vt:i4>
      </vt:variant>
      <vt:variant>
        <vt:i4>0</vt:i4>
      </vt:variant>
      <vt:variant>
        <vt:i4>5</vt:i4>
      </vt:variant>
      <vt:variant>
        <vt:lpwstr/>
      </vt:variant>
      <vt:variant>
        <vt:lpwstr>_Toc144284186</vt:lpwstr>
      </vt:variant>
      <vt:variant>
        <vt:i4>1900604</vt:i4>
      </vt:variant>
      <vt:variant>
        <vt:i4>383</vt:i4>
      </vt:variant>
      <vt:variant>
        <vt:i4>0</vt:i4>
      </vt:variant>
      <vt:variant>
        <vt:i4>5</vt:i4>
      </vt:variant>
      <vt:variant>
        <vt:lpwstr/>
      </vt:variant>
      <vt:variant>
        <vt:lpwstr>_Toc144284185</vt:lpwstr>
      </vt:variant>
      <vt:variant>
        <vt:i4>1900604</vt:i4>
      </vt:variant>
      <vt:variant>
        <vt:i4>377</vt:i4>
      </vt:variant>
      <vt:variant>
        <vt:i4>0</vt:i4>
      </vt:variant>
      <vt:variant>
        <vt:i4>5</vt:i4>
      </vt:variant>
      <vt:variant>
        <vt:lpwstr/>
      </vt:variant>
      <vt:variant>
        <vt:lpwstr>_Toc144284184</vt:lpwstr>
      </vt:variant>
      <vt:variant>
        <vt:i4>1900604</vt:i4>
      </vt:variant>
      <vt:variant>
        <vt:i4>371</vt:i4>
      </vt:variant>
      <vt:variant>
        <vt:i4>0</vt:i4>
      </vt:variant>
      <vt:variant>
        <vt:i4>5</vt:i4>
      </vt:variant>
      <vt:variant>
        <vt:lpwstr/>
      </vt:variant>
      <vt:variant>
        <vt:lpwstr>_Toc144284183</vt:lpwstr>
      </vt:variant>
      <vt:variant>
        <vt:i4>1900604</vt:i4>
      </vt:variant>
      <vt:variant>
        <vt:i4>365</vt:i4>
      </vt:variant>
      <vt:variant>
        <vt:i4>0</vt:i4>
      </vt:variant>
      <vt:variant>
        <vt:i4>5</vt:i4>
      </vt:variant>
      <vt:variant>
        <vt:lpwstr/>
      </vt:variant>
      <vt:variant>
        <vt:lpwstr>_Toc144284182</vt:lpwstr>
      </vt:variant>
      <vt:variant>
        <vt:i4>1900604</vt:i4>
      </vt:variant>
      <vt:variant>
        <vt:i4>359</vt:i4>
      </vt:variant>
      <vt:variant>
        <vt:i4>0</vt:i4>
      </vt:variant>
      <vt:variant>
        <vt:i4>5</vt:i4>
      </vt:variant>
      <vt:variant>
        <vt:lpwstr/>
      </vt:variant>
      <vt:variant>
        <vt:lpwstr>_Toc144284181</vt:lpwstr>
      </vt:variant>
      <vt:variant>
        <vt:i4>1900604</vt:i4>
      </vt:variant>
      <vt:variant>
        <vt:i4>353</vt:i4>
      </vt:variant>
      <vt:variant>
        <vt:i4>0</vt:i4>
      </vt:variant>
      <vt:variant>
        <vt:i4>5</vt:i4>
      </vt:variant>
      <vt:variant>
        <vt:lpwstr/>
      </vt:variant>
      <vt:variant>
        <vt:lpwstr>_Toc144284180</vt:lpwstr>
      </vt:variant>
      <vt:variant>
        <vt:i4>1179708</vt:i4>
      </vt:variant>
      <vt:variant>
        <vt:i4>347</vt:i4>
      </vt:variant>
      <vt:variant>
        <vt:i4>0</vt:i4>
      </vt:variant>
      <vt:variant>
        <vt:i4>5</vt:i4>
      </vt:variant>
      <vt:variant>
        <vt:lpwstr/>
      </vt:variant>
      <vt:variant>
        <vt:lpwstr>_Toc144284179</vt:lpwstr>
      </vt:variant>
      <vt:variant>
        <vt:i4>1179708</vt:i4>
      </vt:variant>
      <vt:variant>
        <vt:i4>341</vt:i4>
      </vt:variant>
      <vt:variant>
        <vt:i4>0</vt:i4>
      </vt:variant>
      <vt:variant>
        <vt:i4>5</vt:i4>
      </vt:variant>
      <vt:variant>
        <vt:lpwstr/>
      </vt:variant>
      <vt:variant>
        <vt:lpwstr>_Toc144284178</vt:lpwstr>
      </vt:variant>
      <vt:variant>
        <vt:i4>1179708</vt:i4>
      </vt:variant>
      <vt:variant>
        <vt:i4>335</vt:i4>
      </vt:variant>
      <vt:variant>
        <vt:i4>0</vt:i4>
      </vt:variant>
      <vt:variant>
        <vt:i4>5</vt:i4>
      </vt:variant>
      <vt:variant>
        <vt:lpwstr/>
      </vt:variant>
      <vt:variant>
        <vt:lpwstr>_Toc144284177</vt:lpwstr>
      </vt:variant>
      <vt:variant>
        <vt:i4>1179708</vt:i4>
      </vt:variant>
      <vt:variant>
        <vt:i4>329</vt:i4>
      </vt:variant>
      <vt:variant>
        <vt:i4>0</vt:i4>
      </vt:variant>
      <vt:variant>
        <vt:i4>5</vt:i4>
      </vt:variant>
      <vt:variant>
        <vt:lpwstr/>
      </vt:variant>
      <vt:variant>
        <vt:lpwstr>_Toc144284176</vt:lpwstr>
      </vt:variant>
      <vt:variant>
        <vt:i4>1179708</vt:i4>
      </vt:variant>
      <vt:variant>
        <vt:i4>323</vt:i4>
      </vt:variant>
      <vt:variant>
        <vt:i4>0</vt:i4>
      </vt:variant>
      <vt:variant>
        <vt:i4>5</vt:i4>
      </vt:variant>
      <vt:variant>
        <vt:lpwstr/>
      </vt:variant>
      <vt:variant>
        <vt:lpwstr>_Toc144284175</vt:lpwstr>
      </vt:variant>
      <vt:variant>
        <vt:i4>1179708</vt:i4>
      </vt:variant>
      <vt:variant>
        <vt:i4>317</vt:i4>
      </vt:variant>
      <vt:variant>
        <vt:i4>0</vt:i4>
      </vt:variant>
      <vt:variant>
        <vt:i4>5</vt:i4>
      </vt:variant>
      <vt:variant>
        <vt:lpwstr/>
      </vt:variant>
      <vt:variant>
        <vt:lpwstr>_Toc144284174</vt:lpwstr>
      </vt:variant>
      <vt:variant>
        <vt:i4>1179708</vt:i4>
      </vt:variant>
      <vt:variant>
        <vt:i4>311</vt:i4>
      </vt:variant>
      <vt:variant>
        <vt:i4>0</vt:i4>
      </vt:variant>
      <vt:variant>
        <vt:i4>5</vt:i4>
      </vt:variant>
      <vt:variant>
        <vt:lpwstr/>
      </vt:variant>
      <vt:variant>
        <vt:lpwstr>_Toc144284173</vt:lpwstr>
      </vt:variant>
      <vt:variant>
        <vt:i4>1179708</vt:i4>
      </vt:variant>
      <vt:variant>
        <vt:i4>305</vt:i4>
      </vt:variant>
      <vt:variant>
        <vt:i4>0</vt:i4>
      </vt:variant>
      <vt:variant>
        <vt:i4>5</vt:i4>
      </vt:variant>
      <vt:variant>
        <vt:lpwstr/>
      </vt:variant>
      <vt:variant>
        <vt:lpwstr>_Toc144284172</vt:lpwstr>
      </vt:variant>
      <vt:variant>
        <vt:i4>1179708</vt:i4>
      </vt:variant>
      <vt:variant>
        <vt:i4>299</vt:i4>
      </vt:variant>
      <vt:variant>
        <vt:i4>0</vt:i4>
      </vt:variant>
      <vt:variant>
        <vt:i4>5</vt:i4>
      </vt:variant>
      <vt:variant>
        <vt:lpwstr/>
      </vt:variant>
      <vt:variant>
        <vt:lpwstr>_Toc144284171</vt:lpwstr>
      </vt:variant>
      <vt:variant>
        <vt:i4>1179708</vt:i4>
      </vt:variant>
      <vt:variant>
        <vt:i4>293</vt:i4>
      </vt:variant>
      <vt:variant>
        <vt:i4>0</vt:i4>
      </vt:variant>
      <vt:variant>
        <vt:i4>5</vt:i4>
      </vt:variant>
      <vt:variant>
        <vt:lpwstr/>
      </vt:variant>
      <vt:variant>
        <vt:lpwstr>_Toc144284170</vt:lpwstr>
      </vt:variant>
      <vt:variant>
        <vt:i4>1245244</vt:i4>
      </vt:variant>
      <vt:variant>
        <vt:i4>287</vt:i4>
      </vt:variant>
      <vt:variant>
        <vt:i4>0</vt:i4>
      </vt:variant>
      <vt:variant>
        <vt:i4>5</vt:i4>
      </vt:variant>
      <vt:variant>
        <vt:lpwstr/>
      </vt:variant>
      <vt:variant>
        <vt:lpwstr>_Toc144284169</vt:lpwstr>
      </vt:variant>
      <vt:variant>
        <vt:i4>1245244</vt:i4>
      </vt:variant>
      <vt:variant>
        <vt:i4>281</vt:i4>
      </vt:variant>
      <vt:variant>
        <vt:i4>0</vt:i4>
      </vt:variant>
      <vt:variant>
        <vt:i4>5</vt:i4>
      </vt:variant>
      <vt:variant>
        <vt:lpwstr/>
      </vt:variant>
      <vt:variant>
        <vt:lpwstr>_Toc144284168</vt:lpwstr>
      </vt:variant>
      <vt:variant>
        <vt:i4>1245244</vt:i4>
      </vt:variant>
      <vt:variant>
        <vt:i4>275</vt:i4>
      </vt:variant>
      <vt:variant>
        <vt:i4>0</vt:i4>
      </vt:variant>
      <vt:variant>
        <vt:i4>5</vt:i4>
      </vt:variant>
      <vt:variant>
        <vt:lpwstr/>
      </vt:variant>
      <vt:variant>
        <vt:lpwstr>_Toc144284167</vt:lpwstr>
      </vt:variant>
      <vt:variant>
        <vt:i4>1245244</vt:i4>
      </vt:variant>
      <vt:variant>
        <vt:i4>269</vt:i4>
      </vt:variant>
      <vt:variant>
        <vt:i4>0</vt:i4>
      </vt:variant>
      <vt:variant>
        <vt:i4>5</vt:i4>
      </vt:variant>
      <vt:variant>
        <vt:lpwstr/>
      </vt:variant>
      <vt:variant>
        <vt:lpwstr>_Toc144284166</vt:lpwstr>
      </vt:variant>
      <vt:variant>
        <vt:i4>1245244</vt:i4>
      </vt:variant>
      <vt:variant>
        <vt:i4>263</vt:i4>
      </vt:variant>
      <vt:variant>
        <vt:i4>0</vt:i4>
      </vt:variant>
      <vt:variant>
        <vt:i4>5</vt:i4>
      </vt:variant>
      <vt:variant>
        <vt:lpwstr/>
      </vt:variant>
      <vt:variant>
        <vt:lpwstr>_Toc144284165</vt:lpwstr>
      </vt:variant>
      <vt:variant>
        <vt:i4>1245244</vt:i4>
      </vt:variant>
      <vt:variant>
        <vt:i4>257</vt:i4>
      </vt:variant>
      <vt:variant>
        <vt:i4>0</vt:i4>
      </vt:variant>
      <vt:variant>
        <vt:i4>5</vt:i4>
      </vt:variant>
      <vt:variant>
        <vt:lpwstr/>
      </vt:variant>
      <vt:variant>
        <vt:lpwstr>_Toc144284164</vt:lpwstr>
      </vt:variant>
      <vt:variant>
        <vt:i4>1245244</vt:i4>
      </vt:variant>
      <vt:variant>
        <vt:i4>251</vt:i4>
      </vt:variant>
      <vt:variant>
        <vt:i4>0</vt:i4>
      </vt:variant>
      <vt:variant>
        <vt:i4>5</vt:i4>
      </vt:variant>
      <vt:variant>
        <vt:lpwstr/>
      </vt:variant>
      <vt:variant>
        <vt:lpwstr>_Toc144284163</vt:lpwstr>
      </vt:variant>
      <vt:variant>
        <vt:i4>1245244</vt:i4>
      </vt:variant>
      <vt:variant>
        <vt:i4>245</vt:i4>
      </vt:variant>
      <vt:variant>
        <vt:i4>0</vt:i4>
      </vt:variant>
      <vt:variant>
        <vt:i4>5</vt:i4>
      </vt:variant>
      <vt:variant>
        <vt:lpwstr/>
      </vt:variant>
      <vt:variant>
        <vt:lpwstr>_Toc144284162</vt:lpwstr>
      </vt:variant>
      <vt:variant>
        <vt:i4>1245244</vt:i4>
      </vt:variant>
      <vt:variant>
        <vt:i4>239</vt:i4>
      </vt:variant>
      <vt:variant>
        <vt:i4>0</vt:i4>
      </vt:variant>
      <vt:variant>
        <vt:i4>5</vt:i4>
      </vt:variant>
      <vt:variant>
        <vt:lpwstr/>
      </vt:variant>
      <vt:variant>
        <vt:lpwstr>_Toc144284161</vt:lpwstr>
      </vt:variant>
      <vt:variant>
        <vt:i4>1245244</vt:i4>
      </vt:variant>
      <vt:variant>
        <vt:i4>233</vt:i4>
      </vt:variant>
      <vt:variant>
        <vt:i4>0</vt:i4>
      </vt:variant>
      <vt:variant>
        <vt:i4>5</vt:i4>
      </vt:variant>
      <vt:variant>
        <vt:lpwstr/>
      </vt:variant>
      <vt:variant>
        <vt:lpwstr>_Toc144284160</vt:lpwstr>
      </vt:variant>
      <vt:variant>
        <vt:i4>1048636</vt:i4>
      </vt:variant>
      <vt:variant>
        <vt:i4>227</vt:i4>
      </vt:variant>
      <vt:variant>
        <vt:i4>0</vt:i4>
      </vt:variant>
      <vt:variant>
        <vt:i4>5</vt:i4>
      </vt:variant>
      <vt:variant>
        <vt:lpwstr/>
      </vt:variant>
      <vt:variant>
        <vt:lpwstr>_Toc144284159</vt:lpwstr>
      </vt:variant>
      <vt:variant>
        <vt:i4>1048636</vt:i4>
      </vt:variant>
      <vt:variant>
        <vt:i4>221</vt:i4>
      </vt:variant>
      <vt:variant>
        <vt:i4>0</vt:i4>
      </vt:variant>
      <vt:variant>
        <vt:i4>5</vt:i4>
      </vt:variant>
      <vt:variant>
        <vt:lpwstr/>
      </vt:variant>
      <vt:variant>
        <vt:lpwstr>_Toc144284158</vt:lpwstr>
      </vt:variant>
      <vt:variant>
        <vt:i4>1048636</vt:i4>
      </vt:variant>
      <vt:variant>
        <vt:i4>215</vt:i4>
      </vt:variant>
      <vt:variant>
        <vt:i4>0</vt:i4>
      </vt:variant>
      <vt:variant>
        <vt:i4>5</vt:i4>
      </vt:variant>
      <vt:variant>
        <vt:lpwstr/>
      </vt:variant>
      <vt:variant>
        <vt:lpwstr>_Toc144284157</vt:lpwstr>
      </vt:variant>
      <vt:variant>
        <vt:i4>1048636</vt:i4>
      </vt:variant>
      <vt:variant>
        <vt:i4>209</vt:i4>
      </vt:variant>
      <vt:variant>
        <vt:i4>0</vt:i4>
      </vt:variant>
      <vt:variant>
        <vt:i4>5</vt:i4>
      </vt:variant>
      <vt:variant>
        <vt:lpwstr/>
      </vt:variant>
      <vt:variant>
        <vt:lpwstr>_Toc144284156</vt:lpwstr>
      </vt:variant>
      <vt:variant>
        <vt:i4>1048636</vt:i4>
      </vt:variant>
      <vt:variant>
        <vt:i4>203</vt:i4>
      </vt:variant>
      <vt:variant>
        <vt:i4>0</vt:i4>
      </vt:variant>
      <vt:variant>
        <vt:i4>5</vt:i4>
      </vt:variant>
      <vt:variant>
        <vt:lpwstr/>
      </vt:variant>
      <vt:variant>
        <vt:lpwstr>_Toc144284155</vt:lpwstr>
      </vt:variant>
      <vt:variant>
        <vt:i4>1048636</vt:i4>
      </vt:variant>
      <vt:variant>
        <vt:i4>197</vt:i4>
      </vt:variant>
      <vt:variant>
        <vt:i4>0</vt:i4>
      </vt:variant>
      <vt:variant>
        <vt:i4>5</vt:i4>
      </vt:variant>
      <vt:variant>
        <vt:lpwstr/>
      </vt:variant>
      <vt:variant>
        <vt:lpwstr>_Toc144284154</vt:lpwstr>
      </vt:variant>
      <vt:variant>
        <vt:i4>1048636</vt:i4>
      </vt:variant>
      <vt:variant>
        <vt:i4>191</vt:i4>
      </vt:variant>
      <vt:variant>
        <vt:i4>0</vt:i4>
      </vt:variant>
      <vt:variant>
        <vt:i4>5</vt:i4>
      </vt:variant>
      <vt:variant>
        <vt:lpwstr/>
      </vt:variant>
      <vt:variant>
        <vt:lpwstr>_Toc144284153</vt:lpwstr>
      </vt:variant>
      <vt:variant>
        <vt:i4>1048636</vt:i4>
      </vt:variant>
      <vt:variant>
        <vt:i4>185</vt:i4>
      </vt:variant>
      <vt:variant>
        <vt:i4>0</vt:i4>
      </vt:variant>
      <vt:variant>
        <vt:i4>5</vt:i4>
      </vt:variant>
      <vt:variant>
        <vt:lpwstr/>
      </vt:variant>
      <vt:variant>
        <vt:lpwstr>_Toc144284152</vt:lpwstr>
      </vt:variant>
      <vt:variant>
        <vt:i4>1048636</vt:i4>
      </vt:variant>
      <vt:variant>
        <vt:i4>179</vt:i4>
      </vt:variant>
      <vt:variant>
        <vt:i4>0</vt:i4>
      </vt:variant>
      <vt:variant>
        <vt:i4>5</vt:i4>
      </vt:variant>
      <vt:variant>
        <vt:lpwstr/>
      </vt:variant>
      <vt:variant>
        <vt:lpwstr>_Toc144284151</vt:lpwstr>
      </vt:variant>
      <vt:variant>
        <vt:i4>1048636</vt:i4>
      </vt:variant>
      <vt:variant>
        <vt:i4>173</vt:i4>
      </vt:variant>
      <vt:variant>
        <vt:i4>0</vt:i4>
      </vt:variant>
      <vt:variant>
        <vt:i4>5</vt:i4>
      </vt:variant>
      <vt:variant>
        <vt:lpwstr/>
      </vt:variant>
      <vt:variant>
        <vt:lpwstr>_Toc144284150</vt:lpwstr>
      </vt:variant>
      <vt:variant>
        <vt:i4>1114172</vt:i4>
      </vt:variant>
      <vt:variant>
        <vt:i4>167</vt:i4>
      </vt:variant>
      <vt:variant>
        <vt:i4>0</vt:i4>
      </vt:variant>
      <vt:variant>
        <vt:i4>5</vt:i4>
      </vt:variant>
      <vt:variant>
        <vt:lpwstr/>
      </vt:variant>
      <vt:variant>
        <vt:lpwstr>_Toc144284149</vt:lpwstr>
      </vt:variant>
      <vt:variant>
        <vt:i4>1114172</vt:i4>
      </vt:variant>
      <vt:variant>
        <vt:i4>161</vt:i4>
      </vt:variant>
      <vt:variant>
        <vt:i4>0</vt:i4>
      </vt:variant>
      <vt:variant>
        <vt:i4>5</vt:i4>
      </vt:variant>
      <vt:variant>
        <vt:lpwstr/>
      </vt:variant>
      <vt:variant>
        <vt:lpwstr>_Toc144284148</vt:lpwstr>
      </vt:variant>
      <vt:variant>
        <vt:i4>1114172</vt:i4>
      </vt:variant>
      <vt:variant>
        <vt:i4>155</vt:i4>
      </vt:variant>
      <vt:variant>
        <vt:i4>0</vt:i4>
      </vt:variant>
      <vt:variant>
        <vt:i4>5</vt:i4>
      </vt:variant>
      <vt:variant>
        <vt:lpwstr/>
      </vt:variant>
      <vt:variant>
        <vt:lpwstr>_Toc144284147</vt:lpwstr>
      </vt:variant>
      <vt:variant>
        <vt:i4>1114172</vt:i4>
      </vt:variant>
      <vt:variant>
        <vt:i4>149</vt:i4>
      </vt:variant>
      <vt:variant>
        <vt:i4>0</vt:i4>
      </vt:variant>
      <vt:variant>
        <vt:i4>5</vt:i4>
      </vt:variant>
      <vt:variant>
        <vt:lpwstr/>
      </vt:variant>
      <vt:variant>
        <vt:lpwstr>_Toc144284146</vt:lpwstr>
      </vt:variant>
      <vt:variant>
        <vt:i4>1114172</vt:i4>
      </vt:variant>
      <vt:variant>
        <vt:i4>143</vt:i4>
      </vt:variant>
      <vt:variant>
        <vt:i4>0</vt:i4>
      </vt:variant>
      <vt:variant>
        <vt:i4>5</vt:i4>
      </vt:variant>
      <vt:variant>
        <vt:lpwstr/>
      </vt:variant>
      <vt:variant>
        <vt:lpwstr>_Toc144284145</vt:lpwstr>
      </vt:variant>
      <vt:variant>
        <vt:i4>1114172</vt:i4>
      </vt:variant>
      <vt:variant>
        <vt:i4>137</vt:i4>
      </vt:variant>
      <vt:variant>
        <vt:i4>0</vt:i4>
      </vt:variant>
      <vt:variant>
        <vt:i4>5</vt:i4>
      </vt:variant>
      <vt:variant>
        <vt:lpwstr/>
      </vt:variant>
      <vt:variant>
        <vt:lpwstr>_Toc144284144</vt:lpwstr>
      </vt:variant>
      <vt:variant>
        <vt:i4>1114172</vt:i4>
      </vt:variant>
      <vt:variant>
        <vt:i4>131</vt:i4>
      </vt:variant>
      <vt:variant>
        <vt:i4>0</vt:i4>
      </vt:variant>
      <vt:variant>
        <vt:i4>5</vt:i4>
      </vt:variant>
      <vt:variant>
        <vt:lpwstr/>
      </vt:variant>
      <vt:variant>
        <vt:lpwstr>_Toc144284143</vt:lpwstr>
      </vt:variant>
      <vt:variant>
        <vt:i4>1114172</vt:i4>
      </vt:variant>
      <vt:variant>
        <vt:i4>125</vt:i4>
      </vt:variant>
      <vt:variant>
        <vt:i4>0</vt:i4>
      </vt:variant>
      <vt:variant>
        <vt:i4>5</vt:i4>
      </vt:variant>
      <vt:variant>
        <vt:lpwstr/>
      </vt:variant>
      <vt:variant>
        <vt:lpwstr>_Toc144284142</vt:lpwstr>
      </vt:variant>
      <vt:variant>
        <vt:i4>1114172</vt:i4>
      </vt:variant>
      <vt:variant>
        <vt:i4>119</vt:i4>
      </vt:variant>
      <vt:variant>
        <vt:i4>0</vt:i4>
      </vt:variant>
      <vt:variant>
        <vt:i4>5</vt:i4>
      </vt:variant>
      <vt:variant>
        <vt:lpwstr/>
      </vt:variant>
      <vt:variant>
        <vt:lpwstr>_Toc144284141</vt:lpwstr>
      </vt:variant>
      <vt:variant>
        <vt:i4>1114172</vt:i4>
      </vt:variant>
      <vt:variant>
        <vt:i4>113</vt:i4>
      </vt:variant>
      <vt:variant>
        <vt:i4>0</vt:i4>
      </vt:variant>
      <vt:variant>
        <vt:i4>5</vt:i4>
      </vt:variant>
      <vt:variant>
        <vt:lpwstr/>
      </vt:variant>
      <vt:variant>
        <vt:lpwstr>_Toc144284140</vt:lpwstr>
      </vt:variant>
      <vt:variant>
        <vt:i4>1441852</vt:i4>
      </vt:variant>
      <vt:variant>
        <vt:i4>107</vt:i4>
      </vt:variant>
      <vt:variant>
        <vt:i4>0</vt:i4>
      </vt:variant>
      <vt:variant>
        <vt:i4>5</vt:i4>
      </vt:variant>
      <vt:variant>
        <vt:lpwstr/>
      </vt:variant>
      <vt:variant>
        <vt:lpwstr>_Toc144284139</vt:lpwstr>
      </vt:variant>
      <vt:variant>
        <vt:i4>1441852</vt:i4>
      </vt:variant>
      <vt:variant>
        <vt:i4>101</vt:i4>
      </vt:variant>
      <vt:variant>
        <vt:i4>0</vt:i4>
      </vt:variant>
      <vt:variant>
        <vt:i4>5</vt:i4>
      </vt:variant>
      <vt:variant>
        <vt:lpwstr/>
      </vt:variant>
      <vt:variant>
        <vt:lpwstr>_Toc144284138</vt:lpwstr>
      </vt:variant>
      <vt:variant>
        <vt:i4>1441852</vt:i4>
      </vt:variant>
      <vt:variant>
        <vt:i4>95</vt:i4>
      </vt:variant>
      <vt:variant>
        <vt:i4>0</vt:i4>
      </vt:variant>
      <vt:variant>
        <vt:i4>5</vt:i4>
      </vt:variant>
      <vt:variant>
        <vt:lpwstr/>
      </vt:variant>
      <vt:variant>
        <vt:lpwstr>_Toc144284137</vt:lpwstr>
      </vt:variant>
      <vt:variant>
        <vt:i4>1441852</vt:i4>
      </vt:variant>
      <vt:variant>
        <vt:i4>89</vt:i4>
      </vt:variant>
      <vt:variant>
        <vt:i4>0</vt:i4>
      </vt:variant>
      <vt:variant>
        <vt:i4>5</vt:i4>
      </vt:variant>
      <vt:variant>
        <vt:lpwstr/>
      </vt:variant>
      <vt:variant>
        <vt:lpwstr>_Toc144284136</vt:lpwstr>
      </vt:variant>
      <vt:variant>
        <vt:i4>1441852</vt:i4>
      </vt:variant>
      <vt:variant>
        <vt:i4>83</vt:i4>
      </vt:variant>
      <vt:variant>
        <vt:i4>0</vt:i4>
      </vt:variant>
      <vt:variant>
        <vt:i4>5</vt:i4>
      </vt:variant>
      <vt:variant>
        <vt:lpwstr/>
      </vt:variant>
      <vt:variant>
        <vt:lpwstr>_Toc144284135</vt:lpwstr>
      </vt:variant>
      <vt:variant>
        <vt:i4>1441852</vt:i4>
      </vt:variant>
      <vt:variant>
        <vt:i4>77</vt:i4>
      </vt:variant>
      <vt:variant>
        <vt:i4>0</vt:i4>
      </vt:variant>
      <vt:variant>
        <vt:i4>5</vt:i4>
      </vt:variant>
      <vt:variant>
        <vt:lpwstr/>
      </vt:variant>
      <vt:variant>
        <vt:lpwstr>_Toc144284134</vt:lpwstr>
      </vt:variant>
      <vt:variant>
        <vt:i4>1441852</vt:i4>
      </vt:variant>
      <vt:variant>
        <vt:i4>71</vt:i4>
      </vt:variant>
      <vt:variant>
        <vt:i4>0</vt:i4>
      </vt:variant>
      <vt:variant>
        <vt:i4>5</vt:i4>
      </vt:variant>
      <vt:variant>
        <vt:lpwstr/>
      </vt:variant>
      <vt:variant>
        <vt:lpwstr>_Toc144284133</vt:lpwstr>
      </vt:variant>
      <vt:variant>
        <vt:i4>1441852</vt:i4>
      </vt:variant>
      <vt:variant>
        <vt:i4>65</vt:i4>
      </vt:variant>
      <vt:variant>
        <vt:i4>0</vt:i4>
      </vt:variant>
      <vt:variant>
        <vt:i4>5</vt:i4>
      </vt:variant>
      <vt:variant>
        <vt:lpwstr/>
      </vt:variant>
      <vt:variant>
        <vt:lpwstr>_Toc144284132</vt:lpwstr>
      </vt:variant>
      <vt:variant>
        <vt:i4>1441852</vt:i4>
      </vt:variant>
      <vt:variant>
        <vt:i4>59</vt:i4>
      </vt:variant>
      <vt:variant>
        <vt:i4>0</vt:i4>
      </vt:variant>
      <vt:variant>
        <vt:i4>5</vt:i4>
      </vt:variant>
      <vt:variant>
        <vt:lpwstr/>
      </vt:variant>
      <vt:variant>
        <vt:lpwstr>_Toc144284131</vt:lpwstr>
      </vt:variant>
      <vt:variant>
        <vt:i4>1441852</vt:i4>
      </vt:variant>
      <vt:variant>
        <vt:i4>53</vt:i4>
      </vt:variant>
      <vt:variant>
        <vt:i4>0</vt:i4>
      </vt:variant>
      <vt:variant>
        <vt:i4>5</vt:i4>
      </vt:variant>
      <vt:variant>
        <vt:lpwstr/>
      </vt:variant>
      <vt:variant>
        <vt:lpwstr>_Toc144284130</vt:lpwstr>
      </vt:variant>
      <vt:variant>
        <vt:i4>1507388</vt:i4>
      </vt:variant>
      <vt:variant>
        <vt:i4>47</vt:i4>
      </vt:variant>
      <vt:variant>
        <vt:i4>0</vt:i4>
      </vt:variant>
      <vt:variant>
        <vt:i4>5</vt:i4>
      </vt:variant>
      <vt:variant>
        <vt:lpwstr/>
      </vt:variant>
      <vt:variant>
        <vt:lpwstr>_Toc144284129</vt:lpwstr>
      </vt:variant>
      <vt:variant>
        <vt:i4>1507388</vt:i4>
      </vt:variant>
      <vt:variant>
        <vt:i4>41</vt:i4>
      </vt:variant>
      <vt:variant>
        <vt:i4>0</vt:i4>
      </vt:variant>
      <vt:variant>
        <vt:i4>5</vt:i4>
      </vt:variant>
      <vt:variant>
        <vt:lpwstr/>
      </vt:variant>
      <vt:variant>
        <vt:lpwstr>_Toc144284128</vt:lpwstr>
      </vt:variant>
      <vt:variant>
        <vt:i4>1507388</vt:i4>
      </vt:variant>
      <vt:variant>
        <vt:i4>35</vt:i4>
      </vt:variant>
      <vt:variant>
        <vt:i4>0</vt:i4>
      </vt:variant>
      <vt:variant>
        <vt:i4>5</vt:i4>
      </vt:variant>
      <vt:variant>
        <vt:lpwstr/>
      </vt:variant>
      <vt:variant>
        <vt:lpwstr>_Toc144284127</vt:lpwstr>
      </vt:variant>
      <vt:variant>
        <vt:i4>1507388</vt:i4>
      </vt:variant>
      <vt:variant>
        <vt:i4>29</vt:i4>
      </vt:variant>
      <vt:variant>
        <vt:i4>0</vt:i4>
      </vt:variant>
      <vt:variant>
        <vt:i4>5</vt:i4>
      </vt:variant>
      <vt:variant>
        <vt:lpwstr/>
      </vt:variant>
      <vt:variant>
        <vt:lpwstr>_Toc144284126</vt:lpwstr>
      </vt:variant>
      <vt:variant>
        <vt:i4>1507388</vt:i4>
      </vt:variant>
      <vt:variant>
        <vt:i4>23</vt:i4>
      </vt:variant>
      <vt:variant>
        <vt:i4>0</vt:i4>
      </vt:variant>
      <vt:variant>
        <vt:i4>5</vt:i4>
      </vt:variant>
      <vt:variant>
        <vt:lpwstr/>
      </vt:variant>
      <vt:variant>
        <vt:lpwstr>_Toc144284125</vt:lpwstr>
      </vt:variant>
      <vt:variant>
        <vt:i4>1507388</vt:i4>
      </vt:variant>
      <vt:variant>
        <vt:i4>17</vt:i4>
      </vt:variant>
      <vt:variant>
        <vt:i4>0</vt:i4>
      </vt:variant>
      <vt:variant>
        <vt:i4>5</vt:i4>
      </vt:variant>
      <vt:variant>
        <vt:lpwstr/>
      </vt:variant>
      <vt:variant>
        <vt:lpwstr>_Toc144284124</vt:lpwstr>
      </vt:variant>
      <vt:variant>
        <vt:i4>1507388</vt:i4>
      </vt:variant>
      <vt:variant>
        <vt:i4>11</vt:i4>
      </vt:variant>
      <vt:variant>
        <vt:i4>0</vt:i4>
      </vt:variant>
      <vt:variant>
        <vt:i4>5</vt:i4>
      </vt:variant>
      <vt:variant>
        <vt:lpwstr/>
      </vt:variant>
      <vt:variant>
        <vt:lpwstr>_Toc144284123</vt:lpwstr>
      </vt:variant>
      <vt:variant>
        <vt:i4>327700</vt:i4>
      </vt:variant>
      <vt:variant>
        <vt:i4>6</vt:i4>
      </vt:variant>
      <vt:variant>
        <vt:i4>0</vt:i4>
      </vt:variant>
      <vt:variant>
        <vt:i4>5</vt:i4>
      </vt:variant>
      <vt:variant>
        <vt:lpwstr>https://www.dffh.vic.gov.au/service-provision-framework-complex-needs</vt:lpwstr>
      </vt:variant>
      <vt:variant>
        <vt:lpwstr/>
      </vt:variant>
      <vt:variant>
        <vt:i4>4259900</vt:i4>
      </vt:variant>
      <vt:variant>
        <vt:i4>3</vt:i4>
      </vt:variant>
      <vt:variant>
        <vt:i4>0</vt:i4>
      </vt:variant>
      <vt:variant>
        <vt:i4>5</vt:i4>
      </vt:variant>
      <vt:variant>
        <vt:lpwstr>mailto:Central.ComplexNeeds@dffh.vic.gov.au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Provision Framework: Complex Needs (August 2023)</dc:title>
  <dc:subject>Service Provision Framework: Complex Needs (August 2023)</dc:subject>
  <dc:creator>Complex Needs Team, DCEM</dc:creator>
  <cp:keywords>Service Provision Framework: Complex Needs (August 2023)</cp:keywords>
  <cp:lastModifiedBy>Katherine Hlasko (DFFH)</cp:lastModifiedBy>
  <cp:revision>3</cp:revision>
  <cp:lastPrinted>2023-09-10T23:57:00Z</cp:lastPrinted>
  <dcterms:created xsi:type="dcterms:W3CDTF">2023-09-10T23:57:00Z</dcterms:created>
  <dcterms:modified xsi:type="dcterms:W3CDTF">2023-09-10T23:58:00Z</dcterms:modified>
  <cp:category>Service Provision Framework: Complex Needs (August 2023)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2023-09-10T23:58:08Z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de13f005-752e-40ef-b418-cb76d1781933</vt:lpwstr>
  </property>
  <property fmtid="{D5CDD505-2E9C-101B-9397-08002B2CF9AE}" pid="23" name="MSIP_Label_43e64453-338c-4f93-8a4d-0039a0a41f2a_ContentBits">
    <vt:lpwstr>2</vt:lpwstr>
  </property>
</Properties>
</file>