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DD44BA">
      <w:pPr>
        <w:pStyle w:val="DHHSreportsubtitlewhite"/>
        <w:rPr>
          <w:sz w:val="50"/>
          <w:szCs w:val="50"/>
        </w:rPr>
      </w:pPr>
      <w:bookmarkStart w:id="0" w:name="_Toc153530421"/>
      <w:bookmarkStart w:id="1" w:name="_GoBack"/>
      <w:bookmarkEnd w:id="1"/>
    </w:p>
    <w:p w:rsidR="00DD44BA" w:rsidRDefault="00DD44BA" w:rsidP="00DD44BA">
      <w:pPr>
        <w:pStyle w:val="DHHSreportsubtitlewhite"/>
        <w:rPr>
          <w:sz w:val="50"/>
          <w:szCs w:val="50"/>
        </w:rPr>
      </w:pPr>
      <w:r w:rsidRPr="00837AD8">
        <w:rPr>
          <w:sz w:val="50"/>
          <w:szCs w:val="50"/>
        </w:rPr>
        <w:t>Rental Report</w:t>
      </w:r>
    </w:p>
    <w:p w:rsidR="00DD44BA" w:rsidRDefault="00DB556F" w:rsidP="00DD44BA">
      <w:pPr>
        <w:pStyle w:val="DHHSreportsubtitlewhite"/>
      </w:pPr>
      <w:r>
        <w:rPr>
          <w:sz w:val="50"/>
          <w:szCs w:val="50"/>
        </w:rPr>
        <w:t>June</w:t>
      </w:r>
      <w:r w:rsidR="00DD44BA" w:rsidRPr="00DD44BA">
        <w:rPr>
          <w:sz w:val="50"/>
          <w:szCs w:val="50"/>
        </w:rPr>
        <w:t xml:space="preserve"> quarter 201</w:t>
      </w:r>
      <w:r>
        <w:rPr>
          <w:sz w:val="50"/>
          <w:szCs w:val="50"/>
        </w:rPr>
        <w:t>7</w:t>
      </w:r>
    </w:p>
    <w:p w:rsidR="00DD44BA" w:rsidRDefault="00DD44BA"/>
    <w:p w:rsidR="00DD44BA" w:rsidRPr="00DD44BA" w:rsidRDefault="00DD44BA">
      <w:pPr>
        <w:rPr>
          <w:rFonts w:ascii="Tahoma" w:hAnsi="Tahoma"/>
          <w:bCs/>
          <w:color w:val="7C93B9"/>
          <w:sz w:val="16"/>
          <w:szCs w:val="16"/>
        </w:rPr>
      </w:pPr>
      <w:r w:rsidRPr="00DD44BA">
        <w:rPr>
          <w:noProof/>
          <w:sz w:val="16"/>
          <w:szCs w:val="16"/>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rPr>
          <w:sz w:val="16"/>
          <w:szCs w:val="16"/>
        </w:rPr>
        <w:br w:type="page"/>
      </w:r>
    </w:p>
    <w:p w:rsidR="0047763C" w:rsidRPr="00180B5B" w:rsidRDefault="0047763C" w:rsidP="00000681">
      <w:pPr>
        <w:pStyle w:val="DHSHeadingA"/>
      </w:pPr>
      <w:r w:rsidRPr="00180B5B">
        <w:lastRenderedPageBreak/>
        <w:t>Rental Report</w:t>
      </w:r>
      <w:bookmarkEnd w:id="0"/>
    </w:p>
    <w:p w:rsidR="0047763C" w:rsidRDefault="0047763C" w:rsidP="005A1E70"/>
    <w:p w:rsidR="0047763C" w:rsidRPr="005A1E70" w:rsidRDefault="0047763C" w:rsidP="005A1E70"/>
    <w:p w:rsidR="0047763C" w:rsidRPr="00180B5B" w:rsidRDefault="00AE644A" w:rsidP="00000681">
      <w:pPr>
        <w:pStyle w:val="DHSHeadingA"/>
      </w:pPr>
      <w:r>
        <w:t>June</w:t>
      </w:r>
      <w:r w:rsidR="0047763C" w:rsidRPr="00180B5B">
        <w:t xml:space="preserve"> quarter </w:t>
      </w:r>
      <w:r w:rsidR="00082566">
        <w:t>2017</w:t>
      </w:r>
    </w:p>
    <w:p w:rsidR="0047763C" w:rsidRDefault="0047763C" w:rsidP="00975D6F">
      <w:pPr>
        <w:rPr>
          <w:rFonts w:cs="Arial"/>
        </w:rPr>
      </w:pPr>
    </w:p>
    <w:p w:rsidR="0047763C" w:rsidRPr="005A1E70" w:rsidRDefault="0047763C" w:rsidP="00975D6F">
      <w:pPr>
        <w:rPr>
          <w:rFonts w:cs="Arial"/>
        </w:rPr>
      </w:pPr>
    </w:p>
    <w:p w:rsidR="0047763C" w:rsidRPr="00180B5B" w:rsidRDefault="0047763C" w:rsidP="00000681">
      <w:pPr>
        <w:pStyle w:val="DHSHeadingA"/>
      </w:pPr>
      <w:bookmarkStart w:id="2" w:name="_Toc153530423"/>
      <w:r w:rsidRPr="00180B5B">
        <w:t>Contents</w:t>
      </w:r>
      <w:bookmarkEnd w:id="2"/>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r>
      <w:r w:rsidR="00DD44BA">
        <w:rPr>
          <w:rFonts w:cs="Arial"/>
        </w:rPr>
        <w:t>3</w:t>
      </w:r>
    </w:p>
    <w:p w:rsidR="0047763C" w:rsidRDefault="0047763C">
      <w:pPr>
        <w:pStyle w:val="DHSBody12"/>
        <w:tabs>
          <w:tab w:val="right" w:leader="dot" w:pos="9072"/>
        </w:tabs>
        <w:rPr>
          <w:rFonts w:cs="Arial"/>
        </w:rPr>
      </w:pPr>
      <w:r w:rsidRPr="00706644">
        <w:rPr>
          <w:rFonts w:cs="Arial"/>
        </w:rPr>
        <w:t>Current rents</w:t>
      </w:r>
      <w:r>
        <w:rPr>
          <w:rFonts w:cs="Arial"/>
        </w:rPr>
        <w:tab/>
      </w:r>
      <w:r w:rsidR="00DD44BA">
        <w:rPr>
          <w:rFonts w:cs="Arial"/>
        </w:rPr>
        <w:t>5</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D44BA">
        <w:rPr>
          <w:rFonts w:cs="Arial"/>
        </w:rPr>
        <w:t>1</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D44BA">
        <w:rPr>
          <w:rFonts w:cs="Arial"/>
        </w:rPr>
        <w:t>7</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w:t>
      </w:r>
      <w:r w:rsidR="00DD44BA">
        <w:rPr>
          <w:rFonts w:cs="Arial"/>
        </w:rPr>
        <w:t>8</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Pr="00706644" w:rsidRDefault="0047763C" w:rsidP="00332DD7">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831AFF" w:rsidRDefault="0047763C">
      <w:pPr>
        <w:pStyle w:val="DHSHeadingA"/>
        <w:spacing w:after="240"/>
        <w:rPr>
          <w:color w:val="365F91"/>
        </w:rPr>
      </w:pPr>
      <w:r w:rsidRPr="00831AFF">
        <w:rPr>
          <w:color w:val="365F91"/>
        </w:rPr>
        <w:lastRenderedPageBreak/>
        <w:t>Overview</w:t>
      </w:r>
    </w:p>
    <w:p w:rsidR="0047763C" w:rsidRPr="000B458D" w:rsidRDefault="0047763C" w:rsidP="000B458D">
      <w:pPr>
        <w:pStyle w:val="DHSheadingB"/>
        <w:spacing w:line="270" w:lineRule="exact"/>
        <w:rPr>
          <w:rFonts w:cs="Arial"/>
          <w:sz w:val="22"/>
        </w:rPr>
      </w:pPr>
      <w:r w:rsidRPr="000B458D">
        <w:rPr>
          <w:rFonts w:cs="Arial"/>
          <w:sz w:val="22"/>
        </w:rPr>
        <w:t>Trends in rents</w:t>
      </w:r>
    </w:p>
    <w:p w:rsidR="00000D14" w:rsidRDefault="00133DBA" w:rsidP="00332DD7">
      <w:r w:rsidRPr="00133DBA">
        <w:t>The Melbourne R</w:t>
      </w:r>
      <w:r w:rsidR="00D679D4">
        <w:t xml:space="preserve">ent Index (MRI) increased by </w:t>
      </w:r>
      <w:r w:rsidR="00D429F4">
        <w:t>1.5</w:t>
      </w:r>
      <w:r w:rsidR="00231C96">
        <w:t xml:space="preserve"> per cent</w:t>
      </w:r>
      <w:r w:rsidRPr="00133DBA">
        <w:t xml:space="preserve"> in the </w:t>
      </w:r>
      <w:r w:rsidR="00D429F4">
        <w:t>June</w:t>
      </w:r>
      <w:r w:rsidR="004B57AE">
        <w:t xml:space="preserve"> quarter</w:t>
      </w:r>
      <w:r w:rsidR="00246F19">
        <w:t>.</w:t>
      </w:r>
      <w:r w:rsidRPr="00133DBA">
        <w:t xml:space="preserve"> </w:t>
      </w:r>
      <w:r w:rsidR="0047763C" w:rsidRPr="00133DBA">
        <w:t xml:space="preserve">In the twelve months to </w:t>
      </w:r>
      <w:r w:rsidR="00D429F4">
        <w:t>June</w:t>
      </w:r>
      <w:r w:rsidR="00231C96">
        <w:t xml:space="preserve"> </w:t>
      </w:r>
      <w:r w:rsidR="00AF7CDF">
        <w:t>2017</w:t>
      </w:r>
      <w:r w:rsidR="0047763C" w:rsidRPr="00133DBA">
        <w:t xml:space="preserve">, the </w:t>
      </w:r>
      <w:r w:rsidR="00594FD7">
        <w:t>MRI</w:t>
      </w:r>
      <w:r w:rsidR="0047763C" w:rsidRPr="00133DBA">
        <w:t xml:space="preserve"> increased by </w:t>
      </w:r>
      <w:r w:rsidR="00D429F4">
        <w:t>4.2</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D429F4">
        <w:t>June</w:t>
      </w:r>
      <w:r w:rsidR="00231C96">
        <w:t xml:space="preserve"> </w:t>
      </w:r>
      <w:r w:rsidR="00AF7CDF">
        <w:t>2016</w:t>
      </w:r>
      <w:r w:rsidR="0047763C" w:rsidRPr="00133DBA">
        <w:t xml:space="preserve"> (</w:t>
      </w:r>
      <w:r w:rsidR="00D429F4">
        <w:t>3.6</w:t>
      </w:r>
      <w:r w:rsidR="00DF50F4">
        <w:t>%</w:t>
      </w:r>
      <w:r w:rsidR="0047763C" w:rsidRPr="00133DBA">
        <w:t xml:space="preserve">) </w:t>
      </w:r>
      <w:r w:rsidR="00B1601F">
        <w:t>but</w:t>
      </w:r>
      <w:r w:rsidR="0047763C" w:rsidRPr="00133DBA">
        <w:t xml:space="preserve"> below the long term average annual increa</w:t>
      </w:r>
      <w:r w:rsidR="001C5DB5">
        <w:t>s</w:t>
      </w:r>
      <w:r w:rsidR="00D429F4">
        <w:t>e (over the past ten years) (4.6</w:t>
      </w:r>
      <w:r w:rsidR="00231C96">
        <w:t>%)</w:t>
      </w:r>
      <w:r w:rsidR="0047763C" w:rsidRPr="00133DBA">
        <w:t xml:space="preserve">. </w:t>
      </w:r>
    </w:p>
    <w:p w:rsidR="00D679D4" w:rsidRDefault="00D679D4" w:rsidP="00332DD7"/>
    <w:p w:rsidR="0047763C" w:rsidRPr="000F3B39" w:rsidRDefault="00594FD7" w:rsidP="00332DD7">
      <w:pPr>
        <w:rPr>
          <w:rFonts w:cs="Arial"/>
          <w:szCs w:val="20"/>
        </w:rPr>
      </w:pPr>
      <w:r>
        <w:rPr>
          <w:rFonts w:cs="Arial"/>
          <w:szCs w:val="20"/>
        </w:rPr>
        <w:t>T</w:t>
      </w:r>
      <w:r w:rsidR="0047763C" w:rsidRPr="000F3B39">
        <w:rPr>
          <w:rFonts w:cs="Arial"/>
          <w:szCs w:val="20"/>
        </w:rPr>
        <w:t xml:space="preserve">he Regional Rent Index (RRI) </w:t>
      </w:r>
      <w:r w:rsidR="00D91F8D">
        <w:rPr>
          <w:rFonts w:cs="Arial"/>
          <w:szCs w:val="20"/>
        </w:rPr>
        <w:t>in</w:t>
      </w:r>
      <w:r w:rsidR="00231C96">
        <w:rPr>
          <w:rFonts w:cs="Arial"/>
          <w:szCs w:val="20"/>
        </w:rPr>
        <w:t xml:space="preserve">creased by </w:t>
      </w:r>
      <w:r w:rsidR="00D429F4">
        <w:rPr>
          <w:rFonts w:cs="Arial"/>
          <w:szCs w:val="20"/>
        </w:rPr>
        <w:t>0.3</w:t>
      </w:r>
      <w:r w:rsidR="00231C96">
        <w:rPr>
          <w:rFonts w:cs="Arial"/>
          <w:szCs w:val="20"/>
        </w:rPr>
        <w:t xml:space="preserve"> per cent</w:t>
      </w:r>
      <w:r>
        <w:rPr>
          <w:rFonts w:cs="Arial"/>
          <w:szCs w:val="20"/>
        </w:rPr>
        <w:t xml:space="preserve"> in the </w:t>
      </w:r>
      <w:r w:rsidR="00D429F4">
        <w:rPr>
          <w:rFonts w:cs="Arial"/>
          <w:szCs w:val="20"/>
        </w:rPr>
        <w:t>June</w:t>
      </w:r>
      <w:r>
        <w:rPr>
          <w:rFonts w:cs="Arial"/>
          <w:szCs w:val="20"/>
        </w:rPr>
        <w:t xml:space="preserve"> quarter.</w:t>
      </w:r>
      <w:r w:rsidR="003859FB">
        <w:rPr>
          <w:rFonts w:cs="Arial"/>
          <w:szCs w:val="20"/>
        </w:rPr>
        <w:t xml:space="preserve"> </w:t>
      </w:r>
      <w:r>
        <w:rPr>
          <w:rFonts w:cs="Arial"/>
          <w:szCs w:val="20"/>
        </w:rPr>
        <w:t xml:space="preserve">In the twelve months to </w:t>
      </w:r>
      <w:r w:rsidR="00D429F4">
        <w:rPr>
          <w:rFonts w:cs="Arial"/>
          <w:szCs w:val="20"/>
        </w:rPr>
        <w:t>June</w:t>
      </w:r>
      <w:r w:rsidR="0047763C" w:rsidRPr="000F3B39">
        <w:rPr>
          <w:rFonts w:cs="Arial"/>
          <w:szCs w:val="20"/>
        </w:rPr>
        <w:t xml:space="preserve"> </w:t>
      </w:r>
      <w:r w:rsidR="00AF7CDF">
        <w:rPr>
          <w:rFonts w:cs="Arial"/>
          <w:szCs w:val="20"/>
        </w:rPr>
        <w:t>2017</w:t>
      </w:r>
      <w:r w:rsidR="00231C96">
        <w:rPr>
          <w:rFonts w:cs="Arial"/>
          <w:szCs w:val="20"/>
        </w:rPr>
        <w:t>, the RRI</w:t>
      </w:r>
      <w:r w:rsidR="00D745E4">
        <w:rPr>
          <w:rFonts w:cs="Arial"/>
          <w:szCs w:val="20"/>
        </w:rPr>
        <w:t xml:space="preserve"> increa</w:t>
      </w:r>
      <w:r w:rsidR="00D429F4">
        <w:rPr>
          <w:rFonts w:cs="Arial"/>
          <w:szCs w:val="20"/>
        </w:rPr>
        <w:t>sed by 3.0</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D429F4">
        <w:rPr>
          <w:rFonts w:cs="Arial"/>
          <w:szCs w:val="20"/>
        </w:rPr>
        <w:t>above</w:t>
      </w:r>
      <w:r w:rsidR="001C5DB5">
        <w:rPr>
          <w:rFonts w:cs="Arial"/>
          <w:szCs w:val="20"/>
        </w:rPr>
        <w:t xml:space="preserve"> </w:t>
      </w:r>
      <w:r w:rsidR="00C64921" w:rsidRPr="00133DBA">
        <w:t xml:space="preserve">that </w:t>
      </w:r>
      <w:r w:rsidR="00C64921">
        <w:t>in the twelve months to</w:t>
      </w:r>
      <w:r w:rsidR="00C64921" w:rsidRPr="00133DBA">
        <w:t xml:space="preserve"> </w:t>
      </w:r>
      <w:r w:rsidR="00D429F4">
        <w:t>June</w:t>
      </w:r>
      <w:r w:rsidR="003859FB">
        <w:rPr>
          <w:rFonts w:cs="Arial"/>
          <w:szCs w:val="20"/>
        </w:rPr>
        <w:t xml:space="preserve"> </w:t>
      </w:r>
      <w:r w:rsidR="00AF7CDF">
        <w:rPr>
          <w:rFonts w:cs="Arial"/>
          <w:szCs w:val="20"/>
        </w:rPr>
        <w:t>2016</w:t>
      </w:r>
      <w:r w:rsidR="00231C96">
        <w:rPr>
          <w:rFonts w:cs="Arial"/>
          <w:szCs w:val="20"/>
        </w:rPr>
        <w:t xml:space="preserve"> (</w:t>
      </w:r>
      <w:r w:rsidR="00D429F4">
        <w:rPr>
          <w:rFonts w:cs="Arial"/>
          <w:szCs w:val="20"/>
        </w:rPr>
        <w:t>2.4</w:t>
      </w:r>
      <w:r w:rsidR="00DF50F4">
        <w:rPr>
          <w:rFonts w:cs="Arial"/>
          <w:szCs w:val="20"/>
        </w:rPr>
        <w:t>%</w:t>
      </w:r>
      <w:r w:rsidR="003859FB">
        <w:rPr>
          <w:rFonts w:cs="Arial"/>
          <w:szCs w:val="20"/>
        </w:rPr>
        <w:t xml:space="preserve">) </w:t>
      </w:r>
      <w:r w:rsidR="00D429F4">
        <w:rPr>
          <w:rFonts w:cs="Arial"/>
          <w:szCs w:val="20"/>
        </w:rPr>
        <w:t>but</w:t>
      </w:r>
      <w:r w:rsidR="001E528C">
        <w:rPr>
          <w:rFonts w:cs="Arial"/>
          <w:szCs w:val="20"/>
        </w:rPr>
        <w:t xml:space="preserve"> </w:t>
      </w:r>
      <w:r w:rsidR="00D745E4">
        <w:rPr>
          <w:rFonts w:cs="Arial"/>
          <w:szCs w:val="20"/>
        </w:rPr>
        <w:t>below</w:t>
      </w:r>
      <w:r w:rsidR="003859FB">
        <w:rPr>
          <w:rFonts w:cs="Arial"/>
          <w:szCs w:val="20"/>
        </w:rPr>
        <w:t xml:space="preserve"> the long-t</w:t>
      </w:r>
      <w:r w:rsidR="00231C96">
        <w:rPr>
          <w:rFonts w:cs="Arial"/>
          <w:szCs w:val="20"/>
        </w:rPr>
        <w:t>erm average annual increase (</w:t>
      </w:r>
      <w:r w:rsidR="00D429F4">
        <w:rPr>
          <w:rFonts w:cs="Arial"/>
          <w:szCs w:val="20"/>
        </w:rPr>
        <w:t>3.9</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D429F4" w:rsidRPr="005F5C4F" w:rsidTr="00D429F4">
        <w:trPr>
          <w:trHeight w:hRule="exact" w:val="340"/>
        </w:trPr>
        <w:tc>
          <w:tcPr>
            <w:tcW w:w="3440" w:type="dxa"/>
            <w:tcBorders>
              <w:top w:val="single" w:sz="12" w:space="0" w:color="9DAECB"/>
            </w:tcBorders>
          </w:tcPr>
          <w:p w:rsidR="00D429F4" w:rsidRPr="00C95655" w:rsidRDefault="00D429F4" w:rsidP="00D429F4">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rsidR="00D429F4" w:rsidRPr="00150244" w:rsidRDefault="00D429F4" w:rsidP="00D429F4">
            <w:pPr>
              <w:jc w:val="center"/>
            </w:pPr>
            <w:r w:rsidRPr="00150244">
              <w:t>$400</w:t>
            </w:r>
          </w:p>
        </w:tc>
        <w:tc>
          <w:tcPr>
            <w:tcW w:w="1897" w:type="dxa"/>
            <w:tcBorders>
              <w:top w:val="single" w:sz="12" w:space="0" w:color="9DAECB"/>
            </w:tcBorders>
            <w:vAlign w:val="bottom"/>
          </w:tcPr>
          <w:p w:rsidR="00D429F4" w:rsidRPr="00D429F4" w:rsidRDefault="00D429F4" w:rsidP="00D429F4">
            <w:pPr>
              <w:jc w:val="center"/>
            </w:pPr>
            <w:r w:rsidRPr="00D429F4">
              <w:t>1.5%</w:t>
            </w:r>
          </w:p>
        </w:tc>
        <w:tc>
          <w:tcPr>
            <w:tcW w:w="1941" w:type="dxa"/>
            <w:tcBorders>
              <w:top w:val="single" w:sz="12" w:space="0" w:color="9DAECB"/>
            </w:tcBorders>
            <w:shd w:val="clear" w:color="auto" w:fill="DEE4EE"/>
            <w:vAlign w:val="center"/>
          </w:tcPr>
          <w:p w:rsidR="00D429F4" w:rsidRPr="00F25EAE" w:rsidRDefault="00D429F4" w:rsidP="00D429F4">
            <w:pPr>
              <w:jc w:val="center"/>
            </w:pPr>
            <w:r w:rsidRPr="00F25EAE">
              <w:t>4.2%</w:t>
            </w:r>
          </w:p>
        </w:tc>
      </w:tr>
      <w:tr w:rsidR="00D429F4" w:rsidRPr="005F5C4F" w:rsidTr="00D429F4">
        <w:trPr>
          <w:trHeight w:hRule="exact" w:val="340"/>
        </w:trPr>
        <w:tc>
          <w:tcPr>
            <w:tcW w:w="3440" w:type="dxa"/>
          </w:tcPr>
          <w:p w:rsidR="00D429F4" w:rsidRPr="00C95655" w:rsidRDefault="00D429F4" w:rsidP="00D429F4">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rsidR="00D429F4" w:rsidRPr="00150244" w:rsidRDefault="00D429F4" w:rsidP="00D429F4">
            <w:pPr>
              <w:jc w:val="center"/>
            </w:pPr>
            <w:r w:rsidRPr="00150244">
              <w:t>$290</w:t>
            </w:r>
          </w:p>
        </w:tc>
        <w:tc>
          <w:tcPr>
            <w:tcW w:w="1897" w:type="dxa"/>
            <w:vAlign w:val="bottom"/>
          </w:tcPr>
          <w:p w:rsidR="00D429F4" w:rsidRPr="00D429F4" w:rsidRDefault="00D429F4" w:rsidP="00D429F4">
            <w:pPr>
              <w:jc w:val="center"/>
            </w:pPr>
            <w:r w:rsidRPr="00D429F4">
              <w:t>0.3%</w:t>
            </w:r>
          </w:p>
        </w:tc>
        <w:tc>
          <w:tcPr>
            <w:tcW w:w="1941" w:type="dxa"/>
            <w:shd w:val="clear" w:color="auto" w:fill="DEE4EE"/>
            <w:vAlign w:val="center"/>
          </w:tcPr>
          <w:p w:rsidR="00D429F4" w:rsidRPr="00F25EAE" w:rsidRDefault="00D429F4" w:rsidP="00D429F4">
            <w:pPr>
              <w:jc w:val="center"/>
            </w:pPr>
            <w:r w:rsidRPr="00F25EAE">
              <w:t>3.0%</w:t>
            </w:r>
          </w:p>
        </w:tc>
      </w:tr>
      <w:tr w:rsidR="00D429F4" w:rsidRPr="005F5C4F" w:rsidTr="00D429F4">
        <w:trPr>
          <w:trHeight w:hRule="exact" w:val="340"/>
        </w:trPr>
        <w:tc>
          <w:tcPr>
            <w:tcW w:w="3440" w:type="dxa"/>
          </w:tcPr>
          <w:p w:rsidR="00D429F4" w:rsidRPr="00C95655" w:rsidRDefault="00D429F4" w:rsidP="00D429F4">
            <w:pPr>
              <w:pStyle w:val="DHSbodycopytable"/>
              <w:spacing w:after="0"/>
              <w:rPr>
                <w:rFonts w:cs="Arial"/>
                <w:sz w:val="20"/>
              </w:rPr>
            </w:pPr>
            <w:r w:rsidRPr="00C95655">
              <w:rPr>
                <w:rFonts w:cs="Arial"/>
                <w:sz w:val="20"/>
              </w:rPr>
              <w:t>Victoria</w:t>
            </w:r>
          </w:p>
        </w:tc>
        <w:tc>
          <w:tcPr>
            <w:tcW w:w="1909" w:type="dxa"/>
            <w:shd w:val="clear" w:color="auto" w:fill="DEE4EE"/>
            <w:vAlign w:val="center"/>
          </w:tcPr>
          <w:p w:rsidR="00D429F4" w:rsidRPr="00150244" w:rsidRDefault="00D429F4" w:rsidP="00D429F4">
            <w:pPr>
              <w:jc w:val="center"/>
            </w:pPr>
            <w:r w:rsidRPr="00150244">
              <w:t>$380</w:t>
            </w:r>
          </w:p>
        </w:tc>
        <w:tc>
          <w:tcPr>
            <w:tcW w:w="1897" w:type="dxa"/>
            <w:vAlign w:val="bottom"/>
          </w:tcPr>
          <w:p w:rsidR="00D429F4" w:rsidRPr="00D429F4" w:rsidRDefault="00D429F4" w:rsidP="00D429F4">
            <w:pPr>
              <w:jc w:val="center"/>
            </w:pPr>
            <w:r w:rsidRPr="00D429F4">
              <w:t>1.4%</w:t>
            </w:r>
          </w:p>
        </w:tc>
        <w:tc>
          <w:tcPr>
            <w:tcW w:w="1941" w:type="dxa"/>
            <w:shd w:val="clear" w:color="auto" w:fill="DEE4EE"/>
            <w:vAlign w:val="center"/>
          </w:tcPr>
          <w:p w:rsidR="00D429F4" w:rsidRDefault="00D429F4" w:rsidP="00D429F4">
            <w:pPr>
              <w:jc w:val="center"/>
            </w:pPr>
            <w:r w:rsidRPr="00F25EAE">
              <w:t>4.1%</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34140E" w:rsidRDefault="0047763C" w:rsidP="000B458D">
      <w:pPr>
        <w:pStyle w:val="DHSheadingB"/>
        <w:spacing w:line="270" w:lineRule="exact"/>
        <w:rPr>
          <w:rFonts w:cs="Arial"/>
          <w:sz w:val="22"/>
        </w:rPr>
      </w:pPr>
      <w:r w:rsidRPr="0034140E">
        <w:rPr>
          <w:rFonts w:cs="Arial"/>
          <w:sz w:val="22"/>
        </w:rPr>
        <w:t>New Lettings</w:t>
      </w:r>
    </w:p>
    <w:p w:rsidR="0047763C" w:rsidRPr="00AF7CDF" w:rsidRDefault="0047763C" w:rsidP="00332DD7">
      <w:r w:rsidRPr="00AF7CDF">
        <w:t xml:space="preserve">Across the state, the total number of new lettings this quarter was </w:t>
      </w:r>
      <w:r w:rsidR="00D429F4">
        <w:rPr>
          <w:lang w:eastAsia="en-AU"/>
        </w:rPr>
        <w:t>49,00</w:t>
      </w:r>
      <w:r w:rsidR="00DB10ED">
        <w:rPr>
          <w:lang w:eastAsia="en-AU"/>
        </w:rPr>
        <w:t>8</w:t>
      </w:r>
      <w:r w:rsidR="002B0F13">
        <w:rPr>
          <w:lang w:eastAsia="en-AU"/>
        </w:rPr>
        <w:t>,</w:t>
      </w:r>
      <w:r w:rsidR="00AF7CDF" w:rsidRPr="00AF7CDF">
        <w:rPr>
          <w:lang w:eastAsia="en-AU"/>
        </w:rPr>
        <w:t xml:space="preserve"> </w:t>
      </w:r>
      <w:r w:rsidRPr="00AF7CDF">
        <w:t>a</w:t>
      </w:r>
      <w:r w:rsidR="001C5DB5" w:rsidRPr="00AF7CDF">
        <w:t xml:space="preserve"> de</w:t>
      </w:r>
      <w:r w:rsidRPr="00AF7CDF">
        <w:t xml:space="preserve">crease of </w:t>
      </w:r>
      <w:r w:rsidR="00DB10ED">
        <w:t>5.9</w:t>
      </w:r>
      <w:r w:rsidRPr="00AF7CDF">
        <w:t xml:space="preserve"> per cent </w:t>
      </w:r>
      <w:r w:rsidR="00B066D1" w:rsidRPr="00AF7CDF">
        <w:t>since</w:t>
      </w:r>
      <w:r w:rsidRPr="00AF7CDF">
        <w:t xml:space="preserve"> the </w:t>
      </w:r>
      <w:r w:rsidR="00D429F4">
        <w:t>June</w:t>
      </w:r>
      <w:r w:rsidR="005123E9" w:rsidRPr="00AF7CDF">
        <w:t xml:space="preserve"> </w:t>
      </w:r>
      <w:r w:rsidR="00C5401F" w:rsidRPr="00AF7CDF">
        <w:t xml:space="preserve">quarter </w:t>
      </w:r>
      <w:r w:rsidR="00AF7CDF" w:rsidRPr="00AF7CDF">
        <w:t>2016</w:t>
      </w:r>
      <w:r w:rsidRPr="00AF7CDF">
        <w:t xml:space="preserve">. In metropolitan Melbourne the number of new lettings </w:t>
      </w:r>
      <w:r w:rsidR="001C5DB5" w:rsidRPr="00AF7CDF">
        <w:t>de</w:t>
      </w:r>
      <w:r w:rsidRPr="00AF7CDF">
        <w:t xml:space="preserve">creased by </w:t>
      </w:r>
      <w:r w:rsidR="00DB10ED">
        <w:t>5.2</w:t>
      </w:r>
      <w:r w:rsidRPr="00AF7CDF">
        <w:t xml:space="preserve"> per cent </w:t>
      </w:r>
      <w:r w:rsidR="00B066D1" w:rsidRPr="00AF7CDF">
        <w:t>since</w:t>
      </w:r>
      <w:r w:rsidRPr="00AF7CDF">
        <w:t xml:space="preserve"> the </w:t>
      </w:r>
      <w:r w:rsidR="00D429F4">
        <w:t>June</w:t>
      </w:r>
      <w:r w:rsidR="0023166F" w:rsidRPr="00AF7CDF">
        <w:t xml:space="preserve"> </w:t>
      </w:r>
      <w:r w:rsidR="00C5401F" w:rsidRPr="00AF7CDF">
        <w:t xml:space="preserve">quarter </w:t>
      </w:r>
      <w:r w:rsidR="00AF7CDF" w:rsidRPr="00AF7CDF">
        <w:t>2016</w:t>
      </w:r>
      <w:r w:rsidRPr="00AF7CDF">
        <w:t xml:space="preserve">. In regional Victoria the number of new lettings </w:t>
      </w:r>
      <w:r w:rsidR="008C1D3D" w:rsidRPr="00AF7CDF">
        <w:t>decreased</w:t>
      </w:r>
      <w:r w:rsidRPr="00AF7CDF">
        <w:t xml:space="preserve"> by </w:t>
      </w:r>
      <w:r w:rsidR="00DB10ED">
        <w:t>8</w:t>
      </w:r>
      <w:r w:rsidR="00AF7CDF">
        <w:t>.5</w:t>
      </w:r>
      <w:r w:rsidR="00B066D1" w:rsidRPr="00AF7CDF">
        <w:t xml:space="preserve"> </w:t>
      </w:r>
      <w:r w:rsidRPr="00AF7CDF">
        <w:t xml:space="preserve">per cent </w:t>
      </w:r>
      <w:r w:rsidR="00B066D1" w:rsidRPr="00AF7CDF">
        <w:t>since</w:t>
      </w:r>
      <w:r w:rsidRPr="00AF7CDF">
        <w:t xml:space="preserve"> the </w:t>
      </w:r>
      <w:r w:rsidR="00D429F4">
        <w:t>June</w:t>
      </w:r>
      <w:r w:rsidR="00C5401F" w:rsidRPr="00AF7CDF">
        <w:t xml:space="preserve"> quarter </w:t>
      </w:r>
      <w:r w:rsidR="00AF7CDF" w:rsidRPr="00AF7CDF">
        <w:t>2016</w:t>
      </w:r>
      <w:r w:rsidRPr="00AF7CDF">
        <w:t>.</w:t>
      </w:r>
      <w:r w:rsidR="00B1601F" w:rsidRPr="00AF7CDF">
        <w:t xml:space="preserve"> Metropolitan Melbourne</w:t>
      </w:r>
      <w:r w:rsidR="002D7F55" w:rsidRPr="00AF7CDF">
        <w:t xml:space="preserve"> accounted for </w:t>
      </w:r>
      <w:r w:rsidR="00DB10ED">
        <w:t>79.1</w:t>
      </w:r>
      <w:r w:rsidR="00B1601F" w:rsidRPr="00AF7CDF">
        <w:t xml:space="preserve"> per cent of all new lettings in Victoria.</w:t>
      </w:r>
    </w:p>
    <w:p w:rsidR="0047763C" w:rsidRPr="0034140E" w:rsidRDefault="0047763C" w:rsidP="00C23C44">
      <w:pPr>
        <w:pStyle w:val="DHSheadingB"/>
        <w:spacing w:line="270" w:lineRule="exact"/>
        <w:rPr>
          <w:rFonts w:cs="Arial"/>
          <w:sz w:val="22"/>
        </w:rPr>
      </w:pPr>
      <w:r w:rsidRPr="0034140E">
        <w:rPr>
          <w:rFonts w:cs="Arial"/>
          <w:sz w:val="22"/>
        </w:rPr>
        <w:t>Active bonds</w:t>
      </w:r>
    </w:p>
    <w:p w:rsidR="0047763C" w:rsidRPr="0034140E" w:rsidRDefault="0047763C" w:rsidP="00332DD7">
      <w:r w:rsidRPr="0034140E">
        <w:t xml:space="preserve">At the end of the </w:t>
      </w:r>
      <w:r w:rsidR="00D429F4">
        <w:t>June</w:t>
      </w:r>
      <w:r w:rsidR="00C23C44" w:rsidRPr="0034140E">
        <w:t xml:space="preserve"> quarter </w:t>
      </w:r>
      <w:r w:rsidR="00AF7CDF">
        <w:t>2017</w:t>
      </w:r>
      <w:r w:rsidRPr="0034140E">
        <w:t xml:space="preserve">, the total number of active bonds held in Victoria was </w:t>
      </w:r>
      <w:r w:rsidR="00AF7CDF" w:rsidRPr="00AF7CDF">
        <w:t>56</w:t>
      </w:r>
      <w:r w:rsidR="00DB10ED">
        <w:t>8,255</w:t>
      </w:r>
      <w:r w:rsidR="009B6AE8">
        <w:t>,</w:t>
      </w:r>
      <w:r w:rsidR="001C5DB5" w:rsidRPr="001C5DB5">
        <w:rPr>
          <w:rFonts w:cs="Arial"/>
          <w:szCs w:val="22"/>
          <w:lang w:eastAsia="en-AU"/>
        </w:rPr>
        <w:t xml:space="preserve"> </w:t>
      </w:r>
      <w:r w:rsidRPr="001C5DB5">
        <w:rPr>
          <w:szCs w:val="22"/>
        </w:rPr>
        <w:t xml:space="preserve">an increase of </w:t>
      </w:r>
      <w:r w:rsidR="00DB10ED">
        <w:rPr>
          <w:szCs w:val="22"/>
        </w:rPr>
        <w:t>4.0</w:t>
      </w:r>
      <w:r w:rsidRPr="001C5DB5">
        <w:rPr>
          <w:szCs w:val="22"/>
        </w:rPr>
        <w:t xml:space="preserve"> per cent on the size of the rental market in the same quarter of </w:t>
      </w:r>
      <w:r w:rsidR="00AF7CDF">
        <w:rPr>
          <w:szCs w:val="22"/>
        </w:rPr>
        <w:t>2016</w:t>
      </w:r>
      <w:r w:rsidRPr="001C5DB5">
        <w:rPr>
          <w:szCs w:val="22"/>
        </w:rPr>
        <w:t>.</w:t>
      </w:r>
      <w:r w:rsidRPr="0034140E">
        <w:t xml:space="preserve"> The average annual growth in the rental market over the last </w:t>
      </w:r>
      <w:r w:rsidR="00DB10ED">
        <w:t>ten years is 5.8</w:t>
      </w:r>
      <w:r w:rsidRPr="0034140E">
        <w:t xml:space="preserve"> per cent.</w:t>
      </w:r>
    </w:p>
    <w:p w:rsidR="0047763C" w:rsidRPr="0034140E" w:rsidRDefault="0047763C" w:rsidP="000B458D">
      <w:pPr>
        <w:pStyle w:val="DHSheadingB"/>
        <w:spacing w:line="270" w:lineRule="exact"/>
        <w:rPr>
          <w:rFonts w:cs="Arial"/>
          <w:sz w:val="22"/>
        </w:rPr>
      </w:pPr>
      <w:r w:rsidRPr="0034140E">
        <w:rPr>
          <w:rFonts w:cs="Arial"/>
          <w:sz w:val="22"/>
        </w:rPr>
        <w:t>Turnover</w:t>
      </w:r>
    </w:p>
    <w:p w:rsidR="0047763C" w:rsidRPr="0034140E" w:rsidRDefault="0047763C" w:rsidP="00332DD7">
      <w:r w:rsidRPr="0034140E">
        <w:t xml:space="preserve">The quarterly turnover rate for metropolitan Melbourne was </w:t>
      </w:r>
      <w:r w:rsidR="009B6AE8">
        <w:t>8.2</w:t>
      </w:r>
      <w:r w:rsidRPr="0034140E">
        <w:t xml:space="preserve"> per cent, </w:t>
      </w:r>
      <w:r w:rsidR="009B6AE8">
        <w:t>lower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D429F4">
        <w:t>June</w:t>
      </w:r>
      <w:r w:rsidR="0034140E">
        <w:t xml:space="preserve"> quarter </w:t>
      </w:r>
      <w:r w:rsidR="00AF7CDF">
        <w:t>2016</w:t>
      </w:r>
      <w:r w:rsidR="009B6AE8">
        <w:t xml:space="preserve"> (8.6</w:t>
      </w:r>
      <w:r w:rsidR="00C21C62">
        <w:t>%)</w:t>
      </w:r>
      <w:r w:rsidRPr="0034140E">
        <w:t xml:space="preserve">. The quarterly turnover rate in regional Victoria </w:t>
      </w:r>
      <w:r w:rsidR="0018463E" w:rsidRPr="0034140E">
        <w:t xml:space="preserve">was </w:t>
      </w:r>
      <w:r w:rsidR="009B6AE8">
        <w:t>9.3</w:t>
      </w:r>
      <w:r w:rsidR="00E403B1" w:rsidRPr="0034140E">
        <w:t xml:space="preserve"> per cent</w:t>
      </w:r>
      <w:r w:rsidR="00C23C44" w:rsidRPr="0034140E">
        <w:t xml:space="preserve">, </w:t>
      </w:r>
      <w:r w:rsidR="003645CE">
        <w:t xml:space="preserve">again </w:t>
      </w:r>
      <w:r w:rsidR="009B6AE8">
        <w:t>lower</w:t>
      </w:r>
      <w:r w:rsidR="001C5DB5">
        <w:t xml:space="preserve"> than the </w:t>
      </w:r>
      <w:r w:rsidR="00C23C44" w:rsidRPr="0034140E">
        <w:t>rate in</w:t>
      </w:r>
      <w:r w:rsidR="00E403B1" w:rsidRPr="0034140E">
        <w:t xml:space="preserve"> </w:t>
      </w:r>
      <w:r w:rsidRPr="0034140E">
        <w:t xml:space="preserve">the </w:t>
      </w:r>
      <w:r w:rsidR="00D429F4">
        <w:t>June</w:t>
      </w:r>
      <w:r w:rsidR="0034140E">
        <w:t xml:space="preserve"> quarter </w:t>
      </w:r>
      <w:r w:rsidR="00AF7CDF">
        <w:t>2016</w:t>
      </w:r>
      <w:r w:rsidR="00EB1C2D">
        <w:t xml:space="preserve"> (9.7</w:t>
      </w:r>
      <w:r w:rsidR="001C5DB5">
        <w:t>%)</w:t>
      </w:r>
      <w:r w:rsidRPr="0034140E">
        <w:t>.</w:t>
      </w:r>
    </w:p>
    <w:p w:rsidR="0047763C" w:rsidRPr="00177743" w:rsidRDefault="0047763C" w:rsidP="000B458D">
      <w:pPr>
        <w:pStyle w:val="DHSheadingB"/>
        <w:spacing w:line="270" w:lineRule="exact"/>
        <w:rPr>
          <w:rFonts w:cs="Arial"/>
          <w:sz w:val="22"/>
        </w:rPr>
      </w:pPr>
      <w:r w:rsidRPr="00177743">
        <w:rPr>
          <w:rFonts w:cs="Arial"/>
          <w:sz w:val="22"/>
        </w:rPr>
        <w:t>Investor lending</w:t>
      </w:r>
    </w:p>
    <w:p w:rsidR="0047763C" w:rsidRDefault="0047763C" w:rsidP="00332DD7">
      <w:r w:rsidRPr="00177743">
        <w:t>Lending to residential property investors in Victoria</w:t>
      </w:r>
      <w:r w:rsidR="00C23C44" w:rsidRPr="00177743">
        <w:t xml:space="preserve"> was $</w:t>
      </w:r>
      <w:r w:rsidR="009B6AE8">
        <w:t>10.7</w:t>
      </w:r>
      <w:r w:rsidRPr="00177743">
        <w:t xml:space="preserve"> billion in the </w:t>
      </w:r>
      <w:r w:rsidR="00D429F4">
        <w:t>June</w:t>
      </w:r>
      <w:r w:rsidR="00C23C44" w:rsidRPr="00177743">
        <w:t xml:space="preserve"> quarter </w:t>
      </w:r>
      <w:r w:rsidR="00AF7CDF">
        <w:t>2017</w:t>
      </w:r>
      <w:r w:rsidR="00C23C44" w:rsidRPr="00177743">
        <w:t xml:space="preserve">, </w:t>
      </w:r>
      <w:r w:rsidR="003645CE">
        <w:t>10.6</w:t>
      </w:r>
      <w:r w:rsidR="00E403B1" w:rsidRPr="00177743">
        <w:t xml:space="preserve"> </w:t>
      </w:r>
      <w:r w:rsidRPr="00177743">
        <w:t xml:space="preserve">per cent </w:t>
      </w:r>
      <w:r w:rsidR="00C21C62" w:rsidRPr="00177743">
        <w:t>higher</w:t>
      </w:r>
      <w:r w:rsidRPr="00177743">
        <w:t xml:space="preserve"> than </w:t>
      </w:r>
      <w:r w:rsidR="00824C3E" w:rsidRPr="00177743">
        <w:t xml:space="preserve">in </w:t>
      </w:r>
      <w:r w:rsidRPr="00177743">
        <w:t xml:space="preserve">the </w:t>
      </w:r>
      <w:r w:rsidR="00D429F4">
        <w:t>June</w:t>
      </w:r>
      <w:r w:rsidR="00C23C44" w:rsidRPr="00177743">
        <w:t xml:space="preserve"> quarter </w:t>
      </w:r>
      <w:r w:rsidR="00AF7CDF">
        <w:t>2016</w:t>
      </w:r>
      <w:r w:rsidRPr="00177743">
        <w:t>.</w:t>
      </w:r>
    </w:p>
    <w:p w:rsidR="0047763C" w:rsidRPr="000B458D" w:rsidRDefault="0047763C" w:rsidP="000B458D">
      <w:pPr>
        <w:pStyle w:val="DHSheadingB"/>
        <w:spacing w:line="270" w:lineRule="exact"/>
        <w:rPr>
          <w:rFonts w:cs="Arial"/>
          <w:sz w:val="22"/>
        </w:rPr>
      </w:pPr>
      <w:r w:rsidRPr="000B458D">
        <w:rPr>
          <w:rFonts w:cs="Arial"/>
          <w:sz w:val="22"/>
        </w:rPr>
        <w:t>Vacancy rates</w:t>
      </w:r>
    </w:p>
    <w:p w:rsidR="0047763C" w:rsidRDefault="0047763C" w:rsidP="00332DD7">
      <w:r w:rsidRPr="000F3B39">
        <w:t xml:space="preserve">For </w:t>
      </w:r>
      <w:r w:rsidR="00D429F4">
        <w:t>June</w:t>
      </w:r>
      <w:r w:rsidR="0054064E">
        <w:t xml:space="preserve"> </w:t>
      </w:r>
      <w:r w:rsidR="00AF7CDF">
        <w:t>2017</w:t>
      </w:r>
      <w:r w:rsidR="00824C3E">
        <w:t>,</w:t>
      </w:r>
      <w:r w:rsidR="005F0D91">
        <w:t xml:space="preserve"> </w:t>
      </w:r>
      <w:r w:rsidRPr="000F3B39">
        <w:t xml:space="preserve">the trend </w:t>
      </w:r>
      <w:r w:rsidR="009B6AE8" w:rsidRPr="000F3B39">
        <w:t xml:space="preserve">metropolitan </w:t>
      </w:r>
      <w:r w:rsidRPr="000F3B39">
        <w:t xml:space="preserve">vacancy rate was </w:t>
      </w:r>
      <w:r w:rsidR="009B6AE8">
        <w:t>2.2</w:t>
      </w:r>
      <w:r w:rsidRPr="000F3B39">
        <w:t xml:space="preserve"> per cent</w:t>
      </w:r>
      <w:r w:rsidR="005F0D91">
        <w:t>,</w:t>
      </w:r>
      <w:r w:rsidR="009B6AE8">
        <w:t xml:space="preserve"> compared with 2.5</w:t>
      </w:r>
      <w:r w:rsidR="0099321F">
        <w:t xml:space="preserve"> per cent for </w:t>
      </w:r>
      <w:r w:rsidR="00D429F4">
        <w:t>June</w:t>
      </w:r>
      <w:r w:rsidR="00894F52">
        <w:t xml:space="preserve"> 2016</w:t>
      </w:r>
      <w:r w:rsidRPr="000F3B39">
        <w:t xml:space="preserve">. </w:t>
      </w:r>
      <w:r w:rsidR="009B6AE8">
        <w:t>T</w:t>
      </w:r>
      <w:r w:rsidR="00E403B1">
        <w:t xml:space="preserve">he trend </w:t>
      </w:r>
      <w:r w:rsidR="009B6AE8" w:rsidRPr="000F3B39">
        <w:t xml:space="preserve">regional </w:t>
      </w:r>
      <w:r w:rsidR="00E403B1">
        <w:t xml:space="preserve">vacancy rate was </w:t>
      </w:r>
      <w:r w:rsidR="00343F26">
        <w:t>2</w:t>
      </w:r>
      <w:r w:rsidR="00C21C62">
        <w:t>.</w:t>
      </w:r>
      <w:r w:rsidR="009B6AE8">
        <w:t>5</w:t>
      </w:r>
      <w:r w:rsidRPr="000F3B39">
        <w:t xml:space="preserve"> per cent</w:t>
      </w:r>
      <w:r w:rsidR="00C35516">
        <w:t>, compared</w:t>
      </w:r>
      <w:r w:rsidR="009B6AE8">
        <w:t xml:space="preserve"> with 2.8</w:t>
      </w:r>
      <w:r w:rsidR="00461328">
        <w:t xml:space="preserve"> per cent for </w:t>
      </w:r>
      <w:r w:rsidR="00D429F4">
        <w:t>June</w:t>
      </w:r>
      <w:r w:rsidR="00D26832">
        <w:t xml:space="preserve"> 2016</w:t>
      </w:r>
      <w:r w:rsidR="00461328">
        <w:t>.</w:t>
      </w:r>
    </w:p>
    <w:p w:rsidR="002E047A" w:rsidRDefault="002E047A" w:rsidP="00332DD7"/>
    <w:p w:rsidR="002E047A" w:rsidRDefault="002E047A" w:rsidP="00332DD7"/>
    <w:p w:rsidR="00246F19" w:rsidRDefault="00246F19" w:rsidP="00332DD7"/>
    <w:p w:rsidR="000A2A61" w:rsidRDefault="000A2A61">
      <w:pPr>
        <w:rPr>
          <w:rFonts w:cs="Arial"/>
          <w:b/>
          <w:bCs/>
          <w:color w:val="365F91"/>
        </w:rPr>
      </w:pPr>
      <w:r>
        <w:rPr>
          <w:rFonts w:cs="Arial"/>
        </w:rPr>
        <w:br w:type="page"/>
      </w:r>
    </w:p>
    <w:p w:rsidR="0047763C" w:rsidRPr="00060474" w:rsidRDefault="0047763C" w:rsidP="000B458D">
      <w:pPr>
        <w:pStyle w:val="DHSheadingB"/>
        <w:spacing w:line="270" w:lineRule="exact"/>
        <w:rPr>
          <w:rFonts w:cs="Arial"/>
          <w:sz w:val="22"/>
        </w:rPr>
      </w:pPr>
      <w:r w:rsidRPr="00060474">
        <w:rPr>
          <w:rFonts w:cs="Arial"/>
          <w:sz w:val="22"/>
        </w:rPr>
        <w:lastRenderedPageBreak/>
        <w:t>Rental Affordability</w:t>
      </w:r>
    </w:p>
    <w:p w:rsidR="0047763C" w:rsidRPr="00060474" w:rsidRDefault="00B50D36" w:rsidP="006A4E6B">
      <w:r w:rsidRPr="00060474">
        <w:t>T</w:t>
      </w:r>
      <w:r w:rsidR="0047763C" w:rsidRPr="00060474">
        <w:t>he proportion of all new lettings that were affordable ac</w:t>
      </w:r>
      <w:r w:rsidR="00060474">
        <w:t>ross the state increased to 17.3</w:t>
      </w:r>
      <w:r w:rsidR="0047763C" w:rsidRPr="00060474">
        <w:t xml:space="preserve"> per cent in the </w:t>
      </w:r>
      <w:r w:rsidR="00D429F4" w:rsidRPr="00060474">
        <w:t>June</w:t>
      </w:r>
      <w:r w:rsidR="0047763C" w:rsidRPr="00060474">
        <w:t xml:space="preserve"> quarter</w:t>
      </w:r>
      <w:r w:rsidR="00E4154A" w:rsidRPr="00060474">
        <w:t>,</w:t>
      </w:r>
      <w:r w:rsidR="0047763C" w:rsidRPr="00060474">
        <w:t xml:space="preserve"> compared with </w:t>
      </w:r>
      <w:r w:rsidR="00060474">
        <w:t>14.8</w:t>
      </w:r>
      <w:r w:rsidRPr="00060474">
        <w:t xml:space="preserve"> per cent in </w:t>
      </w:r>
      <w:r w:rsidR="002E047A" w:rsidRPr="00060474">
        <w:t xml:space="preserve">the </w:t>
      </w:r>
      <w:r w:rsidR="00060474">
        <w:t>March quarter 2017 and 19.2</w:t>
      </w:r>
      <w:r w:rsidR="00E32D36" w:rsidRPr="00060474">
        <w:t xml:space="preserve"> per cent in the </w:t>
      </w:r>
      <w:r w:rsidR="00D429F4" w:rsidRPr="00060474">
        <w:t>June</w:t>
      </w:r>
      <w:r w:rsidR="005123E9" w:rsidRPr="00060474">
        <w:t xml:space="preserve"> </w:t>
      </w:r>
      <w:r w:rsidR="002E047A" w:rsidRPr="00060474">
        <w:t xml:space="preserve">quarter </w:t>
      </w:r>
      <w:r w:rsidR="00AF7CDF" w:rsidRPr="00060474">
        <w:t>2016</w:t>
      </w:r>
      <w:r w:rsidR="0047763C" w:rsidRPr="00060474">
        <w:t>.</w:t>
      </w:r>
    </w:p>
    <w:p w:rsidR="0047763C" w:rsidRPr="00060474" w:rsidRDefault="0047763C" w:rsidP="006A4E6B"/>
    <w:p w:rsidR="0047763C" w:rsidRPr="00060474" w:rsidRDefault="002B0F13" w:rsidP="006A4E6B">
      <w:r w:rsidRPr="00060474">
        <w:t>In Metropolitan Melbourne, t</w:t>
      </w:r>
      <w:r w:rsidR="002E047A" w:rsidRPr="00060474">
        <w:t>he proportion of affordable new letting</w:t>
      </w:r>
      <w:r w:rsidR="00060474">
        <w:t>s in</w:t>
      </w:r>
      <w:r w:rsidR="005F0D91" w:rsidRPr="00060474">
        <w:t>creased</w:t>
      </w:r>
      <w:r w:rsidR="002E047A" w:rsidRPr="00060474">
        <w:t xml:space="preserve"> </w:t>
      </w:r>
      <w:r w:rsidR="005F0D91" w:rsidRPr="00060474">
        <w:t>to</w:t>
      </w:r>
      <w:r w:rsidR="0047763C" w:rsidRPr="00060474">
        <w:t xml:space="preserve"> </w:t>
      </w:r>
      <w:r w:rsidR="00060474">
        <w:t>6.6</w:t>
      </w:r>
      <w:r w:rsidR="0047763C" w:rsidRPr="00060474">
        <w:t xml:space="preserve"> per cent</w:t>
      </w:r>
      <w:r w:rsidR="00067947" w:rsidRPr="00067947">
        <w:t xml:space="preserve"> </w:t>
      </w:r>
      <w:r w:rsidR="00067947" w:rsidRPr="00060474">
        <w:t xml:space="preserve">in </w:t>
      </w:r>
      <w:r w:rsidR="00067947">
        <w:t xml:space="preserve">the </w:t>
      </w:r>
      <w:r w:rsidR="00067947" w:rsidRPr="00060474">
        <w:t xml:space="preserve">June </w:t>
      </w:r>
      <w:r w:rsidR="00067947">
        <w:t>quarter 20</w:t>
      </w:r>
      <w:r w:rsidR="00067947" w:rsidRPr="00060474">
        <w:t>17</w:t>
      </w:r>
      <w:r w:rsidRPr="00060474">
        <w:t>, compared</w:t>
      </w:r>
      <w:r w:rsidR="007D55DC" w:rsidRPr="00060474">
        <w:t xml:space="preserve"> with </w:t>
      </w:r>
      <w:r w:rsidR="00060474">
        <w:t>5.8</w:t>
      </w:r>
      <w:r w:rsidR="0053497C" w:rsidRPr="00060474">
        <w:t xml:space="preserve"> per cent in the </w:t>
      </w:r>
      <w:r w:rsidR="00060474">
        <w:t>March quarter 2017 and 8.2</w:t>
      </w:r>
      <w:r w:rsidR="000F433B" w:rsidRPr="00060474">
        <w:t xml:space="preserve"> per cent in the </w:t>
      </w:r>
      <w:r w:rsidR="00D429F4" w:rsidRPr="00060474">
        <w:t>June</w:t>
      </w:r>
      <w:r w:rsidR="005123E9" w:rsidRPr="00060474">
        <w:t xml:space="preserve"> quarter </w:t>
      </w:r>
      <w:r w:rsidR="00AF7CDF" w:rsidRPr="00060474">
        <w:t>2016</w:t>
      </w:r>
      <w:r w:rsidR="000F433B" w:rsidRPr="00060474">
        <w:t>.</w:t>
      </w:r>
    </w:p>
    <w:p w:rsidR="0047763C" w:rsidRPr="00060474" w:rsidRDefault="0047763C" w:rsidP="006A4E6B"/>
    <w:p w:rsidR="0047763C" w:rsidRPr="00060474" w:rsidRDefault="002B0F13" w:rsidP="006A4E6B">
      <w:r w:rsidRPr="00060474">
        <w:t>In Regional Victoria, t</w:t>
      </w:r>
      <w:r w:rsidR="0047763C" w:rsidRPr="00060474">
        <w:t xml:space="preserve">he proportion of affordable rental lettings </w:t>
      </w:r>
      <w:r w:rsidR="00060474">
        <w:t>in</w:t>
      </w:r>
      <w:r w:rsidR="00C35516" w:rsidRPr="00060474">
        <w:t>creased</w:t>
      </w:r>
      <w:r w:rsidR="007D55DC" w:rsidRPr="00060474">
        <w:t xml:space="preserve"> to </w:t>
      </w:r>
      <w:r w:rsidR="00060474">
        <w:t>57.6</w:t>
      </w:r>
      <w:r w:rsidR="00FD3336" w:rsidRPr="00060474">
        <w:t xml:space="preserve"> per cent</w:t>
      </w:r>
      <w:r w:rsidR="0042566E" w:rsidRPr="00060474">
        <w:t>,</w:t>
      </w:r>
      <w:r w:rsidRPr="00060474">
        <w:t xml:space="preserve"> compared</w:t>
      </w:r>
      <w:r w:rsidR="00060474">
        <w:t xml:space="preserve"> with 54.7</w:t>
      </w:r>
      <w:r w:rsidR="0047763C" w:rsidRPr="00060474">
        <w:t xml:space="preserve"> per cent in the </w:t>
      </w:r>
      <w:r w:rsidR="00060474">
        <w:t>March quarter 2017 and 59.2</w:t>
      </w:r>
      <w:r w:rsidR="005F0D91" w:rsidRPr="00060474">
        <w:t xml:space="preserve"> per cent </w:t>
      </w:r>
      <w:r w:rsidR="0047763C" w:rsidRPr="00060474">
        <w:t xml:space="preserve">in the </w:t>
      </w:r>
      <w:r w:rsidR="00D429F4" w:rsidRPr="00060474">
        <w:t>June</w:t>
      </w:r>
      <w:r w:rsidR="0053497C" w:rsidRPr="00060474">
        <w:t xml:space="preserve"> quarter </w:t>
      </w:r>
      <w:r w:rsidR="00AF7CDF" w:rsidRPr="00060474">
        <w:t>2016</w:t>
      </w:r>
      <w:r w:rsidR="000F433B" w:rsidRPr="00060474">
        <w:t>.</w:t>
      </w:r>
    </w:p>
    <w:p w:rsidR="0047763C" w:rsidRPr="00060474" w:rsidRDefault="0047763C" w:rsidP="006A4E6B"/>
    <w:p w:rsidR="0047763C" w:rsidRPr="00180B5B" w:rsidRDefault="0047763C">
      <w:pPr>
        <w:pStyle w:val="DHSHeadingA"/>
        <w:spacing w:after="240"/>
      </w:pPr>
      <w:r w:rsidRPr="00180B5B">
        <w:br w:type="page"/>
      </w:r>
      <w:r w:rsidRPr="00180B5B">
        <w:lastRenderedPageBreak/>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6A4E6B">
      <w:r w:rsidRPr="000F3B39">
        <w:t xml:space="preserve">Table 1 shows median rents, rent indices and changes in the rent indices at </w:t>
      </w:r>
      <w:r w:rsidR="00D429F4">
        <w:t>June</w:t>
      </w:r>
      <w:r w:rsidR="005212AA">
        <w:t xml:space="preserve"> </w:t>
      </w:r>
      <w:r w:rsidR="0059429B">
        <w:t>2017</w:t>
      </w:r>
      <w:r w:rsidRPr="000F3B39">
        <w:t xml:space="preserve">. </w:t>
      </w:r>
      <w:r w:rsidR="005212AA">
        <w:t>T</w:t>
      </w:r>
      <w:r w:rsidRPr="000F3B39">
        <w:t xml:space="preserve">he Metropolitan Rent Index (MRI) </w:t>
      </w:r>
      <w:r w:rsidR="005212AA">
        <w:t>in</w:t>
      </w:r>
      <w:r w:rsidR="00B50D36">
        <w:t xml:space="preserve">creased </w:t>
      </w:r>
      <w:r w:rsidR="00E66717">
        <w:t>by 1.5</w:t>
      </w:r>
      <w:r w:rsidR="005212AA">
        <w:t xml:space="preserve"> per cent </w:t>
      </w:r>
      <w:r w:rsidR="00B50D36">
        <w:t xml:space="preserve">in the </w:t>
      </w:r>
      <w:r w:rsidR="00D429F4">
        <w:t>June</w:t>
      </w:r>
      <w:r w:rsidR="00B50D36">
        <w:t xml:space="preserve"> quarter</w:t>
      </w:r>
      <w:r w:rsidR="005212AA">
        <w:t xml:space="preserve">. The </w:t>
      </w:r>
      <w:r w:rsidRPr="000F3B39">
        <w:t xml:space="preserve">median rent for Melbourne </w:t>
      </w:r>
      <w:r w:rsidR="00BF2B9D">
        <w:t>remained steady on</w:t>
      </w:r>
      <w:r w:rsidR="00D728F5">
        <w:t xml:space="preserve"> </w:t>
      </w:r>
      <w:r w:rsidR="0059429B">
        <w:t>$40</w:t>
      </w:r>
      <w:r w:rsidR="005A3B3B">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BF2B9D">
        <w:t>by 0.3</w:t>
      </w:r>
      <w:r w:rsidR="00F03559">
        <w:t xml:space="preserve"> per cent in the </w:t>
      </w:r>
      <w:r w:rsidR="00D429F4">
        <w:t>June</w:t>
      </w:r>
      <w:r w:rsidR="00F03559">
        <w:t xml:space="preserve"> quarter and </w:t>
      </w:r>
      <w:r w:rsidRPr="000F3B39">
        <w:t xml:space="preserve">the median rent for Regional Victoria </w:t>
      </w:r>
      <w:r w:rsidR="00BF2B9D">
        <w:t>remained steady on</w:t>
      </w:r>
      <w:r w:rsidR="00F03559">
        <w:t xml:space="preserve"> $2</w:t>
      </w:r>
      <w:r w:rsidR="0059429B">
        <w:t>90</w:t>
      </w:r>
      <w:r w:rsidRPr="000F3B39">
        <w:t xml:space="preserve"> per week.</w:t>
      </w:r>
      <w:r w:rsidR="0027538A">
        <w:t xml:space="preserve"> </w:t>
      </w:r>
    </w:p>
    <w:p w:rsidR="0047763C" w:rsidRPr="000F3B39" w:rsidRDefault="0047763C" w:rsidP="006A4E6B"/>
    <w:p w:rsidR="0047763C" w:rsidRDefault="0047763C" w:rsidP="006A4E6B">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FF02DF" w:rsidP="00FF02DF">
      <w:pPr>
        <w:pStyle w:val="DHSheadingD"/>
        <w:rPr>
          <w:rFonts w:cs="Arial"/>
          <w:lang w:val="en-US"/>
        </w:rPr>
      </w:pPr>
      <w:r w:rsidRPr="00706644">
        <w:rPr>
          <w:rFonts w:cs="Arial"/>
          <w:lang w:val="en-US"/>
        </w:rPr>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FF02DF" w:rsidRPr="0036384D" w:rsidTr="00C52826">
        <w:tc>
          <w:tcPr>
            <w:tcW w:w="2552" w:type="dxa"/>
            <w:tcBorders>
              <w:top w:val="single" w:sz="18" w:space="0" w:color="9DAECB"/>
              <w:bottom w:val="single" w:sz="12" w:space="0" w:color="9DAECB"/>
            </w:tcBorders>
          </w:tcPr>
          <w:p w:rsidR="00FF02DF" w:rsidRPr="00C95655" w:rsidRDefault="00FF02DF" w:rsidP="00C52826">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FF02DF" w:rsidRPr="00C95655" w:rsidRDefault="00FF02DF" w:rsidP="00C52826">
            <w:pPr>
              <w:pStyle w:val="DHSbodycopytable"/>
              <w:spacing w:after="0"/>
              <w:jc w:val="center"/>
              <w:rPr>
                <w:rFonts w:cs="Arial"/>
                <w:b/>
                <w:bCs/>
                <w:sz w:val="20"/>
              </w:rPr>
            </w:pPr>
            <w:r w:rsidRPr="00C95655">
              <w:rPr>
                <w:rFonts w:cs="Arial"/>
                <w:b/>
                <w:bCs/>
                <w:sz w:val="20"/>
              </w:rPr>
              <w:t>Median Rent</w:t>
            </w:r>
            <w:r>
              <w:rPr>
                <w:rFonts w:cs="Arial"/>
                <w:b/>
                <w:bCs/>
                <w:sz w:val="20"/>
              </w:rPr>
              <w:br/>
              <w:t>(per week)</w:t>
            </w:r>
          </w:p>
        </w:tc>
        <w:tc>
          <w:tcPr>
            <w:tcW w:w="1999" w:type="dxa"/>
            <w:tcBorders>
              <w:top w:val="single" w:sz="18" w:space="0" w:color="9DAECB"/>
              <w:bottom w:val="single" w:sz="12" w:space="0" w:color="9DAECB"/>
            </w:tcBorders>
            <w:vAlign w:val="center"/>
          </w:tcPr>
          <w:p w:rsidR="00FF02DF" w:rsidRPr="00C95655" w:rsidRDefault="00FF02DF" w:rsidP="00C52826">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FF02DF" w:rsidRPr="00C95655" w:rsidRDefault="00FF02DF" w:rsidP="00C52826">
            <w:pPr>
              <w:pStyle w:val="DHSbodycopytable"/>
              <w:spacing w:after="0"/>
              <w:jc w:val="center"/>
              <w:rPr>
                <w:rFonts w:cs="Arial"/>
                <w:b/>
                <w:bCs/>
                <w:sz w:val="20"/>
              </w:rPr>
            </w:pPr>
            <w:r>
              <w:rPr>
                <w:rFonts w:cs="Arial"/>
                <w:b/>
                <w:bCs/>
                <w:sz w:val="20"/>
              </w:rPr>
              <w:t>Quarterly</w:t>
            </w:r>
            <w:r>
              <w:rPr>
                <w:rFonts w:cs="Arial"/>
                <w:b/>
                <w:bCs/>
                <w:sz w:val="20"/>
              </w:rPr>
              <w:br/>
            </w:r>
            <w:r w:rsidRPr="00C95655">
              <w:rPr>
                <w:rFonts w:cs="Arial"/>
                <w:b/>
                <w:bCs/>
                <w:sz w:val="20"/>
              </w:rPr>
              <w:t>Change*</w:t>
            </w:r>
          </w:p>
        </w:tc>
        <w:tc>
          <w:tcPr>
            <w:tcW w:w="1985" w:type="dxa"/>
            <w:tcBorders>
              <w:top w:val="single" w:sz="18" w:space="0" w:color="9DAECB"/>
              <w:bottom w:val="single" w:sz="12" w:space="0" w:color="9DAECB"/>
            </w:tcBorders>
            <w:vAlign w:val="center"/>
          </w:tcPr>
          <w:p w:rsidR="00FF02DF" w:rsidRPr="00C95655" w:rsidRDefault="00FF02DF" w:rsidP="00C52826">
            <w:pPr>
              <w:pStyle w:val="DHSbodycopytable"/>
              <w:spacing w:after="0"/>
              <w:jc w:val="center"/>
              <w:rPr>
                <w:rFonts w:cs="Arial"/>
                <w:b/>
                <w:bCs/>
                <w:sz w:val="20"/>
              </w:rPr>
            </w:pPr>
            <w:r>
              <w:rPr>
                <w:rFonts w:cs="Arial"/>
                <w:b/>
                <w:bCs/>
                <w:sz w:val="20"/>
              </w:rPr>
              <w:t>Annual</w:t>
            </w:r>
            <w:r>
              <w:rPr>
                <w:rFonts w:cs="Arial"/>
                <w:b/>
                <w:bCs/>
                <w:sz w:val="20"/>
              </w:rPr>
              <w:br/>
            </w:r>
            <w:r w:rsidRPr="00C95655">
              <w:rPr>
                <w:rFonts w:cs="Arial"/>
                <w:b/>
                <w:bCs/>
                <w:sz w:val="20"/>
              </w:rPr>
              <w:t>Change*</w:t>
            </w:r>
          </w:p>
        </w:tc>
      </w:tr>
      <w:tr w:rsidR="0007692A" w:rsidRPr="0036384D" w:rsidTr="0007692A">
        <w:trPr>
          <w:trHeight w:hRule="exact" w:val="340"/>
        </w:trPr>
        <w:tc>
          <w:tcPr>
            <w:tcW w:w="2552" w:type="dxa"/>
            <w:tcBorders>
              <w:top w:val="single" w:sz="12" w:space="0" w:color="9DAECB"/>
            </w:tcBorders>
            <w:vAlign w:val="center"/>
          </w:tcPr>
          <w:p w:rsidR="0007692A" w:rsidRPr="00C95655" w:rsidRDefault="0007692A" w:rsidP="0007692A">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rsidR="0007692A" w:rsidRPr="00965FA9" w:rsidRDefault="0007692A" w:rsidP="0007692A">
            <w:pPr>
              <w:jc w:val="center"/>
            </w:pPr>
            <w:r w:rsidRPr="00965FA9">
              <w:t>$400</w:t>
            </w:r>
          </w:p>
        </w:tc>
        <w:tc>
          <w:tcPr>
            <w:tcW w:w="1999" w:type="dxa"/>
            <w:tcBorders>
              <w:top w:val="single" w:sz="12" w:space="0" w:color="9DAECB"/>
            </w:tcBorders>
            <w:vAlign w:val="center"/>
          </w:tcPr>
          <w:p w:rsidR="0007692A" w:rsidRPr="00965FA9" w:rsidRDefault="0007692A" w:rsidP="0007692A">
            <w:pPr>
              <w:jc w:val="center"/>
            </w:pPr>
            <w:r w:rsidRPr="00965FA9">
              <w:t>226.3</w:t>
            </w:r>
          </w:p>
        </w:tc>
        <w:tc>
          <w:tcPr>
            <w:tcW w:w="1985" w:type="dxa"/>
            <w:tcBorders>
              <w:top w:val="single" w:sz="12" w:space="0" w:color="9DAECB"/>
            </w:tcBorders>
            <w:shd w:val="clear" w:color="auto" w:fill="DEE4EE"/>
            <w:vAlign w:val="center"/>
          </w:tcPr>
          <w:p w:rsidR="0007692A" w:rsidRPr="00965FA9" w:rsidRDefault="0007692A" w:rsidP="0007692A">
            <w:pPr>
              <w:jc w:val="center"/>
            </w:pPr>
            <w:r w:rsidRPr="00965FA9">
              <w:t>1.5%</w:t>
            </w:r>
          </w:p>
        </w:tc>
        <w:tc>
          <w:tcPr>
            <w:tcW w:w="1985" w:type="dxa"/>
            <w:tcBorders>
              <w:top w:val="single" w:sz="12" w:space="0" w:color="9DAECB"/>
            </w:tcBorders>
            <w:vAlign w:val="center"/>
          </w:tcPr>
          <w:p w:rsidR="0007692A" w:rsidRPr="00965FA9" w:rsidRDefault="0007692A" w:rsidP="0007692A">
            <w:pPr>
              <w:jc w:val="center"/>
            </w:pPr>
            <w:r w:rsidRPr="00965FA9">
              <w:t>4.2%</w:t>
            </w:r>
          </w:p>
        </w:tc>
      </w:tr>
      <w:tr w:rsidR="0007692A" w:rsidRPr="0036384D" w:rsidTr="0007692A">
        <w:trPr>
          <w:trHeight w:hRule="exact" w:val="340"/>
        </w:trPr>
        <w:tc>
          <w:tcPr>
            <w:tcW w:w="2552" w:type="dxa"/>
            <w:vAlign w:val="center"/>
          </w:tcPr>
          <w:p w:rsidR="0007692A" w:rsidRPr="00C95655" w:rsidRDefault="0007692A" w:rsidP="0007692A">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rsidR="0007692A" w:rsidRPr="00965FA9" w:rsidRDefault="0007692A" w:rsidP="0007692A">
            <w:pPr>
              <w:jc w:val="center"/>
            </w:pPr>
            <w:r w:rsidRPr="00965FA9">
              <w:t>$290</w:t>
            </w:r>
          </w:p>
        </w:tc>
        <w:tc>
          <w:tcPr>
            <w:tcW w:w="1999" w:type="dxa"/>
            <w:vAlign w:val="center"/>
          </w:tcPr>
          <w:p w:rsidR="0007692A" w:rsidRPr="00965FA9" w:rsidRDefault="0007692A" w:rsidP="0007692A">
            <w:pPr>
              <w:jc w:val="center"/>
            </w:pPr>
            <w:r w:rsidRPr="00965FA9">
              <w:t>216.8</w:t>
            </w:r>
          </w:p>
        </w:tc>
        <w:tc>
          <w:tcPr>
            <w:tcW w:w="1985" w:type="dxa"/>
            <w:shd w:val="clear" w:color="auto" w:fill="DEE4EE"/>
            <w:vAlign w:val="center"/>
          </w:tcPr>
          <w:p w:rsidR="0007692A" w:rsidRPr="00965FA9" w:rsidRDefault="0007692A" w:rsidP="0007692A">
            <w:pPr>
              <w:jc w:val="center"/>
            </w:pPr>
            <w:r w:rsidRPr="00965FA9">
              <w:t>0.3%</w:t>
            </w:r>
          </w:p>
        </w:tc>
        <w:tc>
          <w:tcPr>
            <w:tcW w:w="1985" w:type="dxa"/>
            <w:vAlign w:val="center"/>
          </w:tcPr>
          <w:p w:rsidR="0007692A" w:rsidRPr="00965FA9" w:rsidRDefault="0007692A" w:rsidP="0007692A">
            <w:pPr>
              <w:jc w:val="center"/>
            </w:pPr>
            <w:r w:rsidRPr="00965FA9">
              <w:t>3.0%</w:t>
            </w:r>
          </w:p>
        </w:tc>
      </w:tr>
      <w:tr w:rsidR="0007692A" w:rsidRPr="0036384D" w:rsidTr="0007692A">
        <w:trPr>
          <w:trHeight w:hRule="exact" w:val="340"/>
        </w:trPr>
        <w:tc>
          <w:tcPr>
            <w:tcW w:w="2552" w:type="dxa"/>
            <w:vAlign w:val="center"/>
          </w:tcPr>
          <w:p w:rsidR="0007692A" w:rsidRPr="00C95655" w:rsidRDefault="0007692A" w:rsidP="0007692A">
            <w:pPr>
              <w:pStyle w:val="DHSbodycopytable"/>
              <w:spacing w:after="0"/>
              <w:rPr>
                <w:rFonts w:cs="Arial"/>
                <w:b/>
                <w:bCs/>
                <w:sz w:val="20"/>
              </w:rPr>
            </w:pPr>
            <w:r w:rsidRPr="00C95655">
              <w:rPr>
                <w:rFonts w:cs="Arial"/>
                <w:bCs/>
                <w:sz w:val="20"/>
              </w:rPr>
              <w:t>Victoria</w:t>
            </w:r>
          </w:p>
        </w:tc>
        <w:tc>
          <w:tcPr>
            <w:tcW w:w="1985" w:type="dxa"/>
            <w:shd w:val="clear" w:color="auto" w:fill="DEE4EE"/>
            <w:vAlign w:val="center"/>
          </w:tcPr>
          <w:p w:rsidR="0007692A" w:rsidRPr="00965FA9" w:rsidRDefault="0007692A" w:rsidP="0007692A">
            <w:pPr>
              <w:jc w:val="center"/>
            </w:pPr>
            <w:r w:rsidRPr="00965FA9">
              <w:t>$380</w:t>
            </w:r>
          </w:p>
        </w:tc>
        <w:tc>
          <w:tcPr>
            <w:tcW w:w="1999" w:type="dxa"/>
            <w:vAlign w:val="center"/>
          </w:tcPr>
          <w:p w:rsidR="0007692A" w:rsidRPr="00965FA9" w:rsidRDefault="0007692A" w:rsidP="0007692A">
            <w:pPr>
              <w:jc w:val="center"/>
            </w:pPr>
            <w:r w:rsidRPr="00965FA9">
              <w:t>222.9</w:t>
            </w:r>
          </w:p>
        </w:tc>
        <w:tc>
          <w:tcPr>
            <w:tcW w:w="1985" w:type="dxa"/>
            <w:shd w:val="clear" w:color="auto" w:fill="DEE4EE"/>
            <w:vAlign w:val="center"/>
          </w:tcPr>
          <w:p w:rsidR="0007692A" w:rsidRPr="00965FA9" w:rsidRDefault="0007692A" w:rsidP="0007692A">
            <w:pPr>
              <w:jc w:val="center"/>
            </w:pPr>
            <w:r w:rsidRPr="00965FA9">
              <w:t>1.4%</w:t>
            </w:r>
          </w:p>
        </w:tc>
        <w:tc>
          <w:tcPr>
            <w:tcW w:w="1985" w:type="dxa"/>
            <w:vAlign w:val="center"/>
          </w:tcPr>
          <w:p w:rsidR="0007692A" w:rsidRDefault="0007692A" w:rsidP="0007692A">
            <w:pPr>
              <w:jc w:val="center"/>
            </w:pPr>
            <w:r w:rsidRPr="00965FA9">
              <w:t>4.1%</w:t>
            </w:r>
          </w:p>
        </w:tc>
      </w:tr>
    </w:tbl>
    <w:p w:rsidR="00FF02DF" w:rsidRPr="006A259B" w:rsidRDefault="00FF02DF" w:rsidP="00FF02DF">
      <w:pPr>
        <w:pStyle w:val="Footnote"/>
        <w:jc w:val="left"/>
        <w:rPr>
          <w:rFonts w:cs="Arial"/>
          <w:color w:val="auto"/>
          <w:sz w:val="16"/>
        </w:rPr>
      </w:pPr>
      <w:r w:rsidRPr="006A259B">
        <w:rPr>
          <w:rFonts w:cs="Arial"/>
          <w:color w:val="auto"/>
          <w:sz w:val="16"/>
        </w:rPr>
        <w:t>* Percentage change figures are calculated from relevant Rent Index</w:t>
      </w:r>
    </w:p>
    <w:p w:rsidR="00FF02DF" w:rsidRPr="008C44FD" w:rsidRDefault="00FF02DF" w:rsidP="006A4E6B"/>
    <w:p w:rsidR="00FF02DF" w:rsidRPr="000F3B39" w:rsidRDefault="00FF02DF" w:rsidP="006A4E6B">
      <w:pPr>
        <w:rPr>
          <w:szCs w:val="20"/>
        </w:rPr>
      </w:pPr>
      <w:r>
        <w:rPr>
          <w:szCs w:val="20"/>
        </w:rPr>
        <w:t>Figure 1 shows the annual percentage change in the Metropolitan Rent Index and the Regional Rent Index over the past 10 years.</w:t>
      </w:r>
    </w:p>
    <w:p w:rsidR="0047763C" w:rsidRPr="000F3B39" w:rsidRDefault="0047763C" w:rsidP="006A4E6B">
      <w:pPr>
        <w:rPr>
          <w:szCs w:val="20"/>
        </w:rPr>
      </w:pPr>
    </w:p>
    <w:p w:rsidR="0047763C" w:rsidRPr="00CD29A6" w:rsidRDefault="0047763C" w:rsidP="003B398B">
      <w:pPr>
        <w:rPr>
          <w:rFonts w:cs="Arial"/>
          <w:b/>
          <w:sz w:val="20"/>
          <w:szCs w:val="20"/>
        </w:rPr>
      </w:pPr>
      <w:r w:rsidRPr="00CD29A6">
        <w:rPr>
          <w:rFonts w:cs="Arial"/>
          <w:b/>
          <w:sz w:val="20"/>
          <w:szCs w:val="20"/>
        </w:rPr>
        <w:t>Figure 1</w:t>
      </w:r>
      <w:r w:rsidR="00665DCF">
        <w:rPr>
          <w:rFonts w:cs="Arial"/>
          <w:b/>
          <w:sz w:val="20"/>
          <w:szCs w:val="20"/>
        </w:rPr>
        <w:t>:</w:t>
      </w:r>
      <w:r w:rsidRPr="00CD29A6">
        <w:rPr>
          <w:rFonts w:cs="Arial"/>
          <w:b/>
          <w:sz w:val="20"/>
          <w:szCs w:val="20"/>
        </w:rPr>
        <w:t xml:space="preserve"> Metropolitan Rent Index and Regional Rent Index - </w:t>
      </w:r>
      <w:r w:rsidRPr="00CD29A6">
        <w:rPr>
          <w:rFonts w:cs="Arial"/>
          <w:b/>
          <w:sz w:val="20"/>
          <w:szCs w:val="20"/>
          <w:lang w:eastAsia="en-AU"/>
        </w:rPr>
        <w:t>annual percent</w:t>
      </w:r>
      <w:r w:rsidR="00B50D36">
        <w:rPr>
          <w:rFonts w:cs="Arial"/>
          <w:b/>
          <w:sz w:val="20"/>
          <w:szCs w:val="20"/>
          <w:lang w:eastAsia="en-AU"/>
        </w:rPr>
        <w:t>age</w:t>
      </w:r>
      <w:r w:rsidRPr="00CD29A6">
        <w:rPr>
          <w:rFonts w:cs="Arial"/>
          <w:b/>
          <w:sz w:val="20"/>
          <w:szCs w:val="20"/>
          <w:lang w:eastAsia="en-AU"/>
        </w:rPr>
        <w:t xml:space="preserve"> change</w:t>
      </w:r>
    </w:p>
    <w:p w:rsidR="002D716F" w:rsidRDefault="00DF3112" w:rsidP="003B398B">
      <w:pPr>
        <w:rPr>
          <w:rFonts w:cs="Arial"/>
        </w:rPr>
      </w:pPr>
      <w:r>
        <w:rPr>
          <w:noProof/>
          <w:lang w:eastAsia="en-AU"/>
        </w:rPr>
        <w:drawing>
          <wp:inline distT="0" distB="0" distL="0" distR="0" wp14:anchorId="1D39FE0C" wp14:editId="5DE5F70E">
            <wp:extent cx="5441654" cy="2842435"/>
            <wp:effectExtent l="0" t="0" r="6985" b="0"/>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7763C" w:rsidRPr="00D55A3B" w:rsidRDefault="0047763C" w:rsidP="00000681">
      <w:pPr>
        <w:pStyle w:val="DHSHeadingC"/>
      </w:pPr>
      <w:r w:rsidRPr="00D55A3B">
        <w:t>Metropolitan Rent Index</w:t>
      </w:r>
    </w:p>
    <w:p w:rsidR="0047763C" w:rsidRPr="000F3B39" w:rsidRDefault="0047763C" w:rsidP="006A4E6B">
      <w:r w:rsidRPr="000F3B39">
        <w:t xml:space="preserve">The annual increase of </w:t>
      </w:r>
      <w:r w:rsidR="009E3C23">
        <w:t>4.2</w:t>
      </w:r>
      <w:r w:rsidRPr="000F3B39">
        <w:t xml:space="preserve"> per cent in the MRI </w:t>
      </w:r>
      <w:r>
        <w:t>to</w:t>
      </w:r>
      <w:r w:rsidRPr="000F3B39">
        <w:t xml:space="preserve"> the </w:t>
      </w:r>
      <w:r w:rsidR="00D429F4">
        <w:t>June</w:t>
      </w:r>
      <w:r w:rsidRPr="000F3B39">
        <w:t xml:space="preserve"> quarter </w:t>
      </w:r>
      <w:r w:rsidR="0059429B">
        <w:t>2017</w:t>
      </w:r>
      <w:r w:rsidRPr="000F3B39">
        <w:t xml:space="preserve"> </w:t>
      </w:r>
      <w:r w:rsidR="00D55A3B">
        <w:t>is</w:t>
      </w:r>
      <w:r w:rsidRPr="000F3B39">
        <w:t xml:space="preserve"> </w:t>
      </w:r>
      <w:r w:rsidR="00B22F3F">
        <w:t>above</w:t>
      </w:r>
      <w:r w:rsidRPr="000F3B39">
        <w:t xml:space="preserve"> that of a year ago (</w:t>
      </w:r>
      <w:r w:rsidR="0059429B">
        <w:t>3.</w:t>
      </w:r>
      <w:r w:rsidR="009E3C23">
        <w:t>6</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Pr="000F3B39">
        <w:t>below the lon</w:t>
      </w:r>
      <w:r w:rsidR="009E3C23">
        <w:t>g-</w:t>
      </w:r>
      <w:r w:rsidR="00F03559">
        <w:t>term (1</w:t>
      </w:r>
      <w:r w:rsidR="009E3C23">
        <w:t>0 years) average of 4.6</w:t>
      </w:r>
      <w:r w:rsidRPr="000F3B39">
        <w:t xml:space="preserve"> per cent.</w:t>
      </w:r>
    </w:p>
    <w:p w:rsidR="0047763C" w:rsidRPr="000F3B39" w:rsidRDefault="0047763C" w:rsidP="006A4E6B"/>
    <w:p w:rsidR="0047763C" w:rsidRPr="000F3B39" w:rsidRDefault="00D55A3B" w:rsidP="006A4E6B">
      <w:r>
        <w:t xml:space="preserve">In the </w:t>
      </w:r>
      <w:r w:rsidR="00D429F4">
        <w:t>June</w:t>
      </w:r>
      <w:r>
        <w:t xml:space="preserve"> quarter,</w:t>
      </w:r>
      <w:r w:rsidR="0047763C" w:rsidRPr="000F3B39">
        <w:t xml:space="preserve"> the MRI </w:t>
      </w:r>
      <w:r w:rsidR="009E3C23">
        <w:t>increased by 1.5</w:t>
      </w:r>
      <w:r w:rsidR="0047763C" w:rsidRPr="000F3B39">
        <w:t xml:space="preserve"> per cent, </w:t>
      </w:r>
      <w:r w:rsidR="0027538A">
        <w:t xml:space="preserve">compared with a </w:t>
      </w:r>
      <w:r w:rsidR="009E3C23">
        <w:t>1.2</w:t>
      </w:r>
      <w:r>
        <w:t xml:space="preserve"> per cent increase in the previous quarter</w:t>
      </w:r>
      <w:r w:rsidR="0047763C" w:rsidRPr="000F3B39">
        <w:t xml:space="preserve"> and </w:t>
      </w:r>
      <w:r w:rsidR="009E3C23">
        <w:t>a 1.1</w:t>
      </w:r>
      <w:r w:rsidR="00F03559">
        <w:t xml:space="preserve"> per cent increase </w:t>
      </w:r>
      <w:r>
        <w:t xml:space="preserve">in </w:t>
      </w:r>
      <w:r w:rsidR="0047763C" w:rsidRPr="000F3B39">
        <w:t xml:space="preserve">the </w:t>
      </w:r>
      <w:r w:rsidR="00D429F4">
        <w:t>June</w:t>
      </w:r>
      <w:r w:rsidR="0023166F">
        <w:t xml:space="preserve"> </w:t>
      </w:r>
      <w:r w:rsidR="00F03559">
        <w:t xml:space="preserve">quarter </w:t>
      </w:r>
      <w:r w:rsidR="00DF2C68">
        <w:t>last year</w:t>
      </w:r>
      <w:r w:rsidR="0047763C" w:rsidRPr="000F3B39">
        <w:t xml:space="preserve">. </w:t>
      </w:r>
    </w:p>
    <w:p w:rsidR="0047763C" w:rsidRPr="00EC3090" w:rsidRDefault="0047763C" w:rsidP="00000681">
      <w:pPr>
        <w:pStyle w:val="DHSHeadingC"/>
      </w:pPr>
      <w:r w:rsidRPr="00EC3090">
        <w:lastRenderedPageBreak/>
        <w:t>Regional Rent Index</w:t>
      </w:r>
    </w:p>
    <w:p w:rsidR="0047763C" w:rsidRDefault="0047763C" w:rsidP="006A4E6B">
      <w:r w:rsidRPr="000F3B39">
        <w:t xml:space="preserve">The annual </w:t>
      </w:r>
      <w:r w:rsidR="0027538A">
        <w:t>increas</w:t>
      </w:r>
      <w:r w:rsidR="009E3C23">
        <w:t>e of 3.0</w:t>
      </w:r>
      <w:r w:rsidR="00AE07F6">
        <w:t xml:space="preserve"> per cent</w:t>
      </w:r>
      <w:r w:rsidRPr="000F3B39">
        <w:t xml:space="preserve"> in the RRI</w:t>
      </w:r>
      <w:r w:rsidR="00010CC3" w:rsidRPr="00010CC3">
        <w:t xml:space="preserve"> </w:t>
      </w:r>
      <w:r w:rsidR="00010CC3">
        <w:t>to</w:t>
      </w:r>
      <w:r w:rsidR="00010CC3" w:rsidRPr="000F3B39">
        <w:t xml:space="preserve"> the </w:t>
      </w:r>
      <w:r w:rsidR="00D429F4">
        <w:t>June</w:t>
      </w:r>
      <w:r w:rsidR="00010CC3" w:rsidRPr="000F3B39">
        <w:t xml:space="preserve"> </w:t>
      </w:r>
      <w:r w:rsidR="00AE07F6">
        <w:t xml:space="preserve">quarter </w:t>
      </w:r>
      <w:r w:rsidR="0059429B">
        <w:t>2017</w:t>
      </w:r>
      <w:r w:rsidR="00AE07F6">
        <w:t xml:space="preserve"> </w:t>
      </w:r>
      <w:r w:rsidR="00C06FA9">
        <w:t xml:space="preserve">is </w:t>
      </w:r>
      <w:r w:rsidR="00235DA1">
        <w:t>above</w:t>
      </w:r>
      <w:r w:rsidR="00C06FA9">
        <w:t xml:space="preserve"> that of a year ago (</w:t>
      </w:r>
      <w:r w:rsidR="009E3C23">
        <w:t>2.4</w:t>
      </w:r>
      <w:r w:rsidR="00AE07F6">
        <w:t xml:space="preserve">%) </w:t>
      </w:r>
      <w:r w:rsidRPr="000F3B39">
        <w:t>and below the l</w:t>
      </w:r>
      <w:r>
        <w:t>on</w:t>
      </w:r>
      <w:r w:rsidR="009E3C23">
        <w:t>g-</w:t>
      </w:r>
      <w:r w:rsidR="00F03559">
        <w:t xml:space="preserve">term average increase of </w:t>
      </w:r>
      <w:r w:rsidR="009E3C23">
        <w:t>3.9</w:t>
      </w:r>
      <w:r w:rsidRPr="000F3B39">
        <w:t xml:space="preserve"> per cent. </w:t>
      </w:r>
      <w:r w:rsidR="006573CE">
        <w:t xml:space="preserve">The annual change in the </w:t>
      </w:r>
      <w:r w:rsidR="009E3C23">
        <w:t>RRI has remained below the long-</w:t>
      </w:r>
      <w:r w:rsidR="006573CE">
        <w:t xml:space="preserve">term average since the </w:t>
      </w:r>
      <w:r w:rsidR="0059429B">
        <w:t>March</w:t>
      </w:r>
      <w:r w:rsidR="006573CE">
        <w:t xml:space="preserve"> quarter of 2012.</w:t>
      </w:r>
    </w:p>
    <w:p w:rsidR="00AD4E72" w:rsidRDefault="00AD4E72" w:rsidP="006A4E6B"/>
    <w:p w:rsidR="00AD4E72" w:rsidRPr="000F3B39" w:rsidRDefault="00AD4E72" w:rsidP="006A4E6B">
      <w:r w:rsidRPr="00AD4E72">
        <w:t xml:space="preserve">In the </w:t>
      </w:r>
      <w:r w:rsidR="00D429F4">
        <w:t>June</w:t>
      </w:r>
      <w:r w:rsidRPr="00AD4E72">
        <w:t xml:space="preserve"> quarter, </w:t>
      </w:r>
      <w:r>
        <w:t>the RRI</w:t>
      </w:r>
      <w:r w:rsidRPr="00AD4E72">
        <w:t xml:space="preserve"> </w:t>
      </w:r>
      <w:r w:rsidR="004C4A8B">
        <w:t>in</w:t>
      </w:r>
      <w:r w:rsidR="009E3C23">
        <w:t>creased by 0.3</w:t>
      </w:r>
      <w:r>
        <w:t xml:space="preserve"> per cent</w:t>
      </w:r>
      <w:r w:rsidRPr="00AD4E72">
        <w:t xml:space="preserve"> </w:t>
      </w:r>
      <w:r>
        <w:t xml:space="preserve">compared with </w:t>
      </w:r>
      <w:r w:rsidR="00AF4A0D">
        <w:t xml:space="preserve">a </w:t>
      </w:r>
      <w:r w:rsidR="009E3C23">
        <w:t>1.1</w:t>
      </w:r>
      <w:r w:rsidR="006573CE">
        <w:t xml:space="preserve"> per cent</w:t>
      </w:r>
      <w:r w:rsidR="00ED3D68">
        <w:t xml:space="preserve"> in</w:t>
      </w:r>
      <w:r w:rsidR="004C4A8B">
        <w:t>c</w:t>
      </w:r>
      <w:r>
        <w:t>rea</w:t>
      </w:r>
      <w:r w:rsidR="00C06FA9">
        <w:t>se in the last</w:t>
      </w:r>
      <w:r w:rsidR="00370EFE">
        <w:t xml:space="preserve"> quarter and a </w:t>
      </w:r>
      <w:r w:rsidR="009E3C23">
        <w:t>0.7</w:t>
      </w:r>
      <w:r w:rsidR="00DF2C68">
        <w:t xml:space="preserve"> </w:t>
      </w:r>
      <w:r w:rsidR="009E3C23">
        <w:t>per cent dec</w:t>
      </w:r>
      <w:r>
        <w:t>rease in the</w:t>
      </w:r>
      <w:r w:rsidRPr="00AD4E72">
        <w:t xml:space="preserve"> </w:t>
      </w:r>
      <w:r w:rsidR="00D429F4">
        <w:t>June</w:t>
      </w:r>
      <w:r w:rsidRPr="00AD4E72">
        <w:t xml:space="preserve"> quarter last</w:t>
      </w:r>
      <w:r>
        <w:t xml:space="preserve"> year</w:t>
      </w:r>
      <w:r w:rsidRPr="00AD4E72">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6A4E6B">
      <w:r w:rsidRPr="000F3B39">
        <w:t xml:space="preserve">Table 2 shows the median rents for new lettings in the </w:t>
      </w:r>
      <w:r w:rsidR="00D429F4">
        <w:t>June</w:t>
      </w:r>
      <w:r w:rsidRPr="000F3B39">
        <w:t xml:space="preserve"> quarter </w:t>
      </w:r>
      <w:r w:rsidR="0059429B">
        <w:t>2017</w:t>
      </w:r>
      <w:r w:rsidR="003D4E6D">
        <w:t xml:space="preserve"> </w:t>
      </w:r>
      <w:r w:rsidRPr="000F3B39">
        <w:t>for 14 statistical regions</w:t>
      </w:r>
      <w:r>
        <w:t xml:space="preserve"> in Victoria (9 in metropolitan Melbourne and 5 in regional Victoria)</w:t>
      </w:r>
      <w:r w:rsidRPr="000F3B39">
        <w:t xml:space="preserve">. </w:t>
      </w:r>
    </w:p>
    <w:p w:rsidR="0047763C" w:rsidRPr="000F3B39" w:rsidRDefault="0047763C" w:rsidP="006A4E6B"/>
    <w:p w:rsidR="00DB32F9" w:rsidRPr="0027538A" w:rsidRDefault="0047763C" w:rsidP="006A4E6B">
      <w:pPr>
        <w:rPr>
          <w:szCs w:val="22"/>
        </w:rPr>
      </w:pPr>
      <w:r w:rsidRPr="0027538A">
        <w:rPr>
          <w:szCs w:val="22"/>
        </w:rPr>
        <w:t>In metropolitan Melbourne, m</w:t>
      </w:r>
      <w:r w:rsidR="00360DEE" w:rsidRPr="0027538A">
        <w:rPr>
          <w:szCs w:val="22"/>
        </w:rPr>
        <w:t>edia</w:t>
      </w:r>
      <w:r w:rsidR="00DF2C68">
        <w:rPr>
          <w:szCs w:val="22"/>
        </w:rPr>
        <w:t>n rents ranged from $36</w:t>
      </w:r>
      <w:r w:rsidRPr="0027538A">
        <w:rPr>
          <w:szCs w:val="22"/>
        </w:rPr>
        <w:t xml:space="preserve">0 per week for </w:t>
      </w:r>
      <w:r w:rsidR="00EF5182" w:rsidRPr="0027538A">
        <w:rPr>
          <w:szCs w:val="22"/>
        </w:rPr>
        <w:t>Western Melbourne</w:t>
      </w:r>
      <w:r w:rsidR="00DF2C68">
        <w:rPr>
          <w:szCs w:val="22"/>
        </w:rPr>
        <w:t>,</w:t>
      </w:r>
      <w:r w:rsidR="00ED3D68">
        <w:rPr>
          <w:szCs w:val="22"/>
        </w:rPr>
        <w:t xml:space="preserve"> </w:t>
      </w:r>
      <w:r w:rsidR="003D4E6D" w:rsidRPr="0027538A">
        <w:rPr>
          <w:szCs w:val="22"/>
        </w:rPr>
        <w:t>South Eastern Melbourne</w:t>
      </w:r>
      <w:r w:rsidR="00021886" w:rsidRPr="0027538A">
        <w:rPr>
          <w:szCs w:val="22"/>
        </w:rPr>
        <w:t xml:space="preserve"> </w:t>
      </w:r>
      <w:r w:rsidR="00DF2C68">
        <w:rPr>
          <w:szCs w:val="22"/>
        </w:rPr>
        <w:t>and</w:t>
      </w:r>
      <w:r w:rsidR="00DF2C68" w:rsidRPr="0027538A">
        <w:rPr>
          <w:szCs w:val="22"/>
        </w:rPr>
        <w:t xml:space="preserve"> </w:t>
      </w:r>
      <w:r w:rsidR="00DF2C68">
        <w:rPr>
          <w:szCs w:val="22"/>
        </w:rPr>
        <w:t xml:space="preserve">Mornington Peninsula </w:t>
      </w:r>
      <w:r w:rsidRPr="0027538A">
        <w:rPr>
          <w:szCs w:val="22"/>
        </w:rPr>
        <w:t>to $</w:t>
      </w:r>
      <w:r w:rsidR="009E3C23">
        <w:rPr>
          <w:szCs w:val="22"/>
        </w:rPr>
        <w:t>470</w:t>
      </w:r>
      <w:r w:rsidRPr="0027538A">
        <w:rPr>
          <w:szCs w:val="22"/>
        </w:rPr>
        <w:t xml:space="preserve"> for Inner Melbourne. In regional </w:t>
      </w:r>
      <w:r w:rsidRPr="00DF2C68">
        <w:rPr>
          <w:szCs w:val="22"/>
        </w:rPr>
        <w:t>Victo</w:t>
      </w:r>
      <w:r w:rsidR="00ED3D68" w:rsidRPr="00DF2C68">
        <w:rPr>
          <w:szCs w:val="22"/>
        </w:rPr>
        <w:t>r</w:t>
      </w:r>
      <w:r w:rsidR="00DF2C68" w:rsidRPr="00DF2C68">
        <w:rPr>
          <w:szCs w:val="22"/>
        </w:rPr>
        <w:t>ia median rents ranged from $270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and </w:t>
      </w:r>
      <w:r w:rsidR="00DF2C68" w:rsidRPr="00DF2C68">
        <w:rPr>
          <w:rFonts w:cs="Arial"/>
          <w:szCs w:val="22"/>
        </w:rPr>
        <w:t>Central Highlands-Wimmera</w:t>
      </w:r>
      <w:r w:rsidRPr="00DF2C68">
        <w:rPr>
          <w:szCs w:val="22"/>
        </w:rPr>
        <w:t xml:space="preserve"> </w:t>
      </w:r>
      <w:r w:rsidR="00F03559" w:rsidRPr="00DF2C68">
        <w:rPr>
          <w:szCs w:val="22"/>
        </w:rPr>
        <w:t>to</w:t>
      </w:r>
      <w:r w:rsidR="00F03559" w:rsidRPr="0027538A">
        <w:rPr>
          <w:szCs w:val="22"/>
        </w:rPr>
        <w:t xml:space="preserve"> $</w:t>
      </w:r>
      <w:r w:rsidR="00ED3D68">
        <w:rPr>
          <w:szCs w:val="22"/>
        </w:rPr>
        <w:t>32</w:t>
      </w:r>
      <w:r w:rsidR="009E3C23">
        <w:rPr>
          <w:szCs w:val="22"/>
        </w:rPr>
        <w:t>0</w:t>
      </w:r>
      <w:r w:rsidRPr="0027538A">
        <w:rPr>
          <w:szCs w:val="22"/>
        </w:rPr>
        <w:t xml:space="preserve"> per week for Barwon-South West.</w:t>
      </w:r>
      <w:r w:rsidR="00DB32F9" w:rsidRPr="0027538A">
        <w:rPr>
          <w:szCs w:val="22"/>
        </w:rPr>
        <w:t xml:space="preserve"> </w:t>
      </w:r>
    </w:p>
    <w:p w:rsidR="00DB32F9" w:rsidRDefault="00DB32F9" w:rsidP="006A4E6B"/>
    <w:p w:rsidR="0047763C" w:rsidRPr="000F3B39" w:rsidRDefault="00DB32F9" w:rsidP="00DF2C68">
      <w:r>
        <w:t xml:space="preserve">In the </w:t>
      </w:r>
      <w:r w:rsidR="00D429F4">
        <w:t>June</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C06FA9">
        <w:t xml:space="preserve"> </w:t>
      </w:r>
      <w:r w:rsidR="009E3C23">
        <w:t xml:space="preserve">Inner Melbourne (3.3%), Inner Eastern Melbourne (2.3%) </w:t>
      </w:r>
      <w:r w:rsidR="004D7212">
        <w:t>and North Eastern Melbourne (1.4</w:t>
      </w:r>
      <w:r w:rsidR="009E3C23">
        <w:t>%). It remained steady in Southern Melbourne, Western Melbourne</w:t>
      </w:r>
      <w:r w:rsidR="00DF2C68">
        <w:t xml:space="preserve">, </w:t>
      </w:r>
      <w:r w:rsidR="009E3C23">
        <w:t xml:space="preserve">North Western Melbourne, </w:t>
      </w:r>
      <w:r w:rsidR="007808E3">
        <w:t>South Eastern Melbourne</w:t>
      </w:r>
      <w:r w:rsidR="00DF2C68">
        <w:t>,</w:t>
      </w:r>
      <w:r w:rsidR="007808E3">
        <w:t xml:space="preserve"> and Mornington Peninsula. It decreased in</w:t>
      </w:r>
      <w:r w:rsidR="00AC55AC">
        <w:t xml:space="preserve"> </w:t>
      </w:r>
      <w:r w:rsidR="007808E3">
        <w:t>Outer Eastern Melbourne (-1.3</w:t>
      </w:r>
      <w:r w:rsidR="00DF2C68">
        <w:t>%)</w:t>
      </w:r>
      <w:r w:rsidR="007808E3">
        <w:t>.</w:t>
      </w:r>
      <w:r w:rsidR="00DF2C68" w:rsidRPr="00DF2C68">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7808E3" w:rsidRPr="007808E3">
        <w:t xml:space="preserve"> </w:t>
      </w:r>
      <w:r w:rsidR="007808E3">
        <w:t>Goulburn-Ovens-Murray (1.8%) and remained steady in</w:t>
      </w:r>
      <w:r w:rsidR="00AC55AC" w:rsidRPr="00AC55AC">
        <w:t xml:space="preserve"> </w:t>
      </w:r>
      <w:r w:rsidR="00ED3D68" w:rsidRPr="001010FF">
        <w:t>Barwon-South West</w:t>
      </w:r>
      <w:r w:rsidR="007808E3">
        <w:t xml:space="preserve">, Gippsland, </w:t>
      </w:r>
      <w:r w:rsidR="00ED3D68" w:rsidRPr="00D41879">
        <w:t>Loddon-Mallee</w:t>
      </w:r>
      <w:r w:rsidR="00ED3D68">
        <w:t xml:space="preserve"> </w:t>
      </w:r>
      <w:r w:rsidR="00CB4D80">
        <w:t>and</w:t>
      </w:r>
      <w:r w:rsidR="003A00A1">
        <w:t xml:space="preserve"> </w:t>
      </w:r>
      <w:r w:rsidR="00ED3D68" w:rsidRPr="001010FF">
        <w:t>Central Highlands-</w:t>
      </w:r>
      <w:r w:rsidR="00ED3D68">
        <w:t>Wimmera</w:t>
      </w:r>
      <w:r w:rsidR="00DF2C68">
        <w:t>.</w:t>
      </w:r>
    </w:p>
    <w:p w:rsidR="0047763C" w:rsidRPr="006C165F" w:rsidRDefault="0047763C" w:rsidP="0059106A">
      <w:pPr>
        <w:pStyle w:val="DHSheadingD"/>
        <w:rPr>
          <w:rFonts w:cs="Arial"/>
          <w:lang w:val="en-US"/>
        </w:rPr>
      </w:pPr>
      <w:r w:rsidRPr="00706644">
        <w:rPr>
          <w:rFonts w:cs="Arial"/>
          <w:lang w:val="en-US"/>
        </w:rPr>
        <w:t xml:space="preserve">Table 2: </w:t>
      </w:r>
      <w:r w:rsidR="00D429F4">
        <w:rPr>
          <w:rFonts w:cs="Arial"/>
          <w:lang w:val="en-US"/>
        </w:rPr>
        <w:t>June</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07692A" w:rsidRPr="000051C5" w:rsidTr="0007692A">
        <w:trPr>
          <w:trHeight w:hRule="exact" w:val="340"/>
        </w:trPr>
        <w:tc>
          <w:tcPr>
            <w:tcW w:w="2802" w:type="dxa"/>
            <w:tcBorders>
              <w:top w:val="single" w:sz="12" w:space="0" w:color="9DAECB"/>
            </w:tcBorders>
            <w:vAlign w:val="center"/>
          </w:tcPr>
          <w:p w:rsidR="0007692A" w:rsidRPr="00C95655" w:rsidRDefault="0007692A" w:rsidP="0007692A">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center"/>
          </w:tcPr>
          <w:p w:rsidR="0007692A" w:rsidRPr="00900032" w:rsidRDefault="0007692A" w:rsidP="0007692A">
            <w:pPr>
              <w:jc w:val="center"/>
            </w:pPr>
            <w:r w:rsidRPr="00900032">
              <w:t>$470</w:t>
            </w:r>
          </w:p>
        </w:tc>
        <w:tc>
          <w:tcPr>
            <w:tcW w:w="2469" w:type="dxa"/>
            <w:tcBorders>
              <w:top w:val="single" w:sz="12" w:space="0" w:color="9DAECB"/>
            </w:tcBorders>
            <w:vAlign w:val="center"/>
          </w:tcPr>
          <w:p w:rsidR="0007692A" w:rsidRPr="00900032" w:rsidRDefault="0007692A" w:rsidP="0007692A">
            <w:pPr>
              <w:jc w:val="center"/>
            </w:pPr>
            <w:r w:rsidRPr="00900032">
              <w:t>3.3%</w:t>
            </w:r>
          </w:p>
        </w:tc>
        <w:tc>
          <w:tcPr>
            <w:tcW w:w="2523" w:type="dxa"/>
            <w:tcBorders>
              <w:top w:val="single" w:sz="12" w:space="0" w:color="9DAECB"/>
            </w:tcBorders>
            <w:shd w:val="clear" w:color="auto" w:fill="DEE4EE"/>
            <w:vAlign w:val="center"/>
          </w:tcPr>
          <w:p w:rsidR="0007692A" w:rsidRPr="00900032" w:rsidRDefault="0007692A" w:rsidP="0007692A">
            <w:pPr>
              <w:jc w:val="center"/>
            </w:pPr>
            <w:r w:rsidRPr="00900032">
              <w:t>4.4%</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07692A" w:rsidRPr="00900032" w:rsidRDefault="0007692A" w:rsidP="0007692A">
            <w:pPr>
              <w:jc w:val="center"/>
            </w:pPr>
            <w:r w:rsidRPr="00900032">
              <w:t>$440</w:t>
            </w:r>
          </w:p>
        </w:tc>
        <w:tc>
          <w:tcPr>
            <w:tcW w:w="2469" w:type="dxa"/>
            <w:vAlign w:val="center"/>
          </w:tcPr>
          <w:p w:rsidR="0007692A" w:rsidRPr="00900032" w:rsidRDefault="0007692A" w:rsidP="0007692A">
            <w:pPr>
              <w:jc w:val="center"/>
            </w:pPr>
            <w:r w:rsidRPr="00900032">
              <w:t>2.3%</w:t>
            </w:r>
          </w:p>
        </w:tc>
        <w:tc>
          <w:tcPr>
            <w:tcW w:w="2523" w:type="dxa"/>
            <w:shd w:val="clear" w:color="auto" w:fill="DEE4EE"/>
            <w:vAlign w:val="center"/>
          </w:tcPr>
          <w:p w:rsidR="0007692A" w:rsidRPr="00900032" w:rsidRDefault="0007692A" w:rsidP="0007692A">
            <w:pPr>
              <w:jc w:val="center"/>
            </w:pPr>
            <w:r w:rsidRPr="00900032">
              <w:t>3.5%</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07692A" w:rsidRPr="00900032" w:rsidRDefault="0007692A" w:rsidP="0007692A">
            <w:pPr>
              <w:jc w:val="center"/>
            </w:pPr>
            <w:r w:rsidRPr="00900032">
              <w:t>$450</w:t>
            </w:r>
          </w:p>
        </w:tc>
        <w:tc>
          <w:tcPr>
            <w:tcW w:w="2469" w:type="dxa"/>
            <w:vAlign w:val="center"/>
          </w:tcPr>
          <w:p w:rsidR="0007692A" w:rsidRPr="00900032" w:rsidRDefault="0007692A" w:rsidP="0007692A">
            <w:pPr>
              <w:jc w:val="center"/>
            </w:pPr>
            <w:r w:rsidRPr="00900032">
              <w:t>0.0%</w:t>
            </w:r>
          </w:p>
        </w:tc>
        <w:tc>
          <w:tcPr>
            <w:tcW w:w="2523" w:type="dxa"/>
            <w:shd w:val="clear" w:color="auto" w:fill="DEE4EE"/>
            <w:vAlign w:val="center"/>
          </w:tcPr>
          <w:p w:rsidR="0007692A" w:rsidRPr="00900032" w:rsidRDefault="0007692A" w:rsidP="0007692A">
            <w:pPr>
              <w:jc w:val="center"/>
            </w:pPr>
            <w:r w:rsidRPr="00900032">
              <w:t>4.7%</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07692A" w:rsidRPr="00900032" w:rsidRDefault="0007692A" w:rsidP="0007692A">
            <w:pPr>
              <w:jc w:val="center"/>
            </w:pPr>
            <w:r w:rsidRPr="00900032">
              <w:t>$360</w:t>
            </w:r>
          </w:p>
        </w:tc>
        <w:tc>
          <w:tcPr>
            <w:tcW w:w="2469" w:type="dxa"/>
            <w:vAlign w:val="center"/>
          </w:tcPr>
          <w:p w:rsidR="0007692A" w:rsidRPr="00900032" w:rsidRDefault="0007692A" w:rsidP="0007692A">
            <w:pPr>
              <w:jc w:val="center"/>
            </w:pPr>
            <w:r w:rsidRPr="00900032">
              <w:t>0.0%</w:t>
            </w:r>
          </w:p>
        </w:tc>
        <w:tc>
          <w:tcPr>
            <w:tcW w:w="2523" w:type="dxa"/>
            <w:shd w:val="clear" w:color="auto" w:fill="DEE4EE"/>
            <w:vAlign w:val="center"/>
          </w:tcPr>
          <w:p w:rsidR="0007692A" w:rsidRPr="00900032" w:rsidRDefault="0007692A" w:rsidP="0007692A">
            <w:pPr>
              <w:jc w:val="center"/>
            </w:pPr>
            <w:r w:rsidRPr="00900032">
              <w:t>2.9%</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07692A" w:rsidRPr="00900032" w:rsidRDefault="0007692A" w:rsidP="0007692A">
            <w:pPr>
              <w:jc w:val="center"/>
            </w:pPr>
            <w:r w:rsidRPr="00900032">
              <w:t>$380</w:t>
            </w:r>
          </w:p>
        </w:tc>
        <w:tc>
          <w:tcPr>
            <w:tcW w:w="2469" w:type="dxa"/>
            <w:vAlign w:val="center"/>
          </w:tcPr>
          <w:p w:rsidR="0007692A" w:rsidRPr="00900032" w:rsidRDefault="0007692A" w:rsidP="0007692A">
            <w:pPr>
              <w:jc w:val="center"/>
            </w:pPr>
            <w:r w:rsidRPr="00900032">
              <w:t>0.0%</w:t>
            </w:r>
          </w:p>
        </w:tc>
        <w:tc>
          <w:tcPr>
            <w:tcW w:w="2523" w:type="dxa"/>
            <w:shd w:val="clear" w:color="auto" w:fill="DEE4EE"/>
            <w:vAlign w:val="center"/>
          </w:tcPr>
          <w:p w:rsidR="0007692A" w:rsidRPr="00900032" w:rsidRDefault="0007692A" w:rsidP="0007692A">
            <w:pPr>
              <w:jc w:val="center"/>
            </w:pPr>
            <w:r w:rsidRPr="00900032">
              <w:t>5.6%</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07692A" w:rsidRPr="00900032" w:rsidRDefault="0007692A" w:rsidP="0007692A">
            <w:pPr>
              <w:jc w:val="center"/>
            </w:pPr>
            <w:r w:rsidRPr="00900032">
              <w:t>$375</w:t>
            </w:r>
          </w:p>
        </w:tc>
        <w:tc>
          <w:tcPr>
            <w:tcW w:w="2469" w:type="dxa"/>
            <w:vAlign w:val="center"/>
          </w:tcPr>
          <w:p w:rsidR="0007692A" w:rsidRPr="00900032" w:rsidRDefault="0007692A" w:rsidP="0007692A">
            <w:pPr>
              <w:jc w:val="center"/>
            </w:pPr>
            <w:r w:rsidRPr="00900032">
              <w:t>1.4%</w:t>
            </w:r>
          </w:p>
        </w:tc>
        <w:tc>
          <w:tcPr>
            <w:tcW w:w="2523" w:type="dxa"/>
            <w:shd w:val="clear" w:color="auto" w:fill="DEE4EE"/>
            <w:vAlign w:val="center"/>
          </w:tcPr>
          <w:p w:rsidR="0007692A" w:rsidRPr="00900032" w:rsidRDefault="0007692A" w:rsidP="0007692A">
            <w:pPr>
              <w:jc w:val="center"/>
            </w:pPr>
            <w:r w:rsidRPr="00900032">
              <w:t>5.6%</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07692A" w:rsidRPr="00900032" w:rsidRDefault="0007692A" w:rsidP="0007692A">
            <w:pPr>
              <w:jc w:val="center"/>
            </w:pPr>
            <w:r w:rsidRPr="00900032">
              <w:t>$385</w:t>
            </w:r>
          </w:p>
        </w:tc>
        <w:tc>
          <w:tcPr>
            <w:tcW w:w="2469" w:type="dxa"/>
            <w:vAlign w:val="center"/>
          </w:tcPr>
          <w:p w:rsidR="0007692A" w:rsidRPr="00900032" w:rsidRDefault="0007692A" w:rsidP="0007692A">
            <w:pPr>
              <w:jc w:val="center"/>
            </w:pPr>
            <w:r w:rsidRPr="00900032">
              <w:t>-1.3%</w:t>
            </w:r>
          </w:p>
        </w:tc>
        <w:tc>
          <w:tcPr>
            <w:tcW w:w="2523" w:type="dxa"/>
            <w:shd w:val="clear" w:color="auto" w:fill="DEE4EE"/>
            <w:vAlign w:val="center"/>
          </w:tcPr>
          <w:p w:rsidR="0007692A" w:rsidRPr="00900032" w:rsidRDefault="0007692A" w:rsidP="0007692A">
            <w:pPr>
              <w:jc w:val="center"/>
            </w:pPr>
            <w:r w:rsidRPr="00900032">
              <w:t>2.7%</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07692A" w:rsidRPr="00900032" w:rsidRDefault="0007692A" w:rsidP="0007692A">
            <w:pPr>
              <w:jc w:val="center"/>
            </w:pPr>
            <w:r w:rsidRPr="00900032">
              <w:t>$360</w:t>
            </w:r>
          </w:p>
        </w:tc>
        <w:tc>
          <w:tcPr>
            <w:tcW w:w="2469" w:type="dxa"/>
            <w:vAlign w:val="center"/>
          </w:tcPr>
          <w:p w:rsidR="0007692A" w:rsidRPr="00900032" w:rsidRDefault="0007692A" w:rsidP="0007692A">
            <w:pPr>
              <w:jc w:val="center"/>
            </w:pPr>
            <w:r w:rsidRPr="00900032">
              <w:t>0.0%</w:t>
            </w:r>
          </w:p>
        </w:tc>
        <w:tc>
          <w:tcPr>
            <w:tcW w:w="2523" w:type="dxa"/>
            <w:shd w:val="clear" w:color="auto" w:fill="DEE4EE"/>
            <w:vAlign w:val="center"/>
          </w:tcPr>
          <w:p w:rsidR="0007692A" w:rsidRPr="00900032" w:rsidRDefault="0007692A" w:rsidP="0007692A">
            <w:pPr>
              <w:jc w:val="center"/>
            </w:pPr>
            <w:r w:rsidRPr="00900032">
              <w:t>2.9%</w:t>
            </w:r>
          </w:p>
        </w:tc>
      </w:tr>
      <w:tr w:rsidR="0007692A" w:rsidRPr="000051C5" w:rsidTr="0007692A">
        <w:trPr>
          <w:trHeight w:hRule="exact" w:val="340"/>
        </w:trPr>
        <w:tc>
          <w:tcPr>
            <w:tcW w:w="2802" w:type="dxa"/>
            <w:tcBorders>
              <w:bottom w:val="single" w:sz="12" w:space="0" w:color="9DAECB"/>
            </w:tcBorders>
            <w:vAlign w:val="center"/>
          </w:tcPr>
          <w:p w:rsidR="0007692A" w:rsidRPr="00C95655" w:rsidRDefault="0007692A" w:rsidP="0007692A">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center"/>
          </w:tcPr>
          <w:p w:rsidR="0007692A" w:rsidRPr="00900032" w:rsidRDefault="0007692A" w:rsidP="0007692A">
            <w:pPr>
              <w:jc w:val="center"/>
            </w:pPr>
            <w:r w:rsidRPr="00900032">
              <w:t>$360</w:t>
            </w:r>
          </w:p>
        </w:tc>
        <w:tc>
          <w:tcPr>
            <w:tcW w:w="2469" w:type="dxa"/>
            <w:tcBorders>
              <w:bottom w:val="single" w:sz="12" w:space="0" w:color="9DAECB"/>
            </w:tcBorders>
            <w:vAlign w:val="center"/>
          </w:tcPr>
          <w:p w:rsidR="0007692A" w:rsidRPr="00900032" w:rsidRDefault="0007692A" w:rsidP="0007692A">
            <w:pPr>
              <w:jc w:val="center"/>
            </w:pPr>
            <w:r w:rsidRPr="00900032">
              <w:t>0.0%</w:t>
            </w:r>
          </w:p>
        </w:tc>
        <w:tc>
          <w:tcPr>
            <w:tcW w:w="2523" w:type="dxa"/>
            <w:tcBorders>
              <w:bottom w:val="single" w:sz="12" w:space="0" w:color="9DAECB"/>
            </w:tcBorders>
            <w:shd w:val="clear" w:color="auto" w:fill="DEE4EE"/>
            <w:vAlign w:val="center"/>
          </w:tcPr>
          <w:p w:rsidR="0007692A" w:rsidRDefault="0007692A" w:rsidP="0007692A">
            <w:pPr>
              <w:jc w:val="center"/>
            </w:pPr>
            <w:r w:rsidRPr="00900032">
              <w:t>2.9%</w:t>
            </w:r>
          </w:p>
        </w:tc>
      </w:tr>
      <w:tr w:rsidR="00A92EAC" w:rsidRPr="0027082E" w:rsidTr="0007692A">
        <w:trPr>
          <w:trHeight w:hRule="exact" w:val="454"/>
        </w:trPr>
        <w:tc>
          <w:tcPr>
            <w:tcW w:w="2802" w:type="dxa"/>
            <w:tcBorders>
              <w:top w:val="single" w:sz="12" w:space="0" w:color="9DAECB"/>
              <w:bottom w:val="single" w:sz="12" w:space="0" w:color="9DAECB"/>
            </w:tcBorders>
            <w:vAlign w:val="bottom"/>
          </w:tcPr>
          <w:p w:rsidR="00A92EAC" w:rsidRPr="00C95655" w:rsidRDefault="00A92EAC" w:rsidP="00A92EAC">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center"/>
          </w:tcPr>
          <w:p w:rsidR="00A92EAC" w:rsidRPr="005E5C54" w:rsidRDefault="00A92EAC" w:rsidP="0007692A">
            <w:pPr>
              <w:jc w:val="center"/>
              <w:rPr>
                <w:sz w:val="20"/>
              </w:rPr>
            </w:pPr>
          </w:p>
        </w:tc>
        <w:tc>
          <w:tcPr>
            <w:tcW w:w="2469" w:type="dxa"/>
            <w:tcBorders>
              <w:top w:val="single" w:sz="12" w:space="0" w:color="9DAECB"/>
              <w:bottom w:val="single" w:sz="12" w:space="0" w:color="9DAECB"/>
            </w:tcBorders>
            <w:vAlign w:val="center"/>
          </w:tcPr>
          <w:p w:rsidR="00A92EAC" w:rsidRPr="005E5C54" w:rsidRDefault="00A92EAC" w:rsidP="0007692A">
            <w:pPr>
              <w:jc w:val="center"/>
              <w:rPr>
                <w:sz w:val="20"/>
              </w:rPr>
            </w:pPr>
          </w:p>
        </w:tc>
        <w:tc>
          <w:tcPr>
            <w:tcW w:w="2523" w:type="dxa"/>
            <w:tcBorders>
              <w:top w:val="single" w:sz="12" w:space="0" w:color="9DAECB"/>
              <w:bottom w:val="single" w:sz="12" w:space="0" w:color="9DAECB"/>
            </w:tcBorders>
            <w:shd w:val="clear" w:color="auto" w:fill="DEE4EE"/>
            <w:vAlign w:val="center"/>
          </w:tcPr>
          <w:p w:rsidR="00A92EAC" w:rsidRPr="005E5C54" w:rsidRDefault="00A92EAC" w:rsidP="0007692A">
            <w:pPr>
              <w:jc w:val="center"/>
              <w:rPr>
                <w:sz w:val="20"/>
              </w:rPr>
            </w:pPr>
          </w:p>
        </w:tc>
      </w:tr>
      <w:tr w:rsidR="0007692A" w:rsidRPr="000051C5" w:rsidTr="0007692A">
        <w:trPr>
          <w:trHeight w:hRule="exact" w:val="340"/>
        </w:trPr>
        <w:tc>
          <w:tcPr>
            <w:tcW w:w="2802" w:type="dxa"/>
            <w:tcBorders>
              <w:top w:val="single" w:sz="12" w:space="0" w:color="9DAECB"/>
            </w:tcBorders>
            <w:vAlign w:val="center"/>
          </w:tcPr>
          <w:p w:rsidR="0007692A" w:rsidRPr="00C95655" w:rsidRDefault="0007692A" w:rsidP="0007692A">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center"/>
          </w:tcPr>
          <w:p w:rsidR="0007692A" w:rsidRPr="00234724" w:rsidRDefault="0007692A" w:rsidP="0007692A">
            <w:pPr>
              <w:jc w:val="center"/>
            </w:pPr>
            <w:r w:rsidRPr="00234724">
              <w:t>$320</w:t>
            </w:r>
          </w:p>
        </w:tc>
        <w:tc>
          <w:tcPr>
            <w:tcW w:w="2469" w:type="dxa"/>
            <w:tcBorders>
              <w:top w:val="single" w:sz="12" w:space="0" w:color="9DAECB"/>
            </w:tcBorders>
            <w:vAlign w:val="center"/>
          </w:tcPr>
          <w:p w:rsidR="0007692A" w:rsidRPr="00234724" w:rsidRDefault="0007692A" w:rsidP="0007692A">
            <w:pPr>
              <w:jc w:val="center"/>
            </w:pPr>
            <w:r w:rsidRPr="00234724">
              <w:t>0.0%</w:t>
            </w:r>
          </w:p>
        </w:tc>
        <w:tc>
          <w:tcPr>
            <w:tcW w:w="2523" w:type="dxa"/>
            <w:tcBorders>
              <w:top w:val="single" w:sz="12" w:space="0" w:color="9DAECB"/>
            </w:tcBorders>
            <w:shd w:val="clear" w:color="auto" w:fill="DEE4EE"/>
            <w:vAlign w:val="center"/>
          </w:tcPr>
          <w:p w:rsidR="0007692A" w:rsidRPr="00234724" w:rsidRDefault="0007692A" w:rsidP="0007692A">
            <w:pPr>
              <w:jc w:val="center"/>
            </w:pPr>
            <w:r w:rsidRPr="00234724">
              <w:t>2.9%</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07692A" w:rsidRPr="00234724" w:rsidRDefault="0007692A" w:rsidP="0007692A">
            <w:pPr>
              <w:jc w:val="center"/>
            </w:pPr>
            <w:r w:rsidRPr="00234724">
              <w:t>$270</w:t>
            </w:r>
          </w:p>
        </w:tc>
        <w:tc>
          <w:tcPr>
            <w:tcW w:w="2469" w:type="dxa"/>
            <w:vAlign w:val="center"/>
          </w:tcPr>
          <w:p w:rsidR="0007692A" w:rsidRPr="00234724" w:rsidRDefault="0007692A" w:rsidP="0007692A">
            <w:pPr>
              <w:jc w:val="center"/>
            </w:pPr>
            <w:r w:rsidRPr="00234724">
              <w:t>0.0%</w:t>
            </w:r>
          </w:p>
        </w:tc>
        <w:tc>
          <w:tcPr>
            <w:tcW w:w="2523" w:type="dxa"/>
            <w:shd w:val="clear" w:color="auto" w:fill="DEE4EE"/>
            <w:vAlign w:val="center"/>
          </w:tcPr>
          <w:p w:rsidR="0007692A" w:rsidRPr="00234724" w:rsidRDefault="0007692A" w:rsidP="0007692A">
            <w:pPr>
              <w:jc w:val="center"/>
            </w:pPr>
            <w:r w:rsidRPr="00234724">
              <w:t>3.2%</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07692A" w:rsidRPr="00234724" w:rsidRDefault="0007692A" w:rsidP="0007692A">
            <w:pPr>
              <w:jc w:val="center"/>
            </w:pPr>
            <w:r w:rsidRPr="00234724">
              <w:t>$280</w:t>
            </w:r>
          </w:p>
        </w:tc>
        <w:tc>
          <w:tcPr>
            <w:tcW w:w="2469" w:type="dxa"/>
            <w:vAlign w:val="center"/>
          </w:tcPr>
          <w:p w:rsidR="0007692A" w:rsidRPr="00234724" w:rsidRDefault="0007692A" w:rsidP="0007692A">
            <w:pPr>
              <w:jc w:val="center"/>
            </w:pPr>
            <w:r w:rsidRPr="00234724">
              <w:t>1.8%</w:t>
            </w:r>
          </w:p>
        </w:tc>
        <w:tc>
          <w:tcPr>
            <w:tcW w:w="2523" w:type="dxa"/>
            <w:shd w:val="clear" w:color="auto" w:fill="DEE4EE"/>
            <w:vAlign w:val="center"/>
          </w:tcPr>
          <w:p w:rsidR="0007692A" w:rsidRPr="00234724" w:rsidRDefault="0007692A" w:rsidP="0007692A">
            <w:pPr>
              <w:jc w:val="center"/>
            </w:pPr>
            <w:r w:rsidRPr="00234724">
              <w:t>3.8%</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07692A" w:rsidRPr="00234724" w:rsidRDefault="0007692A" w:rsidP="0007692A">
            <w:pPr>
              <w:jc w:val="center"/>
            </w:pPr>
            <w:r w:rsidRPr="00234724">
              <w:t>$280</w:t>
            </w:r>
          </w:p>
        </w:tc>
        <w:tc>
          <w:tcPr>
            <w:tcW w:w="2469" w:type="dxa"/>
            <w:vAlign w:val="center"/>
          </w:tcPr>
          <w:p w:rsidR="0007692A" w:rsidRPr="00234724" w:rsidRDefault="0007692A" w:rsidP="0007692A">
            <w:pPr>
              <w:jc w:val="center"/>
            </w:pPr>
            <w:r w:rsidRPr="00234724">
              <w:t>0.0%</w:t>
            </w:r>
          </w:p>
        </w:tc>
        <w:tc>
          <w:tcPr>
            <w:tcW w:w="2523" w:type="dxa"/>
            <w:shd w:val="clear" w:color="auto" w:fill="DEE4EE"/>
            <w:vAlign w:val="center"/>
          </w:tcPr>
          <w:p w:rsidR="0007692A" w:rsidRPr="00234724" w:rsidRDefault="0007692A" w:rsidP="0007692A">
            <w:pPr>
              <w:jc w:val="center"/>
            </w:pPr>
            <w:r w:rsidRPr="00234724">
              <w:t>3.7%</w:t>
            </w:r>
          </w:p>
        </w:tc>
      </w:tr>
      <w:tr w:rsidR="0007692A" w:rsidRPr="000051C5" w:rsidTr="0007692A">
        <w:trPr>
          <w:trHeight w:hRule="exact" w:val="340"/>
        </w:trPr>
        <w:tc>
          <w:tcPr>
            <w:tcW w:w="2802" w:type="dxa"/>
            <w:vAlign w:val="center"/>
          </w:tcPr>
          <w:p w:rsidR="0007692A" w:rsidRPr="00C95655" w:rsidRDefault="0007692A" w:rsidP="0007692A">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07692A" w:rsidRPr="00234724" w:rsidRDefault="0007692A" w:rsidP="0007692A">
            <w:pPr>
              <w:jc w:val="center"/>
            </w:pPr>
            <w:r w:rsidRPr="00234724">
              <w:t>$270</w:t>
            </w:r>
          </w:p>
        </w:tc>
        <w:tc>
          <w:tcPr>
            <w:tcW w:w="2469" w:type="dxa"/>
            <w:vAlign w:val="center"/>
          </w:tcPr>
          <w:p w:rsidR="0007692A" w:rsidRPr="00234724" w:rsidRDefault="0007692A" w:rsidP="0007692A">
            <w:pPr>
              <w:jc w:val="center"/>
            </w:pPr>
            <w:r w:rsidRPr="00234724">
              <w:t>0.0%</w:t>
            </w:r>
          </w:p>
        </w:tc>
        <w:tc>
          <w:tcPr>
            <w:tcW w:w="2523" w:type="dxa"/>
            <w:shd w:val="clear" w:color="auto" w:fill="DEE4EE"/>
            <w:vAlign w:val="center"/>
          </w:tcPr>
          <w:p w:rsidR="0007692A" w:rsidRDefault="0007692A" w:rsidP="0007692A">
            <w:pPr>
              <w:jc w:val="center"/>
            </w:pPr>
            <w:r w:rsidRPr="00234724">
              <w:t>1.8%</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Default="00CB793D" w:rsidP="00CB793D">
      <w:pPr>
        <w:rPr>
          <w:rFonts w:cs="Arial"/>
        </w:rPr>
      </w:pPr>
    </w:p>
    <w:p w:rsidR="00CD15DC" w:rsidRDefault="00344376" w:rsidP="006A4E6B">
      <w:pPr>
        <w:rPr>
          <w:szCs w:val="22"/>
        </w:rPr>
      </w:pPr>
      <w:r w:rsidRPr="006D4DF9">
        <w:rPr>
          <w:szCs w:val="22"/>
        </w:rPr>
        <w:t xml:space="preserve">Over the 12 months to the </w:t>
      </w:r>
      <w:r w:rsidR="00D429F4">
        <w:rPr>
          <w:szCs w:val="22"/>
        </w:rPr>
        <w:t>June</w:t>
      </w:r>
      <w:r w:rsidRPr="006D4DF9">
        <w:rPr>
          <w:szCs w:val="22"/>
        </w:rPr>
        <w:t xml:space="preserve"> quarter, the median rent in metropolitan Melbourne increased in </w:t>
      </w:r>
      <w:r w:rsidR="007808E3">
        <w:rPr>
          <w:szCs w:val="22"/>
        </w:rPr>
        <w:t>all regions, ranging</w:t>
      </w:r>
      <w:r w:rsidR="00DF2C68">
        <w:rPr>
          <w:szCs w:val="22"/>
        </w:rPr>
        <w:t xml:space="preserve"> from 2</w:t>
      </w:r>
      <w:r w:rsidR="007808E3">
        <w:rPr>
          <w:szCs w:val="22"/>
        </w:rPr>
        <w:t>.7</w:t>
      </w:r>
      <w:r w:rsidR="00EF264A" w:rsidRPr="006D4DF9">
        <w:rPr>
          <w:szCs w:val="22"/>
        </w:rPr>
        <w:t xml:space="preserve"> per cent in</w:t>
      </w:r>
      <w:r w:rsidR="006D4DF9" w:rsidRPr="006D4DF9">
        <w:rPr>
          <w:szCs w:val="22"/>
        </w:rPr>
        <w:t xml:space="preserve"> </w:t>
      </w:r>
      <w:r w:rsidR="007808E3">
        <w:t>Outer</w:t>
      </w:r>
      <w:r w:rsidR="00DF2C68">
        <w:t xml:space="preserve"> Eastern Melbourne</w:t>
      </w:r>
      <w:r w:rsidR="007808E3">
        <w:rPr>
          <w:szCs w:val="22"/>
        </w:rPr>
        <w:t xml:space="preserve"> to 5.6 per cent</w:t>
      </w:r>
      <w:r w:rsidR="00DF2C68">
        <w:rPr>
          <w:szCs w:val="22"/>
        </w:rPr>
        <w:t xml:space="preserve"> </w:t>
      </w:r>
      <w:r w:rsidR="00EF264A" w:rsidRPr="006D4DF9">
        <w:rPr>
          <w:szCs w:val="22"/>
        </w:rPr>
        <w:t xml:space="preserve">in </w:t>
      </w:r>
      <w:r w:rsidR="007808E3">
        <w:rPr>
          <w:szCs w:val="22"/>
        </w:rPr>
        <w:t>North Western</w:t>
      </w:r>
      <w:r w:rsidR="00EF264A" w:rsidRPr="006D4DF9">
        <w:rPr>
          <w:szCs w:val="22"/>
        </w:rPr>
        <w:t xml:space="preserve"> Melbourne</w:t>
      </w:r>
      <w:r w:rsidR="007808E3">
        <w:rPr>
          <w:szCs w:val="22"/>
        </w:rPr>
        <w:t xml:space="preserve"> and North Eastern Melbourne</w:t>
      </w:r>
      <w:r w:rsidR="00EF264A" w:rsidRPr="006D4DF9">
        <w:rPr>
          <w:szCs w:val="22"/>
        </w:rPr>
        <w:t xml:space="preserve">. </w:t>
      </w:r>
      <w:r w:rsidRPr="006D4DF9">
        <w:rPr>
          <w:szCs w:val="22"/>
        </w:rPr>
        <w:t>In regional Victoria, the median rent</w:t>
      </w:r>
      <w:r w:rsidRPr="00D41879">
        <w:t xml:space="preserve"> </w:t>
      </w:r>
      <w:r w:rsidR="00D7456D">
        <w:t xml:space="preserve">also </w:t>
      </w:r>
      <w:r w:rsidRPr="00D41879">
        <w:t>increased in</w:t>
      </w:r>
      <w:r w:rsidRPr="003A00A1">
        <w:t xml:space="preserve"> </w:t>
      </w:r>
      <w:r w:rsidR="007808E3">
        <w:t>all</w:t>
      </w:r>
      <w:r w:rsidR="00CD15DC">
        <w:t xml:space="preserve"> five</w:t>
      </w:r>
      <w:r w:rsidR="006D4DF9">
        <w:t xml:space="preserve"> </w:t>
      </w:r>
      <w:r w:rsidR="006D4DF9" w:rsidRPr="007808E3">
        <w:rPr>
          <w:szCs w:val="22"/>
        </w:rPr>
        <w:t>regions</w:t>
      </w:r>
      <w:r w:rsidR="007808E3" w:rsidRPr="007808E3">
        <w:rPr>
          <w:szCs w:val="22"/>
        </w:rPr>
        <w:t xml:space="preserve">, ranging from 1.8 per cent in </w:t>
      </w:r>
      <w:r w:rsidR="007808E3" w:rsidRPr="007808E3">
        <w:rPr>
          <w:rFonts w:cs="Arial"/>
          <w:szCs w:val="22"/>
        </w:rPr>
        <w:t xml:space="preserve">Central Highlands-Wimmera to 3.8 per cent </w:t>
      </w:r>
      <w:r w:rsidR="00D7456D">
        <w:rPr>
          <w:rFonts w:cs="Arial"/>
          <w:szCs w:val="22"/>
        </w:rPr>
        <w:t xml:space="preserve">in </w:t>
      </w:r>
      <w:r w:rsidR="00CD15DC" w:rsidRPr="007808E3">
        <w:rPr>
          <w:szCs w:val="22"/>
        </w:rPr>
        <w:t>Goulburn-Ovens-</w:t>
      </w:r>
      <w:r w:rsidR="00D7456D">
        <w:t>Murray</w:t>
      </w:r>
      <w:r w:rsidR="007808E3">
        <w:rPr>
          <w:rFonts w:cs="Arial"/>
          <w:szCs w:val="22"/>
        </w:rPr>
        <w:t xml:space="preserve">. </w:t>
      </w:r>
    </w:p>
    <w:p w:rsidR="0047763C" w:rsidRPr="00C823FC" w:rsidRDefault="0047763C" w:rsidP="005A1E70">
      <w:pPr>
        <w:pStyle w:val="DHSheadingB"/>
        <w:rPr>
          <w:rFonts w:cs="Arial"/>
        </w:rPr>
      </w:pPr>
      <w:r w:rsidRPr="00C823FC">
        <w:rPr>
          <w:rFonts w:cs="Arial"/>
        </w:rPr>
        <w:lastRenderedPageBreak/>
        <w:t>Median rents by major property types</w:t>
      </w:r>
    </w:p>
    <w:p w:rsidR="0047763C" w:rsidRPr="000F3B39" w:rsidRDefault="0047763C" w:rsidP="006A4E6B">
      <w:r w:rsidRPr="000F3B39">
        <w:t xml:space="preserve">Table 3 provides the median rents for new lettings in the </w:t>
      </w:r>
      <w:r w:rsidR="00D429F4">
        <w:t>June</w:t>
      </w:r>
      <w:r w:rsidRPr="000F3B39">
        <w:t xml:space="preserve"> quarter </w:t>
      </w:r>
      <w:r w:rsidR="0059429B">
        <w:t>2017</w:t>
      </w:r>
      <w:r w:rsidRPr="000F3B39">
        <w:t xml:space="preserve"> for the six major property types for metropolitan Melbourne and regional Victoria as well as the quarterly and annual change in the relevant Rent Index for each property type. </w:t>
      </w:r>
    </w:p>
    <w:p w:rsidR="0047763C" w:rsidRPr="000F3B39" w:rsidRDefault="0047763C" w:rsidP="006A4E6B"/>
    <w:p w:rsidR="002A2688" w:rsidRDefault="0047763C" w:rsidP="006A4E6B">
      <w:pPr>
        <w:rPr>
          <w:color w:val="000000"/>
          <w:szCs w:val="22"/>
          <w:lang w:eastAsia="en-AU"/>
        </w:rPr>
      </w:pPr>
      <w:r w:rsidRPr="000F3B39">
        <w:t xml:space="preserve">In metropolitan Melbourne, the </w:t>
      </w:r>
      <w:r w:rsidR="0003709A">
        <w:t xml:space="preserve">highest median rent </w:t>
      </w:r>
      <w:r w:rsidR="00074E3E">
        <w:t xml:space="preserve">is for </w:t>
      </w:r>
      <w:r w:rsidR="006D4DF9">
        <w:t xml:space="preserve">three-bedroom flats </w:t>
      </w:r>
      <w:r w:rsidR="00166CE2">
        <w:t>($44</w:t>
      </w:r>
      <w:r w:rsidR="006D4DF9">
        <w:t>0</w:t>
      </w:r>
      <w:r w:rsidR="00074E3E" w:rsidRPr="000F3B39">
        <w:t xml:space="preserve"> per week)</w:t>
      </w:r>
      <w:r>
        <w:t xml:space="preserve">. The lowest median rent </w:t>
      </w:r>
      <w:r w:rsidR="00074E3E">
        <w:t>is for one-</w:t>
      </w:r>
      <w:r w:rsidRPr="00887570">
        <w:t>bedroom flats</w:t>
      </w:r>
      <w:r w:rsidR="00CD15DC">
        <w:t xml:space="preserve"> ($35</w:t>
      </w:r>
      <w:r w:rsidR="00EF264A">
        <w:t>0</w:t>
      </w:r>
      <w:r w:rsidR="00074E3E" w:rsidRPr="00887570">
        <w:t xml:space="preserve"> per week)</w:t>
      </w:r>
      <w:r w:rsidRPr="00887570">
        <w:t xml:space="preserve">. </w:t>
      </w:r>
      <w:r w:rsidR="00C33DE2">
        <w:rPr>
          <w:szCs w:val="22"/>
        </w:rPr>
        <w:t xml:space="preserve">In the June quarter, </w:t>
      </w:r>
      <w:r w:rsidR="00C33DE2" w:rsidRPr="000B458D">
        <w:rPr>
          <w:szCs w:val="22"/>
        </w:rPr>
        <w:t xml:space="preserve">the property type Rent Index </w:t>
      </w:r>
      <w:r w:rsidR="00C33DE2">
        <w:rPr>
          <w:szCs w:val="22"/>
        </w:rPr>
        <w:t xml:space="preserve">has increased for all property types except for four-bedroom houses (-1.5%). These increases ranged from 1.0 per cent for two-bedroom houses to 3.4 per cent for one-bedroom flats. On an </w:t>
      </w:r>
      <w:r>
        <w:t>a</w:t>
      </w:r>
      <w:r w:rsidRPr="00887570">
        <w:t xml:space="preserve">nnual </w:t>
      </w:r>
      <w:r w:rsidR="00C33DE2">
        <w:rPr>
          <w:szCs w:val="22"/>
        </w:rPr>
        <w:t>basis, the Rent Index increased across all property</w:t>
      </w:r>
      <w:r w:rsidRPr="000B458D">
        <w:rPr>
          <w:szCs w:val="22"/>
        </w:rPr>
        <w:t xml:space="preserve"> </w:t>
      </w:r>
      <w:r w:rsidR="00C33DE2">
        <w:rPr>
          <w:szCs w:val="22"/>
        </w:rPr>
        <w:t xml:space="preserve">types, ranging </w:t>
      </w:r>
      <w:r w:rsidRPr="000B458D">
        <w:rPr>
          <w:szCs w:val="22"/>
        </w:rPr>
        <w:t xml:space="preserve">from </w:t>
      </w:r>
      <w:r w:rsidR="00166CE2">
        <w:rPr>
          <w:szCs w:val="22"/>
        </w:rPr>
        <w:t>an increase of 2.7</w:t>
      </w:r>
      <w:r w:rsidR="0067463B">
        <w:rPr>
          <w:szCs w:val="22"/>
        </w:rPr>
        <w:t xml:space="preserve"> </w:t>
      </w:r>
      <w:r w:rsidR="00ED1D5B">
        <w:rPr>
          <w:color w:val="000000"/>
          <w:szCs w:val="22"/>
          <w:lang w:eastAsia="en-AU"/>
        </w:rPr>
        <w:t xml:space="preserve">per cent for </w:t>
      </w:r>
      <w:r w:rsidR="00166CE2">
        <w:t>four</w:t>
      </w:r>
      <w:r w:rsidR="00EF264A">
        <w:t xml:space="preserve">-bedroom houses </w:t>
      </w:r>
      <w:r w:rsidR="00166CE2">
        <w:t>to 4.9</w:t>
      </w:r>
      <w:r w:rsidRPr="000B458D">
        <w:rPr>
          <w:color w:val="000000"/>
          <w:szCs w:val="22"/>
          <w:lang w:eastAsia="en-AU"/>
        </w:rPr>
        <w:t xml:space="preserve"> per cent for </w:t>
      </w:r>
      <w:r w:rsidR="00166CE2">
        <w:t>three</w:t>
      </w:r>
      <w:r w:rsidR="006D4DF9">
        <w:t>-</w:t>
      </w:r>
      <w:r w:rsidR="006D4DF9" w:rsidRPr="000F3B39">
        <w:t>bedroom flats</w:t>
      </w:r>
      <w:r w:rsidR="00A61870">
        <w:rPr>
          <w:color w:val="000000"/>
          <w:szCs w:val="22"/>
          <w:lang w:eastAsia="en-AU"/>
        </w:rPr>
        <w:t>.</w:t>
      </w:r>
      <w:r w:rsidR="00ED1D5B">
        <w:rPr>
          <w:color w:val="000000"/>
          <w:szCs w:val="22"/>
          <w:lang w:eastAsia="en-AU"/>
        </w:rPr>
        <w:t xml:space="preserve"> </w:t>
      </w:r>
    </w:p>
    <w:p w:rsidR="0003709A" w:rsidRPr="000F3B39" w:rsidRDefault="0003709A" w:rsidP="006A4E6B"/>
    <w:p w:rsidR="002A2688" w:rsidRDefault="0047763C" w:rsidP="006A4E6B">
      <w:pPr>
        <w:rPr>
          <w:szCs w:val="22"/>
        </w:rPr>
      </w:pPr>
      <w:r w:rsidRPr="000F3B39">
        <w:t>In regional Victoria, the highest median re</w:t>
      </w:r>
      <w:r>
        <w:t xml:space="preserve">nt </w:t>
      </w:r>
      <w:r w:rsidR="00074E3E">
        <w:t>is for four-</w:t>
      </w:r>
      <w:r w:rsidRPr="000F3B39">
        <w:t>bedroom hous</w:t>
      </w:r>
      <w:r w:rsidR="0003709A">
        <w:t>es</w:t>
      </w:r>
      <w:r w:rsidR="006D4DF9">
        <w:t xml:space="preserve"> ($37</w:t>
      </w:r>
      <w:r w:rsidR="00166CE2">
        <w:t>0</w:t>
      </w:r>
      <w:r w:rsidR="00074E3E" w:rsidRPr="000F3B39">
        <w:t xml:space="preserve"> per week)</w:t>
      </w:r>
      <w:r w:rsidR="0003709A">
        <w:t xml:space="preserve">. The lowest median rent </w:t>
      </w:r>
      <w:r w:rsidR="00074E3E">
        <w:t>is for one-</w:t>
      </w:r>
      <w:r w:rsidRPr="000F3B39">
        <w:t>bedroom flats</w:t>
      </w:r>
      <w:r w:rsidR="006D4DF9">
        <w:t xml:space="preserve"> ($180</w:t>
      </w:r>
      <w:r w:rsidR="00074E3E" w:rsidRPr="000F3B39">
        <w:t xml:space="preserve"> per week)</w:t>
      </w:r>
      <w:r w:rsidRPr="000F3B39">
        <w:t xml:space="preserve">. </w:t>
      </w:r>
      <w:r w:rsidR="00C33DE2">
        <w:rPr>
          <w:szCs w:val="22"/>
        </w:rPr>
        <w:t xml:space="preserve">In the June quarter, the </w:t>
      </w:r>
      <w:r w:rsidR="00C33DE2" w:rsidRPr="000B458D">
        <w:rPr>
          <w:szCs w:val="22"/>
        </w:rPr>
        <w:t xml:space="preserve">property type </w:t>
      </w:r>
      <w:r w:rsidR="00C33DE2">
        <w:rPr>
          <w:szCs w:val="22"/>
        </w:rPr>
        <w:t xml:space="preserve">Rent Index increased for two-bedroom flats (1.0%), three-bedroom houses (0.7%) and three-bedroom flats (0.2%). It remained steady for one-bedroom flats but decreased for two-bedroom houses (-0.5%) and four-bedroom houses (-1.0%). On an annual basis, the </w:t>
      </w:r>
      <w:r w:rsidRPr="00887570">
        <w:t xml:space="preserve">Rent Index </w:t>
      </w:r>
      <w:r w:rsidR="00CD15DC">
        <w:t>increased for all property types ranging</w:t>
      </w:r>
      <w:r w:rsidRPr="000F3B39">
        <w:t xml:space="preserve"> from </w:t>
      </w:r>
      <w:r w:rsidR="00166CE2">
        <w:t>an increase of 1.0</w:t>
      </w:r>
      <w:r w:rsidR="00367435">
        <w:t xml:space="preserve"> per cent for </w:t>
      </w:r>
      <w:r w:rsidR="00166CE2">
        <w:t>four</w:t>
      </w:r>
      <w:r w:rsidR="006D4DF9">
        <w:t>-</w:t>
      </w:r>
      <w:r w:rsidR="006D4DF9" w:rsidRPr="000F3B39">
        <w:t xml:space="preserve">bedroom </w:t>
      </w:r>
      <w:r w:rsidR="00166CE2">
        <w:t>houses</w:t>
      </w:r>
      <w:r w:rsidR="006D4DF9">
        <w:t xml:space="preserve"> </w:t>
      </w:r>
      <w:r w:rsidRPr="000F3B39">
        <w:t xml:space="preserve">to </w:t>
      </w:r>
      <w:r w:rsidR="00166CE2">
        <w:t>3.8</w:t>
      </w:r>
      <w:r w:rsidRPr="000F3B39">
        <w:t xml:space="preserve"> per cent for </w:t>
      </w:r>
      <w:r w:rsidR="00166CE2">
        <w:t>three</w:t>
      </w:r>
      <w:r w:rsidR="006D4DF9">
        <w:t>-</w:t>
      </w:r>
      <w:r w:rsidR="006D4DF9" w:rsidRPr="00887570">
        <w:t xml:space="preserve">bedroom </w:t>
      </w:r>
      <w:r w:rsidR="00CD15DC">
        <w:t>houses</w:t>
      </w:r>
      <w:r w:rsidRPr="000F3B39">
        <w:t>.</w:t>
      </w:r>
      <w:r w:rsidR="005C23FE" w:rsidRPr="005C23FE">
        <w:rPr>
          <w:szCs w:val="22"/>
        </w:rPr>
        <w:t xml:space="preserve"> </w:t>
      </w:r>
    </w:p>
    <w:p w:rsidR="0047763C" w:rsidRDefault="0047763C" w:rsidP="006A4E6B"/>
    <w:p w:rsidR="0047763C" w:rsidRPr="008C44FD" w:rsidRDefault="0047763C" w:rsidP="006A4E6B">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Default="0047763C" w:rsidP="00405B10">
      <w:pPr>
        <w:pStyle w:val="DHSheadingD"/>
        <w:rPr>
          <w:rFonts w:cs="Arial"/>
          <w:lang w:val="en-US"/>
        </w:rPr>
      </w:pPr>
      <w:r w:rsidRPr="00706644">
        <w:rPr>
          <w:rFonts w:cs="Arial"/>
          <w:lang w:val="en-US"/>
        </w:rPr>
        <w:t xml:space="preserve">Table 3: </w:t>
      </w:r>
      <w:r w:rsidR="00D429F4">
        <w:rPr>
          <w:rFonts w:cs="Arial"/>
          <w:lang w:val="en-US"/>
        </w:rPr>
        <w:t>June</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07692A" w:rsidTr="0007692A">
        <w:trPr>
          <w:trHeight w:hRule="exact" w:val="340"/>
        </w:trPr>
        <w:tc>
          <w:tcPr>
            <w:tcW w:w="1970" w:type="dxa"/>
            <w:vMerge w:val="restart"/>
          </w:tcPr>
          <w:p w:rsidR="0007692A" w:rsidRPr="00C95655" w:rsidRDefault="0007692A" w:rsidP="0007692A">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1 Bed Flat</w:t>
            </w:r>
          </w:p>
        </w:tc>
        <w:tc>
          <w:tcPr>
            <w:tcW w:w="1971" w:type="dxa"/>
            <w:vAlign w:val="center"/>
          </w:tcPr>
          <w:p w:rsidR="0007692A" w:rsidRPr="00235C09" w:rsidRDefault="0007692A" w:rsidP="0007692A">
            <w:pPr>
              <w:jc w:val="center"/>
            </w:pPr>
            <w:r w:rsidRPr="00235C09">
              <w:t>$350</w:t>
            </w:r>
          </w:p>
        </w:tc>
        <w:tc>
          <w:tcPr>
            <w:tcW w:w="2276" w:type="dxa"/>
            <w:shd w:val="clear" w:color="auto" w:fill="DEE4EE"/>
            <w:vAlign w:val="center"/>
          </w:tcPr>
          <w:p w:rsidR="0007692A" w:rsidRPr="00235C09" w:rsidRDefault="0007692A" w:rsidP="0007692A">
            <w:pPr>
              <w:jc w:val="center"/>
            </w:pPr>
            <w:r w:rsidRPr="00235C09">
              <w:t>3.4%</w:t>
            </w:r>
          </w:p>
        </w:tc>
        <w:tc>
          <w:tcPr>
            <w:tcW w:w="1971" w:type="dxa"/>
            <w:vAlign w:val="center"/>
          </w:tcPr>
          <w:p w:rsidR="0007692A" w:rsidRPr="00235C09" w:rsidRDefault="0007692A" w:rsidP="0007692A">
            <w:pPr>
              <w:jc w:val="center"/>
            </w:pPr>
            <w:r w:rsidRPr="00235C09">
              <w:t>4.6%</w:t>
            </w:r>
          </w:p>
        </w:tc>
      </w:tr>
      <w:tr w:rsidR="0007692A" w:rsidTr="0007692A">
        <w:trPr>
          <w:trHeight w:hRule="exact" w:val="340"/>
        </w:trPr>
        <w:tc>
          <w:tcPr>
            <w:tcW w:w="1970" w:type="dxa"/>
            <w:vMerge/>
            <w:vAlign w:val="center"/>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2 Bed Flat</w:t>
            </w:r>
          </w:p>
        </w:tc>
        <w:tc>
          <w:tcPr>
            <w:tcW w:w="1971" w:type="dxa"/>
            <w:vAlign w:val="center"/>
          </w:tcPr>
          <w:p w:rsidR="0007692A" w:rsidRPr="00235C09" w:rsidRDefault="0007692A" w:rsidP="0007692A">
            <w:pPr>
              <w:jc w:val="center"/>
            </w:pPr>
            <w:r w:rsidRPr="00235C09">
              <w:t>$410</w:t>
            </w:r>
          </w:p>
        </w:tc>
        <w:tc>
          <w:tcPr>
            <w:tcW w:w="2276" w:type="dxa"/>
            <w:shd w:val="clear" w:color="auto" w:fill="DEE4EE"/>
            <w:vAlign w:val="center"/>
          </w:tcPr>
          <w:p w:rsidR="0007692A" w:rsidRPr="00235C09" w:rsidRDefault="0007692A" w:rsidP="0007692A">
            <w:pPr>
              <w:jc w:val="center"/>
            </w:pPr>
            <w:r w:rsidRPr="00235C09">
              <w:t>2.0%</w:t>
            </w:r>
          </w:p>
        </w:tc>
        <w:tc>
          <w:tcPr>
            <w:tcW w:w="1971" w:type="dxa"/>
            <w:vAlign w:val="center"/>
          </w:tcPr>
          <w:p w:rsidR="0007692A" w:rsidRPr="00235C09" w:rsidRDefault="0007692A" w:rsidP="0007692A">
            <w:pPr>
              <w:jc w:val="center"/>
            </w:pPr>
            <w:r w:rsidRPr="00235C09">
              <w:t>4.3%</w:t>
            </w:r>
          </w:p>
        </w:tc>
      </w:tr>
      <w:tr w:rsidR="0007692A" w:rsidTr="0007692A">
        <w:trPr>
          <w:trHeight w:hRule="exact" w:val="340"/>
        </w:trPr>
        <w:tc>
          <w:tcPr>
            <w:tcW w:w="1970" w:type="dxa"/>
            <w:vMerge/>
            <w:vAlign w:val="center"/>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3 Bed Flat</w:t>
            </w:r>
          </w:p>
        </w:tc>
        <w:tc>
          <w:tcPr>
            <w:tcW w:w="1971" w:type="dxa"/>
            <w:vAlign w:val="center"/>
          </w:tcPr>
          <w:p w:rsidR="0007692A" w:rsidRPr="00235C09" w:rsidRDefault="0007692A" w:rsidP="0007692A">
            <w:pPr>
              <w:jc w:val="center"/>
            </w:pPr>
            <w:r w:rsidRPr="00235C09">
              <w:t>$440</w:t>
            </w:r>
          </w:p>
        </w:tc>
        <w:tc>
          <w:tcPr>
            <w:tcW w:w="2276" w:type="dxa"/>
            <w:shd w:val="clear" w:color="auto" w:fill="DEE4EE"/>
            <w:vAlign w:val="center"/>
          </w:tcPr>
          <w:p w:rsidR="0007692A" w:rsidRPr="00235C09" w:rsidRDefault="0007692A" w:rsidP="0007692A">
            <w:pPr>
              <w:jc w:val="center"/>
            </w:pPr>
            <w:r w:rsidRPr="00235C09">
              <w:t>1.3%</w:t>
            </w:r>
          </w:p>
        </w:tc>
        <w:tc>
          <w:tcPr>
            <w:tcW w:w="1971" w:type="dxa"/>
            <w:vAlign w:val="center"/>
          </w:tcPr>
          <w:p w:rsidR="0007692A" w:rsidRPr="00235C09" w:rsidRDefault="0007692A" w:rsidP="0007692A">
            <w:pPr>
              <w:jc w:val="center"/>
            </w:pPr>
            <w:r w:rsidRPr="00235C09">
              <w:t>4.9%</w:t>
            </w:r>
          </w:p>
        </w:tc>
      </w:tr>
      <w:tr w:rsidR="0007692A" w:rsidTr="0007692A">
        <w:trPr>
          <w:trHeight w:hRule="exact" w:val="340"/>
        </w:trPr>
        <w:tc>
          <w:tcPr>
            <w:tcW w:w="1970" w:type="dxa"/>
            <w:vMerge/>
            <w:vAlign w:val="center"/>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2 Bed House</w:t>
            </w:r>
          </w:p>
        </w:tc>
        <w:tc>
          <w:tcPr>
            <w:tcW w:w="1971" w:type="dxa"/>
            <w:vAlign w:val="center"/>
          </w:tcPr>
          <w:p w:rsidR="0007692A" w:rsidRPr="00235C09" w:rsidRDefault="0007692A" w:rsidP="0007692A">
            <w:pPr>
              <w:jc w:val="center"/>
            </w:pPr>
            <w:r w:rsidRPr="00235C09">
              <w:t>$420</w:t>
            </w:r>
          </w:p>
        </w:tc>
        <w:tc>
          <w:tcPr>
            <w:tcW w:w="2276" w:type="dxa"/>
            <w:shd w:val="clear" w:color="auto" w:fill="DEE4EE"/>
            <w:vAlign w:val="center"/>
          </w:tcPr>
          <w:p w:rsidR="0007692A" w:rsidRPr="00235C09" w:rsidRDefault="0007692A" w:rsidP="0007692A">
            <w:pPr>
              <w:jc w:val="center"/>
            </w:pPr>
            <w:r w:rsidRPr="00235C09">
              <w:t>1.0%</w:t>
            </w:r>
          </w:p>
        </w:tc>
        <w:tc>
          <w:tcPr>
            <w:tcW w:w="1971" w:type="dxa"/>
            <w:vAlign w:val="center"/>
          </w:tcPr>
          <w:p w:rsidR="0007692A" w:rsidRPr="00235C09" w:rsidRDefault="0007692A" w:rsidP="0007692A">
            <w:pPr>
              <w:jc w:val="center"/>
            </w:pPr>
            <w:r w:rsidRPr="00235C09">
              <w:t>3.5%</w:t>
            </w:r>
          </w:p>
        </w:tc>
      </w:tr>
      <w:tr w:rsidR="0007692A" w:rsidTr="0007692A">
        <w:trPr>
          <w:trHeight w:hRule="exact" w:val="340"/>
        </w:trPr>
        <w:tc>
          <w:tcPr>
            <w:tcW w:w="1970" w:type="dxa"/>
            <w:vMerge/>
            <w:vAlign w:val="center"/>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3 Bed House</w:t>
            </w:r>
          </w:p>
        </w:tc>
        <w:tc>
          <w:tcPr>
            <w:tcW w:w="1971" w:type="dxa"/>
            <w:vAlign w:val="center"/>
          </w:tcPr>
          <w:p w:rsidR="0007692A" w:rsidRPr="00235C09" w:rsidRDefault="0007692A" w:rsidP="0007692A">
            <w:pPr>
              <w:jc w:val="center"/>
            </w:pPr>
            <w:r w:rsidRPr="00235C09">
              <w:t>$380</w:t>
            </w:r>
          </w:p>
        </w:tc>
        <w:tc>
          <w:tcPr>
            <w:tcW w:w="2276" w:type="dxa"/>
            <w:shd w:val="clear" w:color="auto" w:fill="DEE4EE"/>
            <w:vAlign w:val="center"/>
          </w:tcPr>
          <w:p w:rsidR="0007692A" w:rsidRPr="00235C09" w:rsidRDefault="0007692A" w:rsidP="0007692A">
            <w:pPr>
              <w:jc w:val="center"/>
            </w:pPr>
            <w:r w:rsidRPr="00235C09">
              <w:t>1.4%</w:t>
            </w:r>
          </w:p>
        </w:tc>
        <w:tc>
          <w:tcPr>
            <w:tcW w:w="1971" w:type="dxa"/>
            <w:vAlign w:val="center"/>
          </w:tcPr>
          <w:p w:rsidR="0007692A" w:rsidRPr="00235C09" w:rsidRDefault="0007692A" w:rsidP="0007692A">
            <w:pPr>
              <w:jc w:val="center"/>
            </w:pPr>
            <w:r w:rsidRPr="00235C09">
              <w:t>4.5%</w:t>
            </w:r>
          </w:p>
        </w:tc>
      </w:tr>
      <w:tr w:rsidR="0007692A" w:rsidTr="0007692A">
        <w:trPr>
          <w:trHeight w:hRule="exact" w:val="340"/>
        </w:trPr>
        <w:tc>
          <w:tcPr>
            <w:tcW w:w="1970" w:type="dxa"/>
            <w:vMerge/>
            <w:tcBorders>
              <w:bottom w:val="single" w:sz="12" w:space="0" w:color="9DAECB"/>
            </w:tcBorders>
            <w:vAlign w:val="center"/>
          </w:tcPr>
          <w:p w:rsidR="0007692A" w:rsidRPr="00C95655" w:rsidRDefault="0007692A" w:rsidP="0007692A">
            <w:pPr>
              <w:pStyle w:val="DHSbodycopytable"/>
              <w:rPr>
                <w:rFonts w:cs="Arial"/>
                <w:sz w:val="20"/>
                <w:lang w:val="en-US"/>
              </w:rPr>
            </w:pPr>
          </w:p>
        </w:tc>
        <w:tc>
          <w:tcPr>
            <w:tcW w:w="1971" w:type="dxa"/>
            <w:tcBorders>
              <w:bottom w:val="single" w:sz="12" w:space="0" w:color="9DAECB"/>
            </w:tcBorders>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center"/>
          </w:tcPr>
          <w:p w:rsidR="0007692A" w:rsidRPr="00235C09" w:rsidRDefault="0007692A" w:rsidP="0007692A">
            <w:pPr>
              <w:jc w:val="center"/>
            </w:pPr>
            <w:r w:rsidRPr="00235C09">
              <w:t>$430</w:t>
            </w:r>
          </w:p>
        </w:tc>
        <w:tc>
          <w:tcPr>
            <w:tcW w:w="2276" w:type="dxa"/>
            <w:tcBorders>
              <w:bottom w:val="single" w:sz="12" w:space="0" w:color="9DAECB"/>
            </w:tcBorders>
            <w:shd w:val="clear" w:color="auto" w:fill="DEE4EE"/>
            <w:vAlign w:val="center"/>
          </w:tcPr>
          <w:p w:rsidR="0007692A" w:rsidRPr="00235C09" w:rsidRDefault="0007692A" w:rsidP="0007692A">
            <w:pPr>
              <w:jc w:val="center"/>
            </w:pPr>
            <w:r w:rsidRPr="00235C09">
              <w:t>-1.5%</w:t>
            </w:r>
          </w:p>
        </w:tc>
        <w:tc>
          <w:tcPr>
            <w:tcW w:w="1971" w:type="dxa"/>
            <w:tcBorders>
              <w:bottom w:val="single" w:sz="12" w:space="0" w:color="9DAECB"/>
            </w:tcBorders>
            <w:vAlign w:val="center"/>
          </w:tcPr>
          <w:p w:rsidR="0007692A" w:rsidRDefault="0007692A" w:rsidP="0007692A">
            <w:pPr>
              <w:jc w:val="center"/>
            </w:pPr>
            <w:r w:rsidRPr="00235C09">
              <w:t>2.7%</w:t>
            </w:r>
          </w:p>
        </w:tc>
      </w:tr>
      <w:tr w:rsidR="0007692A" w:rsidTr="0007692A">
        <w:trPr>
          <w:trHeight w:hRule="exact" w:val="340"/>
        </w:trPr>
        <w:tc>
          <w:tcPr>
            <w:tcW w:w="1970" w:type="dxa"/>
            <w:vMerge w:val="restart"/>
            <w:tcBorders>
              <w:top w:val="single" w:sz="12" w:space="0" w:color="9DAECB"/>
            </w:tcBorders>
          </w:tcPr>
          <w:p w:rsidR="0007692A" w:rsidRPr="00C95655" w:rsidRDefault="0007692A" w:rsidP="0007692A">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center"/>
          </w:tcPr>
          <w:p w:rsidR="0007692A" w:rsidRPr="00636BDA" w:rsidRDefault="0007692A" w:rsidP="0007692A">
            <w:pPr>
              <w:jc w:val="center"/>
            </w:pPr>
            <w:r w:rsidRPr="00636BDA">
              <w:t>$180</w:t>
            </w:r>
          </w:p>
        </w:tc>
        <w:tc>
          <w:tcPr>
            <w:tcW w:w="2276" w:type="dxa"/>
            <w:tcBorders>
              <w:top w:val="single" w:sz="12" w:space="0" w:color="9DAECB"/>
            </w:tcBorders>
            <w:shd w:val="clear" w:color="auto" w:fill="DEE4EE"/>
            <w:vAlign w:val="center"/>
          </w:tcPr>
          <w:p w:rsidR="0007692A" w:rsidRPr="00636BDA" w:rsidRDefault="0007692A" w:rsidP="0007692A">
            <w:pPr>
              <w:jc w:val="center"/>
            </w:pPr>
            <w:r w:rsidRPr="00636BDA">
              <w:t>0.0%</w:t>
            </w:r>
          </w:p>
        </w:tc>
        <w:tc>
          <w:tcPr>
            <w:tcW w:w="1971" w:type="dxa"/>
            <w:tcBorders>
              <w:top w:val="single" w:sz="12" w:space="0" w:color="9DAECB"/>
            </w:tcBorders>
            <w:vAlign w:val="center"/>
          </w:tcPr>
          <w:p w:rsidR="0007692A" w:rsidRPr="00636BDA" w:rsidRDefault="0007692A" w:rsidP="0007692A">
            <w:pPr>
              <w:jc w:val="center"/>
            </w:pPr>
            <w:r w:rsidRPr="00636BDA">
              <w:t>1.8%</w:t>
            </w:r>
          </w:p>
        </w:tc>
      </w:tr>
      <w:tr w:rsidR="0007692A" w:rsidTr="0007692A">
        <w:trPr>
          <w:trHeight w:hRule="exact" w:val="340"/>
        </w:trPr>
        <w:tc>
          <w:tcPr>
            <w:tcW w:w="1970" w:type="dxa"/>
            <w:vMerge/>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2 Bed Flat</w:t>
            </w:r>
          </w:p>
        </w:tc>
        <w:tc>
          <w:tcPr>
            <w:tcW w:w="1971" w:type="dxa"/>
            <w:vAlign w:val="center"/>
          </w:tcPr>
          <w:p w:rsidR="0007692A" w:rsidRPr="00636BDA" w:rsidRDefault="0007692A" w:rsidP="0007692A">
            <w:pPr>
              <w:jc w:val="center"/>
            </w:pPr>
            <w:r w:rsidRPr="00636BDA">
              <w:t>$240</w:t>
            </w:r>
          </w:p>
        </w:tc>
        <w:tc>
          <w:tcPr>
            <w:tcW w:w="2276" w:type="dxa"/>
            <w:shd w:val="clear" w:color="auto" w:fill="DEE4EE"/>
            <w:vAlign w:val="center"/>
          </w:tcPr>
          <w:p w:rsidR="0007692A" w:rsidRPr="00636BDA" w:rsidRDefault="0007692A" w:rsidP="0007692A">
            <w:pPr>
              <w:jc w:val="center"/>
            </w:pPr>
            <w:r w:rsidRPr="00636BDA">
              <w:t>1.0%</w:t>
            </w:r>
          </w:p>
        </w:tc>
        <w:tc>
          <w:tcPr>
            <w:tcW w:w="1971" w:type="dxa"/>
            <w:vAlign w:val="center"/>
          </w:tcPr>
          <w:p w:rsidR="0007692A" w:rsidRPr="00636BDA" w:rsidRDefault="0007692A" w:rsidP="0007692A">
            <w:pPr>
              <w:jc w:val="center"/>
            </w:pPr>
            <w:r w:rsidRPr="00636BDA">
              <w:t>3.2%</w:t>
            </w:r>
          </w:p>
        </w:tc>
      </w:tr>
      <w:tr w:rsidR="0007692A" w:rsidTr="0007692A">
        <w:trPr>
          <w:trHeight w:hRule="exact" w:val="340"/>
        </w:trPr>
        <w:tc>
          <w:tcPr>
            <w:tcW w:w="1970" w:type="dxa"/>
            <w:vMerge/>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3 Bed Flat</w:t>
            </w:r>
          </w:p>
        </w:tc>
        <w:tc>
          <w:tcPr>
            <w:tcW w:w="1971" w:type="dxa"/>
            <w:vAlign w:val="center"/>
          </w:tcPr>
          <w:p w:rsidR="0007692A" w:rsidRPr="00636BDA" w:rsidRDefault="0007692A" w:rsidP="0007692A">
            <w:pPr>
              <w:jc w:val="center"/>
            </w:pPr>
            <w:r w:rsidRPr="00636BDA">
              <w:t>$310</w:t>
            </w:r>
          </w:p>
        </w:tc>
        <w:tc>
          <w:tcPr>
            <w:tcW w:w="2276" w:type="dxa"/>
            <w:shd w:val="clear" w:color="auto" w:fill="DEE4EE"/>
            <w:vAlign w:val="center"/>
          </w:tcPr>
          <w:p w:rsidR="0007692A" w:rsidRPr="00636BDA" w:rsidRDefault="0007692A" w:rsidP="0007692A">
            <w:pPr>
              <w:jc w:val="center"/>
            </w:pPr>
            <w:r w:rsidRPr="00636BDA">
              <w:t>0.2%</w:t>
            </w:r>
          </w:p>
        </w:tc>
        <w:tc>
          <w:tcPr>
            <w:tcW w:w="1971" w:type="dxa"/>
            <w:vAlign w:val="center"/>
          </w:tcPr>
          <w:p w:rsidR="0007692A" w:rsidRPr="00636BDA" w:rsidRDefault="0007692A" w:rsidP="0007692A">
            <w:pPr>
              <w:jc w:val="center"/>
            </w:pPr>
            <w:r w:rsidRPr="00636BDA">
              <w:t>1.9%</w:t>
            </w:r>
          </w:p>
        </w:tc>
      </w:tr>
      <w:tr w:rsidR="0007692A" w:rsidTr="0007692A">
        <w:trPr>
          <w:trHeight w:hRule="exact" w:val="340"/>
        </w:trPr>
        <w:tc>
          <w:tcPr>
            <w:tcW w:w="1970" w:type="dxa"/>
            <w:vMerge/>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2 Bed House</w:t>
            </w:r>
          </w:p>
        </w:tc>
        <w:tc>
          <w:tcPr>
            <w:tcW w:w="1971" w:type="dxa"/>
            <w:vAlign w:val="center"/>
          </w:tcPr>
          <w:p w:rsidR="0007692A" w:rsidRPr="00636BDA" w:rsidRDefault="0007692A" w:rsidP="0007692A">
            <w:pPr>
              <w:jc w:val="center"/>
            </w:pPr>
            <w:r w:rsidRPr="00636BDA">
              <w:t>$250</w:t>
            </w:r>
          </w:p>
        </w:tc>
        <w:tc>
          <w:tcPr>
            <w:tcW w:w="2276" w:type="dxa"/>
            <w:shd w:val="clear" w:color="auto" w:fill="DEE4EE"/>
            <w:vAlign w:val="center"/>
          </w:tcPr>
          <w:p w:rsidR="0007692A" w:rsidRPr="00636BDA" w:rsidRDefault="0007692A" w:rsidP="0007692A">
            <w:pPr>
              <w:jc w:val="center"/>
            </w:pPr>
            <w:r w:rsidRPr="00636BDA">
              <w:t>-0.5%</w:t>
            </w:r>
          </w:p>
        </w:tc>
        <w:tc>
          <w:tcPr>
            <w:tcW w:w="1971" w:type="dxa"/>
            <w:vAlign w:val="center"/>
          </w:tcPr>
          <w:p w:rsidR="0007692A" w:rsidRPr="00636BDA" w:rsidRDefault="0007692A" w:rsidP="0007692A">
            <w:pPr>
              <w:jc w:val="center"/>
            </w:pPr>
            <w:r w:rsidRPr="00636BDA">
              <w:t>3.6%</w:t>
            </w:r>
          </w:p>
        </w:tc>
      </w:tr>
      <w:tr w:rsidR="0007692A" w:rsidTr="0007692A">
        <w:trPr>
          <w:trHeight w:hRule="exact" w:val="340"/>
        </w:trPr>
        <w:tc>
          <w:tcPr>
            <w:tcW w:w="1970" w:type="dxa"/>
            <w:vMerge/>
          </w:tcPr>
          <w:p w:rsidR="0007692A" w:rsidRPr="00C95655" w:rsidRDefault="0007692A" w:rsidP="0007692A">
            <w:pPr>
              <w:pStyle w:val="DHSbodycopytable"/>
              <w:rPr>
                <w:rFonts w:cs="Arial"/>
                <w:sz w:val="20"/>
                <w:lang w:val="en-US"/>
              </w:rPr>
            </w:pPr>
          </w:p>
        </w:tc>
        <w:tc>
          <w:tcPr>
            <w:tcW w:w="1971" w:type="dxa"/>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3 Bed House</w:t>
            </w:r>
          </w:p>
        </w:tc>
        <w:tc>
          <w:tcPr>
            <w:tcW w:w="1971" w:type="dxa"/>
            <w:vAlign w:val="center"/>
          </w:tcPr>
          <w:p w:rsidR="0007692A" w:rsidRPr="00636BDA" w:rsidRDefault="0007692A" w:rsidP="0007692A">
            <w:pPr>
              <w:jc w:val="center"/>
            </w:pPr>
            <w:r w:rsidRPr="00636BDA">
              <w:t>$300</w:t>
            </w:r>
          </w:p>
        </w:tc>
        <w:tc>
          <w:tcPr>
            <w:tcW w:w="2276" w:type="dxa"/>
            <w:shd w:val="clear" w:color="auto" w:fill="DEE4EE"/>
            <w:vAlign w:val="center"/>
          </w:tcPr>
          <w:p w:rsidR="0007692A" w:rsidRPr="00636BDA" w:rsidRDefault="0007692A" w:rsidP="0007692A">
            <w:pPr>
              <w:jc w:val="center"/>
            </w:pPr>
            <w:r w:rsidRPr="00636BDA">
              <w:t>0.7%</w:t>
            </w:r>
          </w:p>
        </w:tc>
        <w:tc>
          <w:tcPr>
            <w:tcW w:w="1971" w:type="dxa"/>
            <w:vAlign w:val="center"/>
          </w:tcPr>
          <w:p w:rsidR="0007692A" w:rsidRPr="00636BDA" w:rsidRDefault="0007692A" w:rsidP="0007692A">
            <w:pPr>
              <w:jc w:val="center"/>
            </w:pPr>
            <w:r w:rsidRPr="00636BDA">
              <w:t>3.8%</w:t>
            </w:r>
          </w:p>
        </w:tc>
      </w:tr>
      <w:tr w:rsidR="0007692A" w:rsidTr="0007692A">
        <w:trPr>
          <w:trHeight w:hRule="exact" w:val="340"/>
        </w:trPr>
        <w:tc>
          <w:tcPr>
            <w:tcW w:w="1970" w:type="dxa"/>
            <w:vMerge/>
            <w:tcBorders>
              <w:bottom w:val="single" w:sz="18" w:space="0" w:color="9DAECB"/>
            </w:tcBorders>
          </w:tcPr>
          <w:p w:rsidR="0007692A" w:rsidRPr="00C95655" w:rsidRDefault="0007692A" w:rsidP="0007692A">
            <w:pPr>
              <w:pStyle w:val="DHSbodycopytable"/>
              <w:rPr>
                <w:rFonts w:cs="Arial"/>
                <w:sz w:val="20"/>
                <w:lang w:val="en-US"/>
              </w:rPr>
            </w:pPr>
          </w:p>
        </w:tc>
        <w:tc>
          <w:tcPr>
            <w:tcW w:w="1971" w:type="dxa"/>
            <w:tcBorders>
              <w:bottom w:val="single" w:sz="18" w:space="0" w:color="9DAECB"/>
            </w:tcBorders>
            <w:shd w:val="clear" w:color="auto" w:fill="DEE4EE"/>
            <w:vAlign w:val="center"/>
          </w:tcPr>
          <w:p w:rsidR="0007692A" w:rsidRPr="00C95655" w:rsidRDefault="0007692A" w:rsidP="0007692A">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center"/>
          </w:tcPr>
          <w:p w:rsidR="0007692A" w:rsidRPr="00636BDA" w:rsidRDefault="0007692A" w:rsidP="0007692A">
            <w:pPr>
              <w:jc w:val="center"/>
            </w:pPr>
            <w:r w:rsidRPr="00636BDA">
              <w:t>$370</w:t>
            </w:r>
          </w:p>
        </w:tc>
        <w:tc>
          <w:tcPr>
            <w:tcW w:w="2276" w:type="dxa"/>
            <w:tcBorders>
              <w:bottom w:val="single" w:sz="18" w:space="0" w:color="9DAECB"/>
            </w:tcBorders>
            <w:shd w:val="clear" w:color="auto" w:fill="DEE4EE"/>
            <w:vAlign w:val="center"/>
          </w:tcPr>
          <w:p w:rsidR="0007692A" w:rsidRPr="00636BDA" w:rsidRDefault="0007692A" w:rsidP="0007692A">
            <w:pPr>
              <w:jc w:val="center"/>
            </w:pPr>
            <w:r w:rsidRPr="00636BDA">
              <w:t>-1.0%</w:t>
            </w:r>
          </w:p>
        </w:tc>
        <w:tc>
          <w:tcPr>
            <w:tcW w:w="1971" w:type="dxa"/>
            <w:tcBorders>
              <w:bottom w:val="single" w:sz="18" w:space="0" w:color="9DAECB"/>
            </w:tcBorders>
            <w:vAlign w:val="center"/>
          </w:tcPr>
          <w:p w:rsidR="0007692A" w:rsidRDefault="0007692A" w:rsidP="0007692A">
            <w:pPr>
              <w:jc w:val="center"/>
            </w:pPr>
            <w:r w:rsidRPr="00636BDA">
              <w:t>1.0%</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C44FD" w:rsidRDefault="0047763C" w:rsidP="0099180B">
      <w:pPr>
        <w:rPr>
          <w:rFonts w:cs="Arial"/>
          <w:b/>
        </w:rPr>
      </w:pP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6A4E6B">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47763C" w:rsidRDefault="0047763C" w:rsidP="006A4E6B"/>
    <w:p w:rsidR="0047763C" w:rsidRDefault="0047763C" w:rsidP="006A4E6B">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w:t>
      </w:r>
      <w:r w:rsidRPr="000F3B39">
        <w:lastRenderedPageBreak/>
        <w:t xml:space="preserve">Southern Melbourne and the inner parts of North Western </w:t>
      </w:r>
      <w:r w:rsidR="00CB793D">
        <w:t xml:space="preserve">Melbourne </w:t>
      </w:r>
      <w:r w:rsidR="00397411">
        <w:t>and North Eastern Melbourne.</w:t>
      </w:r>
    </w:p>
    <w:p w:rsidR="00757CC4" w:rsidRPr="000F3B39" w:rsidRDefault="00757CC4" w:rsidP="00BA6BE6">
      <w:pPr>
        <w:rPr>
          <w:rFonts w:cs="Arial"/>
          <w:szCs w:val="20"/>
        </w:rPr>
      </w:pPr>
    </w:p>
    <w:p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rsidR="0047763C" w:rsidRDefault="00DF3112" w:rsidP="004F6778">
      <w:pPr>
        <w:jc w:val="center"/>
        <w:rPr>
          <w:rFonts w:cs="Arial"/>
        </w:rPr>
      </w:pPr>
      <w:r>
        <w:rPr>
          <w:rFonts w:cs="Arial"/>
          <w:noProof/>
          <w:lang w:eastAsia="en-AU"/>
        </w:rPr>
        <w:drawing>
          <wp:inline distT="0" distB="0" distL="0" distR="0">
            <wp:extent cx="3581051" cy="3600000"/>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722b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1051" cy="3600000"/>
                    </a:xfrm>
                    <a:prstGeom prst="rect">
                      <a:avLst/>
                    </a:prstGeom>
                  </pic:spPr>
                </pic:pic>
              </a:graphicData>
            </a:graphic>
          </wp:inline>
        </w:drawing>
      </w:r>
    </w:p>
    <w:p w:rsidR="00CC3D62" w:rsidRDefault="0047763C" w:rsidP="004F6778">
      <w:pPr>
        <w:jc w:val="cente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r w:rsidR="00DF3112">
        <w:rPr>
          <w:rFonts w:cs="Arial"/>
          <w:b/>
          <w:noProof/>
          <w:sz w:val="20"/>
          <w:szCs w:val="20"/>
          <w:lang w:eastAsia="en-AU"/>
        </w:rPr>
        <w:drawing>
          <wp:inline distT="0" distB="0" distL="0" distR="0">
            <wp:extent cx="3552816"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723b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2816" cy="3600000"/>
                    </a:xfrm>
                    <a:prstGeom prst="rect">
                      <a:avLst/>
                    </a:prstGeom>
                  </pic:spPr>
                </pic:pic>
              </a:graphicData>
            </a:graphic>
          </wp:inline>
        </w:drawing>
      </w:r>
    </w:p>
    <w:p w:rsidR="006D380F" w:rsidRPr="00B17DA6" w:rsidRDefault="001E0276" w:rsidP="006D380F">
      <w:pPr>
        <w:rPr>
          <w:rFonts w:cs="Arial"/>
          <w:szCs w:val="22"/>
          <w:lang w:eastAsia="en-AU"/>
        </w:rPr>
      </w:pPr>
      <w:r w:rsidRPr="00FF4903">
        <w:t>For two-</w:t>
      </w:r>
      <w:r w:rsidR="0047763C" w:rsidRPr="00FF4903">
        <w:t xml:space="preserve">bedroom flats in metropolitan Melbourne, the suburbs with the highest increases in moving annual median rents to the </w:t>
      </w:r>
      <w:r w:rsidR="00D429F4">
        <w:t>June</w:t>
      </w:r>
      <w:r w:rsidR="0047763C" w:rsidRPr="00FF4903">
        <w:t xml:space="preserve"> quarter were </w:t>
      </w:r>
      <w:r w:rsidR="0027602C" w:rsidRPr="00B17DA6">
        <w:rPr>
          <w:rFonts w:cs="Arial"/>
          <w:szCs w:val="22"/>
          <w:lang w:eastAsia="en-AU"/>
        </w:rPr>
        <w:t>Caulfield, Elsternwick and Gladstone Park-Tullamarine</w:t>
      </w:r>
      <w:r w:rsidR="0027602C">
        <w:rPr>
          <w:rFonts w:cs="Arial"/>
          <w:szCs w:val="22"/>
          <w:lang w:eastAsia="en-AU"/>
        </w:rPr>
        <w:t xml:space="preserve"> (10.0%), </w:t>
      </w:r>
      <w:r w:rsidR="0027602C" w:rsidRPr="0027602C">
        <w:rPr>
          <w:rFonts w:cs="Arial"/>
          <w:szCs w:val="22"/>
          <w:lang w:eastAsia="en-AU"/>
        </w:rPr>
        <w:t>Footscray</w:t>
      </w:r>
      <w:r w:rsidR="0027602C">
        <w:rPr>
          <w:rFonts w:cs="Arial"/>
          <w:szCs w:val="22"/>
          <w:lang w:eastAsia="en-AU"/>
        </w:rPr>
        <w:t xml:space="preserve"> (8.8%), </w:t>
      </w:r>
      <w:r w:rsidR="006D380F" w:rsidRPr="006D380F">
        <w:rPr>
          <w:rFonts w:cs="Arial"/>
          <w:szCs w:val="22"/>
          <w:lang w:eastAsia="en-AU"/>
        </w:rPr>
        <w:t>Mentone-Parkdale-Mordialloc</w:t>
      </w:r>
      <w:r w:rsidR="006D380F">
        <w:rPr>
          <w:rFonts w:cs="Arial"/>
          <w:szCs w:val="22"/>
          <w:lang w:eastAsia="en-AU"/>
        </w:rPr>
        <w:t xml:space="preserve"> (8.3%), </w:t>
      </w:r>
      <w:r w:rsidR="006D380F" w:rsidRPr="006D380F">
        <w:rPr>
          <w:rFonts w:cs="Arial"/>
          <w:szCs w:val="22"/>
          <w:lang w:eastAsia="en-AU"/>
        </w:rPr>
        <w:t>Armadale</w:t>
      </w:r>
      <w:r w:rsidR="006D380F">
        <w:rPr>
          <w:rFonts w:cs="Arial"/>
          <w:szCs w:val="22"/>
          <w:lang w:eastAsia="en-AU"/>
        </w:rPr>
        <w:t xml:space="preserve"> (7.5%) and </w:t>
      </w:r>
      <w:r w:rsidR="006D380F" w:rsidRPr="006D380F">
        <w:rPr>
          <w:rFonts w:cs="Arial"/>
          <w:szCs w:val="22"/>
          <w:lang w:eastAsia="en-AU"/>
        </w:rPr>
        <w:t>St Albans-Deer Park</w:t>
      </w:r>
      <w:r w:rsidR="006D380F">
        <w:rPr>
          <w:rFonts w:cs="Arial"/>
          <w:szCs w:val="22"/>
          <w:lang w:eastAsia="en-AU"/>
        </w:rPr>
        <w:t xml:space="preserve"> (7.4%). </w:t>
      </w:r>
      <w:r w:rsidR="00235DA1">
        <w:rPr>
          <w:szCs w:val="20"/>
        </w:rPr>
        <w:t>The moving annual median rent</w:t>
      </w:r>
      <w:r w:rsidR="006D380F" w:rsidRPr="00FF4903">
        <w:rPr>
          <w:szCs w:val="20"/>
        </w:rPr>
        <w:t xml:space="preserve"> </w:t>
      </w:r>
      <w:r w:rsidR="006D380F">
        <w:rPr>
          <w:szCs w:val="20"/>
        </w:rPr>
        <w:t>did not decrease in any suburb</w:t>
      </w:r>
      <w:r w:rsidR="00D97B3B">
        <w:rPr>
          <w:szCs w:val="20"/>
        </w:rPr>
        <w:t>. It</w:t>
      </w:r>
      <w:r w:rsidR="006D380F">
        <w:rPr>
          <w:szCs w:val="20"/>
        </w:rPr>
        <w:t xml:space="preserve"> remained steady in </w:t>
      </w:r>
      <w:r w:rsidR="00D97B3B">
        <w:rPr>
          <w:szCs w:val="20"/>
        </w:rPr>
        <w:t>five</w:t>
      </w:r>
      <w:r w:rsidR="006D380F">
        <w:rPr>
          <w:szCs w:val="20"/>
        </w:rPr>
        <w:t xml:space="preserve"> suburbs: </w:t>
      </w:r>
      <w:r w:rsidR="006D380F" w:rsidRPr="00B17DA6">
        <w:rPr>
          <w:rFonts w:cs="Arial"/>
          <w:szCs w:val="22"/>
          <w:lang w:eastAsia="en-AU"/>
        </w:rPr>
        <w:t>Collingwood-Abbotsford, Brighton, West Footscray, Williamstown and Eltham-Research-Montmorency</w:t>
      </w:r>
    </w:p>
    <w:p w:rsidR="0027602C" w:rsidRDefault="0027602C" w:rsidP="00E136FD">
      <w:pPr>
        <w:rPr>
          <w:rFonts w:cs="Arial"/>
          <w:szCs w:val="22"/>
          <w:lang w:eastAsia="en-AU"/>
        </w:rPr>
      </w:pPr>
    </w:p>
    <w:p w:rsidR="002C0270" w:rsidRPr="009463AD" w:rsidRDefault="0047763C" w:rsidP="002C0270">
      <w:r w:rsidRPr="006A4E6B">
        <w:lastRenderedPageBreak/>
        <w:t xml:space="preserve">For </w:t>
      </w:r>
      <w:r w:rsidR="001E0276" w:rsidRPr="006A4E6B">
        <w:t>two-</w:t>
      </w:r>
      <w:r w:rsidR="00AB0D80" w:rsidRPr="006A4E6B">
        <w:t xml:space="preserve">bedroom flats in </w:t>
      </w:r>
      <w:r w:rsidRPr="006A4E6B">
        <w:t>regional Victoria</w:t>
      </w:r>
      <w:r w:rsidR="00CE7BFD" w:rsidRPr="006A4E6B">
        <w:t>,</w:t>
      </w:r>
      <w:r w:rsidRPr="006A4E6B">
        <w:t xml:space="preserve"> the towns with the highest increases in moving annual median rents to the </w:t>
      </w:r>
      <w:r w:rsidR="00D429F4">
        <w:t>June</w:t>
      </w:r>
      <w:r w:rsidRPr="006A4E6B">
        <w:t xml:space="preserve"> quarter were </w:t>
      </w:r>
      <w:r w:rsidR="00371DA5" w:rsidRPr="00C2506D">
        <w:rPr>
          <w:rFonts w:cs="Arial"/>
          <w:szCs w:val="16"/>
          <w:lang w:eastAsia="en-AU"/>
        </w:rPr>
        <w:t>Torquay</w:t>
      </w:r>
      <w:r w:rsidR="00371DA5">
        <w:rPr>
          <w:rFonts w:cs="Arial"/>
          <w:szCs w:val="16"/>
          <w:lang w:eastAsia="en-AU"/>
        </w:rPr>
        <w:t xml:space="preserve"> (7.7%), </w:t>
      </w:r>
      <w:r w:rsidR="00371DA5" w:rsidRPr="00C2506D">
        <w:rPr>
          <w:rFonts w:cs="Arial"/>
          <w:szCs w:val="16"/>
          <w:lang w:eastAsia="en-AU"/>
        </w:rPr>
        <w:t>Hamilton</w:t>
      </w:r>
      <w:r w:rsidR="00371DA5">
        <w:rPr>
          <w:rFonts w:cs="Arial"/>
          <w:szCs w:val="16"/>
          <w:lang w:eastAsia="en-AU"/>
        </w:rPr>
        <w:t xml:space="preserve"> (5.6%), </w:t>
      </w:r>
      <w:r w:rsidR="00371DA5" w:rsidRPr="00C2506D">
        <w:rPr>
          <w:rFonts w:cs="Arial"/>
          <w:szCs w:val="16"/>
          <w:lang w:eastAsia="en-AU"/>
        </w:rPr>
        <w:t>Belmont-Grovedale</w:t>
      </w:r>
      <w:r w:rsidR="00371DA5">
        <w:rPr>
          <w:rFonts w:cs="Arial"/>
          <w:szCs w:val="16"/>
          <w:lang w:eastAsia="en-AU"/>
        </w:rPr>
        <w:t xml:space="preserve"> (5.4%) and </w:t>
      </w:r>
      <w:r w:rsidR="00371DA5" w:rsidRPr="00C2506D">
        <w:rPr>
          <w:rFonts w:cs="Arial"/>
          <w:szCs w:val="16"/>
          <w:lang w:eastAsia="en-AU"/>
        </w:rPr>
        <w:t>Newtown</w:t>
      </w:r>
      <w:r w:rsidR="00371DA5">
        <w:rPr>
          <w:rFonts w:cs="Arial"/>
          <w:szCs w:val="16"/>
          <w:lang w:eastAsia="en-AU"/>
        </w:rPr>
        <w:t xml:space="preserve"> (5.4%). </w:t>
      </w:r>
      <w:r w:rsidR="00AF012D" w:rsidRPr="006A4E6B">
        <w:t>The towns with decreas</w:t>
      </w:r>
      <w:r w:rsidR="00235DA1">
        <w:t>es in moving annual median rent</w:t>
      </w:r>
      <w:r w:rsidR="00AF012D" w:rsidRPr="006A4E6B">
        <w:t xml:space="preserve"> were</w:t>
      </w:r>
      <w:r w:rsidR="00332DD7" w:rsidRPr="006A4E6B">
        <w:t xml:space="preserve"> </w:t>
      </w:r>
      <w:r w:rsidR="00371DA5" w:rsidRPr="00B17DA6">
        <w:rPr>
          <w:rFonts w:cs="Arial"/>
          <w:szCs w:val="16"/>
          <w:lang w:eastAsia="en-AU"/>
        </w:rPr>
        <w:t>Sale-Maffra</w:t>
      </w:r>
      <w:r w:rsidR="00371DA5">
        <w:rPr>
          <w:rFonts w:cs="Arial"/>
          <w:szCs w:val="16"/>
          <w:lang w:eastAsia="en-AU"/>
        </w:rPr>
        <w:t xml:space="preserve"> (-10.0%), </w:t>
      </w:r>
      <w:r w:rsidR="00371DA5" w:rsidRPr="00B17DA6">
        <w:rPr>
          <w:rFonts w:cs="Arial"/>
          <w:szCs w:val="16"/>
          <w:lang w:eastAsia="en-AU"/>
        </w:rPr>
        <w:t>Horsham</w:t>
      </w:r>
      <w:r w:rsidR="00371DA5">
        <w:rPr>
          <w:rFonts w:cs="Arial"/>
          <w:szCs w:val="16"/>
          <w:lang w:eastAsia="en-AU"/>
        </w:rPr>
        <w:t xml:space="preserve"> (-4.8%), </w:t>
      </w:r>
      <w:r w:rsidR="00371DA5" w:rsidRPr="00B17DA6">
        <w:rPr>
          <w:rFonts w:cs="Arial"/>
          <w:szCs w:val="16"/>
          <w:lang w:eastAsia="en-AU"/>
        </w:rPr>
        <w:t>Moe-Newborough</w:t>
      </w:r>
      <w:r w:rsidR="00371DA5">
        <w:rPr>
          <w:rFonts w:cs="Arial"/>
          <w:szCs w:val="16"/>
          <w:lang w:eastAsia="en-AU"/>
        </w:rPr>
        <w:t xml:space="preserve"> (-3.0%), </w:t>
      </w:r>
      <w:r w:rsidR="00371DA5" w:rsidRPr="00B17DA6">
        <w:rPr>
          <w:rFonts w:cs="Arial"/>
          <w:szCs w:val="16"/>
          <w:lang w:eastAsia="en-AU"/>
        </w:rPr>
        <w:t>North Geelong</w:t>
      </w:r>
      <w:r w:rsidR="00371DA5">
        <w:rPr>
          <w:rFonts w:cs="Arial"/>
          <w:szCs w:val="16"/>
          <w:lang w:eastAsia="en-AU"/>
        </w:rPr>
        <w:t xml:space="preserve"> (-2.8%), </w:t>
      </w:r>
      <w:r w:rsidR="00371DA5" w:rsidRPr="00B17DA6">
        <w:rPr>
          <w:rFonts w:cs="Arial"/>
          <w:szCs w:val="16"/>
          <w:lang w:eastAsia="en-AU"/>
        </w:rPr>
        <w:t>Geelong-Newcomb</w:t>
      </w:r>
      <w:r w:rsidR="00371DA5">
        <w:rPr>
          <w:rFonts w:cs="Arial"/>
          <w:szCs w:val="16"/>
          <w:lang w:eastAsia="en-AU"/>
        </w:rPr>
        <w:t xml:space="preserve"> (-1.0%) and </w:t>
      </w:r>
      <w:r w:rsidR="00371DA5" w:rsidRPr="00B17DA6">
        <w:rPr>
          <w:rFonts w:cs="Arial"/>
          <w:szCs w:val="16"/>
          <w:lang w:eastAsia="en-AU"/>
        </w:rPr>
        <w:t>Benalla</w:t>
      </w:r>
      <w:r w:rsidR="00371DA5">
        <w:rPr>
          <w:rFonts w:cs="Arial"/>
          <w:szCs w:val="16"/>
          <w:lang w:eastAsia="en-AU"/>
        </w:rPr>
        <w:t xml:space="preserve"> (-0.5%). In s</w:t>
      </w:r>
      <w:r w:rsidR="006D380F">
        <w:t>even</w:t>
      </w:r>
      <w:r w:rsidR="00AF012D" w:rsidRPr="006A4E6B">
        <w:t xml:space="preserve"> towns</w:t>
      </w:r>
      <w:r w:rsidR="00371DA5">
        <w:t xml:space="preserve">, the median rent remained steady: </w:t>
      </w:r>
      <w:r w:rsidR="006D380F" w:rsidRPr="00B17DA6">
        <w:rPr>
          <w:rFonts w:cs="Arial"/>
          <w:szCs w:val="22"/>
          <w:lang w:eastAsia="en-AU"/>
        </w:rPr>
        <w:t>Mount Clear-Buninyong, Sebastopol-Delacombe</w:t>
      </w:r>
      <w:r w:rsidR="006D380F">
        <w:rPr>
          <w:rFonts w:cs="Arial"/>
          <w:lang w:eastAsia="en-AU"/>
        </w:rPr>
        <w:t xml:space="preserve">, </w:t>
      </w:r>
      <w:r w:rsidR="006D380F" w:rsidRPr="00B17DA6">
        <w:rPr>
          <w:rFonts w:cs="Arial"/>
          <w:szCs w:val="22"/>
          <w:lang w:eastAsia="en-AU"/>
        </w:rPr>
        <w:t>Bairnsdale</w:t>
      </w:r>
      <w:r w:rsidR="006D380F">
        <w:rPr>
          <w:rFonts w:cs="Arial"/>
          <w:lang w:eastAsia="en-AU"/>
        </w:rPr>
        <w:t xml:space="preserve">, </w:t>
      </w:r>
      <w:r w:rsidR="006D380F" w:rsidRPr="00B17DA6">
        <w:rPr>
          <w:rFonts w:cs="Arial"/>
          <w:szCs w:val="22"/>
          <w:lang w:eastAsia="en-AU"/>
        </w:rPr>
        <w:t>Morwell</w:t>
      </w:r>
      <w:r w:rsidR="006D380F">
        <w:rPr>
          <w:rFonts w:cs="Arial"/>
          <w:lang w:eastAsia="en-AU"/>
        </w:rPr>
        <w:t xml:space="preserve">, </w:t>
      </w:r>
      <w:r w:rsidR="006D380F" w:rsidRPr="00B17DA6">
        <w:rPr>
          <w:rFonts w:cs="Arial"/>
          <w:szCs w:val="22"/>
          <w:lang w:eastAsia="en-AU"/>
        </w:rPr>
        <w:t>Portland</w:t>
      </w:r>
      <w:r w:rsidR="006D380F">
        <w:rPr>
          <w:rFonts w:cs="Arial"/>
          <w:lang w:eastAsia="en-AU"/>
        </w:rPr>
        <w:t xml:space="preserve">, </w:t>
      </w:r>
      <w:r w:rsidR="006D380F" w:rsidRPr="00B17DA6">
        <w:rPr>
          <w:rFonts w:cs="Arial"/>
          <w:szCs w:val="22"/>
          <w:lang w:eastAsia="en-AU"/>
        </w:rPr>
        <w:t>Swan Hill</w:t>
      </w:r>
      <w:r w:rsidR="006D380F">
        <w:rPr>
          <w:rFonts w:cs="Arial"/>
          <w:lang w:eastAsia="en-AU"/>
        </w:rPr>
        <w:t xml:space="preserve"> and </w:t>
      </w:r>
      <w:r w:rsidR="006D380F" w:rsidRPr="00B17DA6">
        <w:rPr>
          <w:rFonts w:cs="Arial"/>
          <w:szCs w:val="22"/>
          <w:lang w:eastAsia="en-AU"/>
        </w:rPr>
        <w:t>Traralgon</w:t>
      </w:r>
      <w:r w:rsidR="00371DA5">
        <w:rPr>
          <w:rFonts w:cs="Arial"/>
          <w:szCs w:val="22"/>
          <w:lang w:eastAsia="en-AU"/>
        </w:rPr>
        <w:t>.</w:t>
      </w:r>
    </w:p>
    <w:p w:rsidR="0082208E" w:rsidRDefault="0082208E" w:rsidP="006A4E6B"/>
    <w:p w:rsidR="00D95146" w:rsidRPr="00676BE2" w:rsidRDefault="001E0276" w:rsidP="00D95146">
      <w:pPr>
        <w:rPr>
          <w:rFonts w:cs="Arial"/>
          <w:szCs w:val="16"/>
          <w:lang w:eastAsia="en-AU"/>
        </w:rPr>
      </w:pPr>
      <w:r w:rsidRPr="006A4E6B">
        <w:t>For three-</w:t>
      </w:r>
      <w:r w:rsidR="00C87597" w:rsidRPr="006A4E6B">
        <w:t>bedroom houses i</w:t>
      </w:r>
      <w:r w:rsidR="0047763C" w:rsidRPr="006A4E6B">
        <w:t>n metropolitan Melbourne, the suburbs with the highest increas</w:t>
      </w:r>
      <w:r w:rsidR="00235DA1">
        <w:t>es in moving annual median rent</w:t>
      </w:r>
      <w:r w:rsidR="0047763C" w:rsidRPr="006A4E6B">
        <w:t xml:space="preserve"> to the </w:t>
      </w:r>
      <w:r w:rsidR="00D429F4">
        <w:t>June</w:t>
      </w:r>
      <w:r w:rsidR="0047763C" w:rsidRPr="006A4E6B">
        <w:t xml:space="preserve"> quarter were </w:t>
      </w:r>
      <w:r w:rsidR="001A0B4C" w:rsidRPr="001A0B4C">
        <w:t xml:space="preserve">CBD-St Kilda Rd </w:t>
      </w:r>
      <w:r w:rsidR="001A0B4C">
        <w:t xml:space="preserve">(40.0%), </w:t>
      </w:r>
      <w:r w:rsidR="00D97B3B">
        <w:t>(</w:t>
      </w:r>
      <w:r w:rsidR="00647EC3">
        <w:t>Carlton North (9.2%),</w:t>
      </w:r>
      <w:r w:rsidR="00647EC3" w:rsidRPr="00647EC3">
        <w:t xml:space="preserve"> Pascoe Vale-Coburg </w:t>
      </w:r>
      <w:r w:rsidR="00647EC3" w:rsidRPr="00D95146">
        <w:t xml:space="preserve">North (7.5%), Elsternwick (7.2%), Richmond-Burnley (7.1%) and Thornbury (7.0%). </w:t>
      </w:r>
      <w:r w:rsidR="006A4E6B" w:rsidRPr="00D95146">
        <w:t>The suburbs with decreases in moving annua</w:t>
      </w:r>
      <w:r w:rsidR="00235DA1">
        <w:t>l median rent</w:t>
      </w:r>
      <w:r w:rsidR="006444FC" w:rsidRPr="00D95146">
        <w:t xml:space="preserve"> were </w:t>
      </w:r>
      <w:r w:rsidR="00D97B3B">
        <w:t xml:space="preserve">Docklands (-69.8%), </w:t>
      </w:r>
      <w:r w:rsidR="00647EC3" w:rsidRPr="00D95146">
        <w:t>South Yarra (-8.1%), East Melbourne (-4.8%), Elwood (-3.0%), Murrumbeena-Hughesdale (-2.7%), Malvern (-2.3</w:t>
      </w:r>
      <w:r w:rsidR="00D71BB5" w:rsidRPr="00D95146">
        <w:t xml:space="preserve">%), </w:t>
      </w:r>
      <w:r w:rsidR="00D95146" w:rsidRPr="00D95146">
        <w:t>Kew (-1.5%) and Port Melbourne (-1.2%). Eleven</w:t>
      </w:r>
      <w:r w:rsidR="006A4E6B" w:rsidRPr="00D95146">
        <w:t xml:space="preserve"> suburbs remaining steady were</w:t>
      </w:r>
      <w:r w:rsidR="00D71BB5" w:rsidRPr="00D95146">
        <w:t xml:space="preserve"> </w:t>
      </w:r>
      <w:r w:rsidR="00D95146" w:rsidRPr="00676BE2">
        <w:rPr>
          <w:rFonts w:cs="Arial"/>
          <w:szCs w:val="16"/>
          <w:lang w:eastAsia="en-AU"/>
        </w:rPr>
        <w:t>Armadale</w:t>
      </w:r>
      <w:r w:rsidR="00D95146" w:rsidRPr="00D95146">
        <w:rPr>
          <w:rFonts w:cs="Arial"/>
          <w:szCs w:val="16"/>
          <w:lang w:eastAsia="en-AU"/>
        </w:rPr>
        <w:t xml:space="preserve">, </w:t>
      </w:r>
      <w:r w:rsidR="00D95146" w:rsidRPr="00676BE2">
        <w:rPr>
          <w:rFonts w:cs="Arial"/>
          <w:szCs w:val="16"/>
          <w:lang w:eastAsia="en-AU"/>
        </w:rPr>
        <w:t>Fitzroy North-Clifton Hill</w:t>
      </w:r>
      <w:r w:rsidR="00D95146" w:rsidRPr="00D95146">
        <w:rPr>
          <w:rFonts w:cs="Arial"/>
          <w:szCs w:val="16"/>
          <w:lang w:eastAsia="en-AU"/>
        </w:rPr>
        <w:t xml:space="preserve">, </w:t>
      </w:r>
      <w:r w:rsidR="00D95146" w:rsidRPr="00676BE2">
        <w:rPr>
          <w:rFonts w:cs="Arial"/>
          <w:szCs w:val="16"/>
          <w:lang w:eastAsia="en-AU"/>
        </w:rPr>
        <w:t>Blackburn</w:t>
      </w:r>
      <w:r w:rsidR="00D95146" w:rsidRPr="00D95146">
        <w:rPr>
          <w:rFonts w:cs="Arial"/>
          <w:szCs w:val="16"/>
          <w:lang w:eastAsia="en-AU"/>
        </w:rPr>
        <w:t xml:space="preserve">, </w:t>
      </w:r>
      <w:r w:rsidR="00D95146" w:rsidRPr="00676BE2">
        <w:rPr>
          <w:rFonts w:cs="Arial"/>
          <w:szCs w:val="16"/>
          <w:lang w:eastAsia="en-AU"/>
        </w:rPr>
        <w:t>Box Hill</w:t>
      </w:r>
      <w:r w:rsidR="00D95146" w:rsidRPr="00D95146">
        <w:rPr>
          <w:rFonts w:cs="Arial"/>
          <w:szCs w:val="16"/>
          <w:lang w:eastAsia="en-AU"/>
        </w:rPr>
        <w:t xml:space="preserve">, </w:t>
      </w:r>
      <w:r w:rsidR="00D95146" w:rsidRPr="00676BE2">
        <w:rPr>
          <w:rFonts w:cs="Arial"/>
          <w:szCs w:val="16"/>
          <w:lang w:eastAsia="en-AU"/>
        </w:rPr>
        <w:t>Hawthorn</w:t>
      </w:r>
      <w:r w:rsidR="00D95146" w:rsidRPr="00D95146">
        <w:rPr>
          <w:rFonts w:cs="Arial"/>
          <w:szCs w:val="16"/>
          <w:lang w:eastAsia="en-AU"/>
        </w:rPr>
        <w:t xml:space="preserve">, </w:t>
      </w:r>
      <w:r w:rsidR="00D95146" w:rsidRPr="00676BE2">
        <w:rPr>
          <w:rFonts w:cs="Arial"/>
          <w:szCs w:val="16"/>
          <w:lang w:eastAsia="en-AU"/>
        </w:rPr>
        <w:t>Williamstown</w:t>
      </w:r>
      <w:r w:rsidR="00D95146" w:rsidRPr="00D95146">
        <w:rPr>
          <w:rFonts w:cs="Arial"/>
          <w:szCs w:val="16"/>
          <w:lang w:eastAsia="en-AU"/>
        </w:rPr>
        <w:t xml:space="preserve">, </w:t>
      </w:r>
      <w:r w:rsidR="00D95146" w:rsidRPr="00676BE2">
        <w:rPr>
          <w:rFonts w:cs="Arial"/>
          <w:szCs w:val="16"/>
          <w:lang w:eastAsia="en-AU"/>
        </w:rPr>
        <w:t>Keilor</w:t>
      </w:r>
      <w:r w:rsidR="00D95146" w:rsidRPr="00D95146">
        <w:rPr>
          <w:rFonts w:cs="Arial"/>
          <w:szCs w:val="16"/>
          <w:lang w:eastAsia="en-AU"/>
        </w:rPr>
        <w:t xml:space="preserve">, </w:t>
      </w:r>
      <w:r w:rsidR="00D95146" w:rsidRPr="00676BE2">
        <w:rPr>
          <w:rFonts w:cs="Arial"/>
          <w:szCs w:val="16"/>
          <w:lang w:eastAsia="en-AU"/>
        </w:rPr>
        <w:t>Ivanhoe-Ivanhoe East</w:t>
      </w:r>
      <w:r w:rsidR="00D95146" w:rsidRPr="00D95146">
        <w:rPr>
          <w:rFonts w:cs="Arial"/>
          <w:szCs w:val="16"/>
          <w:lang w:eastAsia="en-AU"/>
        </w:rPr>
        <w:t xml:space="preserve">, </w:t>
      </w:r>
      <w:r w:rsidR="00D95146" w:rsidRPr="00676BE2">
        <w:rPr>
          <w:rFonts w:cs="Arial"/>
          <w:szCs w:val="16"/>
          <w:lang w:eastAsia="en-AU"/>
        </w:rPr>
        <w:t>Boronia</w:t>
      </w:r>
      <w:r w:rsidR="00D95146" w:rsidRPr="00D95146">
        <w:rPr>
          <w:rFonts w:cs="Arial"/>
          <w:szCs w:val="16"/>
          <w:lang w:eastAsia="en-AU"/>
        </w:rPr>
        <w:t xml:space="preserve">, </w:t>
      </w:r>
      <w:r w:rsidR="00D95146" w:rsidRPr="00676BE2">
        <w:rPr>
          <w:rFonts w:cs="Arial"/>
          <w:szCs w:val="16"/>
          <w:lang w:eastAsia="en-AU"/>
        </w:rPr>
        <w:t>Narre Warren-Hampton Park</w:t>
      </w:r>
      <w:r w:rsidR="00D95146" w:rsidRPr="00D95146">
        <w:rPr>
          <w:rFonts w:cs="Arial"/>
          <w:szCs w:val="16"/>
          <w:lang w:eastAsia="en-AU"/>
        </w:rPr>
        <w:t xml:space="preserve"> and </w:t>
      </w:r>
      <w:r w:rsidR="00D95146" w:rsidRPr="00676BE2">
        <w:rPr>
          <w:rFonts w:cs="Arial"/>
          <w:szCs w:val="16"/>
          <w:lang w:eastAsia="en-AU"/>
        </w:rPr>
        <w:t>Noble Park</w:t>
      </w:r>
      <w:r w:rsidR="00D95146" w:rsidRPr="00D95146">
        <w:rPr>
          <w:rFonts w:cs="Arial"/>
          <w:szCs w:val="16"/>
          <w:lang w:eastAsia="en-AU"/>
        </w:rPr>
        <w:t>.</w:t>
      </w:r>
    </w:p>
    <w:p w:rsidR="002C0270" w:rsidRDefault="002C0270" w:rsidP="006A4E6B"/>
    <w:p w:rsidR="002C0270" w:rsidRPr="00D95146" w:rsidRDefault="001E0276" w:rsidP="002C0270">
      <w:pPr>
        <w:rPr>
          <w:rFonts w:cs="Arial"/>
          <w:szCs w:val="16"/>
          <w:lang w:eastAsia="en-AU"/>
        </w:rPr>
      </w:pPr>
      <w:r w:rsidRPr="00D95146">
        <w:t>For three-</w:t>
      </w:r>
      <w:r w:rsidR="006D0FD4" w:rsidRPr="00D95146">
        <w:t>bedroom houses</w:t>
      </w:r>
      <w:r w:rsidR="00146CCF" w:rsidRPr="00D95146">
        <w:t xml:space="preserve"> in </w:t>
      </w:r>
      <w:r w:rsidR="0047763C" w:rsidRPr="00D95146">
        <w:t>regional Victoria, the towns with the highest increas</w:t>
      </w:r>
      <w:r w:rsidR="00235DA1">
        <w:t>es in moving annual median rent</w:t>
      </w:r>
      <w:r w:rsidR="0047763C" w:rsidRPr="00D95146">
        <w:t xml:space="preserve"> to the </w:t>
      </w:r>
      <w:r w:rsidR="00D429F4" w:rsidRPr="00D95146">
        <w:t>June</w:t>
      </w:r>
      <w:r w:rsidR="0047763C" w:rsidRPr="00D95146">
        <w:t xml:space="preserve"> quarter were</w:t>
      </w:r>
      <w:r w:rsidR="00052803" w:rsidRPr="00D95146">
        <w:t xml:space="preserve"> </w:t>
      </w:r>
      <w:r w:rsidR="00647EC3" w:rsidRPr="00D95146">
        <w:t xml:space="preserve">Morwell (7.1%), Newtown (6.8%) and Seymour (6.0%). </w:t>
      </w:r>
      <w:r w:rsidR="00D95146" w:rsidRPr="00D95146">
        <w:t xml:space="preserve">Towns with a decrease </w:t>
      </w:r>
      <w:r w:rsidR="00235DA1">
        <w:t>in moving annual median rent</w:t>
      </w:r>
      <w:r w:rsidR="00D95146" w:rsidRPr="00D95146">
        <w:t xml:space="preserve"> were </w:t>
      </w:r>
      <w:r w:rsidR="00D71BB5" w:rsidRPr="00D95146">
        <w:t>Mount Clear-Buninyong</w:t>
      </w:r>
      <w:r w:rsidR="00D95146" w:rsidRPr="00D95146">
        <w:t xml:space="preserve"> (-2.3</w:t>
      </w:r>
      <w:r w:rsidR="00D71BB5" w:rsidRPr="00D95146">
        <w:t>%)</w:t>
      </w:r>
      <w:r w:rsidR="00D95146" w:rsidRPr="00D95146">
        <w:t>, Sale-Maffra (-1.4%) and Bendigo (-1.0%)</w:t>
      </w:r>
      <w:r w:rsidR="00D71BB5" w:rsidRPr="00D95146">
        <w:t xml:space="preserve">. </w:t>
      </w:r>
      <w:r w:rsidR="00D95146" w:rsidRPr="00D95146">
        <w:t>Four</w:t>
      </w:r>
      <w:r w:rsidR="006A4E6B" w:rsidRPr="00D95146">
        <w:t xml:space="preserve"> towns remaining steady were</w:t>
      </w:r>
      <w:r w:rsidR="00FF0B50" w:rsidRPr="00D95146">
        <w:t xml:space="preserve"> </w:t>
      </w:r>
      <w:r w:rsidR="00D95146" w:rsidRPr="00676BE2">
        <w:rPr>
          <w:rFonts w:cs="Arial"/>
          <w:szCs w:val="16"/>
          <w:lang w:eastAsia="en-AU"/>
        </w:rPr>
        <w:t>Sebastopol-Delacombe</w:t>
      </w:r>
      <w:r w:rsidR="00D95146" w:rsidRPr="00D95146">
        <w:rPr>
          <w:rFonts w:cs="Arial"/>
          <w:szCs w:val="16"/>
          <w:lang w:eastAsia="en-AU"/>
        </w:rPr>
        <w:t xml:space="preserve">, </w:t>
      </w:r>
      <w:r w:rsidR="00D95146" w:rsidRPr="00676BE2">
        <w:rPr>
          <w:rFonts w:cs="Arial"/>
          <w:szCs w:val="16"/>
          <w:lang w:eastAsia="en-AU"/>
        </w:rPr>
        <w:t>Castlemaine</w:t>
      </w:r>
      <w:r w:rsidR="00D95146" w:rsidRPr="00D95146">
        <w:rPr>
          <w:rFonts w:cs="Arial"/>
          <w:szCs w:val="16"/>
          <w:lang w:eastAsia="en-AU"/>
        </w:rPr>
        <w:t xml:space="preserve">, </w:t>
      </w:r>
      <w:r w:rsidR="00D95146" w:rsidRPr="00676BE2">
        <w:rPr>
          <w:rFonts w:cs="Arial"/>
          <w:szCs w:val="16"/>
          <w:lang w:eastAsia="en-AU"/>
        </w:rPr>
        <w:t>Hamilton</w:t>
      </w:r>
      <w:r w:rsidR="00D95146" w:rsidRPr="00D95146">
        <w:rPr>
          <w:rFonts w:cs="Arial"/>
          <w:szCs w:val="16"/>
          <w:lang w:eastAsia="en-AU"/>
        </w:rPr>
        <w:t xml:space="preserve"> and </w:t>
      </w:r>
      <w:r w:rsidR="00D95146" w:rsidRPr="00676BE2">
        <w:rPr>
          <w:rFonts w:cs="Arial"/>
          <w:szCs w:val="16"/>
          <w:lang w:eastAsia="en-AU"/>
        </w:rPr>
        <w:t>Traralgon</w:t>
      </w:r>
      <w:r w:rsidR="002C0270" w:rsidRPr="00D95146">
        <w:t>.</w:t>
      </w:r>
    </w:p>
    <w:p w:rsidR="002C0270" w:rsidRDefault="002C0270" w:rsidP="00FF0B50"/>
    <w:p w:rsidR="002C0270" w:rsidRDefault="002C0270" w:rsidP="00FF0B50"/>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E872FE">
        <w:rPr>
          <w:rFonts w:cs="Arial"/>
          <w:b/>
          <w:sz w:val="20"/>
          <w:szCs w:val="20"/>
        </w:rPr>
        <w:t>:</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07692A" w:rsidRPr="00ED3997" w:rsidTr="00D95146">
        <w:trPr>
          <w:trHeight w:hRule="exact" w:val="312"/>
        </w:trPr>
        <w:tc>
          <w:tcPr>
            <w:tcW w:w="3969" w:type="dxa"/>
            <w:vAlign w:val="center"/>
          </w:tcPr>
          <w:p w:rsidR="0007692A" w:rsidRPr="00432A83" w:rsidRDefault="0007692A" w:rsidP="0007692A">
            <w:r w:rsidRPr="00432A83">
              <w:t>Docklands</w:t>
            </w:r>
          </w:p>
        </w:tc>
        <w:tc>
          <w:tcPr>
            <w:tcW w:w="1134" w:type="dxa"/>
            <w:shd w:val="clear" w:color="auto" w:fill="DEE4EE"/>
            <w:vAlign w:val="center"/>
          </w:tcPr>
          <w:p w:rsidR="0007692A" w:rsidRPr="00432A83" w:rsidRDefault="0007692A" w:rsidP="00D95146">
            <w:pPr>
              <w:jc w:val="center"/>
            </w:pPr>
            <w:r w:rsidRPr="00432A83">
              <w:t>$580</w:t>
            </w:r>
          </w:p>
        </w:tc>
        <w:tc>
          <w:tcPr>
            <w:tcW w:w="2948" w:type="dxa"/>
            <w:vAlign w:val="center"/>
          </w:tcPr>
          <w:p w:rsidR="0007692A" w:rsidRPr="00432A83" w:rsidRDefault="0007692A" w:rsidP="0007692A">
            <w:r w:rsidRPr="00432A83">
              <w:t>Melton</w:t>
            </w:r>
          </w:p>
        </w:tc>
        <w:tc>
          <w:tcPr>
            <w:tcW w:w="1134" w:type="dxa"/>
            <w:shd w:val="clear" w:color="auto" w:fill="DEE4EE"/>
            <w:vAlign w:val="center"/>
          </w:tcPr>
          <w:p w:rsidR="0007692A" w:rsidRPr="00432A83" w:rsidRDefault="0007692A" w:rsidP="0007692A">
            <w:pPr>
              <w:jc w:val="center"/>
            </w:pPr>
            <w:r w:rsidRPr="00432A83">
              <w:t>$260</w:t>
            </w:r>
          </w:p>
        </w:tc>
      </w:tr>
      <w:tr w:rsidR="0007692A" w:rsidRPr="00ED3997" w:rsidTr="00D95146">
        <w:trPr>
          <w:trHeight w:hRule="exact" w:val="312"/>
        </w:trPr>
        <w:tc>
          <w:tcPr>
            <w:tcW w:w="3969" w:type="dxa"/>
            <w:vAlign w:val="center"/>
          </w:tcPr>
          <w:p w:rsidR="0007692A" w:rsidRPr="00432A83" w:rsidRDefault="0007692A" w:rsidP="0007692A">
            <w:r w:rsidRPr="00432A83">
              <w:t>Port Melbourne</w:t>
            </w:r>
          </w:p>
        </w:tc>
        <w:tc>
          <w:tcPr>
            <w:tcW w:w="1134" w:type="dxa"/>
            <w:shd w:val="clear" w:color="auto" w:fill="DEE4EE"/>
            <w:vAlign w:val="center"/>
          </w:tcPr>
          <w:p w:rsidR="0007692A" w:rsidRPr="00432A83" w:rsidRDefault="0007692A" w:rsidP="00D95146">
            <w:pPr>
              <w:jc w:val="center"/>
            </w:pPr>
            <w:r w:rsidRPr="00432A83">
              <w:t>$580</w:t>
            </w:r>
          </w:p>
        </w:tc>
        <w:tc>
          <w:tcPr>
            <w:tcW w:w="2948" w:type="dxa"/>
            <w:vAlign w:val="center"/>
          </w:tcPr>
          <w:p w:rsidR="0007692A" w:rsidRPr="00432A83" w:rsidRDefault="0007692A" w:rsidP="0007692A">
            <w:r w:rsidRPr="00432A83">
              <w:t>Pakenham</w:t>
            </w:r>
          </w:p>
        </w:tc>
        <w:tc>
          <w:tcPr>
            <w:tcW w:w="1134" w:type="dxa"/>
            <w:shd w:val="clear" w:color="auto" w:fill="DEE4EE"/>
            <w:vAlign w:val="center"/>
          </w:tcPr>
          <w:p w:rsidR="0007692A" w:rsidRPr="00432A83" w:rsidRDefault="0007692A" w:rsidP="0007692A">
            <w:pPr>
              <w:jc w:val="center"/>
            </w:pPr>
            <w:r w:rsidRPr="00432A83">
              <w:t>$280</w:t>
            </w:r>
          </w:p>
        </w:tc>
      </w:tr>
      <w:tr w:rsidR="0007692A" w:rsidRPr="00ED3997" w:rsidTr="00D95146">
        <w:trPr>
          <w:trHeight w:hRule="exact" w:val="312"/>
        </w:trPr>
        <w:tc>
          <w:tcPr>
            <w:tcW w:w="3969" w:type="dxa"/>
            <w:vAlign w:val="center"/>
          </w:tcPr>
          <w:p w:rsidR="0007692A" w:rsidRPr="00432A83" w:rsidRDefault="0007692A" w:rsidP="0007692A">
            <w:r w:rsidRPr="00432A83">
              <w:t>CBD-St Kilda Rd</w:t>
            </w:r>
          </w:p>
        </w:tc>
        <w:tc>
          <w:tcPr>
            <w:tcW w:w="1134" w:type="dxa"/>
            <w:shd w:val="clear" w:color="auto" w:fill="DEE4EE"/>
            <w:vAlign w:val="center"/>
          </w:tcPr>
          <w:p w:rsidR="0007692A" w:rsidRPr="00432A83" w:rsidRDefault="0007692A" w:rsidP="00D95146">
            <w:pPr>
              <w:jc w:val="center"/>
            </w:pPr>
            <w:r w:rsidRPr="00432A83">
              <w:t>$560</w:t>
            </w:r>
          </w:p>
        </w:tc>
        <w:tc>
          <w:tcPr>
            <w:tcW w:w="2948" w:type="dxa"/>
            <w:vAlign w:val="center"/>
          </w:tcPr>
          <w:p w:rsidR="0007692A" w:rsidRPr="00432A83" w:rsidRDefault="0007692A" w:rsidP="0007692A">
            <w:r w:rsidRPr="00432A83">
              <w:t>Werribee-Hoppers Crossing</w:t>
            </w:r>
          </w:p>
        </w:tc>
        <w:tc>
          <w:tcPr>
            <w:tcW w:w="1134" w:type="dxa"/>
            <w:shd w:val="clear" w:color="auto" w:fill="DEE4EE"/>
            <w:vAlign w:val="center"/>
          </w:tcPr>
          <w:p w:rsidR="0007692A" w:rsidRPr="00432A83" w:rsidRDefault="0007692A" w:rsidP="0007692A">
            <w:pPr>
              <w:jc w:val="center"/>
            </w:pPr>
            <w:r w:rsidRPr="00432A83">
              <w:t>$285</w:t>
            </w:r>
          </w:p>
        </w:tc>
      </w:tr>
      <w:tr w:rsidR="0007692A" w:rsidRPr="00ED3997" w:rsidTr="00D95146">
        <w:trPr>
          <w:trHeight w:hRule="exact" w:val="312"/>
        </w:trPr>
        <w:tc>
          <w:tcPr>
            <w:tcW w:w="3969" w:type="dxa"/>
            <w:vAlign w:val="center"/>
          </w:tcPr>
          <w:p w:rsidR="0007692A" w:rsidRPr="00432A83" w:rsidRDefault="0007692A" w:rsidP="0007692A">
            <w:r w:rsidRPr="00432A83">
              <w:t>Southbank</w:t>
            </w:r>
          </w:p>
        </w:tc>
        <w:tc>
          <w:tcPr>
            <w:tcW w:w="1134" w:type="dxa"/>
            <w:shd w:val="clear" w:color="auto" w:fill="DEE4EE"/>
            <w:vAlign w:val="center"/>
          </w:tcPr>
          <w:p w:rsidR="0007692A" w:rsidRPr="00432A83" w:rsidRDefault="0007692A" w:rsidP="00D95146">
            <w:pPr>
              <w:jc w:val="center"/>
            </w:pPr>
            <w:r w:rsidRPr="00432A83">
              <w:t>$560</w:t>
            </w:r>
          </w:p>
        </w:tc>
        <w:tc>
          <w:tcPr>
            <w:tcW w:w="2948" w:type="dxa"/>
            <w:vAlign w:val="center"/>
          </w:tcPr>
          <w:p w:rsidR="0007692A" w:rsidRPr="00432A83" w:rsidRDefault="0007692A" w:rsidP="0007692A">
            <w:r w:rsidRPr="00432A83">
              <w:t>Whittlesea</w:t>
            </w:r>
          </w:p>
        </w:tc>
        <w:tc>
          <w:tcPr>
            <w:tcW w:w="1134" w:type="dxa"/>
            <w:shd w:val="clear" w:color="auto" w:fill="DEE4EE"/>
            <w:vAlign w:val="center"/>
          </w:tcPr>
          <w:p w:rsidR="0007692A" w:rsidRPr="00432A83" w:rsidRDefault="0007692A" w:rsidP="0007692A">
            <w:pPr>
              <w:jc w:val="center"/>
            </w:pPr>
            <w:r w:rsidRPr="00432A83">
              <w:t>$285</w:t>
            </w:r>
          </w:p>
        </w:tc>
      </w:tr>
      <w:tr w:rsidR="0007692A" w:rsidRPr="00ED3997" w:rsidTr="00D95146">
        <w:trPr>
          <w:trHeight w:hRule="exact" w:val="312"/>
        </w:trPr>
        <w:tc>
          <w:tcPr>
            <w:tcW w:w="3969" w:type="dxa"/>
            <w:vAlign w:val="center"/>
          </w:tcPr>
          <w:p w:rsidR="0007692A" w:rsidRPr="00432A83" w:rsidRDefault="0007692A" w:rsidP="0007692A">
            <w:r w:rsidRPr="00432A83">
              <w:t>Fitzroy</w:t>
            </w:r>
          </w:p>
        </w:tc>
        <w:tc>
          <w:tcPr>
            <w:tcW w:w="1134" w:type="dxa"/>
            <w:shd w:val="clear" w:color="auto" w:fill="DEE4EE"/>
            <w:vAlign w:val="center"/>
          </w:tcPr>
          <w:p w:rsidR="0007692A" w:rsidRPr="00432A83" w:rsidRDefault="0007692A" w:rsidP="00D95146">
            <w:pPr>
              <w:jc w:val="center"/>
            </w:pPr>
            <w:r w:rsidRPr="00432A83">
              <w:t>$555</w:t>
            </w:r>
          </w:p>
        </w:tc>
        <w:tc>
          <w:tcPr>
            <w:tcW w:w="2948" w:type="dxa"/>
            <w:vAlign w:val="center"/>
          </w:tcPr>
          <w:p w:rsidR="0007692A" w:rsidRPr="00432A83" w:rsidRDefault="0007692A" w:rsidP="0007692A">
            <w:r w:rsidRPr="00432A83">
              <w:t>Dandenong</w:t>
            </w:r>
          </w:p>
        </w:tc>
        <w:tc>
          <w:tcPr>
            <w:tcW w:w="1134" w:type="dxa"/>
            <w:shd w:val="clear" w:color="auto" w:fill="DEE4EE"/>
            <w:vAlign w:val="center"/>
          </w:tcPr>
          <w:p w:rsidR="0007692A" w:rsidRPr="00432A83" w:rsidRDefault="0007692A" w:rsidP="0007692A">
            <w:pPr>
              <w:jc w:val="center"/>
            </w:pPr>
            <w:r w:rsidRPr="00432A83">
              <w:t>$290</w:t>
            </w:r>
          </w:p>
        </w:tc>
      </w:tr>
      <w:tr w:rsidR="0007692A" w:rsidRPr="00ED3997" w:rsidTr="00D95146">
        <w:trPr>
          <w:trHeight w:hRule="exact" w:val="312"/>
        </w:trPr>
        <w:tc>
          <w:tcPr>
            <w:tcW w:w="3969" w:type="dxa"/>
            <w:vAlign w:val="center"/>
          </w:tcPr>
          <w:p w:rsidR="0007692A" w:rsidRPr="00432A83" w:rsidRDefault="0007692A" w:rsidP="0007692A">
            <w:r w:rsidRPr="00432A83">
              <w:t>East Melbourne</w:t>
            </w:r>
          </w:p>
        </w:tc>
        <w:tc>
          <w:tcPr>
            <w:tcW w:w="1134" w:type="dxa"/>
            <w:shd w:val="clear" w:color="auto" w:fill="DEE4EE"/>
            <w:vAlign w:val="center"/>
          </w:tcPr>
          <w:p w:rsidR="0007692A" w:rsidRPr="00432A83" w:rsidRDefault="0007692A" w:rsidP="00D95146">
            <w:pPr>
              <w:jc w:val="center"/>
            </w:pPr>
            <w:r w:rsidRPr="00432A83">
              <w:t>$550</w:t>
            </w:r>
          </w:p>
        </w:tc>
        <w:tc>
          <w:tcPr>
            <w:tcW w:w="2948" w:type="dxa"/>
            <w:vAlign w:val="center"/>
          </w:tcPr>
          <w:p w:rsidR="0007692A" w:rsidRPr="00432A83" w:rsidRDefault="0007692A" w:rsidP="0007692A">
            <w:r w:rsidRPr="00432A83">
              <w:t>St Albans-Deer Park</w:t>
            </w:r>
          </w:p>
        </w:tc>
        <w:tc>
          <w:tcPr>
            <w:tcW w:w="1134" w:type="dxa"/>
            <w:shd w:val="clear" w:color="auto" w:fill="DEE4EE"/>
            <w:vAlign w:val="center"/>
          </w:tcPr>
          <w:p w:rsidR="0007692A" w:rsidRDefault="0007692A" w:rsidP="0007692A">
            <w:pPr>
              <w:jc w:val="center"/>
            </w:pPr>
            <w:r w:rsidRPr="00432A83">
              <w:t>$290</w:t>
            </w:r>
          </w:p>
        </w:tc>
      </w:tr>
      <w:tr w:rsidR="0047763C" w:rsidRPr="00ED3997" w:rsidTr="009463AD">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9463AD">
            <w:pPr>
              <w:jc w:val="right"/>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9463AD">
            <w:pPr>
              <w:jc w:val="right"/>
              <w:rPr>
                <w:rFonts w:cs="Arial"/>
                <w:sz w:val="20"/>
                <w:szCs w:val="20"/>
              </w:rPr>
            </w:pPr>
          </w:p>
        </w:tc>
      </w:tr>
      <w:tr w:rsidR="0007692A" w:rsidRPr="00CF005E" w:rsidTr="0007692A">
        <w:trPr>
          <w:trHeight w:hRule="exact" w:val="312"/>
        </w:trPr>
        <w:tc>
          <w:tcPr>
            <w:tcW w:w="3969" w:type="dxa"/>
            <w:vAlign w:val="center"/>
          </w:tcPr>
          <w:p w:rsidR="0007692A" w:rsidRPr="00CA3831" w:rsidRDefault="0007692A" w:rsidP="0007692A">
            <w:r w:rsidRPr="00CA3831">
              <w:t>Torquay</w:t>
            </w:r>
          </w:p>
        </w:tc>
        <w:tc>
          <w:tcPr>
            <w:tcW w:w="1134" w:type="dxa"/>
            <w:shd w:val="clear" w:color="auto" w:fill="DEE4EE"/>
            <w:vAlign w:val="center"/>
          </w:tcPr>
          <w:p w:rsidR="0007692A" w:rsidRPr="00CA3831" w:rsidRDefault="0007692A" w:rsidP="0007692A">
            <w:pPr>
              <w:jc w:val="center"/>
            </w:pPr>
            <w:r w:rsidRPr="00CA3831">
              <w:t>$350</w:t>
            </w:r>
          </w:p>
        </w:tc>
        <w:tc>
          <w:tcPr>
            <w:tcW w:w="2948" w:type="dxa"/>
            <w:shd w:val="clear" w:color="auto" w:fill="auto"/>
            <w:vAlign w:val="center"/>
          </w:tcPr>
          <w:p w:rsidR="0007692A" w:rsidRPr="00CA3831" w:rsidRDefault="0007692A" w:rsidP="0007692A">
            <w:r w:rsidRPr="00CA3831">
              <w:t>Moe-Newborough</w:t>
            </w:r>
          </w:p>
        </w:tc>
        <w:tc>
          <w:tcPr>
            <w:tcW w:w="1134" w:type="dxa"/>
            <w:shd w:val="clear" w:color="auto" w:fill="DEE4EE"/>
            <w:vAlign w:val="center"/>
          </w:tcPr>
          <w:p w:rsidR="0007692A" w:rsidRPr="00CA3831" w:rsidRDefault="0007692A" w:rsidP="0007692A">
            <w:pPr>
              <w:jc w:val="center"/>
            </w:pPr>
            <w:r w:rsidRPr="00CA3831">
              <w:t>$160</w:t>
            </w:r>
          </w:p>
        </w:tc>
      </w:tr>
      <w:tr w:rsidR="0007692A" w:rsidRPr="00CF005E" w:rsidTr="0007692A">
        <w:trPr>
          <w:trHeight w:hRule="exact" w:val="312"/>
        </w:trPr>
        <w:tc>
          <w:tcPr>
            <w:tcW w:w="3969" w:type="dxa"/>
            <w:vAlign w:val="center"/>
          </w:tcPr>
          <w:p w:rsidR="0007692A" w:rsidRPr="00CA3831" w:rsidRDefault="0007692A" w:rsidP="0007692A">
            <w:r w:rsidRPr="00CA3831">
              <w:t>Ocean Grove-Barwon Heads</w:t>
            </w:r>
          </w:p>
        </w:tc>
        <w:tc>
          <w:tcPr>
            <w:tcW w:w="1134" w:type="dxa"/>
            <w:shd w:val="clear" w:color="auto" w:fill="DEE4EE"/>
            <w:vAlign w:val="center"/>
          </w:tcPr>
          <w:p w:rsidR="0007692A" w:rsidRPr="00CA3831" w:rsidRDefault="0007692A" w:rsidP="0007692A">
            <w:pPr>
              <w:jc w:val="center"/>
            </w:pPr>
            <w:r w:rsidRPr="00CA3831">
              <w:t>$310</w:t>
            </w:r>
          </w:p>
        </w:tc>
        <w:tc>
          <w:tcPr>
            <w:tcW w:w="2948" w:type="dxa"/>
            <w:shd w:val="clear" w:color="auto" w:fill="auto"/>
            <w:vAlign w:val="center"/>
          </w:tcPr>
          <w:p w:rsidR="0007692A" w:rsidRPr="00CA3831" w:rsidRDefault="0007692A" w:rsidP="0007692A">
            <w:r w:rsidRPr="00CA3831">
              <w:t>Portland</w:t>
            </w:r>
          </w:p>
        </w:tc>
        <w:tc>
          <w:tcPr>
            <w:tcW w:w="1134" w:type="dxa"/>
            <w:shd w:val="clear" w:color="auto" w:fill="DEE4EE"/>
            <w:vAlign w:val="center"/>
          </w:tcPr>
          <w:p w:rsidR="0007692A" w:rsidRPr="00CA3831" w:rsidRDefault="0007692A" w:rsidP="0007692A">
            <w:pPr>
              <w:jc w:val="center"/>
            </w:pPr>
            <w:r w:rsidRPr="00CA3831">
              <w:t>$170</w:t>
            </w:r>
          </w:p>
        </w:tc>
      </w:tr>
      <w:tr w:rsidR="0007692A" w:rsidRPr="00CF005E" w:rsidTr="0007692A">
        <w:trPr>
          <w:trHeight w:hRule="exact" w:val="312"/>
        </w:trPr>
        <w:tc>
          <w:tcPr>
            <w:tcW w:w="3969" w:type="dxa"/>
            <w:vAlign w:val="center"/>
          </w:tcPr>
          <w:p w:rsidR="0007692A" w:rsidRPr="00CA3831" w:rsidRDefault="0007692A" w:rsidP="0007692A">
            <w:r w:rsidRPr="00CA3831">
              <w:t>Belmont-Grovedale</w:t>
            </w:r>
          </w:p>
        </w:tc>
        <w:tc>
          <w:tcPr>
            <w:tcW w:w="1134" w:type="dxa"/>
            <w:shd w:val="clear" w:color="auto" w:fill="DEE4EE"/>
            <w:vAlign w:val="center"/>
          </w:tcPr>
          <w:p w:rsidR="0007692A" w:rsidRPr="00CA3831" w:rsidRDefault="0007692A" w:rsidP="0007692A">
            <w:pPr>
              <w:jc w:val="center"/>
            </w:pPr>
            <w:r w:rsidRPr="00CA3831">
              <w:t>$295</w:t>
            </w:r>
          </w:p>
        </w:tc>
        <w:tc>
          <w:tcPr>
            <w:tcW w:w="2948" w:type="dxa"/>
            <w:shd w:val="clear" w:color="auto" w:fill="auto"/>
            <w:vAlign w:val="center"/>
          </w:tcPr>
          <w:p w:rsidR="0007692A" w:rsidRPr="00CA3831" w:rsidRDefault="0007692A" w:rsidP="0007692A">
            <w:r w:rsidRPr="00CA3831">
              <w:t>Morwell</w:t>
            </w:r>
          </w:p>
        </w:tc>
        <w:tc>
          <w:tcPr>
            <w:tcW w:w="1134" w:type="dxa"/>
            <w:shd w:val="clear" w:color="auto" w:fill="DEE4EE"/>
            <w:vAlign w:val="center"/>
          </w:tcPr>
          <w:p w:rsidR="0007692A" w:rsidRPr="00CA3831" w:rsidRDefault="0007692A" w:rsidP="0007692A">
            <w:pPr>
              <w:jc w:val="center"/>
            </w:pPr>
            <w:r w:rsidRPr="00CA3831">
              <w:t>$180</w:t>
            </w:r>
          </w:p>
        </w:tc>
      </w:tr>
      <w:tr w:rsidR="0007692A" w:rsidRPr="00CF005E" w:rsidTr="0007692A">
        <w:trPr>
          <w:trHeight w:hRule="exact" w:val="312"/>
        </w:trPr>
        <w:tc>
          <w:tcPr>
            <w:tcW w:w="3969" w:type="dxa"/>
            <w:vAlign w:val="center"/>
          </w:tcPr>
          <w:p w:rsidR="0007692A" w:rsidRPr="00CA3831" w:rsidRDefault="0007692A" w:rsidP="0007692A">
            <w:r w:rsidRPr="00CA3831">
              <w:t>Newtown</w:t>
            </w:r>
          </w:p>
        </w:tc>
        <w:tc>
          <w:tcPr>
            <w:tcW w:w="1134" w:type="dxa"/>
            <w:shd w:val="clear" w:color="auto" w:fill="DEE4EE"/>
            <w:vAlign w:val="center"/>
          </w:tcPr>
          <w:p w:rsidR="0007692A" w:rsidRPr="00CA3831" w:rsidRDefault="0007692A" w:rsidP="0007692A">
            <w:pPr>
              <w:jc w:val="center"/>
            </w:pPr>
            <w:r w:rsidRPr="00CA3831">
              <w:t>$295</w:t>
            </w:r>
          </w:p>
        </w:tc>
        <w:tc>
          <w:tcPr>
            <w:tcW w:w="2948" w:type="dxa"/>
            <w:shd w:val="clear" w:color="auto" w:fill="auto"/>
            <w:vAlign w:val="center"/>
          </w:tcPr>
          <w:p w:rsidR="0007692A" w:rsidRPr="00CA3831" w:rsidRDefault="0007692A" w:rsidP="0007692A">
            <w:r w:rsidRPr="00CA3831">
              <w:t>Hamilton</w:t>
            </w:r>
          </w:p>
        </w:tc>
        <w:tc>
          <w:tcPr>
            <w:tcW w:w="1134" w:type="dxa"/>
            <w:shd w:val="clear" w:color="auto" w:fill="DBE5F1" w:themeFill="accent1" w:themeFillTint="33"/>
            <w:vAlign w:val="center"/>
          </w:tcPr>
          <w:p w:rsidR="0007692A" w:rsidRPr="00CA3831" w:rsidRDefault="0007692A" w:rsidP="0007692A">
            <w:pPr>
              <w:jc w:val="center"/>
            </w:pPr>
            <w:r w:rsidRPr="00CA3831">
              <w:t>$190</w:t>
            </w:r>
          </w:p>
        </w:tc>
      </w:tr>
      <w:tr w:rsidR="0007692A" w:rsidRPr="00CF005E" w:rsidTr="0007692A">
        <w:trPr>
          <w:trHeight w:hRule="exact" w:val="312"/>
        </w:trPr>
        <w:tc>
          <w:tcPr>
            <w:tcW w:w="3969" w:type="dxa"/>
            <w:vAlign w:val="center"/>
          </w:tcPr>
          <w:p w:rsidR="0007692A" w:rsidRPr="00CA3831" w:rsidRDefault="0007692A" w:rsidP="0007692A">
            <w:r w:rsidRPr="00CA3831">
              <w:t>Geelong-Newcomb</w:t>
            </w:r>
          </w:p>
        </w:tc>
        <w:tc>
          <w:tcPr>
            <w:tcW w:w="1134" w:type="dxa"/>
            <w:shd w:val="clear" w:color="auto" w:fill="DEE4EE"/>
            <w:vAlign w:val="center"/>
          </w:tcPr>
          <w:p w:rsidR="0007692A" w:rsidRPr="00CA3831" w:rsidRDefault="0007692A" w:rsidP="0007692A">
            <w:pPr>
              <w:jc w:val="center"/>
            </w:pPr>
            <w:r w:rsidRPr="00CA3831">
              <w:t>$292</w:t>
            </w:r>
          </w:p>
        </w:tc>
        <w:tc>
          <w:tcPr>
            <w:tcW w:w="2948" w:type="dxa"/>
            <w:shd w:val="clear" w:color="auto" w:fill="auto"/>
            <w:vAlign w:val="center"/>
          </w:tcPr>
          <w:p w:rsidR="0007692A" w:rsidRPr="00CA3831" w:rsidRDefault="0007692A" w:rsidP="0007692A">
            <w:r w:rsidRPr="00CA3831">
              <w:t>Benalla</w:t>
            </w:r>
          </w:p>
        </w:tc>
        <w:tc>
          <w:tcPr>
            <w:tcW w:w="1134" w:type="dxa"/>
            <w:shd w:val="clear" w:color="auto" w:fill="DEE4EE"/>
            <w:vAlign w:val="center"/>
          </w:tcPr>
          <w:p w:rsidR="0007692A" w:rsidRDefault="0007692A" w:rsidP="0007692A">
            <w:pPr>
              <w:jc w:val="center"/>
            </w:pPr>
            <w:r w:rsidRPr="00CA3831">
              <w:t>$194</w:t>
            </w:r>
          </w:p>
        </w:tc>
      </w:tr>
      <w:tr w:rsidR="00706F80" w:rsidRPr="00180B5B" w:rsidTr="00706F80">
        <w:trPr>
          <w:trHeight w:hRule="exact" w:val="567"/>
        </w:trPr>
        <w:tc>
          <w:tcPr>
            <w:tcW w:w="3969" w:type="dxa"/>
            <w:tcBorders>
              <w:top w:val="single" w:sz="2" w:space="0" w:color="9DAECB"/>
              <w:bottom w:val="single" w:sz="12" w:space="0" w:color="9DAECB"/>
            </w:tcBorders>
            <w:vAlign w:val="bottom"/>
          </w:tcPr>
          <w:p w:rsidR="00706F80" w:rsidRPr="00180B5B" w:rsidRDefault="00706F80" w:rsidP="00C95655">
            <w:pPr>
              <w:spacing w:before="120"/>
              <w:rPr>
                <w:rFonts w:cs="Arial"/>
                <w:b/>
                <w:bCs/>
                <w:color w:val="9DAECB"/>
              </w:rPr>
            </w:pPr>
            <w:r w:rsidRPr="00180B5B">
              <w:rPr>
                <w:rFonts w:cs="Arial"/>
                <w:b/>
                <w:bCs/>
                <w:color w:val="9DAECB"/>
              </w:rPr>
              <w:t>3-bedroom house</w:t>
            </w:r>
          </w:p>
        </w:tc>
        <w:tc>
          <w:tcPr>
            <w:tcW w:w="1134" w:type="dxa"/>
            <w:tcBorders>
              <w:top w:val="single" w:sz="2" w:space="0" w:color="9DAECB"/>
              <w:bottom w:val="single" w:sz="12" w:space="0" w:color="9DAECB"/>
            </w:tcBorders>
            <w:vAlign w:val="center"/>
          </w:tcPr>
          <w:p w:rsidR="00706F80" w:rsidRPr="00180B5B" w:rsidRDefault="00706F80" w:rsidP="00CF005E">
            <w:pPr>
              <w:spacing w:before="120"/>
              <w:jc w:val="center"/>
              <w:rPr>
                <w:rFonts w:cs="Arial"/>
                <w:b/>
                <w:bCs/>
                <w:color w:val="9DAECB"/>
              </w:rPr>
            </w:pPr>
          </w:p>
        </w:tc>
        <w:tc>
          <w:tcPr>
            <w:tcW w:w="2948" w:type="dxa"/>
            <w:tcBorders>
              <w:top w:val="single" w:sz="2" w:space="0" w:color="9DAECB"/>
              <w:bottom w:val="single" w:sz="12" w:space="0" w:color="9DAECB"/>
            </w:tcBorders>
          </w:tcPr>
          <w:p w:rsidR="00706F80" w:rsidRPr="00706F80" w:rsidRDefault="00706F80" w:rsidP="00706F80"/>
        </w:tc>
        <w:tc>
          <w:tcPr>
            <w:tcW w:w="1134" w:type="dxa"/>
            <w:tcBorders>
              <w:top w:val="single" w:sz="2" w:space="0" w:color="9DAECB"/>
              <w:bottom w:val="single" w:sz="12" w:space="0" w:color="9DAECB"/>
            </w:tcBorders>
            <w:vAlign w:val="center"/>
          </w:tcPr>
          <w:p w:rsidR="00706F80" w:rsidRPr="00683311" w:rsidRDefault="00706F80" w:rsidP="00706F80">
            <w:pPr>
              <w:jc w:val="center"/>
            </w:pPr>
          </w:p>
        </w:tc>
      </w:tr>
      <w:tr w:rsidR="00706F80" w:rsidRPr="00ED3997" w:rsidTr="00CE3231">
        <w:trPr>
          <w:trHeight w:hRule="exact" w:val="340"/>
        </w:trPr>
        <w:tc>
          <w:tcPr>
            <w:tcW w:w="3969" w:type="dxa"/>
            <w:tcBorders>
              <w:top w:val="single" w:sz="12" w:space="0" w:color="9DAECB"/>
            </w:tcBorders>
            <w:vAlign w:val="bottom"/>
          </w:tcPr>
          <w:p w:rsidR="00706F80" w:rsidRPr="00C95655" w:rsidRDefault="00706F80" w:rsidP="00C95655">
            <w:pPr>
              <w:ind w:left="113"/>
              <w:rPr>
                <w:rFonts w:cs="Arial"/>
                <w:sz w:val="20"/>
                <w:szCs w:val="20"/>
              </w:rPr>
            </w:pPr>
            <w:r>
              <w:rPr>
                <w:rFonts w:cs="Arial"/>
                <w:b/>
                <w:color w:val="231F20"/>
                <w:sz w:val="20"/>
                <w:szCs w:val="20"/>
              </w:rPr>
              <w:t xml:space="preserve">Metropolitan </w:t>
            </w:r>
            <w:r w:rsidRPr="00C95655">
              <w:rPr>
                <w:rFonts w:cs="Arial"/>
                <w:b/>
                <w:color w:val="231F20"/>
                <w:sz w:val="20"/>
                <w:szCs w:val="20"/>
              </w:rPr>
              <w:t>Melbourne</w:t>
            </w: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c>
          <w:tcPr>
            <w:tcW w:w="2948" w:type="dxa"/>
            <w:tcBorders>
              <w:top w:val="single" w:sz="12" w:space="0" w:color="9DAECB"/>
            </w:tcBorders>
            <w:vAlign w:val="bottom"/>
          </w:tcPr>
          <w:p w:rsidR="00706F80" w:rsidRPr="00C95655" w:rsidRDefault="00706F80">
            <w:pPr>
              <w:rPr>
                <w:rFonts w:cs="Arial"/>
                <w:sz w:val="20"/>
                <w:szCs w:val="20"/>
              </w:rPr>
            </w:pPr>
          </w:p>
        </w:tc>
        <w:tc>
          <w:tcPr>
            <w:tcW w:w="1134" w:type="dxa"/>
            <w:tcBorders>
              <w:top w:val="single" w:sz="12" w:space="0" w:color="9DAECB"/>
            </w:tcBorders>
            <w:vAlign w:val="center"/>
          </w:tcPr>
          <w:p w:rsidR="00706F80" w:rsidRPr="00C95655" w:rsidRDefault="00706F80" w:rsidP="00CF005E">
            <w:pPr>
              <w:jc w:val="center"/>
              <w:rPr>
                <w:rFonts w:cs="Arial"/>
                <w:sz w:val="20"/>
                <w:szCs w:val="20"/>
              </w:rPr>
            </w:pPr>
          </w:p>
        </w:tc>
      </w:tr>
      <w:tr w:rsidR="0007692A" w:rsidRPr="00CF005E" w:rsidTr="0007692A">
        <w:trPr>
          <w:trHeight w:hRule="exact" w:val="312"/>
        </w:trPr>
        <w:tc>
          <w:tcPr>
            <w:tcW w:w="3969" w:type="dxa"/>
            <w:vAlign w:val="center"/>
          </w:tcPr>
          <w:p w:rsidR="0007692A" w:rsidRPr="00B03D75" w:rsidRDefault="0007692A" w:rsidP="0007692A">
            <w:r w:rsidRPr="00B03D75">
              <w:t>East Melbourne</w:t>
            </w:r>
          </w:p>
        </w:tc>
        <w:tc>
          <w:tcPr>
            <w:tcW w:w="1134" w:type="dxa"/>
            <w:shd w:val="clear" w:color="auto" w:fill="DEE4EE"/>
            <w:vAlign w:val="center"/>
          </w:tcPr>
          <w:p w:rsidR="0007692A" w:rsidRPr="00B03D75" w:rsidRDefault="0007692A" w:rsidP="0007692A">
            <w:pPr>
              <w:jc w:val="center"/>
            </w:pPr>
            <w:r w:rsidRPr="00B03D75">
              <w:t>$1,000</w:t>
            </w:r>
          </w:p>
        </w:tc>
        <w:tc>
          <w:tcPr>
            <w:tcW w:w="2948" w:type="dxa"/>
            <w:shd w:val="clear" w:color="auto" w:fill="auto"/>
            <w:vAlign w:val="center"/>
          </w:tcPr>
          <w:p w:rsidR="0007692A" w:rsidRPr="00B03D75" w:rsidRDefault="0007692A" w:rsidP="0007692A">
            <w:r w:rsidRPr="00B03D75">
              <w:t>Melton</w:t>
            </w:r>
          </w:p>
        </w:tc>
        <w:tc>
          <w:tcPr>
            <w:tcW w:w="1134" w:type="dxa"/>
            <w:shd w:val="clear" w:color="auto" w:fill="DEE4EE"/>
            <w:vAlign w:val="center"/>
          </w:tcPr>
          <w:p w:rsidR="0007692A" w:rsidRPr="00B03D75" w:rsidRDefault="0007692A" w:rsidP="0007692A">
            <w:pPr>
              <w:jc w:val="center"/>
            </w:pPr>
            <w:r w:rsidRPr="00B03D75">
              <w:t>$300</w:t>
            </w:r>
          </w:p>
        </w:tc>
      </w:tr>
      <w:tr w:rsidR="0007692A" w:rsidRPr="00CF005E" w:rsidTr="0007692A">
        <w:trPr>
          <w:trHeight w:hRule="exact" w:val="312"/>
        </w:trPr>
        <w:tc>
          <w:tcPr>
            <w:tcW w:w="3969" w:type="dxa"/>
            <w:vAlign w:val="center"/>
          </w:tcPr>
          <w:p w:rsidR="0007692A" w:rsidRPr="00B03D75" w:rsidRDefault="0007692A" w:rsidP="0007692A">
            <w:r w:rsidRPr="00B03D75">
              <w:t>Albert Park-Middle Park-West St Kilda</w:t>
            </w:r>
          </w:p>
        </w:tc>
        <w:tc>
          <w:tcPr>
            <w:tcW w:w="1134" w:type="dxa"/>
            <w:shd w:val="clear" w:color="auto" w:fill="DEE4EE"/>
            <w:vAlign w:val="center"/>
          </w:tcPr>
          <w:p w:rsidR="0007692A" w:rsidRPr="00B03D75" w:rsidRDefault="0007692A" w:rsidP="0007692A">
            <w:pPr>
              <w:jc w:val="center"/>
            </w:pPr>
            <w:r w:rsidRPr="00B03D75">
              <w:t>$900</w:t>
            </w:r>
          </w:p>
        </w:tc>
        <w:tc>
          <w:tcPr>
            <w:tcW w:w="2948" w:type="dxa"/>
            <w:shd w:val="clear" w:color="auto" w:fill="auto"/>
            <w:vAlign w:val="center"/>
          </w:tcPr>
          <w:p w:rsidR="0007692A" w:rsidRPr="00B03D75" w:rsidRDefault="0007692A" w:rsidP="0007692A">
            <w:r w:rsidRPr="00B03D75">
              <w:t>St Albans-Deer Park</w:t>
            </w:r>
          </w:p>
        </w:tc>
        <w:tc>
          <w:tcPr>
            <w:tcW w:w="1134" w:type="dxa"/>
            <w:shd w:val="clear" w:color="auto" w:fill="DEE4EE"/>
            <w:vAlign w:val="center"/>
          </w:tcPr>
          <w:p w:rsidR="0007692A" w:rsidRPr="00B03D75" w:rsidRDefault="0007692A" w:rsidP="0007692A">
            <w:pPr>
              <w:jc w:val="center"/>
            </w:pPr>
            <w:r w:rsidRPr="00B03D75">
              <w:t>$330</w:t>
            </w:r>
          </w:p>
        </w:tc>
      </w:tr>
      <w:tr w:rsidR="0007692A" w:rsidRPr="00CF005E" w:rsidTr="0007692A">
        <w:trPr>
          <w:trHeight w:hRule="exact" w:val="312"/>
        </w:trPr>
        <w:tc>
          <w:tcPr>
            <w:tcW w:w="3969" w:type="dxa"/>
            <w:vAlign w:val="center"/>
          </w:tcPr>
          <w:p w:rsidR="0007692A" w:rsidRPr="00B03D75" w:rsidRDefault="0007692A" w:rsidP="0007692A">
            <w:r w:rsidRPr="00B03D75">
              <w:t>Toorak</w:t>
            </w:r>
          </w:p>
        </w:tc>
        <w:tc>
          <w:tcPr>
            <w:tcW w:w="1134" w:type="dxa"/>
            <w:shd w:val="clear" w:color="auto" w:fill="DEE4EE"/>
            <w:vAlign w:val="center"/>
          </w:tcPr>
          <w:p w:rsidR="0007692A" w:rsidRPr="00B03D75" w:rsidRDefault="0007692A" w:rsidP="0007692A">
            <w:pPr>
              <w:jc w:val="center"/>
            </w:pPr>
            <w:r w:rsidRPr="00B03D75">
              <w:t>$900</w:t>
            </w:r>
          </w:p>
        </w:tc>
        <w:tc>
          <w:tcPr>
            <w:tcW w:w="2948" w:type="dxa"/>
            <w:shd w:val="clear" w:color="auto" w:fill="auto"/>
            <w:vAlign w:val="center"/>
          </w:tcPr>
          <w:p w:rsidR="0007692A" w:rsidRPr="00B03D75" w:rsidRDefault="0007692A" w:rsidP="0007692A">
            <w:r w:rsidRPr="00B03D75">
              <w:t>Werribee-Hoppers Crossing</w:t>
            </w:r>
          </w:p>
        </w:tc>
        <w:tc>
          <w:tcPr>
            <w:tcW w:w="1134" w:type="dxa"/>
            <w:shd w:val="clear" w:color="auto" w:fill="DEE4EE"/>
            <w:vAlign w:val="center"/>
          </w:tcPr>
          <w:p w:rsidR="0007692A" w:rsidRPr="00B03D75" w:rsidRDefault="0007692A" w:rsidP="0007692A">
            <w:pPr>
              <w:jc w:val="center"/>
            </w:pPr>
            <w:r w:rsidRPr="00B03D75">
              <w:t>$330</w:t>
            </w:r>
          </w:p>
        </w:tc>
      </w:tr>
      <w:tr w:rsidR="0007692A" w:rsidRPr="00CF005E" w:rsidTr="0007692A">
        <w:trPr>
          <w:trHeight w:hRule="exact" w:val="312"/>
        </w:trPr>
        <w:tc>
          <w:tcPr>
            <w:tcW w:w="3969" w:type="dxa"/>
            <w:vAlign w:val="center"/>
          </w:tcPr>
          <w:p w:rsidR="0007692A" w:rsidRPr="00B03D75" w:rsidRDefault="0007692A" w:rsidP="0007692A">
            <w:r w:rsidRPr="00B03D75">
              <w:t>Brighton</w:t>
            </w:r>
          </w:p>
        </w:tc>
        <w:tc>
          <w:tcPr>
            <w:tcW w:w="1134" w:type="dxa"/>
            <w:shd w:val="clear" w:color="auto" w:fill="DEE4EE"/>
            <w:vAlign w:val="center"/>
          </w:tcPr>
          <w:p w:rsidR="0007692A" w:rsidRPr="00B03D75" w:rsidRDefault="0007692A" w:rsidP="0007692A">
            <w:pPr>
              <w:jc w:val="center"/>
            </w:pPr>
            <w:r w:rsidRPr="00B03D75">
              <w:t>$875</w:t>
            </w:r>
          </w:p>
        </w:tc>
        <w:tc>
          <w:tcPr>
            <w:tcW w:w="2948" w:type="dxa"/>
            <w:shd w:val="clear" w:color="auto" w:fill="auto"/>
            <w:vAlign w:val="center"/>
          </w:tcPr>
          <w:p w:rsidR="0007692A" w:rsidRPr="00B03D75" w:rsidRDefault="0007692A" w:rsidP="0007692A">
            <w:r w:rsidRPr="00B03D75">
              <w:t>Sunbury</w:t>
            </w:r>
          </w:p>
        </w:tc>
        <w:tc>
          <w:tcPr>
            <w:tcW w:w="1134" w:type="dxa"/>
            <w:shd w:val="clear" w:color="auto" w:fill="DEE4EE"/>
            <w:vAlign w:val="center"/>
          </w:tcPr>
          <w:p w:rsidR="0007692A" w:rsidRPr="00B03D75" w:rsidRDefault="0007692A" w:rsidP="0007692A">
            <w:pPr>
              <w:jc w:val="center"/>
            </w:pPr>
            <w:r w:rsidRPr="00B03D75">
              <w:t>$335</w:t>
            </w:r>
          </w:p>
        </w:tc>
      </w:tr>
      <w:tr w:rsidR="0007692A" w:rsidRPr="00CF005E" w:rsidTr="0007692A">
        <w:trPr>
          <w:trHeight w:hRule="exact" w:val="312"/>
        </w:trPr>
        <w:tc>
          <w:tcPr>
            <w:tcW w:w="3969" w:type="dxa"/>
            <w:vAlign w:val="center"/>
          </w:tcPr>
          <w:p w:rsidR="0007692A" w:rsidRPr="00B03D75" w:rsidRDefault="0007692A" w:rsidP="0007692A">
            <w:r w:rsidRPr="00B03D75">
              <w:t>Armadale</w:t>
            </w:r>
          </w:p>
        </w:tc>
        <w:tc>
          <w:tcPr>
            <w:tcW w:w="1134" w:type="dxa"/>
            <w:shd w:val="clear" w:color="auto" w:fill="DEE4EE"/>
            <w:vAlign w:val="center"/>
          </w:tcPr>
          <w:p w:rsidR="0007692A" w:rsidRPr="00B03D75" w:rsidRDefault="0007692A" w:rsidP="0007692A">
            <w:pPr>
              <w:jc w:val="center"/>
            </w:pPr>
            <w:r w:rsidRPr="00B03D75">
              <w:t>$850</w:t>
            </w:r>
          </w:p>
        </w:tc>
        <w:tc>
          <w:tcPr>
            <w:tcW w:w="2948" w:type="dxa"/>
            <w:shd w:val="clear" w:color="auto" w:fill="auto"/>
            <w:vAlign w:val="center"/>
          </w:tcPr>
          <w:p w:rsidR="0007692A" w:rsidRPr="00B03D75" w:rsidRDefault="0007692A" w:rsidP="0007692A">
            <w:r w:rsidRPr="00B03D75">
              <w:t>Pakenham</w:t>
            </w:r>
          </w:p>
        </w:tc>
        <w:tc>
          <w:tcPr>
            <w:tcW w:w="1134" w:type="dxa"/>
            <w:shd w:val="clear" w:color="auto" w:fill="DBE5F1" w:themeFill="accent1" w:themeFillTint="33"/>
            <w:vAlign w:val="center"/>
          </w:tcPr>
          <w:p w:rsidR="0007692A" w:rsidRPr="00B03D75" w:rsidRDefault="0007692A" w:rsidP="0007692A">
            <w:pPr>
              <w:jc w:val="center"/>
            </w:pPr>
            <w:r w:rsidRPr="00B03D75">
              <w:t>$340</w:t>
            </w:r>
          </w:p>
        </w:tc>
      </w:tr>
      <w:tr w:rsidR="0007692A" w:rsidRPr="00CF005E" w:rsidTr="0007692A">
        <w:trPr>
          <w:trHeight w:hRule="exact" w:val="312"/>
        </w:trPr>
        <w:tc>
          <w:tcPr>
            <w:tcW w:w="3969" w:type="dxa"/>
            <w:vAlign w:val="center"/>
          </w:tcPr>
          <w:p w:rsidR="0007692A" w:rsidRPr="00B03D75" w:rsidRDefault="0007692A" w:rsidP="0007692A">
            <w:r w:rsidRPr="00B03D75">
              <w:t>South Yarra</w:t>
            </w:r>
          </w:p>
        </w:tc>
        <w:tc>
          <w:tcPr>
            <w:tcW w:w="1134" w:type="dxa"/>
            <w:shd w:val="clear" w:color="auto" w:fill="DEE4EE"/>
            <w:vAlign w:val="center"/>
          </w:tcPr>
          <w:p w:rsidR="0007692A" w:rsidRPr="00B03D75" w:rsidRDefault="0007692A" w:rsidP="0007692A">
            <w:pPr>
              <w:jc w:val="center"/>
            </w:pPr>
            <w:r w:rsidRPr="00B03D75">
              <w:t>$850</w:t>
            </w:r>
          </w:p>
        </w:tc>
        <w:tc>
          <w:tcPr>
            <w:tcW w:w="2948" w:type="dxa"/>
            <w:shd w:val="clear" w:color="auto" w:fill="auto"/>
            <w:vAlign w:val="center"/>
          </w:tcPr>
          <w:p w:rsidR="0007692A" w:rsidRPr="00B03D75" w:rsidRDefault="0007692A" w:rsidP="0007692A">
            <w:r w:rsidRPr="00B03D75">
              <w:t>Sunshine</w:t>
            </w:r>
          </w:p>
        </w:tc>
        <w:tc>
          <w:tcPr>
            <w:tcW w:w="1134" w:type="dxa"/>
            <w:shd w:val="clear" w:color="auto" w:fill="DEE4EE"/>
            <w:vAlign w:val="center"/>
          </w:tcPr>
          <w:p w:rsidR="0007692A" w:rsidRDefault="0007692A" w:rsidP="0007692A">
            <w:pPr>
              <w:jc w:val="center"/>
            </w:pPr>
            <w:r w:rsidRPr="00B03D75">
              <w:t>$340</w:t>
            </w:r>
          </w:p>
        </w:tc>
      </w:tr>
      <w:tr w:rsidR="00D7682B" w:rsidRPr="00ED3997" w:rsidTr="005E5C54">
        <w:trPr>
          <w:trHeight w:hRule="exact" w:val="397"/>
        </w:trPr>
        <w:tc>
          <w:tcPr>
            <w:tcW w:w="3969" w:type="dxa"/>
            <w:vAlign w:val="bottom"/>
          </w:tcPr>
          <w:p w:rsidR="00D7682B" w:rsidRPr="00C95655" w:rsidRDefault="00D7682B" w:rsidP="00C95655">
            <w:pPr>
              <w:ind w:left="113"/>
              <w:rPr>
                <w:rFonts w:cs="Arial"/>
                <w:b/>
                <w:bCs/>
                <w:sz w:val="20"/>
                <w:szCs w:val="20"/>
              </w:rPr>
            </w:pPr>
            <w:r w:rsidRPr="00C95655">
              <w:rPr>
                <w:rFonts w:cs="Arial"/>
                <w:b/>
                <w:bCs/>
                <w:sz w:val="20"/>
                <w:szCs w:val="20"/>
              </w:rPr>
              <w:t>Regional</w:t>
            </w:r>
            <w:r>
              <w:rPr>
                <w:rFonts w:cs="Arial"/>
                <w:b/>
                <w:bCs/>
                <w:sz w:val="20"/>
                <w:szCs w:val="20"/>
              </w:rPr>
              <w:t xml:space="preserve"> Victoria</w:t>
            </w:r>
          </w:p>
        </w:tc>
        <w:tc>
          <w:tcPr>
            <w:tcW w:w="1134" w:type="dxa"/>
            <w:vAlign w:val="center"/>
          </w:tcPr>
          <w:p w:rsidR="00D7682B" w:rsidRPr="00C95655" w:rsidRDefault="00D7682B" w:rsidP="005E5C54">
            <w:pPr>
              <w:spacing w:before="60"/>
              <w:ind w:left="113" w:right="170"/>
              <w:jc w:val="center"/>
              <w:rPr>
                <w:rFonts w:cs="Arial"/>
                <w:sz w:val="20"/>
                <w:szCs w:val="20"/>
              </w:rPr>
            </w:pPr>
          </w:p>
        </w:tc>
        <w:tc>
          <w:tcPr>
            <w:tcW w:w="2948" w:type="dxa"/>
            <w:vAlign w:val="bottom"/>
          </w:tcPr>
          <w:p w:rsidR="00D7682B" w:rsidRPr="00C95655" w:rsidRDefault="00D7682B" w:rsidP="00C95655">
            <w:pPr>
              <w:spacing w:before="60"/>
              <w:ind w:left="113"/>
              <w:rPr>
                <w:rFonts w:cs="Arial"/>
                <w:sz w:val="20"/>
                <w:szCs w:val="20"/>
              </w:rPr>
            </w:pPr>
          </w:p>
        </w:tc>
        <w:tc>
          <w:tcPr>
            <w:tcW w:w="1134" w:type="dxa"/>
            <w:vAlign w:val="center"/>
          </w:tcPr>
          <w:p w:rsidR="00D7682B" w:rsidRPr="00C95655" w:rsidRDefault="00D7682B" w:rsidP="005E5C54">
            <w:pPr>
              <w:spacing w:before="60"/>
              <w:ind w:left="113" w:right="170"/>
              <w:jc w:val="center"/>
              <w:rPr>
                <w:rFonts w:cs="Arial"/>
                <w:sz w:val="20"/>
                <w:szCs w:val="20"/>
              </w:rPr>
            </w:pPr>
          </w:p>
        </w:tc>
      </w:tr>
      <w:tr w:rsidR="00D429F4" w:rsidRPr="00CF005E" w:rsidTr="00D95146">
        <w:trPr>
          <w:trHeight w:hRule="exact" w:val="312"/>
        </w:trPr>
        <w:tc>
          <w:tcPr>
            <w:tcW w:w="3969" w:type="dxa"/>
            <w:vAlign w:val="center"/>
          </w:tcPr>
          <w:p w:rsidR="00D429F4" w:rsidRPr="00786A96" w:rsidRDefault="00D429F4" w:rsidP="00D429F4">
            <w:r w:rsidRPr="00786A96">
              <w:t>Torquay</w:t>
            </w:r>
          </w:p>
        </w:tc>
        <w:tc>
          <w:tcPr>
            <w:tcW w:w="1134" w:type="dxa"/>
            <w:shd w:val="clear" w:color="auto" w:fill="DEE4EE"/>
            <w:vAlign w:val="center"/>
          </w:tcPr>
          <w:p w:rsidR="00D429F4" w:rsidRPr="00786A96" w:rsidRDefault="00D429F4" w:rsidP="00D429F4">
            <w:pPr>
              <w:jc w:val="center"/>
            </w:pPr>
            <w:r w:rsidRPr="00786A96">
              <w:t>$450</w:t>
            </w:r>
          </w:p>
        </w:tc>
        <w:tc>
          <w:tcPr>
            <w:tcW w:w="2948" w:type="dxa"/>
            <w:vAlign w:val="center"/>
          </w:tcPr>
          <w:p w:rsidR="00D429F4" w:rsidRPr="00D429F4" w:rsidRDefault="00D429F4" w:rsidP="00D429F4">
            <w:pPr>
              <w:rPr>
                <w:rFonts w:cs="Arial"/>
                <w:szCs w:val="22"/>
                <w:lang w:eastAsia="en-AU"/>
              </w:rPr>
            </w:pPr>
            <w:r w:rsidRPr="00D429F4">
              <w:rPr>
                <w:rFonts w:cs="Arial"/>
                <w:szCs w:val="22"/>
              </w:rPr>
              <w:t>Morwell</w:t>
            </w:r>
          </w:p>
        </w:tc>
        <w:tc>
          <w:tcPr>
            <w:tcW w:w="1134" w:type="dxa"/>
            <w:shd w:val="clear" w:color="auto" w:fill="DEE4EE"/>
            <w:vAlign w:val="center"/>
          </w:tcPr>
          <w:p w:rsidR="00D429F4" w:rsidRPr="00D429F4" w:rsidRDefault="00D429F4" w:rsidP="00D95146">
            <w:pPr>
              <w:jc w:val="center"/>
              <w:rPr>
                <w:rFonts w:cs="Arial"/>
                <w:szCs w:val="22"/>
              </w:rPr>
            </w:pPr>
            <w:r w:rsidRPr="00D429F4">
              <w:rPr>
                <w:rFonts w:cs="Arial"/>
                <w:szCs w:val="22"/>
              </w:rPr>
              <w:t>$225</w:t>
            </w:r>
          </w:p>
        </w:tc>
      </w:tr>
      <w:tr w:rsidR="00D429F4" w:rsidRPr="00CF005E" w:rsidTr="00D95146">
        <w:trPr>
          <w:trHeight w:hRule="exact" w:val="312"/>
        </w:trPr>
        <w:tc>
          <w:tcPr>
            <w:tcW w:w="3969" w:type="dxa"/>
            <w:vAlign w:val="center"/>
          </w:tcPr>
          <w:p w:rsidR="00D429F4" w:rsidRPr="00786A96" w:rsidRDefault="00D429F4" w:rsidP="00D429F4">
            <w:r w:rsidRPr="00786A96">
              <w:t>Newtown</w:t>
            </w:r>
          </w:p>
        </w:tc>
        <w:tc>
          <w:tcPr>
            <w:tcW w:w="1134" w:type="dxa"/>
            <w:shd w:val="clear" w:color="auto" w:fill="DEE4EE"/>
            <w:vAlign w:val="center"/>
          </w:tcPr>
          <w:p w:rsidR="00D429F4" w:rsidRPr="00786A96" w:rsidRDefault="001A0B4C" w:rsidP="00D429F4">
            <w:pPr>
              <w:jc w:val="center"/>
            </w:pPr>
            <w:r>
              <w:t>$395</w:t>
            </w:r>
          </w:p>
        </w:tc>
        <w:tc>
          <w:tcPr>
            <w:tcW w:w="2948" w:type="dxa"/>
            <w:vAlign w:val="center"/>
          </w:tcPr>
          <w:p w:rsidR="00D429F4" w:rsidRPr="00D429F4" w:rsidRDefault="00D429F4" w:rsidP="00D429F4">
            <w:pPr>
              <w:rPr>
                <w:rFonts w:cs="Arial"/>
                <w:szCs w:val="22"/>
              </w:rPr>
            </w:pPr>
            <w:r w:rsidRPr="00D429F4">
              <w:rPr>
                <w:rFonts w:cs="Arial"/>
                <w:szCs w:val="22"/>
              </w:rPr>
              <w:t>Hamilton</w:t>
            </w:r>
          </w:p>
        </w:tc>
        <w:tc>
          <w:tcPr>
            <w:tcW w:w="1134" w:type="dxa"/>
            <w:shd w:val="clear" w:color="auto" w:fill="DEE4EE"/>
            <w:vAlign w:val="center"/>
          </w:tcPr>
          <w:p w:rsidR="00D429F4" w:rsidRPr="00D429F4" w:rsidRDefault="00D429F4" w:rsidP="00D95146">
            <w:pPr>
              <w:jc w:val="center"/>
              <w:rPr>
                <w:rFonts w:cs="Arial"/>
                <w:szCs w:val="22"/>
              </w:rPr>
            </w:pPr>
            <w:r w:rsidRPr="00D429F4">
              <w:rPr>
                <w:rFonts w:cs="Arial"/>
                <w:szCs w:val="22"/>
              </w:rPr>
              <w:t>$240</w:t>
            </w:r>
          </w:p>
        </w:tc>
      </w:tr>
      <w:tr w:rsidR="00D429F4" w:rsidRPr="00CF005E" w:rsidTr="00D95146">
        <w:trPr>
          <w:trHeight w:hRule="exact" w:val="312"/>
        </w:trPr>
        <w:tc>
          <w:tcPr>
            <w:tcW w:w="3969" w:type="dxa"/>
            <w:vAlign w:val="center"/>
          </w:tcPr>
          <w:p w:rsidR="00D429F4" w:rsidRPr="00786A96" w:rsidRDefault="00D429F4" w:rsidP="00D429F4">
            <w:r w:rsidRPr="00786A96">
              <w:t>Ocean Grove-Barwon Heads</w:t>
            </w:r>
          </w:p>
        </w:tc>
        <w:tc>
          <w:tcPr>
            <w:tcW w:w="1134" w:type="dxa"/>
            <w:shd w:val="clear" w:color="auto" w:fill="DEE4EE"/>
            <w:vAlign w:val="center"/>
          </w:tcPr>
          <w:p w:rsidR="00D429F4" w:rsidRPr="00786A96" w:rsidRDefault="001A0B4C" w:rsidP="00D429F4">
            <w:pPr>
              <w:jc w:val="center"/>
            </w:pPr>
            <w:r>
              <w:t>$380</w:t>
            </w:r>
          </w:p>
        </w:tc>
        <w:tc>
          <w:tcPr>
            <w:tcW w:w="2948" w:type="dxa"/>
            <w:vAlign w:val="center"/>
          </w:tcPr>
          <w:p w:rsidR="00D429F4" w:rsidRPr="00D429F4" w:rsidRDefault="00D429F4" w:rsidP="00D429F4">
            <w:pPr>
              <w:rPr>
                <w:rFonts w:cs="Arial"/>
                <w:szCs w:val="22"/>
              </w:rPr>
            </w:pPr>
            <w:r w:rsidRPr="00D429F4">
              <w:rPr>
                <w:rFonts w:cs="Arial"/>
                <w:szCs w:val="22"/>
              </w:rPr>
              <w:t>Portland</w:t>
            </w:r>
          </w:p>
        </w:tc>
        <w:tc>
          <w:tcPr>
            <w:tcW w:w="1134" w:type="dxa"/>
            <w:shd w:val="clear" w:color="auto" w:fill="DEE4EE"/>
            <w:vAlign w:val="center"/>
          </w:tcPr>
          <w:p w:rsidR="00D429F4" w:rsidRPr="00D429F4" w:rsidRDefault="00D429F4" w:rsidP="00D95146">
            <w:pPr>
              <w:jc w:val="center"/>
              <w:rPr>
                <w:rFonts w:cs="Arial"/>
                <w:szCs w:val="22"/>
              </w:rPr>
            </w:pPr>
            <w:r w:rsidRPr="00D429F4">
              <w:rPr>
                <w:rFonts w:cs="Arial"/>
                <w:szCs w:val="22"/>
              </w:rPr>
              <w:t>$240</w:t>
            </w:r>
          </w:p>
        </w:tc>
      </w:tr>
      <w:tr w:rsidR="00D429F4" w:rsidRPr="00CF005E" w:rsidTr="00D95146">
        <w:trPr>
          <w:trHeight w:hRule="exact" w:val="312"/>
        </w:trPr>
        <w:tc>
          <w:tcPr>
            <w:tcW w:w="3969" w:type="dxa"/>
            <w:vAlign w:val="center"/>
          </w:tcPr>
          <w:p w:rsidR="00D429F4" w:rsidRPr="00786A96" w:rsidRDefault="00D429F4" w:rsidP="00D429F4">
            <w:r w:rsidRPr="00786A96">
              <w:t>Belmont-Grovedale</w:t>
            </w:r>
          </w:p>
        </w:tc>
        <w:tc>
          <w:tcPr>
            <w:tcW w:w="1134" w:type="dxa"/>
            <w:shd w:val="clear" w:color="auto" w:fill="DEE4EE"/>
            <w:vAlign w:val="center"/>
          </w:tcPr>
          <w:p w:rsidR="00D429F4" w:rsidRPr="00786A96" w:rsidRDefault="001A0B4C" w:rsidP="00D429F4">
            <w:pPr>
              <w:jc w:val="center"/>
            </w:pPr>
            <w:r>
              <w:t>$360</w:t>
            </w:r>
          </w:p>
        </w:tc>
        <w:tc>
          <w:tcPr>
            <w:tcW w:w="2948" w:type="dxa"/>
            <w:vAlign w:val="center"/>
          </w:tcPr>
          <w:p w:rsidR="00D429F4" w:rsidRPr="00D429F4" w:rsidRDefault="00D429F4" w:rsidP="00D429F4">
            <w:pPr>
              <w:rPr>
                <w:rFonts w:cs="Arial"/>
                <w:szCs w:val="22"/>
              </w:rPr>
            </w:pPr>
            <w:r w:rsidRPr="00D429F4">
              <w:rPr>
                <w:rFonts w:cs="Arial"/>
                <w:szCs w:val="22"/>
              </w:rPr>
              <w:t>Moe-Newborough</w:t>
            </w:r>
          </w:p>
        </w:tc>
        <w:tc>
          <w:tcPr>
            <w:tcW w:w="1134" w:type="dxa"/>
            <w:shd w:val="clear" w:color="auto" w:fill="DBE5F1" w:themeFill="accent1" w:themeFillTint="33"/>
            <w:vAlign w:val="center"/>
          </w:tcPr>
          <w:p w:rsidR="00D429F4" w:rsidRPr="00D429F4" w:rsidRDefault="00D429F4" w:rsidP="00D95146">
            <w:pPr>
              <w:jc w:val="center"/>
              <w:rPr>
                <w:rFonts w:cs="Arial"/>
                <w:szCs w:val="22"/>
              </w:rPr>
            </w:pPr>
            <w:r w:rsidRPr="00D429F4">
              <w:rPr>
                <w:rFonts w:cs="Arial"/>
                <w:szCs w:val="22"/>
              </w:rPr>
              <w:t>$250</w:t>
            </w:r>
          </w:p>
        </w:tc>
      </w:tr>
      <w:tr w:rsidR="00D429F4" w:rsidRPr="00CF005E" w:rsidTr="00D95146">
        <w:trPr>
          <w:trHeight w:hRule="exact" w:val="312"/>
        </w:trPr>
        <w:tc>
          <w:tcPr>
            <w:tcW w:w="3969" w:type="dxa"/>
            <w:vAlign w:val="center"/>
          </w:tcPr>
          <w:p w:rsidR="00D429F4" w:rsidRPr="00786A96" w:rsidRDefault="00D429F4" w:rsidP="00D429F4">
            <w:r w:rsidRPr="00786A96">
              <w:t>Herne Hill-Geelong West</w:t>
            </w:r>
          </w:p>
        </w:tc>
        <w:tc>
          <w:tcPr>
            <w:tcW w:w="1134" w:type="dxa"/>
            <w:shd w:val="clear" w:color="auto" w:fill="DEE4EE"/>
            <w:vAlign w:val="center"/>
          </w:tcPr>
          <w:p w:rsidR="00D429F4" w:rsidRPr="00786A96" w:rsidRDefault="001A0B4C" w:rsidP="00D429F4">
            <w:pPr>
              <w:jc w:val="center"/>
            </w:pPr>
            <w:r>
              <w:t>$36</w:t>
            </w:r>
            <w:r w:rsidR="00D429F4" w:rsidRPr="00786A96">
              <w:t>0</w:t>
            </w:r>
          </w:p>
        </w:tc>
        <w:tc>
          <w:tcPr>
            <w:tcW w:w="2948" w:type="dxa"/>
            <w:vAlign w:val="center"/>
          </w:tcPr>
          <w:p w:rsidR="00D429F4" w:rsidRPr="00D429F4" w:rsidRDefault="00D429F4" w:rsidP="00D429F4">
            <w:pPr>
              <w:rPr>
                <w:rFonts w:cs="Arial"/>
                <w:szCs w:val="22"/>
              </w:rPr>
            </w:pPr>
            <w:r w:rsidRPr="00D429F4">
              <w:rPr>
                <w:rFonts w:cs="Arial"/>
                <w:szCs w:val="22"/>
              </w:rPr>
              <w:t>Corio</w:t>
            </w:r>
          </w:p>
        </w:tc>
        <w:tc>
          <w:tcPr>
            <w:tcW w:w="1134" w:type="dxa"/>
            <w:shd w:val="clear" w:color="auto" w:fill="DBE5F1" w:themeFill="accent1" w:themeFillTint="33"/>
            <w:vAlign w:val="center"/>
          </w:tcPr>
          <w:p w:rsidR="00D429F4" w:rsidRPr="00D429F4" w:rsidRDefault="00D429F4" w:rsidP="00D95146">
            <w:pPr>
              <w:jc w:val="center"/>
              <w:rPr>
                <w:rFonts w:cs="Arial"/>
                <w:szCs w:val="22"/>
              </w:rPr>
            </w:pPr>
            <w:r w:rsidRPr="00D429F4">
              <w:rPr>
                <w:rFonts w:cs="Arial"/>
                <w:szCs w:val="22"/>
              </w:rPr>
              <w:t>$260</w:t>
            </w:r>
          </w:p>
        </w:tc>
      </w:tr>
      <w:tr w:rsidR="0007692A" w:rsidRPr="00CF005E" w:rsidTr="0007692A">
        <w:trPr>
          <w:trHeight w:hRule="exact" w:val="312"/>
        </w:trPr>
        <w:tc>
          <w:tcPr>
            <w:tcW w:w="3969" w:type="dxa"/>
            <w:vAlign w:val="center"/>
          </w:tcPr>
          <w:p w:rsidR="0007692A" w:rsidRPr="00786A96" w:rsidRDefault="0007692A" w:rsidP="0007692A">
            <w:r w:rsidRPr="00786A96">
              <w:t>Lara</w:t>
            </w:r>
          </w:p>
        </w:tc>
        <w:tc>
          <w:tcPr>
            <w:tcW w:w="1134" w:type="dxa"/>
            <w:shd w:val="clear" w:color="auto" w:fill="DEE4EE"/>
            <w:vAlign w:val="center"/>
          </w:tcPr>
          <w:p w:rsidR="0007692A" w:rsidRPr="00786A96" w:rsidRDefault="0007692A" w:rsidP="0007692A">
            <w:pPr>
              <w:jc w:val="center"/>
            </w:pPr>
            <w:r w:rsidRPr="00786A96">
              <w:t>$350</w:t>
            </w:r>
          </w:p>
        </w:tc>
        <w:tc>
          <w:tcPr>
            <w:tcW w:w="2948" w:type="dxa"/>
            <w:vAlign w:val="center"/>
          </w:tcPr>
          <w:p w:rsidR="0007692A" w:rsidRPr="00D429F4" w:rsidRDefault="0007692A" w:rsidP="0007692A">
            <w:pPr>
              <w:rPr>
                <w:rFonts w:cs="Arial"/>
                <w:szCs w:val="22"/>
                <w:highlight w:val="yellow"/>
              </w:rPr>
            </w:pPr>
          </w:p>
        </w:tc>
        <w:tc>
          <w:tcPr>
            <w:tcW w:w="1134" w:type="dxa"/>
            <w:shd w:val="clear" w:color="auto" w:fill="DBE5F1" w:themeFill="accent1" w:themeFillTint="33"/>
            <w:vAlign w:val="center"/>
          </w:tcPr>
          <w:p w:rsidR="0007692A" w:rsidRPr="00D429F4" w:rsidRDefault="0007692A" w:rsidP="0007692A">
            <w:pPr>
              <w:jc w:val="center"/>
              <w:rPr>
                <w:rFonts w:cs="Arial"/>
                <w:szCs w:val="22"/>
                <w:highlight w:val="yellow"/>
              </w:rPr>
            </w:pPr>
          </w:p>
        </w:tc>
      </w:tr>
    </w:tbl>
    <w:p w:rsidR="0047763C" w:rsidRDefault="00CA753A">
      <w:r>
        <w:rPr>
          <w:noProof/>
          <w:lang w:eastAsia="en-AU"/>
        </w:rPr>
        <mc:AlternateContent>
          <mc:Choice Requires="wps">
            <w:drawing>
              <wp:anchor distT="0" distB="0" distL="114300" distR="114300" simplePos="0" relativeHeight="251651584" behindDoc="0" locked="1" layoutInCell="1" allowOverlap="1" wp14:anchorId="53CE252B">
                <wp:simplePos x="0" y="0"/>
                <wp:positionH relativeFrom="column">
                  <wp:posOffset>325755</wp:posOffset>
                </wp:positionH>
                <wp:positionV relativeFrom="paragraph">
                  <wp:posOffset>315595</wp:posOffset>
                </wp:positionV>
                <wp:extent cx="5471160" cy="685165"/>
                <wp:effectExtent l="0" t="0" r="0" b="12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067947" w:rsidRPr="00767C9B" w:rsidRDefault="00067947">
                            <w:pPr>
                              <w:rPr>
                                <w:sz w:val="20"/>
                                <w:szCs w:val="20"/>
                              </w:rPr>
                            </w:pPr>
                            <w:r>
                              <w:rPr>
                                <w:sz w:val="20"/>
                                <w:szCs w:val="20"/>
                              </w:rPr>
                              <w:t>An expanded version of Table 11</w:t>
                            </w:r>
                            <w:r w:rsidRPr="00BD61FF">
                              <w:rPr>
                                <w:sz w:val="20"/>
                                <w:szCs w:val="20"/>
                              </w:rPr>
                              <w:t xml:space="preserve"> containing extra property types as well as lower and upper quartile information ca</w:t>
                            </w:r>
                            <w:r>
                              <w:rPr>
                                <w:sz w:val="20"/>
                                <w:szCs w:val="20"/>
                              </w:rPr>
                              <w:t>n be found in the Rental Report June Q</w:t>
                            </w:r>
                            <w:r w:rsidRPr="00BD61FF">
                              <w:rPr>
                                <w:sz w:val="20"/>
                                <w:szCs w:val="20"/>
                              </w:rPr>
                              <w:t xml:space="preserve">uarter </w:t>
                            </w:r>
                            <w:r>
                              <w:rPr>
                                <w:sz w:val="20"/>
                                <w:szCs w:val="20"/>
                              </w:rPr>
                              <w:t>2017</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CE252B"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p6MsiAIAAA8FAAAOAAAAAAAAAAAAAAAAAC4CAABkcnMvZTJvRG9jLnhtbFBLAQItABQA&#10;BgAIAAAAIQDadr6o4QAAAAkBAAAPAAAAAAAAAAAAAAAAAOIEAABkcnMvZG93bnJldi54bWxQSwUG&#10;AAAAAAQABADzAAAA8AUAAAAA&#10;" filled="f" fillcolor="yellow" strokecolor="#6687a4">
                <v:textbox style="mso-fit-shape-to-text:t">
                  <w:txbxContent>
                    <w:p w:rsidR="00067947" w:rsidRPr="00767C9B" w:rsidRDefault="00067947">
                      <w:pPr>
                        <w:rPr>
                          <w:sz w:val="20"/>
                          <w:szCs w:val="20"/>
                        </w:rPr>
                      </w:pPr>
                      <w:r>
                        <w:rPr>
                          <w:sz w:val="20"/>
                          <w:szCs w:val="20"/>
                        </w:rPr>
                        <w:t>An expanded version of Table 11</w:t>
                      </w:r>
                      <w:r w:rsidRPr="00BD61FF">
                        <w:rPr>
                          <w:sz w:val="20"/>
                          <w:szCs w:val="20"/>
                        </w:rPr>
                        <w:t xml:space="preserve"> containing extra property types as well as lower and upper quartile information </w:t>
                      </w:r>
                      <w:proofErr w:type="gramStart"/>
                      <w:r w:rsidRPr="00BD61FF">
                        <w:rPr>
                          <w:sz w:val="20"/>
                          <w:szCs w:val="20"/>
                        </w:rPr>
                        <w:t>ca</w:t>
                      </w:r>
                      <w:r>
                        <w:rPr>
                          <w:sz w:val="20"/>
                          <w:szCs w:val="20"/>
                        </w:rPr>
                        <w:t>n be found</w:t>
                      </w:r>
                      <w:proofErr w:type="gramEnd"/>
                      <w:r>
                        <w:rPr>
                          <w:sz w:val="20"/>
                          <w:szCs w:val="20"/>
                        </w:rPr>
                        <w:t xml:space="preserve"> in the Rental Report June Q</w:t>
                      </w:r>
                      <w:r w:rsidRPr="00BD61FF">
                        <w:rPr>
                          <w:sz w:val="20"/>
                          <w:szCs w:val="20"/>
                        </w:rPr>
                        <w:t xml:space="preserve">uarter </w:t>
                      </w:r>
                      <w:r>
                        <w:rPr>
                          <w:sz w:val="20"/>
                          <w:szCs w:val="20"/>
                        </w:rPr>
                        <w:t>2017</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4"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pPr>
        <w:pStyle w:val="DHSHeadingA"/>
        <w:spacing w:after="240"/>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Table 5 shows the total number of new rental lettings for the </w:t>
      </w:r>
      <w:r w:rsidR="00D429F4">
        <w:rPr>
          <w:rFonts w:cs="Arial"/>
          <w:szCs w:val="20"/>
        </w:rPr>
        <w:t>June</w:t>
      </w:r>
      <w:r w:rsidR="000563B4">
        <w:rPr>
          <w:rFonts w:cs="Arial"/>
          <w:szCs w:val="20"/>
        </w:rPr>
        <w:t xml:space="preserve"> quarter </w:t>
      </w:r>
      <w:r w:rsidR="003A132A">
        <w:rPr>
          <w:rFonts w:cs="Arial"/>
          <w:szCs w:val="20"/>
        </w:rPr>
        <w:t>2017</w:t>
      </w:r>
      <w:r w:rsidRPr="000F3B39">
        <w:rPr>
          <w:rFonts w:cs="Arial"/>
          <w:szCs w:val="20"/>
        </w:rPr>
        <w:t>. Across the state</w:t>
      </w:r>
      <w:r w:rsidR="00EF0CF3">
        <w:rPr>
          <w:rFonts w:cs="Arial"/>
          <w:szCs w:val="20"/>
        </w:rPr>
        <w:t>,</w:t>
      </w:r>
      <w:r w:rsidRPr="000F3B39">
        <w:rPr>
          <w:rFonts w:cs="Arial"/>
          <w:szCs w:val="20"/>
        </w:rPr>
        <w:t xml:space="preserve"> the total number of new lettings was </w:t>
      </w:r>
      <w:r w:rsidR="00EF0CF3">
        <w:rPr>
          <w:rFonts w:cs="Arial"/>
          <w:szCs w:val="20"/>
        </w:rPr>
        <w:t>49,008</w:t>
      </w:r>
      <w:r w:rsidR="00ED093F">
        <w:rPr>
          <w:rFonts w:cs="Arial"/>
          <w:szCs w:val="20"/>
        </w:rPr>
        <w:t>,</w:t>
      </w:r>
      <w:r w:rsidR="009463AD">
        <w:rPr>
          <w:rFonts w:cs="Arial"/>
          <w:szCs w:val="20"/>
        </w:rPr>
        <w:t xml:space="preserve"> </w:t>
      </w:r>
      <w:r w:rsidRPr="000F3B39">
        <w:rPr>
          <w:rFonts w:cs="Arial"/>
          <w:szCs w:val="20"/>
        </w:rPr>
        <w:t>a</w:t>
      </w:r>
      <w:r w:rsidR="009463AD">
        <w:rPr>
          <w:rFonts w:cs="Arial"/>
          <w:szCs w:val="20"/>
        </w:rPr>
        <w:t xml:space="preserve"> de</w:t>
      </w:r>
      <w:r w:rsidR="00BD4AB1">
        <w:rPr>
          <w:rFonts w:cs="Arial"/>
          <w:szCs w:val="20"/>
        </w:rPr>
        <w:t>c</w:t>
      </w:r>
      <w:r w:rsidRPr="000F3B39">
        <w:rPr>
          <w:rFonts w:cs="Arial"/>
          <w:szCs w:val="20"/>
        </w:rPr>
        <w:t xml:space="preserve">rease of </w:t>
      </w:r>
      <w:r w:rsidR="00EF0CF3">
        <w:rPr>
          <w:rFonts w:cs="Arial"/>
          <w:szCs w:val="20"/>
        </w:rPr>
        <w:t>5.9</w:t>
      </w:r>
      <w:r w:rsidRPr="000F3B39">
        <w:rPr>
          <w:rFonts w:cs="Arial"/>
          <w:szCs w:val="20"/>
        </w:rPr>
        <w:t xml:space="preserve"> per cent on the same quarter </w:t>
      </w:r>
      <w:r w:rsidR="00BD4AB1">
        <w:rPr>
          <w:rFonts w:cs="Arial"/>
          <w:szCs w:val="20"/>
        </w:rPr>
        <w:t xml:space="preserve">of </w:t>
      </w:r>
      <w:r w:rsidR="003A132A">
        <w:rPr>
          <w:rFonts w:cs="Arial"/>
          <w:szCs w:val="20"/>
        </w:rPr>
        <w:t>2016</w:t>
      </w:r>
      <w:r w:rsidRPr="000F3B39">
        <w:rPr>
          <w:rFonts w:cs="Arial"/>
          <w:szCs w:val="20"/>
        </w:rPr>
        <w:t>. Metro</w:t>
      </w:r>
      <w:r w:rsidR="00BD4AB1">
        <w:rPr>
          <w:rFonts w:cs="Arial"/>
          <w:szCs w:val="20"/>
        </w:rPr>
        <w:t>politan Melbourne recorded a</w:t>
      </w:r>
      <w:r w:rsidR="009463AD">
        <w:rPr>
          <w:rFonts w:cs="Arial"/>
          <w:szCs w:val="20"/>
        </w:rPr>
        <w:t xml:space="preserve"> de</w:t>
      </w:r>
      <w:r w:rsidRPr="000F3B39">
        <w:rPr>
          <w:rFonts w:cs="Arial"/>
          <w:szCs w:val="20"/>
        </w:rPr>
        <w:t xml:space="preserve">crease of </w:t>
      </w:r>
      <w:r w:rsidR="00EF0CF3">
        <w:rPr>
          <w:rFonts w:cs="Arial"/>
          <w:szCs w:val="20"/>
        </w:rPr>
        <w:t>5.2</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9463AD">
        <w:rPr>
          <w:rFonts w:cs="Arial"/>
          <w:szCs w:val="20"/>
        </w:rPr>
        <w:t xml:space="preserve"> </w:t>
      </w:r>
      <w:r w:rsidR="00EF0CF3">
        <w:rPr>
          <w:rFonts w:cs="Arial"/>
          <w:szCs w:val="20"/>
        </w:rPr>
        <w:t>8.5</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EF0CF3">
        <w:rPr>
          <w:rFonts w:cs="Arial"/>
          <w:szCs w:val="20"/>
        </w:rPr>
        <w:t>79.1</w:t>
      </w:r>
      <w:r w:rsidRPr="000F3B39">
        <w:rPr>
          <w:rFonts w:cs="Arial"/>
          <w:szCs w:val="20"/>
        </w:rPr>
        <w:t xml:space="preserve"> per cent of all new lettings in Victoria.</w:t>
      </w:r>
    </w:p>
    <w:p w:rsidR="00A17C44" w:rsidRPr="000F3B39" w:rsidRDefault="00A17C44" w:rsidP="00054C75">
      <w:pPr>
        <w:rPr>
          <w:rFonts w:cs="Arial"/>
          <w:szCs w:val="20"/>
        </w:rPr>
      </w:pPr>
    </w:p>
    <w:p w:rsidR="00A17C44" w:rsidRPr="000375B1" w:rsidRDefault="00A17C44" w:rsidP="00A17C44">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40"/>
        <w:gridCol w:w="2366"/>
        <w:gridCol w:w="2366"/>
        <w:gridCol w:w="2366"/>
      </w:tblGrid>
      <w:tr w:rsidR="00A17C44" w:rsidRPr="002E1555" w:rsidTr="004F6778">
        <w:trPr>
          <w:trHeight w:hRule="exact" w:val="340"/>
        </w:trPr>
        <w:tc>
          <w:tcPr>
            <w:tcW w:w="2540" w:type="dxa"/>
            <w:tcBorders>
              <w:top w:val="single" w:sz="18" w:space="0" w:color="9DAECB"/>
              <w:bottom w:val="single" w:sz="12" w:space="0" w:color="9DAECB"/>
            </w:tcBorders>
          </w:tcPr>
          <w:p w:rsidR="00A17C44" w:rsidRPr="00C95655" w:rsidRDefault="00A17C44" w:rsidP="00C52826">
            <w:pPr>
              <w:pStyle w:val="DHSbodycopytable"/>
              <w:rPr>
                <w:rFonts w:cs="Arial"/>
                <w:b/>
                <w:bCs/>
                <w:sz w:val="20"/>
              </w:rPr>
            </w:pPr>
          </w:p>
        </w:tc>
        <w:tc>
          <w:tcPr>
            <w:tcW w:w="2366" w:type="dxa"/>
            <w:tcBorders>
              <w:top w:val="single" w:sz="18" w:space="0" w:color="9DAECB"/>
              <w:bottom w:val="single" w:sz="12" w:space="0" w:color="9DAECB"/>
            </w:tcBorders>
            <w:shd w:val="clear" w:color="auto" w:fill="DEE4EE"/>
            <w:vAlign w:val="center"/>
          </w:tcPr>
          <w:p w:rsidR="00A17C44" w:rsidRPr="004A3161" w:rsidRDefault="0007692A" w:rsidP="004F6778">
            <w:pPr>
              <w:jc w:val="center"/>
              <w:rPr>
                <w:rFonts w:cs="Arial"/>
                <w:b/>
                <w:bCs/>
                <w:sz w:val="20"/>
                <w:szCs w:val="20"/>
              </w:rPr>
            </w:pPr>
            <w:r>
              <w:rPr>
                <w:rFonts w:cs="Arial"/>
                <w:b/>
                <w:bCs/>
                <w:sz w:val="20"/>
                <w:szCs w:val="20"/>
              </w:rPr>
              <w:t>June</w:t>
            </w:r>
            <w:r w:rsidR="004F6778">
              <w:rPr>
                <w:rFonts w:cs="Arial"/>
                <w:b/>
                <w:bCs/>
                <w:sz w:val="20"/>
                <w:szCs w:val="20"/>
              </w:rPr>
              <w:t>-17</w:t>
            </w:r>
          </w:p>
        </w:tc>
        <w:tc>
          <w:tcPr>
            <w:tcW w:w="2366" w:type="dxa"/>
            <w:tcBorders>
              <w:top w:val="single" w:sz="18" w:space="0" w:color="9DAECB"/>
              <w:bottom w:val="single" w:sz="12" w:space="0" w:color="9DAECB"/>
            </w:tcBorders>
            <w:vAlign w:val="center"/>
          </w:tcPr>
          <w:p w:rsidR="00A17C44" w:rsidRPr="004A3161" w:rsidRDefault="0007692A" w:rsidP="004F6778">
            <w:pPr>
              <w:jc w:val="center"/>
              <w:rPr>
                <w:rFonts w:cs="Arial"/>
                <w:b/>
                <w:bCs/>
                <w:sz w:val="20"/>
                <w:szCs w:val="20"/>
              </w:rPr>
            </w:pPr>
            <w:r>
              <w:rPr>
                <w:rFonts w:cs="Arial"/>
                <w:b/>
                <w:bCs/>
                <w:sz w:val="20"/>
                <w:szCs w:val="20"/>
              </w:rPr>
              <w:t>June</w:t>
            </w:r>
            <w:r w:rsidR="004F6778">
              <w:rPr>
                <w:rFonts w:cs="Arial"/>
                <w:b/>
                <w:bCs/>
                <w:sz w:val="20"/>
                <w:szCs w:val="20"/>
              </w:rPr>
              <w:t>-16</w:t>
            </w:r>
          </w:p>
        </w:tc>
        <w:tc>
          <w:tcPr>
            <w:tcW w:w="2366" w:type="dxa"/>
            <w:tcBorders>
              <w:top w:val="single" w:sz="18" w:space="0" w:color="9DAECB"/>
              <w:bottom w:val="single" w:sz="12" w:space="0" w:color="9DAECB"/>
            </w:tcBorders>
            <w:shd w:val="clear" w:color="auto" w:fill="DEE4EE"/>
            <w:vAlign w:val="center"/>
          </w:tcPr>
          <w:p w:rsidR="00A17C44" w:rsidRPr="004A3161" w:rsidRDefault="00A17C44" w:rsidP="004F6778">
            <w:pPr>
              <w:jc w:val="center"/>
              <w:rPr>
                <w:rFonts w:cs="Arial"/>
                <w:b/>
                <w:bCs/>
                <w:sz w:val="20"/>
                <w:szCs w:val="20"/>
              </w:rPr>
            </w:pPr>
            <w:r w:rsidRPr="004A3161">
              <w:rPr>
                <w:rFonts w:cs="Arial"/>
                <w:b/>
                <w:bCs/>
                <w:sz w:val="20"/>
                <w:szCs w:val="20"/>
              </w:rPr>
              <w:t>Change</w:t>
            </w:r>
          </w:p>
        </w:tc>
      </w:tr>
      <w:tr w:rsidR="0007692A" w:rsidRPr="005F5C4F" w:rsidTr="0007692A">
        <w:trPr>
          <w:trHeight w:hRule="exact" w:val="340"/>
        </w:trPr>
        <w:tc>
          <w:tcPr>
            <w:tcW w:w="2540" w:type="dxa"/>
            <w:tcBorders>
              <w:top w:val="single" w:sz="12" w:space="0" w:color="9DAECB"/>
            </w:tcBorders>
            <w:vAlign w:val="center"/>
          </w:tcPr>
          <w:p w:rsidR="0007692A" w:rsidRPr="00C95655" w:rsidRDefault="0007692A" w:rsidP="0007692A">
            <w:pPr>
              <w:pStyle w:val="DHSbodycopytable"/>
              <w:rPr>
                <w:rFonts w:cs="Arial"/>
                <w:b/>
                <w:sz w:val="20"/>
              </w:rPr>
            </w:pPr>
            <w:r>
              <w:rPr>
                <w:rFonts w:cs="Arial"/>
                <w:b/>
                <w:sz w:val="20"/>
              </w:rPr>
              <w:t xml:space="preserve">Metropolitan </w:t>
            </w:r>
            <w:r w:rsidRPr="00C95655">
              <w:rPr>
                <w:rFonts w:cs="Arial"/>
                <w:b/>
                <w:sz w:val="20"/>
              </w:rPr>
              <w:t>Melbourne</w:t>
            </w:r>
          </w:p>
        </w:tc>
        <w:tc>
          <w:tcPr>
            <w:tcW w:w="2366" w:type="dxa"/>
            <w:tcBorders>
              <w:top w:val="single" w:sz="12" w:space="0" w:color="9DAECB"/>
            </w:tcBorders>
            <w:shd w:val="clear" w:color="auto" w:fill="DEE4EE"/>
            <w:vAlign w:val="center"/>
          </w:tcPr>
          <w:p w:rsidR="0007692A" w:rsidRPr="006959EF" w:rsidRDefault="0007692A" w:rsidP="0007692A">
            <w:pPr>
              <w:jc w:val="center"/>
            </w:pPr>
            <w:r w:rsidRPr="006959EF">
              <w:t>38,754</w:t>
            </w:r>
          </w:p>
        </w:tc>
        <w:tc>
          <w:tcPr>
            <w:tcW w:w="2366" w:type="dxa"/>
            <w:tcBorders>
              <w:top w:val="single" w:sz="12" w:space="0" w:color="9DAECB"/>
            </w:tcBorders>
            <w:vAlign w:val="center"/>
          </w:tcPr>
          <w:p w:rsidR="0007692A" w:rsidRPr="006959EF" w:rsidRDefault="0007692A" w:rsidP="0007692A">
            <w:pPr>
              <w:jc w:val="center"/>
            </w:pPr>
            <w:r w:rsidRPr="006959EF">
              <w:t>40,878</w:t>
            </w:r>
          </w:p>
        </w:tc>
        <w:tc>
          <w:tcPr>
            <w:tcW w:w="2366" w:type="dxa"/>
            <w:tcBorders>
              <w:top w:val="single" w:sz="12" w:space="0" w:color="9DAECB"/>
            </w:tcBorders>
            <w:shd w:val="clear" w:color="auto" w:fill="DEE4EE"/>
            <w:vAlign w:val="center"/>
          </w:tcPr>
          <w:p w:rsidR="0007692A" w:rsidRPr="006959EF" w:rsidRDefault="0007692A" w:rsidP="0007692A">
            <w:pPr>
              <w:jc w:val="center"/>
            </w:pPr>
            <w:r w:rsidRPr="006959EF">
              <w:t>-5.2%</w:t>
            </w:r>
          </w:p>
        </w:tc>
      </w:tr>
      <w:tr w:rsidR="0007692A" w:rsidRPr="005F5C4F" w:rsidTr="0007692A">
        <w:trPr>
          <w:trHeight w:hRule="exact" w:val="340"/>
        </w:trPr>
        <w:tc>
          <w:tcPr>
            <w:tcW w:w="2540" w:type="dxa"/>
            <w:vAlign w:val="center"/>
          </w:tcPr>
          <w:p w:rsidR="0007692A" w:rsidRPr="00C95655" w:rsidRDefault="0007692A" w:rsidP="0007692A">
            <w:pPr>
              <w:pStyle w:val="DHSbodycopytable"/>
              <w:rPr>
                <w:rFonts w:cs="Arial"/>
                <w:b/>
                <w:sz w:val="20"/>
              </w:rPr>
            </w:pPr>
            <w:r w:rsidRPr="00C95655">
              <w:rPr>
                <w:rFonts w:cs="Arial"/>
                <w:b/>
                <w:sz w:val="20"/>
              </w:rPr>
              <w:t>Regional Victoria</w:t>
            </w:r>
          </w:p>
        </w:tc>
        <w:tc>
          <w:tcPr>
            <w:tcW w:w="2366" w:type="dxa"/>
            <w:shd w:val="clear" w:color="auto" w:fill="DEE4EE"/>
            <w:vAlign w:val="center"/>
          </w:tcPr>
          <w:p w:rsidR="0007692A" w:rsidRPr="006959EF" w:rsidRDefault="0007692A" w:rsidP="0007692A">
            <w:pPr>
              <w:jc w:val="center"/>
            </w:pPr>
            <w:r w:rsidRPr="006959EF">
              <w:t>10,254</w:t>
            </w:r>
          </w:p>
        </w:tc>
        <w:tc>
          <w:tcPr>
            <w:tcW w:w="2366" w:type="dxa"/>
            <w:vAlign w:val="center"/>
          </w:tcPr>
          <w:p w:rsidR="0007692A" w:rsidRPr="006959EF" w:rsidRDefault="0007692A" w:rsidP="0007692A">
            <w:pPr>
              <w:jc w:val="center"/>
            </w:pPr>
            <w:r w:rsidRPr="006959EF">
              <w:t>11,203</w:t>
            </w:r>
          </w:p>
        </w:tc>
        <w:tc>
          <w:tcPr>
            <w:tcW w:w="2366" w:type="dxa"/>
            <w:shd w:val="clear" w:color="auto" w:fill="DEE4EE"/>
            <w:vAlign w:val="center"/>
          </w:tcPr>
          <w:p w:rsidR="0007692A" w:rsidRPr="006959EF" w:rsidRDefault="0007692A" w:rsidP="0007692A">
            <w:pPr>
              <w:jc w:val="center"/>
            </w:pPr>
            <w:r w:rsidRPr="006959EF">
              <w:t>-8.5%</w:t>
            </w:r>
          </w:p>
        </w:tc>
      </w:tr>
      <w:tr w:rsidR="0007692A" w:rsidRPr="005F5C4F" w:rsidTr="0007692A">
        <w:trPr>
          <w:trHeight w:hRule="exact" w:val="340"/>
        </w:trPr>
        <w:tc>
          <w:tcPr>
            <w:tcW w:w="2540" w:type="dxa"/>
            <w:vAlign w:val="center"/>
          </w:tcPr>
          <w:p w:rsidR="0007692A" w:rsidRPr="00C95655" w:rsidRDefault="0007692A" w:rsidP="0007692A">
            <w:pPr>
              <w:pStyle w:val="DHSbodycopytable"/>
              <w:rPr>
                <w:rFonts w:cs="Arial"/>
                <w:b/>
                <w:sz w:val="20"/>
              </w:rPr>
            </w:pPr>
            <w:r w:rsidRPr="00C95655">
              <w:rPr>
                <w:rFonts w:cs="Arial"/>
                <w:b/>
                <w:sz w:val="20"/>
              </w:rPr>
              <w:t>Victoria</w:t>
            </w:r>
          </w:p>
        </w:tc>
        <w:tc>
          <w:tcPr>
            <w:tcW w:w="2366" w:type="dxa"/>
            <w:shd w:val="clear" w:color="auto" w:fill="DEE4EE"/>
            <w:vAlign w:val="center"/>
          </w:tcPr>
          <w:p w:rsidR="0007692A" w:rsidRPr="006959EF" w:rsidRDefault="0007692A" w:rsidP="0007692A">
            <w:pPr>
              <w:jc w:val="center"/>
            </w:pPr>
            <w:r w:rsidRPr="006959EF">
              <w:t>49,008</w:t>
            </w:r>
          </w:p>
        </w:tc>
        <w:tc>
          <w:tcPr>
            <w:tcW w:w="2366" w:type="dxa"/>
            <w:vAlign w:val="center"/>
          </w:tcPr>
          <w:p w:rsidR="0007692A" w:rsidRPr="006959EF" w:rsidRDefault="0007692A" w:rsidP="0007692A">
            <w:pPr>
              <w:jc w:val="center"/>
            </w:pPr>
            <w:r w:rsidRPr="006959EF">
              <w:t>52,081</w:t>
            </w:r>
          </w:p>
        </w:tc>
        <w:tc>
          <w:tcPr>
            <w:tcW w:w="2366" w:type="dxa"/>
            <w:shd w:val="clear" w:color="auto" w:fill="DEE4EE"/>
            <w:vAlign w:val="center"/>
          </w:tcPr>
          <w:p w:rsidR="0007692A" w:rsidRDefault="0007692A" w:rsidP="0007692A">
            <w:pPr>
              <w:jc w:val="center"/>
            </w:pPr>
            <w:r w:rsidRPr="006959EF">
              <w:t>-5.9%</w:t>
            </w:r>
          </w:p>
        </w:tc>
      </w:tr>
    </w:tbl>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20685E">
        <w:rPr>
          <w:rFonts w:cs="Arial"/>
          <w:szCs w:val="20"/>
        </w:rPr>
        <w:t>O</w:t>
      </w:r>
      <w:r w:rsidR="00E03C22">
        <w:rPr>
          <w:rFonts w:cs="Arial"/>
          <w:szCs w:val="20"/>
        </w:rPr>
        <w:t>f the</w:t>
      </w:r>
      <w:r w:rsidRPr="000F3B39">
        <w:rPr>
          <w:rFonts w:cs="Arial"/>
          <w:szCs w:val="20"/>
        </w:rPr>
        <w:t xml:space="preserve"> </w:t>
      </w:r>
      <w:r w:rsidRPr="00BF5E1B">
        <w:rPr>
          <w:rFonts w:cs="Arial"/>
          <w:szCs w:val="22"/>
        </w:rPr>
        <w:t>nine metropolitan regions</w:t>
      </w:r>
      <w:r w:rsidR="0020685E">
        <w:rPr>
          <w:rFonts w:cs="Arial"/>
          <w:szCs w:val="22"/>
        </w:rPr>
        <w:t xml:space="preserve">, </w:t>
      </w:r>
      <w:r w:rsidR="00EF0CF3">
        <w:rPr>
          <w:rFonts w:cs="Arial"/>
          <w:szCs w:val="22"/>
        </w:rPr>
        <w:t>all</w:t>
      </w:r>
      <w:r w:rsidR="000563B4" w:rsidRPr="000563B4">
        <w:rPr>
          <w:rFonts w:cs="Arial"/>
          <w:szCs w:val="20"/>
        </w:rPr>
        <w:t xml:space="preserve"> </w:t>
      </w:r>
      <w:r w:rsidR="000563B4" w:rsidRPr="000F3B39">
        <w:rPr>
          <w:rFonts w:cs="Arial"/>
          <w:szCs w:val="20"/>
        </w:rPr>
        <w:t xml:space="preserve">recorded </w:t>
      </w:r>
      <w:r w:rsidR="009463AD">
        <w:rPr>
          <w:rFonts w:cs="Arial"/>
          <w:szCs w:val="20"/>
        </w:rPr>
        <w:t xml:space="preserve">an </w:t>
      </w:r>
      <w:r w:rsidR="000563B4">
        <w:rPr>
          <w:rFonts w:cs="Arial"/>
          <w:szCs w:val="20"/>
        </w:rPr>
        <w:t xml:space="preserve">annual </w:t>
      </w:r>
      <w:r w:rsidR="00EF0CF3">
        <w:rPr>
          <w:rFonts w:cs="Arial"/>
          <w:szCs w:val="20"/>
        </w:rPr>
        <w:t>de</w:t>
      </w:r>
      <w:r w:rsidR="00B9778D">
        <w:rPr>
          <w:rFonts w:cs="Arial"/>
          <w:szCs w:val="20"/>
        </w:rPr>
        <w:t>crease</w:t>
      </w:r>
      <w:r w:rsidR="000563B4" w:rsidRPr="000F3B39">
        <w:rPr>
          <w:rFonts w:cs="Arial"/>
          <w:szCs w:val="20"/>
        </w:rPr>
        <w:t xml:space="preserve"> in the number of new lettings</w:t>
      </w:r>
      <w:r w:rsidR="00B313F3">
        <w:rPr>
          <w:rFonts w:cs="Arial"/>
          <w:szCs w:val="20"/>
        </w:rPr>
        <w:t>.</w:t>
      </w:r>
      <w:r w:rsidR="000B6150">
        <w:rPr>
          <w:rFonts w:cs="Arial"/>
          <w:szCs w:val="20"/>
        </w:rPr>
        <w:t xml:space="preserve"> The annual change in new lett</w:t>
      </w:r>
      <w:r w:rsidR="00B313F3">
        <w:rPr>
          <w:rFonts w:cs="Arial"/>
          <w:szCs w:val="20"/>
        </w:rPr>
        <w:t>ing</w:t>
      </w:r>
      <w:r w:rsidR="000B6150">
        <w:rPr>
          <w:rFonts w:cs="Arial"/>
          <w:szCs w:val="20"/>
        </w:rPr>
        <w:t>s</w:t>
      </w:r>
      <w:r w:rsidR="00B313F3">
        <w:rPr>
          <w:rFonts w:cs="Arial"/>
          <w:szCs w:val="20"/>
        </w:rPr>
        <w:t xml:space="preserve"> to the June quarter 2017 ranged</w:t>
      </w:r>
      <w:r w:rsidR="00EF0CF3">
        <w:rPr>
          <w:rFonts w:cs="Arial"/>
          <w:szCs w:val="20"/>
        </w:rPr>
        <w:t xml:space="preserve"> from a decrease of 10.1 per cent in North Western Melbourne to a decrease of 0.2 per cent in South Eastern Melbourne.</w:t>
      </w:r>
    </w:p>
    <w:p w:rsidR="0047763C" w:rsidRPr="000F3B39" w:rsidRDefault="0047763C" w:rsidP="00054C75">
      <w:pPr>
        <w:rPr>
          <w:rFonts w:cs="Arial"/>
          <w:szCs w:val="20"/>
        </w:rPr>
      </w:pPr>
    </w:p>
    <w:p w:rsidR="0047763C" w:rsidRPr="00B313F3" w:rsidRDefault="0047763C" w:rsidP="002050FA">
      <w:pPr>
        <w:rPr>
          <w:szCs w:val="22"/>
        </w:rPr>
      </w:pPr>
      <w:r w:rsidRPr="00B9778D">
        <w:t>In regional Victoria,</w:t>
      </w:r>
      <w:r w:rsidR="00B64A95" w:rsidRPr="00B9778D">
        <w:t xml:space="preserve"> </w:t>
      </w:r>
      <w:r w:rsidR="002050FA" w:rsidRPr="00B9778D">
        <w:t>all</w:t>
      </w:r>
      <w:r w:rsidR="00B64A95" w:rsidRPr="00B9778D">
        <w:t xml:space="preserve"> region</w:t>
      </w:r>
      <w:r w:rsidR="000563B4" w:rsidRPr="00B9778D">
        <w:t>s</w:t>
      </w:r>
      <w:r w:rsidR="00F2062A" w:rsidRPr="00B9778D">
        <w:t xml:space="preserve"> </w:t>
      </w:r>
      <w:r w:rsidR="00EF0CF3">
        <w:t xml:space="preserve">also </w:t>
      </w:r>
      <w:r w:rsidR="00F2062A" w:rsidRPr="00B9778D">
        <w:t xml:space="preserve">recorded an annual </w:t>
      </w:r>
      <w:r w:rsidR="002050FA" w:rsidRPr="00B9778D">
        <w:t>decrease</w:t>
      </w:r>
      <w:r w:rsidR="00F2062A" w:rsidRPr="00B9778D">
        <w:t xml:space="preserve"> in the number of new lettings</w:t>
      </w:r>
      <w:r w:rsidR="002050FA" w:rsidRPr="00B9778D">
        <w:t>.</w:t>
      </w:r>
      <w:r w:rsidR="00E03C22" w:rsidRPr="00B9778D">
        <w:t xml:space="preserve"> The </w:t>
      </w:r>
      <w:r w:rsidR="00907ABB" w:rsidRPr="00B9778D">
        <w:t xml:space="preserve">annual </w:t>
      </w:r>
      <w:r w:rsidR="00F2062A" w:rsidRPr="00B9778D">
        <w:t>change in new lettings</w:t>
      </w:r>
      <w:r w:rsidRPr="00B9778D">
        <w:t xml:space="preserve"> </w:t>
      </w:r>
      <w:r w:rsidR="00907ABB" w:rsidRPr="00B9778D">
        <w:t>to the</w:t>
      </w:r>
      <w:r w:rsidRPr="00B9778D">
        <w:t xml:space="preserve"> </w:t>
      </w:r>
      <w:r w:rsidR="00D429F4">
        <w:t>June</w:t>
      </w:r>
      <w:r w:rsidR="00E03C22" w:rsidRPr="00B9778D">
        <w:t xml:space="preserve"> quarter </w:t>
      </w:r>
      <w:r w:rsidR="003A132A">
        <w:t>2017</w:t>
      </w:r>
      <w:r w:rsidR="00E03C22" w:rsidRPr="00B9778D">
        <w:t xml:space="preserve"> ranged</w:t>
      </w:r>
      <w:r w:rsidRPr="00B9778D">
        <w:t xml:space="preserve"> from </w:t>
      </w:r>
      <w:r w:rsidR="00F2062A" w:rsidRPr="00B9778D">
        <w:t xml:space="preserve">a decrease of </w:t>
      </w:r>
      <w:r w:rsidR="00B313F3">
        <w:t>14.4</w:t>
      </w:r>
      <w:r w:rsidR="00F2062A" w:rsidRPr="00B9778D">
        <w:t xml:space="preserve"> per </w:t>
      </w:r>
      <w:r w:rsidR="00F2062A" w:rsidRPr="00B313F3">
        <w:rPr>
          <w:szCs w:val="22"/>
        </w:rPr>
        <w:t>cent in</w:t>
      </w:r>
      <w:r w:rsidR="000563B4" w:rsidRPr="00B313F3">
        <w:rPr>
          <w:szCs w:val="22"/>
        </w:rPr>
        <w:t xml:space="preserve"> </w:t>
      </w:r>
      <w:r w:rsidR="00B313F3" w:rsidRPr="00B313F3">
        <w:rPr>
          <w:rFonts w:cs="Arial"/>
          <w:szCs w:val="22"/>
        </w:rPr>
        <w:t>Loddon-Mallee</w:t>
      </w:r>
      <w:r w:rsidR="00B313F3" w:rsidRPr="00B313F3">
        <w:rPr>
          <w:szCs w:val="22"/>
        </w:rPr>
        <w:t xml:space="preserve"> </w:t>
      </w:r>
      <w:r w:rsidR="00B64A95" w:rsidRPr="00B313F3">
        <w:rPr>
          <w:szCs w:val="22"/>
        </w:rPr>
        <w:t>to a</w:t>
      </w:r>
      <w:r w:rsidR="002050FA" w:rsidRPr="00B313F3">
        <w:rPr>
          <w:szCs w:val="22"/>
        </w:rPr>
        <w:t xml:space="preserve"> de</w:t>
      </w:r>
      <w:r w:rsidR="000563B4" w:rsidRPr="00B313F3">
        <w:rPr>
          <w:szCs w:val="22"/>
        </w:rPr>
        <w:t>c</w:t>
      </w:r>
      <w:r w:rsidR="00B313F3" w:rsidRPr="00B313F3">
        <w:rPr>
          <w:szCs w:val="22"/>
        </w:rPr>
        <w:t>rease of 4.1</w:t>
      </w:r>
      <w:r w:rsidR="00027FDB" w:rsidRPr="00B313F3">
        <w:rPr>
          <w:szCs w:val="22"/>
        </w:rPr>
        <w:t xml:space="preserve"> per cent in</w:t>
      </w:r>
      <w:r w:rsidR="000563B4" w:rsidRPr="00B313F3">
        <w:rPr>
          <w:szCs w:val="22"/>
        </w:rPr>
        <w:t xml:space="preserve"> </w:t>
      </w:r>
      <w:r w:rsidR="00B313F3" w:rsidRPr="00B313F3">
        <w:rPr>
          <w:rFonts w:cs="Arial"/>
          <w:szCs w:val="22"/>
        </w:rPr>
        <w:t>Goulburn-Ovens-Murray</w:t>
      </w:r>
      <w:r w:rsidRPr="00B313F3">
        <w:rPr>
          <w:szCs w:val="22"/>
        </w:rPr>
        <w:t xml:space="preserve">. </w:t>
      </w:r>
    </w:p>
    <w:p w:rsidR="0047763C" w:rsidRPr="008C44FD" w:rsidRDefault="0047763C" w:rsidP="00054C75">
      <w:pPr>
        <w:rPr>
          <w:rFonts w:cs="Arial"/>
          <w:b/>
        </w:rPr>
      </w:pPr>
    </w:p>
    <w:p w:rsidR="0047763C" w:rsidRPr="00A17C44" w:rsidRDefault="0047763C" w:rsidP="00A17C44">
      <w:pPr>
        <w:rPr>
          <w:b/>
          <w:sz w:val="20"/>
          <w:lang w:val="en-US"/>
        </w:rPr>
      </w:pPr>
      <w:r w:rsidRPr="00A17C44">
        <w:rPr>
          <w:b/>
          <w:sz w:val="20"/>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789"/>
        <w:gridCol w:w="2114"/>
        <w:gridCol w:w="2367"/>
        <w:gridCol w:w="2368"/>
      </w:tblGrid>
      <w:tr w:rsidR="0007692A" w:rsidRPr="002E1555" w:rsidTr="0034423E">
        <w:trPr>
          <w:trHeight w:hRule="exact" w:val="340"/>
        </w:trPr>
        <w:tc>
          <w:tcPr>
            <w:tcW w:w="2789" w:type="dxa"/>
            <w:tcBorders>
              <w:top w:val="single" w:sz="18" w:space="0" w:color="9DAECB"/>
              <w:bottom w:val="single" w:sz="12" w:space="0" w:color="9DAECB"/>
            </w:tcBorders>
          </w:tcPr>
          <w:p w:rsidR="0007692A" w:rsidRPr="00C95655" w:rsidRDefault="0007692A" w:rsidP="0007692A">
            <w:pPr>
              <w:pStyle w:val="DHSbodycopytable"/>
              <w:rPr>
                <w:rFonts w:cs="Arial"/>
                <w:b/>
                <w:bCs/>
                <w:sz w:val="20"/>
              </w:rPr>
            </w:pPr>
            <w:r w:rsidRPr="00C95655">
              <w:rPr>
                <w:rFonts w:cs="Arial"/>
                <w:b/>
                <w:bCs/>
                <w:sz w:val="20"/>
              </w:rPr>
              <w:t>Region</w:t>
            </w:r>
          </w:p>
        </w:tc>
        <w:tc>
          <w:tcPr>
            <w:tcW w:w="2114" w:type="dxa"/>
            <w:tcBorders>
              <w:top w:val="single" w:sz="18" w:space="0" w:color="9DAECB"/>
              <w:bottom w:val="single" w:sz="12" w:space="0" w:color="9DAECB"/>
            </w:tcBorders>
            <w:shd w:val="clear" w:color="auto" w:fill="DEE4EE"/>
            <w:vAlign w:val="center"/>
          </w:tcPr>
          <w:p w:rsidR="0007692A" w:rsidRPr="004A3161" w:rsidRDefault="0007692A" w:rsidP="0007692A">
            <w:pPr>
              <w:jc w:val="center"/>
              <w:rPr>
                <w:rFonts w:cs="Arial"/>
                <w:b/>
                <w:bCs/>
                <w:sz w:val="20"/>
                <w:szCs w:val="20"/>
              </w:rPr>
            </w:pPr>
            <w:r>
              <w:rPr>
                <w:rFonts w:cs="Arial"/>
                <w:b/>
                <w:bCs/>
                <w:sz w:val="20"/>
                <w:szCs w:val="20"/>
              </w:rPr>
              <w:t>June-17</w:t>
            </w:r>
          </w:p>
        </w:tc>
        <w:tc>
          <w:tcPr>
            <w:tcW w:w="2367" w:type="dxa"/>
            <w:tcBorders>
              <w:top w:val="single" w:sz="18" w:space="0" w:color="9DAECB"/>
              <w:bottom w:val="single" w:sz="12" w:space="0" w:color="9DAECB"/>
            </w:tcBorders>
            <w:vAlign w:val="center"/>
          </w:tcPr>
          <w:p w:rsidR="0007692A" w:rsidRPr="004A3161" w:rsidRDefault="0007692A" w:rsidP="0007692A">
            <w:pPr>
              <w:jc w:val="center"/>
              <w:rPr>
                <w:rFonts w:cs="Arial"/>
                <w:b/>
                <w:bCs/>
                <w:sz w:val="20"/>
                <w:szCs w:val="20"/>
              </w:rPr>
            </w:pPr>
            <w:r>
              <w:rPr>
                <w:rFonts w:cs="Arial"/>
                <w:b/>
                <w:bCs/>
                <w:sz w:val="20"/>
                <w:szCs w:val="20"/>
              </w:rPr>
              <w:t>June-16</w:t>
            </w:r>
          </w:p>
        </w:tc>
        <w:tc>
          <w:tcPr>
            <w:tcW w:w="2368" w:type="dxa"/>
            <w:tcBorders>
              <w:top w:val="single" w:sz="18" w:space="0" w:color="9DAECB"/>
              <w:bottom w:val="single" w:sz="12" w:space="0" w:color="9DAECB"/>
            </w:tcBorders>
            <w:shd w:val="clear" w:color="auto" w:fill="DEE4EE"/>
            <w:vAlign w:val="center"/>
          </w:tcPr>
          <w:p w:rsidR="0007692A" w:rsidRPr="004A3161" w:rsidRDefault="0007692A" w:rsidP="0007692A">
            <w:pPr>
              <w:jc w:val="center"/>
              <w:rPr>
                <w:rFonts w:cs="Arial"/>
                <w:b/>
                <w:bCs/>
                <w:sz w:val="20"/>
                <w:szCs w:val="20"/>
              </w:rPr>
            </w:pPr>
            <w:r w:rsidRPr="004A3161">
              <w:rPr>
                <w:rFonts w:cs="Arial"/>
                <w:b/>
                <w:bCs/>
                <w:sz w:val="20"/>
                <w:szCs w:val="20"/>
              </w:rPr>
              <w:t>Change</w:t>
            </w:r>
          </w:p>
        </w:tc>
      </w:tr>
      <w:tr w:rsidR="0047763C" w:rsidRPr="002E1555" w:rsidTr="0034423E">
        <w:trPr>
          <w:trHeight w:hRule="exact" w:val="454"/>
        </w:trPr>
        <w:tc>
          <w:tcPr>
            <w:tcW w:w="2789"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114" w:type="dxa"/>
            <w:tcBorders>
              <w:top w:val="single" w:sz="12" w:space="0" w:color="9DAECB"/>
            </w:tcBorders>
            <w:shd w:val="clear" w:color="auto" w:fill="DEE4EE"/>
            <w:vAlign w:val="center"/>
          </w:tcPr>
          <w:p w:rsidR="0047763C" w:rsidRPr="00C95655" w:rsidRDefault="0047763C" w:rsidP="009463AD">
            <w:pPr>
              <w:pStyle w:val="DHSbodycopytable"/>
              <w:spacing w:after="0"/>
              <w:jc w:val="right"/>
              <w:rPr>
                <w:rFonts w:cs="Arial"/>
                <w:sz w:val="20"/>
              </w:rPr>
            </w:pPr>
          </w:p>
        </w:tc>
        <w:tc>
          <w:tcPr>
            <w:tcW w:w="2367" w:type="dxa"/>
            <w:tcBorders>
              <w:top w:val="single" w:sz="12" w:space="0" w:color="9DAECB"/>
            </w:tcBorders>
            <w:vAlign w:val="center"/>
          </w:tcPr>
          <w:p w:rsidR="0047763C" w:rsidRPr="00C95655" w:rsidRDefault="0047763C" w:rsidP="009463AD">
            <w:pPr>
              <w:pStyle w:val="DHSbodycopytable"/>
              <w:spacing w:after="0"/>
              <w:jc w:val="right"/>
              <w:rPr>
                <w:rFonts w:cs="Arial"/>
                <w:sz w:val="20"/>
              </w:rPr>
            </w:pPr>
          </w:p>
        </w:tc>
        <w:tc>
          <w:tcPr>
            <w:tcW w:w="2368" w:type="dxa"/>
            <w:tcBorders>
              <w:top w:val="single" w:sz="12" w:space="0" w:color="9DAECB"/>
            </w:tcBorders>
            <w:shd w:val="clear" w:color="auto" w:fill="DEE4EE"/>
            <w:vAlign w:val="center"/>
          </w:tcPr>
          <w:p w:rsidR="0047763C" w:rsidRPr="00C95655" w:rsidRDefault="0047763C" w:rsidP="009463AD">
            <w:pPr>
              <w:pStyle w:val="DHSbodycopytable"/>
              <w:spacing w:after="0"/>
              <w:jc w:val="right"/>
              <w:rPr>
                <w:rFonts w:cs="Arial"/>
                <w:sz w:val="20"/>
              </w:rPr>
            </w:pP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Inner Melbourne</w:t>
            </w:r>
          </w:p>
        </w:tc>
        <w:tc>
          <w:tcPr>
            <w:tcW w:w="2114" w:type="dxa"/>
            <w:shd w:val="clear" w:color="auto" w:fill="DEE4EE"/>
            <w:vAlign w:val="center"/>
          </w:tcPr>
          <w:p w:rsidR="0007692A" w:rsidRPr="008F0651" w:rsidRDefault="0007692A" w:rsidP="0007692A">
            <w:pPr>
              <w:ind w:right="682"/>
              <w:jc w:val="right"/>
            </w:pPr>
            <w:r w:rsidRPr="008F0651">
              <w:t>9,477</w:t>
            </w:r>
          </w:p>
        </w:tc>
        <w:tc>
          <w:tcPr>
            <w:tcW w:w="2367" w:type="dxa"/>
            <w:vAlign w:val="center"/>
          </w:tcPr>
          <w:p w:rsidR="0007692A" w:rsidRPr="008F0651" w:rsidRDefault="0007692A" w:rsidP="0007692A">
            <w:pPr>
              <w:ind w:right="644"/>
              <w:jc w:val="right"/>
            </w:pPr>
            <w:r w:rsidRPr="008F0651">
              <w:t>10,191</w:t>
            </w:r>
          </w:p>
        </w:tc>
        <w:tc>
          <w:tcPr>
            <w:tcW w:w="2368" w:type="dxa"/>
            <w:shd w:val="clear" w:color="auto" w:fill="DEE4EE"/>
            <w:vAlign w:val="center"/>
          </w:tcPr>
          <w:p w:rsidR="0007692A" w:rsidRPr="008F0651" w:rsidRDefault="0007692A" w:rsidP="0007692A">
            <w:pPr>
              <w:ind w:right="880"/>
              <w:jc w:val="right"/>
            </w:pPr>
            <w:r w:rsidRPr="008F0651">
              <w:t>-7.0%</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Inner Eastern Melbourne</w:t>
            </w:r>
          </w:p>
        </w:tc>
        <w:tc>
          <w:tcPr>
            <w:tcW w:w="2114" w:type="dxa"/>
            <w:shd w:val="clear" w:color="auto" w:fill="DEE4EE"/>
            <w:vAlign w:val="center"/>
          </w:tcPr>
          <w:p w:rsidR="0007692A" w:rsidRPr="008F0651" w:rsidRDefault="0007692A" w:rsidP="0007692A">
            <w:pPr>
              <w:ind w:right="682"/>
              <w:jc w:val="right"/>
            </w:pPr>
            <w:r w:rsidRPr="008F0651">
              <w:t>4,988</w:t>
            </w:r>
          </w:p>
        </w:tc>
        <w:tc>
          <w:tcPr>
            <w:tcW w:w="2367" w:type="dxa"/>
            <w:vAlign w:val="center"/>
          </w:tcPr>
          <w:p w:rsidR="0007692A" w:rsidRPr="008F0651" w:rsidRDefault="0007692A" w:rsidP="0007692A">
            <w:pPr>
              <w:ind w:right="644"/>
              <w:jc w:val="right"/>
            </w:pPr>
            <w:r w:rsidRPr="008F0651">
              <w:t>5,187</w:t>
            </w:r>
          </w:p>
        </w:tc>
        <w:tc>
          <w:tcPr>
            <w:tcW w:w="2368" w:type="dxa"/>
            <w:shd w:val="clear" w:color="auto" w:fill="DEE4EE"/>
            <w:vAlign w:val="center"/>
          </w:tcPr>
          <w:p w:rsidR="0007692A" w:rsidRPr="008F0651" w:rsidRDefault="0007692A" w:rsidP="0007692A">
            <w:pPr>
              <w:ind w:right="880"/>
              <w:jc w:val="right"/>
            </w:pPr>
            <w:r w:rsidRPr="008F0651">
              <w:t>-3.8%</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Southern Melbourne</w:t>
            </w:r>
          </w:p>
        </w:tc>
        <w:tc>
          <w:tcPr>
            <w:tcW w:w="2114" w:type="dxa"/>
            <w:shd w:val="clear" w:color="auto" w:fill="DEE4EE"/>
            <w:vAlign w:val="center"/>
          </w:tcPr>
          <w:p w:rsidR="0007692A" w:rsidRPr="008F0651" w:rsidRDefault="0007692A" w:rsidP="0007692A">
            <w:pPr>
              <w:ind w:right="682"/>
              <w:jc w:val="right"/>
            </w:pPr>
            <w:r w:rsidRPr="008F0651">
              <w:t>3,399</w:t>
            </w:r>
          </w:p>
        </w:tc>
        <w:tc>
          <w:tcPr>
            <w:tcW w:w="2367" w:type="dxa"/>
            <w:vAlign w:val="center"/>
          </w:tcPr>
          <w:p w:rsidR="0007692A" w:rsidRPr="008F0651" w:rsidRDefault="0007692A" w:rsidP="0007692A">
            <w:pPr>
              <w:ind w:right="644"/>
              <w:jc w:val="right"/>
            </w:pPr>
            <w:r w:rsidRPr="008F0651">
              <w:t>3,509</w:t>
            </w:r>
          </w:p>
        </w:tc>
        <w:tc>
          <w:tcPr>
            <w:tcW w:w="2368" w:type="dxa"/>
            <w:shd w:val="clear" w:color="auto" w:fill="DEE4EE"/>
            <w:vAlign w:val="center"/>
          </w:tcPr>
          <w:p w:rsidR="0007692A" w:rsidRPr="008F0651" w:rsidRDefault="0007692A" w:rsidP="0007692A">
            <w:pPr>
              <w:ind w:right="880"/>
              <w:jc w:val="right"/>
            </w:pPr>
            <w:r w:rsidRPr="008F0651">
              <w:t>-3.1%</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Western Melbourne</w:t>
            </w:r>
          </w:p>
        </w:tc>
        <w:tc>
          <w:tcPr>
            <w:tcW w:w="2114" w:type="dxa"/>
            <w:shd w:val="clear" w:color="auto" w:fill="DEE4EE"/>
            <w:vAlign w:val="center"/>
          </w:tcPr>
          <w:p w:rsidR="0007692A" w:rsidRPr="008F0651" w:rsidRDefault="0007692A" w:rsidP="0007692A">
            <w:pPr>
              <w:ind w:right="682"/>
              <w:jc w:val="right"/>
            </w:pPr>
            <w:r w:rsidRPr="008F0651">
              <w:t>5,527</w:t>
            </w:r>
          </w:p>
        </w:tc>
        <w:tc>
          <w:tcPr>
            <w:tcW w:w="2367" w:type="dxa"/>
            <w:vAlign w:val="center"/>
          </w:tcPr>
          <w:p w:rsidR="0007692A" w:rsidRPr="008F0651" w:rsidRDefault="0007692A" w:rsidP="0007692A">
            <w:pPr>
              <w:ind w:right="644"/>
              <w:jc w:val="right"/>
            </w:pPr>
            <w:r w:rsidRPr="008F0651">
              <w:t>5,731</w:t>
            </w:r>
          </w:p>
        </w:tc>
        <w:tc>
          <w:tcPr>
            <w:tcW w:w="2368" w:type="dxa"/>
            <w:shd w:val="clear" w:color="auto" w:fill="DEE4EE"/>
            <w:vAlign w:val="center"/>
          </w:tcPr>
          <w:p w:rsidR="0007692A" w:rsidRPr="008F0651" w:rsidRDefault="0007692A" w:rsidP="0007692A">
            <w:pPr>
              <w:ind w:right="880"/>
              <w:jc w:val="right"/>
            </w:pPr>
            <w:r w:rsidRPr="008F0651">
              <w:t>-3.6%</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North Western Melbourne</w:t>
            </w:r>
          </w:p>
        </w:tc>
        <w:tc>
          <w:tcPr>
            <w:tcW w:w="2114" w:type="dxa"/>
            <w:shd w:val="clear" w:color="auto" w:fill="DEE4EE"/>
            <w:vAlign w:val="center"/>
          </w:tcPr>
          <w:p w:rsidR="0007692A" w:rsidRPr="008F0651" w:rsidRDefault="0007692A" w:rsidP="0007692A">
            <w:pPr>
              <w:ind w:right="682"/>
              <w:jc w:val="right"/>
            </w:pPr>
            <w:r w:rsidRPr="008F0651">
              <w:t>3,725</w:t>
            </w:r>
          </w:p>
        </w:tc>
        <w:tc>
          <w:tcPr>
            <w:tcW w:w="2367" w:type="dxa"/>
            <w:vAlign w:val="center"/>
          </w:tcPr>
          <w:p w:rsidR="0007692A" w:rsidRPr="008F0651" w:rsidRDefault="0007692A" w:rsidP="0007692A">
            <w:pPr>
              <w:ind w:right="644"/>
              <w:jc w:val="right"/>
            </w:pPr>
            <w:r w:rsidRPr="008F0651">
              <w:t>4,142</w:t>
            </w:r>
          </w:p>
        </w:tc>
        <w:tc>
          <w:tcPr>
            <w:tcW w:w="2368" w:type="dxa"/>
            <w:shd w:val="clear" w:color="auto" w:fill="DEE4EE"/>
            <w:vAlign w:val="center"/>
          </w:tcPr>
          <w:p w:rsidR="0007692A" w:rsidRPr="008F0651" w:rsidRDefault="0007692A" w:rsidP="0007692A">
            <w:pPr>
              <w:ind w:right="880"/>
              <w:jc w:val="right"/>
            </w:pPr>
            <w:r w:rsidRPr="008F0651">
              <w:t>-10.1%</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North Eastern Melbourne</w:t>
            </w:r>
          </w:p>
        </w:tc>
        <w:tc>
          <w:tcPr>
            <w:tcW w:w="2114" w:type="dxa"/>
            <w:shd w:val="clear" w:color="auto" w:fill="DEE4EE"/>
            <w:vAlign w:val="center"/>
          </w:tcPr>
          <w:p w:rsidR="0007692A" w:rsidRPr="008F0651" w:rsidRDefault="0007692A" w:rsidP="0007692A">
            <w:pPr>
              <w:ind w:right="682"/>
              <w:jc w:val="right"/>
            </w:pPr>
            <w:r w:rsidRPr="008F0651">
              <w:t>3,769</w:t>
            </w:r>
          </w:p>
        </w:tc>
        <w:tc>
          <w:tcPr>
            <w:tcW w:w="2367" w:type="dxa"/>
            <w:vAlign w:val="center"/>
          </w:tcPr>
          <w:p w:rsidR="0007692A" w:rsidRPr="008F0651" w:rsidRDefault="0007692A" w:rsidP="0007692A">
            <w:pPr>
              <w:ind w:right="644"/>
              <w:jc w:val="right"/>
            </w:pPr>
            <w:r w:rsidRPr="008F0651">
              <w:t>4,064</w:t>
            </w:r>
          </w:p>
        </w:tc>
        <w:tc>
          <w:tcPr>
            <w:tcW w:w="2368" w:type="dxa"/>
            <w:shd w:val="clear" w:color="auto" w:fill="DEE4EE"/>
            <w:vAlign w:val="center"/>
          </w:tcPr>
          <w:p w:rsidR="0007692A" w:rsidRPr="008F0651" w:rsidRDefault="0007692A" w:rsidP="0007692A">
            <w:pPr>
              <w:ind w:right="880"/>
              <w:jc w:val="right"/>
            </w:pPr>
            <w:r w:rsidRPr="008F0651">
              <w:t>-7.3%</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Outer Eastern Melbourne</w:t>
            </w:r>
          </w:p>
        </w:tc>
        <w:tc>
          <w:tcPr>
            <w:tcW w:w="2114" w:type="dxa"/>
            <w:shd w:val="clear" w:color="auto" w:fill="DEE4EE"/>
            <w:vAlign w:val="center"/>
          </w:tcPr>
          <w:p w:rsidR="0007692A" w:rsidRPr="008F0651" w:rsidRDefault="0007692A" w:rsidP="0007692A">
            <w:pPr>
              <w:ind w:right="682"/>
              <w:jc w:val="right"/>
            </w:pPr>
            <w:r w:rsidRPr="008F0651">
              <w:t>2,167</w:t>
            </w:r>
          </w:p>
        </w:tc>
        <w:tc>
          <w:tcPr>
            <w:tcW w:w="2367" w:type="dxa"/>
            <w:vAlign w:val="center"/>
          </w:tcPr>
          <w:p w:rsidR="0007692A" w:rsidRPr="008F0651" w:rsidRDefault="0007692A" w:rsidP="0007692A">
            <w:pPr>
              <w:ind w:right="644"/>
              <w:jc w:val="right"/>
            </w:pPr>
            <w:r w:rsidRPr="008F0651">
              <w:t>2,193</w:t>
            </w:r>
          </w:p>
        </w:tc>
        <w:tc>
          <w:tcPr>
            <w:tcW w:w="2368" w:type="dxa"/>
            <w:shd w:val="clear" w:color="auto" w:fill="DEE4EE"/>
            <w:vAlign w:val="center"/>
          </w:tcPr>
          <w:p w:rsidR="0007692A" w:rsidRPr="008F0651" w:rsidRDefault="0007692A" w:rsidP="0007692A">
            <w:pPr>
              <w:ind w:right="880"/>
              <w:jc w:val="right"/>
            </w:pPr>
            <w:r w:rsidRPr="008F0651">
              <w:t>-1.2%</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South Eastern Melbourne</w:t>
            </w:r>
          </w:p>
        </w:tc>
        <w:tc>
          <w:tcPr>
            <w:tcW w:w="2114" w:type="dxa"/>
            <w:shd w:val="clear" w:color="auto" w:fill="DEE4EE"/>
            <w:vAlign w:val="center"/>
          </w:tcPr>
          <w:p w:rsidR="0007692A" w:rsidRPr="008F0651" w:rsidRDefault="0007692A" w:rsidP="0007692A">
            <w:pPr>
              <w:ind w:right="682"/>
              <w:jc w:val="right"/>
            </w:pPr>
            <w:r w:rsidRPr="008F0651">
              <w:t>3,697</w:t>
            </w:r>
          </w:p>
        </w:tc>
        <w:tc>
          <w:tcPr>
            <w:tcW w:w="2367" w:type="dxa"/>
            <w:vAlign w:val="center"/>
          </w:tcPr>
          <w:p w:rsidR="0007692A" w:rsidRPr="008F0651" w:rsidRDefault="0007692A" w:rsidP="0007692A">
            <w:pPr>
              <w:ind w:right="644"/>
              <w:jc w:val="right"/>
            </w:pPr>
            <w:r w:rsidRPr="008F0651">
              <w:t>3,706</w:t>
            </w:r>
          </w:p>
        </w:tc>
        <w:tc>
          <w:tcPr>
            <w:tcW w:w="2368" w:type="dxa"/>
            <w:shd w:val="clear" w:color="auto" w:fill="DEE4EE"/>
            <w:vAlign w:val="center"/>
          </w:tcPr>
          <w:p w:rsidR="0007692A" w:rsidRPr="008F0651" w:rsidRDefault="0007692A" w:rsidP="0007692A">
            <w:pPr>
              <w:ind w:right="880"/>
              <w:jc w:val="right"/>
            </w:pPr>
            <w:r w:rsidRPr="008F0651">
              <w:t>-0.2%</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Mornington Peninsula</w:t>
            </w:r>
          </w:p>
        </w:tc>
        <w:tc>
          <w:tcPr>
            <w:tcW w:w="2114" w:type="dxa"/>
            <w:shd w:val="clear" w:color="auto" w:fill="DEE4EE"/>
            <w:vAlign w:val="center"/>
          </w:tcPr>
          <w:p w:rsidR="0007692A" w:rsidRPr="008F0651" w:rsidRDefault="0007692A" w:rsidP="0007692A">
            <w:pPr>
              <w:ind w:right="682"/>
              <w:jc w:val="right"/>
            </w:pPr>
            <w:r w:rsidRPr="008F0651">
              <w:t>2,005</w:t>
            </w:r>
          </w:p>
        </w:tc>
        <w:tc>
          <w:tcPr>
            <w:tcW w:w="2367" w:type="dxa"/>
            <w:vAlign w:val="center"/>
          </w:tcPr>
          <w:p w:rsidR="0007692A" w:rsidRPr="008F0651" w:rsidRDefault="0007692A" w:rsidP="0007692A">
            <w:pPr>
              <w:ind w:right="644"/>
              <w:jc w:val="right"/>
            </w:pPr>
            <w:r w:rsidRPr="008F0651">
              <w:t>2,155</w:t>
            </w:r>
          </w:p>
        </w:tc>
        <w:tc>
          <w:tcPr>
            <w:tcW w:w="2368" w:type="dxa"/>
            <w:shd w:val="clear" w:color="auto" w:fill="DEE4EE"/>
            <w:vAlign w:val="center"/>
          </w:tcPr>
          <w:p w:rsidR="0007692A" w:rsidRPr="008F0651" w:rsidRDefault="0007692A" w:rsidP="0007692A">
            <w:pPr>
              <w:ind w:right="880"/>
              <w:jc w:val="right"/>
            </w:pPr>
            <w:r w:rsidRPr="008F0651">
              <w:t>-7.0%</w:t>
            </w:r>
          </w:p>
        </w:tc>
      </w:tr>
      <w:tr w:rsidR="0007692A" w:rsidRPr="0027082E" w:rsidTr="0007692A">
        <w:trPr>
          <w:trHeight w:hRule="exact" w:val="454"/>
        </w:trPr>
        <w:tc>
          <w:tcPr>
            <w:tcW w:w="2789" w:type="dxa"/>
            <w:vAlign w:val="bottom"/>
          </w:tcPr>
          <w:p w:rsidR="0007692A" w:rsidRPr="00C95655" w:rsidRDefault="0007692A" w:rsidP="0007692A">
            <w:pPr>
              <w:pStyle w:val="DHSbodycopytable"/>
              <w:spacing w:after="0"/>
              <w:rPr>
                <w:rFonts w:cs="Arial"/>
                <w:b/>
                <w:sz w:val="20"/>
              </w:rPr>
            </w:pPr>
            <w:r w:rsidRPr="00C95655">
              <w:rPr>
                <w:rFonts w:cs="Arial"/>
                <w:b/>
                <w:sz w:val="20"/>
              </w:rPr>
              <w:t>Regional Victoria</w:t>
            </w:r>
          </w:p>
        </w:tc>
        <w:tc>
          <w:tcPr>
            <w:tcW w:w="2114" w:type="dxa"/>
            <w:shd w:val="clear" w:color="auto" w:fill="DEE4EE"/>
            <w:vAlign w:val="center"/>
          </w:tcPr>
          <w:p w:rsidR="0007692A" w:rsidRPr="008F0651" w:rsidRDefault="0007692A" w:rsidP="0007692A">
            <w:pPr>
              <w:ind w:right="682"/>
              <w:jc w:val="right"/>
            </w:pPr>
          </w:p>
        </w:tc>
        <w:tc>
          <w:tcPr>
            <w:tcW w:w="2367" w:type="dxa"/>
            <w:vAlign w:val="center"/>
          </w:tcPr>
          <w:p w:rsidR="0007692A" w:rsidRPr="008F0651" w:rsidRDefault="0007692A" w:rsidP="0007692A">
            <w:pPr>
              <w:ind w:right="644"/>
              <w:jc w:val="right"/>
            </w:pPr>
          </w:p>
        </w:tc>
        <w:tc>
          <w:tcPr>
            <w:tcW w:w="2368" w:type="dxa"/>
            <w:shd w:val="clear" w:color="auto" w:fill="DEE4EE"/>
            <w:vAlign w:val="center"/>
          </w:tcPr>
          <w:p w:rsidR="0007692A" w:rsidRPr="008F0651" w:rsidRDefault="0007692A" w:rsidP="0007692A">
            <w:pPr>
              <w:ind w:right="880"/>
              <w:jc w:val="right"/>
            </w:pP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Barwon-South West</w:t>
            </w:r>
          </w:p>
        </w:tc>
        <w:tc>
          <w:tcPr>
            <w:tcW w:w="2114" w:type="dxa"/>
            <w:shd w:val="clear" w:color="auto" w:fill="DEE4EE"/>
            <w:vAlign w:val="center"/>
          </w:tcPr>
          <w:p w:rsidR="0007692A" w:rsidRPr="008F0651" w:rsidRDefault="0007692A" w:rsidP="0007692A">
            <w:pPr>
              <w:ind w:right="682"/>
              <w:jc w:val="right"/>
            </w:pPr>
            <w:r w:rsidRPr="008F0651">
              <w:t>2,995</w:t>
            </w:r>
          </w:p>
        </w:tc>
        <w:tc>
          <w:tcPr>
            <w:tcW w:w="2367" w:type="dxa"/>
            <w:vAlign w:val="center"/>
          </w:tcPr>
          <w:p w:rsidR="0007692A" w:rsidRPr="008F0651" w:rsidRDefault="0007692A" w:rsidP="0007692A">
            <w:pPr>
              <w:ind w:right="644"/>
              <w:jc w:val="right"/>
            </w:pPr>
            <w:r w:rsidRPr="008F0651">
              <w:t>3,162</w:t>
            </w:r>
          </w:p>
        </w:tc>
        <w:tc>
          <w:tcPr>
            <w:tcW w:w="2368" w:type="dxa"/>
            <w:shd w:val="clear" w:color="auto" w:fill="DEE4EE"/>
            <w:vAlign w:val="center"/>
          </w:tcPr>
          <w:p w:rsidR="0007692A" w:rsidRPr="008F0651" w:rsidRDefault="0007692A" w:rsidP="0007692A">
            <w:pPr>
              <w:ind w:right="880"/>
              <w:jc w:val="right"/>
            </w:pPr>
            <w:r w:rsidRPr="008F0651">
              <w:t>-5.3%</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Gippsland</w:t>
            </w:r>
          </w:p>
        </w:tc>
        <w:tc>
          <w:tcPr>
            <w:tcW w:w="2114" w:type="dxa"/>
            <w:shd w:val="clear" w:color="auto" w:fill="DEE4EE"/>
            <w:vAlign w:val="center"/>
          </w:tcPr>
          <w:p w:rsidR="0007692A" w:rsidRPr="008F0651" w:rsidRDefault="0007692A" w:rsidP="0007692A">
            <w:pPr>
              <w:ind w:right="682"/>
              <w:jc w:val="right"/>
            </w:pPr>
            <w:r w:rsidRPr="008F0651">
              <w:t>1,902</w:t>
            </w:r>
          </w:p>
        </w:tc>
        <w:tc>
          <w:tcPr>
            <w:tcW w:w="2367" w:type="dxa"/>
            <w:vAlign w:val="center"/>
          </w:tcPr>
          <w:p w:rsidR="0007692A" w:rsidRPr="008F0651" w:rsidRDefault="0007692A" w:rsidP="0007692A">
            <w:pPr>
              <w:ind w:right="644"/>
              <w:jc w:val="right"/>
            </w:pPr>
            <w:r w:rsidRPr="008F0651">
              <w:t>2,065</w:t>
            </w:r>
          </w:p>
        </w:tc>
        <w:tc>
          <w:tcPr>
            <w:tcW w:w="2368" w:type="dxa"/>
            <w:shd w:val="clear" w:color="auto" w:fill="DEE4EE"/>
            <w:vAlign w:val="center"/>
          </w:tcPr>
          <w:p w:rsidR="0007692A" w:rsidRPr="008F0651" w:rsidRDefault="0007692A" w:rsidP="0007692A">
            <w:pPr>
              <w:ind w:right="880"/>
              <w:jc w:val="right"/>
            </w:pPr>
            <w:r w:rsidRPr="008F0651">
              <w:t>-7.9%</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Goulburn-Ovens-Murray</w:t>
            </w:r>
          </w:p>
        </w:tc>
        <w:tc>
          <w:tcPr>
            <w:tcW w:w="2114" w:type="dxa"/>
            <w:shd w:val="clear" w:color="auto" w:fill="DEE4EE"/>
            <w:vAlign w:val="center"/>
          </w:tcPr>
          <w:p w:rsidR="0007692A" w:rsidRPr="008F0651" w:rsidRDefault="0007692A" w:rsidP="0007692A">
            <w:pPr>
              <w:ind w:right="682"/>
              <w:jc w:val="right"/>
            </w:pPr>
            <w:r w:rsidRPr="008F0651">
              <w:t>2,019</w:t>
            </w:r>
          </w:p>
        </w:tc>
        <w:tc>
          <w:tcPr>
            <w:tcW w:w="2367" w:type="dxa"/>
            <w:vAlign w:val="center"/>
          </w:tcPr>
          <w:p w:rsidR="0007692A" w:rsidRPr="008F0651" w:rsidRDefault="0007692A" w:rsidP="0007692A">
            <w:pPr>
              <w:ind w:right="644"/>
              <w:jc w:val="right"/>
            </w:pPr>
            <w:r w:rsidRPr="008F0651">
              <w:t>2,106</w:t>
            </w:r>
          </w:p>
        </w:tc>
        <w:tc>
          <w:tcPr>
            <w:tcW w:w="2368" w:type="dxa"/>
            <w:shd w:val="clear" w:color="auto" w:fill="DEE4EE"/>
            <w:vAlign w:val="center"/>
          </w:tcPr>
          <w:p w:rsidR="0007692A" w:rsidRPr="008F0651" w:rsidRDefault="0007692A" w:rsidP="0007692A">
            <w:pPr>
              <w:ind w:right="880"/>
              <w:jc w:val="right"/>
            </w:pPr>
            <w:r w:rsidRPr="008F0651">
              <w:t>-4.1%</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Loddon-Mallee</w:t>
            </w:r>
          </w:p>
        </w:tc>
        <w:tc>
          <w:tcPr>
            <w:tcW w:w="2114" w:type="dxa"/>
            <w:shd w:val="clear" w:color="auto" w:fill="DEE4EE"/>
            <w:vAlign w:val="center"/>
          </w:tcPr>
          <w:p w:rsidR="0007692A" w:rsidRPr="008F0651" w:rsidRDefault="0007692A" w:rsidP="0007692A">
            <w:pPr>
              <w:ind w:right="682"/>
              <w:jc w:val="right"/>
            </w:pPr>
            <w:r w:rsidRPr="008F0651">
              <w:t>1,780</w:t>
            </w:r>
          </w:p>
        </w:tc>
        <w:tc>
          <w:tcPr>
            <w:tcW w:w="2367" w:type="dxa"/>
            <w:vAlign w:val="center"/>
          </w:tcPr>
          <w:p w:rsidR="0007692A" w:rsidRPr="008F0651" w:rsidRDefault="0007692A" w:rsidP="0007692A">
            <w:pPr>
              <w:ind w:right="644"/>
              <w:jc w:val="right"/>
            </w:pPr>
            <w:r w:rsidRPr="008F0651">
              <w:t>2,080</w:t>
            </w:r>
          </w:p>
        </w:tc>
        <w:tc>
          <w:tcPr>
            <w:tcW w:w="2368" w:type="dxa"/>
            <w:shd w:val="clear" w:color="auto" w:fill="DEE4EE"/>
            <w:vAlign w:val="center"/>
          </w:tcPr>
          <w:p w:rsidR="0007692A" w:rsidRPr="008F0651" w:rsidRDefault="0007692A" w:rsidP="0007692A">
            <w:pPr>
              <w:ind w:right="880"/>
              <w:jc w:val="right"/>
            </w:pPr>
            <w:r w:rsidRPr="008F0651">
              <w:t>-14.4%</w:t>
            </w:r>
          </w:p>
        </w:tc>
      </w:tr>
      <w:tr w:rsidR="0007692A" w:rsidRPr="000051C5" w:rsidTr="0007692A">
        <w:trPr>
          <w:trHeight w:hRule="exact" w:val="284"/>
        </w:trPr>
        <w:tc>
          <w:tcPr>
            <w:tcW w:w="2789" w:type="dxa"/>
            <w:vAlign w:val="center"/>
          </w:tcPr>
          <w:p w:rsidR="0007692A" w:rsidRPr="00C95655" w:rsidRDefault="0007692A" w:rsidP="0007692A">
            <w:pPr>
              <w:pStyle w:val="DHSbodycopytable"/>
              <w:spacing w:after="0"/>
              <w:rPr>
                <w:rFonts w:cs="Arial"/>
                <w:sz w:val="20"/>
              </w:rPr>
            </w:pPr>
            <w:r w:rsidRPr="00C95655">
              <w:rPr>
                <w:rFonts w:cs="Arial"/>
                <w:sz w:val="20"/>
              </w:rPr>
              <w:t>Central Highlands-Wimmera</w:t>
            </w:r>
          </w:p>
        </w:tc>
        <w:tc>
          <w:tcPr>
            <w:tcW w:w="2114" w:type="dxa"/>
            <w:shd w:val="clear" w:color="auto" w:fill="DEE4EE"/>
            <w:vAlign w:val="center"/>
          </w:tcPr>
          <w:p w:rsidR="0007692A" w:rsidRPr="008F0651" w:rsidRDefault="0007692A" w:rsidP="0007692A">
            <w:pPr>
              <w:ind w:right="682"/>
              <w:jc w:val="right"/>
            </w:pPr>
            <w:r w:rsidRPr="008F0651">
              <w:t>1,558</w:t>
            </w:r>
          </w:p>
        </w:tc>
        <w:tc>
          <w:tcPr>
            <w:tcW w:w="2367" w:type="dxa"/>
            <w:vAlign w:val="center"/>
          </w:tcPr>
          <w:p w:rsidR="0007692A" w:rsidRPr="008F0651" w:rsidRDefault="0007692A" w:rsidP="0007692A">
            <w:pPr>
              <w:ind w:right="644"/>
              <w:jc w:val="right"/>
            </w:pPr>
            <w:r w:rsidRPr="008F0651">
              <w:t>1,790</w:t>
            </w:r>
          </w:p>
        </w:tc>
        <w:tc>
          <w:tcPr>
            <w:tcW w:w="2368" w:type="dxa"/>
            <w:shd w:val="clear" w:color="auto" w:fill="DEE4EE"/>
            <w:vAlign w:val="center"/>
          </w:tcPr>
          <w:p w:rsidR="0007692A" w:rsidRDefault="0007692A" w:rsidP="0007692A">
            <w:pPr>
              <w:ind w:right="880"/>
              <w:jc w:val="right"/>
            </w:pPr>
            <w:r w:rsidRPr="008F0651">
              <w:t>-13.0%</w:t>
            </w:r>
          </w:p>
        </w:tc>
      </w:tr>
    </w:tbl>
    <w:p w:rsidR="00A17C44" w:rsidRDefault="00A17C44" w:rsidP="00A17C44"/>
    <w:p w:rsidR="00A17C44" w:rsidRDefault="00A17C44" w:rsidP="00A17C44"/>
    <w:p w:rsidR="00B313F3" w:rsidRDefault="00B313F3" w:rsidP="00A17C44"/>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CA2EDC" w:rsidRDefault="0047763C" w:rsidP="001C41EF">
      <w:r w:rsidRPr="00CA2EDC">
        <w:t xml:space="preserve">At the end of the </w:t>
      </w:r>
      <w:r w:rsidR="00D429F4">
        <w:t>June</w:t>
      </w:r>
      <w:r w:rsidR="003E6F4B" w:rsidRPr="00CA2EDC">
        <w:t xml:space="preserve"> quarter </w:t>
      </w:r>
      <w:r w:rsidR="003A132A">
        <w:t>2017</w:t>
      </w:r>
      <w:r w:rsidRPr="00CA2EDC">
        <w:t xml:space="preserve">, the total number of active bonds held in Victoria was </w:t>
      </w:r>
      <w:r w:rsidR="00B313F3" w:rsidRPr="00B313F3">
        <w:t>568</w:t>
      </w:r>
      <w:r w:rsidR="00B313F3">
        <w:t>,</w:t>
      </w:r>
      <w:r w:rsidR="00B313F3" w:rsidRPr="00B313F3">
        <w:t>255</w:t>
      </w:r>
      <w:r w:rsidR="003E6F4B" w:rsidRPr="00CA2EDC">
        <w:t xml:space="preserve">, an increase of </w:t>
      </w:r>
      <w:r w:rsidR="00B313F3">
        <w:t>4.0</w:t>
      </w:r>
      <w:r w:rsidR="003E6F4B" w:rsidRPr="00CA2EDC">
        <w:t xml:space="preserve"> </w:t>
      </w:r>
      <w:r w:rsidRPr="00CA2EDC">
        <w:t>per cent on the size of the rental mark</w:t>
      </w:r>
      <w:r w:rsidR="005B7C55" w:rsidRPr="00CA2EDC">
        <w:t xml:space="preserve">et </w:t>
      </w:r>
      <w:r w:rsidR="00105368" w:rsidRPr="00CA2EDC">
        <w:t xml:space="preserve">over the same quarter of </w:t>
      </w:r>
      <w:r w:rsidR="003A132A">
        <w:t>2016</w:t>
      </w:r>
      <w:r w:rsidRPr="00CA2EDC">
        <w:t>. The average annual increase in the rental market over the last ten</w:t>
      </w:r>
      <w:r w:rsidR="003E6F4B" w:rsidRPr="00CA2EDC">
        <w:t xml:space="preserve"> years is </w:t>
      </w:r>
      <w:r w:rsidR="000527E3">
        <w:t>5.8</w:t>
      </w:r>
      <w:r w:rsidRPr="00CA2EDC">
        <w:t xml:space="preserve"> per cent. In the </w:t>
      </w:r>
      <w:r w:rsidR="00D429F4">
        <w:t>June</w:t>
      </w:r>
      <w:r w:rsidR="003E6F4B" w:rsidRPr="00CA2EDC">
        <w:t xml:space="preserve"> quarter </w:t>
      </w:r>
      <w:r w:rsidR="003A132A">
        <w:t>2017</w:t>
      </w:r>
      <w:r w:rsidRPr="00CA2EDC">
        <w:t xml:space="preserve">, the annual increase in active bonds </w:t>
      </w:r>
      <w:r w:rsidR="00AF0C1C" w:rsidRPr="00CA2EDC">
        <w:t>in metropolitan Melbourne (</w:t>
      </w:r>
      <w:r w:rsidR="004E4347">
        <w:t>4</w:t>
      </w:r>
      <w:r w:rsidR="00B313F3">
        <w:t>.6</w:t>
      </w:r>
      <w:r w:rsidR="00DF50F4" w:rsidRPr="00CA2EDC">
        <w:t>%</w:t>
      </w:r>
      <w:r w:rsidRPr="00CA2EDC">
        <w:t xml:space="preserve">) continues to be higher than for regional </w:t>
      </w:r>
      <w:r w:rsidR="00AF0C1C" w:rsidRPr="00CA2EDC">
        <w:t>Victoria (</w:t>
      </w:r>
      <w:r w:rsidR="00B313F3">
        <w:t>1.7</w:t>
      </w:r>
      <w:r w:rsidR="00DF50F4" w:rsidRPr="00CA2EDC">
        <w:t>%</w:t>
      </w:r>
      <w:r w:rsidRPr="00CA2EDC">
        <w:t xml:space="preserve">), a trend started in the </w:t>
      </w:r>
      <w:r w:rsidR="005B7C55" w:rsidRPr="00CA2EDC">
        <w:t>March</w:t>
      </w:r>
      <w:r w:rsidRPr="00CA2EDC">
        <w:t xml:space="preserve"> quarter 20</w:t>
      </w:r>
      <w:r w:rsidR="005B7C55" w:rsidRPr="00CA2EDC">
        <w:t>10</w:t>
      </w:r>
      <w:r w:rsidRPr="00CA2EDC">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7D122F">
        <w:rPr>
          <w:rFonts w:cs="Arial"/>
          <w:szCs w:val="20"/>
        </w:rPr>
        <w:t>7.9</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105368">
        <w:rPr>
          <w:rFonts w:cs="Arial"/>
          <w:szCs w:val="20"/>
        </w:rPr>
        <w:t>5.</w:t>
      </w:r>
      <w:r w:rsidR="00B313F3">
        <w:rPr>
          <w:rFonts w:cs="Arial"/>
          <w:szCs w:val="20"/>
        </w:rPr>
        <w:t>8</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28333A">
        <w:rPr>
          <w:rFonts w:cs="Arial"/>
          <w:szCs w:val="20"/>
        </w:rPr>
        <w:t>4.6</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67256E"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D429F4">
        <w:rPr>
          <w:rFonts w:cs="Arial"/>
          <w:szCs w:val="20"/>
        </w:rPr>
        <w:t>June</w:t>
      </w:r>
      <w:r w:rsidR="003E6F4B">
        <w:rPr>
          <w:rFonts w:cs="Arial"/>
          <w:szCs w:val="20"/>
        </w:rPr>
        <w:t xml:space="preserve"> </w:t>
      </w:r>
      <w:r w:rsidR="003A132A">
        <w:rPr>
          <w:rFonts w:cs="Arial"/>
          <w:szCs w:val="20"/>
        </w:rPr>
        <w:t>2017</w:t>
      </w:r>
      <w:r w:rsidR="003E6F4B">
        <w:rPr>
          <w:rFonts w:cs="Arial"/>
          <w:szCs w:val="20"/>
        </w:rPr>
        <w:t xml:space="preserve"> and, the change in active bonds in the past twelve months and over the past five years.</w:t>
      </w:r>
      <w:r>
        <w:rPr>
          <w:rFonts w:cs="Arial"/>
          <w:szCs w:val="20"/>
        </w:rPr>
        <w:t xml:space="preserve"> The </w:t>
      </w:r>
      <w:r w:rsidRPr="00F346F4">
        <w:rPr>
          <w:rFonts w:cs="Arial"/>
          <w:szCs w:val="22"/>
        </w:rPr>
        <w:t xml:space="preserve">largest numbers of active bonds in metropolitan Melbourne are in the municipalities of </w:t>
      </w:r>
      <w:r w:rsidR="001C7CF7" w:rsidRPr="00F346F4">
        <w:rPr>
          <w:rFonts w:cs="Arial"/>
          <w:szCs w:val="22"/>
        </w:rPr>
        <w:t>Melbourne (</w:t>
      </w:r>
      <w:r w:rsidR="00B313F3" w:rsidRPr="00B313F3">
        <w:rPr>
          <w:rFonts w:cs="Arial"/>
          <w:szCs w:val="22"/>
          <w:lang w:eastAsia="en-AU"/>
        </w:rPr>
        <w:t>46</w:t>
      </w:r>
      <w:r w:rsidR="00B313F3">
        <w:rPr>
          <w:rFonts w:cs="Arial"/>
          <w:szCs w:val="22"/>
          <w:lang w:eastAsia="en-AU"/>
        </w:rPr>
        <w:t>,</w:t>
      </w:r>
      <w:r w:rsidR="00B313F3" w:rsidRPr="00B313F3">
        <w:rPr>
          <w:rFonts w:cs="Arial"/>
          <w:szCs w:val="22"/>
          <w:lang w:eastAsia="en-AU"/>
        </w:rPr>
        <w:t xml:space="preserve">952 </w:t>
      </w:r>
      <w:r w:rsidR="00436857">
        <w:rPr>
          <w:rFonts w:cs="Arial"/>
          <w:szCs w:val="22"/>
        </w:rPr>
        <w:t>-</w:t>
      </w:r>
      <w:r w:rsidR="00285E5B" w:rsidRPr="00F346F4">
        <w:rPr>
          <w:rFonts w:cs="Arial"/>
          <w:szCs w:val="22"/>
        </w:rPr>
        <w:t xml:space="preserve"> </w:t>
      </w:r>
      <w:r w:rsidR="00B313F3">
        <w:rPr>
          <w:rFonts w:cs="Arial"/>
          <w:szCs w:val="22"/>
        </w:rPr>
        <w:t>10.3</w:t>
      </w:r>
      <w:r w:rsidR="001C7CF7" w:rsidRPr="00F346F4">
        <w:rPr>
          <w:rFonts w:cs="Arial"/>
          <w:szCs w:val="22"/>
          <w:lang w:eastAsia="en-AU"/>
        </w:rPr>
        <w:t xml:space="preserve">% </w:t>
      </w:r>
      <w:r w:rsidR="001C7CF7" w:rsidRPr="00F346F4">
        <w:rPr>
          <w:rFonts w:cs="Arial"/>
          <w:szCs w:val="22"/>
        </w:rPr>
        <w:t>of metropolitan Melbourne bonds),</w:t>
      </w:r>
      <w:r w:rsidR="001A6DF2" w:rsidRPr="001A6DF2">
        <w:rPr>
          <w:szCs w:val="22"/>
        </w:rPr>
        <w:t xml:space="preserve"> </w:t>
      </w:r>
      <w:r w:rsidR="001A6DF2" w:rsidRPr="00F346F4">
        <w:rPr>
          <w:szCs w:val="22"/>
        </w:rPr>
        <w:t>Moreland (</w:t>
      </w:r>
      <w:r w:rsidR="00105FCD" w:rsidRPr="00105FCD">
        <w:rPr>
          <w:rFonts w:cs="Arial"/>
          <w:szCs w:val="22"/>
          <w:lang w:eastAsia="en-AU"/>
        </w:rPr>
        <w:t>22</w:t>
      </w:r>
      <w:r w:rsidR="00105FCD">
        <w:rPr>
          <w:rFonts w:cs="Arial"/>
          <w:szCs w:val="22"/>
          <w:lang w:eastAsia="en-AU"/>
        </w:rPr>
        <w:t>,</w:t>
      </w:r>
      <w:r w:rsidR="00105FCD" w:rsidRPr="00105FCD">
        <w:rPr>
          <w:rFonts w:cs="Arial"/>
          <w:szCs w:val="22"/>
          <w:lang w:eastAsia="en-AU"/>
        </w:rPr>
        <w:t xml:space="preserve">941 </w:t>
      </w:r>
      <w:r w:rsidR="001A6DF2">
        <w:rPr>
          <w:szCs w:val="22"/>
          <w:lang w:eastAsia="en-AU"/>
        </w:rPr>
        <w:t>– 5.0</w:t>
      </w:r>
      <w:r w:rsidR="001A6DF2" w:rsidRPr="00F346F4">
        <w:rPr>
          <w:szCs w:val="22"/>
          <w:lang w:eastAsia="en-AU"/>
        </w:rPr>
        <w:t>%),</w:t>
      </w:r>
      <w:r w:rsidR="001C7CF7" w:rsidRPr="00F346F4">
        <w:rPr>
          <w:rFonts w:cs="Arial"/>
          <w:szCs w:val="22"/>
        </w:rPr>
        <w:t xml:space="preserve"> </w:t>
      </w:r>
      <w:r w:rsidR="003917B0" w:rsidRPr="00F346F4">
        <w:rPr>
          <w:rFonts w:cs="Arial"/>
          <w:szCs w:val="22"/>
        </w:rPr>
        <w:t>Stonnington (</w:t>
      </w:r>
      <w:r w:rsidR="00105FCD" w:rsidRPr="00105FCD">
        <w:rPr>
          <w:rFonts w:cs="Arial"/>
          <w:szCs w:val="22"/>
          <w:lang w:eastAsia="en-AU"/>
        </w:rPr>
        <w:t>22</w:t>
      </w:r>
      <w:r w:rsidR="00105FCD">
        <w:rPr>
          <w:rFonts w:cs="Arial"/>
          <w:szCs w:val="22"/>
          <w:lang w:eastAsia="en-AU"/>
        </w:rPr>
        <w:t>,</w:t>
      </w:r>
      <w:r w:rsidR="00105FCD" w:rsidRPr="00105FCD">
        <w:rPr>
          <w:rFonts w:cs="Arial"/>
          <w:szCs w:val="22"/>
          <w:lang w:eastAsia="en-AU"/>
        </w:rPr>
        <w:t xml:space="preserve">330 </w:t>
      </w:r>
      <w:r w:rsidR="00436857">
        <w:rPr>
          <w:rFonts w:cs="Arial"/>
          <w:szCs w:val="22"/>
        </w:rPr>
        <w:t>-</w:t>
      </w:r>
      <w:r w:rsidR="00647283">
        <w:rPr>
          <w:rFonts w:cs="Arial"/>
          <w:szCs w:val="22"/>
        </w:rPr>
        <w:t xml:space="preserve"> 4.9</w:t>
      </w:r>
      <w:r w:rsidR="003917B0" w:rsidRPr="00F346F4">
        <w:rPr>
          <w:rFonts w:cs="Arial"/>
          <w:szCs w:val="22"/>
        </w:rPr>
        <w:t>%</w:t>
      </w:r>
      <w:r w:rsidR="003917B0" w:rsidRPr="00F346F4">
        <w:rPr>
          <w:szCs w:val="22"/>
        </w:rPr>
        <w:t xml:space="preserve">), </w:t>
      </w:r>
      <w:r w:rsidR="001C7CF7" w:rsidRPr="00F346F4">
        <w:rPr>
          <w:rFonts w:cs="Arial"/>
          <w:szCs w:val="22"/>
        </w:rPr>
        <w:t>Port Phillip (</w:t>
      </w:r>
      <w:r w:rsidR="00105FCD" w:rsidRPr="00105FCD">
        <w:rPr>
          <w:rFonts w:cs="Arial"/>
          <w:szCs w:val="22"/>
          <w:lang w:eastAsia="en-AU"/>
        </w:rPr>
        <w:t>21</w:t>
      </w:r>
      <w:r w:rsidR="00105FCD">
        <w:rPr>
          <w:rFonts w:cs="Arial"/>
          <w:szCs w:val="22"/>
          <w:lang w:eastAsia="en-AU"/>
        </w:rPr>
        <w:t>,</w:t>
      </w:r>
      <w:r w:rsidR="00105FCD" w:rsidRPr="00105FCD">
        <w:rPr>
          <w:rFonts w:cs="Arial"/>
          <w:szCs w:val="22"/>
          <w:lang w:eastAsia="en-AU"/>
        </w:rPr>
        <w:t xml:space="preserve">289 </w:t>
      </w:r>
      <w:r w:rsidR="00436857">
        <w:rPr>
          <w:rFonts w:cs="Arial"/>
          <w:szCs w:val="22"/>
        </w:rPr>
        <w:t>-</w:t>
      </w:r>
      <w:r w:rsidR="001C7CF7" w:rsidRPr="00F346F4">
        <w:rPr>
          <w:rFonts w:cs="Arial"/>
          <w:szCs w:val="22"/>
        </w:rPr>
        <w:t xml:space="preserve"> </w:t>
      </w:r>
      <w:r w:rsidR="008670DA">
        <w:rPr>
          <w:rFonts w:cs="Arial"/>
          <w:szCs w:val="22"/>
          <w:lang w:eastAsia="en-AU"/>
        </w:rPr>
        <w:t>4.7</w:t>
      </w:r>
      <w:r w:rsidR="001C7CF7" w:rsidRPr="00F346F4">
        <w:rPr>
          <w:rFonts w:cs="Arial"/>
          <w:szCs w:val="22"/>
          <w:lang w:eastAsia="en-AU"/>
        </w:rPr>
        <w:t>%)</w:t>
      </w:r>
      <w:r w:rsidR="001C7CF7" w:rsidRPr="00F346F4">
        <w:rPr>
          <w:rFonts w:cs="Arial"/>
          <w:szCs w:val="22"/>
        </w:rPr>
        <w:t xml:space="preserve">, </w:t>
      </w:r>
      <w:r w:rsidR="001C7CF7" w:rsidRPr="00F346F4">
        <w:rPr>
          <w:szCs w:val="22"/>
          <w:lang w:eastAsia="en-AU"/>
        </w:rPr>
        <w:t>Glen Eira (</w:t>
      </w:r>
      <w:r w:rsidR="00105FCD" w:rsidRPr="00105FCD">
        <w:rPr>
          <w:rFonts w:cs="Arial"/>
          <w:szCs w:val="22"/>
          <w:lang w:eastAsia="en-AU"/>
        </w:rPr>
        <w:t>20</w:t>
      </w:r>
      <w:r w:rsidR="00105FCD">
        <w:rPr>
          <w:rFonts w:cs="Arial"/>
          <w:szCs w:val="22"/>
          <w:lang w:eastAsia="en-AU"/>
        </w:rPr>
        <w:t>,</w:t>
      </w:r>
      <w:r w:rsidR="00105FCD" w:rsidRPr="00105FCD">
        <w:rPr>
          <w:rFonts w:cs="Arial"/>
          <w:szCs w:val="22"/>
          <w:lang w:eastAsia="en-AU"/>
        </w:rPr>
        <w:t xml:space="preserve">666 </w:t>
      </w:r>
      <w:r w:rsidR="00436857">
        <w:rPr>
          <w:szCs w:val="22"/>
          <w:lang w:eastAsia="en-AU"/>
        </w:rPr>
        <w:t>-</w:t>
      </w:r>
      <w:r w:rsidR="001C7CF7" w:rsidRPr="00F346F4">
        <w:rPr>
          <w:szCs w:val="22"/>
          <w:lang w:eastAsia="en-AU"/>
        </w:rPr>
        <w:t xml:space="preserve"> </w:t>
      </w:r>
      <w:r w:rsidR="008670DA">
        <w:rPr>
          <w:szCs w:val="22"/>
          <w:lang w:eastAsia="en-AU"/>
        </w:rPr>
        <w:t>4.5</w:t>
      </w:r>
      <w:r w:rsidR="001C7CF7" w:rsidRPr="00F346F4">
        <w:rPr>
          <w:szCs w:val="22"/>
          <w:lang w:eastAsia="en-AU"/>
        </w:rPr>
        <w:t>%), Boroondara (</w:t>
      </w:r>
      <w:r w:rsidR="00105FCD" w:rsidRPr="00105FCD">
        <w:rPr>
          <w:rFonts w:cs="Arial"/>
          <w:szCs w:val="22"/>
          <w:lang w:eastAsia="en-AU"/>
        </w:rPr>
        <w:t>19</w:t>
      </w:r>
      <w:r w:rsidR="00105FCD">
        <w:rPr>
          <w:rFonts w:cs="Arial"/>
          <w:szCs w:val="22"/>
          <w:lang w:eastAsia="en-AU"/>
        </w:rPr>
        <w:t>,</w:t>
      </w:r>
      <w:r w:rsidR="00105FCD" w:rsidRPr="00105FCD">
        <w:rPr>
          <w:rFonts w:cs="Arial"/>
          <w:szCs w:val="22"/>
          <w:lang w:eastAsia="en-AU"/>
        </w:rPr>
        <w:t xml:space="preserve">852 </w:t>
      </w:r>
      <w:r w:rsidR="001C7CF7" w:rsidRPr="00F346F4">
        <w:rPr>
          <w:szCs w:val="22"/>
          <w:lang w:eastAsia="en-AU"/>
        </w:rPr>
        <w:t>– 4.</w:t>
      </w:r>
      <w:r w:rsidR="00105FCD">
        <w:rPr>
          <w:szCs w:val="22"/>
          <w:lang w:eastAsia="en-AU"/>
        </w:rPr>
        <w:t>3</w:t>
      </w:r>
      <w:r w:rsidR="001C7CF7" w:rsidRPr="00F346F4">
        <w:rPr>
          <w:szCs w:val="22"/>
          <w:lang w:eastAsia="en-AU"/>
        </w:rPr>
        <w:t xml:space="preserve">%), </w:t>
      </w:r>
      <w:r w:rsidR="00647283" w:rsidRPr="00F346F4">
        <w:rPr>
          <w:szCs w:val="22"/>
          <w:lang w:eastAsia="en-AU"/>
        </w:rPr>
        <w:t>Wyndham (</w:t>
      </w:r>
      <w:r w:rsidR="00105FCD" w:rsidRPr="00105FCD">
        <w:rPr>
          <w:szCs w:val="22"/>
          <w:lang w:eastAsia="en-AU"/>
        </w:rPr>
        <w:t>19</w:t>
      </w:r>
      <w:r w:rsidR="00105FCD">
        <w:rPr>
          <w:szCs w:val="22"/>
          <w:lang w:eastAsia="en-AU"/>
        </w:rPr>
        <w:t>,</w:t>
      </w:r>
      <w:r w:rsidR="00105FCD" w:rsidRPr="00105FCD">
        <w:rPr>
          <w:szCs w:val="22"/>
          <w:lang w:eastAsia="en-AU"/>
        </w:rPr>
        <w:t xml:space="preserve">279 </w:t>
      </w:r>
      <w:r w:rsidR="00647283" w:rsidRPr="00F346F4">
        <w:rPr>
          <w:rFonts w:cs="Arial"/>
          <w:szCs w:val="22"/>
          <w:lang w:eastAsia="en-AU"/>
        </w:rPr>
        <w:t xml:space="preserve">- </w:t>
      </w:r>
      <w:r w:rsidR="008670DA">
        <w:rPr>
          <w:rFonts w:cs="Arial"/>
          <w:szCs w:val="22"/>
          <w:lang w:eastAsia="en-AU"/>
        </w:rPr>
        <w:t>4.2</w:t>
      </w:r>
      <w:r w:rsidR="00105FCD">
        <w:rPr>
          <w:rFonts w:cs="Arial"/>
          <w:szCs w:val="22"/>
          <w:lang w:eastAsia="en-AU"/>
        </w:rPr>
        <w:t xml:space="preserve">%), </w:t>
      </w:r>
      <w:r w:rsidR="001C7CF7" w:rsidRPr="00F346F4">
        <w:rPr>
          <w:szCs w:val="22"/>
          <w:lang w:eastAsia="en-AU"/>
        </w:rPr>
        <w:t>Darebin (</w:t>
      </w:r>
      <w:r w:rsidR="00105FCD" w:rsidRPr="00105FCD">
        <w:rPr>
          <w:rFonts w:cs="Arial"/>
          <w:szCs w:val="22"/>
          <w:lang w:eastAsia="en-AU"/>
        </w:rPr>
        <w:t>18</w:t>
      </w:r>
      <w:r w:rsidR="00105FCD">
        <w:rPr>
          <w:rFonts w:cs="Arial"/>
          <w:szCs w:val="22"/>
          <w:lang w:eastAsia="en-AU"/>
        </w:rPr>
        <w:t>,</w:t>
      </w:r>
      <w:r w:rsidR="00105FCD" w:rsidRPr="00105FCD">
        <w:rPr>
          <w:rFonts w:cs="Arial"/>
          <w:szCs w:val="22"/>
          <w:lang w:eastAsia="en-AU"/>
        </w:rPr>
        <w:t xml:space="preserve">441 </w:t>
      </w:r>
      <w:r w:rsidR="001C7CF7" w:rsidRPr="00F346F4">
        <w:rPr>
          <w:szCs w:val="22"/>
          <w:lang w:eastAsia="en-AU"/>
        </w:rPr>
        <w:t>- 4.</w:t>
      </w:r>
      <w:r w:rsidR="008670DA">
        <w:rPr>
          <w:szCs w:val="22"/>
          <w:lang w:eastAsia="en-AU"/>
        </w:rPr>
        <w:t>0</w:t>
      </w:r>
      <w:r w:rsidR="00647283">
        <w:rPr>
          <w:szCs w:val="22"/>
          <w:lang w:eastAsia="en-AU"/>
        </w:rPr>
        <w:t>%)</w:t>
      </w:r>
      <w:r w:rsidR="00105FCD">
        <w:rPr>
          <w:szCs w:val="22"/>
          <w:lang w:eastAsia="en-AU"/>
        </w:rPr>
        <w:t xml:space="preserve"> and Casey (</w:t>
      </w:r>
      <w:r w:rsidR="00105FCD" w:rsidRPr="00105FCD">
        <w:rPr>
          <w:szCs w:val="22"/>
          <w:lang w:eastAsia="en-AU"/>
        </w:rPr>
        <w:t>18</w:t>
      </w:r>
      <w:r w:rsidR="00105FCD">
        <w:rPr>
          <w:szCs w:val="22"/>
          <w:lang w:eastAsia="en-AU"/>
        </w:rPr>
        <w:t>,</w:t>
      </w:r>
      <w:r w:rsidR="00105FCD" w:rsidRPr="00105FCD">
        <w:rPr>
          <w:szCs w:val="22"/>
          <w:lang w:eastAsia="en-AU"/>
        </w:rPr>
        <w:t>218</w:t>
      </w:r>
      <w:r w:rsidR="00105FCD">
        <w:rPr>
          <w:szCs w:val="22"/>
          <w:lang w:eastAsia="en-AU"/>
        </w:rPr>
        <w:t xml:space="preserve"> - 4.0%)</w:t>
      </w:r>
      <w:r w:rsidR="00647283">
        <w:rPr>
          <w:szCs w:val="22"/>
          <w:lang w:eastAsia="en-AU"/>
        </w:rPr>
        <w:t xml:space="preserve">. </w:t>
      </w:r>
      <w:r w:rsidR="00F51D8B" w:rsidRPr="00F346F4">
        <w:rPr>
          <w:rFonts w:cs="Arial"/>
          <w:szCs w:val="22"/>
        </w:rPr>
        <w:t>Over the five-</w:t>
      </w:r>
      <w:r w:rsidRPr="00F346F4">
        <w:rPr>
          <w:rFonts w:cs="Arial"/>
          <w:szCs w:val="22"/>
        </w:rPr>
        <w:t xml:space="preserve">year period to </w:t>
      </w:r>
      <w:r w:rsidR="00D429F4">
        <w:rPr>
          <w:rFonts w:cs="Arial"/>
          <w:szCs w:val="22"/>
        </w:rPr>
        <w:t>June</w:t>
      </w:r>
      <w:r>
        <w:rPr>
          <w:rFonts w:cs="Arial"/>
          <w:szCs w:val="20"/>
        </w:rPr>
        <w:t xml:space="preserve"> </w:t>
      </w:r>
      <w:r w:rsidR="003A132A">
        <w:rPr>
          <w:rFonts w:cs="Arial"/>
          <w:szCs w:val="20"/>
        </w:rPr>
        <w:t>2017</w:t>
      </w:r>
      <w:r>
        <w:rPr>
          <w:rFonts w:cs="Arial"/>
          <w:szCs w:val="20"/>
        </w:rPr>
        <w:t xml:space="preserve">, the highest increases have been </w:t>
      </w:r>
      <w:r w:rsidR="00F51D8B">
        <w:rPr>
          <w:rFonts w:cs="Arial"/>
          <w:szCs w:val="20"/>
        </w:rPr>
        <w:t xml:space="preserve">mainly </w:t>
      </w:r>
      <w:r>
        <w:rPr>
          <w:rFonts w:cs="Arial"/>
          <w:szCs w:val="20"/>
        </w:rPr>
        <w:t>in municipalities on the fringe of me</w:t>
      </w:r>
      <w:r w:rsidR="001E2251">
        <w:rPr>
          <w:rFonts w:cs="Arial"/>
          <w:szCs w:val="20"/>
        </w:rPr>
        <w:t xml:space="preserve">tropolitan Melbourne in </w:t>
      </w:r>
      <w:r w:rsidR="008670DA">
        <w:rPr>
          <w:rFonts w:cs="Arial"/>
          <w:szCs w:val="22"/>
          <w:lang w:eastAsia="en-AU"/>
        </w:rPr>
        <w:t xml:space="preserve">Melbourne </w:t>
      </w:r>
      <w:r w:rsidR="005F304B">
        <w:rPr>
          <w:rFonts w:cs="Arial"/>
          <w:szCs w:val="22"/>
          <w:lang w:eastAsia="en-AU"/>
        </w:rPr>
        <w:t>(</w:t>
      </w:r>
      <w:r w:rsidR="00105FCD">
        <w:rPr>
          <w:rFonts w:cs="Arial"/>
          <w:szCs w:val="22"/>
          <w:lang w:eastAsia="en-AU"/>
        </w:rPr>
        <w:t>58.8</w:t>
      </w:r>
      <w:r w:rsidR="008670DA">
        <w:rPr>
          <w:rFonts w:cs="Arial"/>
          <w:szCs w:val="22"/>
          <w:lang w:eastAsia="en-AU"/>
        </w:rPr>
        <w:t>%</w:t>
      </w:r>
      <w:r w:rsidR="005F304B">
        <w:rPr>
          <w:rFonts w:cs="Arial"/>
          <w:szCs w:val="22"/>
          <w:lang w:eastAsia="en-AU"/>
        </w:rPr>
        <w:t>)</w:t>
      </w:r>
      <w:r w:rsidR="008670DA">
        <w:rPr>
          <w:rFonts w:cs="Arial"/>
          <w:szCs w:val="22"/>
          <w:lang w:eastAsia="en-AU"/>
        </w:rPr>
        <w:t xml:space="preserve">, </w:t>
      </w:r>
      <w:r w:rsidR="00105FCD">
        <w:rPr>
          <w:rFonts w:cs="Arial"/>
          <w:szCs w:val="22"/>
          <w:lang w:eastAsia="en-AU"/>
        </w:rPr>
        <w:t xml:space="preserve">Hume (55.6%), </w:t>
      </w:r>
      <w:r w:rsidR="008670DA">
        <w:rPr>
          <w:rFonts w:cs="Arial"/>
          <w:szCs w:val="22"/>
          <w:lang w:eastAsia="en-AU"/>
        </w:rPr>
        <w:t xml:space="preserve">Whittlesea </w:t>
      </w:r>
      <w:r w:rsidR="005F304B">
        <w:rPr>
          <w:rFonts w:cs="Arial"/>
          <w:szCs w:val="22"/>
          <w:lang w:eastAsia="en-AU"/>
        </w:rPr>
        <w:t>(</w:t>
      </w:r>
      <w:r w:rsidR="00105FCD">
        <w:rPr>
          <w:rFonts w:cs="Arial"/>
          <w:szCs w:val="22"/>
          <w:lang w:eastAsia="en-AU"/>
        </w:rPr>
        <w:t>52.9</w:t>
      </w:r>
      <w:r w:rsidR="008670DA">
        <w:rPr>
          <w:rFonts w:cs="Arial"/>
          <w:szCs w:val="22"/>
          <w:lang w:eastAsia="en-AU"/>
        </w:rPr>
        <w:t>%</w:t>
      </w:r>
      <w:r w:rsidR="005F304B">
        <w:rPr>
          <w:rFonts w:cs="Arial"/>
          <w:szCs w:val="22"/>
          <w:lang w:eastAsia="en-AU"/>
        </w:rPr>
        <w:t>)</w:t>
      </w:r>
      <w:r w:rsidR="008670DA">
        <w:rPr>
          <w:rFonts w:cs="Arial"/>
          <w:szCs w:val="22"/>
          <w:lang w:eastAsia="en-AU"/>
        </w:rPr>
        <w:t xml:space="preserve">, </w:t>
      </w:r>
      <w:r w:rsidR="00E449DD">
        <w:rPr>
          <w:rFonts w:cs="Arial"/>
          <w:szCs w:val="20"/>
        </w:rPr>
        <w:t>Nillumbik</w:t>
      </w:r>
      <w:r w:rsidR="00A30B18">
        <w:rPr>
          <w:rFonts w:cs="Arial"/>
          <w:szCs w:val="20"/>
        </w:rPr>
        <w:t xml:space="preserve"> </w:t>
      </w:r>
      <w:r w:rsidR="005F304B">
        <w:rPr>
          <w:rFonts w:cs="Arial"/>
          <w:szCs w:val="20"/>
        </w:rPr>
        <w:t>(</w:t>
      </w:r>
      <w:r w:rsidR="00105FCD">
        <w:rPr>
          <w:rFonts w:cs="Arial"/>
          <w:szCs w:val="22"/>
          <w:lang w:eastAsia="en-AU"/>
        </w:rPr>
        <w:t>48.2</w:t>
      </w:r>
      <w:r w:rsidR="001C7CF7" w:rsidRPr="001C7CF7">
        <w:rPr>
          <w:rFonts w:cs="Arial"/>
          <w:szCs w:val="22"/>
          <w:lang w:eastAsia="en-AU"/>
        </w:rPr>
        <w:t>%</w:t>
      </w:r>
      <w:r w:rsidR="005F304B">
        <w:rPr>
          <w:rFonts w:cs="Arial"/>
          <w:szCs w:val="22"/>
          <w:lang w:eastAsia="en-AU"/>
        </w:rPr>
        <w:t>)</w:t>
      </w:r>
      <w:r w:rsidR="001E2251">
        <w:rPr>
          <w:rFonts w:cs="Arial"/>
          <w:szCs w:val="22"/>
          <w:lang w:eastAsia="en-AU"/>
        </w:rPr>
        <w:t>,</w:t>
      </w:r>
      <w:r w:rsidR="00A30B18">
        <w:rPr>
          <w:rFonts w:cs="Arial"/>
          <w:szCs w:val="20"/>
        </w:rPr>
        <w:t xml:space="preserve"> </w:t>
      </w:r>
      <w:r w:rsidR="0067256E">
        <w:rPr>
          <w:rFonts w:cs="Arial"/>
          <w:szCs w:val="20"/>
        </w:rPr>
        <w:t xml:space="preserve">Melton </w:t>
      </w:r>
      <w:r w:rsidR="005F304B">
        <w:rPr>
          <w:rFonts w:cs="Arial"/>
          <w:szCs w:val="20"/>
        </w:rPr>
        <w:t>(</w:t>
      </w:r>
      <w:r w:rsidR="00105FCD">
        <w:rPr>
          <w:rFonts w:cs="Arial"/>
          <w:szCs w:val="20"/>
        </w:rPr>
        <w:t>47.0</w:t>
      </w:r>
      <w:r w:rsidR="0067256E" w:rsidRPr="001C7CF7">
        <w:rPr>
          <w:rFonts w:cs="Arial"/>
          <w:szCs w:val="22"/>
          <w:lang w:eastAsia="en-AU"/>
        </w:rPr>
        <w:t>%</w:t>
      </w:r>
      <w:r w:rsidR="005F304B">
        <w:rPr>
          <w:rFonts w:cs="Arial"/>
          <w:szCs w:val="22"/>
          <w:lang w:eastAsia="en-AU"/>
        </w:rPr>
        <w:t>)</w:t>
      </w:r>
      <w:r w:rsidR="0067256E">
        <w:rPr>
          <w:rFonts w:cs="Arial"/>
          <w:szCs w:val="22"/>
          <w:lang w:eastAsia="en-AU"/>
        </w:rPr>
        <w:t xml:space="preserve">, </w:t>
      </w:r>
      <w:r w:rsidR="00105FCD" w:rsidRPr="0067256E">
        <w:rPr>
          <w:rFonts w:cs="Arial"/>
          <w:szCs w:val="22"/>
          <w:lang w:eastAsia="en-AU"/>
        </w:rPr>
        <w:t>Casey</w:t>
      </w:r>
      <w:r w:rsidR="00105FCD">
        <w:rPr>
          <w:rFonts w:cs="Arial"/>
          <w:szCs w:val="22"/>
          <w:lang w:eastAsia="en-AU"/>
        </w:rPr>
        <w:t xml:space="preserve"> (43.0%), </w:t>
      </w:r>
      <w:r w:rsidR="0067256E">
        <w:rPr>
          <w:rFonts w:cs="Arial"/>
          <w:szCs w:val="20"/>
        </w:rPr>
        <w:t xml:space="preserve">Wyndham </w:t>
      </w:r>
      <w:r w:rsidR="005F304B">
        <w:rPr>
          <w:rFonts w:cs="Arial"/>
          <w:szCs w:val="20"/>
        </w:rPr>
        <w:t>(</w:t>
      </w:r>
      <w:r w:rsidR="00105FCD">
        <w:rPr>
          <w:rFonts w:cs="Arial"/>
          <w:szCs w:val="20"/>
        </w:rPr>
        <w:t>42.1</w:t>
      </w:r>
      <w:r w:rsidR="0067256E" w:rsidRPr="001C7CF7">
        <w:rPr>
          <w:rFonts w:cs="Arial"/>
          <w:szCs w:val="22"/>
          <w:lang w:eastAsia="en-AU"/>
        </w:rPr>
        <w:t>%</w:t>
      </w:r>
      <w:r w:rsidR="005F304B">
        <w:rPr>
          <w:rFonts w:cs="Arial"/>
          <w:szCs w:val="22"/>
          <w:lang w:eastAsia="en-AU"/>
        </w:rPr>
        <w:t>)</w:t>
      </w:r>
      <w:r w:rsidR="00105FCD">
        <w:rPr>
          <w:rFonts w:cs="Arial"/>
          <w:szCs w:val="22"/>
          <w:lang w:eastAsia="en-AU"/>
        </w:rPr>
        <w:t xml:space="preserve"> and </w:t>
      </w:r>
      <w:r w:rsidR="00F346F4">
        <w:rPr>
          <w:rFonts w:cs="Arial"/>
          <w:szCs w:val="20"/>
        </w:rPr>
        <w:t xml:space="preserve">Cardinia </w:t>
      </w:r>
      <w:r w:rsidR="005F304B">
        <w:rPr>
          <w:rFonts w:cs="Arial"/>
          <w:szCs w:val="20"/>
        </w:rPr>
        <w:t>(</w:t>
      </w:r>
      <w:r w:rsidR="00105FCD">
        <w:rPr>
          <w:rFonts w:cs="Arial"/>
          <w:szCs w:val="22"/>
          <w:lang w:eastAsia="en-AU"/>
        </w:rPr>
        <w:t>40.7</w:t>
      </w:r>
      <w:r w:rsidR="00F346F4" w:rsidRPr="001C7CF7">
        <w:rPr>
          <w:rFonts w:cs="Arial"/>
          <w:szCs w:val="22"/>
          <w:lang w:eastAsia="en-AU"/>
        </w:rPr>
        <w:t>%</w:t>
      </w:r>
      <w:r w:rsidR="005F304B">
        <w:rPr>
          <w:rFonts w:cs="Arial"/>
          <w:szCs w:val="22"/>
          <w:lang w:eastAsia="en-AU"/>
        </w:rPr>
        <w:t>)</w:t>
      </w:r>
      <w:r w:rsidR="00105FCD">
        <w:rPr>
          <w:rFonts w:cs="Arial"/>
          <w:szCs w:val="22"/>
          <w:lang w:eastAsia="en-AU"/>
        </w:rPr>
        <w:t xml:space="preserve">. </w:t>
      </w:r>
      <w:r w:rsidR="0020685E">
        <w:rPr>
          <w:rFonts w:cs="Arial"/>
          <w:szCs w:val="22"/>
          <w:lang w:eastAsia="en-AU"/>
        </w:rPr>
        <w:t>T</w:t>
      </w:r>
      <w:r w:rsidR="008C51DD">
        <w:rPr>
          <w:rFonts w:cs="Arial"/>
          <w:szCs w:val="20"/>
        </w:rPr>
        <w:t xml:space="preserve">he lowest increases have been in the municipalities of </w:t>
      </w:r>
      <w:r w:rsidR="008C51DD" w:rsidRPr="008C51DD">
        <w:rPr>
          <w:rFonts w:cs="Arial"/>
          <w:szCs w:val="20"/>
        </w:rPr>
        <w:t>Port Phillip</w:t>
      </w:r>
      <w:r w:rsidR="008C51DD">
        <w:rPr>
          <w:rFonts w:cs="Arial"/>
          <w:szCs w:val="20"/>
        </w:rPr>
        <w:t xml:space="preserve"> (</w:t>
      </w:r>
      <w:r w:rsidR="00105FCD">
        <w:rPr>
          <w:rFonts w:cs="Arial"/>
          <w:szCs w:val="22"/>
          <w:lang w:eastAsia="en-AU"/>
        </w:rPr>
        <w:t>10.4</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647283">
        <w:rPr>
          <w:rFonts w:cs="Arial"/>
          <w:szCs w:val="20"/>
        </w:rPr>
        <w:t>1</w:t>
      </w:r>
      <w:r w:rsidR="00105FCD">
        <w:rPr>
          <w:rFonts w:cs="Arial"/>
          <w:szCs w:val="20"/>
        </w:rPr>
        <w:t>3.1</w:t>
      </w:r>
      <w:r w:rsidR="001C7CF7">
        <w:rPr>
          <w:rFonts w:cs="Arial"/>
          <w:szCs w:val="20"/>
        </w:rPr>
        <w:t xml:space="preserve">%), </w:t>
      </w:r>
      <w:r w:rsidR="00105FCD">
        <w:rPr>
          <w:rFonts w:cs="Arial"/>
          <w:szCs w:val="20"/>
        </w:rPr>
        <w:t xml:space="preserve">Mornington Peninsula (14.6%), </w:t>
      </w:r>
      <w:r w:rsidR="008C51DD" w:rsidRPr="008C51DD">
        <w:rPr>
          <w:rFonts w:cs="Arial"/>
          <w:szCs w:val="20"/>
        </w:rPr>
        <w:t>Hobsons Bay</w:t>
      </w:r>
      <w:r w:rsidR="005D78C3">
        <w:rPr>
          <w:rFonts w:cs="Arial"/>
          <w:szCs w:val="20"/>
        </w:rPr>
        <w:t xml:space="preserve"> </w:t>
      </w:r>
      <w:r w:rsidR="00105FCD">
        <w:rPr>
          <w:rFonts w:cs="Arial"/>
          <w:szCs w:val="20"/>
        </w:rPr>
        <w:t>(16.1</w:t>
      </w:r>
      <w:r w:rsidR="00BF4DA6">
        <w:rPr>
          <w:rFonts w:cs="Arial"/>
          <w:szCs w:val="20"/>
        </w:rPr>
        <w:t>%)</w:t>
      </w:r>
      <w:r w:rsidR="001C7CF7">
        <w:rPr>
          <w:rFonts w:cs="Arial"/>
          <w:szCs w:val="20"/>
        </w:rPr>
        <w:t xml:space="preserve"> </w:t>
      </w:r>
      <w:r w:rsidR="00105FCD">
        <w:rPr>
          <w:rFonts w:cs="Arial"/>
          <w:szCs w:val="20"/>
        </w:rPr>
        <w:t>and Frankston (17.0</w:t>
      </w:r>
      <w:r w:rsidR="00D44900">
        <w:rPr>
          <w:rFonts w:cs="Arial"/>
          <w:szCs w:val="20"/>
        </w:rPr>
        <w:t>%)</w:t>
      </w:r>
      <w:r w:rsidR="0067256E">
        <w:rPr>
          <w:rFonts w:cs="Arial"/>
          <w:szCs w:val="20"/>
        </w:rPr>
        <w:t>.</w:t>
      </w:r>
    </w:p>
    <w:p w:rsidR="0067256E" w:rsidRDefault="0067256E"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F6442F" w:rsidRPr="00F6442F">
        <w:rPr>
          <w:rFonts w:cs="Arial"/>
          <w:szCs w:val="22"/>
          <w:lang w:eastAsia="en-AU"/>
        </w:rPr>
        <w:t>21</w:t>
      </w:r>
      <w:r w:rsidR="00F6442F">
        <w:rPr>
          <w:rFonts w:cs="Arial"/>
          <w:szCs w:val="22"/>
          <w:lang w:eastAsia="en-AU"/>
        </w:rPr>
        <w:t>,</w:t>
      </w:r>
      <w:r w:rsidR="00F6442F" w:rsidRPr="00F6442F">
        <w:rPr>
          <w:rFonts w:cs="Arial"/>
          <w:szCs w:val="22"/>
          <w:lang w:eastAsia="en-AU"/>
        </w:rPr>
        <w:t xml:space="preserve">457 </w:t>
      </w:r>
      <w:r w:rsidR="00436857">
        <w:rPr>
          <w:rFonts w:cs="Arial"/>
          <w:szCs w:val="20"/>
        </w:rPr>
        <w:t>-</w:t>
      </w:r>
      <w:r w:rsidR="00311485">
        <w:rPr>
          <w:rFonts w:cs="Arial"/>
          <w:szCs w:val="20"/>
        </w:rPr>
        <w:t xml:space="preserve"> 1</w:t>
      </w:r>
      <w:r w:rsidR="005D78C3">
        <w:rPr>
          <w:rFonts w:cs="Arial"/>
          <w:szCs w:val="20"/>
        </w:rPr>
        <w:t>9</w:t>
      </w:r>
      <w:r w:rsidR="00F6442F">
        <w:rPr>
          <w:rFonts w:cs="Arial"/>
          <w:szCs w:val="20"/>
        </w:rPr>
        <w:t>.4</w:t>
      </w:r>
      <w:r w:rsidR="00A30B18">
        <w:rPr>
          <w:rFonts w:cs="Arial"/>
          <w:szCs w:val="20"/>
        </w:rPr>
        <w:t>%</w:t>
      </w:r>
      <w:r>
        <w:rPr>
          <w:rFonts w:cs="Arial"/>
          <w:szCs w:val="20"/>
        </w:rPr>
        <w:t xml:space="preserve"> of regional Victoria bonds), Ballarat (</w:t>
      </w:r>
      <w:r w:rsidR="00F6442F" w:rsidRPr="00F6442F">
        <w:rPr>
          <w:rFonts w:cs="Arial"/>
          <w:szCs w:val="22"/>
          <w:lang w:eastAsia="en-AU"/>
        </w:rPr>
        <w:t>10</w:t>
      </w:r>
      <w:r w:rsidR="00F6442F">
        <w:rPr>
          <w:rFonts w:cs="Arial"/>
          <w:szCs w:val="22"/>
          <w:lang w:eastAsia="en-AU"/>
        </w:rPr>
        <w:t>,</w:t>
      </w:r>
      <w:r w:rsidR="00F6442F" w:rsidRPr="00F6442F">
        <w:rPr>
          <w:rFonts w:cs="Arial"/>
          <w:szCs w:val="22"/>
          <w:lang w:eastAsia="en-AU"/>
        </w:rPr>
        <w:t xml:space="preserve">810 </w:t>
      </w:r>
      <w:r w:rsidR="00436857">
        <w:rPr>
          <w:rFonts w:cs="Arial"/>
          <w:szCs w:val="20"/>
        </w:rPr>
        <w:t>-</w:t>
      </w:r>
      <w:r w:rsidR="00311485">
        <w:rPr>
          <w:rFonts w:cs="Arial"/>
          <w:szCs w:val="20"/>
        </w:rPr>
        <w:t xml:space="preserve"> </w:t>
      </w:r>
      <w:r w:rsidR="0068229E">
        <w:rPr>
          <w:rFonts w:cs="Arial"/>
          <w:szCs w:val="20"/>
        </w:rPr>
        <w:t>9.7</w:t>
      </w:r>
      <w:r w:rsidR="00A30B18">
        <w:rPr>
          <w:rFonts w:cs="Arial"/>
          <w:szCs w:val="20"/>
        </w:rPr>
        <w:t>%</w:t>
      </w:r>
      <w:r>
        <w:rPr>
          <w:rFonts w:cs="Arial"/>
          <w:szCs w:val="20"/>
        </w:rPr>
        <w:t>), Greater Bendigo (</w:t>
      </w:r>
      <w:r w:rsidR="00F6442F" w:rsidRPr="00F6442F">
        <w:rPr>
          <w:rFonts w:cs="Arial"/>
          <w:szCs w:val="22"/>
          <w:lang w:eastAsia="en-AU"/>
        </w:rPr>
        <w:t>10</w:t>
      </w:r>
      <w:r w:rsidR="00F6442F">
        <w:rPr>
          <w:rFonts w:cs="Arial"/>
          <w:szCs w:val="22"/>
          <w:lang w:eastAsia="en-AU"/>
        </w:rPr>
        <w:t>,</w:t>
      </w:r>
      <w:r w:rsidR="00F6442F" w:rsidRPr="00F6442F">
        <w:rPr>
          <w:rFonts w:cs="Arial"/>
          <w:szCs w:val="22"/>
          <w:lang w:eastAsia="en-AU"/>
        </w:rPr>
        <w:t xml:space="preserve">040 </w:t>
      </w:r>
      <w:r w:rsidR="00436857">
        <w:rPr>
          <w:rFonts w:cs="Arial"/>
          <w:szCs w:val="20"/>
        </w:rPr>
        <w:t>-</w:t>
      </w:r>
      <w:r w:rsidR="00311485">
        <w:rPr>
          <w:rFonts w:cs="Arial"/>
          <w:szCs w:val="20"/>
        </w:rPr>
        <w:t xml:space="preserve"> </w:t>
      </w:r>
      <w:r w:rsidR="007A59DE">
        <w:rPr>
          <w:rFonts w:cs="Arial"/>
          <w:szCs w:val="20"/>
        </w:rPr>
        <w:t>9.1</w:t>
      </w:r>
      <w:r w:rsidR="005E609F">
        <w:rPr>
          <w:rFonts w:cs="Arial"/>
          <w:szCs w:val="20"/>
        </w:rPr>
        <w:t>%</w:t>
      </w:r>
      <w:r>
        <w:rPr>
          <w:rFonts w:cs="Arial"/>
          <w:szCs w:val="20"/>
        </w:rPr>
        <w:t>), Latrobe (</w:t>
      </w:r>
      <w:r w:rsidR="00F6442F" w:rsidRPr="00F6442F">
        <w:rPr>
          <w:rFonts w:cs="Arial"/>
          <w:szCs w:val="22"/>
          <w:lang w:eastAsia="en-AU"/>
        </w:rPr>
        <w:t>6</w:t>
      </w:r>
      <w:r w:rsidR="00F6442F">
        <w:rPr>
          <w:rFonts w:cs="Arial"/>
          <w:szCs w:val="22"/>
          <w:lang w:eastAsia="en-AU"/>
        </w:rPr>
        <w:t>,</w:t>
      </w:r>
      <w:r w:rsidR="00F6442F" w:rsidRPr="00F6442F">
        <w:rPr>
          <w:rFonts w:cs="Arial"/>
          <w:szCs w:val="22"/>
          <w:lang w:eastAsia="en-AU"/>
        </w:rPr>
        <w:t xml:space="preserve">151 </w:t>
      </w:r>
      <w:r w:rsidR="00436857">
        <w:rPr>
          <w:rFonts w:cs="Arial"/>
          <w:szCs w:val="22"/>
          <w:lang w:eastAsia="en-AU"/>
        </w:rPr>
        <w:t>-</w:t>
      </w:r>
      <w:r w:rsidR="00A30B18">
        <w:rPr>
          <w:rFonts w:cs="Arial"/>
          <w:szCs w:val="20"/>
        </w:rPr>
        <w:t xml:space="preserve"> </w:t>
      </w:r>
      <w:r w:rsidR="00F6442F">
        <w:rPr>
          <w:rFonts w:cs="Arial"/>
          <w:szCs w:val="20"/>
        </w:rPr>
        <w:t>5.5</w:t>
      </w:r>
      <w:r w:rsidR="00A30B18">
        <w:rPr>
          <w:rFonts w:cs="Arial"/>
          <w:szCs w:val="20"/>
        </w:rPr>
        <w:t>%</w:t>
      </w:r>
      <w:r>
        <w:rPr>
          <w:rFonts w:cs="Arial"/>
          <w:szCs w:val="20"/>
        </w:rPr>
        <w:t>), Greater Shepparton (</w:t>
      </w:r>
      <w:r w:rsidR="00F6442F" w:rsidRPr="00F6442F">
        <w:rPr>
          <w:rFonts w:cs="Arial"/>
          <w:szCs w:val="20"/>
        </w:rPr>
        <w:t>5</w:t>
      </w:r>
      <w:r w:rsidR="00F6442F">
        <w:rPr>
          <w:rFonts w:cs="Arial"/>
          <w:szCs w:val="20"/>
        </w:rPr>
        <w:t>,</w:t>
      </w:r>
      <w:r w:rsidR="00F6442F" w:rsidRPr="00F6442F">
        <w:rPr>
          <w:rFonts w:cs="Arial"/>
          <w:szCs w:val="20"/>
        </w:rPr>
        <w:t xml:space="preserve">197 </w:t>
      </w:r>
      <w:r w:rsidR="00436857">
        <w:rPr>
          <w:rFonts w:cs="Arial"/>
          <w:szCs w:val="20"/>
        </w:rPr>
        <w:t>-</w:t>
      </w:r>
      <w:r w:rsidR="00A30B18">
        <w:rPr>
          <w:rFonts w:cs="Arial"/>
          <w:szCs w:val="20"/>
        </w:rPr>
        <w:t xml:space="preserve"> </w:t>
      </w:r>
      <w:r w:rsidR="00D44900">
        <w:rPr>
          <w:rFonts w:cs="Arial"/>
          <w:szCs w:val="20"/>
        </w:rPr>
        <w:t>4.7</w:t>
      </w:r>
      <w:r w:rsidR="00A30B18">
        <w:rPr>
          <w:rFonts w:cs="Arial"/>
          <w:szCs w:val="20"/>
        </w:rPr>
        <w:t>%</w:t>
      </w:r>
      <w:r>
        <w:rPr>
          <w:rFonts w:cs="Arial"/>
          <w:szCs w:val="20"/>
        </w:rPr>
        <w:t>) and Mildura (</w:t>
      </w:r>
      <w:r w:rsidR="00F6442F" w:rsidRPr="00F6442F">
        <w:rPr>
          <w:rFonts w:cs="Arial"/>
          <w:szCs w:val="22"/>
          <w:lang w:eastAsia="en-AU"/>
        </w:rPr>
        <w:t>4</w:t>
      </w:r>
      <w:r w:rsidR="00F6442F">
        <w:rPr>
          <w:rFonts w:cs="Arial"/>
          <w:szCs w:val="22"/>
          <w:lang w:eastAsia="en-AU"/>
        </w:rPr>
        <w:t>,</w:t>
      </w:r>
      <w:r w:rsidR="00F6442F" w:rsidRPr="00F6442F">
        <w:rPr>
          <w:rFonts w:cs="Arial"/>
          <w:szCs w:val="22"/>
          <w:lang w:eastAsia="en-AU"/>
        </w:rPr>
        <w:t xml:space="preserve">828 </w:t>
      </w:r>
      <w:r w:rsidR="00436857">
        <w:rPr>
          <w:rFonts w:cs="Arial"/>
          <w:szCs w:val="20"/>
        </w:rPr>
        <w:t>-</w:t>
      </w:r>
      <w:r w:rsidR="003D1E21">
        <w:rPr>
          <w:rFonts w:cs="Arial"/>
          <w:szCs w:val="20"/>
        </w:rPr>
        <w:t xml:space="preserve">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F6442F">
        <w:rPr>
          <w:rFonts w:cs="Arial"/>
          <w:szCs w:val="20"/>
        </w:rPr>
        <w:t>Mitchell (39.2</w:t>
      </w:r>
      <w:r w:rsidR="003D1E21" w:rsidRPr="005823FC">
        <w:rPr>
          <w:rFonts w:cs="Arial"/>
          <w:szCs w:val="22"/>
          <w:lang w:eastAsia="en-AU"/>
        </w:rPr>
        <w:t>%</w:t>
      </w:r>
      <w:r w:rsidR="003D1E21">
        <w:rPr>
          <w:rFonts w:cs="Arial"/>
          <w:szCs w:val="20"/>
        </w:rPr>
        <w:t xml:space="preserve">), </w:t>
      </w:r>
      <w:r w:rsidR="00F6442F">
        <w:rPr>
          <w:rFonts w:cs="Arial"/>
          <w:szCs w:val="22"/>
          <w:lang w:eastAsia="en-AU"/>
        </w:rPr>
        <w:t>Baw Baw</w:t>
      </w:r>
      <w:r w:rsidR="00F6442F">
        <w:rPr>
          <w:rFonts w:cs="Arial"/>
          <w:szCs w:val="20"/>
        </w:rPr>
        <w:t xml:space="preserve"> (31.5</w:t>
      </w:r>
      <w:r w:rsidR="00F6442F" w:rsidRPr="005823FC">
        <w:rPr>
          <w:rFonts w:cs="Arial"/>
          <w:szCs w:val="22"/>
          <w:lang w:eastAsia="en-AU"/>
        </w:rPr>
        <w:t>%</w:t>
      </w:r>
      <w:r w:rsidR="00F6442F">
        <w:rPr>
          <w:rFonts w:cs="Arial"/>
          <w:szCs w:val="22"/>
          <w:lang w:eastAsia="en-AU"/>
        </w:rPr>
        <w:t>),</w:t>
      </w:r>
      <w:r w:rsidR="00F6442F">
        <w:rPr>
          <w:rFonts w:cs="Arial"/>
          <w:szCs w:val="20"/>
        </w:rPr>
        <w:t xml:space="preserve"> </w:t>
      </w:r>
      <w:r w:rsidR="00F6442F" w:rsidRPr="00672F5B">
        <w:rPr>
          <w:rFonts w:cs="Arial"/>
          <w:szCs w:val="20"/>
        </w:rPr>
        <w:t>Greater Geelong</w:t>
      </w:r>
      <w:r w:rsidR="00F6442F">
        <w:rPr>
          <w:rFonts w:cs="Arial"/>
          <w:szCs w:val="20"/>
        </w:rPr>
        <w:t xml:space="preserve"> (28.6%), </w:t>
      </w:r>
      <w:r w:rsidR="00793469">
        <w:rPr>
          <w:rFonts w:cs="Arial"/>
          <w:szCs w:val="20"/>
        </w:rPr>
        <w:t>Moorabool</w:t>
      </w:r>
      <w:r w:rsidR="00A30B18">
        <w:rPr>
          <w:rFonts w:cs="Arial"/>
          <w:szCs w:val="20"/>
        </w:rPr>
        <w:t xml:space="preserve"> (</w:t>
      </w:r>
      <w:r w:rsidR="00F6442F">
        <w:rPr>
          <w:rFonts w:cs="Arial"/>
          <w:szCs w:val="22"/>
          <w:lang w:eastAsia="en-AU"/>
        </w:rPr>
        <w:t>28.3</w:t>
      </w:r>
      <w:r w:rsidR="005823FC" w:rsidRPr="005823FC">
        <w:rPr>
          <w:rFonts w:cs="Arial"/>
          <w:szCs w:val="22"/>
          <w:lang w:eastAsia="en-AU"/>
        </w:rPr>
        <w:t>%</w:t>
      </w:r>
      <w:r>
        <w:rPr>
          <w:rFonts w:cs="Arial"/>
          <w:szCs w:val="20"/>
        </w:rPr>
        <w:t xml:space="preserve">), </w:t>
      </w:r>
      <w:r w:rsidR="00F6442F">
        <w:rPr>
          <w:rFonts w:cs="Arial"/>
          <w:szCs w:val="20"/>
        </w:rPr>
        <w:t>Ballarat</w:t>
      </w:r>
      <w:r w:rsidR="00F6442F" w:rsidRPr="00A916AD">
        <w:rPr>
          <w:rFonts w:cs="Arial"/>
          <w:szCs w:val="20"/>
        </w:rPr>
        <w:t xml:space="preserve"> </w:t>
      </w:r>
      <w:r w:rsidR="00F6442F">
        <w:rPr>
          <w:rFonts w:cs="Arial"/>
          <w:szCs w:val="20"/>
        </w:rPr>
        <w:t>(</w:t>
      </w:r>
      <w:r w:rsidR="00F6442F">
        <w:rPr>
          <w:rFonts w:cs="Arial"/>
          <w:szCs w:val="22"/>
          <w:lang w:eastAsia="en-AU"/>
        </w:rPr>
        <w:t>26.4</w:t>
      </w:r>
      <w:r w:rsidR="00F6442F" w:rsidRPr="005823FC">
        <w:rPr>
          <w:rFonts w:cs="Arial"/>
          <w:szCs w:val="22"/>
          <w:lang w:eastAsia="en-AU"/>
        </w:rPr>
        <w:t>%</w:t>
      </w:r>
      <w:r w:rsidR="00F6442F">
        <w:rPr>
          <w:rFonts w:cs="Arial"/>
          <w:szCs w:val="20"/>
        </w:rPr>
        <w:t xml:space="preserve">), </w:t>
      </w:r>
      <w:r w:rsidR="00F6442F" w:rsidRPr="00672F5B">
        <w:rPr>
          <w:rFonts w:cs="Arial"/>
          <w:szCs w:val="20"/>
        </w:rPr>
        <w:t>Greater Bendigo</w:t>
      </w:r>
      <w:r w:rsidR="00F6442F">
        <w:rPr>
          <w:rFonts w:cs="Arial"/>
          <w:szCs w:val="20"/>
        </w:rPr>
        <w:t xml:space="preserve"> (26.4%) and </w:t>
      </w:r>
      <w:r w:rsidR="00672F5B" w:rsidRPr="00672F5B">
        <w:rPr>
          <w:rFonts w:cs="Arial"/>
          <w:szCs w:val="20"/>
        </w:rPr>
        <w:t>Golden Plains</w:t>
      </w:r>
      <w:r w:rsidR="000527E3">
        <w:rPr>
          <w:rFonts w:cs="Arial"/>
          <w:szCs w:val="20"/>
        </w:rPr>
        <w:t xml:space="preserve"> (26</w:t>
      </w:r>
      <w:r w:rsidR="00F6442F">
        <w:rPr>
          <w:rFonts w:cs="Arial"/>
          <w:szCs w:val="20"/>
        </w:rPr>
        <w:t>.3%). Over the past five years, t</w:t>
      </w:r>
      <w:r w:rsidR="0020685E">
        <w:rPr>
          <w:rFonts w:cs="Arial"/>
          <w:szCs w:val="20"/>
        </w:rPr>
        <w:t xml:space="preserve">he </w:t>
      </w:r>
      <w:r w:rsidR="00672F5B">
        <w:rPr>
          <w:rFonts w:cs="Arial"/>
          <w:szCs w:val="20"/>
        </w:rPr>
        <w:t xml:space="preserve">number of active bonds has decreased in </w:t>
      </w:r>
      <w:r w:rsidR="00F6442F">
        <w:rPr>
          <w:rFonts w:cs="Arial"/>
          <w:szCs w:val="20"/>
        </w:rPr>
        <w:t>three municipalities, Queenscliffe (-1.7</w:t>
      </w:r>
      <w:r w:rsidR="00672F5B">
        <w:rPr>
          <w:rFonts w:cs="Arial"/>
          <w:szCs w:val="20"/>
        </w:rPr>
        <w:t>%)</w:t>
      </w:r>
      <w:r w:rsidR="00F6442F">
        <w:rPr>
          <w:rFonts w:cs="Arial"/>
          <w:szCs w:val="20"/>
        </w:rPr>
        <w:t xml:space="preserve">, </w:t>
      </w:r>
      <w:r w:rsidR="00F6442F" w:rsidRPr="00F6442F">
        <w:rPr>
          <w:rFonts w:cs="Arial"/>
          <w:szCs w:val="20"/>
        </w:rPr>
        <w:t>Gannawarra</w:t>
      </w:r>
      <w:r w:rsidR="00F6442F">
        <w:rPr>
          <w:rFonts w:cs="Arial"/>
          <w:szCs w:val="20"/>
        </w:rPr>
        <w:t xml:space="preserve"> (-1.4%) and </w:t>
      </w:r>
      <w:r w:rsidR="00F6442F" w:rsidRPr="00F6442F">
        <w:rPr>
          <w:rFonts w:cs="Arial"/>
          <w:szCs w:val="20"/>
        </w:rPr>
        <w:t>Swan Hill</w:t>
      </w:r>
      <w:r w:rsidR="00F6442F">
        <w:rPr>
          <w:rFonts w:cs="Arial"/>
          <w:szCs w:val="20"/>
        </w:rPr>
        <w:t xml:space="preserve"> (-0.2%)</w:t>
      </w:r>
      <w:r w:rsidR="00672F5B">
        <w:rPr>
          <w:rFonts w:cs="Arial"/>
          <w:szCs w:val="20"/>
        </w:rPr>
        <w:t xml:space="preserve"> while the </w:t>
      </w:r>
      <w:r w:rsidR="0020685E">
        <w:rPr>
          <w:rFonts w:cs="Arial"/>
          <w:szCs w:val="20"/>
        </w:rPr>
        <w:t xml:space="preserve">lowest increases have been in the municipalities of </w:t>
      </w:r>
      <w:r w:rsidR="00F6442F" w:rsidRPr="00F6442F">
        <w:rPr>
          <w:rFonts w:cs="Arial"/>
          <w:szCs w:val="20"/>
        </w:rPr>
        <w:t xml:space="preserve">Campaspe </w:t>
      </w:r>
      <w:r w:rsidR="00F6442F">
        <w:rPr>
          <w:rFonts w:cs="Arial"/>
          <w:szCs w:val="20"/>
        </w:rPr>
        <w:t xml:space="preserve">(2.8%), </w:t>
      </w:r>
      <w:r w:rsidR="00F6442F" w:rsidRPr="00F6442F">
        <w:rPr>
          <w:rFonts w:cs="Arial"/>
          <w:szCs w:val="20"/>
        </w:rPr>
        <w:t xml:space="preserve">Benalla </w:t>
      </w:r>
      <w:r w:rsidR="00F6442F">
        <w:rPr>
          <w:rFonts w:cs="Arial"/>
          <w:szCs w:val="20"/>
        </w:rPr>
        <w:t xml:space="preserve">(3.4%), </w:t>
      </w:r>
      <w:r w:rsidR="006C4DFE" w:rsidRPr="006C4DFE">
        <w:rPr>
          <w:rFonts w:cs="Arial"/>
          <w:szCs w:val="20"/>
        </w:rPr>
        <w:t xml:space="preserve">Indigo </w:t>
      </w:r>
      <w:r w:rsidR="006C4DFE">
        <w:rPr>
          <w:rFonts w:cs="Arial"/>
          <w:szCs w:val="20"/>
        </w:rPr>
        <w:t xml:space="preserve">(4.5%) and </w:t>
      </w:r>
      <w:r w:rsidR="0020685E" w:rsidRPr="0020685E">
        <w:rPr>
          <w:rFonts w:cs="Arial"/>
          <w:szCs w:val="20"/>
        </w:rPr>
        <w:t>Northern Grampians</w:t>
      </w:r>
      <w:r w:rsidR="006C4DFE">
        <w:rPr>
          <w:rFonts w:cs="Arial"/>
          <w:szCs w:val="20"/>
        </w:rPr>
        <w:t xml:space="preserve"> (4.8</w:t>
      </w:r>
      <w:r w:rsidR="00672F5B">
        <w:rPr>
          <w:rFonts w:cs="Arial"/>
          <w:szCs w:val="20"/>
        </w:rPr>
        <w:t>%)</w:t>
      </w:r>
      <w:r w:rsidR="0020685E">
        <w:rPr>
          <w:rFonts w:cs="Arial"/>
          <w:szCs w:val="20"/>
        </w:rPr>
        <w:t xml:space="preserve">. </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47763C" w:rsidRDefault="0047763C" w:rsidP="00236D79">
      <w:pPr>
        <w:rPr>
          <w:rFonts w:cs="Arial"/>
          <w:szCs w:val="20"/>
        </w:rPr>
      </w:pPr>
    </w:p>
    <w:p w:rsidR="00045324" w:rsidRPr="007A59DE" w:rsidRDefault="0047763C" w:rsidP="00DF3112">
      <w:pPr>
        <w:jc w:val="center"/>
        <w:rPr>
          <w:rFonts w:cs="Arial"/>
          <w:b/>
          <w:sz w:val="20"/>
          <w:szCs w:val="20"/>
          <w:lang w:eastAsia="en-AU"/>
        </w:rPr>
      </w:pPr>
      <w:r w:rsidRPr="00FE33D7">
        <w:rPr>
          <w:rFonts w:cs="Arial"/>
          <w:b/>
          <w:sz w:val="20"/>
          <w:szCs w:val="20"/>
        </w:rPr>
        <w:t>Figure 4</w:t>
      </w:r>
      <w:r w:rsidR="00665DCF">
        <w:rPr>
          <w:rFonts w:cs="Arial"/>
          <w:b/>
          <w:sz w:val="20"/>
          <w:szCs w:val="20"/>
        </w:rPr>
        <w:t xml:space="preserve">: </w:t>
      </w:r>
      <w:r w:rsidRPr="00FE33D7">
        <w:rPr>
          <w:rFonts w:cs="Arial"/>
          <w:b/>
          <w:sz w:val="20"/>
          <w:szCs w:val="20"/>
        </w:rPr>
        <w:t xml:space="preserve">Total active residential bonds, Victoria - </w:t>
      </w:r>
      <w:r w:rsidRPr="00FE33D7">
        <w:rPr>
          <w:rFonts w:cs="Arial"/>
          <w:b/>
          <w:sz w:val="20"/>
          <w:szCs w:val="20"/>
          <w:lang w:eastAsia="en-AU"/>
        </w:rPr>
        <w:t>annual percent</w:t>
      </w:r>
      <w:r w:rsidR="00023AD6" w:rsidRPr="00FE33D7">
        <w:rPr>
          <w:rFonts w:cs="Arial"/>
          <w:b/>
          <w:sz w:val="20"/>
          <w:szCs w:val="20"/>
          <w:lang w:eastAsia="en-AU"/>
        </w:rPr>
        <w:t>age</w:t>
      </w:r>
      <w:r w:rsidR="007A59DE" w:rsidRPr="00FE33D7">
        <w:rPr>
          <w:rFonts w:cs="Arial"/>
          <w:b/>
          <w:sz w:val="20"/>
          <w:szCs w:val="20"/>
          <w:lang w:eastAsia="en-AU"/>
        </w:rPr>
        <w:t xml:space="preserve"> change</w:t>
      </w:r>
      <w:r w:rsidR="00DF3112">
        <w:rPr>
          <w:noProof/>
          <w:lang w:eastAsia="en-AU"/>
        </w:rPr>
        <w:drawing>
          <wp:inline distT="0" distB="0" distL="0" distR="0" wp14:anchorId="39D0B387" wp14:editId="63DE2DE7">
            <wp:extent cx="5079920" cy="2490334"/>
            <wp:effectExtent l="0" t="0" r="6985" b="5715"/>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7763C" w:rsidRPr="009D353E" w:rsidRDefault="0047763C" w:rsidP="009D353E">
      <w:pPr>
        <w:rPr>
          <w:rFonts w:cs="Arial"/>
          <w:b/>
          <w:sz w:val="20"/>
          <w:szCs w:val="20"/>
        </w:rPr>
      </w:pPr>
      <w:r>
        <w:rPr>
          <w:rFonts w:cs="Arial"/>
          <w:lang w:val="en-US"/>
        </w:rPr>
        <w:br w:type="page"/>
      </w:r>
      <w:r w:rsidRPr="009D353E">
        <w:rPr>
          <w:rFonts w:cs="Arial"/>
          <w:b/>
          <w:sz w:val="20"/>
          <w:szCs w:val="20"/>
        </w:rPr>
        <w:lastRenderedPageBreak/>
        <w:t xml:space="preserve">Figure 5a: Number of active bonds by suburb for metropolitan Melbourne </w:t>
      </w:r>
    </w:p>
    <w:p w:rsidR="0047763C" w:rsidRDefault="00DF3112" w:rsidP="00FA23E4">
      <w:pPr>
        <w:jc w:val="center"/>
        <w:rPr>
          <w:rFonts w:cs="Arial"/>
          <w:b/>
          <w:sz w:val="20"/>
          <w:szCs w:val="20"/>
        </w:rPr>
      </w:pPr>
      <w:r>
        <w:rPr>
          <w:rFonts w:cs="Arial"/>
          <w:b/>
          <w:noProof/>
          <w:sz w:val="20"/>
          <w:szCs w:val="20"/>
          <w:lang w:eastAsia="en-AU"/>
        </w:rPr>
        <w:drawing>
          <wp:inline distT="0" distB="0" distL="0" distR="0">
            <wp:extent cx="3552816" cy="36000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72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52816" cy="3600000"/>
                    </a:xfrm>
                    <a:prstGeom prst="rect">
                      <a:avLst/>
                    </a:prstGeom>
                  </pic:spPr>
                </pic:pic>
              </a:graphicData>
            </a:graphic>
          </wp:inline>
        </w:drawing>
      </w:r>
    </w:p>
    <w:p w:rsidR="00FC2E69" w:rsidRDefault="00FC2E69" w:rsidP="00FA23E4">
      <w:pPr>
        <w:jc w:val="center"/>
        <w:rPr>
          <w:rFonts w:cs="Arial"/>
          <w:b/>
          <w:sz w:val="20"/>
          <w:szCs w:val="20"/>
        </w:rPr>
      </w:pPr>
    </w:p>
    <w:p w:rsidR="00FC2E69" w:rsidRDefault="00665DCF" w:rsidP="007D2335">
      <w:pPr>
        <w:jc w:val="center"/>
        <w:rPr>
          <w:rFonts w:cs="Arial"/>
          <w:b/>
        </w:rPr>
      </w:pPr>
      <w:r>
        <w:rPr>
          <w:rFonts w:cs="Arial"/>
          <w:b/>
          <w:sz w:val="20"/>
          <w:szCs w:val="20"/>
        </w:rPr>
        <w:t xml:space="preserve">Figure 5b: </w:t>
      </w:r>
      <w:r w:rsidR="0047763C" w:rsidRPr="000375B1">
        <w:rPr>
          <w:rFonts w:cs="Arial"/>
          <w:b/>
          <w:sz w:val="20"/>
          <w:szCs w:val="20"/>
        </w:rPr>
        <w:t xml:space="preserve">Number of active bonds by </w:t>
      </w:r>
      <w:r w:rsidR="0047763C">
        <w:rPr>
          <w:rFonts w:cs="Arial"/>
          <w:b/>
          <w:sz w:val="20"/>
          <w:szCs w:val="20"/>
        </w:rPr>
        <w:t>Local Government Area</w:t>
      </w:r>
      <w:r w:rsidR="0047763C" w:rsidRPr="000375B1">
        <w:rPr>
          <w:rFonts w:cs="Arial"/>
          <w:b/>
          <w:sz w:val="20"/>
          <w:szCs w:val="20"/>
        </w:rPr>
        <w:t xml:space="preserve"> for regional Victoria</w:t>
      </w:r>
      <w:r w:rsidR="0047763C">
        <w:rPr>
          <w:rFonts w:cs="Arial"/>
          <w:b/>
          <w:sz w:val="20"/>
          <w:szCs w:val="20"/>
        </w:rPr>
        <w:br/>
      </w:r>
      <w:r w:rsidR="00DF3112">
        <w:rPr>
          <w:rFonts w:cs="Arial"/>
          <w:b/>
          <w:noProof/>
          <w:lang w:eastAsia="en-AU"/>
        </w:rPr>
        <w:drawing>
          <wp:inline distT="0" distB="0" distL="0" distR="0">
            <wp:extent cx="4943268" cy="3600000"/>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2RegActiv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43268" cy="3600000"/>
                    </a:xfrm>
                    <a:prstGeom prst="rect">
                      <a:avLst/>
                    </a:prstGeom>
                  </pic:spPr>
                </pic:pic>
              </a:graphicData>
            </a:graphic>
          </wp:inline>
        </w:drawing>
      </w:r>
    </w:p>
    <w:p w:rsidR="00FC2E69" w:rsidRPr="00706644" w:rsidRDefault="00FC2E69" w:rsidP="00FA23E4">
      <w:pPr>
        <w:jc w:val="center"/>
        <w:rPr>
          <w:rFonts w:cs="Arial"/>
          <w:b/>
        </w:rPr>
      </w:pPr>
    </w:p>
    <w:p w:rsidR="00B91964" w:rsidRDefault="00B91964">
      <w:pPr>
        <w:rPr>
          <w:rFonts w:cs="Arial"/>
          <w:b/>
          <w:bCs/>
          <w:color w:val="7C93B9"/>
          <w:sz w:val="26"/>
        </w:rPr>
      </w:pPr>
      <w:r>
        <w:rPr>
          <w:rFonts w:cs="Arial"/>
        </w:rPr>
        <w:br w:type="page"/>
      </w:r>
    </w:p>
    <w:p w:rsidR="0047763C" w:rsidRPr="00B41F50" w:rsidRDefault="0047763C" w:rsidP="008C51DD">
      <w:pPr>
        <w:pStyle w:val="DHSheadingB"/>
        <w:rPr>
          <w:rFonts w:cs="Arial"/>
        </w:rPr>
      </w:pPr>
      <w:r w:rsidRPr="00B41F50">
        <w:rPr>
          <w:rFonts w:cs="Arial"/>
        </w:rPr>
        <w:lastRenderedPageBreak/>
        <w:t xml:space="preserve">Turnover and length of tenancy </w:t>
      </w:r>
    </w:p>
    <w:p w:rsidR="0047763C" w:rsidRPr="00B41F50" w:rsidRDefault="0047763C" w:rsidP="00054C75">
      <w:pPr>
        <w:rPr>
          <w:rFonts w:cs="Arial"/>
          <w:szCs w:val="20"/>
        </w:rPr>
      </w:pPr>
      <w:r w:rsidRPr="00B41F50">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B41F50" w:rsidRDefault="0047763C" w:rsidP="00054C75">
      <w:pPr>
        <w:rPr>
          <w:rFonts w:cs="Arial"/>
          <w:szCs w:val="20"/>
        </w:rPr>
      </w:pPr>
    </w:p>
    <w:p w:rsidR="0000002E" w:rsidRDefault="0047763C" w:rsidP="00054C75">
      <w:pPr>
        <w:rPr>
          <w:rFonts w:cs="Arial"/>
          <w:szCs w:val="20"/>
        </w:rPr>
      </w:pPr>
      <w:r w:rsidRPr="00B41F50">
        <w:rPr>
          <w:rFonts w:cs="Arial"/>
          <w:szCs w:val="20"/>
        </w:rPr>
        <w:t>Table 7 shows the turnover rate and</w:t>
      </w:r>
      <w:r w:rsidR="0000002E" w:rsidRPr="00B41F50">
        <w:rPr>
          <w:rFonts w:cs="Arial"/>
          <w:szCs w:val="20"/>
        </w:rPr>
        <w:t>,</w:t>
      </w:r>
      <w:r w:rsidRPr="00B41F50">
        <w:rPr>
          <w:rFonts w:cs="Arial"/>
          <w:szCs w:val="20"/>
        </w:rPr>
        <w:t xml:space="preserve"> the median length of tenancy (based on bond refunds during the quarter) for both metropolitan Melbourne and regional Victoria.</w:t>
      </w:r>
      <w:r w:rsidRPr="000F3B39">
        <w:rPr>
          <w:rFonts w:cs="Arial"/>
          <w:szCs w:val="20"/>
        </w:rPr>
        <w:t xml:space="preserve">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D429F4">
        <w:rPr>
          <w:rFonts w:cs="Arial"/>
          <w:szCs w:val="20"/>
        </w:rPr>
        <w:t>June</w:t>
      </w:r>
      <w:r w:rsidR="003B18D6">
        <w:rPr>
          <w:rFonts w:cs="Arial"/>
          <w:szCs w:val="20"/>
        </w:rPr>
        <w:t xml:space="preserve"> quarter </w:t>
      </w:r>
      <w:r w:rsidR="003A132A">
        <w:rPr>
          <w:rFonts w:cs="Arial"/>
          <w:szCs w:val="20"/>
        </w:rPr>
        <w:t>2017</w:t>
      </w:r>
      <w:r w:rsidR="00B41F50">
        <w:rPr>
          <w:rFonts w:cs="Arial"/>
          <w:szCs w:val="20"/>
        </w:rPr>
        <w:t>,</w:t>
      </w:r>
      <w:r w:rsidRPr="000F3B39">
        <w:rPr>
          <w:rFonts w:cs="Arial"/>
          <w:szCs w:val="20"/>
        </w:rPr>
        <w:t xml:space="preserve"> the quarterly turnover rate for metropolitan Melbourne was </w:t>
      </w:r>
      <w:r w:rsidR="006C4DFE">
        <w:rPr>
          <w:rFonts w:cs="Arial"/>
          <w:szCs w:val="20"/>
        </w:rPr>
        <w:t>8.2</w:t>
      </w:r>
      <w:r w:rsidR="00081001">
        <w:rPr>
          <w:rFonts w:cs="Arial"/>
          <w:szCs w:val="20"/>
        </w:rPr>
        <w:t xml:space="preserve"> </w:t>
      </w:r>
      <w:r w:rsidRPr="000F3B39">
        <w:rPr>
          <w:rFonts w:cs="Arial"/>
          <w:szCs w:val="20"/>
        </w:rPr>
        <w:t xml:space="preserve">per cent (that is, </w:t>
      </w:r>
      <w:r w:rsidR="006C4DFE">
        <w:rPr>
          <w:rFonts w:cs="Arial"/>
          <w:szCs w:val="20"/>
        </w:rPr>
        <w:t>8.2</w:t>
      </w:r>
      <w:r w:rsidRPr="000F3B39">
        <w:rPr>
          <w:rFonts w:cs="Arial"/>
          <w:szCs w:val="20"/>
        </w:rPr>
        <w:t xml:space="preserve"> per cent of all bonds were refunded in the quarter)</w:t>
      </w:r>
      <w:r w:rsidR="00F24E3B">
        <w:rPr>
          <w:rFonts w:cs="Arial"/>
          <w:szCs w:val="20"/>
        </w:rPr>
        <w:t xml:space="preserve">, </w:t>
      </w:r>
      <w:r w:rsidR="006C4DFE">
        <w:rPr>
          <w:rFonts w:cs="Arial"/>
          <w:szCs w:val="20"/>
        </w:rPr>
        <w:t>compared to 8</w:t>
      </w:r>
      <w:r w:rsidR="00081001">
        <w:rPr>
          <w:rFonts w:cs="Arial"/>
          <w:szCs w:val="20"/>
        </w:rPr>
        <w:t>.6</w:t>
      </w:r>
      <w:r w:rsidR="000E4886">
        <w:rPr>
          <w:rFonts w:cs="Arial"/>
          <w:szCs w:val="20"/>
        </w:rPr>
        <w:t xml:space="preserve"> per cent </w:t>
      </w:r>
      <w:r w:rsidR="003A2969">
        <w:rPr>
          <w:rFonts w:cs="Arial"/>
          <w:szCs w:val="20"/>
        </w:rPr>
        <w:t>a year earlier</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D429F4">
        <w:rPr>
          <w:rFonts w:cs="Arial"/>
          <w:szCs w:val="20"/>
        </w:rPr>
        <w:t>June</w:t>
      </w:r>
      <w:r w:rsidR="003B18D6">
        <w:rPr>
          <w:rFonts w:cs="Arial"/>
          <w:szCs w:val="20"/>
        </w:rPr>
        <w:t xml:space="preserve"> quarter </w:t>
      </w:r>
      <w:r w:rsidR="003A132A">
        <w:rPr>
          <w:rFonts w:cs="Arial"/>
          <w:szCs w:val="20"/>
        </w:rPr>
        <w:t>2017</w:t>
      </w:r>
      <w:r w:rsidRPr="000F3B39">
        <w:rPr>
          <w:rFonts w:cs="Arial"/>
          <w:szCs w:val="20"/>
        </w:rPr>
        <w:t xml:space="preserve"> was </w:t>
      </w:r>
      <w:r w:rsidR="006C4DFE">
        <w:rPr>
          <w:rFonts w:cs="Arial"/>
          <w:szCs w:val="20"/>
        </w:rPr>
        <w:t>9.3</w:t>
      </w:r>
      <w:r>
        <w:rPr>
          <w:rFonts w:cs="Arial"/>
          <w:szCs w:val="20"/>
        </w:rPr>
        <w:t xml:space="preserve"> per cent</w:t>
      </w:r>
      <w:r w:rsidR="004404D2">
        <w:rPr>
          <w:rFonts w:cs="Arial"/>
          <w:szCs w:val="20"/>
        </w:rPr>
        <w:t>,</w:t>
      </w:r>
      <w:r w:rsidR="00F24E3B">
        <w:rPr>
          <w:rFonts w:cs="Arial"/>
          <w:szCs w:val="20"/>
        </w:rPr>
        <w:t xml:space="preserve"> </w:t>
      </w:r>
      <w:r w:rsidR="00081001">
        <w:rPr>
          <w:rFonts w:cs="Arial"/>
          <w:szCs w:val="20"/>
        </w:rPr>
        <w:t>compared to 9.7</w:t>
      </w:r>
      <w:r w:rsidR="00AC7775">
        <w:rPr>
          <w:rFonts w:cs="Arial"/>
          <w:szCs w:val="20"/>
        </w:rPr>
        <w:t xml:space="preserve"> per cent in</w:t>
      </w:r>
      <w:r w:rsidR="003A2969">
        <w:rPr>
          <w:rFonts w:cs="Arial"/>
          <w:szCs w:val="20"/>
        </w:rPr>
        <w:t xml:space="preserve"> the same quarter last year</w:t>
      </w:r>
      <w:r w:rsidR="00ED11CC">
        <w:rPr>
          <w:rFonts w:cs="Arial"/>
          <w:szCs w:val="20"/>
        </w:rPr>
        <w:t>.</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The median length of tenancy for bonds refunded in the </w:t>
      </w:r>
      <w:r w:rsidR="00D429F4">
        <w:rPr>
          <w:rFonts w:cs="Arial"/>
          <w:szCs w:val="20"/>
        </w:rPr>
        <w:t>June</w:t>
      </w:r>
      <w:r w:rsidR="00B41F50">
        <w:rPr>
          <w:rFonts w:cs="Arial"/>
          <w:szCs w:val="20"/>
        </w:rPr>
        <w:t xml:space="preserve"> quarter </w:t>
      </w:r>
      <w:r w:rsidR="003A132A">
        <w:rPr>
          <w:rFonts w:cs="Arial"/>
          <w:szCs w:val="20"/>
        </w:rPr>
        <w:t>2017</w:t>
      </w:r>
      <w:r w:rsidRPr="000F3B39">
        <w:rPr>
          <w:rFonts w:cs="Arial"/>
          <w:szCs w:val="20"/>
        </w:rPr>
        <w:t xml:space="preserve"> was </w:t>
      </w:r>
      <w:r w:rsidR="003B18D6">
        <w:rPr>
          <w:rFonts w:cs="Arial"/>
          <w:szCs w:val="20"/>
        </w:rPr>
        <w:t>1</w:t>
      </w:r>
      <w:r w:rsidR="006C4DFE">
        <w:rPr>
          <w:rFonts w:cs="Arial"/>
          <w:szCs w:val="20"/>
        </w:rPr>
        <w:t>9</w:t>
      </w:r>
      <w:r w:rsidRPr="000F3B39">
        <w:rPr>
          <w:rFonts w:cs="Arial"/>
          <w:szCs w:val="20"/>
        </w:rPr>
        <w:t xml:space="preserve"> months f</w:t>
      </w:r>
      <w:r w:rsidR="003B18D6">
        <w:rPr>
          <w:rFonts w:cs="Arial"/>
          <w:szCs w:val="20"/>
        </w:rPr>
        <w:t>or metropolitan Melbourne and 1</w:t>
      </w:r>
      <w:r w:rsidR="006C4DFE">
        <w:rPr>
          <w:rFonts w:cs="Arial"/>
          <w:szCs w:val="20"/>
        </w:rPr>
        <w:t>7</w:t>
      </w:r>
      <w:r w:rsidRPr="000F3B39">
        <w:rPr>
          <w:rFonts w:cs="Arial"/>
          <w:szCs w:val="20"/>
        </w:rPr>
        <w:t xml:space="preserve"> months for regional Victoria.</w:t>
      </w:r>
    </w:p>
    <w:p w:rsidR="0007299D" w:rsidRDefault="0007299D" w:rsidP="00054C75">
      <w:pPr>
        <w:rPr>
          <w:rFonts w:cs="Arial"/>
          <w:szCs w:val="20"/>
        </w:rPr>
      </w:pPr>
    </w:p>
    <w:p w:rsidR="0007299D" w:rsidRPr="0007299D" w:rsidRDefault="0007299D" w:rsidP="0007299D">
      <w:pPr>
        <w:rPr>
          <w:b/>
          <w:sz w:val="20"/>
          <w:lang w:val="en-US"/>
        </w:rPr>
      </w:pPr>
      <w:r w:rsidRPr="0007299D">
        <w:rPr>
          <w:b/>
          <w:sz w:val="20"/>
          <w:lang w:val="en-US"/>
        </w:rPr>
        <w:t>Table 7: Turnover and 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07299D" w:rsidRPr="007D5EA5" w:rsidTr="00795B65">
        <w:trPr>
          <w:trHeight w:hRule="exact" w:val="340"/>
        </w:trPr>
        <w:tc>
          <w:tcPr>
            <w:tcW w:w="2463" w:type="dxa"/>
            <w:tcBorders>
              <w:top w:val="single" w:sz="18" w:space="0" w:color="9DAECB"/>
              <w:bottom w:val="single" w:sz="12" w:space="0" w:color="9DAECB"/>
            </w:tcBorders>
            <w:vAlign w:val="bottom"/>
          </w:tcPr>
          <w:p w:rsidR="0007299D" w:rsidRPr="00C95655" w:rsidRDefault="0007299D" w:rsidP="00C52826">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07299D" w:rsidRPr="00C95655" w:rsidRDefault="0007299D" w:rsidP="00C52826">
            <w:pPr>
              <w:rPr>
                <w:rFonts w:cs="Arial"/>
                <w:b/>
                <w:bCs/>
                <w:sz w:val="20"/>
                <w:szCs w:val="20"/>
              </w:rPr>
            </w:pPr>
          </w:p>
        </w:tc>
        <w:tc>
          <w:tcPr>
            <w:tcW w:w="1985" w:type="dxa"/>
            <w:tcBorders>
              <w:top w:val="single" w:sz="18" w:space="0" w:color="9DAECB"/>
              <w:bottom w:val="single" w:sz="12" w:space="0" w:color="9DAECB"/>
            </w:tcBorders>
            <w:vAlign w:val="center"/>
          </w:tcPr>
          <w:p w:rsidR="0007299D" w:rsidRPr="00C95655" w:rsidRDefault="0007692A" w:rsidP="00795B65">
            <w:pPr>
              <w:jc w:val="center"/>
              <w:rPr>
                <w:rFonts w:cs="Arial"/>
                <w:b/>
                <w:bCs/>
                <w:sz w:val="20"/>
                <w:szCs w:val="20"/>
              </w:rPr>
            </w:pPr>
            <w:r>
              <w:rPr>
                <w:rFonts w:cs="Arial"/>
                <w:b/>
                <w:bCs/>
                <w:sz w:val="20"/>
                <w:szCs w:val="20"/>
              </w:rPr>
              <w:t>June</w:t>
            </w:r>
            <w:r w:rsidR="00795B65">
              <w:rPr>
                <w:rFonts w:cs="Arial"/>
                <w:b/>
                <w:bCs/>
                <w:sz w:val="20"/>
                <w:szCs w:val="20"/>
              </w:rPr>
              <w:t xml:space="preserve"> 2017</w:t>
            </w:r>
          </w:p>
        </w:tc>
        <w:tc>
          <w:tcPr>
            <w:tcW w:w="1842" w:type="dxa"/>
            <w:tcBorders>
              <w:top w:val="single" w:sz="18" w:space="0" w:color="9DAECB"/>
              <w:bottom w:val="single" w:sz="12" w:space="0" w:color="9DAECB"/>
            </w:tcBorders>
            <w:shd w:val="clear" w:color="auto" w:fill="DEE4EE"/>
            <w:vAlign w:val="center"/>
          </w:tcPr>
          <w:p w:rsidR="0007299D" w:rsidRPr="00C95655" w:rsidRDefault="0007692A" w:rsidP="00795B65">
            <w:pPr>
              <w:jc w:val="center"/>
              <w:rPr>
                <w:rFonts w:cs="Arial"/>
                <w:b/>
                <w:bCs/>
                <w:sz w:val="20"/>
                <w:szCs w:val="20"/>
              </w:rPr>
            </w:pPr>
            <w:r>
              <w:rPr>
                <w:rFonts w:cs="Arial"/>
                <w:b/>
                <w:bCs/>
                <w:sz w:val="20"/>
                <w:szCs w:val="20"/>
              </w:rPr>
              <w:t>June</w:t>
            </w:r>
            <w:r w:rsidR="00795B65">
              <w:rPr>
                <w:rFonts w:cs="Arial"/>
                <w:b/>
                <w:bCs/>
                <w:sz w:val="20"/>
                <w:szCs w:val="20"/>
              </w:rPr>
              <w:t xml:space="preserve"> 2016</w:t>
            </w:r>
          </w:p>
        </w:tc>
      </w:tr>
      <w:tr w:rsidR="0007692A" w:rsidRPr="007D5EA5" w:rsidTr="008B45E5">
        <w:trPr>
          <w:trHeight w:hRule="exact" w:val="340"/>
        </w:trPr>
        <w:tc>
          <w:tcPr>
            <w:tcW w:w="2463" w:type="dxa"/>
            <w:tcBorders>
              <w:top w:val="single" w:sz="12" w:space="0" w:color="9DAECB"/>
            </w:tcBorders>
            <w:vAlign w:val="center"/>
          </w:tcPr>
          <w:p w:rsidR="0007692A" w:rsidRPr="00C95655" w:rsidRDefault="0007692A" w:rsidP="0007692A">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07692A" w:rsidRPr="00C95655" w:rsidRDefault="0007692A" w:rsidP="0007692A">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07692A" w:rsidRPr="001C7981" w:rsidRDefault="0007692A" w:rsidP="008B45E5">
            <w:pPr>
              <w:jc w:val="center"/>
            </w:pPr>
            <w:r w:rsidRPr="001C7981">
              <w:t>8.2%</w:t>
            </w:r>
          </w:p>
        </w:tc>
        <w:tc>
          <w:tcPr>
            <w:tcW w:w="1842" w:type="dxa"/>
            <w:tcBorders>
              <w:top w:val="single" w:sz="12" w:space="0" w:color="9DAECB"/>
            </w:tcBorders>
            <w:shd w:val="clear" w:color="auto" w:fill="DEE4EE"/>
            <w:vAlign w:val="center"/>
          </w:tcPr>
          <w:p w:rsidR="0007692A" w:rsidRDefault="0007692A" w:rsidP="008B45E5">
            <w:pPr>
              <w:jc w:val="center"/>
            </w:pPr>
            <w:r w:rsidRPr="001C7981">
              <w:t>8.6%</w:t>
            </w:r>
          </w:p>
        </w:tc>
      </w:tr>
      <w:tr w:rsidR="0034423E" w:rsidRPr="007D5EA5" w:rsidTr="008B45E5">
        <w:trPr>
          <w:trHeight w:hRule="exact" w:val="340"/>
        </w:trPr>
        <w:tc>
          <w:tcPr>
            <w:tcW w:w="2463" w:type="dxa"/>
            <w:vAlign w:val="center"/>
          </w:tcPr>
          <w:p w:rsidR="0034423E" w:rsidRPr="00C95655" w:rsidRDefault="0034423E" w:rsidP="0034423E">
            <w:pPr>
              <w:rPr>
                <w:rFonts w:cs="Arial"/>
                <w:b/>
                <w:bCs/>
                <w:sz w:val="20"/>
                <w:szCs w:val="20"/>
              </w:rPr>
            </w:pPr>
          </w:p>
        </w:tc>
        <w:tc>
          <w:tcPr>
            <w:tcW w:w="3457" w:type="dxa"/>
            <w:shd w:val="clear" w:color="auto" w:fill="DEE4EE"/>
            <w:vAlign w:val="center"/>
          </w:tcPr>
          <w:p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rsidR="0034423E" w:rsidRPr="00792B17" w:rsidRDefault="0007692A" w:rsidP="008B45E5">
            <w:pPr>
              <w:jc w:val="center"/>
            </w:pPr>
            <w:r>
              <w:t>19</w:t>
            </w:r>
            <w:r w:rsidR="0034423E">
              <w:t xml:space="preserve"> months</w:t>
            </w:r>
          </w:p>
        </w:tc>
        <w:tc>
          <w:tcPr>
            <w:tcW w:w="1842" w:type="dxa"/>
            <w:shd w:val="clear" w:color="auto" w:fill="DEE4EE"/>
            <w:vAlign w:val="center"/>
          </w:tcPr>
          <w:p w:rsidR="0034423E" w:rsidRDefault="0034423E" w:rsidP="008B45E5">
            <w:pPr>
              <w:jc w:val="center"/>
            </w:pPr>
            <w:r w:rsidRPr="008E7D62">
              <w:t>1</w:t>
            </w:r>
            <w:r w:rsidR="0007692A">
              <w:t>8</w:t>
            </w:r>
            <w:r>
              <w:t xml:space="preserve"> months</w:t>
            </w:r>
          </w:p>
        </w:tc>
      </w:tr>
      <w:tr w:rsidR="008B45E5" w:rsidRPr="007D5EA5" w:rsidTr="008B45E5">
        <w:trPr>
          <w:trHeight w:hRule="exact" w:val="340"/>
        </w:trPr>
        <w:tc>
          <w:tcPr>
            <w:tcW w:w="2463" w:type="dxa"/>
            <w:vAlign w:val="center"/>
          </w:tcPr>
          <w:p w:rsidR="008B45E5" w:rsidRPr="00C95655" w:rsidRDefault="008B45E5" w:rsidP="008B45E5">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8B45E5" w:rsidRPr="00C95655" w:rsidRDefault="008B45E5" w:rsidP="008B45E5">
            <w:pPr>
              <w:rPr>
                <w:rFonts w:cs="Arial"/>
                <w:sz w:val="20"/>
                <w:szCs w:val="20"/>
              </w:rPr>
            </w:pPr>
            <w:r w:rsidRPr="00C95655">
              <w:rPr>
                <w:rFonts w:cs="Arial"/>
                <w:sz w:val="20"/>
                <w:szCs w:val="20"/>
              </w:rPr>
              <w:t>Turnover rate</w:t>
            </w:r>
          </w:p>
        </w:tc>
        <w:tc>
          <w:tcPr>
            <w:tcW w:w="1985" w:type="dxa"/>
            <w:vAlign w:val="center"/>
          </w:tcPr>
          <w:p w:rsidR="008B45E5" w:rsidRPr="00C43A28" w:rsidRDefault="008B45E5" w:rsidP="008B45E5">
            <w:pPr>
              <w:jc w:val="center"/>
            </w:pPr>
            <w:r w:rsidRPr="00C43A28">
              <w:t>9.3%</w:t>
            </w:r>
          </w:p>
        </w:tc>
        <w:tc>
          <w:tcPr>
            <w:tcW w:w="1842" w:type="dxa"/>
            <w:shd w:val="clear" w:color="auto" w:fill="DEE4EE"/>
            <w:vAlign w:val="center"/>
          </w:tcPr>
          <w:p w:rsidR="008B45E5" w:rsidRDefault="008B45E5" w:rsidP="008B45E5">
            <w:pPr>
              <w:jc w:val="center"/>
            </w:pPr>
            <w:r w:rsidRPr="00C43A28">
              <w:t>9.7%</w:t>
            </w:r>
          </w:p>
        </w:tc>
      </w:tr>
      <w:tr w:rsidR="0034423E" w:rsidRPr="007D5EA5" w:rsidTr="008B45E5">
        <w:trPr>
          <w:trHeight w:hRule="exact" w:val="340"/>
        </w:trPr>
        <w:tc>
          <w:tcPr>
            <w:tcW w:w="2463" w:type="dxa"/>
            <w:vAlign w:val="center"/>
          </w:tcPr>
          <w:p w:rsidR="0034423E" w:rsidRPr="00C95655" w:rsidRDefault="0034423E" w:rsidP="0034423E">
            <w:pPr>
              <w:rPr>
                <w:rFonts w:cs="Arial"/>
                <w:b/>
                <w:bCs/>
                <w:sz w:val="20"/>
                <w:szCs w:val="20"/>
              </w:rPr>
            </w:pPr>
          </w:p>
        </w:tc>
        <w:tc>
          <w:tcPr>
            <w:tcW w:w="3457" w:type="dxa"/>
            <w:shd w:val="clear" w:color="auto" w:fill="DEE4EE"/>
            <w:vAlign w:val="center"/>
          </w:tcPr>
          <w:p w:rsidR="0034423E" w:rsidRPr="00C95655" w:rsidRDefault="0034423E" w:rsidP="0034423E">
            <w:pPr>
              <w:rPr>
                <w:rFonts w:cs="Arial"/>
                <w:sz w:val="20"/>
                <w:szCs w:val="20"/>
              </w:rPr>
            </w:pPr>
            <w:r w:rsidRPr="00C95655">
              <w:rPr>
                <w:rFonts w:cs="Arial"/>
                <w:sz w:val="20"/>
                <w:szCs w:val="20"/>
              </w:rPr>
              <w:t>Median tenancy duration</w:t>
            </w:r>
          </w:p>
        </w:tc>
        <w:tc>
          <w:tcPr>
            <w:tcW w:w="1985" w:type="dxa"/>
            <w:vAlign w:val="center"/>
          </w:tcPr>
          <w:p w:rsidR="0034423E" w:rsidRPr="00444722" w:rsidRDefault="0034423E" w:rsidP="008B45E5">
            <w:pPr>
              <w:jc w:val="center"/>
            </w:pPr>
            <w:r w:rsidRPr="004550BF">
              <w:t>1</w:t>
            </w:r>
            <w:r w:rsidR="008B45E5">
              <w:t>7</w:t>
            </w:r>
            <w:r>
              <w:t xml:space="preserve"> months</w:t>
            </w:r>
          </w:p>
        </w:tc>
        <w:tc>
          <w:tcPr>
            <w:tcW w:w="1842" w:type="dxa"/>
            <w:shd w:val="clear" w:color="auto" w:fill="DEE4EE"/>
            <w:vAlign w:val="center"/>
          </w:tcPr>
          <w:p w:rsidR="0034423E" w:rsidRDefault="0034423E" w:rsidP="008B45E5">
            <w:pPr>
              <w:jc w:val="center"/>
            </w:pPr>
            <w:r w:rsidRPr="004550BF">
              <w:t>1</w:t>
            </w:r>
            <w:r w:rsidR="008B45E5">
              <w:t>6</w:t>
            </w:r>
            <w:r>
              <w:t xml:space="preserve"> months</w:t>
            </w:r>
          </w:p>
        </w:tc>
      </w:tr>
    </w:tbl>
    <w:p w:rsidR="0007299D" w:rsidRPr="002418AD" w:rsidRDefault="0007299D" w:rsidP="0007299D">
      <w:pPr>
        <w:pStyle w:val="Footnote"/>
        <w:spacing w:before="0" w:line="240" w:lineRule="auto"/>
        <w:jc w:val="left"/>
        <w:rPr>
          <w:rFonts w:cs="Arial"/>
          <w:color w:val="auto"/>
          <w:sz w:val="16"/>
        </w:rPr>
      </w:pPr>
      <w:r w:rsidRPr="002418AD">
        <w:rPr>
          <w:rFonts w:cs="Arial"/>
          <w:color w:val="auto"/>
          <w:sz w:val="16"/>
        </w:rPr>
        <w:t>Notes:</w:t>
      </w:r>
    </w:p>
    <w:p w:rsidR="0007299D" w:rsidRPr="002418AD" w:rsidRDefault="0007299D" w:rsidP="0007299D">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07299D" w:rsidRPr="002418AD" w:rsidRDefault="0007299D" w:rsidP="0007299D">
      <w:pPr>
        <w:pStyle w:val="Footnote"/>
        <w:spacing w:before="0" w:line="240" w:lineRule="auto"/>
        <w:jc w:val="left"/>
        <w:rPr>
          <w:rFonts w:cs="Arial"/>
          <w:color w:val="auto"/>
          <w:sz w:val="16"/>
        </w:rPr>
      </w:pPr>
      <w:r>
        <w:rPr>
          <w:rFonts w:cs="Arial"/>
          <w:color w:val="auto"/>
          <w:sz w:val="16"/>
        </w:rPr>
        <w:t>2. M</w:t>
      </w:r>
      <w:r w:rsidRPr="002418AD">
        <w:rPr>
          <w:rFonts w:cs="Arial"/>
          <w:color w:val="auto"/>
          <w:sz w:val="16"/>
        </w:rPr>
        <w:t xml:space="preserve">edian </w:t>
      </w:r>
      <w:r>
        <w:rPr>
          <w:rFonts w:cs="Arial"/>
          <w:color w:val="auto"/>
          <w:sz w:val="16"/>
        </w:rPr>
        <w:t xml:space="preserve">tenancy </w:t>
      </w:r>
      <w:r w:rsidRPr="002418AD">
        <w:rPr>
          <w:rFonts w:cs="Arial"/>
          <w:color w:val="auto"/>
          <w:sz w:val="16"/>
        </w:rPr>
        <w:t>duration (months)</w:t>
      </w:r>
      <w:r>
        <w:rPr>
          <w:rFonts w:cs="Arial"/>
          <w:color w:val="auto"/>
          <w:sz w:val="16"/>
        </w:rPr>
        <w:t xml:space="preserve"> is the period</w:t>
      </w:r>
      <w:r w:rsidRPr="002418AD">
        <w:rPr>
          <w:rFonts w:cs="Arial"/>
          <w:color w:val="auto"/>
          <w:sz w:val="16"/>
        </w:rPr>
        <w:t xml:space="preserve"> from bond lodgment date to bond claim date for refunds in that quarter</w:t>
      </w:r>
      <w:r>
        <w:rPr>
          <w:rFonts w:cs="Arial"/>
          <w:color w:val="auto"/>
          <w:sz w:val="16"/>
        </w:rPr>
        <w:t>.</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w:t>
      </w:r>
      <w:r w:rsidR="006C4DFE">
        <w:rPr>
          <w:rFonts w:cs="Arial"/>
          <w:szCs w:val="20"/>
        </w:rPr>
        <w:t>,</w:t>
      </w:r>
      <w:r w:rsidR="004C4DDC">
        <w:rPr>
          <w:rFonts w:cs="Arial"/>
          <w:szCs w:val="20"/>
        </w:rPr>
        <w:t xml:space="preserve"> one-</w:t>
      </w:r>
      <w:r w:rsidRPr="000F3B39">
        <w:rPr>
          <w:rFonts w:cs="Arial"/>
          <w:szCs w:val="20"/>
        </w:rPr>
        <w:t xml:space="preserve">bedroom dwellings have the lowest median length of tenancy </w:t>
      </w:r>
      <w:r w:rsidR="006C4DFE">
        <w:rPr>
          <w:rFonts w:cs="Arial"/>
          <w:szCs w:val="20"/>
        </w:rPr>
        <w:t>(15</w:t>
      </w:r>
      <w:r w:rsidRPr="000F3B39">
        <w:rPr>
          <w:rFonts w:cs="Arial"/>
          <w:szCs w:val="20"/>
        </w:rPr>
        <w:t xml:space="preserve"> months) an</w:t>
      </w:r>
      <w:r>
        <w:rPr>
          <w:rFonts w:cs="Arial"/>
          <w:szCs w:val="20"/>
        </w:rPr>
        <w:t xml:space="preserve">d </w:t>
      </w:r>
      <w:r w:rsidR="001B69C8">
        <w:rPr>
          <w:rFonts w:cs="Arial"/>
          <w:szCs w:val="20"/>
        </w:rPr>
        <w:t>the highest t</w:t>
      </w:r>
      <w:r w:rsidR="006C4DFE">
        <w:rPr>
          <w:rFonts w:cs="Arial"/>
          <w:szCs w:val="20"/>
        </w:rPr>
        <w:t>urnover rates (9</w:t>
      </w:r>
      <w:r w:rsidR="00081001">
        <w:rPr>
          <w:rFonts w:cs="Arial"/>
          <w:szCs w:val="20"/>
        </w:rPr>
        <w:t>.7</w:t>
      </w:r>
      <w:r w:rsidR="00E27B3A">
        <w:rPr>
          <w:rFonts w:cs="Arial"/>
          <w:szCs w:val="20"/>
        </w:rPr>
        <w:t>%</w:t>
      </w:r>
      <w:r w:rsidRPr="000F3B39">
        <w:rPr>
          <w:rFonts w:cs="Arial"/>
          <w:szCs w:val="20"/>
        </w:rPr>
        <w:t xml:space="preserve">). In regional Victoria, </w:t>
      </w:r>
      <w:r w:rsidR="006C4DFE">
        <w:rPr>
          <w:rFonts w:cs="Arial"/>
          <w:szCs w:val="20"/>
        </w:rPr>
        <w:t>one</w:t>
      </w:r>
      <w:r w:rsidR="00085411">
        <w:rPr>
          <w:rFonts w:cs="Arial"/>
          <w:szCs w:val="20"/>
        </w:rPr>
        <w:t>-</w:t>
      </w:r>
      <w:r w:rsidR="003B18D6" w:rsidRPr="000F3B39">
        <w:rPr>
          <w:rFonts w:cs="Arial"/>
          <w:szCs w:val="20"/>
        </w:rPr>
        <w:t xml:space="preserve">bedroom dwellings have the lowest median length of tenancy </w:t>
      </w:r>
      <w:r w:rsidR="00081001">
        <w:rPr>
          <w:rFonts w:cs="Arial"/>
          <w:szCs w:val="20"/>
        </w:rPr>
        <w:t>(15</w:t>
      </w:r>
      <w:r w:rsidR="003B18D6" w:rsidRPr="000F3B39">
        <w:rPr>
          <w:rFonts w:cs="Arial"/>
          <w:szCs w:val="20"/>
        </w:rPr>
        <w:t xml:space="preserve"> months) </w:t>
      </w:r>
      <w:r w:rsidR="004C4DDC">
        <w:rPr>
          <w:rFonts w:cs="Arial"/>
          <w:szCs w:val="20"/>
        </w:rPr>
        <w:t xml:space="preserve">and </w:t>
      </w:r>
      <w:r w:rsidR="006C4DFE">
        <w:rPr>
          <w:rFonts w:cs="Arial"/>
          <w:szCs w:val="20"/>
        </w:rPr>
        <w:t xml:space="preserve">three-bedroom dwellings and </w:t>
      </w:r>
      <w:r w:rsidR="00B41F50">
        <w:rPr>
          <w:rFonts w:cs="Arial"/>
          <w:szCs w:val="20"/>
        </w:rPr>
        <w:t>four</w:t>
      </w:r>
      <w:r w:rsidR="00F24E3B">
        <w:rPr>
          <w:rFonts w:cs="Arial"/>
          <w:szCs w:val="20"/>
        </w:rPr>
        <w:t xml:space="preserve">-bedroom </w:t>
      </w:r>
      <w:r w:rsidR="00B41F50">
        <w:rPr>
          <w:rFonts w:cs="Arial"/>
          <w:szCs w:val="20"/>
        </w:rPr>
        <w:t xml:space="preserve">plus </w:t>
      </w:r>
      <w:r w:rsidRPr="000F3B39">
        <w:rPr>
          <w:rFonts w:cs="Arial"/>
          <w:szCs w:val="20"/>
        </w:rPr>
        <w:t>dwellings have the highest turnover rate higher (</w:t>
      </w:r>
      <w:r w:rsidR="006C4DFE">
        <w:rPr>
          <w:rFonts w:cs="Arial"/>
          <w:szCs w:val="20"/>
        </w:rPr>
        <w:t>9.4</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Pr="0007299D" w:rsidRDefault="0047763C" w:rsidP="0007299D">
      <w:pPr>
        <w:rPr>
          <w:b/>
          <w:sz w:val="20"/>
          <w:lang w:val="en-US"/>
        </w:rPr>
      </w:pPr>
      <w:r w:rsidRPr="0007299D">
        <w:rPr>
          <w:b/>
          <w:sz w:val="20"/>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1995"/>
        <w:gridCol w:w="1907"/>
        <w:gridCol w:w="1958"/>
        <w:gridCol w:w="1887"/>
        <w:gridCol w:w="1891"/>
      </w:tblGrid>
      <w:tr w:rsidR="0047763C" w:rsidRPr="005F5C4F" w:rsidTr="0034423E">
        <w:trPr>
          <w:trHeight w:hRule="exact" w:val="340"/>
        </w:trPr>
        <w:tc>
          <w:tcPr>
            <w:tcW w:w="1995" w:type="dxa"/>
            <w:tcBorders>
              <w:bottom w:val="single" w:sz="2" w:space="0" w:color="9DAECB"/>
            </w:tcBorders>
          </w:tcPr>
          <w:p w:rsidR="0047763C" w:rsidRPr="00C95655" w:rsidRDefault="0047763C" w:rsidP="001A71EF">
            <w:pPr>
              <w:pStyle w:val="DHSbodycopytable"/>
              <w:rPr>
                <w:rFonts w:cs="Arial"/>
                <w:b/>
                <w:bCs/>
                <w:sz w:val="20"/>
              </w:rPr>
            </w:pPr>
          </w:p>
        </w:tc>
        <w:tc>
          <w:tcPr>
            <w:tcW w:w="3865"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778"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34423E">
        <w:trPr>
          <w:trHeight w:val="340"/>
        </w:trPr>
        <w:tc>
          <w:tcPr>
            <w:tcW w:w="1995"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0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58"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887"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89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8B45E5" w:rsidRPr="005F5C4F" w:rsidTr="008B45E5">
        <w:trPr>
          <w:trHeight w:hRule="exact" w:val="340"/>
        </w:trPr>
        <w:tc>
          <w:tcPr>
            <w:tcW w:w="1995" w:type="dxa"/>
            <w:tcBorders>
              <w:top w:val="single" w:sz="12" w:space="0" w:color="9DAECB"/>
            </w:tcBorders>
            <w:vAlign w:val="center"/>
          </w:tcPr>
          <w:p w:rsidR="008B45E5" w:rsidRPr="00C95655" w:rsidRDefault="008B45E5" w:rsidP="008B45E5">
            <w:pPr>
              <w:pStyle w:val="DHSbodycopytable"/>
              <w:rPr>
                <w:rFonts w:cs="Arial"/>
                <w:sz w:val="20"/>
              </w:rPr>
            </w:pPr>
            <w:r w:rsidRPr="00C95655">
              <w:rPr>
                <w:rFonts w:cs="Arial"/>
                <w:sz w:val="20"/>
              </w:rPr>
              <w:t>1 bedroom</w:t>
            </w:r>
          </w:p>
        </w:tc>
        <w:tc>
          <w:tcPr>
            <w:tcW w:w="1907" w:type="dxa"/>
            <w:tcBorders>
              <w:top w:val="single" w:sz="12" w:space="0" w:color="9DAECB"/>
            </w:tcBorders>
            <w:shd w:val="clear" w:color="auto" w:fill="DEE4EE"/>
            <w:vAlign w:val="center"/>
          </w:tcPr>
          <w:p w:rsidR="008B45E5" w:rsidRPr="00450004" w:rsidRDefault="008B45E5" w:rsidP="008B45E5">
            <w:pPr>
              <w:jc w:val="center"/>
            </w:pPr>
            <w:r w:rsidRPr="00450004">
              <w:t>15</w:t>
            </w:r>
          </w:p>
        </w:tc>
        <w:tc>
          <w:tcPr>
            <w:tcW w:w="1958" w:type="dxa"/>
            <w:tcBorders>
              <w:top w:val="single" w:sz="12" w:space="0" w:color="9DAECB"/>
            </w:tcBorders>
            <w:vAlign w:val="center"/>
          </w:tcPr>
          <w:p w:rsidR="008B45E5" w:rsidRPr="00450004" w:rsidRDefault="008B45E5" w:rsidP="008B45E5">
            <w:pPr>
              <w:jc w:val="center"/>
            </w:pPr>
            <w:r w:rsidRPr="00450004">
              <w:t>9.7%</w:t>
            </w:r>
          </w:p>
        </w:tc>
        <w:tc>
          <w:tcPr>
            <w:tcW w:w="1887" w:type="dxa"/>
            <w:tcBorders>
              <w:top w:val="single" w:sz="12" w:space="0" w:color="9DAECB"/>
            </w:tcBorders>
            <w:shd w:val="clear" w:color="auto" w:fill="DEE4EE"/>
            <w:vAlign w:val="center"/>
          </w:tcPr>
          <w:p w:rsidR="008B45E5" w:rsidRPr="00EA6CD4" w:rsidRDefault="008B45E5" w:rsidP="008B45E5">
            <w:pPr>
              <w:jc w:val="center"/>
            </w:pPr>
            <w:r w:rsidRPr="00EA6CD4">
              <w:t>15</w:t>
            </w:r>
          </w:p>
        </w:tc>
        <w:tc>
          <w:tcPr>
            <w:tcW w:w="1891" w:type="dxa"/>
            <w:tcBorders>
              <w:top w:val="single" w:sz="12" w:space="0" w:color="9DAECB"/>
            </w:tcBorders>
            <w:vAlign w:val="center"/>
          </w:tcPr>
          <w:p w:rsidR="008B45E5" w:rsidRPr="00EA6CD4" w:rsidRDefault="008B45E5" w:rsidP="008B45E5">
            <w:pPr>
              <w:jc w:val="center"/>
            </w:pPr>
            <w:r w:rsidRPr="00EA6CD4">
              <w:t>9.2%</w:t>
            </w:r>
          </w:p>
        </w:tc>
      </w:tr>
      <w:tr w:rsidR="008B45E5" w:rsidRPr="005F5C4F" w:rsidTr="008B45E5">
        <w:trPr>
          <w:trHeight w:hRule="exact" w:val="340"/>
        </w:trPr>
        <w:tc>
          <w:tcPr>
            <w:tcW w:w="1995" w:type="dxa"/>
            <w:vAlign w:val="center"/>
          </w:tcPr>
          <w:p w:rsidR="008B45E5" w:rsidRPr="00C95655" w:rsidRDefault="008B45E5" w:rsidP="008B45E5">
            <w:pPr>
              <w:pStyle w:val="DHSbodycopytable"/>
              <w:rPr>
                <w:rFonts w:cs="Arial"/>
                <w:sz w:val="20"/>
              </w:rPr>
            </w:pPr>
            <w:r w:rsidRPr="00C95655">
              <w:rPr>
                <w:rFonts w:cs="Arial"/>
                <w:sz w:val="20"/>
              </w:rPr>
              <w:t>2 bedrooms</w:t>
            </w:r>
          </w:p>
        </w:tc>
        <w:tc>
          <w:tcPr>
            <w:tcW w:w="1907" w:type="dxa"/>
            <w:shd w:val="clear" w:color="auto" w:fill="DEE4EE"/>
            <w:vAlign w:val="center"/>
          </w:tcPr>
          <w:p w:rsidR="008B45E5" w:rsidRPr="00450004" w:rsidRDefault="008B45E5" w:rsidP="008B45E5">
            <w:pPr>
              <w:jc w:val="center"/>
            </w:pPr>
            <w:r w:rsidRPr="00450004">
              <w:t>19</w:t>
            </w:r>
          </w:p>
        </w:tc>
        <w:tc>
          <w:tcPr>
            <w:tcW w:w="1958" w:type="dxa"/>
            <w:vAlign w:val="center"/>
          </w:tcPr>
          <w:p w:rsidR="008B45E5" w:rsidRPr="00450004" w:rsidRDefault="008B45E5" w:rsidP="008B45E5">
            <w:pPr>
              <w:jc w:val="center"/>
            </w:pPr>
            <w:r w:rsidRPr="00450004">
              <w:t>8.3%</w:t>
            </w:r>
          </w:p>
        </w:tc>
        <w:tc>
          <w:tcPr>
            <w:tcW w:w="1887" w:type="dxa"/>
            <w:shd w:val="clear" w:color="auto" w:fill="DEE4EE"/>
            <w:vAlign w:val="center"/>
          </w:tcPr>
          <w:p w:rsidR="008B45E5" w:rsidRPr="00EA6CD4" w:rsidRDefault="008B45E5" w:rsidP="008B45E5">
            <w:pPr>
              <w:jc w:val="center"/>
            </w:pPr>
            <w:r w:rsidRPr="00EA6CD4">
              <w:t>16</w:t>
            </w:r>
          </w:p>
        </w:tc>
        <w:tc>
          <w:tcPr>
            <w:tcW w:w="1891" w:type="dxa"/>
            <w:vAlign w:val="center"/>
          </w:tcPr>
          <w:p w:rsidR="008B45E5" w:rsidRPr="00EA6CD4" w:rsidRDefault="008B45E5" w:rsidP="008B45E5">
            <w:pPr>
              <w:jc w:val="center"/>
            </w:pPr>
            <w:r w:rsidRPr="00EA6CD4">
              <w:t>9.1%</w:t>
            </w:r>
          </w:p>
        </w:tc>
      </w:tr>
      <w:tr w:rsidR="008B45E5" w:rsidRPr="005F5C4F" w:rsidTr="008B45E5">
        <w:trPr>
          <w:trHeight w:hRule="exact" w:val="340"/>
        </w:trPr>
        <w:tc>
          <w:tcPr>
            <w:tcW w:w="1995" w:type="dxa"/>
            <w:vAlign w:val="center"/>
          </w:tcPr>
          <w:p w:rsidR="008B45E5" w:rsidRPr="00C95655" w:rsidRDefault="008B45E5" w:rsidP="008B45E5">
            <w:pPr>
              <w:pStyle w:val="DHSbodycopytable"/>
              <w:rPr>
                <w:rFonts w:cs="Arial"/>
                <w:sz w:val="20"/>
              </w:rPr>
            </w:pPr>
            <w:r w:rsidRPr="00C95655">
              <w:rPr>
                <w:rFonts w:cs="Arial"/>
                <w:sz w:val="20"/>
              </w:rPr>
              <w:t>3 bedrooms</w:t>
            </w:r>
          </w:p>
        </w:tc>
        <w:tc>
          <w:tcPr>
            <w:tcW w:w="1907" w:type="dxa"/>
            <w:shd w:val="clear" w:color="auto" w:fill="DEE4EE"/>
            <w:vAlign w:val="center"/>
          </w:tcPr>
          <w:p w:rsidR="008B45E5" w:rsidRPr="00450004" w:rsidRDefault="008B45E5" w:rsidP="008B45E5">
            <w:pPr>
              <w:jc w:val="center"/>
            </w:pPr>
            <w:r w:rsidRPr="00450004">
              <w:t>20</w:t>
            </w:r>
          </w:p>
        </w:tc>
        <w:tc>
          <w:tcPr>
            <w:tcW w:w="1958" w:type="dxa"/>
            <w:vAlign w:val="center"/>
          </w:tcPr>
          <w:p w:rsidR="008B45E5" w:rsidRPr="00450004" w:rsidRDefault="008B45E5" w:rsidP="008B45E5">
            <w:pPr>
              <w:jc w:val="center"/>
            </w:pPr>
            <w:r w:rsidRPr="00450004">
              <w:t>7.8%</w:t>
            </w:r>
          </w:p>
        </w:tc>
        <w:tc>
          <w:tcPr>
            <w:tcW w:w="1887" w:type="dxa"/>
            <w:shd w:val="clear" w:color="auto" w:fill="DEE4EE"/>
            <w:vAlign w:val="center"/>
          </w:tcPr>
          <w:p w:rsidR="008B45E5" w:rsidRPr="00EA6CD4" w:rsidRDefault="008B45E5" w:rsidP="008B45E5">
            <w:pPr>
              <w:jc w:val="center"/>
            </w:pPr>
            <w:r w:rsidRPr="00EA6CD4">
              <w:t>17</w:t>
            </w:r>
          </w:p>
        </w:tc>
        <w:tc>
          <w:tcPr>
            <w:tcW w:w="1891" w:type="dxa"/>
            <w:vAlign w:val="center"/>
          </w:tcPr>
          <w:p w:rsidR="008B45E5" w:rsidRPr="00EA6CD4" w:rsidRDefault="008B45E5" w:rsidP="008B45E5">
            <w:pPr>
              <w:jc w:val="center"/>
            </w:pPr>
            <w:r w:rsidRPr="00EA6CD4">
              <w:t>9.4%</w:t>
            </w:r>
          </w:p>
        </w:tc>
      </w:tr>
      <w:tr w:rsidR="008B45E5" w:rsidRPr="005F5C4F" w:rsidTr="008B45E5">
        <w:trPr>
          <w:trHeight w:hRule="exact" w:val="340"/>
        </w:trPr>
        <w:tc>
          <w:tcPr>
            <w:tcW w:w="1995" w:type="dxa"/>
            <w:vAlign w:val="center"/>
          </w:tcPr>
          <w:p w:rsidR="008B45E5" w:rsidRPr="00C95655" w:rsidRDefault="008B45E5" w:rsidP="008B45E5">
            <w:pPr>
              <w:pStyle w:val="DHSbodycopytable"/>
              <w:rPr>
                <w:rFonts w:cs="Arial"/>
                <w:sz w:val="20"/>
              </w:rPr>
            </w:pPr>
            <w:r w:rsidRPr="00C95655">
              <w:rPr>
                <w:rFonts w:cs="Arial"/>
                <w:sz w:val="20"/>
              </w:rPr>
              <w:t>4+ bedrooms</w:t>
            </w:r>
          </w:p>
        </w:tc>
        <w:tc>
          <w:tcPr>
            <w:tcW w:w="1907" w:type="dxa"/>
            <w:shd w:val="clear" w:color="auto" w:fill="DEE4EE"/>
            <w:vAlign w:val="center"/>
          </w:tcPr>
          <w:p w:rsidR="008B45E5" w:rsidRPr="00450004" w:rsidRDefault="008B45E5" w:rsidP="008B45E5">
            <w:pPr>
              <w:jc w:val="center"/>
            </w:pPr>
            <w:r w:rsidRPr="00450004">
              <w:t>19</w:t>
            </w:r>
          </w:p>
        </w:tc>
        <w:tc>
          <w:tcPr>
            <w:tcW w:w="1958" w:type="dxa"/>
            <w:vAlign w:val="center"/>
          </w:tcPr>
          <w:p w:rsidR="008B45E5" w:rsidRPr="00450004" w:rsidRDefault="008B45E5" w:rsidP="008B45E5">
            <w:pPr>
              <w:jc w:val="center"/>
            </w:pPr>
            <w:r w:rsidRPr="00450004">
              <w:t>7.5%</w:t>
            </w:r>
          </w:p>
        </w:tc>
        <w:tc>
          <w:tcPr>
            <w:tcW w:w="1887" w:type="dxa"/>
            <w:shd w:val="clear" w:color="auto" w:fill="DEE4EE"/>
            <w:vAlign w:val="center"/>
          </w:tcPr>
          <w:p w:rsidR="008B45E5" w:rsidRPr="00EA6CD4" w:rsidRDefault="008B45E5" w:rsidP="008B45E5">
            <w:pPr>
              <w:jc w:val="center"/>
            </w:pPr>
            <w:r w:rsidRPr="00EA6CD4">
              <w:t>16</w:t>
            </w:r>
          </w:p>
        </w:tc>
        <w:tc>
          <w:tcPr>
            <w:tcW w:w="1891" w:type="dxa"/>
            <w:vAlign w:val="center"/>
          </w:tcPr>
          <w:p w:rsidR="008B45E5" w:rsidRPr="00EA6CD4" w:rsidRDefault="008B45E5" w:rsidP="008B45E5">
            <w:pPr>
              <w:jc w:val="center"/>
            </w:pPr>
            <w:r w:rsidRPr="00EA6CD4">
              <w:t>9.4%</w:t>
            </w:r>
          </w:p>
        </w:tc>
      </w:tr>
      <w:tr w:rsidR="008B45E5" w:rsidRPr="005F5C4F" w:rsidTr="008B45E5">
        <w:trPr>
          <w:trHeight w:hRule="exact" w:val="340"/>
        </w:trPr>
        <w:tc>
          <w:tcPr>
            <w:tcW w:w="1995" w:type="dxa"/>
            <w:vAlign w:val="center"/>
          </w:tcPr>
          <w:p w:rsidR="008B45E5" w:rsidRPr="00C95655" w:rsidRDefault="008B45E5" w:rsidP="008B45E5">
            <w:pPr>
              <w:pStyle w:val="DHSbodycopytable"/>
              <w:rPr>
                <w:rFonts w:cs="Arial"/>
                <w:sz w:val="20"/>
              </w:rPr>
            </w:pPr>
            <w:r w:rsidRPr="00C95655">
              <w:rPr>
                <w:rFonts w:cs="Arial"/>
                <w:sz w:val="20"/>
              </w:rPr>
              <w:t>All properties</w:t>
            </w:r>
          </w:p>
        </w:tc>
        <w:tc>
          <w:tcPr>
            <w:tcW w:w="1907" w:type="dxa"/>
            <w:shd w:val="clear" w:color="auto" w:fill="DEE4EE"/>
            <w:vAlign w:val="center"/>
          </w:tcPr>
          <w:p w:rsidR="008B45E5" w:rsidRPr="00450004" w:rsidRDefault="008B45E5" w:rsidP="008B45E5">
            <w:pPr>
              <w:jc w:val="center"/>
            </w:pPr>
            <w:r w:rsidRPr="00450004">
              <w:t>19</w:t>
            </w:r>
          </w:p>
        </w:tc>
        <w:tc>
          <w:tcPr>
            <w:tcW w:w="1958" w:type="dxa"/>
            <w:vAlign w:val="center"/>
          </w:tcPr>
          <w:p w:rsidR="008B45E5" w:rsidRDefault="008B45E5" w:rsidP="008B45E5">
            <w:pPr>
              <w:jc w:val="center"/>
            </w:pPr>
            <w:r w:rsidRPr="00450004">
              <w:t>8.2%</w:t>
            </w:r>
          </w:p>
        </w:tc>
        <w:tc>
          <w:tcPr>
            <w:tcW w:w="1887" w:type="dxa"/>
            <w:shd w:val="clear" w:color="auto" w:fill="DEE4EE"/>
            <w:vAlign w:val="center"/>
          </w:tcPr>
          <w:p w:rsidR="008B45E5" w:rsidRPr="00EA6CD4" w:rsidRDefault="008B45E5" w:rsidP="008B45E5">
            <w:pPr>
              <w:jc w:val="center"/>
            </w:pPr>
            <w:r w:rsidRPr="00EA6CD4">
              <w:t>17</w:t>
            </w:r>
          </w:p>
        </w:tc>
        <w:tc>
          <w:tcPr>
            <w:tcW w:w="1891" w:type="dxa"/>
            <w:vAlign w:val="center"/>
          </w:tcPr>
          <w:p w:rsidR="008B45E5" w:rsidRDefault="008B45E5" w:rsidP="008B45E5">
            <w:pPr>
              <w:jc w:val="center"/>
            </w:pPr>
            <w:r w:rsidRPr="00EA6CD4">
              <w:t>9.3%</w:t>
            </w:r>
          </w:p>
        </w:tc>
      </w:tr>
    </w:tbl>
    <w:p w:rsidR="0047763C" w:rsidRPr="00FE33D7" w:rsidRDefault="0047763C" w:rsidP="005A1E70">
      <w:pPr>
        <w:pStyle w:val="DHSheadingB"/>
        <w:rPr>
          <w:rFonts w:cs="Arial"/>
        </w:rPr>
      </w:pPr>
      <w:r w:rsidRPr="00FE33D7">
        <w:rPr>
          <w:rFonts w:cs="Arial"/>
        </w:rPr>
        <w:t>Investor finance</w:t>
      </w:r>
    </w:p>
    <w:p w:rsidR="0047763C" w:rsidRPr="00FE33D7" w:rsidRDefault="0047763C" w:rsidP="00054C75">
      <w:pPr>
        <w:rPr>
          <w:rFonts w:cs="Arial"/>
          <w:szCs w:val="20"/>
        </w:rPr>
      </w:pPr>
      <w:r w:rsidRPr="00FE33D7">
        <w:rPr>
          <w:rFonts w:cs="Arial"/>
          <w:szCs w:val="20"/>
        </w:rPr>
        <w:t xml:space="preserve">Loan approvals for the purchase or construction of dwellings for purposes of investment (not owner-occupation) provide a measure of investor activity levels in the Victorian housing market. </w:t>
      </w:r>
    </w:p>
    <w:p w:rsidR="00EF1C0C" w:rsidRPr="00FE33D7" w:rsidRDefault="00EF1C0C" w:rsidP="00054C75">
      <w:pPr>
        <w:rPr>
          <w:rFonts w:cs="Arial"/>
          <w:szCs w:val="20"/>
        </w:rPr>
      </w:pPr>
    </w:p>
    <w:p w:rsidR="00EF1C0C" w:rsidRPr="00FE33D7" w:rsidRDefault="00EF1C0C" w:rsidP="00EF1C0C">
      <w:pPr>
        <w:rPr>
          <w:rFonts w:cs="Arial"/>
          <w:szCs w:val="20"/>
        </w:rPr>
      </w:pPr>
      <w:r w:rsidRPr="00FE33D7">
        <w:rPr>
          <w:rFonts w:cs="Arial"/>
          <w:szCs w:val="20"/>
        </w:rPr>
        <w:t>Figure 6 presents a summary of lending for housing investment in Victoria over the past five years.</w:t>
      </w:r>
    </w:p>
    <w:p w:rsidR="0047763C" w:rsidRPr="00FE33D7" w:rsidRDefault="0047763C" w:rsidP="00054C75">
      <w:pPr>
        <w:rPr>
          <w:rFonts w:cs="Arial"/>
          <w:szCs w:val="20"/>
        </w:rPr>
      </w:pPr>
    </w:p>
    <w:p w:rsidR="0047763C" w:rsidRPr="00154B67" w:rsidRDefault="0047763C" w:rsidP="00054C75">
      <w:pPr>
        <w:rPr>
          <w:rFonts w:cs="Arial"/>
          <w:b/>
        </w:rPr>
      </w:pPr>
      <w:r w:rsidRPr="00FE33D7">
        <w:rPr>
          <w:rFonts w:cs="Arial"/>
          <w:szCs w:val="20"/>
        </w:rPr>
        <w:t xml:space="preserve">In the </w:t>
      </w:r>
      <w:r w:rsidR="00D429F4">
        <w:rPr>
          <w:rFonts w:cs="Arial"/>
          <w:szCs w:val="20"/>
        </w:rPr>
        <w:t>June</w:t>
      </w:r>
      <w:r w:rsidR="00C23887" w:rsidRPr="00FE33D7">
        <w:rPr>
          <w:rFonts w:cs="Arial"/>
          <w:szCs w:val="20"/>
        </w:rPr>
        <w:t xml:space="preserve"> </w:t>
      </w:r>
      <w:r w:rsidR="00913D02" w:rsidRPr="00FE33D7">
        <w:rPr>
          <w:rFonts w:cs="Arial"/>
          <w:szCs w:val="20"/>
        </w:rPr>
        <w:t xml:space="preserve">quarter </w:t>
      </w:r>
      <w:r w:rsidR="003A132A">
        <w:rPr>
          <w:rFonts w:cs="Arial"/>
          <w:szCs w:val="20"/>
        </w:rPr>
        <w:t>2017</w:t>
      </w:r>
      <w:r w:rsidRPr="00FE33D7">
        <w:rPr>
          <w:rFonts w:cs="Arial"/>
          <w:szCs w:val="20"/>
        </w:rPr>
        <w:t>, the lending to investors in Victoria was $</w:t>
      </w:r>
      <w:r w:rsidR="006C4DFE">
        <w:rPr>
          <w:rFonts w:cs="Arial"/>
          <w:szCs w:val="20"/>
        </w:rPr>
        <w:t>10.7</w:t>
      </w:r>
      <w:r w:rsidR="00081001">
        <w:rPr>
          <w:rFonts w:cs="Arial"/>
          <w:szCs w:val="20"/>
        </w:rPr>
        <w:t xml:space="preserve"> billion w</w:t>
      </w:r>
      <w:r w:rsidR="006C4DFE">
        <w:rPr>
          <w:rFonts w:cs="Arial"/>
          <w:szCs w:val="20"/>
        </w:rPr>
        <w:t>hich was 37.7</w:t>
      </w:r>
      <w:r w:rsidRPr="00FE33D7">
        <w:rPr>
          <w:rFonts w:cs="Arial"/>
          <w:szCs w:val="20"/>
        </w:rPr>
        <w:t xml:space="preserve"> per cent of the total lending for the purchase or construction of dwellings. </w:t>
      </w:r>
      <w:r w:rsidR="00F24E3B" w:rsidRPr="00FE33D7">
        <w:rPr>
          <w:rFonts w:cs="Arial"/>
          <w:szCs w:val="20"/>
        </w:rPr>
        <w:t>Lending to investors</w:t>
      </w:r>
      <w:r w:rsidRPr="00FE33D7">
        <w:rPr>
          <w:rFonts w:cs="Arial"/>
          <w:szCs w:val="20"/>
        </w:rPr>
        <w:t xml:space="preserve"> </w:t>
      </w:r>
      <w:r w:rsidR="006040BF">
        <w:rPr>
          <w:rFonts w:cs="Arial"/>
          <w:szCs w:val="20"/>
        </w:rPr>
        <w:t>was</w:t>
      </w:r>
      <w:r w:rsidR="00913D02" w:rsidRPr="00FE33D7">
        <w:rPr>
          <w:rFonts w:cs="Arial"/>
          <w:szCs w:val="20"/>
        </w:rPr>
        <w:t xml:space="preserve"> </w:t>
      </w:r>
      <w:r w:rsidR="006C4DFE">
        <w:rPr>
          <w:rFonts w:cs="Arial"/>
          <w:szCs w:val="20"/>
        </w:rPr>
        <w:t>10.6</w:t>
      </w:r>
      <w:r w:rsidR="000E4886" w:rsidRPr="00FE33D7">
        <w:rPr>
          <w:rFonts w:cs="Arial"/>
          <w:szCs w:val="20"/>
        </w:rPr>
        <w:t xml:space="preserve"> </w:t>
      </w:r>
      <w:r w:rsidRPr="00FE33D7">
        <w:rPr>
          <w:rFonts w:cs="Arial"/>
          <w:szCs w:val="20"/>
        </w:rPr>
        <w:t xml:space="preserve">per cent </w:t>
      </w:r>
      <w:r w:rsidR="000E4886" w:rsidRPr="00FE33D7">
        <w:rPr>
          <w:rFonts w:cs="Arial"/>
          <w:szCs w:val="20"/>
        </w:rPr>
        <w:t>higher</w:t>
      </w:r>
      <w:r w:rsidRPr="00FE33D7">
        <w:rPr>
          <w:rFonts w:cs="Arial"/>
          <w:szCs w:val="20"/>
        </w:rPr>
        <w:t xml:space="preserve"> than the level of lending in the </w:t>
      </w:r>
      <w:r w:rsidR="007C7A26">
        <w:rPr>
          <w:rFonts w:cs="Arial"/>
          <w:szCs w:val="20"/>
        </w:rPr>
        <w:t xml:space="preserve">June quarter </w:t>
      </w:r>
      <w:r w:rsidR="003A132A">
        <w:rPr>
          <w:rFonts w:cs="Arial"/>
          <w:szCs w:val="20"/>
        </w:rPr>
        <w:t>2016</w:t>
      </w:r>
      <w:r w:rsidR="00C23887" w:rsidRPr="00FE33D7">
        <w:rPr>
          <w:rFonts w:cs="Arial"/>
          <w:szCs w:val="20"/>
        </w:rPr>
        <w:t xml:space="preserve"> </w:t>
      </w:r>
      <w:r w:rsidR="006C4DFE">
        <w:rPr>
          <w:rFonts w:cs="Arial"/>
          <w:szCs w:val="20"/>
        </w:rPr>
        <w:t>and</w:t>
      </w:r>
      <w:r w:rsidR="006040BF">
        <w:rPr>
          <w:rFonts w:cs="Arial"/>
          <w:szCs w:val="20"/>
        </w:rPr>
        <w:t xml:space="preserve"> </w:t>
      </w:r>
      <w:r w:rsidR="006C4DFE">
        <w:rPr>
          <w:rFonts w:cs="Arial"/>
          <w:szCs w:val="20"/>
        </w:rPr>
        <w:t>9.4</w:t>
      </w:r>
      <w:r w:rsidR="000E4886" w:rsidRPr="00FE33D7">
        <w:rPr>
          <w:rFonts w:cs="Arial"/>
          <w:szCs w:val="20"/>
        </w:rPr>
        <w:t xml:space="preserve"> </w:t>
      </w:r>
      <w:r w:rsidRPr="00FE33D7">
        <w:rPr>
          <w:rFonts w:cs="Arial"/>
          <w:szCs w:val="20"/>
        </w:rPr>
        <w:t>per cent</w:t>
      </w:r>
      <w:r w:rsidR="006040BF">
        <w:rPr>
          <w:rFonts w:cs="Arial"/>
          <w:szCs w:val="20"/>
        </w:rPr>
        <w:t xml:space="preserve"> </w:t>
      </w:r>
      <w:r w:rsidR="006C4DFE">
        <w:rPr>
          <w:rFonts w:cs="Arial"/>
          <w:szCs w:val="20"/>
        </w:rPr>
        <w:t>higher</w:t>
      </w:r>
      <w:r w:rsidR="006040BF">
        <w:rPr>
          <w:rFonts w:cs="Arial"/>
          <w:szCs w:val="20"/>
        </w:rPr>
        <w:t xml:space="preserve"> than </w:t>
      </w:r>
      <w:r w:rsidRPr="00FE33D7">
        <w:rPr>
          <w:rFonts w:cs="Arial"/>
          <w:szCs w:val="20"/>
        </w:rPr>
        <w:t>the level in the last quarter.</w:t>
      </w:r>
    </w:p>
    <w:p w:rsidR="00795B65" w:rsidRPr="00795B65" w:rsidRDefault="0047763C" w:rsidP="00795B65">
      <w:pPr>
        <w:pStyle w:val="DHSheadingD"/>
        <w:jc w:val="center"/>
        <w:rPr>
          <w:lang w:val="en-US"/>
        </w:rPr>
      </w:pPr>
      <w:r w:rsidRPr="00706644">
        <w:rPr>
          <w:rFonts w:cs="Arial"/>
          <w:lang w:val="en-US"/>
        </w:rPr>
        <w:lastRenderedPageBreak/>
        <w:t>Figure 6: Lending to investors in residential housing, Victoria</w:t>
      </w:r>
      <w:r w:rsidR="00F16F31">
        <w:rPr>
          <w:rFonts w:cs="Arial"/>
          <w:lang w:val="en-US"/>
        </w:rPr>
        <w:t xml:space="preserve"> ($201</w:t>
      </w:r>
      <w:r w:rsidR="00795B65">
        <w:rPr>
          <w:rFonts w:cs="Arial"/>
          <w:lang w:val="en-US"/>
        </w:rPr>
        <w:t>7</w:t>
      </w:r>
      <w:r w:rsidR="00F16F31">
        <w:rPr>
          <w:rFonts w:cs="Arial"/>
          <w:lang w:val="en-US"/>
        </w:rPr>
        <w:t xml:space="preserve"> </w:t>
      </w:r>
      <w:r w:rsidR="008B45E5">
        <w:rPr>
          <w:rFonts w:cs="Arial"/>
          <w:lang w:val="en-US"/>
        </w:rPr>
        <w:t>June</w:t>
      </w:r>
      <w:r w:rsidR="00C64921">
        <w:rPr>
          <w:rFonts w:cs="Arial"/>
          <w:lang w:val="en-US"/>
        </w:rPr>
        <w:t>)</w:t>
      </w:r>
      <w:r w:rsidR="00795B65" w:rsidRPr="00795B65">
        <w:rPr>
          <w:noProof/>
          <w:lang w:eastAsia="en-AU"/>
        </w:rPr>
        <w:t xml:space="preserve"> </w:t>
      </w:r>
    </w:p>
    <w:p w:rsidR="00741335" w:rsidRPr="00741335" w:rsidRDefault="00DF3112" w:rsidP="00795B65">
      <w:pPr>
        <w:jc w:val="center"/>
      </w:pPr>
      <w:r>
        <w:rPr>
          <w:noProof/>
          <w:lang w:eastAsia="en-AU"/>
        </w:rPr>
        <w:drawing>
          <wp:inline distT="0" distB="0" distL="0" distR="0" wp14:anchorId="759C8E61" wp14:editId="698F1FDC">
            <wp:extent cx="5387239" cy="2552700"/>
            <wp:effectExtent l="0" t="0" r="4445" b="0"/>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95B65" w:rsidRDefault="00795B65" w:rsidP="00795B65">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Lending to investors in</w:t>
      </w:r>
      <w:r w:rsidR="00B47BD3">
        <w:rPr>
          <w:rFonts w:cs="Arial"/>
          <w:color w:val="000000"/>
          <w:sz w:val="16"/>
          <w:szCs w:val="16"/>
          <w:lang w:eastAsia="en-AU"/>
        </w:rPr>
        <w:t xml:space="preserve"> the</w:t>
      </w:r>
      <w:r>
        <w:rPr>
          <w:rFonts w:cs="Arial"/>
          <w:color w:val="000000"/>
          <w:sz w:val="16"/>
          <w:szCs w:val="16"/>
          <w:lang w:eastAsia="en-AU"/>
        </w:rPr>
        <w:t xml:space="preserve"> March quarter 2013 and</w:t>
      </w:r>
      <w:r w:rsidR="00B47BD3">
        <w:rPr>
          <w:rFonts w:cs="Arial"/>
          <w:color w:val="000000"/>
          <w:sz w:val="16"/>
          <w:szCs w:val="16"/>
          <w:lang w:eastAsia="en-AU"/>
        </w:rPr>
        <w:t xml:space="preserve"> </w:t>
      </w:r>
      <w:r>
        <w:rPr>
          <w:rFonts w:cs="Arial"/>
          <w:color w:val="000000"/>
          <w:sz w:val="16"/>
          <w:szCs w:val="16"/>
          <w:lang w:eastAsia="en-AU"/>
        </w:rP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47763C" w:rsidRPr="00831AFF" w:rsidRDefault="0047763C" w:rsidP="005A1E70">
      <w:pPr>
        <w:pStyle w:val="DHSheadingB"/>
        <w:rPr>
          <w:rFonts w:cs="Arial"/>
        </w:rPr>
      </w:pPr>
      <w:r w:rsidRPr="00831AFF">
        <w:rPr>
          <w:rFonts w:cs="Arial"/>
        </w:rPr>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6040BF" w:rsidP="00054C75">
      <w:pPr>
        <w:rPr>
          <w:rFonts w:cs="Arial"/>
          <w:szCs w:val="20"/>
        </w:rPr>
      </w:pPr>
      <w:r>
        <w:rPr>
          <w:rFonts w:cs="Arial"/>
          <w:szCs w:val="20"/>
        </w:rPr>
        <w:t>T</w:t>
      </w:r>
      <w:r w:rsidRPr="000F3B39">
        <w:rPr>
          <w:rFonts w:cs="Arial"/>
          <w:szCs w:val="20"/>
        </w:rPr>
        <w:t>he trend vacancy rate for metropolitan Melbourne</w:t>
      </w:r>
      <w:r>
        <w:rPr>
          <w:rFonts w:cs="Arial"/>
          <w:szCs w:val="20"/>
        </w:rPr>
        <w:t xml:space="preserve"> has </w:t>
      </w:r>
      <w:r w:rsidR="006C4DFE">
        <w:rPr>
          <w:rFonts w:cs="Arial"/>
          <w:szCs w:val="20"/>
        </w:rPr>
        <w:t>decreased</w:t>
      </w:r>
      <w:r w:rsidR="00831AB7">
        <w:rPr>
          <w:rFonts w:cs="Arial"/>
          <w:szCs w:val="20"/>
        </w:rPr>
        <w:t xml:space="preserve"> slightly</w:t>
      </w:r>
      <w:r>
        <w:rPr>
          <w:rFonts w:cs="Arial"/>
          <w:szCs w:val="20"/>
        </w:rPr>
        <w:t xml:space="preserve"> </w:t>
      </w:r>
      <w:r w:rsidR="006C4DFE">
        <w:rPr>
          <w:rFonts w:cs="Arial"/>
          <w:szCs w:val="20"/>
        </w:rPr>
        <w:t>since March 2017.</w:t>
      </w:r>
      <w:r>
        <w:rPr>
          <w:rFonts w:cs="Arial"/>
          <w:szCs w:val="20"/>
        </w:rPr>
        <w:t xml:space="preserve"> </w:t>
      </w:r>
      <w:r w:rsidR="0047763C" w:rsidRPr="000F3B39">
        <w:rPr>
          <w:rFonts w:cs="Arial"/>
          <w:szCs w:val="20"/>
        </w:rPr>
        <w:t xml:space="preserve">In </w:t>
      </w:r>
      <w:r w:rsidR="00D429F4">
        <w:rPr>
          <w:rFonts w:cs="Arial"/>
          <w:szCs w:val="20"/>
        </w:rPr>
        <w:t>June</w:t>
      </w:r>
      <w:r w:rsidR="00531D1B">
        <w:rPr>
          <w:rFonts w:cs="Arial"/>
          <w:szCs w:val="20"/>
        </w:rPr>
        <w:t xml:space="preserve"> </w:t>
      </w:r>
      <w:r w:rsidR="003A132A">
        <w:rPr>
          <w:rFonts w:cs="Arial"/>
          <w:szCs w:val="20"/>
        </w:rPr>
        <w:t>2017</w:t>
      </w:r>
      <w:r>
        <w:rPr>
          <w:rFonts w:cs="Arial"/>
          <w:szCs w:val="20"/>
        </w:rPr>
        <w:t xml:space="preserve">, it </w:t>
      </w:r>
      <w:r w:rsidR="00C856CB">
        <w:rPr>
          <w:rFonts w:cs="Arial"/>
          <w:szCs w:val="20"/>
        </w:rPr>
        <w:t xml:space="preserve">was </w:t>
      </w:r>
      <w:r w:rsidR="006C4DFE">
        <w:rPr>
          <w:rFonts w:cs="Arial"/>
          <w:szCs w:val="20"/>
        </w:rPr>
        <w:t>2.2</w:t>
      </w:r>
      <w:r w:rsidR="0047763C" w:rsidRPr="000F3B39">
        <w:rPr>
          <w:rFonts w:cs="Arial"/>
          <w:szCs w:val="20"/>
        </w:rPr>
        <w:t xml:space="preserve"> per cent</w:t>
      </w:r>
      <w:r w:rsidR="00531D1B">
        <w:rPr>
          <w:rFonts w:cs="Arial"/>
          <w:szCs w:val="20"/>
        </w:rPr>
        <w:t xml:space="preserve">, </w:t>
      </w:r>
      <w:r w:rsidR="009C2021">
        <w:rPr>
          <w:rFonts w:cs="Arial"/>
          <w:szCs w:val="20"/>
        </w:rPr>
        <w:t xml:space="preserve">compared with a rate of </w:t>
      </w:r>
      <w:r w:rsidR="006C4DFE">
        <w:rPr>
          <w:rFonts w:cs="Arial"/>
          <w:szCs w:val="20"/>
        </w:rPr>
        <w:t>2.3 per cent in March 2017 and 2.5</w:t>
      </w:r>
      <w:r w:rsidR="00531D1B">
        <w:rPr>
          <w:rFonts w:cs="Arial"/>
          <w:szCs w:val="20"/>
        </w:rPr>
        <w:t xml:space="preserve"> per cent in </w:t>
      </w:r>
      <w:r w:rsidR="00D429F4">
        <w:rPr>
          <w:rFonts w:cs="Arial"/>
          <w:szCs w:val="20"/>
        </w:rPr>
        <w:t>June</w:t>
      </w:r>
      <w:r w:rsidR="00C80CEF">
        <w:rPr>
          <w:rFonts w:cs="Arial"/>
          <w:szCs w:val="20"/>
        </w:rPr>
        <w:t xml:space="preserve"> </w:t>
      </w:r>
      <w:r w:rsidR="003A132A">
        <w:rPr>
          <w:rFonts w:cs="Arial"/>
          <w:szCs w:val="20"/>
        </w:rPr>
        <w:t>2016</w:t>
      </w:r>
      <w:r w:rsidR="00C80CEF">
        <w:rPr>
          <w:rFonts w:cs="Arial"/>
          <w:szCs w:val="20"/>
        </w:rPr>
        <w:t xml:space="preserve">. </w:t>
      </w:r>
      <w:r w:rsidR="0047763C" w:rsidRPr="000F3B39">
        <w:rPr>
          <w:rFonts w:cs="Arial"/>
          <w:szCs w:val="20"/>
        </w:rPr>
        <w:t xml:space="preserve">The average vacancy rate </w:t>
      </w:r>
      <w:r w:rsidR="00BD6D27">
        <w:rPr>
          <w:rFonts w:cs="Arial"/>
          <w:szCs w:val="20"/>
        </w:rPr>
        <w:t>for the four years from</w:t>
      </w:r>
      <w:r w:rsidR="0065449E">
        <w:rPr>
          <w:rFonts w:cs="Arial"/>
          <w:szCs w:val="20"/>
        </w:rPr>
        <w:t xml:space="preserve"> January 2000 to December 2004 was 3.8</w:t>
      </w:r>
      <w:r w:rsidR="0047763C" w:rsidRPr="000F3B39">
        <w:rPr>
          <w:rFonts w:cs="Arial"/>
          <w:szCs w:val="20"/>
        </w:rPr>
        <w:t xml:space="preserve"> per cent</w:t>
      </w:r>
      <w:r w:rsidR="00BD6D27">
        <w:rPr>
          <w:rFonts w:cs="Arial"/>
          <w:szCs w:val="20"/>
        </w:rPr>
        <w:t xml:space="preserve">, for the seven years from </w:t>
      </w:r>
      <w:r w:rsidR="0065449E">
        <w:rPr>
          <w:rFonts w:cs="Arial"/>
          <w:szCs w:val="20"/>
        </w:rPr>
        <w:t>January 2005</w:t>
      </w:r>
      <w:r w:rsidR="0047763C" w:rsidRPr="000F3B39">
        <w:rPr>
          <w:rFonts w:cs="Arial"/>
          <w:szCs w:val="20"/>
        </w:rPr>
        <w:t xml:space="preserve"> to </w:t>
      </w:r>
      <w:r w:rsidR="00BD6D27">
        <w:rPr>
          <w:rFonts w:cs="Arial"/>
          <w:szCs w:val="20"/>
        </w:rPr>
        <w:t xml:space="preserve">December 2012 was 1.7 per cent and </w:t>
      </w:r>
      <w:r w:rsidR="00831AB7">
        <w:rPr>
          <w:rFonts w:cs="Arial"/>
          <w:szCs w:val="20"/>
        </w:rPr>
        <w:t>since December 2012 has</w:t>
      </w:r>
      <w:r w:rsidR="00F16F31">
        <w:rPr>
          <w:rFonts w:cs="Arial"/>
          <w:szCs w:val="20"/>
        </w:rPr>
        <w:t xml:space="preserve"> been</w:t>
      </w:r>
      <w:r w:rsidR="0065449E">
        <w:rPr>
          <w:rFonts w:cs="Arial"/>
          <w:szCs w:val="20"/>
        </w:rPr>
        <w:t xml:space="preserve"> </w:t>
      </w:r>
      <w:r w:rsidR="00831AB7">
        <w:rPr>
          <w:rFonts w:cs="Arial"/>
          <w:szCs w:val="20"/>
        </w:rPr>
        <w:t>2.8</w:t>
      </w:r>
      <w:r w:rsidR="0047763C" w:rsidRPr="000F3B39">
        <w:rPr>
          <w:rFonts w:cs="Arial"/>
          <w:szCs w:val="20"/>
        </w:rPr>
        <w:t xml:space="preserve"> per cent. </w:t>
      </w:r>
      <w:r w:rsidR="00BD6D27" w:rsidRPr="000F3B39">
        <w:rPr>
          <w:rFonts w:cs="Arial"/>
          <w:szCs w:val="20"/>
        </w:rPr>
        <w:t>The trend vacancy rate reached its lowest point</w:t>
      </w:r>
      <w:r w:rsidR="00BD6D27">
        <w:rPr>
          <w:rFonts w:cs="Arial"/>
          <w:szCs w:val="20"/>
        </w:rPr>
        <w:t xml:space="preserve"> of 1.0 per cent</w:t>
      </w:r>
      <w:r w:rsidR="00BD6D27" w:rsidRPr="000F3B39">
        <w:rPr>
          <w:rFonts w:cs="Arial"/>
          <w:szCs w:val="20"/>
        </w:rPr>
        <w:t xml:space="preserve"> in early 2008.</w:t>
      </w:r>
    </w:p>
    <w:p w:rsidR="0047763C" w:rsidRPr="000F3B39" w:rsidRDefault="0047763C" w:rsidP="00054C75">
      <w:pPr>
        <w:rPr>
          <w:rFonts w:cs="Arial"/>
          <w:szCs w:val="20"/>
        </w:rPr>
      </w:pPr>
    </w:p>
    <w:p w:rsidR="0047763C" w:rsidRPr="000F3B39" w:rsidRDefault="006040BF" w:rsidP="00054C75">
      <w:pPr>
        <w:rPr>
          <w:rFonts w:cs="Arial"/>
          <w:szCs w:val="20"/>
        </w:rPr>
      </w:pPr>
      <w:r>
        <w:rPr>
          <w:rFonts w:cs="Arial"/>
          <w:szCs w:val="20"/>
        </w:rPr>
        <w:t>T</w:t>
      </w:r>
      <w:r w:rsidRPr="000F3B39">
        <w:rPr>
          <w:rFonts w:cs="Arial"/>
          <w:szCs w:val="20"/>
        </w:rPr>
        <w:t xml:space="preserve">he trend vacancy rate for </w:t>
      </w:r>
      <w:r>
        <w:rPr>
          <w:rFonts w:cs="Arial"/>
          <w:szCs w:val="20"/>
        </w:rPr>
        <w:t>R</w:t>
      </w:r>
      <w:r w:rsidRPr="000F3B39">
        <w:rPr>
          <w:rFonts w:cs="Arial"/>
          <w:szCs w:val="20"/>
        </w:rPr>
        <w:t xml:space="preserve">egional Victoria </w:t>
      </w:r>
      <w:r w:rsidR="00831AB7">
        <w:rPr>
          <w:rFonts w:cs="Arial"/>
          <w:szCs w:val="20"/>
        </w:rPr>
        <w:t xml:space="preserve">in </w:t>
      </w:r>
      <w:r w:rsidR="00D429F4">
        <w:rPr>
          <w:rFonts w:cs="Arial"/>
          <w:szCs w:val="20"/>
        </w:rPr>
        <w:t>June</w:t>
      </w:r>
      <w:r w:rsidR="0065449E">
        <w:rPr>
          <w:rFonts w:cs="Arial"/>
          <w:szCs w:val="20"/>
        </w:rPr>
        <w:t xml:space="preserve"> </w:t>
      </w:r>
      <w:r w:rsidR="003A132A">
        <w:rPr>
          <w:rFonts w:cs="Arial"/>
          <w:szCs w:val="20"/>
        </w:rPr>
        <w:t>2017</w:t>
      </w:r>
      <w:r w:rsidR="00831AB7">
        <w:rPr>
          <w:rFonts w:cs="Arial"/>
          <w:szCs w:val="20"/>
        </w:rPr>
        <w:t xml:space="preserve"> increased to 2.5 per cent</w:t>
      </w:r>
      <w:r w:rsidR="00531D1B">
        <w:rPr>
          <w:rFonts w:cs="Arial"/>
          <w:szCs w:val="20"/>
        </w:rPr>
        <w:t>,</w:t>
      </w:r>
      <w:r w:rsidR="007028F0">
        <w:rPr>
          <w:rFonts w:cs="Arial"/>
          <w:szCs w:val="20"/>
        </w:rPr>
        <w:t xml:space="preserve"> </w:t>
      </w:r>
      <w:r w:rsidR="009C2021">
        <w:rPr>
          <w:rFonts w:cs="Arial"/>
          <w:szCs w:val="20"/>
        </w:rPr>
        <w:t xml:space="preserve">compared </w:t>
      </w:r>
      <w:r w:rsidR="00531D1B">
        <w:rPr>
          <w:rFonts w:cs="Arial"/>
          <w:szCs w:val="20"/>
        </w:rPr>
        <w:t xml:space="preserve">with a rate of </w:t>
      </w:r>
      <w:r w:rsidR="00831AB7">
        <w:rPr>
          <w:rFonts w:cs="Arial"/>
          <w:szCs w:val="20"/>
        </w:rPr>
        <w:t>2.4 per cent in March 2017 and 2.8</w:t>
      </w:r>
      <w:r w:rsidR="00B94853">
        <w:rPr>
          <w:rFonts w:cs="Arial"/>
          <w:szCs w:val="20"/>
        </w:rPr>
        <w:t xml:space="preserve"> per cent </w:t>
      </w:r>
      <w:r w:rsidR="007F327B">
        <w:rPr>
          <w:rFonts w:cs="Arial"/>
          <w:szCs w:val="20"/>
        </w:rPr>
        <w:t xml:space="preserve">in </w:t>
      </w:r>
      <w:r w:rsidR="00D429F4">
        <w:rPr>
          <w:rFonts w:cs="Arial"/>
          <w:szCs w:val="20"/>
        </w:rPr>
        <w:t>June</w:t>
      </w:r>
      <w:r w:rsidR="00531D1B">
        <w:rPr>
          <w:rFonts w:cs="Arial"/>
          <w:szCs w:val="20"/>
        </w:rPr>
        <w:t xml:space="preserve"> </w:t>
      </w:r>
      <w:r w:rsidR="003A132A">
        <w:rPr>
          <w:rFonts w:cs="Arial"/>
          <w:szCs w:val="20"/>
        </w:rPr>
        <w:t>2016</w:t>
      </w:r>
      <w:r w:rsidR="00B94853">
        <w:rPr>
          <w:rFonts w:cs="Arial"/>
          <w:szCs w:val="20"/>
        </w:rPr>
        <w:t>.</w:t>
      </w:r>
    </w:p>
    <w:p w:rsidR="0047763C" w:rsidRPr="00154B67" w:rsidRDefault="0047763C" w:rsidP="00054C75">
      <w:pPr>
        <w:rPr>
          <w:rFonts w:cs="Arial"/>
        </w:rPr>
      </w:pPr>
    </w:p>
    <w:p w:rsidR="00795B65" w:rsidRDefault="00795B65">
      <w:pPr>
        <w:rPr>
          <w:rFonts w:cs="Arial"/>
          <w:b/>
          <w:sz w:val="20"/>
          <w:szCs w:val="20"/>
        </w:rPr>
      </w:pPr>
      <w:r>
        <w:rPr>
          <w:rFonts w:cs="Arial"/>
          <w:b/>
          <w:sz w:val="20"/>
          <w:szCs w:val="20"/>
        </w:rPr>
        <w:br w:type="page"/>
      </w:r>
    </w:p>
    <w:p w:rsidR="00795B65" w:rsidRDefault="00665DCF" w:rsidP="001834E3">
      <w:pPr>
        <w:rPr>
          <w:rFonts w:cs="Arial"/>
          <w:b/>
          <w:sz w:val="20"/>
          <w:szCs w:val="20"/>
        </w:rPr>
      </w:pPr>
      <w:r>
        <w:rPr>
          <w:rFonts w:cs="Arial"/>
          <w:b/>
          <w:sz w:val="20"/>
          <w:szCs w:val="20"/>
        </w:rPr>
        <w:lastRenderedPageBreak/>
        <w:t>Figure 7:</w:t>
      </w:r>
      <w:r w:rsidR="0047763C" w:rsidRPr="003644BF">
        <w:rPr>
          <w:rFonts w:cs="Arial"/>
          <w:b/>
          <w:sz w:val="20"/>
          <w:szCs w:val="20"/>
        </w:rPr>
        <w:t xml:space="preserve"> Rental vacancy </w:t>
      </w:r>
      <w:r w:rsidR="00841663">
        <w:rPr>
          <w:rFonts w:cs="Arial"/>
          <w:b/>
          <w:sz w:val="20"/>
          <w:szCs w:val="20"/>
        </w:rPr>
        <w:t>rate</w:t>
      </w:r>
    </w:p>
    <w:p w:rsidR="00DF3112" w:rsidRDefault="00DF3112" w:rsidP="001834E3">
      <w:pPr>
        <w:rPr>
          <w:rFonts w:cs="Arial"/>
          <w:b/>
          <w:sz w:val="20"/>
          <w:szCs w:val="20"/>
        </w:rPr>
      </w:pPr>
    </w:p>
    <w:p w:rsidR="00DF3112" w:rsidRPr="003644BF" w:rsidRDefault="00DF3112" w:rsidP="001834E3">
      <w:pPr>
        <w:rPr>
          <w:rFonts w:cs="Arial"/>
          <w:b/>
          <w:sz w:val="20"/>
          <w:szCs w:val="20"/>
        </w:rPr>
      </w:pPr>
      <w:r>
        <w:rPr>
          <w:noProof/>
          <w:lang w:eastAsia="en-AU"/>
        </w:rPr>
        <w:drawing>
          <wp:inline distT="0" distB="0" distL="0" distR="0" wp14:anchorId="12DDB4E3" wp14:editId="32BD1012">
            <wp:extent cx="4733925" cy="2379979"/>
            <wp:effectExtent l="0" t="0" r="0" b="1905"/>
            <wp:docPr id="10" name="Chart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763C" w:rsidRPr="00706644" w:rsidRDefault="0047763C" w:rsidP="00D11BF6">
      <w:pPr>
        <w:jc w:val="center"/>
        <w:rPr>
          <w:rFonts w:cs="Arial"/>
        </w:rPr>
      </w:pPr>
    </w:p>
    <w:p w:rsidR="0047763C" w:rsidRDefault="0047763C" w:rsidP="00D11BF6">
      <w:pPr>
        <w:ind w:left="1440"/>
        <w:rPr>
          <w:rFonts w:cs="Arial"/>
          <w:color w:val="000000"/>
          <w:sz w:val="16"/>
          <w:szCs w:val="16"/>
          <w:lang w:eastAsia="en-AU"/>
        </w:rPr>
      </w:pPr>
    </w:p>
    <w:p w:rsidR="0047763C" w:rsidRPr="00180B5B" w:rsidRDefault="0047763C" w:rsidP="00180B5B">
      <w:pPr>
        <w:pStyle w:val="DHSHeadingA"/>
        <w:spacing w:after="240"/>
      </w:pPr>
      <w:r w:rsidRPr="00180B5B">
        <w:br w:type="page"/>
      </w:r>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3B4A33" w:rsidRDefault="0047763C" w:rsidP="003B4A33">
      <w:r w:rsidRPr="000F3B39">
        <w:rPr>
          <w:rFonts w:cs="Arial"/>
          <w:szCs w:val="20"/>
        </w:rPr>
        <w:t xml:space="preserve">In the </w:t>
      </w:r>
      <w:r w:rsidR="00D429F4">
        <w:rPr>
          <w:rFonts w:cs="Arial"/>
          <w:szCs w:val="20"/>
        </w:rPr>
        <w:t>June</w:t>
      </w:r>
      <w:r w:rsidR="0065449E">
        <w:rPr>
          <w:rFonts w:cs="Arial"/>
          <w:szCs w:val="20"/>
        </w:rPr>
        <w:t xml:space="preserve"> quarter </w:t>
      </w:r>
      <w:r w:rsidR="00CB68CC">
        <w:rPr>
          <w:rFonts w:cs="Arial"/>
          <w:szCs w:val="20"/>
        </w:rPr>
        <w:t>2017</w:t>
      </w:r>
      <w:r w:rsidRPr="000F3B39">
        <w:rPr>
          <w:rFonts w:cs="Arial"/>
          <w:szCs w:val="20"/>
        </w:rPr>
        <w:t xml:space="preserve">, </w:t>
      </w:r>
      <w:r w:rsidR="00B02CFC">
        <w:rPr>
          <w:rFonts w:cs="Arial"/>
          <w:szCs w:val="20"/>
        </w:rPr>
        <w:t>17.3</w:t>
      </w:r>
      <w:r w:rsidRPr="000F3B39">
        <w:rPr>
          <w:rFonts w:cs="Arial"/>
          <w:szCs w:val="20"/>
        </w:rPr>
        <w:t xml:space="preserve"> per cent of all new lettings across the state were afford</w:t>
      </w:r>
      <w:r w:rsidR="00B02CFC">
        <w:rPr>
          <w:rFonts w:cs="Arial"/>
          <w:szCs w:val="20"/>
        </w:rPr>
        <w:t>able to lower income households</w:t>
      </w:r>
      <w:r w:rsidR="003B4A33">
        <w:t>.</w:t>
      </w:r>
    </w:p>
    <w:p w:rsidR="003B4A33" w:rsidRPr="00706644" w:rsidRDefault="003B4A33" w:rsidP="003B4A33"/>
    <w:p w:rsidR="003B4A33" w:rsidRDefault="003B4A33" w:rsidP="00554E34">
      <w:pPr>
        <w:rPr>
          <w:rFonts w:cs="Arial"/>
          <w:szCs w:val="20"/>
        </w:rPr>
      </w:pPr>
      <w:r w:rsidRPr="000F3B39">
        <w:rPr>
          <w:rFonts w:cs="Arial"/>
          <w:szCs w:val="20"/>
        </w:rPr>
        <w:t>Figure 8 shows the trend in these figures over the past five years for Victoria, metropolitan Melbourne and regional Victoria.</w:t>
      </w:r>
    </w:p>
    <w:p w:rsidR="007F207A" w:rsidRDefault="007F207A" w:rsidP="007F207A">
      <w:pPr>
        <w:pStyle w:val="DHSheadingD"/>
        <w:rPr>
          <w:rFonts w:cs="Arial"/>
        </w:rPr>
      </w:pPr>
      <w:r w:rsidRPr="00706644">
        <w:rPr>
          <w:rFonts w:cs="Arial"/>
          <w:lang w:val="en-US"/>
        </w:rPr>
        <w:t>Figure 8: Affordable rentals as percent of all rentals</w:t>
      </w:r>
    </w:p>
    <w:p w:rsidR="007F207A" w:rsidRDefault="00DF3112" w:rsidP="007F207A">
      <w:pPr>
        <w:rPr>
          <w:rFonts w:cs="Arial"/>
        </w:rPr>
      </w:pPr>
      <w:r>
        <w:rPr>
          <w:noProof/>
          <w:lang w:eastAsia="en-AU"/>
        </w:rPr>
        <w:drawing>
          <wp:inline distT="0" distB="0" distL="0" distR="0" wp14:anchorId="0445BE08" wp14:editId="0297FD78">
            <wp:extent cx="4538113" cy="237209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95B65" w:rsidRDefault="00795B65" w:rsidP="007F207A">
      <w:pPr>
        <w:rPr>
          <w:rFonts w:cs="Arial"/>
        </w:rPr>
      </w:pPr>
    </w:p>
    <w:p w:rsidR="0047763C" w:rsidRDefault="00B02CFC" w:rsidP="00554E34">
      <w:pPr>
        <w:rPr>
          <w:rFonts w:cs="Arial"/>
          <w:szCs w:val="20"/>
        </w:rPr>
      </w:pPr>
      <w:r>
        <w:rPr>
          <w:rFonts w:cs="Arial"/>
          <w:szCs w:val="20"/>
        </w:rPr>
        <w:t xml:space="preserve">In the June quarter 2017 in metropolitan Melbourne, </w:t>
      </w:r>
      <w:r w:rsidR="00F639BF">
        <w:rPr>
          <w:rFonts w:cs="Arial"/>
          <w:szCs w:val="20"/>
        </w:rPr>
        <w:t xml:space="preserve">6.6 per cent of new lettings were </w:t>
      </w:r>
      <w:r>
        <w:rPr>
          <w:rFonts w:cs="Arial"/>
          <w:szCs w:val="20"/>
        </w:rPr>
        <w:t>affordable</w:t>
      </w:r>
      <w:r w:rsidR="00F639BF">
        <w:rPr>
          <w:rFonts w:cs="Arial"/>
          <w:szCs w:val="20"/>
        </w:rPr>
        <w:t xml:space="preserve">, compared with a rate of 5.8 per cent </w:t>
      </w:r>
      <w:r w:rsidR="00F639BF">
        <w:t xml:space="preserve">in </w:t>
      </w:r>
      <w:r w:rsidR="00F639BF">
        <w:rPr>
          <w:rFonts w:cs="Arial"/>
          <w:szCs w:val="20"/>
        </w:rPr>
        <w:t xml:space="preserve">the previous quarter and 8.2 per cent in the same quarter of 2016. </w:t>
      </w:r>
      <w:r w:rsidR="0047763C">
        <w:rPr>
          <w:rFonts w:cs="Arial"/>
          <w:szCs w:val="20"/>
        </w:rPr>
        <w:t>T</w:t>
      </w:r>
      <w:r w:rsidR="0047763C" w:rsidRPr="000F3B39">
        <w:rPr>
          <w:rFonts w:cs="Arial"/>
          <w:szCs w:val="20"/>
        </w:rPr>
        <w:t xml:space="preserve">he availability of affordable housing in metropolitan Melbourne </w:t>
      </w:r>
      <w:r w:rsidR="0047763C">
        <w:rPr>
          <w:rFonts w:cs="Arial"/>
          <w:szCs w:val="20"/>
        </w:rPr>
        <w:t xml:space="preserve">has </w:t>
      </w:r>
      <w:r w:rsidR="0047763C" w:rsidRPr="000F3B39">
        <w:rPr>
          <w:rFonts w:cs="Arial"/>
          <w:szCs w:val="20"/>
        </w:rPr>
        <w:t>generally declined</w:t>
      </w:r>
      <w:r w:rsidR="0047763C">
        <w:rPr>
          <w:rFonts w:cs="Arial"/>
          <w:szCs w:val="20"/>
        </w:rPr>
        <w:t xml:space="preserve"> f</w:t>
      </w:r>
      <w:r w:rsidR="0047763C" w:rsidRPr="000F3B39">
        <w:rPr>
          <w:rFonts w:cs="Arial"/>
          <w:szCs w:val="20"/>
        </w:rPr>
        <w:t xml:space="preserve">rom a high </w:t>
      </w:r>
      <w:r w:rsidR="00F639BF">
        <w:rPr>
          <w:rFonts w:cs="Arial"/>
          <w:szCs w:val="20"/>
        </w:rPr>
        <w:t>of 30.2%</w:t>
      </w:r>
      <w:r w:rsidR="00F639BF" w:rsidRPr="000F3B39">
        <w:rPr>
          <w:rFonts w:cs="Arial"/>
          <w:szCs w:val="20"/>
        </w:rPr>
        <w:t xml:space="preserve"> </w:t>
      </w:r>
      <w:r w:rsidR="0047763C" w:rsidRPr="000F3B39">
        <w:rPr>
          <w:rFonts w:cs="Arial"/>
          <w:szCs w:val="20"/>
        </w:rPr>
        <w:t xml:space="preserve">in the </w:t>
      </w:r>
      <w:r w:rsidR="009831C2">
        <w:rPr>
          <w:rFonts w:cs="Arial"/>
          <w:szCs w:val="20"/>
        </w:rPr>
        <w:t>September</w:t>
      </w:r>
      <w:r w:rsidR="0047763C" w:rsidRPr="000F3B39">
        <w:rPr>
          <w:rFonts w:cs="Arial"/>
          <w:szCs w:val="20"/>
        </w:rPr>
        <w:t xml:space="preserve"> quarter 200</w:t>
      </w:r>
      <w:r w:rsidR="009831C2">
        <w:rPr>
          <w:rFonts w:cs="Arial"/>
          <w:szCs w:val="20"/>
        </w:rPr>
        <w:t>5</w:t>
      </w:r>
      <w:r w:rsidR="00F42B1F">
        <w:rPr>
          <w:rFonts w:cs="Arial"/>
          <w:szCs w:val="20"/>
        </w:rPr>
        <w:t>.</w:t>
      </w:r>
    </w:p>
    <w:p w:rsidR="0047763C" w:rsidRPr="000F3B39" w:rsidRDefault="0047763C" w:rsidP="00554E34">
      <w:pPr>
        <w:rPr>
          <w:rFonts w:cs="Arial"/>
          <w:szCs w:val="20"/>
        </w:rPr>
      </w:pPr>
    </w:p>
    <w:p w:rsidR="0047763C" w:rsidRPr="000F3B39" w:rsidRDefault="00F639BF" w:rsidP="00554E34">
      <w:pPr>
        <w:rPr>
          <w:rFonts w:cs="Arial"/>
          <w:szCs w:val="20"/>
        </w:rPr>
      </w:pPr>
      <w:r>
        <w:rPr>
          <w:rFonts w:cs="Arial"/>
          <w:szCs w:val="20"/>
        </w:rPr>
        <w:t>In the June quarter 2017 in r</w:t>
      </w:r>
      <w:r w:rsidRPr="000F3B39">
        <w:rPr>
          <w:rFonts w:cs="Arial"/>
          <w:szCs w:val="20"/>
        </w:rPr>
        <w:t>egional Victoria</w:t>
      </w:r>
      <w:r>
        <w:rPr>
          <w:rFonts w:cs="Arial"/>
          <w:szCs w:val="20"/>
        </w:rPr>
        <w:t xml:space="preserve">, 57.6 per cent of new lettings were affordable, compared with a rate of 54.7 per cent </w:t>
      </w:r>
      <w:r>
        <w:t xml:space="preserve">in </w:t>
      </w:r>
      <w:r>
        <w:rPr>
          <w:rFonts w:cs="Arial"/>
          <w:szCs w:val="20"/>
        </w:rPr>
        <w:t xml:space="preserve">the previous quarter and 59.2 per cent in the same quarter of 2016. </w:t>
      </w:r>
      <w:r w:rsidR="0047763C" w:rsidRPr="000F3B39">
        <w:rPr>
          <w:rFonts w:cs="Arial"/>
          <w:szCs w:val="20"/>
        </w:rPr>
        <w:t>Regional Victoria has followed a similar trend</w:t>
      </w:r>
      <w:r>
        <w:rPr>
          <w:rFonts w:cs="Arial"/>
          <w:szCs w:val="20"/>
        </w:rPr>
        <w:t xml:space="preserve"> to metropolitan Melbourne with the availability of affordable housing decreasing </w:t>
      </w:r>
      <w:r w:rsidR="0047763C" w:rsidRPr="000F3B39">
        <w:rPr>
          <w:rFonts w:cs="Arial"/>
          <w:szCs w:val="20"/>
        </w:rPr>
        <w:t>from a high of 8</w:t>
      </w:r>
      <w:r w:rsidR="009831C2">
        <w:rPr>
          <w:rFonts w:cs="Arial"/>
          <w:szCs w:val="20"/>
        </w:rPr>
        <w:t>2.7</w:t>
      </w:r>
      <w:r w:rsidR="0047763C" w:rsidRPr="000F3B39">
        <w:rPr>
          <w:rFonts w:cs="Arial"/>
          <w:szCs w:val="20"/>
        </w:rPr>
        <w:t xml:space="preserve"> per cent in </w:t>
      </w:r>
      <w:r w:rsidR="00CD06D9">
        <w:rPr>
          <w:rFonts w:cs="Arial"/>
          <w:szCs w:val="20"/>
        </w:rPr>
        <w:t xml:space="preserve">the </w:t>
      </w:r>
      <w:r w:rsidR="009831C2">
        <w:rPr>
          <w:rFonts w:cs="Arial"/>
          <w:szCs w:val="20"/>
        </w:rPr>
        <w:t>September</w:t>
      </w:r>
      <w:r w:rsidR="0047763C" w:rsidRPr="000F3B39">
        <w:rPr>
          <w:rFonts w:cs="Arial"/>
          <w:szCs w:val="20"/>
        </w:rPr>
        <w:t xml:space="preserve"> quarter 2002</w:t>
      </w:r>
      <w:r w:rsidR="00092547">
        <w:rPr>
          <w:rFonts w:cs="Arial"/>
          <w:szCs w:val="20"/>
        </w:rPr>
        <w:t>.</w:t>
      </w:r>
      <w:r w:rsidR="0047763C"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In metropolitan Melbourne, the availability of affordable rental lettings varies between different types of households. The rental affordabil</w:t>
      </w:r>
      <w:r w:rsidR="00414A07">
        <w:rPr>
          <w:rFonts w:cs="Arial"/>
          <w:szCs w:val="20"/>
        </w:rPr>
        <w:t>ity situation for different low-</w:t>
      </w:r>
      <w:r w:rsidRPr="000F3B39">
        <w:rPr>
          <w:rFonts w:cs="Arial"/>
          <w:szCs w:val="20"/>
        </w:rPr>
        <w:t xml:space="preserve">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 xml:space="preserve">bedroom dwellings, </w:t>
      </w:r>
      <w:r w:rsidR="00414A07">
        <w:rPr>
          <w:rFonts w:cs="Arial"/>
          <w:szCs w:val="20"/>
        </w:rPr>
        <w:t>low-</w:t>
      </w:r>
      <w:r w:rsidRPr="000F3B39">
        <w:rPr>
          <w:rFonts w:cs="Arial"/>
          <w:szCs w:val="20"/>
        </w:rPr>
        <w:t>income single person households face the most difficulties in accessing affordable rental housing. Across Melbourne, just 0.</w:t>
      </w:r>
      <w:r w:rsidR="00323912">
        <w:rPr>
          <w:rFonts w:cs="Arial"/>
          <w:szCs w:val="20"/>
        </w:rPr>
        <w:t>4</w:t>
      </w:r>
      <w:r w:rsidR="00C347B6">
        <w:rPr>
          <w:rFonts w:cs="Arial"/>
          <w:szCs w:val="20"/>
        </w:rPr>
        <w:t xml:space="preserve"> per cent of one-</w:t>
      </w:r>
      <w:r w:rsidRPr="000F3B39">
        <w:rPr>
          <w:rFonts w:cs="Arial"/>
          <w:szCs w:val="20"/>
        </w:rPr>
        <w:t xml:space="preserve">bedroom dwellings let in the </w:t>
      </w:r>
      <w:r w:rsidR="00D429F4">
        <w:rPr>
          <w:rFonts w:cs="Arial"/>
          <w:szCs w:val="20"/>
        </w:rPr>
        <w:t>June</w:t>
      </w:r>
      <w:r w:rsidR="00414A07">
        <w:rPr>
          <w:rFonts w:cs="Arial"/>
          <w:szCs w:val="20"/>
        </w:rPr>
        <w:t xml:space="preserve"> quarter were affordable to low-</w:t>
      </w:r>
      <w:r w:rsidRPr="000F3B39">
        <w:rPr>
          <w:rFonts w:cs="Arial"/>
          <w:szCs w:val="20"/>
        </w:rPr>
        <w:t xml:space="preserve">income singles. For a single parent with one child on Centrelink income, </w:t>
      </w:r>
      <w:r w:rsidR="00F639BF">
        <w:rPr>
          <w:rFonts w:cs="Arial"/>
          <w:szCs w:val="20"/>
        </w:rPr>
        <w:t>2.8</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Newstart with </w:t>
      </w:r>
      <w:r w:rsidR="00C347B6">
        <w:rPr>
          <w:rFonts w:cs="Arial"/>
          <w:szCs w:val="20"/>
        </w:rPr>
        <w:t>two</w:t>
      </w:r>
      <w:r w:rsidR="00C347B6" w:rsidRPr="000F3B39">
        <w:rPr>
          <w:rFonts w:cs="Arial"/>
          <w:szCs w:val="20"/>
        </w:rPr>
        <w:t xml:space="preserve"> dependent children could afford </w:t>
      </w:r>
      <w:r w:rsidR="00F639BF">
        <w:rPr>
          <w:rFonts w:cs="Arial"/>
          <w:szCs w:val="20"/>
        </w:rPr>
        <w:t>7.8</w:t>
      </w:r>
      <w:r w:rsidR="00C347B6">
        <w:rPr>
          <w:rFonts w:cs="Arial"/>
          <w:szCs w:val="20"/>
        </w:rPr>
        <w:t xml:space="preserve"> per cent of three-</w:t>
      </w:r>
      <w:r w:rsidR="00C347B6" w:rsidRPr="000F3B39">
        <w:rPr>
          <w:rFonts w:cs="Arial"/>
          <w:szCs w:val="20"/>
        </w:rPr>
        <w:t xml:space="preserve">bedroom new lettings in Melbourne in the </w:t>
      </w:r>
      <w:r w:rsidR="00D429F4">
        <w:rPr>
          <w:rFonts w:cs="Arial"/>
          <w:szCs w:val="20"/>
        </w:rPr>
        <w:t>June</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Newstart with four dependent children could afford </w:t>
      </w:r>
      <w:r w:rsidR="00F639BF">
        <w:rPr>
          <w:rFonts w:cs="Arial"/>
          <w:szCs w:val="20"/>
        </w:rPr>
        <w:t>21.7</w:t>
      </w:r>
      <w:r w:rsidR="00C347B6">
        <w:rPr>
          <w:rFonts w:cs="Arial"/>
          <w:szCs w:val="20"/>
        </w:rPr>
        <w:t xml:space="preserve"> per cent of four-</w:t>
      </w:r>
      <w:r w:rsidRPr="000F3B39">
        <w:rPr>
          <w:rFonts w:cs="Arial"/>
          <w:szCs w:val="20"/>
        </w:rPr>
        <w:t xml:space="preserve">bedroom new lettings in Melbourne in </w:t>
      </w:r>
      <w:r w:rsidRPr="000F3B39">
        <w:rPr>
          <w:rFonts w:cs="Arial"/>
          <w:szCs w:val="20"/>
        </w:rPr>
        <w:lastRenderedPageBreak/>
        <w:t xml:space="preserve">the </w:t>
      </w:r>
      <w:r w:rsidR="00D429F4">
        <w:rPr>
          <w:rFonts w:cs="Arial"/>
          <w:szCs w:val="20"/>
        </w:rPr>
        <w:t>June</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Centrelink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Singles on Newstart</w:t>
            </w:r>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323912">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323912">
            <w:pPr>
              <w:pStyle w:val="TablecopyHeading"/>
              <w:spacing w:before="0" w:after="0" w:line="240" w:lineRule="auto"/>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34423E" w:rsidRPr="005F5C4F" w:rsidTr="0034423E">
        <w:trPr>
          <w:trHeight w:val="340"/>
        </w:trPr>
        <w:tc>
          <w:tcPr>
            <w:tcW w:w="2518"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34423E" w:rsidRPr="00C95655" w:rsidRDefault="0034423E" w:rsidP="0034423E">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4423E" w:rsidRPr="0065604F" w:rsidRDefault="0034423E" w:rsidP="0034423E">
            <w:pPr>
              <w:jc w:val="center"/>
            </w:pPr>
            <w:r w:rsidRPr="00396179">
              <w:t>$268</w:t>
            </w:r>
          </w:p>
        </w:tc>
        <w:tc>
          <w:tcPr>
            <w:tcW w:w="1334" w:type="dxa"/>
            <w:noWrap/>
            <w:vAlign w:val="center"/>
          </w:tcPr>
          <w:p w:rsidR="0034423E" w:rsidRPr="0065604F" w:rsidRDefault="0034423E" w:rsidP="0034423E">
            <w:pPr>
              <w:jc w:val="center"/>
            </w:pPr>
            <w:r w:rsidRPr="00396179">
              <w:t>$564</w:t>
            </w:r>
          </w:p>
        </w:tc>
        <w:tc>
          <w:tcPr>
            <w:tcW w:w="1496" w:type="dxa"/>
            <w:shd w:val="clear" w:color="auto" w:fill="E5EBF0"/>
            <w:noWrap/>
            <w:vAlign w:val="center"/>
          </w:tcPr>
          <w:p w:rsidR="0034423E" w:rsidRPr="0065604F" w:rsidRDefault="0034423E" w:rsidP="0034423E">
            <w:pPr>
              <w:jc w:val="center"/>
            </w:pPr>
            <w:r w:rsidRPr="00396179">
              <w:t>$779</w:t>
            </w:r>
          </w:p>
        </w:tc>
        <w:tc>
          <w:tcPr>
            <w:tcW w:w="1462" w:type="dxa"/>
            <w:noWrap/>
            <w:vAlign w:val="center"/>
          </w:tcPr>
          <w:p w:rsidR="0034423E" w:rsidRPr="0065604F" w:rsidRDefault="0034423E" w:rsidP="0034423E">
            <w:pPr>
              <w:jc w:val="center"/>
            </w:pPr>
            <w:r w:rsidRPr="00396179">
              <w:t>$990</w:t>
            </w:r>
          </w:p>
        </w:tc>
        <w:tc>
          <w:tcPr>
            <w:tcW w:w="1112" w:type="dxa"/>
            <w:shd w:val="clear" w:color="auto" w:fill="E5EBF0"/>
            <w:vAlign w:val="center"/>
          </w:tcPr>
          <w:p w:rsidR="0034423E" w:rsidRPr="005540A2" w:rsidRDefault="0034423E" w:rsidP="0034423E">
            <w:pPr>
              <w:ind w:right="170"/>
              <w:jc w:val="center"/>
              <w:rPr>
                <w:rFonts w:cs="Arial"/>
                <w:szCs w:val="22"/>
              </w:rPr>
            </w:pPr>
          </w:p>
        </w:tc>
      </w:tr>
      <w:tr w:rsidR="0034423E" w:rsidRPr="005F5C4F" w:rsidTr="0034423E">
        <w:trPr>
          <w:trHeight w:val="340"/>
        </w:trPr>
        <w:tc>
          <w:tcPr>
            <w:tcW w:w="2518" w:type="dxa"/>
            <w:noWrap/>
            <w:vAlign w:val="center"/>
          </w:tcPr>
          <w:p w:rsidR="0034423E" w:rsidRPr="00C95655" w:rsidRDefault="0034423E" w:rsidP="0034423E">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34423E" w:rsidRPr="00C95655" w:rsidRDefault="0034423E" w:rsidP="0034423E">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34423E" w:rsidRPr="0065604F" w:rsidRDefault="0034423E" w:rsidP="0034423E">
            <w:pPr>
              <w:jc w:val="center"/>
            </w:pPr>
            <w:r w:rsidRPr="00396179">
              <w:t>$150</w:t>
            </w:r>
          </w:p>
        </w:tc>
        <w:tc>
          <w:tcPr>
            <w:tcW w:w="1334" w:type="dxa"/>
            <w:noWrap/>
            <w:vAlign w:val="center"/>
          </w:tcPr>
          <w:p w:rsidR="0034423E" w:rsidRPr="0065604F" w:rsidRDefault="0034423E" w:rsidP="0034423E">
            <w:pPr>
              <w:jc w:val="center"/>
            </w:pPr>
            <w:r w:rsidRPr="00396179">
              <w:t>$250</w:t>
            </w:r>
          </w:p>
        </w:tc>
        <w:tc>
          <w:tcPr>
            <w:tcW w:w="1496" w:type="dxa"/>
            <w:shd w:val="clear" w:color="auto" w:fill="E5EBF0"/>
            <w:noWrap/>
            <w:vAlign w:val="center"/>
          </w:tcPr>
          <w:p w:rsidR="0034423E" w:rsidRPr="0065604F" w:rsidRDefault="0034423E" w:rsidP="0034423E">
            <w:pPr>
              <w:jc w:val="center"/>
            </w:pPr>
            <w:r w:rsidRPr="00396179">
              <w:t>$315</w:t>
            </w:r>
          </w:p>
        </w:tc>
        <w:tc>
          <w:tcPr>
            <w:tcW w:w="1462" w:type="dxa"/>
            <w:noWrap/>
            <w:vAlign w:val="center"/>
          </w:tcPr>
          <w:p w:rsidR="0034423E" w:rsidRDefault="0034423E" w:rsidP="0034423E">
            <w:pPr>
              <w:jc w:val="center"/>
            </w:pPr>
            <w:r w:rsidRPr="00396179">
              <w:t>$385</w:t>
            </w:r>
          </w:p>
        </w:tc>
        <w:tc>
          <w:tcPr>
            <w:tcW w:w="1112" w:type="dxa"/>
            <w:shd w:val="clear" w:color="auto" w:fill="E5EBF0"/>
            <w:vAlign w:val="center"/>
          </w:tcPr>
          <w:p w:rsidR="0034423E" w:rsidRPr="005540A2" w:rsidRDefault="0034423E" w:rsidP="0034423E">
            <w:pPr>
              <w:ind w:right="170"/>
              <w:jc w:val="center"/>
              <w:rPr>
                <w:rFonts w:cs="Arial"/>
                <w:szCs w:val="22"/>
              </w:rPr>
            </w:pPr>
          </w:p>
        </w:tc>
      </w:tr>
      <w:tr w:rsidR="008B45E5" w:rsidRPr="005F5C4F" w:rsidTr="008B45E5">
        <w:trPr>
          <w:trHeight w:val="340"/>
        </w:trPr>
        <w:tc>
          <w:tcPr>
            <w:tcW w:w="2518" w:type="dxa"/>
            <w:vMerge w:val="restart"/>
            <w:noWrap/>
            <w:vAlign w:val="center"/>
          </w:tcPr>
          <w:p w:rsidR="008B45E5" w:rsidRPr="00C95655" w:rsidRDefault="008B45E5" w:rsidP="008B45E5">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8B45E5" w:rsidRPr="00834918" w:rsidRDefault="008B45E5" w:rsidP="008B45E5">
            <w:pPr>
              <w:jc w:val="center"/>
            </w:pPr>
            <w:r w:rsidRPr="00834918">
              <w:t>30</w:t>
            </w:r>
          </w:p>
        </w:tc>
        <w:tc>
          <w:tcPr>
            <w:tcW w:w="1334" w:type="dxa"/>
            <w:noWrap/>
            <w:vAlign w:val="center"/>
          </w:tcPr>
          <w:p w:rsidR="008B45E5" w:rsidRPr="00834918" w:rsidRDefault="008B45E5" w:rsidP="008B45E5">
            <w:pPr>
              <w:jc w:val="center"/>
            </w:pPr>
            <w:r w:rsidRPr="00834918">
              <w:t>382</w:t>
            </w:r>
          </w:p>
        </w:tc>
        <w:tc>
          <w:tcPr>
            <w:tcW w:w="1496" w:type="dxa"/>
            <w:shd w:val="clear" w:color="auto" w:fill="E5EBF0"/>
            <w:noWrap/>
            <w:vAlign w:val="center"/>
          </w:tcPr>
          <w:p w:rsidR="008B45E5" w:rsidRPr="00834918" w:rsidRDefault="008B45E5" w:rsidP="008B45E5">
            <w:pPr>
              <w:jc w:val="center"/>
            </w:pPr>
            <w:r w:rsidRPr="00834918">
              <w:t>953</w:t>
            </w:r>
          </w:p>
        </w:tc>
        <w:tc>
          <w:tcPr>
            <w:tcW w:w="1462" w:type="dxa"/>
            <w:noWrap/>
            <w:vAlign w:val="center"/>
          </w:tcPr>
          <w:p w:rsidR="008B45E5" w:rsidRPr="00834918" w:rsidRDefault="008B45E5" w:rsidP="008B45E5">
            <w:pPr>
              <w:jc w:val="center"/>
            </w:pPr>
            <w:r w:rsidRPr="00834918">
              <w:t>1,190</w:t>
            </w:r>
          </w:p>
        </w:tc>
        <w:tc>
          <w:tcPr>
            <w:tcW w:w="1112" w:type="dxa"/>
            <w:shd w:val="clear" w:color="auto" w:fill="E5EBF0"/>
            <w:vAlign w:val="center"/>
          </w:tcPr>
          <w:p w:rsidR="008B45E5" w:rsidRPr="00834918" w:rsidRDefault="008B45E5" w:rsidP="008B45E5">
            <w:pPr>
              <w:jc w:val="center"/>
            </w:pPr>
            <w:r w:rsidRPr="00834918">
              <w:t>2,555</w:t>
            </w:r>
          </w:p>
        </w:tc>
      </w:tr>
      <w:tr w:rsidR="008B45E5" w:rsidRPr="005F5C4F" w:rsidTr="008B45E5">
        <w:trPr>
          <w:trHeight w:val="340"/>
        </w:trPr>
        <w:tc>
          <w:tcPr>
            <w:tcW w:w="2518" w:type="dxa"/>
            <w:vMerge/>
            <w:noWrap/>
            <w:vAlign w:val="center"/>
          </w:tcPr>
          <w:p w:rsidR="008B45E5" w:rsidRPr="00C95655" w:rsidRDefault="008B45E5" w:rsidP="008B45E5">
            <w:pPr>
              <w:pStyle w:val="Tablecopy"/>
              <w:spacing w:before="0" w:after="0" w:line="240" w:lineRule="auto"/>
              <w:jc w:val="left"/>
              <w:rPr>
                <w:rFonts w:cs="Arial"/>
                <w:b/>
                <w:sz w:val="20"/>
                <w:szCs w:val="20"/>
              </w:rPr>
            </w:pP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8B45E5" w:rsidRPr="00834918" w:rsidRDefault="008B45E5" w:rsidP="008B45E5">
            <w:pPr>
              <w:jc w:val="center"/>
            </w:pPr>
            <w:r w:rsidRPr="00834918">
              <w:t>187</w:t>
            </w:r>
          </w:p>
        </w:tc>
        <w:tc>
          <w:tcPr>
            <w:tcW w:w="1334" w:type="dxa"/>
            <w:noWrap/>
            <w:vAlign w:val="center"/>
          </w:tcPr>
          <w:p w:rsidR="008B45E5" w:rsidRPr="00834918" w:rsidRDefault="008B45E5" w:rsidP="008B45E5">
            <w:pPr>
              <w:jc w:val="center"/>
            </w:pPr>
            <w:r w:rsidRPr="00834918">
              <w:t>1,650</w:t>
            </w:r>
          </w:p>
        </w:tc>
        <w:tc>
          <w:tcPr>
            <w:tcW w:w="1496" w:type="dxa"/>
            <w:shd w:val="clear" w:color="auto" w:fill="E5EBF0"/>
            <w:noWrap/>
            <w:vAlign w:val="center"/>
          </w:tcPr>
          <w:p w:rsidR="008B45E5" w:rsidRPr="00834918" w:rsidRDefault="008B45E5" w:rsidP="008B45E5">
            <w:pPr>
              <w:jc w:val="center"/>
            </w:pPr>
            <w:r w:rsidRPr="00834918">
              <w:t>2,989</w:t>
            </w:r>
          </w:p>
        </w:tc>
        <w:tc>
          <w:tcPr>
            <w:tcW w:w="1462" w:type="dxa"/>
            <w:noWrap/>
            <w:vAlign w:val="center"/>
          </w:tcPr>
          <w:p w:rsidR="008B45E5" w:rsidRPr="00834918" w:rsidRDefault="008B45E5" w:rsidP="008B45E5">
            <w:pPr>
              <w:jc w:val="center"/>
            </w:pPr>
            <w:r w:rsidRPr="00834918">
              <w:t>1,078</w:t>
            </w:r>
          </w:p>
        </w:tc>
        <w:tc>
          <w:tcPr>
            <w:tcW w:w="1112" w:type="dxa"/>
            <w:shd w:val="clear" w:color="auto" w:fill="E5EBF0"/>
            <w:vAlign w:val="center"/>
          </w:tcPr>
          <w:p w:rsidR="008B45E5" w:rsidRPr="00834918" w:rsidRDefault="008B45E5" w:rsidP="008B45E5">
            <w:pPr>
              <w:jc w:val="center"/>
            </w:pPr>
            <w:r w:rsidRPr="00834918">
              <w:t>5,904</w:t>
            </w:r>
          </w:p>
        </w:tc>
      </w:tr>
      <w:tr w:rsidR="008B45E5" w:rsidRPr="005F5C4F" w:rsidTr="008B45E5">
        <w:trPr>
          <w:trHeight w:val="340"/>
        </w:trPr>
        <w:tc>
          <w:tcPr>
            <w:tcW w:w="2518" w:type="dxa"/>
            <w:vMerge/>
            <w:noWrap/>
            <w:vAlign w:val="center"/>
          </w:tcPr>
          <w:p w:rsidR="008B45E5" w:rsidRPr="00C95655" w:rsidRDefault="008B45E5" w:rsidP="008B45E5">
            <w:pPr>
              <w:pStyle w:val="Tablecopy"/>
              <w:spacing w:before="0" w:after="0" w:line="240" w:lineRule="auto"/>
              <w:jc w:val="left"/>
              <w:rPr>
                <w:rFonts w:cs="Arial"/>
                <w:b/>
                <w:sz w:val="20"/>
                <w:szCs w:val="20"/>
              </w:rPr>
            </w:pP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8B45E5" w:rsidRPr="00834918" w:rsidRDefault="008B45E5" w:rsidP="008B45E5">
            <w:pPr>
              <w:jc w:val="center"/>
            </w:pPr>
            <w:r w:rsidRPr="00834918">
              <w:t>217</w:t>
            </w:r>
          </w:p>
        </w:tc>
        <w:tc>
          <w:tcPr>
            <w:tcW w:w="1334" w:type="dxa"/>
            <w:noWrap/>
            <w:vAlign w:val="center"/>
          </w:tcPr>
          <w:p w:rsidR="008B45E5" w:rsidRPr="00834918" w:rsidRDefault="008B45E5" w:rsidP="008B45E5">
            <w:pPr>
              <w:jc w:val="center"/>
            </w:pPr>
            <w:r w:rsidRPr="00834918">
              <w:t>2,032</w:t>
            </w:r>
          </w:p>
        </w:tc>
        <w:tc>
          <w:tcPr>
            <w:tcW w:w="1496" w:type="dxa"/>
            <w:shd w:val="clear" w:color="auto" w:fill="E5EBF0"/>
            <w:noWrap/>
            <w:vAlign w:val="center"/>
          </w:tcPr>
          <w:p w:rsidR="008B45E5" w:rsidRPr="00834918" w:rsidRDefault="008B45E5" w:rsidP="008B45E5">
            <w:pPr>
              <w:jc w:val="center"/>
            </w:pPr>
            <w:r w:rsidRPr="00834918">
              <w:t>3,942</w:t>
            </w:r>
          </w:p>
        </w:tc>
        <w:tc>
          <w:tcPr>
            <w:tcW w:w="1462" w:type="dxa"/>
            <w:noWrap/>
            <w:vAlign w:val="center"/>
          </w:tcPr>
          <w:p w:rsidR="008B45E5" w:rsidRPr="00834918" w:rsidRDefault="008B45E5" w:rsidP="008B45E5">
            <w:pPr>
              <w:jc w:val="center"/>
            </w:pPr>
            <w:r w:rsidRPr="00834918">
              <w:t>2,268</w:t>
            </w:r>
          </w:p>
        </w:tc>
        <w:tc>
          <w:tcPr>
            <w:tcW w:w="1112" w:type="dxa"/>
            <w:shd w:val="clear" w:color="auto" w:fill="E5EBF0"/>
            <w:vAlign w:val="center"/>
          </w:tcPr>
          <w:p w:rsidR="008B45E5" w:rsidRDefault="008B45E5" w:rsidP="008B45E5">
            <w:pPr>
              <w:jc w:val="center"/>
            </w:pPr>
            <w:r w:rsidRPr="00834918">
              <w:t>8,459</w:t>
            </w:r>
          </w:p>
        </w:tc>
      </w:tr>
      <w:tr w:rsidR="008B45E5" w:rsidRPr="005F5C4F" w:rsidTr="008B45E5">
        <w:trPr>
          <w:trHeight w:val="340"/>
        </w:trPr>
        <w:tc>
          <w:tcPr>
            <w:tcW w:w="2518" w:type="dxa"/>
            <w:vMerge w:val="restart"/>
            <w:noWrap/>
            <w:vAlign w:val="center"/>
          </w:tcPr>
          <w:p w:rsidR="008B45E5" w:rsidRPr="00C95655" w:rsidRDefault="008B45E5" w:rsidP="008B45E5">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8B45E5" w:rsidRPr="00282900" w:rsidRDefault="008B45E5" w:rsidP="008B45E5">
            <w:pPr>
              <w:jc w:val="center"/>
            </w:pPr>
            <w:r w:rsidRPr="00282900">
              <w:t>0.4%</w:t>
            </w:r>
          </w:p>
        </w:tc>
        <w:tc>
          <w:tcPr>
            <w:tcW w:w="1334" w:type="dxa"/>
            <w:noWrap/>
            <w:vAlign w:val="center"/>
          </w:tcPr>
          <w:p w:rsidR="008B45E5" w:rsidRPr="00282900" w:rsidRDefault="008B45E5" w:rsidP="008B45E5">
            <w:pPr>
              <w:jc w:val="center"/>
            </w:pPr>
            <w:r w:rsidRPr="00282900">
              <w:t>2.8%</w:t>
            </w:r>
          </w:p>
        </w:tc>
        <w:tc>
          <w:tcPr>
            <w:tcW w:w="1496" w:type="dxa"/>
            <w:shd w:val="clear" w:color="auto" w:fill="E5EBF0"/>
            <w:noWrap/>
            <w:vAlign w:val="center"/>
          </w:tcPr>
          <w:p w:rsidR="008B45E5" w:rsidRPr="00282900" w:rsidRDefault="008B45E5" w:rsidP="008B45E5">
            <w:pPr>
              <w:jc w:val="center"/>
            </w:pPr>
            <w:r w:rsidRPr="00282900">
              <w:t>7.8%</w:t>
            </w:r>
          </w:p>
        </w:tc>
        <w:tc>
          <w:tcPr>
            <w:tcW w:w="1462" w:type="dxa"/>
            <w:noWrap/>
            <w:vAlign w:val="center"/>
          </w:tcPr>
          <w:p w:rsidR="008B45E5" w:rsidRPr="00282900" w:rsidRDefault="008B45E5" w:rsidP="008B45E5">
            <w:pPr>
              <w:jc w:val="center"/>
            </w:pPr>
            <w:r w:rsidRPr="00282900">
              <w:t>21.7%</w:t>
            </w:r>
          </w:p>
        </w:tc>
        <w:tc>
          <w:tcPr>
            <w:tcW w:w="1112" w:type="dxa"/>
            <w:shd w:val="clear" w:color="auto" w:fill="E5EBF0"/>
            <w:vAlign w:val="center"/>
          </w:tcPr>
          <w:p w:rsidR="008B45E5" w:rsidRPr="00282900" w:rsidRDefault="008B45E5" w:rsidP="008B45E5">
            <w:pPr>
              <w:jc w:val="center"/>
            </w:pPr>
            <w:r w:rsidRPr="00282900">
              <w:t>6.6%</w:t>
            </w:r>
          </w:p>
        </w:tc>
      </w:tr>
      <w:tr w:rsidR="008B45E5" w:rsidRPr="005F5C4F" w:rsidTr="008B45E5">
        <w:trPr>
          <w:trHeight w:val="340"/>
        </w:trPr>
        <w:tc>
          <w:tcPr>
            <w:tcW w:w="2518" w:type="dxa"/>
            <w:vMerge/>
            <w:noWrap/>
            <w:vAlign w:val="center"/>
          </w:tcPr>
          <w:p w:rsidR="008B45E5" w:rsidRPr="00C95655" w:rsidRDefault="008B45E5" w:rsidP="008B45E5">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8B45E5" w:rsidRPr="00282900" w:rsidRDefault="008B45E5" w:rsidP="008B45E5">
            <w:pPr>
              <w:jc w:val="center"/>
            </w:pPr>
            <w:r w:rsidRPr="00282900">
              <w:t>31.3%</w:t>
            </w:r>
          </w:p>
        </w:tc>
        <w:tc>
          <w:tcPr>
            <w:tcW w:w="1334" w:type="dxa"/>
            <w:noWrap/>
            <w:vAlign w:val="center"/>
          </w:tcPr>
          <w:p w:rsidR="008B45E5" w:rsidRPr="00282900" w:rsidRDefault="008B45E5" w:rsidP="008B45E5">
            <w:pPr>
              <w:jc w:val="center"/>
            </w:pPr>
            <w:r w:rsidRPr="00282900">
              <w:t>58.7%</w:t>
            </w:r>
          </w:p>
        </w:tc>
        <w:tc>
          <w:tcPr>
            <w:tcW w:w="1496" w:type="dxa"/>
            <w:shd w:val="clear" w:color="auto" w:fill="E5EBF0"/>
            <w:noWrap/>
            <w:vAlign w:val="center"/>
          </w:tcPr>
          <w:p w:rsidR="008B45E5" w:rsidRPr="00282900" w:rsidRDefault="008B45E5" w:rsidP="008B45E5">
            <w:pPr>
              <w:jc w:val="center"/>
            </w:pPr>
            <w:r w:rsidRPr="00282900">
              <w:t>59.6%</w:t>
            </w:r>
          </w:p>
        </w:tc>
        <w:tc>
          <w:tcPr>
            <w:tcW w:w="1462" w:type="dxa"/>
            <w:noWrap/>
            <w:vAlign w:val="center"/>
          </w:tcPr>
          <w:p w:rsidR="008B45E5" w:rsidRPr="00282900" w:rsidRDefault="008B45E5" w:rsidP="008B45E5">
            <w:pPr>
              <w:jc w:val="center"/>
            </w:pPr>
            <w:r w:rsidRPr="00282900">
              <w:t>59.0%</w:t>
            </w:r>
          </w:p>
        </w:tc>
        <w:tc>
          <w:tcPr>
            <w:tcW w:w="1112" w:type="dxa"/>
            <w:shd w:val="clear" w:color="auto" w:fill="E5EBF0"/>
            <w:vAlign w:val="center"/>
          </w:tcPr>
          <w:p w:rsidR="008B45E5" w:rsidRPr="00282900" w:rsidRDefault="008B45E5" w:rsidP="008B45E5">
            <w:pPr>
              <w:jc w:val="center"/>
            </w:pPr>
            <w:r w:rsidRPr="00282900">
              <w:t>57.6%</w:t>
            </w:r>
          </w:p>
        </w:tc>
      </w:tr>
      <w:tr w:rsidR="008B45E5" w:rsidRPr="005F5C4F" w:rsidTr="008B45E5">
        <w:trPr>
          <w:trHeight w:val="340"/>
        </w:trPr>
        <w:tc>
          <w:tcPr>
            <w:tcW w:w="2518" w:type="dxa"/>
            <w:vMerge/>
            <w:noWrap/>
            <w:vAlign w:val="center"/>
          </w:tcPr>
          <w:p w:rsidR="008B45E5" w:rsidRPr="00C95655" w:rsidRDefault="008B45E5" w:rsidP="008B45E5">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8B45E5" w:rsidRPr="00C95655" w:rsidRDefault="008B45E5" w:rsidP="008B45E5">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8B45E5" w:rsidRPr="00282900" w:rsidRDefault="008B45E5" w:rsidP="008B45E5">
            <w:pPr>
              <w:jc w:val="center"/>
            </w:pPr>
            <w:r w:rsidRPr="00282900">
              <w:t>2.8%</w:t>
            </w:r>
          </w:p>
        </w:tc>
        <w:tc>
          <w:tcPr>
            <w:tcW w:w="1334" w:type="dxa"/>
            <w:noWrap/>
            <w:vAlign w:val="center"/>
          </w:tcPr>
          <w:p w:rsidR="008B45E5" w:rsidRPr="00282900" w:rsidRDefault="008B45E5" w:rsidP="008B45E5">
            <w:pPr>
              <w:jc w:val="center"/>
            </w:pPr>
            <w:r w:rsidRPr="00282900">
              <w:t>12.2%</w:t>
            </w:r>
          </w:p>
        </w:tc>
        <w:tc>
          <w:tcPr>
            <w:tcW w:w="1496" w:type="dxa"/>
            <w:shd w:val="clear" w:color="auto" w:fill="E5EBF0"/>
            <w:noWrap/>
            <w:vAlign w:val="center"/>
          </w:tcPr>
          <w:p w:rsidR="008B45E5" w:rsidRPr="00282900" w:rsidRDefault="008B45E5" w:rsidP="008B45E5">
            <w:pPr>
              <w:jc w:val="center"/>
            </w:pPr>
            <w:r w:rsidRPr="00282900">
              <w:t>22.8%</w:t>
            </w:r>
          </w:p>
        </w:tc>
        <w:tc>
          <w:tcPr>
            <w:tcW w:w="1462" w:type="dxa"/>
            <w:noWrap/>
            <w:vAlign w:val="center"/>
          </w:tcPr>
          <w:p w:rsidR="008B45E5" w:rsidRPr="00282900" w:rsidRDefault="008B45E5" w:rsidP="008B45E5">
            <w:pPr>
              <w:jc w:val="center"/>
            </w:pPr>
            <w:r w:rsidRPr="00282900">
              <w:t>31.0%</w:t>
            </w:r>
          </w:p>
        </w:tc>
        <w:tc>
          <w:tcPr>
            <w:tcW w:w="1112" w:type="dxa"/>
            <w:shd w:val="clear" w:color="auto" w:fill="E5EBF0"/>
            <w:vAlign w:val="center"/>
          </w:tcPr>
          <w:p w:rsidR="008B45E5" w:rsidRDefault="008B45E5" w:rsidP="008B45E5">
            <w:pPr>
              <w:jc w:val="center"/>
            </w:pPr>
            <w:r w:rsidRPr="00282900">
              <w:t>17.3%</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1F352D">
        <w:rPr>
          <w:rFonts w:cs="Arial"/>
          <w:szCs w:val="20"/>
        </w:rPr>
        <w:t>2</w:t>
      </w:r>
      <w:r w:rsidR="00F639BF">
        <w:rPr>
          <w:rFonts w:cs="Arial"/>
          <w:szCs w:val="20"/>
        </w:rPr>
        <w:t>0.8</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BA3715" w:rsidRPr="000F3B39">
        <w:rPr>
          <w:rFonts w:cs="Arial"/>
          <w:szCs w:val="20"/>
        </w:rPr>
        <w:t xml:space="preserve">South Eastern </w:t>
      </w:r>
      <w:r w:rsidR="001F352D">
        <w:rPr>
          <w:rFonts w:cs="Arial"/>
          <w:szCs w:val="20"/>
        </w:rPr>
        <w:t>M</w:t>
      </w:r>
      <w:r w:rsidR="0060230C">
        <w:rPr>
          <w:rFonts w:cs="Arial"/>
          <w:szCs w:val="20"/>
        </w:rPr>
        <w:t>elbourne (1</w:t>
      </w:r>
      <w:r w:rsidR="00F639BF">
        <w:rPr>
          <w:rFonts w:cs="Arial"/>
          <w:szCs w:val="20"/>
        </w:rPr>
        <w:t>4.2</w:t>
      </w:r>
      <w:r w:rsidR="00BA3715">
        <w:rPr>
          <w:rFonts w:cs="Arial"/>
          <w:szCs w:val="20"/>
        </w:rPr>
        <w:t>%)</w:t>
      </w:r>
      <w:r w:rsidR="00BA3715" w:rsidRPr="00BA3715">
        <w:rPr>
          <w:rFonts w:cs="Arial"/>
          <w:szCs w:val="20"/>
        </w:rPr>
        <w:t xml:space="preserve"> </w:t>
      </w:r>
      <w:r w:rsidR="00BA3715" w:rsidRPr="000F3B39">
        <w:rPr>
          <w:rFonts w:cs="Arial"/>
          <w:szCs w:val="20"/>
        </w:rPr>
        <w:t xml:space="preserve">and </w:t>
      </w:r>
      <w:r w:rsidR="00EF1AD8" w:rsidRPr="000F3B39">
        <w:rPr>
          <w:rFonts w:cs="Arial"/>
          <w:szCs w:val="20"/>
        </w:rPr>
        <w:t xml:space="preserve">Mornington Peninsula </w:t>
      </w:r>
      <w:r w:rsidR="00F639BF">
        <w:rPr>
          <w:rFonts w:cs="Arial"/>
          <w:szCs w:val="20"/>
        </w:rPr>
        <w:t>(9.7</w:t>
      </w:r>
      <w:r w:rsidR="00EF1AD8">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F639BF">
        <w:rPr>
          <w:rFonts w:cs="Arial"/>
          <w:szCs w:val="20"/>
        </w:rPr>
        <w:t>441</w:t>
      </w:r>
      <w:r w:rsidR="000828B6">
        <w:rPr>
          <w:rFonts w:cs="Arial"/>
          <w:szCs w:val="20"/>
        </w:rPr>
        <w:t xml:space="preserve"> or </w:t>
      </w:r>
      <w:r w:rsidR="00F639BF">
        <w:rPr>
          <w:rFonts w:cs="Arial"/>
          <w:szCs w:val="20"/>
        </w:rPr>
        <w:t>17.6</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F639BF">
        <w:rPr>
          <w:rFonts w:cs="Arial"/>
          <w:szCs w:val="20"/>
        </w:rPr>
        <w:t>621 or 41.2</w:t>
      </w:r>
      <w:r w:rsidR="00DF50F4">
        <w:rPr>
          <w:rFonts w:cs="Arial"/>
          <w:szCs w:val="20"/>
        </w:rPr>
        <w:t>%</w:t>
      </w:r>
      <w:r w:rsidRPr="000F3B39">
        <w:rPr>
          <w:rFonts w:cs="Arial"/>
          <w:szCs w:val="20"/>
        </w:rPr>
        <w:t xml:space="preserve">). Western Melbourne </w:t>
      </w:r>
      <w:r w:rsidR="000828B6">
        <w:rPr>
          <w:rFonts w:cs="Arial"/>
          <w:szCs w:val="20"/>
        </w:rPr>
        <w:t xml:space="preserve">has the highest number </w:t>
      </w:r>
      <w:r w:rsidR="00F639BF">
        <w:rPr>
          <w:rFonts w:cs="Arial"/>
          <w:szCs w:val="20"/>
        </w:rPr>
        <w:t>(84</w:t>
      </w:r>
      <w:r w:rsidR="00C347B6" w:rsidRPr="000F3B39">
        <w:rPr>
          <w:rFonts w:cs="Arial"/>
          <w:szCs w:val="20"/>
        </w:rPr>
        <w:t>)</w:t>
      </w:r>
      <w:r w:rsidR="008C646B">
        <w:rPr>
          <w:rFonts w:cs="Arial"/>
          <w:szCs w:val="20"/>
        </w:rPr>
        <w:t xml:space="preserve"> whereas Mornington Peninsula </w:t>
      </w:r>
      <w:r w:rsidR="00F639BF">
        <w:rPr>
          <w:rFonts w:cs="Arial"/>
          <w:szCs w:val="20"/>
        </w:rPr>
        <w:t>has the highest proportion (11</w:t>
      </w:r>
      <w:r w:rsidR="000F69A9">
        <w:rPr>
          <w:rFonts w:cs="Arial"/>
          <w:szCs w:val="20"/>
        </w:rPr>
        <w:t>.1</w:t>
      </w:r>
      <w:r w:rsidR="008C646B">
        <w:rPr>
          <w:rFonts w:cs="Arial"/>
          <w:szCs w:val="20"/>
        </w:rPr>
        <w:t>%)</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F639BF">
        <w:rPr>
          <w:rFonts w:cs="Arial"/>
          <w:szCs w:val="20"/>
        </w:rPr>
        <w:t xml:space="preserve">Southern Melbourne (0.9%), </w:t>
      </w:r>
      <w:r w:rsidR="005D5992">
        <w:rPr>
          <w:rFonts w:cs="Arial"/>
          <w:szCs w:val="20"/>
        </w:rPr>
        <w:t>I</w:t>
      </w:r>
      <w:r w:rsidR="005860F6">
        <w:rPr>
          <w:rFonts w:cs="Arial"/>
          <w:szCs w:val="20"/>
        </w:rPr>
        <w:t>nne</w:t>
      </w:r>
      <w:r w:rsidR="00F639BF">
        <w:rPr>
          <w:rFonts w:cs="Arial"/>
          <w:szCs w:val="20"/>
        </w:rPr>
        <w:t>r Melbourne (1.1</w:t>
      </w:r>
      <w:r w:rsidR="00C64A1F">
        <w:rPr>
          <w:rFonts w:cs="Arial"/>
          <w:szCs w:val="20"/>
        </w:rPr>
        <w:t>%),</w:t>
      </w:r>
      <w:r w:rsidR="001F352D" w:rsidRPr="001F352D">
        <w:rPr>
          <w:rFonts w:cs="Arial"/>
          <w:szCs w:val="20"/>
        </w:rPr>
        <w:t xml:space="preserve"> </w:t>
      </w:r>
      <w:r w:rsidR="00F639BF">
        <w:rPr>
          <w:rFonts w:cs="Arial"/>
          <w:szCs w:val="20"/>
        </w:rPr>
        <w:t>and Inner Eastern Melbourne (1.1</w:t>
      </w:r>
      <w:r w:rsidR="00BA3715">
        <w:rPr>
          <w:rFonts w:cs="Arial"/>
          <w:szCs w:val="20"/>
        </w:rPr>
        <w:t>%)</w:t>
      </w:r>
      <w:r w:rsidR="00BA3715" w:rsidRPr="00BA3715">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In regional Victoria, </w:t>
      </w:r>
      <w:r w:rsidR="000828B6">
        <w:rPr>
          <w:rFonts w:cs="Arial"/>
          <w:szCs w:val="20"/>
        </w:rPr>
        <w:t>Gippsland</w:t>
      </w:r>
      <w:r>
        <w:rPr>
          <w:rFonts w:cs="Arial"/>
          <w:szCs w:val="20"/>
        </w:rPr>
        <w:t xml:space="preserve"> </w:t>
      </w:r>
      <w:r w:rsidR="00BF0461">
        <w:rPr>
          <w:rFonts w:cs="Arial"/>
          <w:szCs w:val="20"/>
        </w:rPr>
        <w:t>(70</w:t>
      </w:r>
      <w:r w:rsidR="000F69A9">
        <w:rPr>
          <w:rFonts w:cs="Arial"/>
          <w:szCs w:val="20"/>
        </w:rPr>
        <w:t>.6</w:t>
      </w:r>
      <w:r w:rsidR="00DF50F4">
        <w:rPr>
          <w:rFonts w:cs="Arial"/>
          <w:szCs w:val="20"/>
        </w:rPr>
        <w:t>%</w:t>
      </w:r>
      <w:r w:rsidR="00C64A1F">
        <w:rPr>
          <w:rFonts w:cs="Arial"/>
          <w:szCs w:val="20"/>
        </w:rPr>
        <w:t xml:space="preserve">) </w:t>
      </w:r>
      <w:r w:rsidR="00BA3715">
        <w:rPr>
          <w:rFonts w:cs="Arial"/>
          <w:szCs w:val="20"/>
        </w:rPr>
        <w:t xml:space="preserve">has </w:t>
      </w:r>
      <w:r w:rsidRPr="000F3B39">
        <w:rPr>
          <w:rFonts w:cs="Arial"/>
          <w:szCs w:val="20"/>
        </w:rPr>
        <w:t xml:space="preserve">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w:t>
      </w:r>
      <w:r w:rsidR="00BF0461">
        <w:rPr>
          <w:rFonts w:cs="Arial"/>
          <w:szCs w:val="20"/>
        </w:rPr>
        <w:t>33.6</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1E3CDD">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0F69A9">
        <w:rPr>
          <w:rFonts w:cs="Arial"/>
          <w:szCs w:val="20"/>
        </w:rPr>
        <w:t>39</w:t>
      </w:r>
      <w:r w:rsidR="005860F6">
        <w:rPr>
          <w:rFonts w:cs="Arial"/>
          <w:szCs w:val="20"/>
        </w:rPr>
        <w:t>.8</w:t>
      </w:r>
      <w:r w:rsidR="00815906">
        <w:rPr>
          <w:rFonts w:cs="Arial"/>
          <w:szCs w:val="20"/>
        </w:rPr>
        <w:t xml:space="preserve">%), </w:t>
      </w:r>
      <w:r w:rsidR="00876B0E">
        <w:rPr>
          <w:rFonts w:cs="Arial"/>
          <w:szCs w:val="20"/>
        </w:rPr>
        <w:t>Wynd</w:t>
      </w:r>
      <w:r w:rsidR="00BF0461">
        <w:rPr>
          <w:rFonts w:cs="Arial"/>
          <w:szCs w:val="20"/>
        </w:rPr>
        <w:t>ham (31.9</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BF0461">
        <w:rPr>
          <w:rFonts w:cs="Arial"/>
          <w:szCs w:val="20"/>
        </w:rPr>
        <w:t>30.0</w:t>
      </w:r>
      <w:r w:rsidR="00DF50F4">
        <w:rPr>
          <w:rFonts w:cs="Arial"/>
          <w:szCs w:val="20"/>
        </w:rPr>
        <w:t>%</w:t>
      </w:r>
      <w:r>
        <w:rPr>
          <w:rFonts w:cs="Arial"/>
          <w:szCs w:val="20"/>
        </w:rPr>
        <w:t>),</w:t>
      </w:r>
      <w:r w:rsidR="003F77D3" w:rsidRPr="003F77D3">
        <w:rPr>
          <w:rFonts w:cs="Arial"/>
          <w:szCs w:val="20"/>
        </w:rPr>
        <w:t xml:space="preserve"> </w:t>
      </w:r>
      <w:r w:rsidR="001E3CDD">
        <w:rPr>
          <w:rFonts w:cs="Arial"/>
          <w:szCs w:val="20"/>
        </w:rPr>
        <w:t xml:space="preserve">Nillumbik </w:t>
      </w:r>
      <w:r w:rsidR="001E3CDD" w:rsidRPr="000F3B39">
        <w:rPr>
          <w:rFonts w:cs="Arial"/>
          <w:szCs w:val="20"/>
        </w:rPr>
        <w:t>(</w:t>
      </w:r>
      <w:r w:rsidR="00BF0461">
        <w:rPr>
          <w:rFonts w:cs="Arial"/>
          <w:szCs w:val="20"/>
        </w:rPr>
        <w:t>20.3</w:t>
      </w:r>
      <w:r w:rsidR="001E3CDD">
        <w:rPr>
          <w:rFonts w:cs="Arial"/>
          <w:szCs w:val="20"/>
        </w:rPr>
        <w:t>%</w:t>
      </w:r>
      <w:r w:rsidR="001E3CDD" w:rsidRPr="000F3B39">
        <w:rPr>
          <w:rFonts w:cs="Arial"/>
          <w:szCs w:val="20"/>
        </w:rPr>
        <w:t>)</w:t>
      </w:r>
      <w:r w:rsidR="00BF0461">
        <w:rPr>
          <w:rFonts w:cs="Arial"/>
          <w:szCs w:val="20"/>
        </w:rPr>
        <w:t xml:space="preserve"> and Brimbank (19.3</w:t>
      </w:r>
      <w:r w:rsidR="001E3CDD">
        <w:rPr>
          <w:rFonts w:cs="Arial"/>
          <w:szCs w:val="20"/>
        </w:rPr>
        <w:t>%)</w:t>
      </w:r>
      <w:r w:rsidR="00BF0461">
        <w:rPr>
          <w:rFonts w:cs="Arial"/>
          <w:szCs w:val="20"/>
        </w:rPr>
        <w:t>.</w:t>
      </w:r>
      <w:r w:rsidR="000F69A9" w:rsidRPr="000F3B39">
        <w:rPr>
          <w:rFonts w:cs="Arial"/>
          <w:szCs w:val="20"/>
        </w:rPr>
        <w:t xml:space="preserve"> </w:t>
      </w:r>
      <w:r w:rsidRPr="000F3B39">
        <w:rPr>
          <w:rFonts w:cs="Arial"/>
          <w:szCs w:val="20"/>
        </w:rPr>
        <w:t xml:space="preserve">The LGAs with lowest proportion are </w:t>
      </w:r>
      <w:r w:rsidR="005D5992" w:rsidRPr="000F3B39">
        <w:rPr>
          <w:rFonts w:cs="Arial"/>
          <w:szCs w:val="20"/>
        </w:rPr>
        <w:t>Bayside</w:t>
      </w:r>
      <w:r w:rsidR="005D5992">
        <w:rPr>
          <w:rFonts w:cs="Arial"/>
          <w:szCs w:val="20"/>
        </w:rPr>
        <w:t xml:space="preserve">, </w:t>
      </w:r>
      <w:r w:rsidR="00762F0C">
        <w:rPr>
          <w:rFonts w:cs="Arial"/>
          <w:szCs w:val="20"/>
        </w:rPr>
        <w:t xml:space="preserve">Boroondara, Port Phillip, </w:t>
      </w:r>
      <w:r w:rsidR="00E50348">
        <w:rPr>
          <w:rFonts w:cs="Arial"/>
          <w:szCs w:val="20"/>
        </w:rPr>
        <w:t xml:space="preserve">Stonnington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762F0C">
        <w:rPr>
          <w:rFonts w:cs="Arial"/>
          <w:szCs w:val="20"/>
        </w:rPr>
        <w:t>all</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sidR="005D5992">
        <w:rPr>
          <w:rFonts w:cs="Arial"/>
          <w:szCs w:val="20"/>
        </w:rPr>
        <w:t xml:space="preserve">, </w:t>
      </w:r>
      <w:r w:rsidR="00CE39C1" w:rsidRPr="00953AAA">
        <w:rPr>
          <w:lang w:eastAsia="en-AU"/>
        </w:rPr>
        <w:t>Glen Eira</w:t>
      </w:r>
      <w:r w:rsidR="00CE39C1">
        <w:rPr>
          <w:lang w:eastAsia="en-AU"/>
        </w:rPr>
        <w:t xml:space="preserve">, </w:t>
      </w:r>
      <w:r w:rsidR="00CE39C1" w:rsidRPr="00953AAA">
        <w:rPr>
          <w:lang w:eastAsia="en-AU"/>
        </w:rPr>
        <w:t>Kingston</w:t>
      </w:r>
      <w:r w:rsidR="00CE39C1">
        <w:rPr>
          <w:lang w:eastAsia="en-AU"/>
        </w:rPr>
        <w:t xml:space="preserve">, </w:t>
      </w:r>
      <w:r w:rsidR="00CE39C1" w:rsidRPr="00953AAA">
        <w:rPr>
          <w:lang w:eastAsia="en-AU"/>
        </w:rPr>
        <w:t>Manningham</w:t>
      </w:r>
      <w:r w:rsidR="00CE39C1">
        <w:rPr>
          <w:lang w:eastAsia="en-AU"/>
        </w:rPr>
        <w:t xml:space="preserve">, </w:t>
      </w:r>
      <w:r w:rsidR="00BF0461" w:rsidRPr="00BF0461">
        <w:rPr>
          <w:lang w:eastAsia="en-AU"/>
        </w:rPr>
        <w:t>Maroondah</w:t>
      </w:r>
      <w:r w:rsidR="00BF0461">
        <w:rPr>
          <w:lang w:eastAsia="en-AU"/>
        </w:rPr>
        <w:t xml:space="preserve">, </w:t>
      </w:r>
      <w:r w:rsidR="00CE39C1" w:rsidRPr="00953AAA">
        <w:rPr>
          <w:lang w:eastAsia="en-AU"/>
        </w:rPr>
        <w:t>Melbourne</w:t>
      </w:r>
      <w:r w:rsidR="00CE39C1">
        <w:rPr>
          <w:lang w:eastAsia="en-AU"/>
        </w:rPr>
        <w:t xml:space="preserve">, </w:t>
      </w:r>
      <w:r w:rsidR="00CE39C1" w:rsidRPr="00953AAA">
        <w:rPr>
          <w:lang w:eastAsia="en-AU"/>
        </w:rPr>
        <w:t>Moonee Valley</w:t>
      </w:r>
      <w:r w:rsidR="00CE39C1">
        <w:rPr>
          <w:lang w:eastAsia="en-AU"/>
        </w:rPr>
        <w:t xml:space="preserve">, </w:t>
      </w:r>
      <w:r w:rsidR="00CE39C1" w:rsidRPr="00953AAA">
        <w:rPr>
          <w:lang w:eastAsia="en-AU"/>
        </w:rPr>
        <w:t>Moreland</w:t>
      </w:r>
      <w:r w:rsidR="00CE39C1">
        <w:rPr>
          <w:lang w:eastAsia="en-AU"/>
        </w:rPr>
        <w:t xml:space="preserve"> and </w:t>
      </w:r>
      <w:r w:rsidR="00CE39C1" w:rsidRPr="00953AAA">
        <w:rPr>
          <w:lang w:eastAsia="en-AU"/>
        </w:rPr>
        <w:t>Whitehorse</w:t>
      </w:r>
      <w:r w:rsidR="005D5992" w:rsidRPr="005D5992">
        <w:rPr>
          <w:rFonts w:cs="Arial"/>
          <w:szCs w:val="20"/>
        </w:rPr>
        <w:t xml:space="preserve"> </w:t>
      </w:r>
      <w:r>
        <w:rPr>
          <w:rFonts w:cs="Arial"/>
          <w:szCs w:val="20"/>
        </w:rPr>
        <w:t>(</w:t>
      </w:r>
      <w:r w:rsidR="001E3CDD">
        <w:rPr>
          <w:rFonts w:cs="Arial"/>
          <w:szCs w:val="20"/>
        </w:rPr>
        <w:t>all</w:t>
      </w:r>
      <w:r w:rsidR="00876B0E">
        <w:rPr>
          <w:rFonts w:cs="Arial"/>
          <w:szCs w:val="20"/>
        </w:rPr>
        <w:t xml:space="preserve"> with less than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815906" w:rsidRPr="0088506E" w:rsidRDefault="0047763C" w:rsidP="00A01D19">
      <w:pPr>
        <w:rPr>
          <w:rFonts w:cs="Arial"/>
        </w:rPr>
      </w:pPr>
      <w:r w:rsidRPr="000F3B39">
        <w:rPr>
          <w:rFonts w:cs="Arial"/>
          <w:szCs w:val="20"/>
        </w:rPr>
        <w:t>The LGAs with the highest proportion of affordable dwe</w:t>
      </w:r>
      <w:r w:rsidR="001E2251">
        <w:rPr>
          <w:rFonts w:cs="Arial"/>
          <w:szCs w:val="20"/>
        </w:rPr>
        <w:t>llings in regional Victoria are</w:t>
      </w:r>
      <w:r w:rsidR="005864DE">
        <w:rPr>
          <w:rFonts w:cs="Arial"/>
          <w:szCs w:val="20"/>
        </w:rPr>
        <w:t xml:space="preserve"> </w:t>
      </w:r>
      <w:r w:rsidR="00232C23" w:rsidRPr="001E3CDD">
        <w:rPr>
          <w:rFonts w:cs="Arial"/>
          <w:szCs w:val="22"/>
        </w:rPr>
        <w:t xml:space="preserve">Loddon, </w:t>
      </w:r>
      <w:r w:rsidR="00CE39C1">
        <w:rPr>
          <w:rFonts w:cs="Arial"/>
          <w:szCs w:val="22"/>
        </w:rPr>
        <w:t xml:space="preserve">West Wimmera </w:t>
      </w:r>
      <w:r w:rsidR="00C43276" w:rsidRPr="001E3CDD">
        <w:rPr>
          <w:rFonts w:cs="Arial"/>
          <w:szCs w:val="22"/>
        </w:rPr>
        <w:t>and Yarriambiack</w:t>
      </w:r>
      <w:r w:rsidR="00E50348" w:rsidRPr="001E3CDD">
        <w:rPr>
          <w:rFonts w:cs="Arial"/>
          <w:szCs w:val="22"/>
        </w:rPr>
        <w:t xml:space="preserve"> </w:t>
      </w:r>
      <w:r w:rsidRPr="001E3CDD">
        <w:rPr>
          <w:rFonts w:cs="Arial"/>
          <w:szCs w:val="22"/>
        </w:rPr>
        <w:t>(</w:t>
      </w:r>
      <w:r w:rsidR="00C43276" w:rsidRPr="001E3CDD">
        <w:rPr>
          <w:rFonts w:cs="Arial"/>
          <w:szCs w:val="22"/>
        </w:rPr>
        <w:t xml:space="preserve">all with </w:t>
      </w:r>
      <w:r w:rsidRPr="001E3CDD">
        <w:rPr>
          <w:rFonts w:cs="Arial"/>
          <w:szCs w:val="22"/>
        </w:rPr>
        <w:t>100</w:t>
      </w:r>
      <w:r w:rsidR="00DF50F4" w:rsidRPr="001E3CDD">
        <w:rPr>
          <w:rFonts w:cs="Arial"/>
          <w:szCs w:val="22"/>
        </w:rPr>
        <w:t>%</w:t>
      </w:r>
      <w:r w:rsidRPr="001E3CDD">
        <w:rPr>
          <w:rFonts w:cs="Arial"/>
          <w:szCs w:val="22"/>
        </w:rPr>
        <w:t xml:space="preserve">) and, </w:t>
      </w:r>
      <w:r w:rsidR="00CE39C1" w:rsidRPr="005860F6">
        <w:rPr>
          <w:rFonts w:cs="Arial"/>
          <w:szCs w:val="22"/>
        </w:rPr>
        <w:t>Central Goldfields</w:t>
      </w:r>
      <w:r w:rsidR="00CE39C1">
        <w:rPr>
          <w:rFonts w:cs="Arial"/>
          <w:szCs w:val="22"/>
        </w:rPr>
        <w:t xml:space="preserve">, </w:t>
      </w:r>
      <w:r w:rsidR="00CE39C1" w:rsidRPr="001E3CDD">
        <w:rPr>
          <w:rFonts w:cs="Arial"/>
          <w:szCs w:val="22"/>
        </w:rPr>
        <w:t>Gannawarra</w:t>
      </w:r>
      <w:r w:rsidR="00CE39C1">
        <w:rPr>
          <w:rFonts w:cs="Arial"/>
          <w:szCs w:val="22"/>
        </w:rPr>
        <w:t>,</w:t>
      </w:r>
      <w:r w:rsidR="00CE39C1" w:rsidRPr="00CE39C1">
        <w:rPr>
          <w:rFonts w:cs="Arial"/>
          <w:szCs w:val="22"/>
        </w:rPr>
        <w:t xml:space="preserve"> </w:t>
      </w:r>
      <w:r w:rsidR="00CE39C1" w:rsidRPr="001E3CDD">
        <w:rPr>
          <w:rFonts w:cs="Arial"/>
          <w:szCs w:val="22"/>
        </w:rPr>
        <w:t>Hindmarsh</w:t>
      </w:r>
      <w:r w:rsidR="00BF0461">
        <w:rPr>
          <w:rFonts w:cs="Arial"/>
          <w:szCs w:val="22"/>
        </w:rPr>
        <w:t xml:space="preserve"> and</w:t>
      </w:r>
      <w:r w:rsidR="00CE39C1" w:rsidRPr="00CE39C1">
        <w:rPr>
          <w:rFonts w:cs="Arial"/>
          <w:szCs w:val="22"/>
        </w:rPr>
        <w:t xml:space="preserve"> </w:t>
      </w:r>
      <w:r w:rsidR="00CE39C1" w:rsidRPr="005860F6">
        <w:rPr>
          <w:rFonts w:cs="Arial"/>
          <w:szCs w:val="22"/>
        </w:rPr>
        <w:t>Pyrenees</w:t>
      </w:r>
      <w:r w:rsidR="00CE39C1">
        <w:rPr>
          <w:rFonts w:cs="Arial"/>
          <w:szCs w:val="22"/>
        </w:rPr>
        <w:t xml:space="preserve"> </w:t>
      </w:r>
      <w:r w:rsidR="00CE39C1" w:rsidRPr="001E3CDD">
        <w:rPr>
          <w:rFonts w:cs="Arial"/>
          <w:szCs w:val="22"/>
        </w:rPr>
        <w:t>(all above 90%).</w:t>
      </w:r>
      <w:r w:rsidR="00CE39C1">
        <w:rPr>
          <w:rFonts w:cs="Arial"/>
          <w:szCs w:val="22"/>
        </w:rPr>
        <w:t xml:space="preserve"> </w:t>
      </w:r>
      <w:r w:rsidRPr="001E3CDD">
        <w:rPr>
          <w:rFonts w:cs="Arial"/>
          <w:szCs w:val="22"/>
        </w:rPr>
        <w:t>The LGAs with the lowest proportion of affordable</w:t>
      </w:r>
      <w:r w:rsidRPr="000F3B39">
        <w:rPr>
          <w:rFonts w:cs="Arial"/>
          <w:szCs w:val="20"/>
        </w:rPr>
        <w:t xml:space="preserve"> dwellings are Surf Coast</w:t>
      </w:r>
      <w:r w:rsidR="00C43276">
        <w:rPr>
          <w:rFonts w:cs="Arial"/>
          <w:szCs w:val="20"/>
        </w:rPr>
        <w:t xml:space="preserve"> </w:t>
      </w:r>
      <w:r w:rsidR="00BF0461">
        <w:rPr>
          <w:rFonts w:cs="Arial"/>
          <w:szCs w:val="20"/>
        </w:rPr>
        <w:t>(5.4</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00BF0461">
        <w:rPr>
          <w:rFonts w:cs="Arial"/>
          <w:szCs w:val="20"/>
        </w:rPr>
        <w:t>Queenscliffe (5.6</w:t>
      </w:r>
      <w:r w:rsidR="00CE39C1">
        <w:rPr>
          <w:rFonts w:cs="Arial"/>
          <w:szCs w:val="20"/>
        </w:rPr>
        <w:t>%)</w:t>
      </w:r>
      <w:r w:rsidR="00B47BD3">
        <w:rPr>
          <w:rFonts w:cs="Arial"/>
          <w:szCs w:val="20"/>
        </w:rPr>
        <w:t>,</w:t>
      </w:r>
      <w:r w:rsidR="00CE39C1">
        <w:rPr>
          <w:rFonts w:cs="Arial"/>
          <w:szCs w:val="20"/>
        </w:rPr>
        <w:t xml:space="preserve"> </w:t>
      </w:r>
      <w:r w:rsidR="007523EA" w:rsidRPr="000F3B39">
        <w:rPr>
          <w:rFonts w:cs="Arial"/>
          <w:szCs w:val="20"/>
        </w:rPr>
        <w:t>Macedon Ranges</w:t>
      </w:r>
      <w:r w:rsidR="00BF0461">
        <w:rPr>
          <w:rFonts w:cs="Arial"/>
          <w:szCs w:val="20"/>
        </w:rPr>
        <w:t xml:space="preserve"> (11.2</w:t>
      </w:r>
      <w:r w:rsidR="007523EA" w:rsidRPr="000F3B39">
        <w:rPr>
          <w:rFonts w:cs="Arial"/>
          <w:szCs w:val="20"/>
        </w:rPr>
        <w:t>%)</w:t>
      </w:r>
      <w:r w:rsidR="007523EA">
        <w:rPr>
          <w:rFonts w:cs="Arial"/>
          <w:szCs w:val="20"/>
        </w:rPr>
        <w:t xml:space="preserve">, </w:t>
      </w:r>
      <w:r w:rsidR="00CE39C1" w:rsidRPr="00CE39C1">
        <w:rPr>
          <w:rFonts w:cs="Arial"/>
          <w:szCs w:val="20"/>
        </w:rPr>
        <w:t>Mount Alexander</w:t>
      </w:r>
      <w:r w:rsidR="00BF0461">
        <w:rPr>
          <w:rFonts w:cs="Arial"/>
          <w:szCs w:val="20"/>
        </w:rPr>
        <w:t xml:space="preserve"> (19.8%) and Greater Geelong (24.8</w:t>
      </w:r>
      <w:r w:rsidR="00E50348">
        <w:rPr>
          <w:rFonts w:cs="Arial"/>
          <w:szCs w:val="20"/>
        </w:rPr>
        <w:t>%)</w:t>
      </w:r>
      <w:r>
        <w:rPr>
          <w:rFonts w:cs="Arial"/>
          <w:szCs w:val="20"/>
        </w:rPr>
        <w:t>.</w:t>
      </w:r>
    </w:p>
    <w:p w:rsidR="0047763C" w:rsidRPr="00AB2988" w:rsidRDefault="0047763C" w:rsidP="00AB2988">
      <w:pPr>
        <w:pStyle w:val="DHSheadingD"/>
        <w:rPr>
          <w:rFonts w:cs="Arial"/>
          <w:lang w:val="en-US"/>
        </w:rPr>
      </w:pPr>
      <w:r w:rsidRPr="00706644">
        <w:rPr>
          <w:rFonts w:cs="Arial"/>
          <w:lang w:val="en-US"/>
        </w:rPr>
        <w:br w:type="page"/>
      </w:r>
      <w:r w:rsidRPr="00706644">
        <w:rPr>
          <w:rFonts w:cs="Arial"/>
          <w:lang w:val="en-US"/>
        </w:rPr>
        <w:lastRenderedPageBreak/>
        <w:t xml:space="preserve">Figure 9a: Affordable dwellings in metropolitan Melbourne </w:t>
      </w:r>
    </w:p>
    <w:p w:rsidR="0047763C" w:rsidRDefault="0047763C" w:rsidP="005E060A">
      <w:pPr>
        <w:jc w:val="center"/>
        <w:rPr>
          <w:rFonts w:cs="Arial"/>
          <w:noProof/>
          <w:lang w:eastAsia="en-AU"/>
        </w:rPr>
      </w:pPr>
    </w:p>
    <w:p w:rsidR="00164330" w:rsidRDefault="00DF3112" w:rsidP="005E060A">
      <w:pPr>
        <w:jc w:val="center"/>
        <w:rPr>
          <w:rFonts w:cs="Arial"/>
          <w:noProof/>
          <w:lang w:eastAsia="en-AU"/>
        </w:rPr>
      </w:pPr>
      <w:r>
        <w:rPr>
          <w:rFonts w:cs="Arial"/>
          <w:noProof/>
          <w:lang w:eastAsia="en-AU"/>
        </w:rPr>
        <w:drawing>
          <wp:inline distT="0" distB="0" distL="0" distR="0">
            <wp:extent cx="3538684" cy="3600000"/>
            <wp:effectExtent l="0" t="0" r="508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72Mel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38684" cy="3600000"/>
                    </a:xfrm>
                    <a:prstGeom prst="rect">
                      <a:avLst/>
                    </a:prstGeom>
                  </pic:spPr>
                </pic:pic>
              </a:graphicData>
            </a:graphic>
          </wp:inline>
        </w:drawing>
      </w:r>
    </w:p>
    <w:p w:rsidR="00164330" w:rsidRPr="00706644" w:rsidRDefault="00164330" w:rsidP="005E060A">
      <w:pPr>
        <w:jc w:val="center"/>
        <w:rPr>
          <w:rFonts w:cs="Arial"/>
        </w:rPr>
      </w:pPr>
    </w:p>
    <w:p w:rsidR="0047763C" w:rsidRDefault="0047763C" w:rsidP="008B7A8C">
      <w:pPr>
        <w:pStyle w:val="DHSheadingD"/>
        <w:rPr>
          <w:rFonts w:cs="Arial"/>
          <w:lang w:val="en-US"/>
        </w:rPr>
      </w:pPr>
      <w:r w:rsidRPr="00706644">
        <w:rPr>
          <w:rFonts w:cs="Arial"/>
          <w:lang w:val="en-US"/>
        </w:rPr>
        <w:t xml:space="preserve">Figure 9b: Affordable dwellings in regional Victoria </w:t>
      </w:r>
    </w:p>
    <w:p w:rsidR="00164330" w:rsidRPr="00164330" w:rsidRDefault="00164330" w:rsidP="00164330">
      <w:pPr>
        <w:jc w:val="center"/>
        <w:rPr>
          <w:rFonts w:cs="Arial"/>
          <w:noProof/>
          <w:lang w:eastAsia="en-AU"/>
        </w:rPr>
      </w:pPr>
    </w:p>
    <w:p w:rsidR="00170E13" w:rsidRDefault="00DF3112" w:rsidP="001373F9">
      <w:pPr>
        <w:jc w:val="center"/>
        <w:rPr>
          <w:rFonts w:cs="Arial"/>
        </w:rPr>
      </w:pPr>
      <w:r>
        <w:rPr>
          <w:rFonts w:cs="Arial"/>
          <w:noProof/>
          <w:lang w:eastAsia="en-AU"/>
        </w:rPr>
        <w:drawing>
          <wp:inline distT="0" distB="0" distL="0" distR="0">
            <wp:extent cx="4975165" cy="3600000"/>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72RegAffor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5165" cy="3600000"/>
                    </a:xfrm>
                    <a:prstGeom prst="rect">
                      <a:avLst/>
                    </a:prstGeom>
                  </pic:spPr>
                </pic:pic>
              </a:graphicData>
            </a:graphic>
          </wp:inline>
        </w:drawing>
      </w:r>
      <w:r w:rsidR="00170E13">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4F5B29" w:rsidTr="00B0105F">
        <w:trPr>
          <w:trHeight w:val="340"/>
        </w:trPr>
        <w:tc>
          <w:tcPr>
            <w:tcW w:w="2495" w:type="dxa"/>
            <w:vMerge w:val="restart"/>
            <w:tcBorders>
              <w:top w:val="single" w:sz="18" w:space="0" w:color="9DAECB"/>
              <w:bottom w:val="single" w:sz="2" w:space="0" w:color="9DAECB"/>
            </w:tcBorders>
            <w:vAlign w:val="center"/>
          </w:tcPr>
          <w:p w:rsidR="0047763C" w:rsidRPr="004F5B29" w:rsidRDefault="0047763C" w:rsidP="00CB2D98">
            <w:pPr>
              <w:rPr>
                <w:rFonts w:cs="Arial"/>
                <w:b/>
                <w:sz w:val="18"/>
                <w:szCs w:val="18"/>
              </w:rPr>
            </w:pPr>
            <w:r w:rsidRPr="004F5B29">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TablecopyHeading"/>
              <w:spacing w:before="60" w:after="60"/>
              <w:rPr>
                <w:rFonts w:ascii="Arial" w:hAnsi="Arial" w:cs="Arial"/>
                <w:b/>
                <w:sz w:val="18"/>
                <w:szCs w:val="18"/>
              </w:rPr>
            </w:pPr>
            <w:r w:rsidRPr="004F5B29">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4F5B29" w:rsidRDefault="0047763C" w:rsidP="00C95655">
            <w:pPr>
              <w:pStyle w:val="Bodycopytables7pt"/>
              <w:framePr w:hSpace="0" w:wrap="auto" w:vAnchor="margin" w:hAnchor="text" w:xAlign="left" w:yAlign="inline"/>
              <w:rPr>
                <w:rFonts w:cs="Arial"/>
                <w:b/>
                <w:sz w:val="18"/>
                <w:szCs w:val="18"/>
              </w:rPr>
            </w:pPr>
            <w:r w:rsidRPr="004F5B29">
              <w:rPr>
                <w:rFonts w:cs="Arial"/>
                <w:b/>
                <w:sz w:val="18"/>
                <w:szCs w:val="18"/>
              </w:rPr>
              <w:t>Total</w:t>
            </w:r>
          </w:p>
        </w:tc>
      </w:tr>
      <w:tr w:rsidR="005275FF" w:rsidRPr="004F5B29" w:rsidTr="004F5B29">
        <w:trPr>
          <w:trHeight w:val="340"/>
        </w:trPr>
        <w:tc>
          <w:tcPr>
            <w:tcW w:w="2495" w:type="dxa"/>
            <w:vMerge/>
            <w:tcBorders>
              <w:top w:val="single" w:sz="2" w:space="0" w:color="9DAECB"/>
              <w:bottom w:val="single" w:sz="12" w:space="0" w:color="9DAECB"/>
            </w:tcBorders>
            <w:vAlign w:val="center"/>
          </w:tcPr>
          <w:p w:rsidR="005275FF" w:rsidRPr="004F5B29"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4F5B29" w:rsidRDefault="005275FF" w:rsidP="004F5B29">
            <w:pPr>
              <w:pStyle w:val="Bodycopytables7pt"/>
              <w:framePr w:hSpace="0" w:wrap="auto" w:vAnchor="margin" w:hAnchor="text" w:xAlign="left" w:yAlign="inline"/>
              <w:jc w:val="right"/>
              <w:rPr>
                <w:rFonts w:cs="Arial"/>
                <w:b/>
                <w:sz w:val="18"/>
                <w:szCs w:val="10"/>
              </w:rPr>
            </w:pPr>
            <w:r w:rsidRPr="004F5B29">
              <w:rPr>
                <w:rFonts w:cs="Arial"/>
                <w:b/>
                <w:sz w:val="18"/>
                <w:szCs w:val="10"/>
              </w:rPr>
              <w:t>%</w:t>
            </w:r>
          </w:p>
        </w:tc>
      </w:tr>
      <w:tr w:rsidR="008B45E5" w:rsidRPr="004F5B29" w:rsidTr="008B45E5">
        <w:trPr>
          <w:trHeight w:val="340"/>
        </w:trPr>
        <w:tc>
          <w:tcPr>
            <w:tcW w:w="2495" w:type="dxa"/>
            <w:tcBorders>
              <w:top w:val="single" w:sz="12" w:space="0" w:color="9DAECB"/>
            </w:tcBorders>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14</w:t>
            </w:r>
          </w:p>
        </w:tc>
        <w:tc>
          <w:tcPr>
            <w:tcW w:w="742"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0.4%</w:t>
            </w:r>
          </w:p>
        </w:tc>
        <w:tc>
          <w:tcPr>
            <w:tcW w:w="737" w:type="dxa"/>
            <w:tcBorders>
              <w:top w:val="single" w:sz="12" w:space="0" w:color="9DAECB"/>
            </w:tcBorders>
            <w:tcMar>
              <w:right w:w="113" w:type="dxa"/>
            </w:tcMar>
            <w:vAlign w:val="center"/>
          </w:tcPr>
          <w:p w:rsidR="008B45E5" w:rsidRPr="008B45E5" w:rsidRDefault="008B45E5" w:rsidP="008B45E5">
            <w:pPr>
              <w:jc w:val="right"/>
              <w:rPr>
                <w:sz w:val="18"/>
                <w:szCs w:val="18"/>
              </w:rPr>
            </w:pPr>
            <w:r w:rsidRPr="008B45E5">
              <w:rPr>
                <w:sz w:val="18"/>
                <w:szCs w:val="18"/>
              </w:rPr>
              <w:t>62</w:t>
            </w:r>
          </w:p>
        </w:tc>
        <w:tc>
          <w:tcPr>
            <w:tcW w:w="737" w:type="dxa"/>
            <w:tcBorders>
              <w:top w:val="single" w:sz="12" w:space="0" w:color="9DAECB"/>
            </w:tcBorders>
            <w:tcMar>
              <w:right w:w="113" w:type="dxa"/>
            </w:tcMar>
            <w:vAlign w:val="center"/>
          </w:tcPr>
          <w:p w:rsidR="008B45E5" w:rsidRPr="008B45E5" w:rsidRDefault="008B45E5" w:rsidP="008B45E5">
            <w:pPr>
              <w:jc w:val="right"/>
              <w:rPr>
                <w:sz w:val="18"/>
                <w:szCs w:val="18"/>
              </w:rPr>
            </w:pPr>
            <w:r w:rsidRPr="008B45E5">
              <w:rPr>
                <w:sz w:val="18"/>
                <w:szCs w:val="18"/>
              </w:rPr>
              <w:t>1.4%</w:t>
            </w:r>
          </w:p>
        </w:tc>
        <w:tc>
          <w:tcPr>
            <w:tcW w:w="737"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w:t>
            </w:r>
          </w:p>
        </w:tc>
        <w:tc>
          <w:tcPr>
            <w:tcW w:w="737"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1.2%</w:t>
            </w:r>
          </w:p>
        </w:tc>
        <w:tc>
          <w:tcPr>
            <w:tcW w:w="737" w:type="dxa"/>
            <w:tcBorders>
              <w:top w:val="single" w:sz="12" w:space="0" w:color="9DAECB"/>
            </w:tcBorders>
            <w:tcMar>
              <w:right w:w="113" w:type="dxa"/>
            </w:tcMar>
            <w:vAlign w:val="center"/>
          </w:tcPr>
          <w:p w:rsidR="008B45E5" w:rsidRPr="008B45E5" w:rsidRDefault="008B45E5" w:rsidP="008B45E5">
            <w:pPr>
              <w:jc w:val="right"/>
              <w:rPr>
                <w:sz w:val="18"/>
                <w:szCs w:val="18"/>
              </w:rPr>
            </w:pPr>
            <w:r w:rsidRPr="008B45E5">
              <w:rPr>
                <w:sz w:val="18"/>
                <w:szCs w:val="18"/>
              </w:rPr>
              <w:t>15</w:t>
            </w:r>
          </w:p>
        </w:tc>
        <w:tc>
          <w:tcPr>
            <w:tcW w:w="737" w:type="dxa"/>
            <w:tcBorders>
              <w:top w:val="single" w:sz="12" w:space="0" w:color="9DAECB"/>
            </w:tcBorders>
            <w:tcMar>
              <w:right w:w="113" w:type="dxa"/>
            </w:tcMar>
            <w:vAlign w:val="center"/>
          </w:tcPr>
          <w:p w:rsidR="008B45E5" w:rsidRPr="008B45E5" w:rsidRDefault="008B45E5" w:rsidP="008B45E5">
            <w:pPr>
              <w:jc w:val="right"/>
              <w:rPr>
                <w:sz w:val="18"/>
                <w:szCs w:val="18"/>
              </w:rPr>
            </w:pPr>
            <w:r w:rsidRPr="008B45E5">
              <w:rPr>
                <w:sz w:val="18"/>
                <w:szCs w:val="18"/>
              </w:rPr>
              <w:t>13.3%</w:t>
            </w:r>
          </w:p>
        </w:tc>
        <w:tc>
          <w:tcPr>
            <w:tcW w:w="794"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101</w:t>
            </w:r>
          </w:p>
        </w:tc>
        <w:tc>
          <w:tcPr>
            <w:tcW w:w="794" w:type="dxa"/>
            <w:tcBorders>
              <w:top w:val="single" w:sz="12" w:space="0" w:color="9DAECB"/>
            </w:tcBorders>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Inner Eastern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0.3%</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1.0%</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18</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2.2%</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56</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0.8%</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9</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9</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2.4%</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31</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0.9%</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Western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84</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7.0%</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441</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17.6%</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621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41.2%</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1,149</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20.8%</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Western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0.9%</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33</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2.2%</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66</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5.4%</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18.6%</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182</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4.9%</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North Eastern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1.6%</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55</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4.2%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160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27.5%</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236</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6.3%</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Outer Eastern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1.8%</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41</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7.2%</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81</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3.7%</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South Eastern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1.9%</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85</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10.7%</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206</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11.5%</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230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24.0%</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524</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14.2%</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Mornington Peninsula</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56</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11.1%</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107</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10.0%</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195</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9.7%</w:t>
            </w:r>
          </w:p>
        </w:tc>
      </w:tr>
      <w:tr w:rsidR="008B45E5" w:rsidRPr="004F5B29" w:rsidTr="008B45E5">
        <w:trPr>
          <w:trHeight w:hRule="exact" w:val="454"/>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right"/>
              <w:rPr>
                <w:rFonts w:cs="Arial"/>
                <w:b/>
                <w:i/>
                <w:sz w:val="18"/>
                <w:szCs w:val="18"/>
              </w:rPr>
            </w:pPr>
            <w:r w:rsidRPr="004F5B29">
              <w:rPr>
                <w:rFonts w:cs="Arial"/>
                <w:b/>
                <w:i/>
                <w:iCs/>
                <w:sz w:val="18"/>
                <w:szCs w:val="18"/>
              </w:rPr>
              <w:t>Metropolitan Melbourne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30</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0.4%</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382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2.8%</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953</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1,190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21.7%</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2,555</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6.6%</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Barwon-South West</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14</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7.6%</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257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32.0%</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556</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38.3%</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178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32.0%</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1,005</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33.6%</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Gippsland</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41</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39.8%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347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68.4%</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717</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73.5%</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238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75.1%</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1,343</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70.6%</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Goulburn-Ovens-Murray</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63</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50.8%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408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73.9%</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629</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63.7%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237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66.8%</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1,337</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66.2%</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Loddon-Mallee</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30</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38.0%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331</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65.0%</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565</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64.6%</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225</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70.8%</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1,151</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64.7%</w:t>
            </w:r>
          </w:p>
        </w:tc>
      </w:tr>
      <w:tr w:rsidR="008B45E5" w:rsidRPr="004F5B29" w:rsidTr="008B45E5">
        <w:trPr>
          <w:trHeight w:val="340"/>
        </w:trPr>
        <w:tc>
          <w:tcPr>
            <w:tcW w:w="2495" w:type="dxa"/>
            <w:vAlign w:val="center"/>
          </w:tcPr>
          <w:p w:rsidR="008B45E5" w:rsidRPr="004F5B29" w:rsidRDefault="008B45E5" w:rsidP="008B45E5">
            <w:pPr>
              <w:pStyle w:val="bodycopytable6pt"/>
              <w:framePr w:hSpace="0" w:wrap="auto" w:vAnchor="margin" w:hAnchor="text" w:xAlign="left" w:yAlign="inline"/>
              <w:spacing w:before="0" w:after="0" w:line="240" w:lineRule="auto"/>
              <w:jc w:val="left"/>
              <w:rPr>
                <w:rFonts w:cs="Arial"/>
                <w:sz w:val="18"/>
                <w:szCs w:val="18"/>
              </w:rPr>
            </w:pPr>
            <w:r w:rsidRPr="004F5B29">
              <w:rPr>
                <w:rFonts w:cs="Arial"/>
                <w:sz w:val="18"/>
                <w:szCs w:val="18"/>
              </w:rPr>
              <w:t>Central Highlands-Wimmera</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39</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36.4%</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307</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69.9%</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522</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71.4%</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200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71.2%</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1,068</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68.5%</w:t>
            </w:r>
          </w:p>
        </w:tc>
      </w:tr>
      <w:tr w:rsidR="008B45E5" w:rsidRPr="004F5B29" w:rsidTr="008B45E5">
        <w:trPr>
          <w:trHeight w:hRule="exact" w:val="454"/>
        </w:trPr>
        <w:tc>
          <w:tcPr>
            <w:tcW w:w="2495" w:type="dxa"/>
            <w:vAlign w:val="center"/>
          </w:tcPr>
          <w:p w:rsidR="008B45E5" w:rsidRPr="004F5B29" w:rsidRDefault="008B45E5" w:rsidP="008B45E5">
            <w:pPr>
              <w:jc w:val="right"/>
              <w:rPr>
                <w:rFonts w:cs="Arial"/>
                <w:b/>
                <w:i/>
                <w:iCs/>
                <w:sz w:val="18"/>
                <w:szCs w:val="18"/>
              </w:rPr>
            </w:pPr>
            <w:r w:rsidRPr="004F5B29">
              <w:rPr>
                <w:rFonts w:cs="Arial"/>
                <w:b/>
                <w:i/>
                <w:iCs/>
                <w:sz w:val="18"/>
                <w:szCs w:val="18"/>
              </w:rPr>
              <w:t>Regional Victoria</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187</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31.3%</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1,650</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58.7%</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2,989</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59.6%</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1,078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59.0%</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5,904</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57.6%</w:t>
            </w:r>
          </w:p>
        </w:tc>
      </w:tr>
      <w:tr w:rsidR="008B45E5" w:rsidRPr="004F5B29" w:rsidTr="008B45E5">
        <w:trPr>
          <w:trHeight w:hRule="exact" w:val="454"/>
        </w:trPr>
        <w:tc>
          <w:tcPr>
            <w:tcW w:w="2495" w:type="dxa"/>
            <w:vAlign w:val="center"/>
          </w:tcPr>
          <w:p w:rsidR="008B45E5" w:rsidRPr="004F5B29" w:rsidRDefault="008B45E5" w:rsidP="008B45E5">
            <w:pPr>
              <w:jc w:val="right"/>
              <w:rPr>
                <w:rFonts w:cs="Arial"/>
                <w:b/>
                <w:i/>
                <w:iCs/>
                <w:sz w:val="18"/>
                <w:szCs w:val="18"/>
              </w:rPr>
            </w:pPr>
            <w:r w:rsidRPr="004F5B29">
              <w:rPr>
                <w:rFonts w:cs="Arial"/>
                <w:b/>
                <w:i/>
                <w:iCs/>
                <w:sz w:val="18"/>
                <w:szCs w:val="18"/>
              </w:rPr>
              <w:t>Victoria</w:t>
            </w:r>
          </w:p>
        </w:tc>
        <w:tc>
          <w:tcPr>
            <w:tcW w:w="73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217</w:t>
            </w:r>
          </w:p>
        </w:tc>
        <w:tc>
          <w:tcPr>
            <w:tcW w:w="742"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2,032</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12.2%</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3,942</w:t>
            </w:r>
          </w:p>
        </w:tc>
        <w:tc>
          <w:tcPr>
            <w:tcW w:w="737"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22.8%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2,268</w:t>
            </w:r>
          </w:p>
        </w:tc>
        <w:tc>
          <w:tcPr>
            <w:tcW w:w="737" w:type="dxa"/>
            <w:tcMar>
              <w:right w:w="113" w:type="dxa"/>
            </w:tcMar>
            <w:vAlign w:val="center"/>
          </w:tcPr>
          <w:p w:rsidR="008B45E5" w:rsidRPr="008B45E5" w:rsidRDefault="008B45E5" w:rsidP="008B45E5">
            <w:pPr>
              <w:jc w:val="right"/>
              <w:rPr>
                <w:sz w:val="18"/>
                <w:szCs w:val="18"/>
              </w:rPr>
            </w:pPr>
            <w:r w:rsidRPr="008B45E5">
              <w:rPr>
                <w:sz w:val="18"/>
                <w:szCs w:val="18"/>
              </w:rPr>
              <w:t>31.0%</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8,459</w:t>
            </w:r>
          </w:p>
        </w:tc>
        <w:tc>
          <w:tcPr>
            <w:tcW w:w="794" w:type="dxa"/>
            <w:shd w:val="clear" w:color="auto" w:fill="E5EBF0"/>
            <w:tcMar>
              <w:right w:w="113" w:type="dxa"/>
            </w:tcMar>
            <w:vAlign w:val="center"/>
          </w:tcPr>
          <w:p w:rsidR="008B45E5" w:rsidRPr="008B45E5" w:rsidRDefault="008B45E5" w:rsidP="008B45E5">
            <w:pPr>
              <w:jc w:val="right"/>
              <w:rPr>
                <w:sz w:val="18"/>
                <w:szCs w:val="18"/>
              </w:rPr>
            </w:pPr>
            <w:r w:rsidRPr="008B45E5">
              <w:rPr>
                <w:sz w:val="18"/>
                <w:szCs w:val="18"/>
              </w:rPr>
              <w:t>17.3%</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0375B1" w:rsidRDefault="00E872FE" w:rsidP="00E3415F">
      <w:pPr>
        <w:rPr>
          <w:rFonts w:cs="Arial"/>
          <w:b/>
          <w:sz w:val="20"/>
          <w:szCs w:val="20"/>
        </w:rPr>
      </w:pPr>
      <w:r>
        <w:rPr>
          <w:rFonts w:cs="Arial"/>
          <w:b/>
          <w:sz w:val="20"/>
          <w:szCs w:val="20"/>
        </w:rPr>
        <w:lastRenderedPageBreak/>
        <w:t xml:space="preserve">Table 11: </w:t>
      </w:r>
      <w:r w:rsidR="0047763C" w:rsidRPr="000375B1">
        <w:rPr>
          <w:rFonts w:cs="Arial"/>
          <w:b/>
          <w:sz w:val="20"/>
          <w:szCs w:val="20"/>
        </w:rPr>
        <w:t>Moving annual median rents for suburbs/town</w:t>
      </w:r>
      <w:r w:rsidR="0047763C">
        <w:rPr>
          <w:rFonts w:cs="Arial"/>
          <w:b/>
          <w:sz w:val="20"/>
          <w:szCs w:val="20"/>
        </w:rPr>
        <w:t xml:space="preserve"> by major property type</w:t>
      </w:r>
    </w:p>
    <w:tbl>
      <w:tblPr>
        <w:tblW w:w="1527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86"/>
      </w:tblGrid>
      <w:tr w:rsidR="005623AB" w:rsidRPr="005623AB" w:rsidTr="006B16D8">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914"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6B16D8">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86"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AE2372">
        <w:tc>
          <w:tcPr>
            <w:tcW w:w="15276" w:type="dxa"/>
            <w:gridSpan w:val="13"/>
            <w:tcBorders>
              <w:top w:val="single" w:sz="12" w:space="0" w:color="9DAECB"/>
            </w:tcBorders>
            <w:shd w:val="clear" w:color="auto" w:fill="FFFFFF"/>
            <w:noWrap/>
            <w:vAlign w:val="center"/>
          </w:tcPr>
          <w:p w:rsidR="0047763C" w:rsidRPr="005623AB" w:rsidRDefault="0047763C" w:rsidP="00AE2372">
            <w:pPr>
              <w:spacing w:before="240" w:after="20"/>
              <w:rPr>
                <w:rFonts w:cs="Arial"/>
                <w:sz w:val="20"/>
                <w:szCs w:val="20"/>
                <w:lang w:eastAsia="en-AU"/>
              </w:rPr>
            </w:pPr>
            <w:r w:rsidRPr="005623AB">
              <w:rPr>
                <w:rFonts w:cs="Arial"/>
                <w:b/>
                <w:bCs/>
                <w:sz w:val="20"/>
                <w:szCs w:val="20"/>
                <w:lang w:eastAsia="en-AU"/>
              </w:rPr>
              <w:t>Inner Melbourne</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246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$340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220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$490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$650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121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181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$325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299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$620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$850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$345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93</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$450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107</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$710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9.2%</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2,930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1,241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$500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4.2%</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$500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3.0%</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5,131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$400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5.3%</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4,876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$560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$455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$343</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40.0%</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738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873</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$500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$560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1,024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1,199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$580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$240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-69.8%</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240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205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$550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4.2%</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$600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-15.4%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$1,000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492</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$305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856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$410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$570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$738</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5.4%</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559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$325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929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$445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$795</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-3.0%</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219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204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$555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5.6%</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259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318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$475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2.2%</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194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$555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143</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$720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294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$320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549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178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168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$580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3.6%</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1,321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$360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6.8%</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971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114</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$505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$680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4.6%</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313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524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$580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$575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147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-1.2%</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1,171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$335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766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$480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6.7%</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196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126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$780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6.8%</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997</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$380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932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$530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383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290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$750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7.1%</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$400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372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$540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108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$550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1.9%</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1,786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$380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1,597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$530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91</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$640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$850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-8.1%</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929</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1,629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$560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1.8%</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1,510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$350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1.4%</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1,356</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$460</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2.2%</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46</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$583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0.9%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61</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$720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w:t>
            </w:r>
          </w:p>
        </w:tc>
      </w:tr>
      <w:tr w:rsidR="008B45E5" w:rsidRPr="00617621" w:rsidTr="008B45E5">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225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$330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312</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$475</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3.3%</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15</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$620</w:t>
            </w:r>
          </w:p>
        </w:tc>
        <w:tc>
          <w:tcPr>
            <w:tcW w:w="964" w:type="dxa"/>
            <w:shd w:val="clear" w:color="auto" w:fill="DEE4EE"/>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-3.9%</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47</w:t>
            </w:r>
          </w:p>
        </w:tc>
        <w:tc>
          <w:tcPr>
            <w:tcW w:w="964"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$900</w:t>
            </w:r>
          </w:p>
        </w:tc>
        <w:tc>
          <w:tcPr>
            <w:tcW w:w="986" w:type="dxa"/>
            <w:noWrap/>
            <w:tcMar>
              <w:left w:w="0" w:type="dxa"/>
            </w:tcMar>
            <w:vAlign w:val="center"/>
          </w:tcPr>
          <w:p w:rsidR="008B45E5" w:rsidRPr="008B45E5" w:rsidRDefault="008B45E5" w:rsidP="008B45E5">
            <w:pPr>
              <w:jc w:val="right"/>
              <w:rPr>
                <w:rFonts w:cs="Arial"/>
                <w:sz w:val="18"/>
                <w:szCs w:val="18"/>
              </w:rPr>
            </w:pPr>
            <w:r w:rsidRPr="008B45E5">
              <w:rPr>
                <w:rFonts w:cs="Arial"/>
                <w:sz w:val="18"/>
                <w:szCs w:val="18"/>
              </w:rPr>
              <w:t>5.9%</w:t>
            </w:r>
          </w:p>
        </w:tc>
      </w:tr>
      <w:tr w:rsidR="008B45E5" w:rsidRPr="00617621" w:rsidTr="008B45E5">
        <w:trPr>
          <w:trHeight w:val="567"/>
        </w:trPr>
        <w:tc>
          <w:tcPr>
            <w:tcW w:w="3686" w:type="dxa"/>
            <w:noWrap/>
            <w:vAlign w:val="center"/>
          </w:tcPr>
          <w:p w:rsidR="008B45E5" w:rsidRPr="004544DE" w:rsidRDefault="008B45E5" w:rsidP="008B45E5">
            <w:pPr>
              <w:spacing w:beforeLines="20" w:before="48" w:afterLines="20" w:after="48"/>
              <w:jc w:val="right"/>
              <w:rPr>
                <w:rFonts w:cs="Arial"/>
                <w:b/>
                <w:i/>
                <w:sz w:val="20"/>
                <w:szCs w:val="20"/>
                <w:lang w:eastAsia="en-AU"/>
              </w:rPr>
            </w:pPr>
            <w:r w:rsidRPr="004544DE">
              <w:rPr>
                <w:rFonts w:cs="Arial"/>
                <w:b/>
                <w:bCs/>
                <w:i/>
                <w:sz w:val="20"/>
                <w:szCs w:val="20"/>
                <w:lang w:eastAsia="en-AU"/>
              </w:rPr>
              <w:t>Inner Melbourne - Total</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20,981</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$380</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5.6%</w:t>
            </w:r>
          </w:p>
        </w:tc>
        <w:tc>
          <w:tcPr>
            <w:tcW w:w="964"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20,321</w:t>
            </w:r>
          </w:p>
        </w:tc>
        <w:tc>
          <w:tcPr>
            <w:tcW w:w="964"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$520</w:t>
            </w:r>
          </w:p>
        </w:tc>
        <w:tc>
          <w:tcPr>
            <w:tcW w:w="964"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4.0%</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2,168</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$560</w:t>
            </w:r>
          </w:p>
        </w:tc>
        <w:tc>
          <w:tcPr>
            <w:tcW w:w="964" w:type="dxa"/>
            <w:shd w:val="clear" w:color="auto" w:fill="DEE4EE"/>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1.8%</w:t>
            </w:r>
          </w:p>
        </w:tc>
        <w:tc>
          <w:tcPr>
            <w:tcW w:w="964"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1,814</w:t>
            </w:r>
          </w:p>
        </w:tc>
        <w:tc>
          <w:tcPr>
            <w:tcW w:w="964"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$750</w:t>
            </w:r>
          </w:p>
        </w:tc>
        <w:tc>
          <w:tcPr>
            <w:tcW w:w="986" w:type="dxa"/>
            <w:noWrap/>
            <w:tcMar>
              <w:left w:w="0" w:type="dxa"/>
            </w:tcMar>
            <w:vAlign w:val="center"/>
          </w:tcPr>
          <w:p w:rsidR="008B45E5" w:rsidRPr="00031506" w:rsidRDefault="008B45E5" w:rsidP="008B45E5">
            <w:pPr>
              <w:jc w:val="right"/>
              <w:rPr>
                <w:rFonts w:cs="Arial"/>
                <w:b/>
                <w:i/>
                <w:sz w:val="20"/>
                <w:szCs w:val="18"/>
              </w:rPr>
            </w:pPr>
            <w:r w:rsidRPr="00031506">
              <w:rPr>
                <w:rFonts w:cs="Arial"/>
                <w:b/>
                <w:i/>
                <w:sz w:val="20"/>
                <w:szCs w:val="18"/>
              </w:rPr>
              <w:t>4.2%</w:t>
            </w:r>
          </w:p>
        </w:tc>
      </w:tr>
      <w:tr w:rsidR="005D1721" w:rsidRPr="00617621" w:rsidTr="00617621">
        <w:tc>
          <w:tcPr>
            <w:tcW w:w="3686" w:type="dxa"/>
            <w:shd w:val="clear" w:color="auto" w:fill="auto"/>
            <w:noWrap/>
            <w:vAlign w:val="center"/>
          </w:tcPr>
          <w:p w:rsidR="005D1721" w:rsidRPr="005623AB" w:rsidRDefault="005D1721" w:rsidP="00DD44BA">
            <w:pPr>
              <w:spacing w:beforeLines="20" w:before="48" w:afterLines="20" w:after="48"/>
              <w:rPr>
                <w:rFonts w:cs="Arial"/>
                <w:bCs/>
                <w:sz w:val="20"/>
                <w:szCs w:val="20"/>
                <w:lang w:eastAsia="en-AU"/>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64"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c>
          <w:tcPr>
            <w:tcW w:w="986" w:type="dxa"/>
            <w:shd w:val="clear" w:color="auto" w:fill="auto"/>
            <w:noWrap/>
            <w:vAlign w:val="center"/>
          </w:tcPr>
          <w:p w:rsidR="005D1721" w:rsidRPr="00617621" w:rsidRDefault="005D1721" w:rsidP="00DD44BA">
            <w:pPr>
              <w:spacing w:beforeLines="20" w:before="48" w:afterLines="20" w:after="48"/>
              <w:jc w:val="right"/>
              <w:rPr>
                <w:rFonts w:cs="Arial"/>
                <w:sz w:val="18"/>
                <w:szCs w:val="18"/>
              </w:rPr>
            </w:pPr>
          </w:p>
        </w:tc>
      </w:tr>
      <w:tr w:rsidR="005623AB" w:rsidRPr="00AE2372" w:rsidTr="00AE2372">
        <w:tc>
          <w:tcPr>
            <w:tcW w:w="15276" w:type="dxa"/>
            <w:gridSpan w:val="13"/>
            <w:shd w:val="clear" w:color="auto" w:fill="FFFFFF"/>
            <w:noWrap/>
            <w:vAlign w:val="center"/>
          </w:tcPr>
          <w:p w:rsidR="0047763C" w:rsidRPr="00AE2372" w:rsidRDefault="0047763C" w:rsidP="00AE2372">
            <w:pPr>
              <w:spacing w:before="240" w:after="20"/>
              <w:rPr>
                <w:rFonts w:cs="Arial"/>
                <w:sz w:val="20"/>
                <w:szCs w:val="18"/>
                <w:lang w:eastAsia="en-AU"/>
              </w:rPr>
            </w:pPr>
            <w:r w:rsidRPr="00AE2372">
              <w:rPr>
                <w:rFonts w:cs="Arial"/>
                <w:b/>
                <w:bCs/>
                <w:sz w:val="20"/>
                <w:szCs w:val="18"/>
                <w:lang w:eastAsia="en-AU"/>
              </w:rPr>
              <w:lastRenderedPageBreak/>
              <w:t>Inner Eastern Melbourne</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110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352</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1.9%</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135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224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293</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490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$258</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809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2.1%</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78</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175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650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$422</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9.6%</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419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219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-1.3%</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$465</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838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$430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$495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4.8%</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$475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13.1%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109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$630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109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376</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6.8%</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$440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$260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678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2.8%</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215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$410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2.5%</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194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21</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527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$435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97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$720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204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12.9%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715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$440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1,115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5.2%</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978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$430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2.4%</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58</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$563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92</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$700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0.0%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87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2.8%</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574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$530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165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$640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-1.5%</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$315</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-7.4%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156</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$395</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2.6%</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$393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334</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97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329</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52</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250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$303</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183</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shd w:val="clear" w:color="auto" w:fill="DEE4EE"/>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371</w:t>
            </w:r>
          </w:p>
        </w:tc>
        <w:tc>
          <w:tcPr>
            <w:tcW w:w="964"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86" w:type="dxa"/>
            <w:noWrap/>
            <w:tcMar>
              <w:left w:w="0" w:type="dxa"/>
            </w:tcMar>
            <w:vAlign w:val="center"/>
          </w:tcPr>
          <w:p w:rsidR="008B45E5" w:rsidRPr="00031506" w:rsidRDefault="008B45E5" w:rsidP="00537A06">
            <w:pPr>
              <w:jc w:val="right"/>
              <w:rPr>
                <w:rFonts w:cs="Arial"/>
                <w:sz w:val="18"/>
                <w:szCs w:val="18"/>
              </w:rPr>
            </w:pPr>
            <w:r w:rsidRPr="00031506">
              <w:rPr>
                <w:rFonts w:cs="Arial"/>
                <w:sz w:val="18"/>
                <w:szCs w:val="18"/>
              </w:rPr>
              <w:t>5.0%</w:t>
            </w:r>
          </w:p>
        </w:tc>
      </w:tr>
      <w:tr w:rsidR="008B45E5" w:rsidRPr="00617621" w:rsidTr="00537A06">
        <w:trPr>
          <w:trHeight w:val="567"/>
        </w:trPr>
        <w:tc>
          <w:tcPr>
            <w:tcW w:w="3686" w:type="dxa"/>
            <w:noWrap/>
            <w:vAlign w:val="center"/>
          </w:tcPr>
          <w:p w:rsidR="008B45E5" w:rsidRPr="004544DE" w:rsidRDefault="008B45E5" w:rsidP="008B45E5">
            <w:pPr>
              <w:spacing w:beforeLines="20" w:before="48" w:afterLines="20" w:after="48"/>
              <w:jc w:val="right"/>
              <w:rPr>
                <w:rFonts w:cs="Arial"/>
                <w:b/>
                <w:bCs/>
                <w:i/>
                <w:sz w:val="20"/>
                <w:szCs w:val="20"/>
                <w:lang w:eastAsia="en-AU"/>
              </w:rPr>
            </w:pPr>
            <w:r w:rsidRPr="003F4B94">
              <w:rPr>
                <w:rFonts w:cs="Arial"/>
                <w:b/>
                <w:bCs/>
                <w:i/>
                <w:sz w:val="20"/>
                <w:szCs w:val="20"/>
                <w:lang w:eastAsia="en-AU"/>
              </w:rPr>
              <w:t>Inner Eastern Melbourne - Total</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3,875</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$310</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3.3%</w:t>
            </w:r>
          </w:p>
        </w:tc>
        <w:tc>
          <w:tcPr>
            <w:tcW w:w="964"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7,641</w:t>
            </w:r>
          </w:p>
        </w:tc>
        <w:tc>
          <w:tcPr>
            <w:tcW w:w="964"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$400</w:t>
            </w:r>
          </w:p>
        </w:tc>
        <w:tc>
          <w:tcPr>
            <w:tcW w:w="964"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2.6%</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794</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$410</w:t>
            </w:r>
          </w:p>
        </w:tc>
        <w:tc>
          <w:tcPr>
            <w:tcW w:w="964" w:type="dxa"/>
            <w:shd w:val="clear" w:color="auto" w:fill="DEE4EE"/>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2.5%</w:t>
            </w:r>
          </w:p>
        </w:tc>
        <w:tc>
          <w:tcPr>
            <w:tcW w:w="964"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4,695</w:t>
            </w:r>
          </w:p>
        </w:tc>
        <w:tc>
          <w:tcPr>
            <w:tcW w:w="964"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$450</w:t>
            </w:r>
          </w:p>
        </w:tc>
        <w:tc>
          <w:tcPr>
            <w:tcW w:w="986" w:type="dxa"/>
            <w:noWrap/>
            <w:tcMar>
              <w:left w:w="0" w:type="dxa"/>
            </w:tcMar>
            <w:vAlign w:val="center"/>
          </w:tcPr>
          <w:p w:rsidR="008B45E5" w:rsidRPr="00031506" w:rsidRDefault="008B45E5" w:rsidP="00537A06">
            <w:pPr>
              <w:jc w:val="right"/>
              <w:rPr>
                <w:rFonts w:cs="Arial"/>
                <w:b/>
                <w:i/>
                <w:sz w:val="20"/>
                <w:szCs w:val="18"/>
              </w:rPr>
            </w:pPr>
            <w:r w:rsidRPr="00031506">
              <w:rPr>
                <w:rFonts w:cs="Arial"/>
                <w:b/>
                <w:i/>
                <w:sz w:val="20"/>
                <w:szCs w:val="18"/>
              </w:rPr>
              <w:t>0.0%</w:t>
            </w: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420985" w:rsidRDefault="00420985" w:rsidP="00DD44BA">
            <w:pPr>
              <w:spacing w:beforeLines="20" w:before="48" w:afterLines="20" w:after="48"/>
              <w:rPr>
                <w:rFonts w:cs="Arial"/>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Southern Melbourne</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549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$365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352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4.7%</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9.3%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703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$405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6.6%</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103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$430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532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$525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5.0%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125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387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$515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$608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24.1%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127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$875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2.9%</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$515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118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$675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3.8%</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382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543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$415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86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$553</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0.5%</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583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1,034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$470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174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$650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4.0%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635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$385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$435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491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$500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248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315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$490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$686</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7.2%</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416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$460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$498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$695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3.3%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202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$430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$645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$780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412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$280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394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130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$595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281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660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$390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8.3%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$425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221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$520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2.4%</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218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348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$410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$443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$465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-2.7%</w:t>
            </w:r>
          </w:p>
        </w:tc>
      </w:tr>
      <w:tr w:rsidR="008B45E5" w:rsidRPr="00617621" w:rsidTr="00537A06">
        <w:trPr>
          <w:trHeight w:val="567"/>
        </w:trPr>
        <w:tc>
          <w:tcPr>
            <w:tcW w:w="3686" w:type="dxa"/>
            <w:noWrap/>
            <w:vAlign w:val="center"/>
          </w:tcPr>
          <w:p w:rsidR="008B45E5" w:rsidRPr="003F4B94" w:rsidRDefault="008B45E5" w:rsidP="008B45E5">
            <w:pPr>
              <w:spacing w:beforeLines="20" w:before="48" w:afterLines="20" w:after="48"/>
              <w:jc w:val="right"/>
              <w:rPr>
                <w:rFonts w:cs="Arial"/>
                <w:b/>
                <w:bCs/>
                <w:i/>
                <w:sz w:val="20"/>
                <w:szCs w:val="20"/>
                <w:lang w:eastAsia="en-AU"/>
              </w:rPr>
            </w:pPr>
            <w:r w:rsidRPr="003F4B94">
              <w:rPr>
                <w:rFonts w:cs="Arial"/>
                <w:b/>
                <w:bCs/>
                <w:i/>
                <w:sz w:val="20"/>
                <w:szCs w:val="20"/>
                <w:lang w:eastAsia="en-AU"/>
              </w:rPr>
              <w:t>Southern Melbourne - Total</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2,959</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$300</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5.3%</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6,261</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$415</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5.1%</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648</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$450</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2.3%</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2,643</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$550</w:t>
            </w:r>
          </w:p>
        </w:tc>
        <w:tc>
          <w:tcPr>
            <w:tcW w:w="986" w:type="dxa"/>
            <w:noWrap/>
            <w:vAlign w:val="center"/>
          </w:tcPr>
          <w:p w:rsidR="008B45E5" w:rsidRPr="00031506" w:rsidRDefault="008B45E5" w:rsidP="00537A06">
            <w:pPr>
              <w:jc w:val="right"/>
              <w:rPr>
                <w:rFonts w:cs="Arial"/>
                <w:b/>
                <w:i/>
                <w:sz w:val="20"/>
                <w:szCs w:val="18"/>
              </w:rPr>
            </w:pPr>
            <w:r w:rsidRPr="00031506">
              <w:rPr>
                <w:rFonts w:cs="Arial"/>
                <w:b/>
                <w:i/>
                <w:sz w:val="20"/>
                <w:szCs w:val="18"/>
              </w:rPr>
              <w:t>3.8%</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Western Melbourne</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91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644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$329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1,496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2.8%</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$270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17.4%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499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8.8%</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$420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146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$460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2.2%</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441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$385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402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1.8%</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129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$260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936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5.3%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74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$273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9.2%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170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105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$440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245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$515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5.1%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$220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328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$290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7.4%</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79</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1,049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$330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3.1%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$220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276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7.1%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91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616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6.3%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164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987</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2.8%</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604</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$285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137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2,331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$330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3.1%</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$245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446</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141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$380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11.8%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328</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$400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5.3%</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57</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7.1%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125</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72</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$473</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151</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$580</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0.0%</w:t>
            </w:r>
          </w:p>
        </w:tc>
      </w:tr>
      <w:tr w:rsidR="008B45E5" w:rsidRPr="00617621" w:rsidTr="00537A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159</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$265</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1.9%</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273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229</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$460</w:t>
            </w:r>
          </w:p>
        </w:tc>
        <w:tc>
          <w:tcPr>
            <w:tcW w:w="964" w:type="dxa"/>
            <w:shd w:val="clear" w:color="auto" w:fill="DEE4EE"/>
            <w:noWrap/>
            <w:vAlign w:val="center"/>
          </w:tcPr>
          <w:p w:rsidR="008B45E5" w:rsidRPr="00031506" w:rsidRDefault="008B45E5" w:rsidP="00537A06">
            <w:pPr>
              <w:jc w:val="right"/>
              <w:rPr>
                <w:rFonts w:cs="Arial"/>
                <w:sz w:val="18"/>
                <w:szCs w:val="18"/>
              </w:rPr>
            </w:pPr>
            <w:r w:rsidRPr="00031506">
              <w:rPr>
                <w:rFonts w:cs="Arial"/>
                <w:sz w:val="18"/>
                <w:szCs w:val="18"/>
              </w:rPr>
              <w:t>2.2%</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323</w:t>
            </w:r>
          </w:p>
        </w:tc>
        <w:tc>
          <w:tcPr>
            <w:tcW w:w="964" w:type="dxa"/>
            <w:noWrap/>
            <w:vAlign w:val="center"/>
          </w:tcPr>
          <w:p w:rsidR="008B45E5" w:rsidRPr="00031506" w:rsidRDefault="008B45E5" w:rsidP="00537A06">
            <w:pPr>
              <w:jc w:val="right"/>
              <w:rPr>
                <w:rFonts w:cs="Arial"/>
                <w:sz w:val="18"/>
                <w:szCs w:val="18"/>
              </w:rPr>
            </w:pPr>
            <w:r w:rsidRPr="00031506">
              <w:rPr>
                <w:rFonts w:cs="Arial"/>
                <w:sz w:val="18"/>
                <w:szCs w:val="18"/>
              </w:rPr>
              <w:t>$525</w:t>
            </w:r>
          </w:p>
        </w:tc>
        <w:tc>
          <w:tcPr>
            <w:tcW w:w="986" w:type="dxa"/>
            <w:noWrap/>
            <w:vAlign w:val="center"/>
          </w:tcPr>
          <w:p w:rsidR="008B45E5" w:rsidRPr="00031506" w:rsidRDefault="008B45E5" w:rsidP="00537A06">
            <w:pPr>
              <w:jc w:val="right"/>
              <w:rPr>
                <w:rFonts w:cs="Arial"/>
                <w:sz w:val="18"/>
                <w:szCs w:val="18"/>
              </w:rPr>
            </w:pPr>
            <w:r w:rsidRPr="00031506">
              <w:rPr>
                <w:rFonts w:cs="Arial"/>
                <w:sz w:val="18"/>
                <w:szCs w:val="18"/>
              </w:rPr>
              <w:t>5.0%</w:t>
            </w:r>
          </w:p>
        </w:tc>
      </w:tr>
      <w:tr w:rsidR="008B45E5" w:rsidRPr="00617621" w:rsidTr="00537A06">
        <w:trPr>
          <w:trHeight w:val="567"/>
        </w:trPr>
        <w:tc>
          <w:tcPr>
            <w:tcW w:w="3686" w:type="dxa"/>
            <w:noWrap/>
            <w:vAlign w:val="center"/>
          </w:tcPr>
          <w:p w:rsidR="008B45E5" w:rsidRPr="003F4B94" w:rsidRDefault="008B45E5" w:rsidP="008B45E5">
            <w:pPr>
              <w:spacing w:beforeLines="20" w:before="48" w:afterLines="20" w:after="48"/>
              <w:jc w:val="right"/>
              <w:rPr>
                <w:rFonts w:cs="Arial"/>
                <w:b/>
                <w:bCs/>
                <w:i/>
                <w:sz w:val="20"/>
                <w:szCs w:val="20"/>
                <w:lang w:eastAsia="en-AU"/>
              </w:rPr>
            </w:pPr>
            <w:r w:rsidRPr="003F4B94">
              <w:rPr>
                <w:rFonts w:cs="Arial"/>
                <w:b/>
                <w:bCs/>
                <w:i/>
                <w:sz w:val="20"/>
                <w:szCs w:val="20"/>
                <w:lang w:eastAsia="en-AU"/>
              </w:rPr>
              <w:t>Outer Western Melbourne - Total</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1,502</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$265</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6.0%</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4,099</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$325</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4.8%</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1,280</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$365</w:t>
            </w:r>
          </w:p>
        </w:tc>
        <w:tc>
          <w:tcPr>
            <w:tcW w:w="964" w:type="dxa"/>
            <w:shd w:val="clear" w:color="auto" w:fill="DEE4EE"/>
            <w:noWrap/>
            <w:vAlign w:val="center"/>
          </w:tcPr>
          <w:p w:rsidR="008B45E5" w:rsidRPr="00031506" w:rsidRDefault="008B45E5" w:rsidP="00537A06">
            <w:pPr>
              <w:jc w:val="right"/>
              <w:rPr>
                <w:rFonts w:cs="Arial"/>
                <w:b/>
                <w:i/>
                <w:sz w:val="20"/>
                <w:szCs w:val="18"/>
              </w:rPr>
            </w:pPr>
            <w:r w:rsidRPr="00031506">
              <w:rPr>
                <w:rFonts w:cs="Arial"/>
                <w:b/>
                <w:i/>
                <w:sz w:val="20"/>
                <w:szCs w:val="18"/>
              </w:rPr>
              <w:t>4.3%</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9,010</w:t>
            </w:r>
          </w:p>
        </w:tc>
        <w:tc>
          <w:tcPr>
            <w:tcW w:w="964" w:type="dxa"/>
            <w:noWrap/>
            <w:vAlign w:val="center"/>
          </w:tcPr>
          <w:p w:rsidR="008B45E5" w:rsidRPr="00031506" w:rsidRDefault="008B45E5" w:rsidP="00537A06">
            <w:pPr>
              <w:jc w:val="right"/>
              <w:rPr>
                <w:rFonts w:cs="Arial"/>
                <w:b/>
                <w:i/>
                <w:sz w:val="20"/>
                <w:szCs w:val="18"/>
              </w:rPr>
            </w:pPr>
            <w:r w:rsidRPr="00031506">
              <w:rPr>
                <w:rFonts w:cs="Arial"/>
                <w:b/>
                <w:i/>
                <w:sz w:val="20"/>
                <w:szCs w:val="18"/>
              </w:rPr>
              <w:t>$350</w:t>
            </w:r>
          </w:p>
        </w:tc>
        <w:tc>
          <w:tcPr>
            <w:tcW w:w="986" w:type="dxa"/>
            <w:noWrap/>
            <w:vAlign w:val="center"/>
          </w:tcPr>
          <w:p w:rsidR="008B45E5" w:rsidRPr="00031506" w:rsidRDefault="008B45E5" w:rsidP="00537A06">
            <w:pPr>
              <w:jc w:val="right"/>
              <w:rPr>
                <w:rFonts w:cs="Arial"/>
                <w:b/>
                <w:i/>
                <w:sz w:val="20"/>
                <w:szCs w:val="18"/>
              </w:rPr>
            </w:pPr>
            <w:r w:rsidRPr="00031506">
              <w:rPr>
                <w:rFonts w:cs="Arial"/>
                <w:b/>
                <w:i/>
                <w:sz w:val="20"/>
                <w:szCs w:val="18"/>
              </w:rPr>
              <w:t>2.9%</w:t>
            </w: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420985" w:rsidRPr="00617621" w:rsidTr="00617621">
        <w:tc>
          <w:tcPr>
            <w:tcW w:w="3686" w:type="dxa"/>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64" w:type="dxa"/>
            <w:noWrap/>
            <w:vAlign w:val="center"/>
          </w:tcPr>
          <w:p w:rsidR="00420985" w:rsidRPr="00617621" w:rsidRDefault="00420985" w:rsidP="00DD44BA">
            <w:pPr>
              <w:spacing w:beforeLines="20" w:before="48" w:afterLines="20" w:after="48"/>
              <w:jc w:val="right"/>
              <w:rPr>
                <w:rFonts w:cs="Arial"/>
                <w:sz w:val="18"/>
                <w:szCs w:val="18"/>
                <w:lang w:eastAsia="en-AU"/>
              </w:rPr>
            </w:pPr>
          </w:p>
        </w:tc>
        <w:tc>
          <w:tcPr>
            <w:tcW w:w="986" w:type="dxa"/>
            <w:noWrap/>
            <w:vAlign w:val="center"/>
          </w:tcPr>
          <w:p w:rsidR="00420985" w:rsidRPr="00617621" w:rsidRDefault="00420985" w:rsidP="00DD44BA">
            <w:pPr>
              <w:spacing w:beforeLines="20" w:before="48" w:afterLines="20" w:after="48"/>
              <w:jc w:val="right"/>
              <w:rPr>
                <w:rFonts w:cs="Arial"/>
                <w:sz w:val="18"/>
                <w:szCs w:val="18"/>
                <w:lang w:eastAsia="en-AU"/>
              </w:rPr>
            </w:pPr>
          </w:p>
        </w:tc>
      </w:tr>
      <w:tr w:rsidR="005623AB" w:rsidRPr="00617621" w:rsidTr="00617621">
        <w:tc>
          <w:tcPr>
            <w:tcW w:w="3686" w:type="dxa"/>
            <w:noWrap/>
            <w:vAlign w:val="center"/>
          </w:tcPr>
          <w:p w:rsidR="0047763C" w:rsidRPr="005623AB" w:rsidRDefault="0047763C" w:rsidP="00DD44BA">
            <w:pPr>
              <w:spacing w:beforeLines="20" w:before="48" w:afterLines="20" w:after="48"/>
              <w:rPr>
                <w:rFonts w:cs="Arial"/>
                <w:b/>
                <w:bCs/>
                <w:i/>
                <w:sz w:val="20"/>
                <w:szCs w:val="20"/>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64" w:type="dxa"/>
            <w:noWrap/>
            <w:vAlign w:val="center"/>
          </w:tcPr>
          <w:p w:rsidR="0047763C" w:rsidRPr="00617621" w:rsidRDefault="0047763C" w:rsidP="00DD44BA">
            <w:pPr>
              <w:spacing w:beforeLines="20" w:before="48" w:afterLines="20" w:after="48"/>
              <w:jc w:val="right"/>
              <w:rPr>
                <w:rFonts w:cs="Arial"/>
                <w:sz w:val="18"/>
                <w:szCs w:val="18"/>
                <w:lang w:eastAsia="en-AU"/>
              </w:rPr>
            </w:pPr>
          </w:p>
        </w:tc>
        <w:tc>
          <w:tcPr>
            <w:tcW w:w="986" w:type="dxa"/>
            <w:noWrap/>
            <w:vAlign w:val="center"/>
          </w:tcPr>
          <w:p w:rsidR="0047763C" w:rsidRPr="00617621" w:rsidRDefault="0047763C" w:rsidP="00DD44BA">
            <w:pPr>
              <w:spacing w:beforeLines="20" w:before="48" w:afterLines="20" w:after="48"/>
              <w:jc w:val="right"/>
              <w:rPr>
                <w:rFonts w:cs="Arial"/>
                <w:sz w:val="18"/>
                <w:szCs w:val="18"/>
                <w:lang w:eastAsia="en-AU"/>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Western Melbourne</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739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$343</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705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$635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6.7%</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439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$425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731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492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902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$398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4.7%</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147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587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474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$430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7.5%</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3.1%</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$465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$555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3.7%</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North Western Melbourne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2,485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$300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2.4%</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5,537</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$370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5.7%</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1,211</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$410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3.8%</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4,260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$380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5.6%</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North Eastern Melbourne</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4.1%</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$440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$620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6.9%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437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$410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6.5%</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876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443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$640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668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$458</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4.1%</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819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488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498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4.5%</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$583</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7.0%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North Eastern Melbourne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2,285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$295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5.4%</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4,849</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$355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4.4%</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1,132</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$360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2.9%</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4,607</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$380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5.6%</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Outer Eastern Melbourne</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2.7%</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568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952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$395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1.3%</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$390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608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1.3%</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$415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$375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449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491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Outer Eastern Melbourne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312</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$270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1.9%</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2,063</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$340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448</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$345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4.5%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3,211</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$390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2.6%</w:t>
            </w: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South Eastern Melbourne</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1,323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472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698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1,165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539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979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511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4.1%</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South Eastern Melbourne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674</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$240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3.4%</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2,866</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486</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$320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6.7%</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6,195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$350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Mornington Peninsula</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5.7%</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493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4.7%</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796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Mornington Peninsula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500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$230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1,597</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3.4%</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491</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$315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5.0%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3,415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$369</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5.4%</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Geelong</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398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739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522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531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3.1%</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171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$325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2.9%</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128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$395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6.8%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3.1%</w:t>
            </w:r>
          </w:p>
        </w:tc>
      </w:tr>
      <w:tr w:rsidR="008B45E5" w:rsidRPr="006F1853"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Geelong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597</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$210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1,326</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$285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1.8%</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643</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$290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1.8%</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2,712</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$334</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2.8%</w:t>
            </w:r>
          </w:p>
        </w:tc>
      </w:tr>
      <w:tr w:rsidR="005623AB" w:rsidRPr="00AE2372" w:rsidTr="00617621">
        <w:tc>
          <w:tcPr>
            <w:tcW w:w="15276" w:type="dxa"/>
            <w:gridSpan w:val="13"/>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Ballarat</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301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840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$303</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-2.3%</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589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Ballarat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268</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$170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649</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$240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4.3%</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539</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$245</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1,887</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$290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3.6%</w:t>
            </w: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t>Bendigo</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126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493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344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169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466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1.8%</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Bendigo</w:t>
            </w:r>
            <w:r w:rsidRPr="003F4B94">
              <w:rPr>
                <w:rFonts w:cs="Arial"/>
                <w:b/>
                <w:i/>
                <w:sz w:val="20"/>
                <w:szCs w:val="20"/>
                <w:lang w:eastAsia="en-AU"/>
              </w:rPr>
              <w:t xml:space="preserve"> -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139</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$180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2.9%</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695</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$240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368</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$250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1,573</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$290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1.8%</w:t>
            </w: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420985" w:rsidRPr="00617621" w:rsidTr="00617621">
        <w:tc>
          <w:tcPr>
            <w:tcW w:w="3686" w:type="dxa"/>
            <w:shd w:val="clear" w:color="auto" w:fill="auto"/>
            <w:noWrap/>
            <w:vAlign w:val="center"/>
          </w:tcPr>
          <w:p w:rsidR="00420985" w:rsidRPr="005623AB" w:rsidRDefault="00420985" w:rsidP="00DD44BA">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64"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c>
          <w:tcPr>
            <w:tcW w:w="986" w:type="dxa"/>
            <w:shd w:val="clear" w:color="auto" w:fill="auto"/>
            <w:noWrap/>
            <w:vAlign w:val="center"/>
          </w:tcPr>
          <w:p w:rsidR="00420985" w:rsidRPr="00617621" w:rsidRDefault="00420985" w:rsidP="00DD44BA">
            <w:pPr>
              <w:spacing w:beforeLines="20" w:before="48" w:afterLines="20" w:after="48"/>
              <w:jc w:val="right"/>
              <w:rPr>
                <w:rFonts w:cs="Arial"/>
                <w:sz w:val="18"/>
                <w:szCs w:val="18"/>
              </w:rPr>
            </w:pPr>
          </w:p>
        </w:tc>
      </w:tr>
      <w:tr w:rsidR="005623AB" w:rsidRPr="00AE2372" w:rsidTr="00617621">
        <w:tc>
          <w:tcPr>
            <w:tcW w:w="15276" w:type="dxa"/>
            <w:gridSpan w:val="13"/>
            <w:shd w:val="clear" w:color="auto" w:fill="FFFFFF"/>
            <w:noWrap/>
            <w:vAlign w:val="center"/>
          </w:tcPr>
          <w:p w:rsidR="0047763C" w:rsidRPr="00AE2372" w:rsidRDefault="0047763C" w:rsidP="00AE2372">
            <w:pPr>
              <w:spacing w:before="240" w:after="20"/>
              <w:rPr>
                <w:rFonts w:cs="Arial"/>
                <w:b/>
                <w:bCs/>
                <w:sz w:val="20"/>
                <w:szCs w:val="18"/>
                <w:lang w:eastAsia="en-AU"/>
              </w:rPr>
            </w:pPr>
            <w:r w:rsidRPr="00AE2372">
              <w:rPr>
                <w:rFonts w:cs="Arial"/>
                <w:b/>
                <w:bCs/>
                <w:sz w:val="20"/>
                <w:szCs w:val="18"/>
                <w:lang w:eastAsia="en-AU"/>
              </w:rPr>
              <w:lastRenderedPageBreak/>
              <w:t>Other Regional Centres</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119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201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$190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684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4.2%</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158</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79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$190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7.1%</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$315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5.6%</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$153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$170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4.3%</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417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$276</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6.0%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113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713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104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24</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$223</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1.4%</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$270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$350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7.7%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$395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12.9%</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246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2.3%</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187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86</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547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0.0%</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39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$170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155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$210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48</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$285</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1.8%</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91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$265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221</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$300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3.4%</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87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$185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-6.6%</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385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2.2%</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91</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$280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475</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$320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3.2%</w:t>
            </w:r>
          </w:p>
        </w:tc>
      </w:tr>
      <w:tr w:rsidR="008B45E5" w:rsidRPr="00617621" w:rsidTr="00031506">
        <w:tc>
          <w:tcPr>
            <w:tcW w:w="3686" w:type="dxa"/>
            <w:noWrap/>
            <w:vAlign w:val="center"/>
          </w:tcPr>
          <w:p w:rsidR="008B45E5" w:rsidRPr="005623AB" w:rsidRDefault="008B45E5" w:rsidP="008B45E5">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59</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$165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-5.7%</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312</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$230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4.5%</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67</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$250</w:t>
            </w:r>
          </w:p>
        </w:tc>
        <w:tc>
          <w:tcPr>
            <w:tcW w:w="964" w:type="dxa"/>
            <w:shd w:val="clear" w:color="auto" w:fill="DEE4EE"/>
            <w:noWrap/>
            <w:vAlign w:val="center"/>
          </w:tcPr>
          <w:p w:rsidR="008B45E5" w:rsidRPr="00031506" w:rsidRDefault="008B45E5" w:rsidP="00031506">
            <w:pPr>
              <w:jc w:val="right"/>
              <w:rPr>
                <w:rFonts w:cs="Arial"/>
                <w:sz w:val="18"/>
                <w:szCs w:val="18"/>
              </w:rPr>
            </w:pPr>
            <w:r w:rsidRPr="00031506">
              <w:rPr>
                <w:rFonts w:cs="Arial"/>
                <w:sz w:val="18"/>
                <w:szCs w:val="18"/>
              </w:rPr>
              <w:t>0.0%</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593</w:t>
            </w:r>
          </w:p>
        </w:tc>
        <w:tc>
          <w:tcPr>
            <w:tcW w:w="964" w:type="dxa"/>
            <w:noWrap/>
            <w:vAlign w:val="center"/>
          </w:tcPr>
          <w:p w:rsidR="008B45E5" w:rsidRPr="00031506" w:rsidRDefault="008B45E5" w:rsidP="00031506">
            <w:pPr>
              <w:jc w:val="right"/>
              <w:rPr>
                <w:rFonts w:cs="Arial"/>
                <w:sz w:val="18"/>
                <w:szCs w:val="18"/>
              </w:rPr>
            </w:pPr>
            <w:r w:rsidRPr="00031506">
              <w:rPr>
                <w:rFonts w:cs="Arial"/>
                <w:sz w:val="18"/>
                <w:szCs w:val="18"/>
              </w:rPr>
              <w:t>$310</w:t>
            </w:r>
          </w:p>
        </w:tc>
        <w:tc>
          <w:tcPr>
            <w:tcW w:w="986" w:type="dxa"/>
            <w:noWrap/>
            <w:vAlign w:val="center"/>
          </w:tcPr>
          <w:p w:rsidR="008B45E5" w:rsidRPr="00031506" w:rsidRDefault="008B45E5" w:rsidP="00031506">
            <w:pPr>
              <w:jc w:val="right"/>
              <w:rPr>
                <w:rFonts w:cs="Arial"/>
                <w:sz w:val="18"/>
                <w:szCs w:val="18"/>
              </w:rPr>
            </w:pPr>
            <w:r w:rsidRPr="00031506">
              <w:rPr>
                <w:rFonts w:cs="Arial"/>
                <w:sz w:val="18"/>
                <w:szCs w:val="18"/>
              </w:rPr>
              <w:t>3.3%</w:t>
            </w:r>
          </w:p>
        </w:tc>
      </w:tr>
      <w:tr w:rsidR="008B45E5" w:rsidRPr="00617621" w:rsidTr="00031506">
        <w:trPr>
          <w:trHeight w:val="567"/>
        </w:trPr>
        <w:tc>
          <w:tcPr>
            <w:tcW w:w="3686" w:type="dxa"/>
            <w:noWrap/>
            <w:vAlign w:val="center"/>
          </w:tcPr>
          <w:p w:rsidR="008B45E5" w:rsidRPr="003F4B94" w:rsidRDefault="008B45E5" w:rsidP="008B45E5">
            <w:pPr>
              <w:spacing w:beforeLines="20" w:before="48" w:afterLines="20" w:after="48"/>
              <w:jc w:val="right"/>
              <w:rPr>
                <w:rFonts w:cs="Arial"/>
                <w:b/>
                <w:i/>
                <w:sz w:val="20"/>
                <w:szCs w:val="20"/>
                <w:lang w:eastAsia="en-AU"/>
              </w:rPr>
            </w:pPr>
            <w:r w:rsidRPr="003F4B94">
              <w:rPr>
                <w:rFonts w:cs="Arial"/>
                <w:b/>
                <w:bCs/>
                <w:i/>
                <w:sz w:val="20"/>
                <w:szCs w:val="20"/>
                <w:lang w:eastAsia="en-AU"/>
              </w:rPr>
              <w:t>Other Regional Centres</w:t>
            </w:r>
            <w:r w:rsidRPr="003F4B94">
              <w:rPr>
                <w:rFonts w:cs="Arial"/>
                <w:b/>
                <w:i/>
                <w:sz w:val="20"/>
                <w:szCs w:val="20"/>
                <w:lang w:eastAsia="en-AU"/>
              </w:rPr>
              <w:t xml:space="preserve"> Total</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942</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$160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-3.0%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3,268</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$220</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0.0%</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1,192</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$243</w:t>
            </w:r>
          </w:p>
        </w:tc>
        <w:tc>
          <w:tcPr>
            <w:tcW w:w="964" w:type="dxa"/>
            <w:shd w:val="clear" w:color="auto" w:fill="DEE4EE"/>
            <w:noWrap/>
            <w:vAlign w:val="center"/>
          </w:tcPr>
          <w:p w:rsidR="008B45E5" w:rsidRPr="00031506" w:rsidRDefault="008B45E5" w:rsidP="00031506">
            <w:pPr>
              <w:jc w:val="right"/>
              <w:rPr>
                <w:rFonts w:cs="Arial"/>
                <w:b/>
                <w:i/>
                <w:sz w:val="20"/>
                <w:szCs w:val="18"/>
              </w:rPr>
            </w:pPr>
            <w:r w:rsidRPr="00031506">
              <w:rPr>
                <w:rFonts w:cs="Arial"/>
                <w:b/>
                <w:i/>
                <w:sz w:val="20"/>
                <w:szCs w:val="18"/>
              </w:rPr>
              <w:t>1.3%</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6,612</w:t>
            </w:r>
          </w:p>
        </w:tc>
        <w:tc>
          <w:tcPr>
            <w:tcW w:w="964" w:type="dxa"/>
            <w:noWrap/>
            <w:vAlign w:val="center"/>
          </w:tcPr>
          <w:p w:rsidR="008B45E5" w:rsidRPr="00031506" w:rsidRDefault="008B45E5" w:rsidP="00031506">
            <w:pPr>
              <w:jc w:val="right"/>
              <w:rPr>
                <w:rFonts w:cs="Arial"/>
                <w:b/>
                <w:i/>
                <w:sz w:val="20"/>
                <w:szCs w:val="18"/>
              </w:rPr>
            </w:pPr>
            <w:r w:rsidRPr="00031506">
              <w:rPr>
                <w:rFonts w:cs="Arial"/>
                <w:b/>
                <w:i/>
                <w:sz w:val="20"/>
                <w:szCs w:val="18"/>
              </w:rPr>
              <w:t>$290</w:t>
            </w:r>
          </w:p>
        </w:tc>
        <w:tc>
          <w:tcPr>
            <w:tcW w:w="986" w:type="dxa"/>
            <w:noWrap/>
            <w:vAlign w:val="center"/>
          </w:tcPr>
          <w:p w:rsidR="008B45E5" w:rsidRPr="00031506" w:rsidRDefault="008B45E5" w:rsidP="00031506">
            <w:pPr>
              <w:jc w:val="right"/>
              <w:rPr>
                <w:rFonts w:cs="Arial"/>
                <w:b/>
                <w:i/>
                <w:sz w:val="20"/>
                <w:szCs w:val="18"/>
              </w:rPr>
            </w:pPr>
            <w:r w:rsidRPr="00031506">
              <w:rPr>
                <w:rFonts w:cs="Arial"/>
                <w:b/>
                <w:i/>
                <w:sz w:val="20"/>
                <w:szCs w:val="18"/>
              </w:rPr>
              <w:t>3.6%</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E872FE">
        <w:rPr>
          <w:rFonts w:cs="Arial"/>
          <w:b/>
          <w:sz w:val="20"/>
          <w:szCs w:val="20"/>
        </w:rPr>
        <w:lastRenderedPageBreak/>
        <w:t xml:space="preserve">Table 12: </w:t>
      </w:r>
      <w:r w:rsidR="0047763C" w:rsidRPr="003961F0">
        <w:rPr>
          <w:rFonts w:cs="Arial"/>
          <w:b/>
          <w:sz w:val="20"/>
          <w:szCs w:val="20"/>
        </w:rPr>
        <w:t>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$195</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9.6%</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22</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-1.3%</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8.3%</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72</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Greater</w:t>
            </w:r>
            <w:r>
              <w:rPr>
                <w:rFonts w:cs="Arial"/>
                <w:sz w:val="20"/>
                <w:szCs w:val="20"/>
                <w:lang w:eastAsia="en-AU"/>
              </w:rPr>
              <w:t xml:space="preserve"> </w:t>
            </w:r>
            <w:r w:rsidRPr="001903E1">
              <w:rPr>
                <w:rFonts w:cs="Arial"/>
                <w:sz w:val="20"/>
                <w:szCs w:val="20"/>
                <w:lang w:eastAsia="en-AU"/>
              </w:rPr>
              <w:t>Geelong</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139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824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Queenscliffe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Southern</w:t>
            </w:r>
            <w:r>
              <w:rPr>
                <w:rFonts w:cs="Arial"/>
                <w:sz w:val="20"/>
                <w:szCs w:val="20"/>
                <w:lang w:eastAsia="en-AU"/>
              </w:rPr>
              <w:t xml:space="preserve"> </w:t>
            </w:r>
            <w:r w:rsidRPr="001903E1">
              <w:rPr>
                <w:rFonts w:cs="Arial"/>
                <w:sz w:val="20"/>
                <w:szCs w:val="20"/>
                <w:lang w:eastAsia="en-AU"/>
              </w:rPr>
              <w:t>Grampians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13.2%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-4.2%</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Surf</w:t>
            </w:r>
            <w:r>
              <w:rPr>
                <w:rFonts w:cs="Arial"/>
                <w:sz w:val="20"/>
                <w:szCs w:val="20"/>
                <w:lang w:eastAsia="en-AU"/>
              </w:rPr>
              <w:t xml:space="preserve"> </w:t>
            </w:r>
            <w:r w:rsidRPr="001903E1">
              <w:rPr>
                <w:rFonts w:cs="Arial"/>
                <w:sz w:val="20"/>
                <w:szCs w:val="20"/>
                <w:lang w:eastAsia="en-AU"/>
              </w:rPr>
              <w:t>Coast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5.0%</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77</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5.7%</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97</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3.2%</w:t>
            </w:r>
          </w:p>
        </w:tc>
      </w:tr>
      <w:tr w:rsidR="00031506" w:rsidRPr="00AE2372" w:rsidTr="00031506">
        <w:trPr>
          <w:trHeight w:val="454"/>
        </w:trPr>
        <w:tc>
          <w:tcPr>
            <w:tcW w:w="3686" w:type="dxa"/>
            <w:tcBorders>
              <w:top w:val="single" w:sz="2" w:space="0" w:color="9DAECB"/>
              <w:bottom w:val="single" w:sz="12" w:space="0" w:color="9DAECB"/>
            </w:tcBorders>
            <w:noWrap/>
            <w:vAlign w:val="center"/>
          </w:tcPr>
          <w:p w:rsidR="00031506" w:rsidRPr="004544DE" w:rsidRDefault="00031506" w:rsidP="00031506">
            <w:pPr>
              <w:spacing w:before="60" w:after="60"/>
              <w:rPr>
                <w:rFonts w:cs="Arial"/>
                <w:b/>
                <w:bCs/>
                <w:i/>
                <w:sz w:val="20"/>
                <w:szCs w:val="20"/>
                <w:lang w:eastAsia="en-AU"/>
              </w:rPr>
            </w:pPr>
            <w:r w:rsidRPr="004544DE">
              <w:rPr>
                <w:rFonts w:cs="Arial"/>
                <w:b/>
                <w:bCs/>
                <w:i/>
                <w:sz w:val="20"/>
                <w:szCs w:val="20"/>
                <w:lang w:eastAsia="en-AU"/>
              </w:rPr>
              <w:t>Barwon-South West</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184</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$210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5.0%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538</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$280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3.7%</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261</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$285</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i/>
                <w:sz w:val="20"/>
                <w:szCs w:val="20"/>
              </w:rPr>
            </w:pPr>
            <w:r w:rsidRPr="00E81C87">
              <w:rPr>
                <w:rFonts w:cs="Arial"/>
                <w:b/>
                <w:i/>
                <w:sz w:val="20"/>
                <w:szCs w:val="20"/>
              </w:rPr>
              <w:t>5.6%</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1,251</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$335</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i/>
                <w:sz w:val="20"/>
                <w:szCs w:val="20"/>
              </w:rPr>
            </w:pPr>
            <w:r w:rsidRPr="00E81C87">
              <w:rPr>
                <w:rFonts w:cs="Arial"/>
                <w:b/>
                <w:i/>
                <w:sz w:val="20"/>
                <w:szCs w:val="20"/>
              </w:rPr>
              <w:t>4.7%</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$200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6.4%</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158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413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39.1%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39.2%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$155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Yarriambiack</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$175</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3F4B94"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106</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$170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6.3%</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244</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$230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2.2%</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198</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$240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687</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$285</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3.6%</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Buloke</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3.8%</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108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0.8%</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Gannawarra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373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14.4%</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171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rsidR="00031506" w:rsidRPr="00031506" w:rsidRDefault="00031506" w:rsidP="00031506">
            <w:pPr>
              <w:jc w:val="right"/>
              <w:rPr>
                <w:rFonts w:cs="Arial"/>
                <w:sz w:val="20"/>
                <w:szCs w:val="20"/>
                <w:lang w:eastAsia="en-AU"/>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shd w:val="clear" w:color="auto" w:fill="DEE4EE"/>
            <w:noWrap/>
            <w:vAlign w:val="center"/>
          </w:tcPr>
          <w:p w:rsidR="00031506" w:rsidRPr="00031506" w:rsidRDefault="00031506" w:rsidP="00031506">
            <w:pPr>
              <w:jc w:val="right"/>
              <w:rPr>
                <w:rFonts w:cs="Arial"/>
                <w:sz w:val="20"/>
                <w:szCs w:val="20"/>
                <w:lang w:eastAsia="en-AU"/>
              </w:rPr>
            </w:pPr>
            <w:r w:rsidRPr="00031506">
              <w:rPr>
                <w:rFonts w:cs="Arial"/>
                <w:sz w:val="20"/>
                <w:szCs w:val="20"/>
              </w:rPr>
              <w:t>22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$143</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$225</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-2.2%</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11.6%</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3F4B94"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91</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$160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-5.9%</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364</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$230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2.2%</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196</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$250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0.0%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890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$290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3.6%</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$255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27.5%</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8.1%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-12.2%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7.7%</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101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1.8%</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10.6%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$275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-7.5%</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81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4.5%</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144</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3.3%</w:t>
            </w:r>
          </w:p>
        </w:tc>
      </w:tr>
      <w:tr w:rsidR="00031506" w:rsidRPr="006F1853"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112</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$153</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-10.0%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361</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$220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4.8%</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138</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$240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807</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$290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1.8%</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4.2%</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98</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Baw Baw</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$268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$145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117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$235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6.0%</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-5.9%</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$220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-8.3%</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27</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121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$270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1.9%</w:t>
            </w:r>
          </w:p>
        </w:tc>
      </w:tr>
      <w:tr w:rsidR="00031506" w:rsidRPr="006F1853"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97</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$160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0.0%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301</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$220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0.0%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188</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$230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0.0%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860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$280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3.7%</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106</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$318</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9.7%</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325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$370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5.7%</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64</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$358</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264</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$420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Brimbank</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541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$445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$270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$430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1.2%</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$285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477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8.5%</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$473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1,974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$545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$678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lastRenderedPageBreak/>
              <w:t>Melton</w:t>
            </w:r>
          </w:p>
        </w:tc>
        <w:tc>
          <w:tcPr>
            <w:tcW w:w="964" w:type="dxa"/>
            <w:shd w:val="clear" w:color="auto" w:fill="DEE4EE"/>
            <w:noWrap/>
            <w:vAlign w:val="center"/>
          </w:tcPr>
          <w:p w:rsidR="00031506" w:rsidRPr="00031506" w:rsidRDefault="00031506" w:rsidP="00031506">
            <w:pPr>
              <w:jc w:val="right"/>
              <w:rPr>
                <w:rFonts w:cs="Arial"/>
                <w:sz w:val="20"/>
                <w:szCs w:val="20"/>
                <w:lang w:eastAsia="en-AU"/>
              </w:rPr>
            </w:pPr>
            <w:r w:rsidRPr="00031506">
              <w:rPr>
                <w:rFonts w:cs="Arial"/>
                <w:sz w:val="20"/>
                <w:szCs w:val="20"/>
              </w:rPr>
              <w:t>12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19.8%</w:t>
            </w:r>
          </w:p>
        </w:tc>
        <w:tc>
          <w:tcPr>
            <w:tcW w:w="964" w:type="dxa"/>
            <w:shd w:val="clear" w:color="auto" w:fill="DEE4EE"/>
            <w:noWrap/>
            <w:vAlign w:val="center"/>
          </w:tcPr>
          <w:p w:rsidR="00031506" w:rsidRPr="00031506" w:rsidRDefault="00031506" w:rsidP="00031506">
            <w:pPr>
              <w:jc w:val="right"/>
              <w:rPr>
                <w:rFonts w:cs="Arial"/>
                <w:sz w:val="20"/>
                <w:szCs w:val="20"/>
                <w:lang w:eastAsia="en-AU"/>
              </w:rPr>
            </w:pPr>
            <w:r w:rsidRPr="00031506">
              <w:rPr>
                <w:rFonts w:cs="Arial"/>
                <w:sz w:val="20"/>
                <w:szCs w:val="20"/>
              </w:rPr>
              <w:t>25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422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Moonee Valley</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158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188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4.5%</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$285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704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6.1%</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506</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$390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498</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$520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165</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$575</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-0.9%</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126</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$720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1.0%</w:t>
            </w:r>
          </w:p>
        </w:tc>
      </w:tr>
      <w:tr w:rsidR="00031506" w:rsidRPr="003F4B94"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3,882</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$370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5.7%</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5,752</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$425</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6.3%</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1,073</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$420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2.4%</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4,280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$370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5.7%</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Boroondara</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363</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9.4%</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748</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$430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2.4%</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61</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$500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193</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$640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173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5.3%</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186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$438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167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27</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205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0.0%</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$395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4.0%</w:t>
            </w:r>
          </w:p>
        </w:tc>
      </w:tr>
      <w:tr w:rsidR="00031506" w:rsidRPr="009734B0" w:rsidTr="00031506">
        <w:trPr>
          <w:trHeight w:val="170"/>
        </w:trPr>
        <w:tc>
          <w:tcPr>
            <w:tcW w:w="3686" w:type="dxa"/>
            <w:tcBorders>
              <w:bottom w:val="single" w:sz="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$255</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10.9%</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83</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9.4%</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54</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$340</w:t>
            </w:r>
          </w:p>
        </w:tc>
        <w:tc>
          <w:tcPr>
            <w:tcW w:w="964" w:type="dxa"/>
            <w:tcBorders>
              <w:bottom w:val="single" w:sz="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9.7%</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281</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$395</w:t>
            </w:r>
          </w:p>
        </w:tc>
        <w:tc>
          <w:tcPr>
            <w:tcW w:w="964" w:type="dxa"/>
            <w:tcBorders>
              <w:bottom w:val="single" w:sz="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3.9%</w:t>
            </w:r>
          </w:p>
        </w:tc>
      </w:tr>
      <w:tr w:rsidR="00031506" w:rsidRPr="003F4B94" w:rsidTr="00031506">
        <w:trPr>
          <w:trHeight w:val="454"/>
        </w:trPr>
        <w:tc>
          <w:tcPr>
            <w:tcW w:w="3686" w:type="dxa"/>
            <w:tcBorders>
              <w:top w:val="single" w:sz="2" w:space="0" w:color="9DAECB"/>
              <w:bottom w:val="single" w:sz="12" w:space="0" w:color="9DAECB"/>
            </w:tcBorders>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833</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$340</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7.9%</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2,224</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$398</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6.1%</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263</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$385</w:t>
            </w:r>
          </w:p>
        </w:tc>
        <w:tc>
          <w:tcPr>
            <w:tcW w:w="964" w:type="dxa"/>
            <w:tcBorders>
              <w:top w:val="single" w:sz="2" w:space="0" w:color="9DAECB"/>
              <w:bottom w:val="single" w:sz="12" w:space="0" w:color="9DAECB"/>
            </w:tcBorders>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0.0%</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1,809</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$425</w:t>
            </w:r>
          </w:p>
        </w:tc>
        <w:tc>
          <w:tcPr>
            <w:tcW w:w="964" w:type="dxa"/>
            <w:tcBorders>
              <w:top w:val="single" w:sz="2" w:space="0" w:color="9DAECB"/>
              <w:bottom w:val="single" w:sz="12" w:space="0" w:color="9DAECB"/>
            </w:tcBorders>
            <w:noWrap/>
            <w:vAlign w:val="center"/>
          </w:tcPr>
          <w:p w:rsidR="00031506" w:rsidRPr="00E81C87" w:rsidRDefault="00031506" w:rsidP="00031506">
            <w:pPr>
              <w:jc w:val="right"/>
              <w:rPr>
                <w:rFonts w:cs="Arial"/>
                <w:b/>
                <w:bCs/>
                <w:i/>
                <w:sz w:val="20"/>
                <w:szCs w:val="20"/>
              </w:rPr>
            </w:pPr>
            <w:r w:rsidRPr="00E81C87">
              <w:rPr>
                <w:rFonts w:cs="Arial"/>
                <w:b/>
                <w:bCs/>
                <w:i/>
                <w:sz w:val="20"/>
                <w:szCs w:val="20"/>
              </w:rPr>
              <w:t>3.7%</w:t>
            </w:r>
          </w:p>
        </w:tc>
      </w:tr>
      <w:tr w:rsidR="00031506" w:rsidRPr="009734B0" w:rsidTr="00031506">
        <w:trPr>
          <w:trHeight w:val="170"/>
        </w:trPr>
        <w:tc>
          <w:tcPr>
            <w:tcW w:w="3686" w:type="dxa"/>
            <w:tcBorders>
              <w:top w:val="single" w:sz="12" w:space="0" w:color="9DAECB"/>
            </w:tcBorders>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84</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$360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257</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$475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30</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$505</w:t>
            </w:r>
          </w:p>
        </w:tc>
        <w:tc>
          <w:tcPr>
            <w:tcW w:w="964" w:type="dxa"/>
            <w:tcBorders>
              <w:top w:val="single" w:sz="12" w:space="0" w:color="9DAECB"/>
            </w:tcBorders>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146</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$655</w:t>
            </w:r>
          </w:p>
        </w:tc>
        <w:tc>
          <w:tcPr>
            <w:tcW w:w="964" w:type="dxa"/>
            <w:tcBorders>
              <w:top w:val="single" w:sz="12" w:space="0" w:color="9DAECB"/>
            </w:tcBorders>
            <w:noWrap/>
            <w:vAlign w:val="center"/>
          </w:tcPr>
          <w:p w:rsidR="00031506" w:rsidRPr="00031506" w:rsidRDefault="00031506" w:rsidP="00031506">
            <w:pPr>
              <w:jc w:val="right"/>
              <w:rPr>
                <w:rFonts w:cs="Arial"/>
                <w:sz w:val="20"/>
                <w:szCs w:val="20"/>
              </w:rPr>
            </w:pPr>
            <w:r w:rsidRPr="00031506">
              <w:rPr>
                <w:rFonts w:cs="Arial"/>
                <w:sz w:val="20"/>
                <w:szCs w:val="20"/>
              </w:rPr>
              <w:t>0.8%</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$350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19</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134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$310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831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240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5.1%</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Glen Eira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$300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682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$425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$473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177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$230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303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2.8%</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114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$293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438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$375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46</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$410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4.9%</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274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$470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4.4%</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$275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12.2%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158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72</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$313</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2.6%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437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$380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5.6%</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740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7.1%</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804</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$490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2.1%</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108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$605</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0.8%</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96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$813</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-0.9%</w:t>
            </w:r>
          </w:p>
        </w:tc>
      </w:tr>
      <w:tr w:rsidR="00031506" w:rsidRPr="009734B0" w:rsidTr="00031506">
        <w:trPr>
          <w:trHeight w:val="170"/>
        </w:trPr>
        <w:tc>
          <w:tcPr>
            <w:tcW w:w="3686" w:type="dxa"/>
            <w:noWrap/>
            <w:vAlign w:val="center"/>
          </w:tcPr>
          <w:p w:rsidR="00031506" w:rsidRPr="001903E1" w:rsidRDefault="00031506" w:rsidP="00031506">
            <w:pPr>
              <w:spacing w:before="20" w:after="20"/>
              <w:rPr>
                <w:rFonts w:cs="Arial"/>
                <w:sz w:val="20"/>
                <w:szCs w:val="20"/>
                <w:lang w:eastAsia="en-AU"/>
              </w:rPr>
            </w:pPr>
            <w:r w:rsidRPr="001903E1">
              <w:rPr>
                <w:rFonts w:cs="Arial"/>
                <w:sz w:val="20"/>
                <w:szCs w:val="20"/>
                <w:lang w:eastAsia="en-AU"/>
              </w:rPr>
              <w:t>Stonnington</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$370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5.7%</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780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$500</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6.4%</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78</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$650</w:t>
            </w:r>
          </w:p>
        </w:tc>
        <w:tc>
          <w:tcPr>
            <w:tcW w:w="964" w:type="dxa"/>
            <w:shd w:val="clear" w:color="auto" w:fill="DEE4EE"/>
            <w:noWrap/>
            <w:vAlign w:val="center"/>
          </w:tcPr>
          <w:p w:rsidR="00031506" w:rsidRPr="00031506" w:rsidRDefault="00031506" w:rsidP="00031506">
            <w:pPr>
              <w:jc w:val="right"/>
              <w:rPr>
                <w:rFonts w:cs="Arial"/>
                <w:sz w:val="20"/>
                <w:szCs w:val="20"/>
              </w:rPr>
            </w:pPr>
            <w:r w:rsidRPr="00031506">
              <w:rPr>
                <w:rFonts w:cs="Arial"/>
                <w:sz w:val="20"/>
                <w:szCs w:val="20"/>
              </w:rPr>
              <w:t>9.6%</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112</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$775</w:t>
            </w:r>
          </w:p>
        </w:tc>
        <w:tc>
          <w:tcPr>
            <w:tcW w:w="964" w:type="dxa"/>
            <w:noWrap/>
            <w:vAlign w:val="center"/>
          </w:tcPr>
          <w:p w:rsidR="00031506" w:rsidRPr="00031506" w:rsidRDefault="00031506" w:rsidP="00031506">
            <w:pPr>
              <w:jc w:val="right"/>
              <w:rPr>
                <w:rFonts w:cs="Arial"/>
                <w:sz w:val="20"/>
                <w:szCs w:val="20"/>
              </w:rPr>
            </w:pPr>
            <w:r w:rsidRPr="00031506">
              <w:rPr>
                <w:rFonts w:cs="Arial"/>
                <w:sz w:val="20"/>
                <w:szCs w:val="20"/>
              </w:rPr>
              <w:t>-0.6%</w:t>
            </w:r>
          </w:p>
        </w:tc>
      </w:tr>
      <w:tr w:rsidR="00031506" w:rsidRPr="003F4B94" w:rsidTr="00031506">
        <w:trPr>
          <w:trHeight w:val="454"/>
        </w:trPr>
        <w:tc>
          <w:tcPr>
            <w:tcW w:w="3686" w:type="dxa"/>
            <w:noWrap/>
            <w:vAlign w:val="center"/>
          </w:tcPr>
          <w:p w:rsidR="00031506" w:rsidRPr="003F4B94" w:rsidRDefault="00031506" w:rsidP="00031506">
            <w:pPr>
              <w:spacing w:before="60" w:after="60"/>
              <w:rPr>
                <w:rFonts w:cs="Arial"/>
                <w:b/>
                <w:bCs/>
                <w:i/>
                <w:sz w:val="20"/>
                <w:szCs w:val="20"/>
                <w:lang w:eastAsia="en-AU"/>
              </w:rPr>
            </w:pPr>
            <w:r w:rsidRPr="003F4B94">
              <w:rPr>
                <w:rFonts w:cs="Arial"/>
                <w:b/>
                <w:bCs/>
                <w:i/>
                <w:sz w:val="20"/>
                <w:szCs w:val="20"/>
                <w:lang w:eastAsia="en-AU"/>
              </w:rPr>
              <w:t>Southern Metro</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2,410</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$340</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6.3%</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3,991</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$410</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5.1%</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534</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$438</w:t>
            </w:r>
          </w:p>
        </w:tc>
        <w:tc>
          <w:tcPr>
            <w:tcW w:w="964" w:type="dxa"/>
            <w:shd w:val="clear" w:color="auto" w:fill="DEE4EE"/>
            <w:noWrap/>
            <w:vAlign w:val="center"/>
          </w:tcPr>
          <w:p w:rsidR="00031506" w:rsidRPr="00E81C87" w:rsidRDefault="00031506" w:rsidP="00031506">
            <w:pPr>
              <w:jc w:val="right"/>
              <w:rPr>
                <w:rFonts w:cs="Arial"/>
                <w:b/>
                <w:bCs/>
                <w:i/>
                <w:sz w:val="20"/>
                <w:szCs w:val="20"/>
              </w:rPr>
            </w:pPr>
            <w:r w:rsidRPr="00E81C87">
              <w:rPr>
                <w:rFonts w:cs="Arial"/>
                <w:b/>
                <w:bCs/>
                <w:i/>
                <w:sz w:val="20"/>
                <w:szCs w:val="20"/>
              </w:rPr>
              <w:t>9.5%</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3,059</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$380</w:t>
            </w:r>
          </w:p>
        </w:tc>
        <w:tc>
          <w:tcPr>
            <w:tcW w:w="964" w:type="dxa"/>
            <w:noWrap/>
            <w:vAlign w:val="center"/>
          </w:tcPr>
          <w:p w:rsidR="00031506" w:rsidRPr="00E81C87" w:rsidRDefault="00031506" w:rsidP="00031506">
            <w:pPr>
              <w:jc w:val="right"/>
              <w:rPr>
                <w:rFonts w:cs="Arial"/>
                <w:b/>
                <w:bCs/>
                <w:i/>
                <w:sz w:val="20"/>
                <w:szCs w:val="20"/>
              </w:rPr>
            </w:pPr>
            <w:r w:rsidRPr="00E81C87">
              <w:rPr>
                <w:rFonts w:cs="Arial"/>
                <w:b/>
                <w:bCs/>
                <w:i/>
                <w:sz w:val="20"/>
                <w:szCs w:val="20"/>
              </w:rPr>
              <w:t>4.1%</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E872FE" w:rsidP="000375B1">
      <w:pPr>
        <w:rPr>
          <w:rFonts w:cs="Arial"/>
          <w:sz w:val="18"/>
          <w:szCs w:val="20"/>
        </w:rPr>
      </w:pPr>
      <w:r>
        <w:rPr>
          <w:rFonts w:cs="Arial"/>
          <w:b/>
          <w:sz w:val="20"/>
          <w:szCs w:val="20"/>
        </w:rPr>
        <w:lastRenderedPageBreak/>
        <w:t xml:space="preserve">Table 13: </w:t>
      </w:r>
      <w:r w:rsidR="0047763C" w:rsidRPr="000375B1">
        <w:rPr>
          <w:rFonts w:cs="Arial"/>
          <w:b/>
          <w:sz w:val="20"/>
          <w:szCs w:val="20"/>
        </w:rPr>
        <w:t>Affordable let</w:t>
      </w:r>
      <w:r w:rsidR="0047763C">
        <w:rPr>
          <w:rFonts w:cs="Arial"/>
          <w:b/>
          <w:sz w:val="20"/>
          <w:szCs w:val="20"/>
        </w:rPr>
        <w:t xml:space="preserve">tings for </w:t>
      </w:r>
      <w:r w:rsidR="002268B1">
        <w:rPr>
          <w:rFonts w:cs="Arial"/>
          <w:b/>
          <w:sz w:val="20"/>
          <w:szCs w:val="20"/>
        </w:rPr>
        <w:t>L</w:t>
      </w:r>
      <w:r w:rsidR="0047763C">
        <w:rPr>
          <w:rFonts w:cs="Arial"/>
          <w:b/>
          <w:sz w:val="20"/>
          <w:szCs w:val="20"/>
        </w:rPr>
        <w:t xml:space="preserve">ocal </w:t>
      </w:r>
      <w:r w:rsidR="002268B1">
        <w:rPr>
          <w:rFonts w:cs="Arial"/>
          <w:b/>
          <w:sz w:val="20"/>
          <w:szCs w:val="20"/>
        </w:rPr>
        <w:t>G</w:t>
      </w:r>
      <w:r w:rsidR="0047763C">
        <w:rPr>
          <w:rFonts w:cs="Arial"/>
          <w:b/>
          <w:sz w:val="20"/>
          <w:szCs w:val="20"/>
        </w:rPr>
        <w:t xml:space="preserve">overnment </w:t>
      </w:r>
      <w:r w:rsidR="002268B1">
        <w:rPr>
          <w:rFonts w:cs="Arial"/>
          <w:b/>
          <w:sz w:val="20"/>
          <w:szCs w:val="20"/>
        </w:rPr>
        <w:t>A</w:t>
      </w:r>
      <w:r w:rsidR="0047763C">
        <w:rPr>
          <w:rFonts w:cs="Arial"/>
          <w:b/>
          <w:sz w:val="20"/>
          <w:szCs w:val="20"/>
        </w:rPr>
        <w:t>reas</w:t>
      </w:r>
      <w:r w:rsidR="0047763C">
        <w:rPr>
          <w:rFonts w:cs="Arial"/>
          <w:b/>
          <w:sz w:val="20"/>
          <w:szCs w:val="20"/>
        </w:rPr>
        <w:br/>
      </w:r>
      <w:r w:rsidR="0047763C"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6F1853">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6F1853">
            <w:pPr>
              <w:jc w:val="center"/>
              <w:rPr>
                <w:rFonts w:cs="Arial"/>
                <w:b/>
                <w:bCs/>
                <w:sz w:val="20"/>
                <w:szCs w:val="20"/>
                <w:lang w:eastAsia="en-AU"/>
              </w:rPr>
            </w:pPr>
            <w:r w:rsidRPr="006A34E2">
              <w:rPr>
                <w:rFonts w:cs="Arial"/>
                <w:b/>
                <w:sz w:val="20"/>
                <w:szCs w:val="20"/>
                <w:lang w:eastAsia="en-AU"/>
              </w:rPr>
              <w:t>Total</w:t>
            </w:r>
          </w:p>
        </w:tc>
      </w:tr>
      <w:tr w:rsidR="00D561CD" w:rsidRPr="006A34E2" w:rsidTr="006F1853">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6F1853">
            <w:pPr>
              <w:jc w:val="center"/>
              <w:rPr>
                <w:rFonts w:cs="Arial"/>
                <w:b/>
                <w:bCs/>
                <w:sz w:val="20"/>
                <w:szCs w:val="20"/>
                <w:lang w:eastAsia="en-AU"/>
              </w:rPr>
            </w:pPr>
            <w:r>
              <w:rPr>
                <w:rFonts w:cs="Arial"/>
                <w:b/>
                <w:sz w:val="20"/>
                <w:szCs w:val="20"/>
                <w:lang w:eastAsia="en-AU"/>
              </w:rPr>
              <w:t>%</w:t>
            </w:r>
          </w:p>
        </w:tc>
      </w:tr>
      <w:tr w:rsidR="0075795B" w:rsidRPr="006A34E2" w:rsidTr="0075795B">
        <w:trPr>
          <w:trHeight w:val="255"/>
        </w:trPr>
        <w:tc>
          <w:tcPr>
            <w:tcW w:w="2552" w:type="dxa"/>
            <w:tcBorders>
              <w:top w:val="single" w:sz="12" w:space="0" w:color="9DAECB"/>
            </w:tcBorders>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lang w:eastAsia="en-AU"/>
              </w:rPr>
            </w:pPr>
            <w:r w:rsidRPr="0075795B">
              <w:rPr>
                <w:rFonts w:cs="Arial"/>
                <w:sz w:val="20"/>
                <w:szCs w:val="20"/>
              </w:rPr>
              <w:t>0</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tcBorders>
              <w:top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tcBorders>
              <w:top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69.0%</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27</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62.8%</w:t>
            </w:r>
          </w:p>
        </w:tc>
        <w:tc>
          <w:tcPr>
            <w:tcW w:w="1021" w:type="dxa"/>
            <w:tcBorders>
              <w:top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tcBorders>
              <w:top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71.4%</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60.5%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83.3%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85.4%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54.2%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70.7%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61.3%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42.2%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58.2%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64.7%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53.9%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Baw Baw</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56.1%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70.9%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51.8%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88.1%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84.7%</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Boroondara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0.7%</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Brimbank</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38.0%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Buloke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82.4%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63.6%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70.1%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48.5%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64.3%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53.1%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19.1%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89.3%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95.2%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91.4%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43.8%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83.3%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60.9%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64.7%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84.6%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83.5%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57.1%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68.6%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69.8%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63.1%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Gannawarra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95.8%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98.2%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Glen Eira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81.1%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89.3%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84.2%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36.8%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43.5%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383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67.6%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57.8%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8.6%</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582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36.4%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358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64.5%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45.5%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66.7%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95.8%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94.3%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45.5%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73.0%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78.4%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30.9%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58.6%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66.7%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58.1%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55.3%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80.1%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82.2%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567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78.5%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40.6%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49.1%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32.3%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57.7%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39.8%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22.2%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78.2%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64.3%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72.2%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63.5%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77.3%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63.8%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74.2%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77.8%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72.7%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2.7%</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32.1%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55.6%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72.7%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54.9%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23.1%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58.0%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76.2%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62.5%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68.1%</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38.3%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81.0%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87.8%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95.0%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Queenscliffe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5.6%</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68.6%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90.6%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94.4%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84.6%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89.0%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lastRenderedPageBreak/>
              <w:t>Stonnington</w:t>
            </w:r>
          </w:p>
        </w:tc>
        <w:tc>
          <w:tcPr>
            <w:tcW w:w="1021" w:type="dxa"/>
            <w:shd w:val="clear" w:color="auto" w:fill="DEE4EE"/>
            <w:noWrap/>
            <w:vAlign w:val="center"/>
          </w:tcPr>
          <w:p w:rsidR="0075795B" w:rsidRPr="0075795B" w:rsidRDefault="0075795B" w:rsidP="0075795B">
            <w:pPr>
              <w:jc w:val="right"/>
              <w:rPr>
                <w:rFonts w:cs="Arial"/>
                <w:sz w:val="20"/>
                <w:szCs w:val="20"/>
                <w:lang w:eastAsia="en-AU"/>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76.5%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61.9%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63.0%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5.4%</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69.2%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78.8%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78.9%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76.5%</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95.0%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75.0%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86.2%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22.2%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76.5%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70.6%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68.8%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48.5%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43.4%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42.3%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43.8%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63.4%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75.5%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78.8%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69.2%</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2.7%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6.7%</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139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46.3%</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185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15.8%</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64.9%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53.3%</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57.4%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55.3%</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27.4%</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379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44.4%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31.9%</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0.5%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3.0%</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0.7%</w:t>
            </w:r>
          </w:p>
        </w:tc>
      </w:tr>
      <w:tr w:rsidR="0075795B" w:rsidRPr="006A34E2" w:rsidTr="0075795B">
        <w:trPr>
          <w:trHeight w:val="225"/>
        </w:trPr>
        <w:tc>
          <w:tcPr>
            <w:tcW w:w="2552" w:type="dxa"/>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4.6%</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5.9%</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1021" w:type="dxa"/>
            <w:noWrap/>
            <w:vAlign w:val="center"/>
          </w:tcPr>
          <w:p w:rsidR="0075795B" w:rsidRPr="0075795B" w:rsidRDefault="0075795B" w:rsidP="0075795B">
            <w:pPr>
              <w:jc w:val="right"/>
              <w:rPr>
                <w:rFonts w:cs="Arial"/>
                <w:sz w:val="20"/>
                <w:szCs w:val="20"/>
              </w:rPr>
            </w:pPr>
            <w:r w:rsidRPr="0075795B">
              <w:rPr>
                <w:rFonts w:cs="Arial"/>
                <w:sz w:val="20"/>
                <w:szCs w:val="20"/>
              </w:rPr>
              <w:t>15.7%</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w:t>
            </w:r>
          </w:p>
        </w:tc>
        <w:tc>
          <w:tcPr>
            <w:tcW w:w="102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7.2%</w:t>
            </w:r>
          </w:p>
        </w:tc>
      </w:tr>
      <w:tr w:rsidR="0075795B" w:rsidRPr="006A34E2" w:rsidTr="0075795B">
        <w:trPr>
          <w:trHeight w:val="225"/>
        </w:trPr>
        <w:tc>
          <w:tcPr>
            <w:tcW w:w="2552" w:type="dxa"/>
            <w:tcBorders>
              <w:bottom w:val="single" w:sz="12" w:space="0" w:color="9DAECB"/>
            </w:tcBorders>
            <w:noWrap/>
            <w:vAlign w:val="center"/>
          </w:tcPr>
          <w:p w:rsidR="0075795B" w:rsidRPr="006A34E2" w:rsidRDefault="0075795B" w:rsidP="0075795B">
            <w:pPr>
              <w:spacing w:before="20" w:after="20"/>
              <w:rPr>
                <w:rFonts w:cs="Arial"/>
                <w:sz w:val="20"/>
                <w:szCs w:val="20"/>
                <w:lang w:eastAsia="en-AU"/>
              </w:rPr>
            </w:pPr>
            <w:r w:rsidRPr="006A34E2">
              <w:rPr>
                <w:rFonts w:cs="Arial"/>
                <w:sz w:val="20"/>
                <w:szCs w:val="20"/>
                <w:lang w:eastAsia="en-AU"/>
              </w:rPr>
              <w:t>Yarriambiack</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tcBorders>
              <w:bottom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7</w:t>
            </w:r>
          </w:p>
        </w:tc>
        <w:tc>
          <w:tcPr>
            <w:tcW w:w="1021" w:type="dxa"/>
            <w:tcBorders>
              <w:bottom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19</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tcBorders>
              <w:bottom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5</w:t>
            </w:r>
          </w:p>
        </w:tc>
        <w:tc>
          <w:tcPr>
            <w:tcW w:w="1021" w:type="dxa"/>
            <w:tcBorders>
              <w:bottom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100.0%</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w:t>
            </w:r>
          </w:p>
        </w:tc>
        <w:tc>
          <w:tcPr>
            <w:tcW w:w="1021" w:type="dxa"/>
            <w:tcBorders>
              <w:bottom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100.0%</w:t>
            </w:r>
          </w:p>
        </w:tc>
      </w:tr>
      <w:tr w:rsidR="0075795B" w:rsidRPr="00772528" w:rsidTr="0075795B">
        <w:trPr>
          <w:trHeight w:val="567"/>
        </w:trPr>
        <w:tc>
          <w:tcPr>
            <w:tcW w:w="2552" w:type="dxa"/>
            <w:tcBorders>
              <w:top w:val="single" w:sz="12" w:space="0" w:color="9DAECB"/>
              <w:bottom w:val="single" w:sz="18" w:space="0" w:color="9DAECB"/>
            </w:tcBorders>
            <w:noWrap/>
            <w:vAlign w:val="center"/>
          </w:tcPr>
          <w:p w:rsidR="0075795B" w:rsidRPr="00772528" w:rsidRDefault="0075795B" w:rsidP="0075795B">
            <w:pPr>
              <w:spacing w:before="60" w:after="60"/>
              <w:jc w:val="right"/>
              <w:rPr>
                <w:rFonts w:cs="Arial"/>
                <w:b/>
                <w:i/>
                <w:sz w:val="20"/>
                <w:szCs w:val="20"/>
                <w:lang w:eastAsia="en-AU"/>
              </w:rPr>
            </w:pPr>
            <w:r w:rsidRPr="00772528">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178</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1.4%</w:t>
            </w:r>
          </w:p>
        </w:tc>
        <w:tc>
          <w:tcPr>
            <w:tcW w:w="1021" w:type="dxa"/>
            <w:tcBorders>
              <w:top w:val="single" w:sz="12" w:space="0" w:color="9DAECB"/>
              <w:bottom w:val="single" w:sz="18" w:space="0" w:color="9DAECB"/>
            </w:tcBorders>
            <w:noWrap/>
            <w:vAlign w:val="center"/>
          </w:tcPr>
          <w:p w:rsidR="0075795B" w:rsidRPr="0075795B" w:rsidRDefault="0075795B" w:rsidP="0075795B">
            <w:pPr>
              <w:jc w:val="right"/>
              <w:rPr>
                <w:rFonts w:cs="Arial"/>
                <w:b/>
                <w:i/>
                <w:sz w:val="20"/>
                <w:szCs w:val="20"/>
              </w:rPr>
            </w:pPr>
            <w:r w:rsidRPr="0075795B">
              <w:rPr>
                <w:rFonts w:cs="Arial"/>
                <w:b/>
                <w:i/>
                <w:sz w:val="20"/>
                <w:szCs w:val="20"/>
              </w:rPr>
              <w:t>2,033</w:t>
            </w:r>
          </w:p>
        </w:tc>
        <w:tc>
          <w:tcPr>
            <w:tcW w:w="1021" w:type="dxa"/>
            <w:tcBorders>
              <w:top w:val="single" w:sz="12" w:space="0" w:color="9DAECB"/>
              <w:bottom w:val="single" w:sz="18" w:space="0" w:color="9DAECB"/>
            </w:tcBorders>
            <w:noWrap/>
            <w:vAlign w:val="center"/>
          </w:tcPr>
          <w:p w:rsidR="0075795B" w:rsidRPr="0075795B" w:rsidRDefault="0075795B" w:rsidP="0075795B">
            <w:pPr>
              <w:jc w:val="right"/>
              <w:rPr>
                <w:rFonts w:cs="Arial"/>
                <w:b/>
                <w:i/>
                <w:sz w:val="20"/>
                <w:szCs w:val="20"/>
              </w:rPr>
            </w:pPr>
            <w:r w:rsidRPr="0075795B">
              <w:rPr>
                <w:rFonts w:cs="Arial"/>
                <w:b/>
                <w:i/>
                <w:sz w:val="20"/>
                <w:szCs w:val="20"/>
              </w:rPr>
              <w:t>9.0%</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4,821</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22.5%</w:t>
            </w:r>
          </w:p>
        </w:tc>
        <w:tc>
          <w:tcPr>
            <w:tcW w:w="1021" w:type="dxa"/>
            <w:tcBorders>
              <w:top w:val="single" w:sz="12" w:space="0" w:color="9DAECB"/>
              <w:bottom w:val="single" w:sz="18" w:space="0" w:color="9DAECB"/>
            </w:tcBorders>
            <w:noWrap/>
            <w:vAlign w:val="center"/>
          </w:tcPr>
          <w:p w:rsidR="0075795B" w:rsidRPr="0075795B" w:rsidRDefault="0075795B" w:rsidP="0075795B">
            <w:pPr>
              <w:jc w:val="right"/>
              <w:rPr>
                <w:rFonts w:cs="Arial"/>
                <w:b/>
                <w:i/>
                <w:sz w:val="20"/>
                <w:szCs w:val="20"/>
              </w:rPr>
            </w:pPr>
            <w:r w:rsidRPr="0075795B">
              <w:rPr>
                <w:rFonts w:cs="Arial"/>
                <w:b/>
                <w:i/>
                <w:sz w:val="20"/>
                <w:szCs w:val="20"/>
              </w:rPr>
              <w:t>2,696</w:t>
            </w:r>
          </w:p>
        </w:tc>
        <w:tc>
          <w:tcPr>
            <w:tcW w:w="1021" w:type="dxa"/>
            <w:tcBorders>
              <w:top w:val="single" w:sz="12" w:space="0" w:color="9DAECB"/>
              <w:bottom w:val="single" w:sz="18" w:space="0" w:color="9DAECB"/>
            </w:tcBorders>
            <w:noWrap/>
            <w:vAlign w:val="center"/>
          </w:tcPr>
          <w:p w:rsidR="0075795B" w:rsidRPr="0075795B" w:rsidRDefault="0075795B" w:rsidP="0075795B">
            <w:pPr>
              <w:jc w:val="right"/>
              <w:rPr>
                <w:rFonts w:cs="Arial"/>
                <w:b/>
                <w:i/>
                <w:sz w:val="20"/>
                <w:szCs w:val="20"/>
              </w:rPr>
            </w:pPr>
            <w:r w:rsidRPr="0075795B">
              <w:rPr>
                <w:rFonts w:cs="Arial"/>
                <w:b/>
                <w:i/>
                <w:sz w:val="20"/>
                <w:szCs w:val="20"/>
              </w:rPr>
              <w:t>30.4%</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9,728</w:t>
            </w:r>
          </w:p>
        </w:tc>
        <w:tc>
          <w:tcPr>
            <w:tcW w:w="1021" w:type="dxa"/>
            <w:tcBorders>
              <w:top w:val="single" w:sz="12" w:space="0" w:color="9DAECB"/>
              <w:bottom w:val="single" w:sz="18" w:space="0" w:color="9DAECB"/>
            </w:tcBorders>
            <w:shd w:val="clear" w:color="auto" w:fill="DEE4EE"/>
            <w:noWrap/>
            <w:vAlign w:val="center"/>
          </w:tcPr>
          <w:p w:rsidR="0075795B" w:rsidRPr="0075795B" w:rsidRDefault="0075795B" w:rsidP="0075795B">
            <w:pPr>
              <w:jc w:val="right"/>
              <w:rPr>
                <w:rFonts w:cs="Arial"/>
                <w:b/>
                <w:i/>
                <w:sz w:val="20"/>
                <w:szCs w:val="20"/>
              </w:rPr>
            </w:pPr>
            <w:r w:rsidRPr="0075795B">
              <w:rPr>
                <w:rFonts w:cs="Arial"/>
                <w:b/>
                <w:i/>
                <w:sz w:val="20"/>
                <w:szCs w:val="20"/>
              </w:rPr>
              <w:t>14.8%</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00E872FE">
        <w:rPr>
          <w:rFonts w:cs="Arial"/>
          <w:b/>
          <w:sz w:val="20"/>
          <w:szCs w:val="20"/>
        </w:rPr>
        <w:t xml:space="preserve">: </w:t>
      </w:r>
      <w:r w:rsidRPr="000375B1">
        <w:rPr>
          <w:rFonts w:cs="Arial"/>
          <w:b/>
          <w:sz w:val="20"/>
          <w:szCs w:val="20"/>
        </w:rPr>
        <w:t>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75795B" w:rsidP="00580EEA">
            <w:pPr>
              <w:jc w:val="right"/>
              <w:rPr>
                <w:rFonts w:cs="Arial"/>
                <w:b/>
                <w:color w:val="000000"/>
                <w:sz w:val="20"/>
                <w:szCs w:val="20"/>
                <w:lang w:eastAsia="en-AU"/>
              </w:rPr>
            </w:pPr>
            <w:r>
              <w:rPr>
                <w:rFonts w:cs="Arial"/>
                <w:b/>
                <w:color w:val="000000"/>
                <w:sz w:val="20"/>
                <w:szCs w:val="20"/>
                <w:lang w:eastAsia="en-AU"/>
              </w:rPr>
              <w:t>June</w:t>
            </w:r>
            <w:r w:rsidR="004F7E08">
              <w:rPr>
                <w:rFonts w:cs="Arial"/>
                <w:b/>
                <w:color w:val="000000"/>
                <w:sz w:val="20"/>
                <w:szCs w:val="20"/>
                <w:lang w:eastAsia="en-AU"/>
              </w:rPr>
              <w:t xml:space="preserve"> </w:t>
            </w:r>
            <w:r w:rsidR="008A031C">
              <w:rPr>
                <w:rFonts w:cs="Arial"/>
                <w:b/>
                <w:color w:val="000000"/>
                <w:sz w:val="20"/>
                <w:szCs w:val="20"/>
                <w:lang w:eastAsia="en-AU"/>
              </w:rPr>
              <w:t>201</w:t>
            </w:r>
            <w:r w:rsidR="006F1853">
              <w:rPr>
                <w:rFonts w:cs="Arial"/>
                <w:b/>
                <w:color w:val="000000"/>
                <w:sz w:val="20"/>
                <w:szCs w:val="20"/>
                <w:lang w:eastAsia="en-AU"/>
              </w:rPr>
              <w:t>7</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75795B" w:rsidP="003D65FF">
            <w:pPr>
              <w:jc w:val="right"/>
              <w:rPr>
                <w:rFonts w:cs="Arial"/>
                <w:b/>
                <w:color w:val="000000"/>
                <w:sz w:val="20"/>
                <w:szCs w:val="20"/>
                <w:lang w:eastAsia="en-AU"/>
              </w:rPr>
            </w:pPr>
            <w:r>
              <w:rPr>
                <w:rFonts w:cs="Arial"/>
                <w:b/>
                <w:color w:val="000000"/>
                <w:sz w:val="20"/>
                <w:szCs w:val="20"/>
                <w:lang w:eastAsia="en-AU"/>
              </w:rPr>
              <w:t>June</w:t>
            </w:r>
            <w:r w:rsidR="006F1853">
              <w:rPr>
                <w:rFonts w:cs="Arial"/>
                <w:b/>
                <w:color w:val="000000"/>
                <w:sz w:val="20"/>
                <w:szCs w:val="20"/>
                <w:lang w:eastAsia="en-AU"/>
              </w:rPr>
              <w:t xml:space="preserve"> 2017</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75795B" w:rsidRPr="005C0ADF" w:rsidTr="0075795B">
        <w:trPr>
          <w:trHeight w:hRule="exact" w:val="335"/>
        </w:trPr>
        <w:tc>
          <w:tcPr>
            <w:tcW w:w="1985" w:type="dxa"/>
            <w:tcBorders>
              <w:top w:val="single" w:sz="12" w:space="0" w:color="9DAECB"/>
            </w:tcBorders>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center"/>
          </w:tcPr>
          <w:p w:rsidR="0075795B" w:rsidRPr="0075795B" w:rsidRDefault="0075795B" w:rsidP="0075795B">
            <w:pPr>
              <w:jc w:val="right"/>
              <w:rPr>
                <w:rFonts w:cs="Arial"/>
                <w:sz w:val="20"/>
                <w:szCs w:val="20"/>
              </w:rPr>
            </w:pPr>
            <w:r w:rsidRPr="0075795B">
              <w:rPr>
                <w:rFonts w:cs="Arial"/>
                <w:sz w:val="20"/>
                <w:szCs w:val="20"/>
              </w:rPr>
              <w:t>787</w:t>
            </w:r>
          </w:p>
        </w:tc>
        <w:tc>
          <w:tcPr>
            <w:tcW w:w="851"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-3.8%</w:t>
            </w:r>
          </w:p>
        </w:tc>
        <w:tc>
          <w:tcPr>
            <w:tcW w:w="964" w:type="dxa"/>
            <w:tcBorders>
              <w:top w:val="single" w:sz="12" w:space="0" w:color="9DAECB"/>
            </w:tcBorders>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6.9%</w:t>
            </w:r>
          </w:p>
        </w:tc>
        <w:tc>
          <w:tcPr>
            <w:tcW w:w="284" w:type="dxa"/>
            <w:tcBorders>
              <w:top w:val="single" w:sz="12" w:space="0" w:color="9DAECB"/>
            </w:tcBorders>
          </w:tcPr>
          <w:p w:rsidR="0075795B" w:rsidRPr="005C0ADF" w:rsidRDefault="0075795B" w:rsidP="0075795B">
            <w:pPr>
              <w:rPr>
                <w:rFonts w:cs="Arial"/>
                <w:color w:val="000000"/>
                <w:sz w:val="20"/>
                <w:szCs w:val="20"/>
                <w:lang w:eastAsia="en-AU"/>
              </w:rPr>
            </w:pPr>
          </w:p>
        </w:tc>
        <w:tc>
          <w:tcPr>
            <w:tcW w:w="2155" w:type="dxa"/>
            <w:tcBorders>
              <w:top w:val="single" w:sz="12" w:space="0" w:color="9DAECB"/>
            </w:tcBorders>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center"/>
          </w:tcPr>
          <w:p w:rsidR="0075795B" w:rsidRPr="0075795B" w:rsidRDefault="0075795B" w:rsidP="0075795B">
            <w:pPr>
              <w:jc w:val="right"/>
              <w:rPr>
                <w:rFonts w:cs="Arial"/>
                <w:sz w:val="20"/>
                <w:szCs w:val="20"/>
                <w:lang w:eastAsia="en-AU"/>
              </w:rPr>
            </w:pPr>
            <w:r w:rsidRPr="0075795B">
              <w:rPr>
                <w:rFonts w:cs="Arial"/>
                <w:sz w:val="20"/>
                <w:szCs w:val="20"/>
              </w:rPr>
              <w:t>397</w:t>
            </w:r>
          </w:p>
        </w:tc>
        <w:tc>
          <w:tcPr>
            <w:tcW w:w="964" w:type="dxa"/>
            <w:tcBorders>
              <w:top w:val="single" w:sz="12" w:space="0" w:color="9DAECB"/>
            </w:tcBorders>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3.7%</w:t>
            </w:r>
          </w:p>
        </w:tc>
        <w:tc>
          <w:tcPr>
            <w:tcW w:w="964" w:type="dxa"/>
            <w:tcBorders>
              <w:top w:val="single" w:sz="12" w:space="0" w:color="9DAECB"/>
            </w:tcBorders>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19.9%</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690</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12.7%</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Maribyrnong</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12,388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34.9%</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10,810</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Maroondah</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8,818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25.9%</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11,502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6.0%</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25.7%</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Melbourne</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46,952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7.4%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58.8%</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2,917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0.4%</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6.8%</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Melton</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11,005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7.1%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47.0%</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Baw Baw</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3,005</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4.4%</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31.5%</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Mildura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4,828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10.0%</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7,787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25.5%</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Mitchell</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2,480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39.2%</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1,032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Moira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1,891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12.7%</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Boroondara</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19,852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3.1%</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21.8%</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Monash</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16,388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21.8%</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Brimbank</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14,943</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24.0%</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11,953</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2.7%</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24.5%</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Buloke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170</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8.3%</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20.6%</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Moorabool</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1,564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28.3%</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2,195</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Moreland</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22,941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32.0%</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6,852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4.6%</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40.7%</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10,891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14.6%</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Casey</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18,218</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8.6%</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43.0%</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906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7.3%</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787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-0.3%</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Moyne</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635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10.4%</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1,302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2.5%</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15.9%</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Murrindindi</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631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12.5%</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689</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8.7%</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Nillumbik</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3,071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48.2%</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18,441</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3.5%</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23.3%</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679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2.3%</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4.8%</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2,946</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17.2%</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Port Phillip</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21,289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10.4%</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13,177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17.0%</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Pyrenees</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199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14.4%</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Gannawarra</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492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Queenscliffe</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114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6.5%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-1.7%</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Glen Eira</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20,666</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4.7%</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22.2%</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1,374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16.8%</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1,187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12.6%</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947</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14.2%</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399</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26.3%</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Stonnington</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22,330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26.5%</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10,040</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1.5%</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Strathbogie</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515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10.8%</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15,305</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3.9%</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24.8%</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Surf Coast</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2,134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20.4%</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21,457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28.6%</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Swan Hill</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1,311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-0.2%</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5,197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1.1%</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13.1%</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Towong</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259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5.7%</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773</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-0.9%</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10.1%</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Wangaratta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1,957</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0.3%</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19.0%</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277</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6.5%</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Warrnambool</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3,237</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-0.2%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12.7%</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7,971</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16.1%</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Wellington</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2,755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-1.3%</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14.6%</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1,573</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5.9%</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West Wimmera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78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2.6%</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5.4%</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Hume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12,930</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7.9%</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55.6%</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Whitehorse</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15,532</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6.3%</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29.6%</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738</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-0.8%</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4.5%</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Whittlesea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12,298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7.1%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52.9%</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13,509</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2.6%</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20.4%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Wodonga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4,024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19.6%</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Knox</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9,809</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6.4%</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29.7%</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Wyndham</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19,279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8.9%</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42.1%</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6,151</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13.0%</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Yarra</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17,107</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37.3%</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192</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2.7%</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16.4%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Yarra Ranges</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6,575</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13.1%</w:t>
            </w:r>
          </w:p>
        </w:tc>
      </w:tr>
      <w:tr w:rsidR="0075795B" w:rsidRPr="005C0ADF"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1,905</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1.2%</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18.4%</w:t>
            </w:r>
          </w:p>
        </w:tc>
        <w:tc>
          <w:tcPr>
            <w:tcW w:w="284" w:type="dxa"/>
          </w:tcPr>
          <w:p w:rsidR="0075795B" w:rsidRPr="005C0ADF" w:rsidRDefault="0075795B" w:rsidP="0075795B">
            <w:pPr>
              <w:rPr>
                <w:rFonts w:cs="Arial"/>
                <w:color w:val="000000"/>
                <w:sz w:val="20"/>
                <w:szCs w:val="20"/>
                <w:lang w:eastAsia="en-AU"/>
              </w:rPr>
            </w:pPr>
          </w:p>
        </w:tc>
        <w:tc>
          <w:tcPr>
            <w:tcW w:w="2155" w:type="dxa"/>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Yarriambiack</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248</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2.1%</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5.5%</w:t>
            </w:r>
          </w:p>
        </w:tc>
      </w:tr>
      <w:tr w:rsidR="0075795B" w:rsidRPr="00402E8B" w:rsidTr="0075795B">
        <w:trPr>
          <w:trHeight w:hRule="exact" w:val="335"/>
        </w:trPr>
        <w:tc>
          <w:tcPr>
            <w:tcW w:w="1985" w:type="dxa"/>
            <w:noWrap/>
            <w:vAlign w:val="center"/>
          </w:tcPr>
          <w:p w:rsidR="0075795B" w:rsidRPr="005C0ADF" w:rsidRDefault="0075795B" w:rsidP="0075795B">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center"/>
          </w:tcPr>
          <w:p w:rsidR="0075795B" w:rsidRPr="0075795B" w:rsidRDefault="0075795B" w:rsidP="0075795B">
            <w:pPr>
              <w:jc w:val="right"/>
              <w:rPr>
                <w:rFonts w:cs="Arial"/>
                <w:sz w:val="20"/>
                <w:szCs w:val="20"/>
              </w:rPr>
            </w:pPr>
            <w:r w:rsidRPr="0075795B">
              <w:rPr>
                <w:rFonts w:cs="Arial"/>
                <w:sz w:val="20"/>
                <w:szCs w:val="20"/>
              </w:rPr>
              <w:t>7,551</w:t>
            </w:r>
          </w:p>
        </w:tc>
        <w:tc>
          <w:tcPr>
            <w:tcW w:w="851"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9.8%</w:t>
            </w:r>
          </w:p>
        </w:tc>
        <w:tc>
          <w:tcPr>
            <w:tcW w:w="964" w:type="dxa"/>
            <w:shd w:val="clear" w:color="auto" w:fill="DEE4EE"/>
            <w:noWrap/>
            <w:vAlign w:val="center"/>
          </w:tcPr>
          <w:p w:rsidR="0075795B" w:rsidRPr="0075795B" w:rsidRDefault="0075795B" w:rsidP="0075795B">
            <w:pPr>
              <w:jc w:val="right"/>
              <w:rPr>
                <w:rFonts w:cs="Arial"/>
                <w:sz w:val="20"/>
                <w:szCs w:val="20"/>
              </w:rPr>
            </w:pPr>
            <w:r w:rsidRPr="0075795B">
              <w:rPr>
                <w:rFonts w:cs="Arial"/>
                <w:sz w:val="20"/>
                <w:szCs w:val="20"/>
              </w:rPr>
              <w:t>33.8%</w:t>
            </w:r>
          </w:p>
        </w:tc>
        <w:tc>
          <w:tcPr>
            <w:tcW w:w="284" w:type="dxa"/>
          </w:tcPr>
          <w:p w:rsidR="0075795B" w:rsidRPr="005C0ADF" w:rsidRDefault="0075795B" w:rsidP="0075795B">
            <w:pPr>
              <w:rPr>
                <w:rFonts w:cs="Arial"/>
                <w:b/>
                <w:color w:val="000000"/>
                <w:sz w:val="20"/>
                <w:szCs w:val="20"/>
                <w:lang w:eastAsia="en-AU"/>
              </w:rPr>
            </w:pPr>
          </w:p>
        </w:tc>
        <w:tc>
          <w:tcPr>
            <w:tcW w:w="2155" w:type="dxa"/>
            <w:vAlign w:val="center"/>
          </w:tcPr>
          <w:p w:rsidR="0075795B" w:rsidRPr="00772528" w:rsidRDefault="0075795B" w:rsidP="0075795B">
            <w:pPr>
              <w:jc w:val="right"/>
              <w:rPr>
                <w:rFonts w:cs="Arial"/>
                <w:b/>
                <w:i/>
                <w:color w:val="000000"/>
                <w:sz w:val="20"/>
                <w:szCs w:val="20"/>
                <w:lang w:eastAsia="en-AU"/>
              </w:rPr>
            </w:pPr>
            <w:r w:rsidRPr="00772528">
              <w:rPr>
                <w:rFonts w:cs="Arial"/>
                <w:b/>
                <w:i/>
                <w:color w:val="000000"/>
                <w:sz w:val="20"/>
                <w:szCs w:val="20"/>
                <w:lang w:eastAsia="en-AU"/>
              </w:rPr>
              <w:t>Total</w:t>
            </w:r>
          </w:p>
        </w:tc>
        <w:tc>
          <w:tcPr>
            <w:tcW w:w="1021" w:type="dxa"/>
            <w:vAlign w:val="center"/>
          </w:tcPr>
          <w:p w:rsidR="0075795B" w:rsidRPr="0075795B" w:rsidRDefault="0075795B" w:rsidP="0075795B">
            <w:pPr>
              <w:jc w:val="right"/>
              <w:rPr>
                <w:rFonts w:cs="Arial"/>
                <w:sz w:val="20"/>
                <w:szCs w:val="20"/>
              </w:rPr>
            </w:pPr>
            <w:r w:rsidRPr="0075795B">
              <w:rPr>
                <w:rFonts w:cs="Arial"/>
                <w:sz w:val="20"/>
                <w:szCs w:val="20"/>
              </w:rPr>
              <w:t>568,204</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4.0%</w:t>
            </w:r>
          </w:p>
        </w:tc>
        <w:tc>
          <w:tcPr>
            <w:tcW w:w="964" w:type="dxa"/>
            <w:shd w:val="clear" w:color="auto" w:fill="DEE4EE"/>
            <w:vAlign w:val="center"/>
          </w:tcPr>
          <w:p w:rsidR="0075795B" w:rsidRPr="0075795B" w:rsidRDefault="0075795B" w:rsidP="0075795B">
            <w:pPr>
              <w:jc w:val="right"/>
              <w:rPr>
                <w:rFonts w:cs="Arial"/>
                <w:sz w:val="20"/>
                <w:szCs w:val="20"/>
              </w:rPr>
            </w:pPr>
            <w:r w:rsidRPr="0075795B">
              <w:rPr>
                <w:rFonts w:cs="Arial"/>
                <w:sz w:val="20"/>
                <w:szCs w:val="20"/>
              </w:rPr>
              <w:t>28.1%</w:t>
            </w:r>
          </w:p>
        </w:tc>
      </w:tr>
    </w:tbl>
    <w:p w:rsidR="0047763C" w:rsidRPr="00180B5B" w:rsidRDefault="0047763C" w:rsidP="005A1E70">
      <w:pPr>
        <w:pStyle w:val="DHSHeadingA"/>
      </w:pPr>
      <w:r w:rsidRPr="005A1E70">
        <w:br w:type="page"/>
      </w:r>
      <w:r w:rsidRPr="00180B5B">
        <w:lastRenderedPageBreak/>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The rent figures included in the Rental Report are weekly median rents. Median rents represent the mid point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w:t>
      </w:r>
      <w:r w:rsidR="00414A07">
        <w:rPr>
          <w:rFonts w:cs="Arial"/>
          <w:sz w:val="20"/>
          <w:szCs w:val="20"/>
        </w:rPr>
        <w:t>er cent of gross income for low-</w:t>
      </w:r>
      <w:r w:rsidRPr="00706644">
        <w:rPr>
          <w:rFonts w:cs="Arial"/>
          <w:sz w:val="20"/>
          <w:szCs w:val="20"/>
        </w:rPr>
        <w:t>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bedroom properties, we have taken the income of singles on Newstart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Newstart </w:t>
      </w:r>
      <w:r w:rsidR="00085411">
        <w:rPr>
          <w:rFonts w:cs="Arial"/>
          <w:sz w:val="20"/>
          <w:szCs w:val="20"/>
        </w:rPr>
        <w:t>with two children; and for four-</w:t>
      </w:r>
      <w:r w:rsidRPr="00706644">
        <w:rPr>
          <w:rFonts w:cs="Arial"/>
          <w:sz w:val="20"/>
          <w:szCs w:val="20"/>
        </w:rPr>
        <w:t>bedroom properties, we have taken a couple on Newstart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w:t>
      </w:r>
      <w:r w:rsidR="00106D5A">
        <w:rPr>
          <w:rFonts w:cs="Arial"/>
          <w:sz w:val="20"/>
          <w:szCs w:val="20"/>
        </w:rPr>
        <w:t xml:space="preserve">Health and </w:t>
      </w:r>
      <w:r w:rsidRPr="00706644">
        <w:rPr>
          <w:rFonts w:cs="Arial"/>
          <w:sz w:val="20"/>
          <w:szCs w:val="20"/>
        </w:rPr>
        <w:t>Human Services website</w:t>
      </w:r>
      <w:r w:rsidR="005864DE">
        <w:rPr>
          <w:rFonts w:cs="Arial"/>
          <w:sz w:val="20"/>
          <w:szCs w:val="20"/>
        </w:rPr>
        <w:t>:</w:t>
      </w:r>
      <w:r w:rsidRPr="00706644">
        <w:rPr>
          <w:rFonts w:cs="Arial"/>
          <w:sz w:val="20"/>
          <w:szCs w:val="20"/>
        </w:rPr>
        <w:t xml:space="preserve"> </w:t>
      </w:r>
      <w:hyperlink r:id="rId24" w:history="1">
        <w:r w:rsidR="003F4B94" w:rsidRPr="00A7207A">
          <w:rPr>
            <w:rStyle w:val="Hyperlink"/>
            <w:sz w:val="20"/>
            <w:szCs w:val="20"/>
          </w:rPr>
          <w:t>www.dhs.vic.gov.au/about-the-department/documents-and-resources/research,-data-and-statistics/current-rental-report</w:t>
        </w:r>
      </w:hyperlink>
    </w:p>
    <w:p w:rsidR="0047763C" w:rsidRDefault="0047763C"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EB10F0">
        <w:rPr>
          <w:rFonts w:cs="Arial"/>
        </w:rPr>
        <w:br/>
      </w:r>
      <w:r w:rsidR="0075795B">
        <w:rPr>
          <w:rFonts w:cs="Arial"/>
        </w:rPr>
        <w:t>June</w:t>
      </w:r>
      <w:r w:rsidR="006F1853">
        <w:rPr>
          <w:rFonts w:cs="Arial"/>
        </w:rPr>
        <w:t xml:space="preserve"> 2017</w:t>
      </w:r>
    </w:p>
    <w:p w:rsidR="0047763C" w:rsidRPr="00706644" w:rsidRDefault="0047763C" w:rsidP="00F324DD">
      <w:pPr>
        <w:pStyle w:val="DHSbody"/>
        <w:rPr>
          <w:rFonts w:cs="Arial"/>
        </w:rPr>
      </w:pPr>
      <w:r w:rsidRPr="00706644">
        <w:rPr>
          <w:rFonts w:cs="Arial"/>
        </w:rPr>
        <w:t xml:space="preserve">© </w:t>
      </w:r>
      <w:r w:rsidR="00210678">
        <w:rPr>
          <w:rFonts w:cs="Arial"/>
        </w:rPr>
        <w:t xml:space="preserve">Copyright State of Victoria </w:t>
      </w:r>
      <w:r w:rsidR="006F1853">
        <w:rPr>
          <w:rFonts w:cs="Arial"/>
        </w:rPr>
        <w:t>2017</w:t>
      </w:r>
    </w:p>
    <w:p w:rsidR="0047763C" w:rsidRDefault="0047763C" w:rsidP="008D0D3D">
      <w:pPr>
        <w:pStyle w:val="DHSbody"/>
        <w:spacing w:after="0"/>
        <w:rPr>
          <w:rFonts w:cs="Arial"/>
        </w:rPr>
      </w:pPr>
      <w:r w:rsidRPr="00706644">
        <w:rPr>
          <w:rFonts w:cs="Arial"/>
        </w:rPr>
        <w:t xml:space="preserve">This publication is </w:t>
      </w:r>
      <w:r w:rsidR="005864DE" w:rsidRPr="00706644">
        <w:rPr>
          <w:rFonts w:cs="Arial"/>
        </w:rPr>
        <w:t>copyright;</w:t>
      </w:r>
      <w:r w:rsidRPr="00706644">
        <w:rPr>
          <w:rFonts w:cs="Arial"/>
        </w:rPr>
        <w:t xml:space="preserve">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r w:rsidRPr="00706644">
        <w:rPr>
          <w:rFonts w:cs="Arial"/>
        </w:rPr>
        <w:t xml:space="preserve">This document may also be downloaded from: </w:t>
      </w:r>
      <w:r w:rsidRPr="00706644">
        <w:rPr>
          <w:rFonts w:cs="Arial"/>
          <w:b/>
        </w:rPr>
        <w:t>www.dhs.vic.gov.au</w:t>
      </w:r>
    </w:p>
    <w:p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rsid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r w:rsidRPr="00EB10F0">
        <w:rPr>
          <w:rFonts w:cs="Arial"/>
        </w:rPr>
        <w:t xml:space="preserve">Email </w:t>
      </w:r>
      <w:hyperlink r:id="rId25" w:history="1">
        <w:r w:rsidR="00F70E86" w:rsidRPr="003A14B4">
          <w:rPr>
            <w:rStyle w:val="Hyperlink"/>
            <w:rFonts w:cs="Arial"/>
          </w:rPr>
          <w:t>chsre@dhhs.vic.gov.au</w:t>
        </w:r>
      </w:hyperlink>
      <w:r w:rsidR="00F70E86">
        <w:rPr>
          <w:rFonts w:cs="Arial"/>
        </w:rPr>
        <w:t xml:space="preserve"> </w:t>
      </w:r>
      <w:r w:rsidR="00F020C2">
        <w:rPr>
          <w:rFonts w:cs="Arial"/>
        </w:rPr>
        <w:t xml:space="preserve"> </w:t>
      </w:r>
      <w:r w:rsidRPr="00EB10F0">
        <w:rPr>
          <w:rFonts w:cs="Arial"/>
        </w:rPr>
        <w:t>Telephone enquiries: 03 9096 7045</w:t>
      </w:r>
    </w:p>
    <w:p w:rsidR="0047763C" w:rsidRPr="00706644" w:rsidRDefault="00CA753A"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1BED7CEF">
                <wp:simplePos x="0" y="0"/>
                <wp:positionH relativeFrom="column">
                  <wp:align>center</wp:align>
                </wp:positionH>
                <wp:positionV relativeFrom="paragraph">
                  <wp:posOffset>71755</wp:posOffset>
                </wp:positionV>
                <wp:extent cx="4097020" cy="136080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067947" w:rsidRPr="00A530FF" w:rsidRDefault="00067947"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067947" w:rsidRDefault="00067947" w:rsidP="00F324DD">
                            <w:r w:rsidRPr="00A530FF">
                              <w:t>This document is also available i</w:t>
                            </w:r>
                            <w:r>
                              <w:t>n PDF format on the Internet at</w:t>
                            </w:r>
                            <w:r>
                              <w:rPr>
                                <w:sz w:val="20"/>
                                <w:szCs w:val="20"/>
                              </w:rPr>
                              <w:t xml:space="preserve">: </w:t>
                            </w:r>
                            <w:hyperlink r:id="rId26" w:history="1">
                              <w:r w:rsidRPr="004D1757">
                                <w:rPr>
                                  <w:rStyle w:val="Hyperlink"/>
                                </w:rPr>
                                <w:t>http://www.dhs.vic.gov.au/about-the-department/documents-and-resources/research,-data-and-statistics/current-rental-report</w:t>
                              </w:r>
                            </w:hyperlink>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BED7CEF"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Fv1aAj0CAABzBAAADgAAAAAA&#10;AAAAAAAAAAAuAgAAZHJzL2Uyb0RvYy54bWxQSwECLQAUAAYACAAAACEAoHVeFdwAAAAHAQAADwAA&#10;AAAAAAAAAAAAAACXBAAAZHJzL2Rvd25yZXYueG1sUEsFBgAAAAAEAAQA8wAAAKAFAAAAAA==&#10;" strokecolor="#6687a4">
                <v:textbox>
                  <w:txbxContent>
                    <w:p w:rsidR="00067947" w:rsidRPr="00A530FF" w:rsidRDefault="00067947"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067947" w:rsidRDefault="00067947" w:rsidP="00F324DD">
                      <w:r w:rsidRPr="00A530FF">
                        <w:t>This document is also available i</w:t>
                      </w:r>
                      <w:r>
                        <w:t>n PDF format on the Internet at</w:t>
                      </w:r>
                      <w:r>
                        <w:rPr>
                          <w:sz w:val="20"/>
                          <w:szCs w:val="20"/>
                        </w:rPr>
                        <w:t xml:space="preserve">: </w:t>
                      </w:r>
                      <w:hyperlink r:id="rId27" w:history="1">
                        <w:r w:rsidRPr="004D1757">
                          <w:rPr>
                            <w:rStyle w:val="Hyperlink"/>
                          </w:rPr>
                          <w:t>http://www.dhs.vic.gov.au/about-the-department/documents-and-resources/research,-data-and-statistics/current-rental-report</w:t>
                        </w:r>
                      </w:hyperlink>
                      <w:r>
                        <w:t xml:space="preserve"> </w:t>
                      </w:r>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DB2" w:rsidRDefault="00704DB2" w:rsidP="008F5EF7">
      <w:r>
        <w:separator/>
      </w:r>
    </w:p>
  </w:endnote>
  <w:endnote w:type="continuationSeparator" w:id="0">
    <w:p w:rsidR="00704DB2" w:rsidRDefault="00704DB2"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947" w:rsidRDefault="00067947" w:rsidP="008F5EF7">
    <w:pPr>
      <w:pStyle w:val="Footer"/>
      <w:jc w:val="center"/>
    </w:pPr>
    <w:r>
      <w:fldChar w:fldCharType="begin"/>
    </w:r>
    <w:r>
      <w:instrText xml:space="preserve"> PAGE   \* MERGEFORMAT </w:instrText>
    </w:r>
    <w:r>
      <w:fldChar w:fldCharType="separate"/>
    </w:r>
    <w:r w:rsidR="00ED6C1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DB2" w:rsidRDefault="00704DB2" w:rsidP="008F5EF7">
      <w:r>
        <w:separator/>
      </w:r>
    </w:p>
  </w:footnote>
  <w:footnote w:type="continuationSeparator" w:id="0">
    <w:p w:rsidR="00704DB2" w:rsidRDefault="00704DB2"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51C5"/>
    <w:rsid w:val="000070F3"/>
    <w:rsid w:val="00007A51"/>
    <w:rsid w:val="00007BB2"/>
    <w:rsid w:val="00010CC3"/>
    <w:rsid w:val="00011C6A"/>
    <w:rsid w:val="000124D2"/>
    <w:rsid w:val="000126E4"/>
    <w:rsid w:val="00012B5C"/>
    <w:rsid w:val="0001442B"/>
    <w:rsid w:val="000148DF"/>
    <w:rsid w:val="00014AA9"/>
    <w:rsid w:val="00015784"/>
    <w:rsid w:val="000216DD"/>
    <w:rsid w:val="00021886"/>
    <w:rsid w:val="00021C74"/>
    <w:rsid w:val="00021E36"/>
    <w:rsid w:val="00022176"/>
    <w:rsid w:val="00023AD6"/>
    <w:rsid w:val="00024548"/>
    <w:rsid w:val="00025957"/>
    <w:rsid w:val="00027FDB"/>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7E3"/>
    <w:rsid w:val="00052803"/>
    <w:rsid w:val="00053449"/>
    <w:rsid w:val="0005440F"/>
    <w:rsid w:val="00054C75"/>
    <w:rsid w:val="0005531A"/>
    <w:rsid w:val="000563B4"/>
    <w:rsid w:val="00057C76"/>
    <w:rsid w:val="00057CC0"/>
    <w:rsid w:val="00057D9B"/>
    <w:rsid w:val="00060474"/>
    <w:rsid w:val="000656E7"/>
    <w:rsid w:val="00066EEC"/>
    <w:rsid w:val="00067947"/>
    <w:rsid w:val="000679E0"/>
    <w:rsid w:val="000710E6"/>
    <w:rsid w:val="0007248C"/>
    <w:rsid w:val="0007299D"/>
    <w:rsid w:val="000731AB"/>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3261"/>
    <w:rsid w:val="00083DFF"/>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6819"/>
    <w:rsid w:val="000A11FD"/>
    <w:rsid w:val="000A13FD"/>
    <w:rsid w:val="000A2A61"/>
    <w:rsid w:val="000A2FC7"/>
    <w:rsid w:val="000A44C4"/>
    <w:rsid w:val="000A4BA0"/>
    <w:rsid w:val="000A4CCC"/>
    <w:rsid w:val="000A6A01"/>
    <w:rsid w:val="000A7E5A"/>
    <w:rsid w:val="000B12D1"/>
    <w:rsid w:val="000B193E"/>
    <w:rsid w:val="000B245D"/>
    <w:rsid w:val="000B458D"/>
    <w:rsid w:val="000B6150"/>
    <w:rsid w:val="000B7A56"/>
    <w:rsid w:val="000B7E92"/>
    <w:rsid w:val="000C0529"/>
    <w:rsid w:val="000C3FAB"/>
    <w:rsid w:val="000C5D0C"/>
    <w:rsid w:val="000C7516"/>
    <w:rsid w:val="000C7BBD"/>
    <w:rsid w:val="000D0140"/>
    <w:rsid w:val="000D31C2"/>
    <w:rsid w:val="000D6147"/>
    <w:rsid w:val="000D64F2"/>
    <w:rsid w:val="000D75DF"/>
    <w:rsid w:val="000E2133"/>
    <w:rsid w:val="000E4886"/>
    <w:rsid w:val="000E6C52"/>
    <w:rsid w:val="000E7903"/>
    <w:rsid w:val="000E7CB4"/>
    <w:rsid w:val="000F138E"/>
    <w:rsid w:val="000F29A4"/>
    <w:rsid w:val="000F3B39"/>
    <w:rsid w:val="000F433B"/>
    <w:rsid w:val="000F4527"/>
    <w:rsid w:val="000F4E83"/>
    <w:rsid w:val="000F534E"/>
    <w:rsid w:val="000F6981"/>
    <w:rsid w:val="000F69A9"/>
    <w:rsid w:val="000F7122"/>
    <w:rsid w:val="000F7569"/>
    <w:rsid w:val="001005A0"/>
    <w:rsid w:val="00101354"/>
    <w:rsid w:val="0010143A"/>
    <w:rsid w:val="00101505"/>
    <w:rsid w:val="00102CD1"/>
    <w:rsid w:val="00103429"/>
    <w:rsid w:val="00104217"/>
    <w:rsid w:val="00104702"/>
    <w:rsid w:val="00104CDA"/>
    <w:rsid w:val="00105368"/>
    <w:rsid w:val="00105FCD"/>
    <w:rsid w:val="001069ED"/>
    <w:rsid w:val="00106D5A"/>
    <w:rsid w:val="00111C98"/>
    <w:rsid w:val="00112227"/>
    <w:rsid w:val="001151D3"/>
    <w:rsid w:val="0011555A"/>
    <w:rsid w:val="001158A8"/>
    <w:rsid w:val="0011627E"/>
    <w:rsid w:val="00117367"/>
    <w:rsid w:val="001215C2"/>
    <w:rsid w:val="00121A80"/>
    <w:rsid w:val="00123277"/>
    <w:rsid w:val="0012407C"/>
    <w:rsid w:val="0012602E"/>
    <w:rsid w:val="001301D3"/>
    <w:rsid w:val="00131C1B"/>
    <w:rsid w:val="00131ED8"/>
    <w:rsid w:val="00132E9E"/>
    <w:rsid w:val="00133DBA"/>
    <w:rsid w:val="00134529"/>
    <w:rsid w:val="00134A98"/>
    <w:rsid w:val="00135873"/>
    <w:rsid w:val="001373F9"/>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CE2"/>
    <w:rsid w:val="00166D00"/>
    <w:rsid w:val="0016798A"/>
    <w:rsid w:val="00167D0D"/>
    <w:rsid w:val="00170ACD"/>
    <w:rsid w:val="00170E13"/>
    <w:rsid w:val="0017130B"/>
    <w:rsid w:val="00171A5A"/>
    <w:rsid w:val="00172123"/>
    <w:rsid w:val="001749F8"/>
    <w:rsid w:val="0017707F"/>
    <w:rsid w:val="00177521"/>
    <w:rsid w:val="00177743"/>
    <w:rsid w:val="001800EE"/>
    <w:rsid w:val="00180B5B"/>
    <w:rsid w:val="001812BC"/>
    <w:rsid w:val="001820BB"/>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0B4C"/>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B015D"/>
    <w:rsid w:val="001B0737"/>
    <w:rsid w:val="001B2749"/>
    <w:rsid w:val="001B31BA"/>
    <w:rsid w:val="001B3CE9"/>
    <w:rsid w:val="001B3F0A"/>
    <w:rsid w:val="001B5F14"/>
    <w:rsid w:val="001B69C8"/>
    <w:rsid w:val="001B710F"/>
    <w:rsid w:val="001B7502"/>
    <w:rsid w:val="001C0590"/>
    <w:rsid w:val="001C1D9E"/>
    <w:rsid w:val="001C41EF"/>
    <w:rsid w:val="001C455B"/>
    <w:rsid w:val="001C5BCA"/>
    <w:rsid w:val="001C5DB5"/>
    <w:rsid w:val="001C76B9"/>
    <w:rsid w:val="001C7CF7"/>
    <w:rsid w:val="001D2374"/>
    <w:rsid w:val="001D2EE7"/>
    <w:rsid w:val="001D5427"/>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328F"/>
    <w:rsid w:val="001F352D"/>
    <w:rsid w:val="001F5EB2"/>
    <w:rsid w:val="001F69EE"/>
    <w:rsid w:val="001F7649"/>
    <w:rsid w:val="001F768E"/>
    <w:rsid w:val="001F7830"/>
    <w:rsid w:val="002007DB"/>
    <w:rsid w:val="00204D67"/>
    <w:rsid w:val="002050E7"/>
    <w:rsid w:val="002050FA"/>
    <w:rsid w:val="00205DB9"/>
    <w:rsid w:val="002064FD"/>
    <w:rsid w:val="0020685E"/>
    <w:rsid w:val="002076B3"/>
    <w:rsid w:val="002100D6"/>
    <w:rsid w:val="00210678"/>
    <w:rsid w:val="00210EB8"/>
    <w:rsid w:val="00211899"/>
    <w:rsid w:val="00212CE4"/>
    <w:rsid w:val="00214589"/>
    <w:rsid w:val="00216C85"/>
    <w:rsid w:val="002171E3"/>
    <w:rsid w:val="002178EB"/>
    <w:rsid w:val="00217FD5"/>
    <w:rsid w:val="0022065E"/>
    <w:rsid w:val="00220B78"/>
    <w:rsid w:val="002213B7"/>
    <w:rsid w:val="0022148A"/>
    <w:rsid w:val="00221C46"/>
    <w:rsid w:val="002247E8"/>
    <w:rsid w:val="002249FC"/>
    <w:rsid w:val="00224BCB"/>
    <w:rsid w:val="002255ED"/>
    <w:rsid w:val="0022561C"/>
    <w:rsid w:val="00225658"/>
    <w:rsid w:val="0022565A"/>
    <w:rsid w:val="002268B1"/>
    <w:rsid w:val="00227228"/>
    <w:rsid w:val="00227746"/>
    <w:rsid w:val="00231155"/>
    <w:rsid w:val="0023166F"/>
    <w:rsid w:val="00231C96"/>
    <w:rsid w:val="00232C23"/>
    <w:rsid w:val="002335E5"/>
    <w:rsid w:val="00234288"/>
    <w:rsid w:val="00235714"/>
    <w:rsid w:val="0023594C"/>
    <w:rsid w:val="00235DA1"/>
    <w:rsid w:val="00236D79"/>
    <w:rsid w:val="0024183C"/>
    <w:rsid w:val="002418AD"/>
    <w:rsid w:val="002421AF"/>
    <w:rsid w:val="00242424"/>
    <w:rsid w:val="00242726"/>
    <w:rsid w:val="00242D34"/>
    <w:rsid w:val="00243EAB"/>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6BD"/>
    <w:rsid w:val="00266B84"/>
    <w:rsid w:val="00266C2D"/>
    <w:rsid w:val="00267830"/>
    <w:rsid w:val="00267D1A"/>
    <w:rsid w:val="00270299"/>
    <w:rsid w:val="0027082E"/>
    <w:rsid w:val="002722D5"/>
    <w:rsid w:val="00273E9C"/>
    <w:rsid w:val="0027538A"/>
    <w:rsid w:val="0027602C"/>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BDD"/>
    <w:rsid w:val="00297A13"/>
    <w:rsid w:val="002A19C3"/>
    <w:rsid w:val="002A2688"/>
    <w:rsid w:val="002A29E3"/>
    <w:rsid w:val="002A44F9"/>
    <w:rsid w:val="002B0F13"/>
    <w:rsid w:val="002B5C67"/>
    <w:rsid w:val="002B5DE5"/>
    <w:rsid w:val="002C0270"/>
    <w:rsid w:val="002C04FA"/>
    <w:rsid w:val="002C4406"/>
    <w:rsid w:val="002C5987"/>
    <w:rsid w:val="002C646C"/>
    <w:rsid w:val="002C64D6"/>
    <w:rsid w:val="002C77DD"/>
    <w:rsid w:val="002C7C58"/>
    <w:rsid w:val="002D01B3"/>
    <w:rsid w:val="002D1078"/>
    <w:rsid w:val="002D40C3"/>
    <w:rsid w:val="002D40CD"/>
    <w:rsid w:val="002D40E5"/>
    <w:rsid w:val="002D4C84"/>
    <w:rsid w:val="002D52FD"/>
    <w:rsid w:val="002D55B7"/>
    <w:rsid w:val="002D55C1"/>
    <w:rsid w:val="002D67F5"/>
    <w:rsid w:val="002D716F"/>
    <w:rsid w:val="002D7B91"/>
    <w:rsid w:val="002D7F55"/>
    <w:rsid w:val="002E047A"/>
    <w:rsid w:val="002E0823"/>
    <w:rsid w:val="002E0A8B"/>
    <w:rsid w:val="002E1555"/>
    <w:rsid w:val="002E2B95"/>
    <w:rsid w:val="002E4BA6"/>
    <w:rsid w:val="002E5A57"/>
    <w:rsid w:val="002E6081"/>
    <w:rsid w:val="002F44E4"/>
    <w:rsid w:val="002F5356"/>
    <w:rsid w:val="002F7A7D"/>
    <w:rsid w:val="003017D9"/>
    <w:rsid w:val="0030296A"/>
    <w:rsid w:val="0030341F"/>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5CF2"/>
    <w:rsid w:val="003274EB"/>
    <w:rsid w:val="00330278"/>
    <w:rsid w:val="00330BE0"/>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D85"/>
    <w:rsid w:val="00356E79"/>
    <w:rsid w:val="00357C9F"/>
    <w:rsid w:val="00360DEE"/>
    <w:rsid w:val="003610F1"/>
    <w:rsid w:val="00363535"/>
    <w:rsid w:val="0036384D"/>
    <w:rsid w:val="00363909"/>
    <w:rsid w:val="003644BF"/>
    <w:rsid w:val="003645CE"/>
    <w:rsid w:val="00364701"/>
    <w:rsid w:val="00364724"/>
    <w:rsid w:val="00367435"/>
    <w:rsid w:val="003675F9"/>
    <w:rsid w:val="00370EFE"/>
    <w:rsid w:val="00371DA5"/>
    <w:rsid w:val="00375C91"/>
    <w:rsid w:val="00377B0B"/>
    <w:rsid w:val="003822AC"/>
    <w:rsid w:val="00384136"/>
    <w:rsid w:val="003841D7"/>
    <w:rsid w:val="003859FB"/>
    <w:rsid w:val="00387ADD"/>
    <w:rsid w:val="0039115E"/>
    <w:rsid w:val="003917B0"/>
    <w:rsid w:val="003925C5"/>
    <w:rsid w:val="00392D00"/>
    <w:rsid w:val="003933E6"/>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7464"/>
    <w:rsid w:val="003C1220"/>
    <w:rsid w:val="003C18C0"/>
    <w:rsid w:val="003C31D9"/>
    <w:rsid w:val="003C390A"/>
    <w:rsid w:val="003C6CCC"/>
    <w:rsid w:val="003C6E12"/>
    <w:rsid w:val="003D1E21"/>
    <w:rsid w:val="003D4DC1"/>
    <w:rsid w:val="003D4E6D"/>
    <w:rsid w:val="003D6391"/>
    <w:rsid w:val="003D65FF"/>
    <w:rsid w:val="003E00D6"/>
    <w:rsid w:val="003E102C"/>
    <w:rsid w:val="003E18BC"/>
    <w:rsid w:val="003E1B15"/>
    <w:rsid w:val="003E273C"/>
    <w:rsid w:val="003E2D7E"/>
    <w:rsid w:val="003E6F4B"/>
    <w:rsid w:val="003E77F9"/>
    <w:rsid w:val="003F1952"/>
    <w:rsid w:val="003F1D40"/>
    <w:rsid w:val="003F4A6C"/>
    <w:rsid w:val="003F4B94"/>
    <w:rsid w:val="003F4B99"/>
    <w:rsid w:val="003F77D3"/>
    <w:rsid w:val="003F7882"/>
    <w:rsid w:val="00400AB3"/>
    <w:rsid w:val="00402E8B"/>
    <w:rsid w:val="00405B10"/>
    <w:rsid w:val="0041029A"/>
    <w:rsid w:val="004102DD"/>
    <w:rsid w:val="00410328"/>
    <w:rsid w:val="00410D82"/>
    <w:rsid w:val="00412D16"/>
    <w:rsid w:val="00413E32"/>
    <w:rsid w:val="00414A07"/>
    <w:rsid w:val="00415071"/>
    <w:rsid w:val="004150F7"/>
    <w:rsid w:val="00415429"/>
    <w:rsid w:val="0042048E"/>
    <w:rsid w:val="004208ED"/>
    <w:rsid w:val="00420985"/>
    <w:rsid w:val="00420FF0"/>
    <w:rsid w:val="00423BC0"/>
    <w:rsid w:val="00423FB7"/>
    <w:rsid w:val="0042566E"/>
    <w:rsid w:val="00425AFB"/>
    <w:rsid w:val="0043041C"/>
    <w:rsid w:val="00432FDD"/>
    <w:rsid w:val="00433D0B"/>
    <w:rsid w:val="00433E68"/>
    <w:rsid w:val="00434F22"/>
    <w:rsid w:val="00436857"/>
    <w:rsid w:val="004372EF"/>
    <w:rsid w:val="00437F7E"/>
    <w:rsid w:val="004404D2"/>
    <w:rsid w:val="0044051C"/>
    <w:rsid w:val="00440FDA"/>
    <w:rsid w:val="00442D7F"/>
    <w:rsid w:val="00443EBD"/>
    <w:rsid w:val="00445D91"/>
    <w:rsid w:val="0044767A"/>
    <w:rsid w:val="00450B1C"/>
    <w:rsid w:val="00450FF4"/>
    <w:rsid w:val="00451319"/>
    <w:rsid w:val="004544DE"/>
    <w:rsid w:val="00454807"/>
    <w:rsid w:val="0045683A"/>
    <w:rsid w:val="00456B0C"/>
    <w:rsid w:val="004603BD"/>
    <w:rsid w:val="00461328"/>
    <w:rsid w:val="004735B9"/>
    <w:rsid w:val="004741B3"/>
    <w:rsid w:val="004748E9"/>
    <w:rsid w:val="00474C66"/>
    <w:rsid w:val="0047763C"/>
    <w:rsid w:val="0048003C"/>
    <w:rsid w:val="004810B8"/>
    <w:rsid w:val="004829F4"/>
    <w:rsid w:val="00482E0E"/>
    <w:rsid w:val="004837EA"/>
    <w:rsid w:val="00484E57"/>
    <w:rsid w:val="004869B6"/>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606B"/>
    <w:rsid w:val="004B02BD"/>
    <w:rsid w:val="004B0F16"/>
    <w:rsid w:val="004B3712"/>
    <w:rsid w:val="004B3A56"/>
    <w:rsid w:val="004B53CB"/>
    <w:rsid w:val="004B57AE"/>
    <w:rsid w:val="004B7BC6"/>
    <w:rsid w:val="004C0025"/>
    <w:rsid w:val="004C262B"/>
    <w:rsid w:val="004C4A8B"/>
    <w:rsid w:val="004C4DDC"/>
    <w:rsid w:val="004C589C"/>
    <w:rsid w:val="004D0BEC"/>
    <w:rsid w:val="004D1033"/>
    <w:rsid w:val="004D28BA"/>
    <w:rsid w:val="004D3D9E"/>
    <w:rsid w:val="004D527E"/>
    <w:rsid w:val="004D53D5"/>
    <w:rsid w:val="004D612B"/>
    <w:rsid w:val="004D7212"/>
    <w:rsid w:val="004E0934"/>
    <w:rsid w:val="004E0EAF"/>
    <w:rsid w:val="004E1197"/>
    <w:rsid w:val="004E1D4D"/>
    <w:rsid w:val="004E4347"/>
    <w:rsid w:val="004E5189"/>
    <w:rsid w:val="004E5441"/>
    <w:rsid w:val="004E55BD"/>
    <w:rsid w:val="004E5EE1"/>
    <w:rsid w:val="004E6A7A"/>
    <w:rsid w:val="004F05FF"/>
    <w:rsid w:val="004F44D7"/>
    <w:rsid w:val="004F4FCA"/>
    <w:rsid w:val="004F586E"/>
    <w:rsid w:val="004F5B29"/>
    <w:rsid w:val="004F6778"/>
    <w:rsid w:val="004F7CE7"/>
    <w:rsid w:val="004F7E08"/>
    <w:rsid w:val="0050094B"/>
    <w:rsid w:val="005018C5"/>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A18"/>
    <w:rsid w:val="005623AB"/>
    <w:rsid w:val="00562B58"/>
    <w:rsid w:val="005647CE"/>
    <w:rsid w:val="00564E1F"/>
    <w:rsid w:val="005651C8"/>
    <w:rsid w:val="00565AD2"/>
    <w:rsid w:val="00566CCE"/>
    <w:rsid w:val="0057046C"/>
    <w:rsid w:val="00570CAE"/>
    <w:rsid w:val="00571FBA"/>
    <w:rsid w:val="00572675"/>
    <w:rsid w:val="005766C5"/>
    <w:rsid w:val="005766E8"/>
    <w:rsid w:val="005771B7"/>
    <w:rsid w:val="00580EEA"/>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793E"/>
    <w:rsid w:val="005B7C55"/>
    <w:rsid w:val="005C0750"/>
    <w:rsid w:val="005C0A8B"/>
    <w:rsid w:val="005C0ADF"/>
    <w:rsid w:val="005C23FE"/>
    <w:rsid w:val="005C3C04"/>
    <w:rsid w:val="005C42FB"/>
    <w:rsid w:val="005C4358"/>
    <w:rsid w:val="005C4604"/>
    <w:rsid w:val="005C5FF9"/>
    <w:rsid w:val="005C604B"/>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1B5D"/>
    <w:rsid w:val="005F304B"/>
    <w:rsid w:val="005F5C4F"/>
    <w:rsid w:val="005F61BA"/>
    <w:rsid w:val="005F65B5"/>
    <w:rsid w:val="005F6BE6"/>
    <w:rsid w:val="005F729E"/>
    <w:rsid w:val="005F77AB"/>
    <w:rsid w:val="005F7B02"/>
    <w:rsid w:val="006006AA"/>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47EC3"/>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DCF"/>
    <w:rsid w:val="00665E07"/>
    <w:rsid w:val="00666E4F"/>
    <w:rsid w:val="00667361"/>
    <w:rsid w:val="0067013A"/>
    <w:rsid w:val="0067115B"/>
    <w:rsid w:val="0067256E"/>
    <w:rsid w:val="00672F5B"/>
    <w:rsid w:val="00673CED"/>
    <w:rsid w:val="00673DFD"/>
    <w:rsid w:val="0067463B"/>
    <w:rsid w:val="00675E34"/>
    <w:rsid w:val="006763A1"/>
    <w:rsid w:val="00681498"/>
    <w:rsid w:val="0068229E"/>
    <w:rsid w:val="0068299B"/>
    <w:rsid w:val="00682FCC"/>
    <w:rsid w:val="006839CE"/>
    <w:rsid w:val="006852C7"/>
    <w:rsid w:val="006865AF"/>
    <w:rsid w:val="00691823"/>
    <w:rsid w:val="00692E97"/>
    <w:rsid w:val="00693C2B"/>
    <w:rsid w:val="00694EA1"/>
    <w:rsid w:val="00695041"/>
    <w:rsid w:val="00695E52"/>
    <w:rsid w:val="00697D65"/>
    <w:rsid w:val="00697DD3"/>
    <w:rsid w:val="006A0ADC"/>
    <w:rsid w:val="006A21E8"/>
    <w:rsid w:val="006A259B"/>
    <w:rsid w:val="006A2718"/>
    <w:rsid w:val="006A34E2"/>
    <w:rsid w:val="006A4B4D"/>
    <w:rsid w:val="006A4E6B"/>
    <w:rsid w:val="006B05C8"/>
    <w:rsid w:val="006B16D8"/>
    <w:rsid w:val="006B19BF"/>
    <w:rsid w:val="006B20FC"/>
    <w:rsid w:val="006B3508"/>
    <w:rsid w:val="006B54B6"/>
    <w:rsid w:val="006B7AF7"/>
    <w:rsid w:val="006C0B37"/>
    <w:rsid w:val="006C15B6"/>
    <w:rsid w:val="006C165F"/>
    <w:rsid w:val="006C192A"/>
    <w:rsid w:val="006C1CEB"/>
    <w:rsid w:val="006C3896"/>
    <w:rsid w:val="006C4DFE"/>
    <w:rsid w:val="006C60EB"/>
    <w:rsid w:val="006D0285"/>
    <w:rsid w:val="006D0908"/>
    <w:rsid w:val="006D0FD4"/>
    <w:rsid w:val="006D2C8E"/>
    <w:rsid w:val="006D2FDA"/>
    <w:rsid w:val="006D380F"/>
    <w:rsid w:val="006D383F"/>
    <w:rsid w:val="006D3B04"/>
    <w:rsid w:val="006D4DF9"/>
    <w:rsid w:val="006D7785"/>
    <w:rsid w:val="006D79E9"/>
    <w:rsid w:val="006E0704"/>
    <w:rsid w:val="006E14C6"/>
    <w:rsid w:val="006E1F79"/>
    <w:rsid w:val="006E4337"/>
    <w:rsid w:val="006E484F"/>
    <w:rsid w:val="006E4F28"/>
    <w:rsid w:val="006E549E"/>
    <w:rsid w:val="006E64B4"/>
    <w:rsid w:val="006E653D"/>
    <w:rsid w:val="006E7936"/>
    <w:rsid w:val="006E7CDB"/>
    <w:rsid w:val="006F1853"/>
    <w:rsid w:val="006F5125"/>
    <w:rsid w:val="006F6537"/>
    <w:rsid w:val="006F6673"/>
    <w:rsid w:val="006F7615"/>
    <w:rsid w:val="00701BAC"/>
    <w:rsid w:val="00701C81"/>
    <w:rsid w:val="007028F0"/>
    <w:rsid w:val="00702A68"/>
    <w:rsid w:val="00704DB2"/>
    <w:rsid w:val="00705245"/>
    <w:rsid w:val="007052C1"/>
    <w:rsid w:val="00705C47"/>
    <w:rsid w:val="00706644"/>
    <w:rsid w:val="007066D6"/>
    <w:rsid w:val="00706BC9"/>
    <w:rsid w:val="00706F80"/>
    <w:rsid w:val="00710128"/>
    <w:rsid w:val="00713A09"/>
    <w:rsid w:val="007140DF"/>
    <w:rsid w:val="007140F7"/>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4EA7"/>
    <w:rsid w:val="0074588B"/>
    <w:rsid w:val="007458DC"/>
    <w:rsid w:val="0074659E"/>
    <w:rsid w:val="00746D4E"/>
    <w:rsid w:val="00750565"/>
    <w:rsid w:val="00750FF1"/>
    <w:rsid w:val="007523EA"/>
    <w:rsid w:val="00755CDA"/>
    <w:rsid w:val="0075795B"/>
    <w:rsid w:val="00757CC4"/>
    <w:rsid w:val="00762F0C"/>
    <w:rsid w:val="007632B1"/>
    <w:rsid w:val="007646E6"/>
    <w:rsid w:val="00765AA3"/>
    <w:rsid w:val="00766573"/>
    <w:rsid w:val="00767C9B"/>
    <w:rsid w:val="00770E49"/>
    <w:rsid w:val="007716D0"/>
    <w:rsid w:val="00772528"/>
    <w:rsid w:val="00772A02"/>
    <w:rsid w:val="0077320A"/>
    <w:rsid w:val="00773542"/>
    <w:rsid w:val="00773669"/>
    <w:rsid w:val="00773DC7"/>
    <w:rsid w:val="00774D23"/>
    <w:rsid w:val="007808E3"/>
    <w:rsid w:val="007823A0"/>
    <w:rsid w:val="0078320A"/>
    <w:rsid w:val="007843C3"/>
    <w:rsid w:val="00786A0A"/>
    <w:rsid w:val="00786FF3"/>
    <w:rsid w:val="00787164"/>
    <w:rsid w:val="00787DA5"/>
    <w:rsid w:val="00791A2D"/>
    <w:rsid w:val="007925AD"/>
    <w:rsid w:val="00792A73"/>
    <w:rsid w:val="00793469"/>
    <w:rsid w:val="00795941"/>
    <w:rsid w:val="00795B65"/>
    <w:rsid w:val="00796B67"/>
    <w:rsid w:val="00796C79"/>
    <w:rsid w:val="007978BE"/>
    <w:rsid w:val="00797EC5"/>
    <w:rsid w:val="007A3E66"/>
    <w:rsid w:val="007A49DE"/>
    <w:rsid w:val="007A53CB"/>
    <w:rsid w:val="007A59DE"/>
    <w:rsid w:val="007A6232"/>
    <w:rsid w:val="007A6530"/>
    <w:rsid w:val="007A73F1"/>
    <w:rsid w:val="007A7E45"/>
    <w:rsid w:val="007B1D99"/>
    <w:rsid w:val="007B4936"/>
    <w:rsid w:val="007B60A8"/>
    <w:rsid w:val="007B670D"/>
    <w:rsid w:val="007B6A59"/>
    <w:rsid w:val="007B72E7"/>
    <w:rsid w:val="007B7528"/>
    <w:rsid w:val="007B77FE"/>
    <w:rsid w:val="007B7B7B"/>
    <w:rsid w:val="007B7D89"/>
    <w:rsid w:val="007C014F"/>
    <w:rsid w:val="007C0B74"/>
    <w:rsid w:val="007C2D04"/>
    <w:rsid w:val="007C3726"/>
    <w:rsid w:val="007C5CB6"/>
    <w:rsid w:val="007C67B8"/>
    <w:rsid w:val="007C7A26"/>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05872"/>
    <w:rsid w:val="008101B5"/>
    <w:rsid w:val="00815132"/>
    <w:rsid w:val="00815906"/>
    <w:rsid w:val="00817638"/>
    <w:rsid w:val="00821B15"/>
    <w:rsid w:val="00821CBF"/>
    <w:rsid w:val="00821F02"/>
    <w:rsid w:val="0082208E"/>
    <w:rsid w:val="00823231"/>
    <w:rsid w:val="0082480D"/>
    <w:rsid w:val="00824C3E"/>
    <w:rsid w:val="0082689D"/>
    <w:rsid w:val="00827494"/>
    <w:rsid w:val="008312D3"/>
    <w:rsid w:val="008314F5"/>
    <w:rsid w:val="00831AB7"/>
    <w:rsid w:val="00831AFF"/>
    <w:rsid w:val="00834604"/>
    <w:rsid w:val="0083746A"/>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243"/>
    <w:rsid w:val="0086034E"/>
    <w:rsid w:val="008613C5"/>
    <w:rsid w:val="0086299C"/>
    <w:rsid w:val="0086682F"/>
    <w:rsid w:val="008670DA"/>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4F52"/>
    <w:rsid w:val="00895E61"/>
    <w:rsid w:val="008968D3"/>
    <w:rsid w:val="008978C9"/>
    <w:rsid w:val="008A031C"/>
    <w:rsid w:val="008A0723"/>
    <w:rsid w:val="008A2DA6"/>
    <w:rsid w:val="008A383A"/>
    <w:rsid w:val="008A480B"/>
    <w:rsid w:val="008A55AF"/>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D09BC"/>
    <w:rsid w:val="008D0D3D"/>
    <w:rsid w:val="008D3756"/>
    <w:rsid w:val="008D4408"/>
    <w:rsid w:val="008D45DC"/>
    <w:rsid w:val="008D539B"/>
    <w:rsid w:val="008D5EB3"/>
    <w:rsid w:val="008D6863"/>
    <w:rsid w:val="008E1CD6"/>
    <w:rsid w:val="008E2297"/>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1BD8"/>
    <w:rsid w:val="00902ECA"/>
    <w:rsid w:val="00904268"/>
    <w:rsid w:val="00905B19"/>
    <w:rsid w:val="0090658E"/>
    <w:rsid w:val="00907ABB"/>
    <w:rsid w:val="00907B34"/>
    <w:rsid w:val="009112AD"/>
    <w:rsid w:val="00912264"/>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76B9"/>
    <w:rsid w:val="00942A1D"/>
    <w:rsid w:val="0094373E"/>
    <w:rsid w:val="009459A9"/>
    <w:rsid w:val="009463AD"/>
    <w:rsid w:val="0094679D"/>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80B"/>
    <w:rsid w:val="00991E2A"/>
    <w:rsid w:val="0099321F"/>
    <w:rsid w:val="00993A54"/>
    <w:rsid w:val="00996D12"/>
    <w:rsid w:val="009976C4"/>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1520"/>
    <w:rsid w:val="009B543A"/>
    <w:rsid w:val="009B6AE8"/>
    <w:rsid w:val="009C0470"/>
    <w:rsid w:val="009C0BC6"/>
    <w:rsid w:val="009C1FC8"/>
    <w:rsid w:val="009C2021"/>
    <w:rsid w:val="009C4E73"/>
    <w:rsid w:val="009C52FF"/>
    <w:rsid w:val="009C74D4"/>
    <w:rsid w:val="009D015F"/>
    <w:rsid w:val="009D0812"/>
    <w:rsid w:val="009D1B9F"/>
    <w:rsid w:val="009D2CAB"/>
    <w:rsid w:val="009D2FC8"/>
    <w:rsid w:val="009D353E"/>
    <w:rsid w:val="009D36C8"/>
    <w:rsid w:val="009D4360"/>
    <w:rsid w:val="009D4C35"/>
    <w:rsid w:val="009E18EA"/>
    <w:rsid w:val="009E2317"/>
    <w:rsid w:val="009E3C23"/>
    <w:rsid w:val="009E46D2"/>
    <w:rsid w:val="009E5263"/>
    <w:rsid w:val="009E781D"/>
    <w:rsid w:val="009E7B4E"/>
    <w:rsid w:val="009F3E9D"/>
    <w:rsid w:val="009F51B7"/>
    <w:rsid w:val="009F56AF"/>
    <w:rsid w:val="009F5B33"/>
    <w:rsid w:val="009F657E"/>
    <w:rsid w:val="009F6674"/>
    <w:rsid w:val="009F7934"/>
    <w:rsid w:val="00A01D19"/>
    <w:rsid w:val="00A02624"/>
    <w:rsid w:val="00A038F0"/>
    <w:rsid w:val="00A03B97"/>
    <w:rsid w:val="00A067DC"/>
    <w:rsid w:val="00A07FF7"/>
    <w:rsid w:val="00A1403C"/>
    <w:rsid w:val="00A156D1"/>
    <w:rsid w:val="00A165B3"/>
    <w:rsid w:val="00A17C44"/>
    <w:rsid w:val="00A20616"/>
    <w:rsid w:val="00A2206E"/>
    <w:rsid w:val="00A22F46"/>
    <w:rsid w:val="00A232D5"/>
    <w:rsid w:val="00A235B3"/>
    <w:rsid w:val="00A237ED"/>
    <w:rsid w:val="00A2525F"/>
    <w:rsid w:val="00A25899"/>
    <w:rsid w:val="00A272CD"/>
    <w:rsid w:val="00A30B18"/>
    <w:rsid w:val="00A33EB7"/>
    <w:rsid w:val="00A343D0"/>
    <w:rsid w:val="00A36A1C"/>
    <w:rsid w:val="00A377E7"/>
    <w:rsid w:val="00A37AFA"/>
    <w:rsid w:val="00A40110"/>
    <w:rsid w:val="00A40912"/>
    <w:rsid w:val="00A43C23"/>
    <w:rsid w:val="00A45AC4"/>
    <w:rsid w:val="00A50C38"/>
    <w:rsid w:val="00A5152A"/>
    <w:rsid w:val="00A52BA6"/>
    <w:rsid w:val="00A530BB"/>
    <w:rsid w:val="00A530FF"/>
    <w:rsid w:val="00A546AA"/>
    <w:rsid w:val="00A5531B"/>
    <w:rsid w:val="00A573D5"/>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92"/>
    <w:rsid w:val="00A86E3B"/>
    <w:rsid w:val="00A916AD"/>
    <w:rsid w:val="00A91BDB"/>
    <w:rsid w:val="00A9225D"/>
    <w:rsid w:val="00A92C1F"/>
    <w:rsid w:val="00A92EAC"/>
    <w:rsid w:val="00A94DAC"/>
    <w:rsid w:val="00A97692"/>
    <w:rsid w:val="00AA362D"/>
    <w:rsid w:val="00AA3AF2"/>
    <w:rsid w:val="00AA41EE"/>
    <w:rsid w:val="00AA5AE2"/>
    <w:rsid w:val="00AA7365"/>
    <w:rsid w:val="00AB0D80"/>
    <w:rsid w:val="00AB192F"/>
    <w:rsid w:val="00AB21F6"/>
    <w:rsid w:val="00AB2988"/>
    <w:rsid w:val="00AB5A0A"/>
    <w:rsid w:val="00AB5A47"/>
    <w:rsid w:val="00AB5EEF"/>
    <w:rsid w:val="00AB6435"/>
    <w:rsid w:val="00AB6F80"/>
    <w:rsid w:val="00AB704E"/>
    <w:rsid w:val="00AB71F1"/>
    <w:rsid w:val="00AC018A"/>
    <w:rsid w:val="00AC025C"/>
    <w:rsid w:val="00AC0776"/>
    <w:rsid w:val="00AC0921"/>
    <w:rsid w:val="00AC36E6"/>
    <w:rsid w:val="00AC40ED"/>
    <w:rsid w:val="00AC55AC"/>
    <w:rsid w:val="00AC58FA"/>
    <w:rsid w:val="00AC5A30"/>
    <w:rsid w:val="00AC75C4"/>
    <w:rsid w:val="00AC7775"/>
    <w:rsid w:val="00AC788E"/>
    <w:rsid w:val="00AC7CBE"/>
    <w:rsid w:val="00AD1CB9"/>
    <w:rsid w:val="00AD41CC"/>
    <w:rsid w:val="00AD4229"/>
    <w:rsid w:val="00AD4E72"/>
    <w:rsid w:val="00AD5E77"/>
    <w:rsid w:val="00AD704F"/>
    <w:rsid w:val="00AD75D4"/>
    <w:rsid w:val="00AD7C4A"/>
    <w:rsid w:val="00AE07F6"/>
    <w:rsid w:val="00AE18B6"/>
    <w:rsid w:val="00AE2372"/>
    <w:rsid w:val="00AE259E"/>
    <w:rsid w:val="00AE3633"/>
    <w:rsid w:val="00AE53E0"/>
    <w:rsid w:val="00AE54AE"/>
    <w:rsid w:val="00AE5C17"/>
    <w:rsid w:val="00AE644A"/>
    <w:rsid w:val="00AE666A"/>
    <w:rsid w:val="00AE6F74"/>
    <w:rsid w:val="00AE7A96"/>
    <w:rsid w:val="00AE7C6E"/>
    <w:rsid w:val="00AF012D"/>
    <w:rsid w:val="00AF0BFA"/>
    <w:rsid w:val="00AF0C1C"/>
    <w:rsid w:val="00AF1C34"/>
    <w:rsid w:val="00AF2C83"/>
    <w:rsid w:val="00AF3F11"/>
    <w:rsid w:val="00AF4A0D"/>
    <w:rsid w:val="00AF5451"/>
    <w:rsid w:val="00AF5C6A"/>
    <w:rsid w:val="00AF6550"/>
    <w:rsid w:val="00AF69C8"/>
    <w:rsid w:val="00AF6AF1"/>
    <w:rsid w:val="00AF7CDF"/>
    <w:rsid w:val="00AF7FCD"/>
    <w:rsid w:val="00B0105F"/>
    <w:rsid w:val="00B01A5D"/>
    <w:rsid w:val="00B01BBB"/>
    <w:rsid w:val="00B01D7B"/>
    <w:rsid w:val="00B02651"/>
    <w:rsid w:val="00B02CFC"/>
    <w:rsid w:val="00B03AB9"/>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3F3"/>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C0"/>
    <w:rsid w:val="00BC5658"/>
    <w:rsid w:val="00BC58B1"/>
    <w:rsid w:val="00BC6428"/>
    <w:rsid w:val="00BC66BC"/>
    <w:rsid w:val="00BC6B1A"/>
    <w:rsid w:val="00BC76D4"/>
    <w:rsid w:val="00BD18AD"/>
    <w:rsid w:val="00BD19FD"/>
    <w:rsid w:val="00BD27A7"/>
    <w:rsid w:val="00BD468E"/>
    <w:rsid w:val="00BD4AB1"/>
    <w:rsid w:val="00BD53C5"/>
    <w:rsid w:val="00BD61FF"/>
    <w:rsid w:val="00BD62BA"/>
    <w:rsid w:val="00BD6972"/>
    <w:rsid w:val="00BD6D27"/>
    <w:rsid w:val="00BD6DDA"/>
    <w:rsid w:val="00BD76AD"/>
    <w:rsid w:val="00BE043C"/>
    <w:rsid w:val="00BE08E3"/>
    <w:rsid w:val="00BE20F7"/>
    <w:rsid w:val="00BE48BC"/>
    <w:rsid w:val="00BE4B14"/>
    <w:rsid w:val="00BE5434"/>
    <w:rsid w:val="00BE584A"/>
    <w:rsid w:val="00BE5C21"/>
    <w:rsid w:val="00BE6609"/>
    <w:rsid w:val="00BE7016"/>
    <w:rsid w:val="00BE7207"/>
    <w:rsid w:val="00BF0115"/>
    <w:rsid w:val="00BF0461"/>
    <w:rsid w:val="00BF08B7"/>
    <w:rsid w:val="00BF15A1"/>
    <w:rsid w:val="00BF25B4"/>
    <w:rsid w:val="00BF2B9D"/>
    <w:rsid w:val="00BF2E8C"/>
    <w:rsid w:val="00BF4DA6"/>
    <w:rsid w:val="00BF5E1B"/>
    <w:rsid w:val="00BF6694"/>
    <w:rsid w:val="00BF7A00"/>
    <w:rsid w:val="00C01E34"/>
    <w:rsid w:val="00C027EE"/>
    <w:rsid w:val="00C02BED"/>
    <w:rsid w:val="00C06FA9"/>
    <w:rsid w:val="00C07A73"/>
    <w:rsid w:val="00C10AF4"/>
    <w:rsid w:val="00C115AB"/>
    <w:rsid w:val="00C14AAC"/>
    <w:rsid w:val="00C154D8"/>
    <w:rsid w:val="00C167E6"/>
    <w:rsid w:val="00C1763F"/>
    <w:rsid w:val="00C20646"/>
    <w:rsid w:val="00C2089E"/>
    <w:rsid w:val="00C21C62"/>
    <w:rsid w:val="00C223C0"/>
    <w:rsid w:val="00C23887"/>
    <w:rsid w:val="00C23C44"/>
    <w:rsid w:val="00C31C3D"/>
    <w:rsid w:val="00C32231"/>
    <w:rsid w:val="00C328C0"/>
    <w:rsid w:val="00C32967"/>
    <w:rsid w:val="00C33DE2"/>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7B36"/>
    <w:rsid w:val="00C57D12"/>
    <w:rsid w:val="00C61559"/>
    <w:rsid w:val="00C6177A"/>
    <w:rsid w:val="00C6266D"/>
    <w:rsid w:val="00C63577"/>
    <w:rsid w:val="00C6428C"/>
    <w:rsid w:val="00C6473D"/>
    <w:rsid w:val="00C64921"/>
    <w:rsid w:val="00C64A1F"/>
    <w:rsid w:val="00C6525D"/>
    <w:rsid w:val="00C66A1B"/>
    <w:rsid w:val="00C67B64"/>
    <w:rsid w:val="00C70E9A"/>
    <w:rsid w:val="00C71785"/>
    <w:rsid w:val="00C7230E"/>
    <w:rsid w:val="00C72DE6"/>
    <w:rsid w:val="00C732AB"/>
    <w:rsid w:val="00C75A9C"/>
    <w:rsid w:val="00C77B17"/>
    <w:rsid w:val="00C80CEF"/>
    <w:rsid w:val="00C823FC"/>
    <w:rsid w:val="00C85117"/>
    <w:rsid w:val="00C856CB"/>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10CB"/>
    <w:rsid w:val="00CA2EDC"/>
    <w:rsid w:val="00CA313D"/>
    <w:rsid w:val="00CA7376"/>
    <w:rsid w:val="00CA753A"/>
    <w:rsid w:val="00CB18AE"/>
    <w:rsid w:val="00CB1B3B"/>
    <w:rsid w:val="00CB1D2D"/>
    <w:rsid w:val="00CB260C"/>
    <w:rsid w:val="00CB27D2"/>
    <w:rsid w:val="00CB2D43"/>
    <w:rsid w:val="00CB2D98"/>
    <w:rsid w:val="00CB3248"/>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3069"/>
    <w:rsid w:val="00CF30A1"/>
    <w:rsid w:val="00CF45F2"/>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832"/>
    <w:rsid w:val="00D303F3"/>
    <w:rsid w:val="00D32422"/>
    <w:rsid w:val="00D3628C"/>
    <w:rsid w:val="00D36B81"/>
    <w:rsid w:val="00D379FA"/>
    <w:rsid w:val="00D4027F"/>
    <w:rsid w:val="00D407D6"/>
    <w:rsid w:val="00D40E20"/>
    <w:rsid w:val="00D41879"/>
    <w:rsid w:val="00D41ED5"/>
    <w:rsid w:val="00D423E0"/>
    <w:rsid w:val="00D429F4"/>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6D"/>
    <w:rsid w:val="00D745E4"/>
    <w:rsid w:val="00D7648C"/>
    <w:rsid w:val="00D7682B"/>
    <w:rsid w:val="00D77499"/>
    <w:rsid w:val="00D77DE6"/>
    <w:rsid w:val="00D80C48"/>
    <w:rsid w:val="00D815DE"/>
    <w:rsid w:val="00D81966"/>
    <w:rsid w:val="00D83FEF"/>
    <w:rsid w:val="00D850E0"/>
    <w:rsid w:val="00D8593D"/>
    <w:rsid w:val="00D870DD"/>
    <w:rsid w:val="00D87225"/>
    <w:rsid w:val="00D919AD"/>
    <w:rsid w:val="00D91A4A"/>
    <w:rsid w:val="00D91F8D"/>
    <w:rsid w:val="00D938BD"/>
    <w:rsid w:val="00D95146"/>
    <w:rsid w:val="00D97B3B"/>
    <w:rsid w:val="00DA220F"/>
    <w:rsid w:val="00DA3787"/>
    <w:rsid w:val="00DA64E0"/>
    <w:rsid w:val="00DA66DE"/>
    <w:rsid w:val="00DB10ED"/>
    <w:rsid w:val="00DB32F9"/>
    <w:rsid w:val="00DB3767"/>
    <w:rsid w:val="00DB4FBA"/>
    <w:rsid w:val="00DB556F"/>
    <w:rsid w:val="00DB5EDA"/>
    <w:rsid w:val="00DB6D68"/>
    <w:rsid w:val="00DC006E"/>
    <w:rsid w:val="00DC0DE3"/>
    <w:rsid w:val="00DC6511"/>
    <w:rsid w:val="00DC6D57"/>
    <w:rsid w:val="00DC75FC"/>
    <w:rsid w:val="00DC76A7"/>
    <w:rsid w:val="00DC76E2"/>
    <w:rsid w:val="00DD0FFF"/>
    <w:rsid w:val="00DD3D7E"/>
    <w:rsid w:val="00DD44BA"/>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2D36"/>
    <w:rsid w:val="00E3415F"/>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3ECD"/>
    <w:rsid w:val="00E547DD"/>
    <w:rsid w:val="00E54F07"/>
    <w:rsid w:val="00E55D33"/>
    <w:rsid w:val="00E5735F"/>
    <w:rsid w:val="00E612BB"/>
    <w:rsid w:val="00E62397"/>
    <w:rsid w:val="00E64E64"/>
    <w:rsid w:val="00E65814"/>
    <w:rsid w:val="00E6589A"/>
    <w:rsid w:val="00E65D17"/>
    <w:rsid w:val="00E65E6C"/>
    <w:rsid w:val="00E66113"/>
    <w:rsid w:val="00E66717"/>
    <w:rsid w:val="00E72C79"/>
    <w:rsid w:val="00E80508"/>
    <w:rsid w:val="00E8090A"/>
    <w:rsid w:val="00E81C87"/>
    <w:rsid w:val="00E81D28"/>
    <w:rsid w:val="00E82692"/>
    <w:rsid w:val="00E82B4F"/>
    <w:rsid w:val="00E844DB"/>
    <w:rsid w:val="00E84630"/>
    <w:rsid w:val="00E86729"/>
    <w:rsid w:val="00E86800"/>
    <w:rsid w:val="00E87201"/>
    <w:rsid w:val="00E872FE"/>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81"/>
    <w:rsid w:val="00EC3090"/>
    <w:rsid w:val="00EC3BAB"/>
    <w:rsid w:val="00EC5747"/>
    <w:rsid w:val="00EC5F93"/>
    <w:rsid w:val="00EC6694"/>
    <w:rsid w:val="00ED01B9"/>
    <w:rsid w:val="00ED0230"/>
    <w:rsid w:val="00ED093F"/>
    <w:rsid w:val="00ED11CC"/>
    <w:rsid w:val="00ED1D5B"/>
    <w:rsid w:val="00ED28D7"/>
    <w:rsid w:val="00ED3997"/>
    <w:rsid w:val="00ED3D68"/>
    <w:rsid w:val="00ED434C"/>
    <w:rsid w:val="00ED524D"/>
    <w:rsid w:val="00ED6021"/>
    <w:rsid w:val="00ED6C18"/>
    <w:rsid w:val="00EE016A"/>
    <w:rsid w:val="00EE0905"/>
    <w:rsid w:val="00EE091C"/>
    <w:rsid w:val="00EE0F54"/>
    <w:rsid w:val="00EE2920"/>
    <w:rsid w:val="00EE32E4"/>
    <w:rsid w:val="00EE59D9"/>
    <w:rsid w:val="00EE6807"/>
    <w:rsid w:val="00EE7B05"/>
    <w:rsid w:val="00EF07FE"/>
    <w:rsid w:val="00EF0CF3"/>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1B0C"/>
    <w:rsid w:val="00F020C2"/>
    <w:rsid w:val="00F02D43"/>
    <w:rsid w:val="00F02F3B"/>
    <w:rsid w:val="00F03559"/>
    <w:rsid w:val="00F03A92"/>
    <w:rsid w:val="00F058CB"/>
    <w:rsid w:val="00F05E32"/>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2080"/>
    <w:rsid w:val="00F42B1F"/>
    <w:rsid w:val="00F42C38"/>
    <w:rsid w:val="00F43673"/>
    <w:rsid w:val="00F44D72"/>
    <w:rsid w:val="00F45039"/>
    <w:rsid w:val="00F45057"/>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60E00"/>
    <w:rsid w:val="00F639BF"/>
    <w:rsid w:val="00F6442F"/>
    <w:rsid w:val="00F67B7A"/>
    <w:rsid w:val="00F708C8"/>
    <w:rsid w:val="00F70E86"/>
    <w:rsid w:val="00F723DD"/>
    <w:rsid w:val="00F72C83"/>
    <w:rsid w:val="00F75332"/>
    <w:rsid w:val="00F764E1"/>
    <w:rsid w:val="00F7752E"/>
    <w:rsid w:val="00F802BC"/>
    <w:rsid w:val="00F8116F"/>
    <w:rsid w:val="00F81ED1"/>
    <w:rsid w:val="00F848C2"/>
    <w:rsid w:val="00F85513"/>
    <w:rsid w:val="00F85A50"/>
    <w:rsid w:val="00F86176"/>
    <w:rsid w:val="00F86BBF"/>
    <w:rsid w:val="00F90462"/>
    <w:rsid w:val="00F90650"/>
    <w:rsid w:val="00F90705"/>
    <w:rsid w:val="00F90DAF"/>
    <w:rsid w:val="00F921B2"/>
    <w:rsid w:val="00F94E9A"/>
    <w:rsid w:val="00F9634F"/>
    <w:rsid w:val="00F968D1"/>
    <w:rsid w:val="00FA23E4"/>
    <w:rsid w:val="00FB0767"/>
    <w:rsid w:val="00FB1A84"/>
    <w:rsid w:val="00FB361C"/>
    <w:rsid w:val="00FB3E56"/>
    <w:rsid w:val="00FB40DA"/>
    <w:rsid w:val="00FB433A"/>
    <w:rsid w:val="00FB64BE"/>
    <w:rsid w:val="00FC06C7"/>
    <w:rsid w:val="00FC2E69"/>
    <w:rsid w:val="00FC32C3"/>
    <w:rsid w:val="00FC33D2"/>
    <w:rsid w:val="00FC33E5"/>
    <w:rsid w:val="00FC3C3E"/>
    <w:rsid w:val="00FC4278"/>
    <w:rsid w:val="00FC5412"/>
    <w:rsid w:val="00FC617F"/>
    <w:rsid w:val="00FC6D89"/>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top w:val="none" w:sz="0" w:space="0" w:color="auto"/>
        <w:bottom w:val="none" w:sz="0" w:space="0" w:color="auto"/>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paragraph" w:customStyle="1" w:styleId="Normal6">
    <w:name w:val="Normal6"/>
    <w:basedOn w:val="Normal"/>
    <w:qFormat/>
    <w:rsid w:val="00332DD7"/>
    <w:pPr>
      <w:tabs>
        <w:tab w:val="left" w:pos="284"/>
        <w:tab w:val="left" w:pos="567"/>
        <w:tab w:val="left" w:pos="851"/>
        <w:tab w:val="left" w:pos="1134"/>
        <w:tab w:val="left" w:pos="1418"/>
        <w:tab w:val="left" w:pos="1701"/>
      </w:tabs>
      <w:spacing w:after="120" w:line="300" w:lineRule="atLeast"/>
    </w:pPr>
    <w:rPr>
      <w:rFonts w:eastAsiaTheme="minorHAnsi" w:cstheme="minorBidi"/>
      <w:szCs w:val="22"/>
    </w:rPr>
  </w:style>
  <w:style w:type="paragraph" w:customStyle="1" w:styleId="DHHSreportsubtitlewhite">
    <w:name w:val="DHHS report subtitle white"/>
    <w:uiPriority w:val="4"/>
    <w:rsid w:val="00DD44BA"/>
    <w:pPr>
      <w:spacing w:after="120" w:line="380" w:lineRule="atLeast"/>
    </w:pPr>
    <w:rPr>
      <w:rFonts w:ascii="Arial" w:hAnsi="Arial"/>
      <w:bCs/>
      <w:color w:val="FFFFF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537303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4084561">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787504494">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3.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mailto:chsre@dhhs.vic.gov.a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dhs.vic.gov.au/about-the-department/documents-and-resources/research,-data-and-statistics/current-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hs.vic.gov.au/about-the-department/documents-and-resources/research,-data-and-statistics/current-rental-report" TargetMode="External"/><Relationship Id="rId22" Type="http://schemas.openxmlformats.org/officeDocument/2006/relationships/image" Target="media/image7.jpeg"/><Relationship Id="rId27" Type="http://schemas.openxmlformats.org/officeDocument/2006/relationships/hyperlink" Target="http://www.dhs.vic.gov.au/about-the-department/documents-and-resources/research,-data-and-statistics/current-rental-repor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72%20June\Outputs\20171Graphs%20-%20Lilac.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72%20June\Outputs\20171Graphs%20-%20Lilac.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398924E-2"/>
          <c:w val="0.87035495351535463"/>
          <c:h val="0.73880658121618292"/>
        </c:manualLayout>
      </c:layout>
      <c:lineChart>
        <c:grouping val="standard"/>
        <c:varyColors val="0"/>
        <c:ser>
          <c:idx val="0"/>
          <c:order val="0"/>
          <c:tx>
            <c:v>Metropolitan Rental Index (MRI)</c:v>
          </c:tx>
          <c:spPr>
            <a:ln w="22225">
              <a:solidFill>
                <a:srgbClr val="3F5172"/>
              </a:solidFill>
              <a:prstDash val="solid"/>
            </a:ln>
          </c:spPr>
          <c:marker>
            <c:symbol val="none"/>
          </c:marker>
          <c:cat>
            <c:numRef>
              <c:f>figs1source!$A$4:$A$44</c:f>
              <c:numCache>
                <c:formatCode>mmm\-yyyy</c:formatCode>
                <c:ptCount val="41"/>
                <c:pt idx="0">
                  <c:v>39234</c:v>
                </c:pt>
                <c:pt idx="1">
                  <c:v>39326</c:v>
                </c:pt>
                <c:pt idx="2">
                  <c:v>39417</c:v>
                </c:pt>
                <c:pt idx="3">
                  <c:v>39508</c:v>
                </c:pt>
                <c:pt idx="4">
                  <c:v>39600</c:v>
                </c:pt>
                <c:pt idx="5">
                  <c:v>39692</c:v>
                </c:pt>
                <c:pt idx="6">
                  <c:v>39783</c:v>
                </c:pt>
                <c:pt idx="7">
                  <c:v>39873</c:v>
                </c:pt>
                <c:pt idx="8">
                  <c:v>39965</c:v>
                </c:pt>
                <c:pt idx="9">
                  <c:v>40057</c:v>
                </c:pt>
                <c:pt idx="10">
                  <c:v>40148</c:v>
                </c:pt>
                <c:pt idx="11">
                  <c:v>40238</c:v>
                </c:pt>
                <c:pt idx="12">
                  <c:v>40330</c:v>
                </c:pt>
                <c:pt idx="13">
                  <c:v>40422</c:v>
                </c:pt>
                <c:pt idx="14">
                  <c:v>40513</c:v>
                </c:pt>
                <c:pt idx="15">
                  <c:v>40603</c:v>
                </c:pt>
                <c:pt idx="16">
                  <c:v>40695</c:v>
                </c:pt>
                <c:pt idx="17">
                  <c:v>40787</c:v>
                </c:pt>
                <c:pt idx="18">
                  <c:v>40878</c:v>
                </c:pt>
                <c:pt idx="19">
                  <c:v>40969</c:v>
                </c:pt>
                <c:pt idx="20">
                  <c:v>41061</c:v>
                </c:pt>
                <c:pt idx="21">
                  <c:v>41153</c:v>
                </c:pt>
                <c:pt idx="22">
                  <c:v>41244</c:v>
                </c:pt>
                <c:pt idx="23">
                  <c:v>41334</c:v>
                </c:pt>
                <c:pt idx="24">
                  <c:v>41426</c:v>
                </c:pt>
                <c:pt idx="25">
                  <c:v>41518</c:v>
                </c:pt>
                <c:pt idx="26">
                  <c:v>41609</c:v>
                </c:pt>
                <c:pt idx="27">
                  <c:v>41699</c:v>
                </c:pt>
                <c:pt idx="28">
                  <c:v>41791</c:v>
                </c:pt>
                <c:pt idx="29">
                  <c:v>41883</c:v>
                </c:pt>
                <c:pt idx="30">
                  <c:v>41974</c:v>
                </c:pt>
                <c:pt idx="31">
                  <c:v>42064</c:v>
                </c:pt>
                <c:pt idx="32">
                  <c:v>42156</c:v>
                </c:pt>
                <c:pt idx="33">
                  <c:v>42248</c:v>
                </c:pt>
                <c:pt idx="34">
                  <c:v>42339</c:v>
                </c:pt>
                <c:pt idx="35">
                  <c:v>42430</c:v>
                </c:pt>
                <c:pt idx="36">
                  <c:v>42522</c:v>
                </c:pt>
                <c:pt idx="37">
                  <c:v>42614</c:v>
                </c:pt>
                <c:pt idx="38">
                  <c:v>42705</c:v>
                </c:pt>
                <c:pt idx="39">
                  <c:v>42795</c:v>
                </c:pt>
                <c:pt idx="40">
                  <c:v>42887</c:v>
                </c:pt>
              </c:numCache>
            </c:numRef>
          </c:cat>
          <c:val>
            <c:numRef>
              <c:f>figs1source!$B$4:$B$44</c:f>
              <c:numCache>
                <c:formatCode>0.0%</c:formatCode>
                <c:ptCount val="41"/>
                <c:pt idx="0">
                  <c:v>0.10796059158934246</c:v>
                </c:pt>
                <c:pt idx="1">
                  <c:v>0.1262494795039919</c:v>
                </c:pt>
                <c:pt idx="2">
                  <c:v>0.12405450115081851</c:v>
                </c:pt>
                <c:pt idx="3">
                  <c:v>0.12661124119477463</c:v>
                </c:pt>
                <c:pt idx="4">
                  <c:v>0.13000620375091398</c:v>
                </c:pt>
                <c:pt idx="5">
                  <c:v>0.12539256842337276</c:v>
                </c:pt>
                <c:pt idx="6">
                  <c:v>0.10888170959552945</c:v>
                </c:pt>
                <c:pt idx="7">
                  <c:v>8.9836682071028129E-2</c:v>
                </c:pt>
                <c:pt idx="8">
                  <c:v>5.6573641291394416E-2</c:v>
                </c:pt>
                <c:pt idx="9">
                  <c:v>3.5837098143820745E-2</c:v>
                </c:pt>
                <c:pt idx="10">
                  <c:v>4.4512615752242413E-2</c:v>
                </c:pt>
                <c:pt idx="11">
                  <c:v>4.3865069182502214E-2</c:v>
                </c:pt>
                <c:pt idx="12">
                  <c:v>5.1586283246486397E-2</c:v>
                </c:pt>
                <c:pt idx="13">
                  <c:v>5.631535938587251E-2</c:v>
                </c:pt>
                <c:pt idx="14">
                  <c:v>5.0490841374471129E-2</c:v>
                </c:pt>
                <c:pt idx="15">
                  <c:v>3.9413101674235396E-2</c:v>
                </c:pt>
                <c:pt idx="16">
                  <c:v>4.4114612319538393E-2</c:v>
                </c:pt>
                <c:pt idx="17">
                  <c:v>4.1548719615180252E-2</c:v>
                </c:pt>
                <c:pt idx="18">
                  <c:v>2.9313352821923155E-2</c:v>
                </c:pt>
                <c:pt idx="19">
                  <c:v>3.0069544045423502E-2</c:v>
                </c:pt>
                <c:pt idx="20">
                  <c:v>1.5949524769531154E-2</c:v>
                </c:pt>
                <c:pt idx="21">
                  <c:v>1.9072776083735032E-3</c:v>
                </c:pt>
                <c:pt idx="22">
                  <c:v>4.8856814076889687E-3</c:v>
                </c:pt>
                <c:pt idx="23">
                  <c:v>1.2798042301535473E-2</c:v>
                </c:pt>
                <c:pt idx="24">
                  <c:v>1.6052509843240026E-2</c:v>
                </c:pt>
                <c:pt idx="25">
                  <c:v>2.1030837845765316E-2</c:v>
                </c:pt>
                <c:pt idx="26">
                  <c:v>2.4040974618218414E-2</c:v>
                </c:pt>
                <c:pt idx="27">
                  <c:v>1.7591603258249489E-2</c:v>
                </c:pt>
                <c:pt idx="28">
                  <c:v>1.6437637949576533E-2</c:v>
                </c:pt>
                <c:pt idx="29">
                  <c:v>2.4027510200816504E-2</c:v>
                </c:pt>
                <c:pt idx="30">
                  <c:v>1.8967654544773893E-2</c:v>
                </c:pt>
                <c:pt idx="31">
                  <c:v>2.1316143685569555E-2</c:v>
                </c:pt>
                <c:pt idx="32">
                  <c:v>2.2868989562266018E-2</c:v>
                </c:pt>
                <c:pt idx="33">
                  <c:v>2.7758039306768678E-2</c:v>
                </c:pt>
                <c:pt idx="34">
                  <c:v>3.0081764557774004E-2</c:v>
                </c:pt>
                <c:pt idx="35">
                  <c:v>3.2562592054377726E-2</c:v>
                </c:pt>
                <c:pt idx="36">
                  <c:v>3.5955962155404864E-2</c:v>
                </c:pt>
                <c:pt idx="37">
                  <c:v>3.5884950385544512E-2</c:v>
                </c:pt>
                <c:pt idx="38">
                  <c:v>3.8348305442216013E-2</c:v>
                </c:pt>
                <c:pt idx="39">
                  <c:v>3.8348305442216013E-2</c:v>
                </c:pt>
                <c:pt idx="40">
                  <c:v>4.2417738851050935E-2</c:v>
                </c:pt>
              </c:numCache>
            </c:numRef>
          </c:val>
          <c:smooth val="0"/>
          <c:extLst xmlns:c16r2="http://schemas.microsoft.com/office/drawing/2015/06/chart">
            <c:ext xmlns:c16="http://schemas.microsoft.com/office/drawing/2014/chart" uri="{C3380CC4-5D6E-409C-BE32-E72D297353CC}">
              <c16:uniqueId val="{00000000-104E-41A6-80E0-9E15D1F80DF7}"/>
            </c:ext>
          </c:extLst>
        </c:ser>
        <c:ser>
          <c:idx val="1"/>
          <c:order val="1"/>
          <c:tx>
            <c:v>Regional Rental Index (RRI)</c:v>
          </c:tx>
          <c:spPr>
            <a:ln w="22225" cmpd="sng">
              <a:solidFill>
                <a:srgbClr val="7C93B9"/>
              </a:solidFill>
              <a:prstDash val="solid"/>
            </a:ln>
          </c:spPr>
          <c:marker>
            <c:symbol val="none"/>
          </c:marker>
          <c:cat>
            <c:numRef>
              <c:f>figs1source!$A$4:$A$44</c:f>
              <c:numCache>
                <c:formatCode>mmm\-yyyy</c:formatCode>
                <c:ptCount val="41"/>
                <c:pt idx="0">
                  <c:v>39234</c:v>
                </c:pt>
                <c:pt idx="1">
                  <c:v>39326</c:v>
                </c:pt>
                <c:pt idx="2">
                  <c:v>39417</c:v>
                </c:pt>
                <c:pt idx="3">
                  <c:v>39508</c:v>
                </c:pt>
                <c:pt idx="4">
                  <c:v>39600</c:v>
                </c:pt>
                <c:pt idx="5">
                  <c:v>39692</c:v>
                </c:pt>
                <c:pt idx="6">
                  <c:v>39783</c:v>
                </c:pt>
                <c:pt idx="7">
                  <c:v>39873</c:v>
                </c:pt>
                <c:pt idx="8">
                  <c:v>39965</c:v>
                </c:pt>
                <c:pt idx="9">
                  <c:v>40057</c:v>
                </c:pt>
                <c:pt idx="10">
                  <c:v>40148</c:v>
                </c:pt>
                <c:pt idx="11">
                  <c:v>40238</c:v>
                </c:pt>
                <c:pt idx="12">
                  <c:v>40330</c:v>
                </c:pt>
                <c:pt idx="13">
                  <c:v>40422</c:v>
                </c:pt>
                <c:pt idx="14">
                  <c:v>40513</c:v>
                </c:pt>
                <c:pt idx="15">
                  <c:v>40603</c:v>
                </c:pt>
                <c:pt idx="16">
                  <c:v>40695</c:v>
                </c:pt>
                <c:pt idx="17">
                  <c:v>40787</c:v>
                </c:pt>
                <c:pt idx="18">
                  <c:v>40878</c:v>
                </c:pt>
                <c:pt idx="19">
                  <c:v>40969</c:v>
                </c:pt>
                <c:pt idx="20">
                  <c:v>41061</c:v>
                </c:pt>
                <c:pt idx="21">
                  <c:v>41153</c:v>
                </c:pt>
                <c:pt idx="22">
                  <c:v>41244</c:v>
                </c:pt>
                <c:pt idx="23">
                  <c:v>41334</c:v>
                </c:pt>
                <c:pt idx="24">
                  <c:v>41426</c:v>
                </c:pt>
                <c:pt idx="25">
                  <c:v>41518</c:v>
                </c:pt>
                <c:pt idx="26">
                  <c:v>41609</c:v>
                </c:pt>
                <c:pt idx="27">
                  <c:v>41699</c:v>
                </c:pt>
                <c:pt idx="28">
                  <c:v>41791</c:v>
                </c:pt>
                <c:pt idx="29">
                  <c:v>41883</c:v>
                </c:pt>
                <c:pt idx="30">
                  <c:v>41974</c:v>
                </c:pt>
                <c:pt idx="31">
                  <c:v>42064</c:v>
                </c:pt>
                <c:pt idx="32">
                  <c:v>42156</c:v>
                </c:pt>
                <c:pt idx="33">
                  <c:v>42248</c:v>
                </c:pt>
                <c:pt idx="34">
                  <c:v>42339</c:v>
                </c:pt>
                <c:pt idx="35">
                  <c:v>42430</c:v>
                </c:pt>
                <c:pt idx="36">
                  <c:v>42522</c:v>
                </c:pt>
                <c:pt idx="37">
                  <c:v>42614</c:v>
                </c:pt>
                <c:pt idx="38">
                  <c:v>42705</c:v>
                </c:pt>
                <c:pt idx="39">
                  <c:v>42795</c:v>
                </c:pt>
                <c:pt idx="40">
                  <c:v>42887</c:v>
                </c:pt>
              </c:numCache>
            </c:numRef>
          </c:cat>
          <c:val>
            <c:numRef>
              <c:f>figs1source!$C$4:$C$44</c:f>
              <c:numCache>
                <c:formatCode>0.0%</c:formatCode>
                <c:ptCount val="41"/>
                <c:pt idx="0">
                  <c:v>6.1633067694349508E-2</c:v>
                </c:pt>
                <c:pt idx="1">
                  <c:v>6.080002619128555E-2</c:v>
                </c:pt>
                <c:pt idx="2">
                  <c:v>4.3874075349293884E-2</c:v>
                </c:pt>
                <c:pt idx="3">
                  <c:v>4.6588078285266343E-2</c:v>
                </c:pt>
                <c:pt idx="4">
                  <c:v>5.2349780808929269E-2</c:v>
                </c:pt>
                <c:pt idx="5">
                  <c:v>5.6375619570549818E-2</c:v>
                </c:pt>
                <c:pt idx="6">
                  <c:v>7.3913117941470041E-2</c:v>
                </c:pt>
                <c:pt idx="7">
                  <c:v>7.3580368946106534E-2</c:v>
                </c:pt>
                <c:pt idx="8">
                  <c:v>5.7179220124213836E-2</c:v>
                </c:pt>
                <c:pt idx="9">
                  <c:v>4.6059047984755574E-2</c:v>
                </c:pt>
                <c:pt idx="10">
                  <c:v>5.604384880302038E-2</c:v>
                </c:pt>
                <c:pt idx="11">
                  <c:v>6.4929798916110837E-2</c:v>
                </c:pt>
                <c:pt idx="12">
                  <c:v>8.1467400923623368E-2</c:v>
                </c:pt>
                <c:pt idx="13">
                  <c:v>7.0691123577423687E-2</c:v>
                </c:pt>
                <c:pt idx="14">
                  <c:v>6.744777302662186E-2</c:v>
                </c:pt>
                <c:pt idx="15">
                  <c:v>6.638279895471455E-2</c:v>
                </c:pt>
                <c:pt idx="16">
                  <c:v>4.6889910245269339E-2</c:v>
                </c:pt>
                <c:pt idx="17">
                  <c:v>5.9933139339645169E-2</c:v>
                </c:pt>
                <c:pt idx="18">
                  <c:v>5.0330347907008077E-2</c:v>
                </c:pt>
                <c:pt idx="19">
                  <c:v>4.6268728796090564E-2</c:v>
                </c:pt>
                <c:pt idx="20">
                  <c:v>2.8893088331897632E-2</c:v>
                </c:pt>
                <c:pt idx="21">
                  <c:v>1.8800161777906332E-2</c:v>
                </c:pt>
                <c:pt idx="22">
                  <c:v>1.5221918124087797E-2</c:v>
                </c:pt>
                <c:pt idx="23">
                  <c:v>8.4154324113878687E-3</c:v>
                </c:pt>
                <c:pt idx="24">
                  <c:v>1.2114263284390692E-2</c:v>
                </c:pt>
                <c:pt idx="25">
                  <c:v>1.7959396833292285E-2</c:v>
                </c:pt>
                <c:pt idx="26">
                  <c:v>1.9636778937900168E-2</c:v>
                </c:pt>
                <c:pt idx="27">
                  <c:v>1.6952369838091563E-2</c:v>
                </c:pt>
                <c:pt idx="28">
                  <c:v>3.6931732208554502E-2</c:v>
                </c:pt>
                <c:pt idx="29">
                  <c:v>2.428982448625927E-2</c:v>
                </c:pt>
                <c:pt idx="30">
                  <c:v>1.2414317216290938E-2</c:v>
                </c:pt>
                <c:pt idx="31">
                  <c:v>2.2420242892676079E-2</c:v>
                </c:pt>
                <c:pt idx="32">
                  <c:v>8.5763746693461318E-3</c:v>
                </c:pt>
                <c:pt idx="33">
                  <c:v>2.8073302164667524E-2</c:v>
                </c:pt>
                <c:pt idx="34">
                  <c:v>2.8721501363603297E-2</c:v>
                </c:pt>
                <c:pt idx="35">
                  <c:v>2.3153558391871387E-2</c:v>
                </c:pt>
                <c:pt idx="36">
                  <c:v>2.4342745861733128E-2</c:v>
                </c:pt>
                <c:pt idx="37">
                  <c:v>1.7365447352761132E-2</c:v>
                </c:pt>
                <c:pt idx="38">
                  <c:v>2.8174678040737033E-2</c:v>
                </c:pt>
                <c:pt idx="39">
                  <c:v>2.1369961289454231E-2</c:v>
                </c:pt>
                <c:pt idx="40">
                  <c:v>3.0464708987204547E-2</c:v>
                </c:pt>
              </c:numCache>
            </c:numRef>
          </c:val>
          <c:smooth val="0"/>
          <c:extLst xmlns:c16r2="http://schemas.microsoft.com/office/drawing/2015/06/chart">
            <c:ext xmlns:c16="http://schemas.microsoft.com/office/drawing/2014/chart" uri="{C3380CC4-5D6E-409C-BE32-E72D297353CC}">
              <c16:uniqueId val="{00000001-104E-41A6-80E0-9E15D1F80DF7}"/>
            </c:ext>
          </c:extLst>
        </c:ser>
        <c:ser>
          <c:idx val="2"/>
          <c:order val="2"/>
          <c:tx>
            <c:v>Long term average MRI</c:v>
          </c:tx>
          <c:spPr>
            <a:ln w="22225" cmpd="sng">
              <a:solidFill>
                <a:srgbClr val="3F5172"/>
              </a:solidFill>
              <a:prstDash val="sysDash"/>
            </a:ln>
          </c:spPr>
          <c:marker>
            <c:symbol val="none"/>
          </c:marker>
          <c:cat>
            <c:numRef>
              <c:f>figs1source!$A$4:$A$44</c:f>
              <c:numCache>
                <c:formatCode>mmm\-yyyy</c:formatCode>
                <c:ptCount val="41"/>
                <c:pt idx="0">
                  <c:v>39234</c:v>
                </c:pt>
                <c:pt idx="1">
                  <c:v>39326</c:v>
                </c:pt>
                <c:pt idx="2">
                  <c:v>39417</c:v>
                </c:pt>
                <c:pt idx="3">
                  <c:v>39508</c:v>
                </c:pt>
                <c:pt idx="4">
                  <c:v>39600</c:v>
                </c:pt>
                <c:pt idx="5">
                  <c:v>39692</c:v>
                </c:pt>
                <c:pt idx="6">
                  <c:v>39783</c:v>
                </c:pt>
                <c:pt idx="7">
                  <c:v>39873</c:v>
                </c:pt>
                <c:pt idx="8">
                  <c:v>39965</c:v>
                </c:pt>
                <c:pt idx="9">
                  <c:v>40057</c:v>
                </c:pt>
                <c:pt idx="10">
                  <c:v>40148</c:v>
                </c:pt>
                <c:pt idx="11">
                  <c:v>40238</c:v>
                </c:pt>
                <c:pt idx="12">
                  <c:v>40330</c:v>
                </c:pt>
                <c:pt idx="13">
                  <c:v>40422</c:v>
                </c:pt>
                <c:pt idx="14">
                  <c:v>40513</c:v>
                </c:pt>
                <c:pt idx="15">
                  <c:v>40603</c:v>
                </c:pt>
                <c:pt idx="16">
                  <c:v>40695</c:v>
                </c:pt>
                <c:pt idx="17">
                  <c:v>40787</c:v>
                </c:pt>
                <c:pt idx="18">
                  <c:v>40878</c:v>
                </c:pt>
                <c:pt idx="19">
                  <c:v>40969</c:v>
                </c:pt>
                <c:pt idx="20">
                  <c:v>41061</c:v>
                </c:pt>
                <c:pt idx="21">
                  <c:v>41153</c:v>
                </c:pt>
                <c:pt idx="22">
                  <c:v>41244</c:v>
                </c:pt>
                <c:pt idx="23">
                  <c:v>41334</c:v>
                </c:pt>
                <c:pt idx="24">
                  <c:v>41426</c:v>
                </c:pt>
                <c:pt idx="25">
                  <c:v>41518</c:v>
                </c:pt>
                <c:pt idx="26">
                  <c:v>41609</c:v>
                </c:pt>
                <c:pt idx="27">
                  <c:v>41699</c:v>
                </c:pt>
                <c:pt idx="28">
                  <c:v>41791</c:v>
                </c:pt>
                <c:pt idx="29">
                  <c:v>41883</c:v>
                </c:pt>
                <c:pt idx="30">
                  <c:v>41974</c:v>
                </c:pt>
                <c:pt idx="31">
                  <c:v>42064</c:v>
                </c:pt>
                <c:pt idx="32">
                  <c:v>42156</c:v>
                </c:pt>
                <c:pt idx="33">
                  <c:v>42248</c:v>
                </c:pt>
                <c:pt idx="34">
                  <c:v>42339</c:v>
                </c:pt>
                <c:pt idx="35">
                  <c:v>42430</c:v>
                </c:pt>
                <c:pt idx="36">
                  <c:v>42522</c:v>
                </c:pt>
                <c:pt idx="37">
                  <c:v>42614</c:v>
                </c:pt>
                <c:pt idx="38">
                  <c:v>42705</c:v>
                </c:pt>
                <c:pt idx="39">
                  <c:v>42795</c:v>
                </c:pt>
                <c:pt idx="40">
                  <c:v>42887</c:v>
                </c:pt>
              </c:numCache>
            </c:numRef>
          </c:cat>
          <c:val>
            <c:numRef>
              <c:f>figs1source!$E$4:$E$44</c:f>
              <c:numCache>
                <c:formatCode>0.0%</c:formatCode>
                <c:ptCount val="41"/>
                <c:pt idx="0">
                  <c:v>4.6347616758361937E-2</c:v>
                </c:pt>
                <c:pt idx="1">
                  <c:v>4.6347616758361937E-2</c:v>
                </c:pt>
                <c:pt idx="2">
                  <c:v>4.6347616758361937E-2</c:v>
                </c:pt>
                <c:pt idx="3">
                  <c:v>4.6347616758361937E-2</c:v>
                </c:pt>
                <c:pt idx="4">
                  <c:v>4.6347616758361937E-2</c:v>
                </c:pt>
                <c:pt idx="5">
                  <c:v>4.6347616758361937E-2</c:v>
                </c:pt>
                <c:pt idx="6">
                  <c:v>4.6347616758361937E-2</c:v>
                </c:pt>
                <c:pt idx="7">
                  <c:v>4.6347616758361937E-2</c:v>
                </c:pt>
                <c:pt idx="8">
                  <c:v>4.6347616758361937E-2</c:v>
                </c:pt>
                <c:pt idx="9">
                  <c:v>4.6347616758361937E-2</c:v>
                </c:pt>
                <c:pt idx="10">
                  <c:v>4.6347616758361937E-2</c:v>
                </c:pt>
                <c:pt idx="11">
                  <c:v>4.6347616758361937E-2</c:v>
                </c:pt>
                <c:pt idx="12">
                  <c:v>4.6347616758361937E-2</c:v>
                </c:pt>
                <c:pt idx="13">
                  <c:v>4.6347616758361937E-2</c:v>
                </c:pt>
                <c:pt idx="14">
                  <c:v>4.6347616758361937E-2</c:v>
                </c:pt>
                <c:pt idx="15">
                  <c:v>4.6347616758361937E-2</c:v>
                </c:pt>
                <c:pt idx="16">
                  <c:v>4.6347616758361937E-2</c:v>
                </c:pt>
                <c:pt idx="17">
                  <c:v>4.6347616758361937E-2</c:v>
                </c:pt>
                <c:pt idx="18">
                  <c:v>4.6347616758361937E-2</c:v>
                </c:pt>
                <c:pt idx="19">
                  <c:v>4.6347616758361937E-2</c:v>
                </c:pt>
                <c:pt idx="20">
                  <c:v>4.6347616758361937E-2</c:v>
                </c:pt>
                <c:pt idx="21">
                  <c:v>4.6347616758361937E-2</c:v>
                </c:pt>
                <c:pt idx="22">
                  <c:v>4.6347616758361937E-2</c:v>
                </c:pt>
                <c:pt idx="23">
                  <c:v>4.6347616758361937E-2</c:v>
                </c:pt>
                <c:pt idx="24">
                  <c:v>4.6347616758361937E-2</c:v>
                </c:pt>
                <c:pt idx="25">
                  <c:v>4.6347616758361937E-2</c:v>
                </c:pt>
                <c:pt idx="26">
                  <c:v>4.6347616758361937E-2</c:v>
                </c:pt>
                <c:pt idx="27">
                  <c:v>4.6347616758361937E-2</c:v>
                </c:pt>
                <c:pt idx="28">
                  <c:v>4.6347616758361937E-2</c:v>
                </c:pt>
                <c:pt idx="29">
                  <c:v>4.6347616758361937E-2</c:v>
                </c:pt>
                <c:pt idx="30">
                  <c:v>4.6347616758361937E-2</c:v>
                </c:pt>
                <c:pt idx="31">
                  <c:v>4.6347616758361937E-2</c:v>
                </c:pt>
                <c:pt idx="32">
                  <c:v>4.6347616758361937E-2</c:v>
                </c:pt>
                <c:pt idx="33">
                  <c:v>4.6347616758361937E-2</c:v>
                </c:pt>
                <c:pt idx="34">
                  <c:v>4.6347616758361937E-2</c:v>
                </c:pt>
                <c:pt idx="35">
                  <c:v>4.6347616758361937E-2</c:v>
                </c:pt>
                <c:pt idx="36">
                  <c:v>4.6347616758361937E-2</c:v>
                </c:pt>
                <c:pt idx="37">
                  <c:v>4.6347616758361937E-2</c:v>
                </c:pt>
                <c:pt idx="38">
                  <c:v>4.6347616758361937E-2</c:v>
                </c:pt>
                <c:pt idx="39">
                  <c:v>4.6347616758361937E-2</c:v>
                </c:pt>
                <c:pt idx="40">
                  <c:v>4.6347616758361937E-2</c:v>
                </c:pt>
              </c:numCache>
            </c:numRef>
          </c:val>
          <c:smooth val="0"/>
          <c:extLst xmlns:c16r2="http://schemas.microsoft.com/office/drawing/2015/06/chart">
            <c:ext xmlns:c16="http://schemas.microsoft.com/office/drawing/2014/chart" uri="{C3380CC4-5D6E-409C-BE32-E72D297353CC}">
              <c16:uniqueId val="{00000002-104E-41A6-80E0-9E15D1F80DF7}"/>
            </c:ext>
          </c:extLst>
        </c:ser>
        <c:ser>
          <c:idx val="3"/>
          <c:order val="3"/>
          <c:tx>
            <c:v>Long term average RRI</c:v>
          </c:tx>
          <c:spPr>
            <a:ln w="19050">
              <a:solidFill>
                <a:srgbClr val="7C93B9"/>
              </a:solidFill>
              <a:prstDash val="sysDash"/>
            </a:ln>
          </c:spPr>
          <c:marker>
            <c:symbol val="none"/>
          </c:marker>
          <c:cat>
            <c:numRef>
              <c:f>figs1source!$A$4:$A$44</c:f>
              <c:numCache>
                <c:formatCode>mmm\-yyyy</c:formatCode>
                <c:ptCount val="41"/>
                <c:pt idx="0">
                  <c:v>39234</c:v>
                </c:pt>
                <c:pt idx="1">
                  <c:v>39326</c:v>
                </c:pt>
                <c:pt idx="2">
                  <c:v>39417</c:v>
                </c:pt>
                <c:pt idx="3">
                  <c:v>39508</c:v>
                </c:pt>
                <c:pt idx="4">
                  <c:v>39600</c:v>
                </c:pt>
                <c:pt idx="5">
                  <c:v>39692</c:v>
                </c:pt>
                <c:pt idx="6">
                  <c:v>39783</c:v>
                </c:pt>
                <c:pt idx="7">
                  <c:v>39873</c:v>
                </c:pt>
                <c:pt idx="8">
                  <c:v>39965</c:v>
                </c:pt>
                <c:pt idx="9">
                  <c:v>40057</c:v>
                </c:pt>
                <c:pt idx="10">
                  <c:v>40148</c:v>
                </c:pt>
                <c:pt idx="11">
                  <c:v>40238</c:v>
                </c:pt>
                <c:pt idx="12">
                  <c:v>40330</c:v>
                </c:pt>
                <c:pt idx="13">
                  <c:v>40422</c:v>
                </c:pt>
                <c:pt idx="14">
                  <c:v>40513</c:v>
                </c:pt>
                <c:pt idx="15">
                  <c:v>40603</c:v>
                </c:pt>
                <c:pt idx="16">
                  <c:v>40695</c:v>
                </c:pt>
                <c:pt idx="17">
                  <c:v>40787</c:v>
                </c:pt>
                <c:pt idx="18">
                  <c:v>40878</c:v>
                </c:pt>
                <c:pt idx="19">
                  <c:v>40969</c:v>
                </c:pt>
                <c:pt idx="20">
                  <c:v>41061</c:v>
                </c:pt>
                <c:pt idx="21">
                  <c:v>41153</c:v>
                </c:pt>
                <c:pt idx="22">
                  <c:v>41244</c:v>
                </c:pt>
                <c:pt idx="23">
                  <c:v>41334</c:v>
                </c:pt>
                <c:pt idx="24">
                  <c:v>41426</c:v>
                </c:pt>
                <c:pt idx="25">
                  <c:v>41518</c:v>
                </c:pt>
                <c:pt idx="26">
                  <c:v>41609</c:v>
                </c:pt>
                <c:pt idx="27">
                  <c:v>41699</c:v>
                </c:pt>
                <c:pt idx="28">
                  <c:v>41791</c:v>
                </c:pt>
                <c:pt idx="29">
                  <c:v>41883</c:v>
                </c:pt>
                <c:pt idx="30">
                  <c:v>41974</c:v>
                </c:pt>
                <c:pt idx="31">
                  <c:v>42064</c:v>
                </c:pt>
                <c:pt idx="32">
                  <c:v>42156</c:v>
                </c:pt>
                <c:pt idx="33">
                  <c:v>42248</c:v>
                </c:pt>
                <c:pt idx="34">
                  <c:v>42339</c:v>
                </c:pt>
                <c:pt idx="35">
                  <c:v>42430</c:v>
                </c:pt>
                <c:pt idx="36">
                  <c:v>42522</c:v>
                </c:pt>
                <c:pt idx="37">
                  <c:v>42614</c:v>
                </c:pt>
                <c:pt idx="38">
                  <c:v>42705</c:v>
                </c:pt>
                <c:pt idx="39">
                  <c:v>42795</c:v>
                </c:pt>
                <c:pt idx="40">
                  <c:v>42887</c:v>
                </c:pt>
              </c:numCache>
            </c:numRef>
          </c:cat>
          <c:val>
            <c:numRef>
              <c:f>figs1source!$F$4:$F$44</c:f>
              <c:numCache>
                <c:formatCode>0.0%</c:formatCode>
                <c:ptCount val="41"/>
                <c:pt idx="0">
                  <c:v>3.9134900253887807E-2</c:v>
                </c:pt>
                <c:pt idx="1">
                  <c:v>3.9134900253887807E-2</c:v>
                </c:pt>
                <c:pt idx="2">
                  <c:v>3.9134900253887807E-2</c:v>
                </c:pt>
                <c:pt idx="3">
                  <c:v>3.9134900253887807E-2</c:v>
                </c:pt>
                <c:pt idx="4">
                  <c:v>3.9134900253887807E-2</c:v>
                </c:pt>
                <c:pt idx="5">
                  <c:v>3.9134900253887807E-2</c:v>
                </c:pt>
                <c:pt idx="6">
                  <c:v>3.9134900253887807E-2</c:v>
                </c:pt>
                <c:pt idx="7">
                  <c:v>3.9134900253887807E-2</c:v>
                </c:pt>
                <c:pt idx="8">
                  <c:v>3.9134900253887807E-2</c:v>
                </c:pt>
                <c:pt idx="9">
                  <c:v>3.9134900253887807E-2</c:v>
                </c:pt>
                <c:pt idx="10">
                  <c:v>3.9134900253887807E-2</c:v>
                </c:pt>
                <c:pt idx="11">
                  <c:v>3.9134900253887807E-2</c:v>
                </c:pt>
                <c:pt idx="12">
                  <c:v>3.9134900253887807E-2</c:v>
                </c:pt>
                <c:pt idx="13">
                  <c:v>3.9134900253887807E-2</c:v>
                </c:pt>
                <c:pt idx="14">
                  <c:v>3.9134900253887807E-2</c:v>
                </c:pt>
                <c:pt idx="15">
                  <c:v>3.9134900253887807E-2</c:v>
                </c:pt>
                <c:pt idx="16">
                  <c:v>3.9134900253887807E-2</c:v>
                </c:pt>
                <c:pt idx="17">
                  <c:v>3.9134900253887807E-2</c:v>
                </c:pt>
                <c:pt idx="18">
                  <c:v>3.9134900253887807E-2</c:v>
                </c:pt>
                <c:pt idx="19">
                  <c:v>3.9134900253887807E-2</c:v>
                </c:pt>
                <c:pt idx="20">
                  <c:v>3.9134900253887807E-2</c:v>
                </c:pt>
                <c:pt idx="21">
                  <c:v>3.9134900253887807E-2</c:v>
                </c:pt>
                <c:pt idx="22">
                  <c:v>3.9134900253887807E-2</c:v>
                </c:pt>
                <c:pt idx="23">
                  <c:v>3.9134900253887807E-2</c:v>
                </c:pt>
                <c:pt idx="24">
                  <c:v>3.9134900253887807E-2</c:v>
                </c:pt>
                <c:pt idx="25">
                  <c:v>3.9134900253887807E-2</c:v>
                </c:pt>
                <c:pt idx="26">
                  <c:v>3.9134900253887807E-2</c:v>
                </c:pt>
                <c:pt idx="27">
                  <c:v>3.9134900253887807E-2</c:v>
                </c:pt>
                <c:pt idx="28">
                  <c:v>3.9134900253887807E-2</c:v>
                </c:pt>
                <c:pt idx="29">
                  <c:v>3.9134900253887807E-2</c:v>
                </c:pt>
                <c:pt idx="30">
                  <c:v>3.9134900253887807E-2</c:v>
                </c:pt>
                <c:pt idx="31">
                  <c:v>3.9134900253887807E-2</c:v>
                </c:pt>
                <c:pt idx="32">
                  <c:v>3.9134900253887807E-2</c:v>
                </c:pt>
                <c:pt idx="33">
                  <c:v>3.9134900253887807E-2</c:v>
                </c:pt>
                <c:pt idx="34">
                  <c:v>3.9134900253887807E-2</c:v>
                </c:pt>
                <c:pt idx="35">
                  <c:v>3.9134900253887807E-2</c:v>
                </c:pt>
                <c:pt idx="36">
                  <c:v>3.9134900253887807E-2</c:v>
                </c:pt>
                <c:pt idx="37">
                  <c:v>3.9134900253887807E-2</c:v>
                </c:pt>
                <c:pt idx="38">
                  <c:v>3.9134900253887807E-2</c:v>
                </c:pt>
                <c:pt idx="39">
                  <c:v>3.9134900253887807E-2</c:v>
                </c:pt>
                <c:pt idx="40">
                  <c:v>3.9134900253887807E-2</c:v>
                </c:pt>
              </c:numCache>
            </c:numRef>
          </c:val>
          <c:smooth val="0"/>
          <c:extLst xmlns:c16r2="http://schemas.microsoft.com/office/drawing/2015/06/chart">
            <c:ext xmlns:c16="http://schemas.microsoft.com/office/drawing/2014/chart" uri="{C3380CC4-5D6E-409C-BE32-E72D297353CC}">
              <c16:uniqueId val="{00000003-104E-41A6-80E0-9E15D1F80DF7}"/>
            </c:ext>
          </c:extLst>
        </c:ser>
        <c:dLbls>
          <c:showLegendKey val="0"/>
          <c:showVal val="0"/>
          <c:showCatName val="0"/>
          <c:showSerName val="0"/>
          <c:showPercent val="0"/>
          <c:showBubbleSize val="0"/>
        </c:dLbls>
        <c:marker val="1"/>
        <c:smooth val="0"/>
        <c:axId val="36704256"/>
        <c:axId val="36705792"/>
      </c:lineChart>
      <c:dateAx>
        <c:axId val="36704256"/>
        <c:scaling>
          <c:orientation val="minMax"/>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36705792"/>
        <c:crosses val="autoZero"/>
        <c:auto val="1"/>
        <c:lblOffset val="100"/>
        <c:baseTimeUnit val="months"/>
        <c:majorUnit val="1"/>
        <c:majorTimeUnit val="years"/>
        <c:minorUnit val="3"/>
        <c:minorTimeUnit val="months"/>
      </c:dateAx>
      <c:valAx>
        <c:axId val="3670579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36704256"/>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'fig4, 6&amp;8 source'!$A$53:$A$73</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source'!$C$53:$C$73</c:f>
              <c:numCache>
                <c:formatCode>0.0%</c:formatCode>
                <c:ptCount val="21"/>
                <c:pt idx="0">
                  <c:v>7.9153048519512853E-2</c:v>
                </c:pt>
                <c:pt idx="1">
                  <c:v>7.6884752728260924E-2</c:v>
                </c:pt>
                <c:pt idx="2">
                  <c:v>7.5494747129245046E-2</c:v>
                </c:pt>
                <c:pt idx="3">
                  <c:v>6.9513283730996744E-2</c:v>
                </c:pt>
                <c:pt idx="4">
                  <c:v>6.4268250087320997E-2</c:v>
                </c:pt>
                <c:pt idx="5">
                  <c:v>5.9592563159793784E-2</c:v>
                </c:pt>
                <c:pt idx="6">
                  <c:v>5.6993324712543252E-2</c:v>
                </c:pt>
                <c:pt idx="7">
                  <c:v>5.42303053589916E-2</c:v>
                </c:pt>
                <c:pt idx="8">
                  <c:v>5.3169166922515006E-2</c:v>
                </c:pt>
                <c:pt idx="9">
                  <c:v>5.1454858441688671E-2</c:v>
                </c:pt>
                <c:pt idx="10">
                  <c:v>5.0650960942343462E-2</c:v>
                </c:pt>
                <c:pt idx="11">
                  <c:v>4.9047320144977424E-2</c:v>
                </c:pt>
                <c:pt idx="12">
                  <c:v>4.7937659329789543E-2</c:v>
                </c:pt>
                <c:pt idx="13">
                  <c:v>4.6971798244394021E-2</c:v>
                </c:pt>
                <c:pt idx="14">
                  <c:v>4.6244173009972266E-2</c:v>
                </c:pt>
                <c:pt idx="15">
                  <c:v>4.8084031245355562E-2</c:v>
                </c:pt>
                <c:pt idx="16">
                  <c:v>4.7972143350471952E-2</c:v>
                </c:pt>
                <c:pt idx="17">
                  <c:v>5.1322439049384848E-2</c:v>
                </c:pt>
                <c:pt idx="18">
                  <c:v>4.7587893690980425E-2</c:v>
                </c:pt>
                <c:pt idx="19">
                  <c:v>3.9461883408071746E-2</c:v>
                </c:pt>
                <c:pt idx="20">
                  <c:v>4.0293274995652134E-2</c:v>
                </c:pt>
              </c:numCache>
            </c:numRef>
          </c:val>
          <c:extLst xmlns:c16r2="http://schemas.microsoft.com/office/drawing/2015/06/chart">
            <c:ext xmlns:c16="http://schemas.microsoft.com/office/drawing/2014/chart" uri="{C3380CC4-5D6E-409C-BE32-E72D297353CC}">
              <c16:uniqueId val="{00000000-A99D-40B7-A2BC-441DDAD42BE2}"/>
            </c:ext>
          </c:extLst>
        </c:ser>
        <c:dLbls>
          <c:showLegendKey val="0"/>
          <c:showVal val="0"/>
          <c:showCatName val="0"/>
          <c:showSerName val="0"/>
          <c:showPercent val="0"/>
          <c:showBubbleSize val="0"/>
        </c:dLbls>
        <c:gapWidth val="75"/>
        <c:overlap val="9"/>
        <c:axId val="36786176"/>
        <c:axId val="36787712"/>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'fig4, 6&amp;8 source'!$A$53:$A$73</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source'!$D$53:$D$73</c:f>
              <c:numCache>
                <c:formatCode>0.0%</c:formatCode>
                <c:ptCount val="21"/>
                <c:pt idx="0">
                  <c:v>5.3858741484137461E-2</c:v>
                </c:pt>
                <c:pt idx="1">
                  <c:v>5.3858741484137461E-2</c:v>
                </c:pt>
                <c:pt idx="2">
                  <c:v>5.3858741484137461E-2</c:v>
                </c:pt>
                <c:pt idx="3">
                  <c:v>5.3858741484137461E-2</c:v>
                </c:pt>
                <c:pt idx="4">
                  <c:v>5.3858741484137461E-2</c:v>
                </c:pt>
                <c:pt idx="5">
                  <c:v>5.3858741484137461E-2</c:v>
                </c:pt>
                <c:pt idx="6">
                  <c:v>5.3858741484137461E-2</c:v>
                </c:pt>
                <c:pt idx="7">
                  <c:v>5.3858741484137461E-2</c:v>
                </c:pt>
                <c:pt idx="8">
                  <c:v>5.3858741484137461E-2</c:v>
                </c:pt>
                <c:pt idx="9">
                  <c:v>5.3858741484137461E-2</c:v>
                </c:pt>
                <c:pt idx="10">
                  <c:v>5.3858741484137461E-2</c:v>
                </c:pt>
                <c:pt idx="11">
                  <c:v>5.3858741484137461E-2</c:v>
                </c:pt>
                <c:pt idx="12">
                  <c:v>5.3858741484137461E-2</c:v>
                </c:pt>
                <c:pt idx="13">
                  <c:v>5.3858741484137461E-2</c:v>
                </c:pt>
                <c:pt idx="14">
                  <c:v>5.3858741484137461E-2</c:v>
                </c:pt>
                <c:pt idx="15">
                  <c:v>5.3858741484137461E-2</c:v>
                </c:pt>
                <c:pt idx="16">
                  <c:v>5.3858741484137461E-2</c:v>
                </c:pt>
                <c:pt idx="17">
                  <c:v>5.3858741484137461E-2</c:v>
                </c:pt>
                <c:pt idx="18">
                  <c:v>5.3858741484137461E-2</c:v>
                </c:pt>
                <c:pt idx="19">
                  <c:v>5.3858741484137461E-2</c:v>
                </c:pt>
                <c:pt idx="20">
                  <c:v>5.3858741484137461E-2</c:v>
                </c:pt>
              </c:numCache>
            </c:numRef>
          </c:val>
          <c:smooth val="0"/>
          <c:extLst xmlns:c16r2="http://schemas.microsoft.com/office/drawing/2015/06/chart">
            <c:ext xmlns:c16="http://schemas.microsoft.com/office/drawing/2014/chart" uri="{C3380CC4-5D6E-409C-BE32-E72D297353CC}">
              <c16:uniqueId val="{00000001-A99D-40B7-A2BC-441DDAD42BE2}"/>
            </c:ext>
          </c:extLst>
        </c:ser>
        <c:dLbls>
          <c:showLegendKey val="0"/>
          <c:showVal val="0"/>
          <c:showCatName val="0"/>
          <c:showSerName val="0"/>
          <c:showPercent val="0"/>
          <c:showBubbleSize val="0"/>
        </c:dLbls>
        <c:marker val="1"/>
        <c:smooth val="0"/>
        <c:axId val="36786176"/>
        <c:axId val="36787712"/>
      </c:lineChart>
      <c:catAx>
        <c:axId val="36786176"/>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36787712"/>
        <c:crossesAt val="-0.1"/>
        <c:auto val="0"/>
        <c:lblAlgn val="ctr"/>
        <c:lblOffset val="100"/>
        <c:tickLblSkip val="4"/>
        <c:tickMarkSkip val="1"/>
        <c:noMultiLvlLbl val="0"/>
      </c:catAx>
      <c:valAx>
        <c:axId val="36787712"/>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36786176"/>
        <c:crosses val="autoZero"/>
        <c:crossBetween val="between"/>
      </c:valAx>
      <c:spPr>
        <a:noFill/>
        <a:ln w="12700">
          <a:noFill/>
          <a:prstDash val="solid"/>
        </a:ln>
      </c:spPr>
    </c:plotArea>
    <c:legend>
      <c:legendPos val="b"/>
      <c:layout>
        <c:manualLayout>
          <c:xMode val="edge"/>
          <c:yMode val="edge"/>
          <c:x val="0.17177219326288604"/>
          <c:y val="0.9075774574816069"/>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720392476413512E-2"/>
          <c:y val="4.5762711864410929E-2"/>
          <c:w val="0.89372846906779213"/>
          <c:h val="0.78644581573353656"/>
        </c:manualLayout>
      </c:layout>
      <c:barChart>
        <c:barDir val="col"/>
        <c:grouping val="clustered"/>
        <c:varyColors val="0"/>
        <c:ser>
          <c:idx val="1"/>
          <c:order val="0"/>
          <c:tx>
            <c:strRef>
              <c:f>'fig4, 6&amp;8 source'!$N$52</c:f>
              <c:strCache>
                <c:ptCount val="1"/>
                <c:pt idx="0">
                  <c:v>Lending to investors ($m)</c:v>
                </c:pt>
              </c:strCache>
            </c:strRef>
          </c:tx>
          <c:spPr>
            <a:solidFill>
              <a:srgbClr val="7C93B9"/>
            </a:solidFill>
            <a:ln w="12700">
              <a:noFill/>
              <a:prstDash val="solid"/>
            </a:ln>
          </c:spPr>
          <c:invertIfNegative val="0"/>
          <c:cat>
            <c:numRef>
              <c:f>'fig4, 6&amp;8 source'!$M$53:$M$73</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source'!$N$53:$N$73</c:f>
              <c:numCache>
                <c:formatCode>#,##0</c:formatCode>
                <c:ptCount val="21"/>
                <c:pt idx="0">
                  <c:v>6367.6020752988043</c:v>
                </c:pt>
                <c:pt idx="1">
                  <c:v>6490.3328269488184</c:v>
                </c:pt>
                <c:pt idx="2">
                  <c:v>6435.3227997058802</c:v>
                </c:pt>
                <c:pt idx="3">
                  <c:v>6489.5048411718753</c:v>
                </c:pt>
                <c:pt idx="4">
                  <c:v>7382.5229699415213</c:v>
                </c:pt>
                <c:pt idx="5">
                  <c:v>8315.9019127499996</c:v>
                </c:pt>
                <c:pt idx="6">
                  <c:v>8648.3221260687023</c:v>
                </c:pt>
                <c:pt idx="7">
                  <c:v>8499.9351060968656</c:v>
                </c:pt>
                <c:pt idx="8">
                  <c:v>9531.282197648723</c:v>
                </c:pt>
                <c:pt idx="9">
                  <c:v>10347.893017973611</c:v>
                </c:pt>
                <c:pt idx="10">
                  <c:v>10338.640675851362</c:v>
                </c:pt>
                <c:pt idx="11">
                  <c:v>10449.377081419174</c:v>
                </c:pt>
                <c:pt idx="12">
                  <c:v>11260.15459742297</c:v>
                </c:pt>
                <c:pt idx="13">
                  <c:v>9981.9936184851304</c:v>
                </c:pt>
                <c:pt idx="14">
                  <c:v>8571.9872048753459</c:v>
                </c:pt>
                <c:pt idx="15">
                  <c:v>8646.1347883641411</c:v>
                </c:pt>
                <c:pt idx="16">
                  <c:v>9687.0777722099447</c:v>
                </c:pt>
                <c:pt idx="17">
                  <c:v>10027.112480678277</c:v>
                </c:pt>
                <c:pt idx="18">
                  <c:v>9880.3141480891718</c:v>
                </c:pt>
                <c:pt idx="19">
                  <c:v>9790.3445332100982</c:v>
                </c:pt>
                <c:pt idx="20">
                  <c:v>10711.342448000001</c:v>
                </c:pt>
              </c:numCache>
            </c:numRef>
          </c:val>
          <c:extLst xmlns:c16r2="http://schemas.microsoft.com/office/drawing/2015/06/chart">
            <c:ext xmlns:c16="http://schemas.microsoft.com/office/drawing/2014/chart" uri="{C3380CC4-5D6E-409C-BE32-E72D297353CC}">
              <c16:uniqueId val="{00000000-96F1-4154-93E8-59AD890D9DCF}"/>
            </c:ext>
          </c:extLst>
        </c:ser>
        <c:dLbls>
          <c:showLegendKey val="0"/>
          <c:showVal val="0"/>
          <c:showCatName val="0"/>
          <c:showSerName val="0"/>
          <c:showPercent val="0"/>
          <c:showBubbleSize val="0"/>
        </c:dLbls>
        <c:gapWidth val="40"/>
        <c:overlap val="61"/>
        <c:axId val="38339328"/>
        <c:axId val="38340864"/>
      </c:barChart>
      <c:lineChart>
        <c:grouping val="standard"/>
        <c:varyColors val="0"/>
        <c:ser>
          <c:idx val="0"/>
          <c:order val="1"/>
          <c:tx>
            <c:strRef>
              <c:f>'fig4, 6&amp;8 source'!$O$52</c:f>
              <c:strCache>
                <c:ptCount val="1"/>
                <c:pt idx="0">
                  <c:v>Investor share of all housing loans (%)</c:v>
                </c:pt>
              </c:strCache>
            </c:strRef>
          </c:tx>
          <c:spPr>
            <a:ln w="15875">
              <a:solidFill>
                <a:srgbClr val="3F5172"/>
              </a:solidFill>
              <a:prstDash val="solid"/>
            </a:ln>
          </c:spPr>
          <c:marker>
            <c:symbol val="none"/>
          </c:marker>
          <c:cat>
            <c:numRef>
              <c:f>'fig4, 6&amp;8 source'!$M$53:$M$73</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source'!$O$53:$O$73</c:f>
              <c:numCache>
                <c:formatCode>0.0%</c:formatCode>
                <c:ptCount val="21"/>
                <c:pt idx="0">
                  <c:v>0.34082380436792903</c:v>
                </c:pt>
                <c:pt idx="1">
                  <c:v>0.33712061010103556</c:v>
                </c:pt>
                <c:pt idx="2">
                  <c:v>0.34501441814663186</c:v>
                </c:pt>
                <c:pt idx="3">
                  <c:v>0.35507362469781584</c:v>
                </c:pt>
                <c:pt idx="4">
                  <c:v>0.36518641322225909</c:v>
                </c:pt>
                <c:pt idx="5">
                  <c:v>0.38433314158569176</c:v>
                </c:pt>
                <c:pt idx="6">
                  <c:v>0.39947512655152484</c:v>
                </c:pt>
                <c:pt idx="7">
                  <c:v>0.40809523356104449</c:v>
                </c:pt>
                <c:pt idx="8">
                  <c:v>0.41892088073996248</c:v>
                </c:pt>
                <c:pt idx="9">
                  <c:v>0.42500248804125995</c:v>
                </c:pt>
                <c:pt idx="10">
                  <c:v>0.4276165780438233</c:v>
                </c:pt>
                <c:pt idx="11">
                  <c:v>0.43809399098475132</c:v>
                </c:pt>
                <c:pt idx="12">
                  <c:v>0.43222624679138738</c:v>
                </c:pt>
                <c:pt idx="13">
                  <c:v>0.36724033314194215</c:v>
                </c:pt>
                <c:pt idx="14">
                  <c:v>0.32602655198687541</c:v>
                </c:pt>
                <c:pt idx="15">
                  <c:v>0.34199484884021031</c:v>
                </c:pt>
                <c:pt idx="16">
                  <c:v>0.36119506524786898</c:v>
                </c:pt>
                <c:pt idx="17">
                  <c:v>0.36681305975049061</c:v>
                </c:pt>
                <c:pt idx="18">
                  <c:v>0.36709088837736842</c:v>
                </c:pt>
                <c:pt idx="19">
                  <c:v>0.37369091815886452</c:v>
                </c:pt>
                <c:pt idx="20">
                  <c:v>0.3767291886743791</c:v>
                </c:pt>
              </c:numCache>
            </c:numRef>
          </c:val>
          <c:smooth val="0"/>
          <c:extLst xmlns:c16r2="http://schemas.microsoft.com/office/drawing/2015/06/chart">
            <c:ext xmlns:c16="http://schemas.microsoft.com/office/drawing/2014/chart" uri="{C3380CC4-5D6E-409C-BE32-E72D297353CC}">
              <c16:uniqueId val="{00000001-96F1-4154-93E8-59AD890D9DCF}"/>
            </c:ext>
          </c:extLst>
        </c:ser>
        <c:dLbls>
          <c:showLegendKey val="0"/>
          <c:showVal val="0"/>
          <c:showCatName val="0"/>
          <c:showSerName val="0"/>
          <c:showPercent val="0"/>
          <c:showBubbleSize val="0"/>
        </c:dLbls>
        <c:marker val="1"/>
        <c:smooth val="0"/>
        <c:axId val="38342656"/>
        <c:axId val="38344192"/>
      </c:lineChart>
      <c:catAx>
        <c:axId val="3833932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700"/>
            </a:pPr>
            <a:endParaRPr lang="en-US"/>
          </a:p>
        </c:txPr>
        <c:crossAx val="38340864"/>
        <c:crosses val="autoZero"/>
        <c:auto val="0"/>
        <c:lblAlgn val="ctr"/>
        <c:lblOffset val="100"/>
        <c:tickLblSkip val="4"/>
        <c:tickMarkSkip val="1"/>
        <c:noMultiLvlLbl val="0"/>
      </c:catAx>
      <c:valAx>
        <c:axId val="3834086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700">
                <a:latin typeface="HelveticaNeueLT Std Lt" pitchFamily="34" charset="0"/>
              </a:defRPr>
            </a:pPr>
            <a:endParaRPr lang="en-US"/>
          </a:p>
        </c:txPr>
        <c:crossAx val="38339328"/>
        <c:crosses val="autoZero"/>
        <c:crossBetween val="between"/>
        <c:majorUnit val="2000"/>
      </c:valAx>
      <c:catAx>
        <c:axId val="38342656"/>
        <c:scaling>
          <c:orientation val="minMax"/>
        </c:scaling>
        <c:delete val="1"/>
        <c:axPos val="b"/>
        <c:numFmt formatCode="mmm\-yy" sourceLinked="1"/>
        <c:majorTickMark val="out"/>
        <c:minorTickMark val="none"/>
        <c:tickLblPos val="none"/>
        <c:crossAx val="38344192"/>
        <c:crosses val="autoZero"/>
        <c:auto val="0"/>
        <c:lblAlgn val="ctr"/>
        <c:lblOffset val="100"/>
        <c:noMultiLvlLbl val="0"/>
      </c:catAx>
      <c:valAx>
        <c:axId val="38344192"/>
        <c:scaling>
          <c:orientation val="minMax"/>
          <c:max val="0.60000000000000064"/>
          <c:min val="0"/>
        </c:scaling>
        <c:delete val="0"/>
        <c:axPos val="r"/>
        <c:numFmt formatCode="0%" sourceLinked="0"/>
        <c:majorTickMark val="none"/>
        <c:minorTickMark val="none"/>
        <c:tickLblPos val="nextTo"/>
        <c:spPr>
          <a:ln w="6350">
            <a:solidFill>
              <a:srgbClr val="000000"/>
            </a:solidFill>
            <a:prstDash val="solid"/>
          </a:ln>
        </c:spPr>
        <c:txPr>
          <a:bodyPr rot="0" vert="horz"/>
          <a:lstStyle/>
          <a:p>
            <a:pPr>
              <a:defRPr sz="700"/>
            </a:pPr>
            <a:endParaRPr lang="en-US"/>
          </a:p>
        </c:txPr>
        <c:crossAx val="38342656"/>
        <c:crosses val="max"/>
        <c:crossBetween val="between"/>
      </c:valAx>
      <c:spPr>
        <a:noFill/>
        <a:ln w="12700">
          <a:noFill/>
          <a:prstDash val="solid"/>
        </a:ln>
      </c:spPr>
    </c:plotArea>
    <c:legend>
      <c:legendPos val="r"/>
      <c:layout>
        <c:manualLayout>
          <c:xMode val="edge"/>
          <c:yMode val="edge"/>
          <c:x val="0"/>
          <c:y val="0.93565583665903995"/>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2025"/>
          <c:h val="0.74970926281763162"/>
        </c:manualLayout>
      </c:layout>
      <c:lineChart>
        <c:grouping val="standard"/>
        <c:varyColors val="0"/>
        <c:ser>
          <c:idx val="0"/>
          <c:order val="0"/>
          <c:tx>
            <c:v>Metropolitan Melbourne</c:v>
          </c:tx>
          <c:spPr>
            <a:ln w="22225">
              <a:solidFill>
                <a:srgbClr val="3F5172"/>
              </a:solidFill>
              <a:prstDash val="solid"/>
            </a:ln>
          </c:spPr>
          <c:marker>
            <c:symbol val="none"/>
          </c:marker>
          <c:cat>
            <c:numRef>
              <c:f>fig7source!$A$5:$A$65</c:f>
              <c:numCache>
                <c:formatCode>mmm\-yy</c:formatCode>
                <c:ptCount val="61"/>
                <c:pt idx="0">
                  <c:v>41061</c:v>
                </c:pt>
                <c:pt idx="1">
                  <c:v>41091</c:v>
                </c:pt>
                <c:pt idx="2">
                  <c:v>41122</c:v>
                </c:pt>
                <c:pt idx="3">
                  <c:v>41153</c:v>
                </c:pt>
                <c:pt idx="4">
                  <c:v>41183</c:v>
                </c:pt>
                <c:pt idx="5">
                  <c:v>41214</c:v>
                </c:pt>
                <c:pt idx="6">
                  <c:v>41244</c:v>
                </c:pt>
                <c:pt idx="7">
                  <c:v>41275</c:v>
                </c:pt>
                <c:pt idx="8">
                  <c:v>41306</c:v>
                </c:pt>
                <c:pt idx="9">
                  <c:v>41334</c:v>
                </c:pt>
                <c:pt idx="10">
                  <c:v>41365</c:v>
                </c:pt>
                <c:pt idx="11">
                  <c:v>41395</c:v>
                </c:pt>
                <c:pt idx="12">
                  <c:v>41426</c:v>
                </c:pt>
                <c:pt idx="13">
                  <c:v>41456</c:v>
                </c:pt>
                <c:pt idx="14">
                  <c:v>41487</c:v>
                </c:pt>
                <c:pt idx="15">
                  <c:v>41518</c:v>
                </c:pt>
                <c:pt idx="16">
                  <c:v>41548</c:v>
                </c:pt>
                <c:pt idx="17">
                  <c:v>41579</c:v>
                </c:pt>
                <c:pt idx="18">
                  <c:v>41609</c:v>
                </c:pt>
                <c:pt idx="19">
                  <c:v>41640</c:v>
                </c:pt>
                <c:pt idx="20">
                  <c:v>41671</c:v>
                </c:pt>
                <c:pt idx="21">
                  <c:v>41699</c:v>
                </c:pt>
                <c:pt idx="22">
                  <c:v>41730</c:v>
                </c:pt>
                <c:pt idx="23">
                  <c:v>41760</c:v>
                </c:pt>
                <c:pt idx="24">
                  <c:v>41791</c:v>
                </c:pt>
                <c:pt idx="25">
                  <c:v>41821</c:v>
                </c:pt>
                <c:pt idx="26">
                  <c:v>41852</c:v>
                </c:pt>
                <c:pt idx="27">
                  <c:v>41883</c:v>
                </c:pt>
                <c:pt idx="28">
                  <c:v>41913</c:v>
                </c:pt>
                <c:pt idx="29">
                  <c:v>41944</c:v>
                </c:pt>
                <c:pt idx="30">
                  <c:v>41974</c:v>
                </c:pt>
                <c:pt idx="31">
                  <c:v>42005</c:v>
                </c:pt>
                <c:pt idx="32">
                  <c:v>42036</c:v>
                </c:pt>
                <c:pt idx="33">
                  <c:v>42064</c:v>
                </c:pt>
                <c:pt idx="34">
                  <c:v>42095</c:v>
                </c:pt>
                <c:pt idx="35">
                  <c:v>42125</c:v>
                </c:pt>
                <c:pt idx="36">
                  <c:v>42156</c:v>
                </c:pt>
                <c:pt idx="37">
                  <c:v>42186</c:v>
                </c:pt>
                <c:pt idx="38">
                  <c:v>42217</c:v>
                </c:pt>
                <c:pt idx="39">
                  <c:v>42248</c:v>
                </c:pt>
                <c:pt idx="40">
                  <c:v>42278</c:v>
                </c:pt>
                <c:pt idx="41">
                  <c:v>42309</c:v>
                </c:pt>
                <c:pt idx="42">
                  <c:v>42339</c:v>
                </c:pt>
                <c:pt idx="43">
                  <c:v>42370</c:v>
                </c:pt>
                <c:pt idx="44">
                  <c:v>42401</c:v>
                </c:pt>
                <c:pt idx="45">
                  <c:v>42430</c:v>
                </c:pt>
                <c:pt idx="46">
                  <c:v>42461</c:v>
                </c:pt>
                <c:pt idx="47">
                  <c:v>42491</c:v>
                </c:pt>
                <c:pt idx="48">
                  <c:v>42522</c:v>
                </c:pt>
                <c:pt idx="49">
                  <c:v>42552</c:v>
                </c:pt>
                <c:pt idx="50">
                  <c:v>42583</c:v>
                </c:pt>
                <c:pt idx="51">
                  <c:v>42614</c:v>
                </c:pt>
                <c:pt idx="52">
                  <c:v>42644</c:v>
                </c:pt>
                <c:pt idx="53">
                  <c:v>42675</c:v>
                </c:pt>
                <c:pt idx="54">
                  <c:v>42705</c:v>
                </c:pt>
                <c:pt idx="55">
                  <c:v>42736</c:v>
                </c:pt>
                <c:pt idx="56">
                  <c:v>42767</c:v>
                </c:pt>
                <c:pt idx="57">
                  <c:v>42795</c:v>
                </c:pt>
                <c:pt idx="58">
                  <c:v>42826</c:v>
                </c:pt>
                <c:pt idx="59">
                  <c:v>42856</c:v>
                </c:pt>
                <c:pt idx="60">
                  <c:v>42887</c:v>
                </c:pt>
              </c:numCache>
            </c:numRef>
          </c:cat>
          <c:val>
            <c:numRef>
              <c:f>fig7source!$B$5:$B$65</c:f>
              <c:numCache>
                <c:formatCode>0.000</c:formatCode>
                <c:ptCount val="61"/>
                <c:pt idx="0">
                  <c:v>1.9910247881431812E-2</c:v>
                </c:pt>
                <c:pt idx="1">
                  <c:v>1.9011415265173998E-2</c:v>
                </c:pt>
                <c:pt idx="2">
                  <c:v>1.8734319007297374E-2</c:v>
                </c:pt>
                <c:pt idx="3">
                  <c:v>1.9496374971019616E-2</c:v>
                </c:pt>
                <c:pt idx="4">
                  <c:v>2.1234812074969498E-2</c:v>
                </c:pt>
                <c:pt idx="5">
                  <c:v>2.3674112337486591E-2</c:v>
                </c:pt>
                <c:pt idx="6">
                  <c:v>2.6237513702279509E-2</c:v>
                </c:pt>
                <c:pt idx="7">
                  <c:v>2.8422809684549341E-2</c:v>
                </c:pt>
                <c:pt idx="8">
                  <c:v>2.97991320800313E-2</c:v>
                </c:pt>
                <c:pt idx="9">
                  <c:v>3.0479547213611079E-2</c:v>
                </c:pt>
                <c:pt idx="10">
                  <c:v>3.0859573579237177E-2</c:v>
                </c:pt>
                <c:pt idx="11">
                  <c:v>3.115513927763108E-2</c:v>
                </c:pt>
                <c:pt idx="12">
                  <c:v>3.1442450915780691E-2</c:v>
                </c:pt>
                <c:pt idx="13">
                  <c:v>3.1573095325088806E-2</c:v>
                </c:pt>
                <c:pt idx="14">
                  <c:v>3.1446969744543377E-2</c:v>
                </c:pt>
                <c:pt idx="15">
                  <c:v>3.1052658648088104E-2</c:v>
                </c:pt>
                <c:pt idx="16">
                  <c:v>3.0585650645952159E-2</c:v>
                </c:pt>
                <c:pt idx="17">
                  <c:v>3.0019505007727671E-2</c:v>
                </c:pt>
                <c:pt idx="18">
                  <c:v>2.9262761646793249E-2</c:v>
                </c:pt>
                <c:pt idx="19">
                  <c:v>2.8364695021524274E-2</c:v>
                </c:pt>
                <c:pt idx="20">
                  <c:v>2.7581233931551156E-2</c:v>
                </c:pt>
                <c:pt idx="21">
                  <c:v>2.7193549062707708E-2</c:v>
                </c:pt>
                <c:pt idx="22">
                  <c:v>2.7506742829695896E-2</c:v>
                </c:pt>
                <c:pt idx="23">
                  <c:v>2.8661029640052901E-2</c:v>
                </c:pt>
                <c:pt idx="24">
                  <c:v>3.020995533444152E-2</c:v>
                </c:pt>
                <c:pt idx="25">
                  <c:v>3.1555705517211569E-2</c:v>
                </c:pt>
                <c:pt idx="26">
                  <c:v>3.2260253509487739E-2</c:v>
                </c:pt>
                <c:pt idx="27">
                  <c:v>3.2152865080910552E-2</c:v>
                </c:pt>
                <c:pt idx="28">
                  <c:v>3.1590106501120555E-2</c:v>
                </c:pt>
                <c:pt idx="29">
                  <c:v>3.0897026976324724E-2</c:v>
                </c:pt>
                <c:pt idx="30">
                  <c:v>3.0248683967578013E-2</c:v>
                </c:pt>
                <c:pt idx="31">
                  <c:v>2.9722279859566169E-2</c:v>
                </c:pt>
                <c:pt idx="32">
                  <c:v>2.9291482388160449E-2</c:v>
                </c:pt>
                <c:pt idx="33">
                  <c:v>2.8927866062816002E-2</c:v>
                </c:pt>
                <c:pt idx="34">
                  <c:v>2.8745036851335209E-2</c:v>
                </c:pt>
                <c:pt idx="35">
                  <c:v>2.8736524411060779E-2</c:v>
                </c:pt>
                <c:pt idx="36">
                  <c:v>2.8912425593583722E-2</c:v>
                </c:pt>
                <c:pt idx="37">
                  <c:v>2.9206314732830464E-2</c:v>
                </c:pt>
                <c:pt idx="38">
                  <c:v>2.967906709838522E-2</c:v>
                </c:pt>
                <c:pt idx="39">
                  <c:v>3.046703791367129E-2</c:v>
                </c:pt>
                <c:pt idx="40">
                  <c:v>3.1439081629822695E-2</c:v>
                </c:pt>
                <c:pt idx="41">
                  <c:v>3.2105103041240098E-2</c:v>
                </c:pt>
                <c:pt idx="42">
                  <c:v>3.2053395462275307E-2</c:v>
                </c:pt>
                <c:pt idx="43">
                  <c:v>3.1070149386229522E-2</c:v>
                </c:pt>
                <c:pt idx="44">
                  <c:v>2.9459324731761546E-2</c:v>
                </c:pt>
                <c:pt idx="45">
                  <c:v>2.7750472865870811E-2</c:v>
                </c:pt>
                <c:pt idx="46">
                  <c:v>2.643847199701764E-2</c:v>
                </c:pt>
                <c:pt idx="47">
                  <c:v>2.5671796548737868E-2</c:v>
                </c:pt>
                <c:pt idx="48">
                  <c:v>2.5223836755978179E-2</c:v>
                </c:pt>
                <c:pt idx="49">
                  <c:v>2.481081124637775E-2</c:v>
                </c:pt>
                <c:pt idx="50">
                  <c:v>2.4215075972727148E-2</c:v>
                </c:pt>
                <c:pt idx="51">
                  <c:v>2.3544575747597642E-2</c:v>
                </c:pt>
                <c:pt idx="52">
                  <c:v>2.2995306209770111E-2</c:v>
                </c:pt>
                <c:pt idx="53">
                  <c:v>2.2754256484494081E-2</c:v>
                </c:pt>
                <c:pt idx="54">
                  <c:v>2.2772135019978868E-2</c:v>
                </c:pt>
                <c:pt idx="55">
                  <c:v>2.2884486067702041E-2</c:v>
                </c:pt>
                <c:pt idx="56">
                  <c:v>2.2889799736205429E-2</c:v>
                </c:pt>
                <c:pt idx="57">
                  <c:v>2.2686730662812692E-2</c:v>
                </c:pt>
                <c:pt idx="58">
                  <c:v>2.2410683576829831E-2</c:v>
                </c:pt>
                <c:pt idx="59">
                  <c:v>2.2144777176810005E-2</c:v>
                </c:pt>
                <c:pt idx="60">
                  <c:v>2.1884628172729067E-2</c:v>
                </c:pt>
              </c:numCache>
            </c:numRef>
          </c:val>
          <c:smooth val="1"/>
          <c:extLst xmlns:c16r2="http://schemas.microsoft.com/office/drawing/2015/06/chart">
            <c:ext xmlns:c16="http://schemas.microsoft.com/office/drawing/2014/chart" uri="{C3380CC4-5D6E-409C-BE32-E72D297353CC}">
              <c16:uniqueId val="{00000000-8019-4DC9-BBA4-DEDE4B6F09A8}"/>
            </c:ext>
          </c:extLst>
        </c:ser>
        <c:ser>
          <c:idx val="1"/>
          <c:order val="1"/>
          <c:tx>
            <c:v>Regional Victoria</c:v>
          </c:tx>
          <c:spPr>
            <a:ln w="22225">
              <a:solidFill>
                <a:srgbClr val="7C93B9"/>
              </a:solidFill>
              <a:prstDash val="sysDash"/>
            </a:ln>
          </c:spPr>
          <c:marker>
            <c:symbol val="none"/>
          </c:marker>
          <c:cat>
            <c:numRef>
              <c:f>fig7source!$A$5:$A$65</c:f>
              <c:numCache>
                <c:formatCode>mmm\-yy</c:formatCode>
                <c:ptCount val="61"/>
                <c:pt idx="0">
                  <c:v>41061</c:v>
                </c:pt>
                <c:pt idx="1">
                  <c:v>41091</c:v>
                </c:pt>
                <c:pt idx="2">
                  <c:v>41122</c:v>
                </c:pt>
                <c:pt idx="3">
                  <c:v>41153</c:v>
                </c:pt>
                <c:pt idx="4">
                  <c:v>41183</c:v>
                </c:pt>
                <c:pt idx="5">
                  <c:v>41214</c:v>
                </c:pt>
                <c:pt idx="6">
                  <c:v>41244</c:v>
                </c:pt>
                <c:pt idx="7">
                  <c:v>41275</c:v>
                </c:pt>
                <c:pt idx="8">
                  <c:v>41306</c:v>
                </c:pt>
                <c:pt idx="9">
                  <c:v>41334</c:v>
                </c:pt>
                <c:pt idx="10">
                  <c:v>41365</c:v>
                </c:pt>
                <c:pt idx="11">
                  <c:v>41395</c:v>
                </c:pt>
                <c:pt idx="12">
                  <c:v>41426</c:v>
                </c:pt>
                <c:pt idx="13">
                  <c:v>41456</c:v>
                </c:pt>
                <c:pt idx="14">
                  <c:v>41487</c:v>
                </c:pt>
                <c:pt idx="15">
                  <c:v>41518</c:v>
                </c:pt>
                <c:pt idx="16">
                  <c:v>41548</c:v>
                </c:pt>
                <c:pt idx="17">
                  <c:v>41579</c:v>
                </c:pt>
                <c:pt idx="18">
                  <c:v>41609</c:v>
                </c:pt>
                <c:pt idx="19">
                  <c:v>41640</c:v>
                </c:pt>
                <c:pt idx="20">
                  <c:v>41671</c:v>
                </c:pt>
                <c:pt idx="21">
                  <c:v>41699</c:v>
                </c:pt>
                <c:pt idx="22">
                  <c:v>41730</c:v>
                </c:pt>
                <c:pt idx="23">
                  <c:v>41760</c:v>
                </c:pt>
                <c:pt idx="24">
                  <c:v>41791</c:v>
                </c:pt>
                <c:pt idx="25">
                  <c:v>41821</c:v>
                </c:pt>
                <c:pt idx="26">
                  <c:v>41852</c:v>
                </c:pt>
                <c:pt idx="27">
                  <c:v>41883</c:v>
                </c:pt>
                <c:pt idx="28">
                  <c:v>41913</c:v>
                </c:pt>
                <c:pt idx="29">
                  <c:v>41944</c:v>
                </c:pt>
                <c:pt idx="30">
                  <c:v>41974</c:v>
                </c:pt>
                <c:pt idx="31">
                  <c:v>42005</c:v>
                </c:pt>
                <c:pt idx="32">
                  <c:v>42036</c:v>
                </c:pt>
                <c:pt idx="33">
                  <c:v>42064</c:v>
                </c:pt>
                <c:pt idx="34">
                  <c:v>42095</c:v>
                </c:pt>
                <c:pt idx="35">
                  <c:v>42125</c:v>
                </c:pt>
                <c:pt idx="36">
                  <c:v>42156</c:v>
                </c:pt>
                <c:pt idx="37">
                  <c:v>42186</c:v>
                </c:pt>
                <c:pt idx="38">
                  <c:v>42217</c:v>
                </c:pt>
                <c:pt idx="39">
                  <c:v>42248</c:v>
                </c:pt>
                <c:pt idx="40">
                  <c:v>42278</c:v>
                </c:pt>
                <c:pt idx="41">
                  <c:v>42309</c:v>
                </c:pt>
                <c:pt idx="42">
                  <c:v>42339</c:v>
                </c:pt>
                <c:pt idx="43">
                  <c:v>42370</c:v>
                </c:pt>
                <c:pt idx="44">
                  <c:v>42401</c:v>
                </c:pt>
                <c:pt idx="45">
                  <c:v>42430</c:v>
                </c:pt>
                <c:pt idx="46">
                  <c:v>42461</c:v>
                </c:pt>
                <c:pt idx="47">
                  <c:v>42491</c:v>
                </c:pt>
                <c:pt idx="48">
                  <c:v>42522</c:v>
                </c:pt>
                <c:pt idx="49">
                  <c:v>42552</c:v>
                </c:pt>
                <c:pt idx="50">
                  <c:v>42583</c:v>
                </c:pt>
                <c:pt idx="51">
                  <c:v>42614</c:v>
                </c:pt>
                <c:pt idx="52">
                  <c:v>42644</c:v>
                </c:pt>
                <c:pt idx="53">
                  <c:v>42675</c:v>
                </c:pt>
                <c:pt idx="54">
                  <c:v>42705</c:v>
                </c:pt>
                <c:pt idx="55">
                  <c:v>42736</c:v>
                </c:pt>
                <c:pt idx="56">
                  <c:v>42767</c:v>
                </c:pt>
                <c:pt idx="57">
                  <c:v>42795</c:v>
                </c:pt>
                <c:pt idx="58">
                  <c:v>42826</c:v>
                </c:pt>
                <c:pt idx="59">
                  <c:v>42856</c:v>
                </c:pt>
                <c:pt idx="60">
                  <c:v>42887</c:v>
                </c:pt>
              </c:numCache>
            </c:numRef>
          </c:cat>
          <c:val>
            <c:numRef>
              <c:f>fig7source!$E$5:$E$65</c:f>
              <c:numCache>
                <c:formatCode>0.000</c:formatCode>
                <c:ptCount val="61"/>
                <c:pt idx="0">
                  <c:v>2.3943466156462659E-2</c:v>
                </c:pt>
                <c:pt idx="1">
                  <c:v>2.3783263308884223E-2</c:v>
                </c:pt>
                <c:pt idx="2">
                  <c:v>2.2761349872151365E-2</c:v>
                </c:pt>
                <c:pt idx="3">
                  <c:v>2.1903410308012097E-2</c:v>
                </c:pt>
                <c:pt idx="4">
                  <c:v>2.2031941718086232E-2</c:v>
                </c:pt>
                <c:pt idx="5">
                  <c:v>2.3303029640466731E-2</c:v>
                </c:pt>
                <c:pt idx="6">
                  <c:v>2.5667004908886636E-2</c:v>
                </c:pt>
                <c:pt idx="7">
                  <c:v>2.8815184383828497E-2</c:v>
                </c:pt>
                <c:pt idx="8">
                  <c:v>3.1899184775794731E-2</c:v>
                </c:pt>
                <c:pt idx="9">
                  <c:v>3.4350413031870114E-2</c:v>
                </c:pt>
                <c:pt idx="10">
                  <c:v>3.581623724226931E-2</c:v>
                </c:pt>
                <c:pt idx="11">
                  <c:v>3.6198149232139799E-2</c:v>
                </c:pt>
                <c:pt idx="12">
                  <c:v>3.5523280585830971E-2</c:v>
                </c:pt>
                <c:pt idx="13">
                  <c:v>3.3969210424797079E-2</c:v>
                </c:pt>
                <c:pt idx="14">
                  <c:v>3.179387249486456E-2</c:v>
                </c:pt>
                <c:pt idx="15">
                  <c:v>2.9382822527749243E-2</c:v>
                </c:pt>
                <c:pt idx="16">
                  <c:v>2.7477911561491472E-2</c:v>
                </c:pt>
                <c:pt idx="17">
                  <c:v>2.6230915781532919E-2</c:v>
                </c:pt>
                <c:pt idx="18">
                  <c:v>2.5524390441051929E-2</c:v>
                </c:pt>
                <c:pt idx="19">
                  <c:v>2.5083101070939334E-2</c:v>
                </c:pt>
                <c:pt idx="20">
                  <c:v>2.4801908600144387E-2</c:v>
                </c:pt>
                <c:pt idx="21">
                  <c:v>2.472654928201155E-2</c:v>
                </c:pt>
                <c:pt idx="22">
                  <c:v>2.4904018082789466E-2</c:v>
                </c:pt>
                <c:pt idx="23">
                  <c:v>2.5081556858750683E-2</c:v>
                </c:pt>
                <c:pt idx="24">
                  <c:v>2.504199332727524E-2</c:v>
                </c:pt>
                <c:pt idx="25">
                  <c:v>2.450272973442217E-2</c:v>
                </c:pt>
                <c:pt idx="26">
                  <c:v>2.3399627807939319E-2</c:v>
                </c:pt>
                <c:pt idx="27">
                  <c:v>2.2162934079780993E-2</c:v>
                </c:pt>
                <c:pt idx="28">
                  <c:v>2.1204589444789777E-2</c:v>
                </c:pt>
                <c:pt idx="29">
                  <c:v>2.0700281186549381E-2</c:v>
                </c:pt>
                <c:pt idx="30">
                  <c:v>2.0817578541717577E-2</c:v>
                </c:pt>
                <c:pt idx="31">
                  <c:v>2.1511105353746087E-2</c:v>
                </c:pt>
                <c:pt idx="32">
                  <c:v>2.2495408088506821E-2</c:v>
                </c:pt>
                <c:pt idx="33">
                  <c:v>2.3427802902931675E-2</c:v>
                </c:pt>
                <c:pt idx="34">
                  <c:v>2.4045969017827712E-2</c:v>
                </c:pt>
                <c:pt idx="35">
                  <c:v>2.4224239313107923E-2</c:v>
                </c:pt>
                <c:pt idx="36">
                  <c:v>2.4103797440483604E-2</c:v>
                </c:pt>
                <c:pt idx="37">
                  <c:v>2.3670857887125564E-2</c:v>
                </c:pt>
                <c:pt idx="38">
                  <c:v>2.3241310195209853E-2</c:v>
                </c:pt>
                <c:pt idx="39">
                  <c:v>2.2844572810945721E-2</c:v>
                </c:pt>
                <c:pt idx="40">
                  <c:v>2.2930903810888133E-2</c:v>
                </c:pt>
                <c:pt idx="41">
                  <c:v>2.3645587136036782E-2</c:v>
                </c:pt>
                <c:pt idx="42">
                  <c:v>2.4871271099380386E-2</c:v>
                </c:pt>
                <c:pt idx="43">
                  <c:v>2.6441014866918043E-2</c:v>
                </c:pt>
                <c:pt idx="44">
                  <c:v>2.8018329027761194E-2</c:v>
                </c:pt>
                <c:pt idx="45">
                  <c:v>2.9099927165223725E-2</c:v>
                </c:pt>
                <c:pt idx="46">
                  <c:v>2.9392487332128767E-2</c:v>
                </c:pt>
                <c:pt idx="47">
                  <c:v>2.8880215882639296E-2</c:v>
                </c:pt>
                <c:pt idx="48">
                  <c:v>2.7853646379775499E-2</c:v>
                </c:pt>
                <c:pt idx="49">
                  <c:v>2.6535347376808908E-2</c:v>
                </c:pt>
                <c:pt idx="50">
                  <c:v>2.5335677629634689E-2</c:v>
                </c:pt>
                <c:pt idx="51">
                  <c:v>2.4391450969178958E-2</c:v>
                </c:pt>
                <c:pt idx="52">
                  <c:v>2.3864569436468797E-2</c:v>
                </c:pt>
                <c:pt idx="53">
                  <c:v>2.3636661064259375E-2</c:v>
                </c:pt>
                <c:pt idx="54">
                  <c:v>2.3642247557613291E-2</c:v>
                </c:pt>
                <c:pt idx="55">
                  <c:v>2.3733902337630713E-2</c:v>
                </c:pt>
                <c:pt idx="56">
                  <c:v>2.3950939991379941E-2</c:v>
                </c:pt>
                <c:pt idx="57">
                  <c:v>2.417624737253337E-2</c:v>
                </c:pt>
                <c:pt idx="58">
                  <c:v>2.4337601688341631E-2</c:v>
                </c:pt>
                <c:pt idx="59">
                  <c:v>2.4449014151214525E-2</c:v>
                </c:pt>
                <c:pt idx="60">
                  <c:v>2.4527188407275011E-2</c:v>
                </c:pt>
              </c:numCache>
            </c:numRef>
          </c:val>
          <c:smooth val="0"/>
          <c:extLst xmlns:c16r2="http://schemas.microsoft.com/office/drawing/2015/06/chart">
            <c:ext xmlns:c16="http://schemas.microsoft.com/office/drawing/2014/chart" uri="{C3380CC4-5D6E-409C-BE32-E72D297353CC}">
              <c16:uniqueId val="{00000001-8019-4DC9-BBA4-DEDE4B6F09A8}"/>
            </c:ext>
          </c:extLst>
        </c:ser>
        <c:dLbls>
          <c:showLegendKey val="0"/>
          <c:showVal val="0"/>
          <c:showCatName val="0"/>
          <c:showSerName val="0"/>
          <c:showPercent val="0"/>
          <c:showBubbleSize val="0"/>
        </c:dLbls>
        <c:marker val="1"/>
        <c:smooth val="0"/>
        <c:axId val="38720640"/>
        <c:axId val="38722176"/>
      </c:lineChart>
      <c:dateAx>
        <c:axId val="38720640"/>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38722176"/>
        <c:crosses val="autoZero"/>
        <c:auto val="1"/>
        <c:lblOffset val="100"/>
        <c:baseTimeUnit val="months"/>
        <c:majorUnit val="1"/>
        <c:majorTimeUnit val="years"/>
        <c:minorUnit val="3"/>
        <c:minorTimeUnit val="months"/>
      </c:dateAx>
      <c:valAx>
        <c:axId val="38722176"/>
        <c:scaling>
          <c:orientation val="minMax"/>
        </c:scaling>
        <c:delete val="0"/>
        <c:axPos val="l"/>
        <c:majorGridlines>
          <c:spPr>
            <a:ln w="3175">
              <a:solidFill>
                <a:schemeClr val="bg1">
                  <a:lumMod val="65000"/>
                </a:schemeClr>
              </a:solidFill>
              <a:prstDash val="solid"/>
            </a:ln>
          </c:spPr>
        </c:majorGridlines>
        <c:numFmt formatCode="0%" sourceLinked="0"/>
        <c:majorTickMark val="none"/>
        <c:minorTickMark val="none"/>
        <c:tickLblPos val="nextTo"/>
        <c:spPr>
          <a:ln w="6350">
            <a:solidFill>
              <a:schemeClr val="tx1"/>
            </a:solidFill>
            <a:prstDash val="solid"/>
          </a:ln>
        </c:spPr>
        <c:txPr>
          <a:bodyPr rot="0" vert="horz"/>
          <a:lstStyle/>
          <a:p>
            <a:pPr>
              <a:defRPr sz="800"/>
            </a:pPr>
            <a:endParaRPr lang="en-US"/>
          </a:p>
        </c:txPr>
        <c:crossAx val="38720640"/>
        <c:crossesAt val="1247"/>
        <c:crossBetween val="midCat"/>
        <c:majorUnit val="1.0000000000000005E-2"/>
      </c:valAx>
      <c:spPr>
        <a:noFill/>
        <a:ln w="12700">
          <a:noFill/>
          <a:prstDash val="solid"/>
        </a:ln>
      </c:spPr>
    </c:plotArea>
    <c:legend>
      <c:legendPos val="r"/>
      <c:layout>
        <c:manualLayout>
          <c:xMode val="edge"/>
          <c:yMode val="edge"/>
          <c:x val="0.14449531836689428"/>
          <c:y val="0.8992974957393739"/>
          <c:w val="0.67140179935985"/>
          <c:h val="6.943555132531512E-2"/>
        </c:manualLayout>
      </c:layout>
      <c:overlay val="0"/>
      <c:txPr>
        <a:bodyPr/>
        <a:lstStyle/>
        <a:p>
          <a:pPr>
            <a:defRPr sz="800"/>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661840744575025E-2"/>
          <c:y val="4.6327683615819314E-2"/>
          <c:w val="0.86866597724924943"/>
          <c:h val="0.76660877116804693"/>
        </c:manualLayout>
      </c:layout>
      <c:lineChart>
        <c:grouping val="standard"/>
        <c:varyColors val="0"/>
        <c:ser>
          <c:idx val="2"/>
          <c:order val="0"/>
          <c:tx>
            <c:v>Regional Victoria</c:v>
          </c:tx>
          <c:spPr>
            <a:ln w="19050">
              <a:solidFill>
                <a:srgbClr val="3F5172"/>
              </a:solidFill>
              <a:prstDash val="sysDash"/>
            </a:ln>
          </c:spPr>
          <c:marker>
            <c:symbol val="none"/>
          </c:marker>
          <c:cat>
            <c:numRef>
              <c:f>'fig4, 6&amp;8 source'!$I$52:$I$72</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source'!$L$52:$L$72</c:f>
              <c:numCache>
                <c:formatCode>0.00%</c:formatCode>
                <c:ptCount val="21"/>
                <c:pt idx="0">
                  <c:v>0.57099999999999995</c:v>
                </c:pt>
                <c:pt idx="1">
                  <c:v>0.60199999999999998</c:v>
                </c:pt>
                <c:pt idx="2">
                  <c:v>0.58099999999999996</c:v>
                </c:pt>
                <c:pt idx="3">
                  <c:v>0.56100000000000005</c:v>
                </c:pt>
                <c:pt idx="4">
                  <c:v>0.60199999999999998</c:v>
                </c:pt>
                <c:pt idx="5">
                  <c:v>0.60499999999999998</c:v>
                </c:pt>
                <c:pt idx="6">
                  <c:v>0.58399999999999996</c:v>
                </c:pt>
                <c:pt idx="7">
                  <c:v>0.56299999999999994</c:v>
                </c:pt>
                <c:pt idx="8">
                  <c:v>0.60899999999999999</c:v>
                </c:pt>
                <c:pt idx="9">
                  <c:v>0.629</c:v>
                </c:pt>
                <c:pt idx="10">
                  <c:v>0.622</c:v>
                </c:pt>
                <c:pt idx="11">
                  <c:v>0.59499999999999997</c:v>
                </c:pt>
                <c:pt idx="12">
                  <c:v>0.625</c:v>
                </c:pt>
                <c:pt idx="13">
                  <c:v>0.60699999999999998</c:v>
                </c:pt>
                <c:pt idx="14">
                  <c:v>0.59199999999999997</c:v>
                </c:pt>
                <c:pt idx="15">
                  <c:v>0.56000000000000005</c:v>
                </c:pt>
                <c:pt idx="16">
                  <c:v>0.59199999999999997</c:v>
                </c:pt>
                <c:pt idx="17">
                  <c:v>0.59799999999999998</c:v>
                </c:pt>
                <c:pt idx="18">
                  <c:v>0.56899999999999995</c:v>
                </c:pt>
                <c:pt idx="19">
                  <c:v>0.54700000000000004</c:v>
                </c:pt>
                <c:pt idx="20">
                  <c:v>0.57599999999999996</c:v>
                </c:pt>
              </c:numCache>
            </c:numRef>
          </c:val>
          <c:smooth val="0"/>
          <c:extLst xmlns:c16r2="http://schemas.microsoft.com/office/drawing/2015/06/chart">
            <c:ext xmlns:c16="http://schemas.microsoft.com/office/drawing/2014/chart" uri="{C3380CC4-5D6E-409C-BE32-E72D297353CC}">
              <c16:uniqueId val="{00000000-3B34-459B-ACEC-D92D49E4AB08}"/>
            </c:ext>
          </c:extLst>
        </c:ser>
        <c:ser>
          <c:idx val="0"/>
          <c:order val="1"/>
          <c:tx>
            <c:v>Victoria</c:v>
          </c:tx>
          <c:spPr>
            <a:ln w="19050">
              <a:solidFill>
                <a:srgbClr val="7C93B9"/>
              </a:solidFill>
              <a:prstDash val="solid"/>
            </a:ln>
          </c:spPr>
          <c:marker>
            <c:symbol val="none"/>
          </c:marker>
          <c:cat>
            <c:numRef>
              <c:f>'fig4, 6&amp;8 source'!$I$52:$I$72</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source'!$J$52:$J$72</c:f>
              <c:numCache>
                <c:formatCode>0.0%</c:formatCode>
                <c:ptCount val="21"/>
                <c:pt idx="0">
                  <c:v>0.21</c:v>
                </c:pt>
                <c:pt idx="1">
                  <c:v>0.222</c:v>
                </c:pt>
                <c:pt idx="2">
                  <c:v>0.217</c:v>
                </c:pt>
                <c:pt idx="3">
                  <c:v>0.188</c:v>
                </c:pt>
                <c:pt idx="4">
                  <c:v>0.22</c:v>
                </c:pt>
                <c:pt idx="5">
                  <c:v>0.20899999999999999</c:v>
                </c:pt>
                <c:pt idx="6">
                  <c:v>0.20599999999999999</c:v>
                </c:pt>
                <c:pt idx="7">
                  <c:v>0.17899999999999999</c:v>
                </c:pt>
                <c:pt idx="8">
                  <c:v>0.22700000000000001</c:v>
                </c:pt>
                <c:pt idx="9">
                  <c:v>0.20899999999999999</c:v>
                </c:pt>
                <c:pt idx="10">
                  <c:v>0.222</c:v>
                </c:pt>
                <c:pt idx="11">
                  <c:v>0.184</c:v>
                </c:pt>
                <c:pt idx="12">
                  <c:v>0.22</c:v>
                </c:pt>
                <c:pt idx="13">
                  <c:v>0.19600000000000001</c:v>
                </c:pt>
                <c:pt idx="14">
                  <c:v>0.193</c:v>
                </c:pt>
                <c:pt idx="15">
                  <c:v>0.159</c:v>
                </c:pt>
                <c:pt idx="16">
                  <c:v>0.192</c:v>
                </c:pt>
                <c:pt idx="17">
                  <c:v>0.18</c:v>
                </c:pt>
                <c:pt idx="18">
                  <c:v>0.17699999999999999</c:v>
                </c:pt>
                <c:pt idx="19">
                  <c:v>0.14799999999999999</c:v>
                </c:pt>
                <c:pt idx="20">
                  <c:v>0.17299999999999999</c:v>
                </c:pt>
              </c:numCache>
            </c:numRef>
          </c:val>
          <c:smooth val="0"/>
          <c:extLst xmlns:c16r2="http://schemas.microsoft.com/office/drawing/2015/06/chart">
            <c:ext xmlns:c16="http://schemas.microsoft.com/office/drawing/2014/chart" uri="{C3380CC4-5D6E-409C-BE32-E72D297353CC}">
              <c16:uniqueId val="{00000001-3B34-459B-ACEC-D92D49E4AB08}"/>
            </c:ext>
          </c:extLst>
        </c:ser>
        <c:ser>
          <c:idx val="1"/>
          <c:order val="2"/>
          <c:tx>
            <c:v>Metropolitan Melbourne</c:v>
          </c:tx>
          <c:spPr>
            <a:ln w="19050">
              <a:solidFill>
                <a:srgbClr val="3F5172"/>
              </a:solidFill>
            </a:ln>
          </c:spPr>
          <c:marker>
            <c:symbol val="none"/>
          </c:marker>
          <c:cat>
            <c:numRef>
              <c:f>'fig4, 6&amp;8 source'!$I$52:$I$72</c:f>
              <c:numCache>
                <c:formatCode>mmm\-yy</c:formatCode>
                <c:ptCount val="2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numCache>
            </c:numRef>
          </c:cat>
          <c:val>
            <c:numRef>
              <c:f>'fig4, 6&amp;8 source'!$K$52:$K$72</c:f>
              <c:numCache>
                <c:formatCode>0.00%</c:formatCode>
                <c:ptCount val="21"/>
                <c:pt idx="0">
                  <c:v>0.104</c:v>
                </c:pt>
                <c:pt idx="1">
                  <c:v>0.12</c:v>
                </c:pt>
                <c:pt idx="2">
                  <c:v>0.113</c:v>
                </c:pt>
                <c:pt idx="3">
                  <c:v>9.2999999999999999E-2</c:v>
                </c:pt>
                <c:pt idx="4">
                  <c:v>0.111</c:v>
                </c:pt>
                <c:pt idx="5">
                  <c:v>0.10100000000000001</c:v>
                </c:pt>
                <c:pt idx="6">
                  <c:v>0.1</c:v>
                </c:pt>
                <c:pt idx="7">
                  <c:v>8.2000000000000003E-2</c:v>
                </c:pt>
                <c:pt idx="8">
                  <c:v>0.11799999999999999</c:v>
                </c:pt>
                <c:pt idx="9">
                  <c:v>0.10100000000000001</c:v>
                </c:pt>
                <c:pt idx="10">
                  <c:v>0.111</c:v>
                </c:pt>
                <c:pt idx="11">
                  <c:v>8.5999999999999993E-2</c:v>
                </c:pt>
                <c:pt idx="12">
                  <c:v>0.106</c:v>
                </c:pt>
                <c:pt idx="13">
                  <c:v>0.09</c:v>
                </c:pt>
                <c:pt idx="14">
                  <c:v>8.6999999999999994E-2</c:v>
                </c:pt>
                <c:pt idx="15">
                  <c:v>6.6000000000000003E-2</c:v>
                </c:pt>
                <c:pt idx="16">
                  <c:v>8.2000000000000003E-2</c:v>
                </c:pt>
                <c:pt idx="17">
                  <c:v>7.5999999999999998E-2</c:v>
                </c:pt>
                <c:pt idx="18">
                  <c:v>7.4999999999999997E-2</c:v>
                </c:pt>
                <c:pt idx="19">
                  <c:v>5.8000000000000003E-2</c:v>
                </c:pt>
                <c:pt idx="20">
                  <c:v>6.6000000000000003E-2</c:v>
                </c:pt>
              </c:numCache>
            </c:numRef>
          </c:val>
          <c:smooth val="0"/>
          <c:extLst xmlns:c16r2="http://schemas.microsoft.com/office/drawing/2015/06/chart">
            <c:ext xmlns:c16="http://schemas.microsoft.com/office/drawing/2014/chart" uri="{C3380CC4-5D6E-409C-BE32-E72D297353CC}">
              <c16:uniqueId val="{00000002-3B34-459B-ACEC-D92D49E4AB08}"/>
            </c:ext>
          </c:extLst>
        </c:ser>
        <c:dLbls>
          <c:showLegendKey val="0"/>
          <c:showVal val="0"/>
          <c:showCatName val="0"/>
          <c:showSerName val="0"/>
          <c:showPercent val="0"/>
          <c:showBubbleSize val="0"/>
        </c:dLbls>
        <c:marker val="1"/>
        <c:smooth val="0"/>
        <c:axId val="38621184"/>
        <c:axId val="38622720"/>
      </c:lineChart>
      <c:dateAx>
        <c:axId val="38621184"/>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38622720"/>
        <c:crosses val="autoZero"/>
        <c:auto val="1"/>
        <c:lblOffset val="100"/>
        <c:baseTimeUnit val="months"/>
        <c:majorUnit val="1"/>
        <c:majorTimeUnit val="years"/>
        <c:minorUnit val="3"/>
        <c:minorTimeUnit val="months"/>
      </c:dateAx>
      <c:valAx>
        <c:axId val="38622720"/>
        <c:scaling>
          <c:orientation val="minMax"/>
          <c:max val="0.8"/>
        </c:scaling>
        <c:delete val="0"/>
        <c:axPos val="l"/>
        <c:majorGridlines>
          <c:spPr>
            <a:ln w="6350" cmpd="sng">
              <a:solidFill>
                <a:schemeClr val="bg1">
                  <a:lumMod val="85000"/>
                </a:schemeClr>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800"/>
            </a:pPr>
            <a:endParaRPr lang="en-US"/>
          </a:p>
        </c:txPr>
        <c:crossAx val="38621184"/>
        <c:crosses val="autoZero"/>
        <c:crossBetween val="between"/>
        <c:majorUnit val="0.1"/>
      </c:valAx>
      <c:spPr>
        <a:noFill/>
        <a:ln w="25400">
          <a:noFill/>
        </a:ln>
      </c:spPr>
    </c:plotArea>
    <c:legend>
      <c:legendPos val="b"/>
      <c:layout>
        <c:manualLayout>
          <c:xMode val="edge"/>
          <c:yMode val="edge"/>
          <c:x val="9.8740379536605666E-2"/>
          <c:y val="0.89702625111188872"/>
          <c:w val="0.79692188467768565"/>
          <c:h val="7.1596250434060399E-2"/>
        </c:manualLayout>
      </c:layout>
      <c:overlay val="0"/>
      <c:txPr>
        <a:bodyPr/>
        <a:lstStyle/>
        <a:p>
          <a:pPr>
            <a:defRPr sz="800"/>
          </a:pPr>
          <a:endParaRPr lang="en-US"/>
        </a:p>
      </c:txPr>
    </c:legend>
    <c:plotVisOnly val="1"/>
    <c:dispBlanksAs val="gap"/>
    <c:showDLblsOverMax val="0"/>
  </c:chart>
  <c:spPr>
    <a:no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96E4-71B1-4A9D-8CF8-C6DC925E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39</Pages>
  <Words>11518</Words>
  <Characters>56742</Characters>
  <Application>Microsoft Office Word</Application>
  <DocSecurity>0</DocSecurity>
  <Lines>472</Lines>
  <Paragraphs>136</Paragraphs>
  <ScaleCrop>false</ScaleCrop>
  <HeadingPairs>
    <vt:vector size="2" baseType="variant">
      <vt:variant>
        <vt:lpstr>Title</vt:lpstr>
      </vt:variant>
      <vt:variant>
        <vt:i4>1</vt:i4>
      </vt:variant>
    </vt:vector>
  </HeadingPairs>
  <TitlesOfParts>
    <vt:vector size="1" baseType="lpstr">
      <vt:lpstr>Rental Report June quarter 2017</vt:lpstr>
    </vt:vector>
  </TitlesOfParts>
  <Company/>
  <LinksUpToDate>false</LinksUpToDate>
  <CharactersWithSpaces>68124</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2017</dc:title>
  <dc:subject>Rental Report</dc:subject>
  <dc:creator>Department of Health and Human Services</dc:creator>
  <cp:keywords>Rental Statistics; Rental Report; Victoria; Melbourne</cp:keywords>
  <cp:lastModifiedBy>Alexander Inglis</cp:lastModifiedBy>
  <cp:revision>4</cp:revision>
  <cp:lastPrinted>2017-05-25T03:23:00Z</cp:lastPrinted>
  <dcterms:created xsi:type="dcterms:W3CDTF">2017-08-30T06:57:00Z</dcterms:created>
  <dcterms:modified xsi:type="dcterms:W3CDTF">2017-08-31T06:22:00Z</dcterms:modified>
  <cp:category>Rental Statistics; Rental Report; Victoria; Melbourne</cp:category>
</cp:coreProperties>
</file>