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63C" w:rsidRPr="00180B5B" w:rsidRDefault="0047763C" w:rsidP="00000681">
      <w:pPr>
        <w:pStyle w:val="DHSHeadingA"/>
      </w:pPr>
      <w:bookmarkStart w:id="0" w:name="_Toc153530421"/>
      <w:bookmarkStart w:id="1" w:name="_GoBack"/>
      <w:bookmarkEnd w:id="1"/>
      <w:r w:rsidRPr="00180B5B">
        <w:t>Rental Report</w:t>
      </w:r>
      <w:bookmarkEnd w:id="0"/>
    </w:p>
    <w:p w:rsidR="0047763C" w:rsidRDefault="0047763C" w:rsidP="005A1E70"/>
    <w:p w:rsidR="0047763C" w:rsidRPr="005A1E70" w:rsidRDefault="0047763C" w:rsidP="005A1E70"/>
    <w:p w:rsidR="0047763C" w:rsidRPr="00180B5B" w:rsidRDefault="0086682F" w:rsidP="00000681">
      <w:pPr>
        <w:pStyle w:val="DHSHeadingA"/>
      </w:pPr>
      <w:r>
        <w:t>December</w:t>
      </w:r>
      <w:r w:rsidR="0047763C" w:rsidRPr="00180B5B">
        <w:t xml:space="preserve"> quarter 201</w:t>
      </w:r>
      <w:r w:rsidR="0094679D" w:rsidRPr="00180B5B">
        <w:t>5</w:t>
      </w:r>
    </w:p>
    <w:p w:rsidR="0047763C" w:rsidRDefault="0047763C" w:rsidP="00975D6F">
      <w:pPr>
        <w:rPr>
          <w:rFonts w:cs="Arial"/>
        </w:rPr>
      </w:pPr>
    </w:p>
    <w:p w:rsidR="0047763C" w:rsidRPr="005A1E70" w:rsidRDefault="0047763C" w:rsidP="00975D6F">
      <w:pPr>
        <w:rPr>
          <w:rFonts w:cs="Arial"/>
        </w:rPr>
      </w:pPr>
    </w:p>
    <w:p w:rsidR="0047763C" w:rsidRPr="00180B5B" w:rsidRDefault="0047763C" w:rsidP="00000681">
      <w:pPr>
        <w:pStyle w:val="DHSHeadingA"/>
      </w:pPr>
      <w:bookmarkStart w:id="2" w:name="_Toc153530423"/>
      <w:r w:rsidRPr="00180B5B">
        <w:t>Contents</w:t>
      </w:r>
      <w:bookmarkEnd w:id="2"/>
    </w:p>
    <w:p w:rsidR="0047763C" w:rsidRDefault="0047763C">
      <w:pPr>
        <w:pStyle w:val="DHSBody12"/>
        <w:tabs>
          <w:tab w:val="right" w:leader="dot" w:pos="9072"/>
          <w:tab w:val="left" w:pos="9498"/>
        </w:tabs>
        <w:rPr>
          <w:rFonts w:cs="Arial"/>
        </w:rPr>
      </w:pPr>
      <w:r>
        <w:rPr>
          <w:rFonts w:cs="Arial"/>
        </w:rPr>
        <w:t>O</w:t>
      </w:r>
      <w:r w:rsidRPr="00706644">
        <w:rPr>
          <w:rFonts w:cs="Arial"/>
        </w:rPr>
        <w:t>vervie</w:t>
      </w:r>
      <w:r>
        <w:rPr>
          <w:rFonts w:cs="Arial"/>
        </w:rPr>
        <w:t>w</w:t>
      </w:r>
      <w:r>
        <w:rPr>
          <w:rFonts w:cs="Arial"/>
        </w:rPr>
        <w:tab/>
        <w:t>2</w:t>
      </w:r>
    </w:p>
    <w:p w:rsidR="0047763C" w:rsidRDefault="0047763C">
      <w:pPr>
        <w:pStyle w:val="DHSBody12"/>
        <w:tabs>
          <w:tab w:val="right" w:leader="dot" w:pos="9072"/>
        </w:tabs>
        <w:rPr>
          <w:rFonts w:cs="Arial"/>
        </w:rPr>
      </w:pPr>
      <w:r w:rsidRPr="00706644">
        <w:rPr>
          <w:rFonts w:cs="Arial"/>
        </w:rPr>
        <w:t>Current rents</w:t>
      </w:r>
      <w:r>
        <w:rPr>
          <w:rFonts w:cs="Arial"/>
        </w:rPr>
        <w:tab/>
      </w:r>
      <w:r w:rsidRPr="00706644">
        <w:rPr>
          <w:rFonts w:cs="Arial"/>
        </w:rPr>
        <w:t>4</w:t>
      </w:r>
    </w:p>
    <w:p w:rsidR="0047763C" w:rsidRDefault="0047763C">
      <w:pPr>
        <w:pStyle w:val="DHSBody12"/>
        <w:tabs>
          <w:tab w:val="right" w:leader="dot" w:pos="9072"/>
        </w:tabs>
        <w:rPr>
          <w:rFonts w:cs="Arial"/>
        </w:rPr>
      </w:pPr>
      <w:r w:rsidRPr="00706644">
        <w:rPr>
          <w:rFonts w:cs="Arial"/>
        </w:rPr>
        <w:t>Rental availability</w:t>
      </w:r>
      <w:r>
        <w:rPr>
          <w:rFonts w:cs="Arial"/>
        </w:rPr>
        <w:tab/>
      </w:r>
      <w:r w:rsidRPr="00706644">
        <w:rPr>
          <w:rFonts w:cs="Arial"/>
        </w:rPr>
        <w:t>1</w:t>
      </w:r>
      <w:r w:rsidR="00DF50F4">
        <w:rPr>
          <w:rFonts w:cs="Arial"/>
        </w:rPr>
        <w:t>0</w:t>
      </w:r>
    </w:p>
    <w:p w:rsidR="0047763C" w:rsidRDefault="0047763C">
      <w:pPr>
        <w:pStyle w:val="DHSBody12"/>
        <w:tabs>
          <w:tab w:val="right" w:leader="dot" w:pos="9072"/>
          <w:tab w:val="left" w:pos="9356"/>
        </w:tabs>
        <w:rPr>
          <w:rFonts w:cs="Arial"/>
        </w:rPr>
      </w:pPr>
      <w:r w:rsidRPr="00706644">
        <w:rPr>
          <w:rFonts w:cs="Arial"/>
        </w:rPr>
        <w:t>Rental market affordability</w:t>
      </w:r>
      <w:r>
        <w:rPr>
          <w:rFonts w:cs="Arial"/>
        </w:rPr>
        <w:tab/>
      </w:r>
      <w:r w:rsidRPr="00706644">
        <w:rPr>
          <w:rFonts w:cs="Arial"/>
        </w:rPr>
        <w:t>1</w:t>
      </w:r>
      <w:r w:rsidR="00DF50F4">
        <w:rPr>
          <w:rFonts w:cs="Arial"/>
        </w:rPr>
        <w:t>6</w:t>
      </w:r>
    </w:p>
    <w:p w:rsidR="0047763C" w:rsidRDefault="0047763C">
      <w:pPr>
        <w:pStyle w:val="DHSBody12"/>
        <w:tabs>
          <w:tab w:val="right" w:leader="dot" w:pos="9072"/>
          <w:tab w:val="left" w:pos="9356"/>
        </w:tabs>
        <w:rPr>
          <w:rFonts w:cs="Arial"/>
        </w:rPr>
      </w:pPr>
      <w:r w:rsidRPr="00706644">
        <w:rPr>
          <w:rFonts w:cs="Arial"/>
        </w:rPr>
        <w:t>Notes</w:t>
      </w:r>
      <w:r>
        <w:rPr>
          <w:rFonts w:cs="Arial"/>
        </w:rPr>
        <w:tab/>
      </w:r>
      <w:r w:rsidR="00DF50F4">
        <w:rPr>
          <w:rFonts w:cs="Arial"/>
        </w:rPr>
        <w:t>37</w:t>
      </w: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88658C">
      <w:pPr>
        <w:rPr>
          <w:rFonts w:cs="Arial"/>
          <w:b/>
        </w:rPr>
      </w:pPr>
    </w:p>
    <w:p w:rsidR="0047763C" w:rsidRPr="00706644" w:rsidRDefault="0047763C" w:rsidP="0088658C">
      <w:pPr>
        <w:rPr>
          <w:rFonts w:cs="Arial"/>
          <w:b/>
        </w:rPr>
      </w:pPr>
    </w:p>
    <w:p w:rsidR="0047763C" w:rsidRPr="00706644" w:rsidRDefault="0047763C" w:rsidP="00000681">
      <w:pPr>
        <w:rPr>
          <w:rFonts w:cs="Arial"/>
        </w:rPr>
      </w:pPr>
      <w:r w:rsidRPr="00706644">
        <w:rPr>
          <w:rFonts w:cs="Arial"/>
        </w:rPr>
        <w:t xml:space="preserve">The Rental Report provides key statistics on the private rental market in Victoria. The major source for the statistics presented in the Rental Report is the Residential Tenancies Bond Authority which collects data on all rental bonds lodged under the </w:t>
      </w:r>
      <w:r w:rsidRPr="00706644">
        <w:rPr>
          <w:rFonts w:cs="Arial"/>
          <w:i/>
        </w:rPr>
        <w:t>Residential Tenancies</w:t>
      </w:r>
      <w:r>
        <w:rPr>
          <w:rFonts w:cs="Arial"/>
          <w:i/>
        </w:rPr>
        <w:t xml:space="preserve"> </w:t>
      </w:r>
      <w:r w:rsidRPr="00706644">
        <w:rPr>
          <w:rFonts w:cs="Arial"/>
          <w:i/>
        </w:rPr>
        <w:t>Act 1997</w:t>
      </w:r>
      <w:r w:rsidR="001E2251">
        <w:rPr>
          <w:rFonts w:cs="Arial"/>
        </w:rPr>
        <w:t xml:space="preserve"> (Vic</w:t>
      </w:r>
      <w:r w:rsidRPr="00706644">
        <w:rPr>
          <w:rFonts w:cs="Arial"/>
        </w:rPr>
        <w:t>).</w:t>
      </w:r>
    </w:p>
    <w:p w:rsidR="0047763C" w:rsidRPr="00706644" w:rsidRDefault="0047763C" w:rsidP="0088658C">
      <w:pPr>
        <w:rPr>
          <w:rFonts w:cs="Arial"/>
          <w:b/>
        </w:rPr>
      </w:pPr>
    </w:p>
    <w:p w:rsidR="0047763C" w:rsidRDefault="0047763C" w:rsidP="00975D6F">
      <w:pPr>
        <w:rPr>
          <w:rFonts w:cs="Arial"/>
          <w:b/>
        </w:rPr>
      </w:pPr>
    </w:p>
    <w:p w:rsidR="0047763C" w:rsidRPr="00E0320E" w:rsidRDefault="0047763C" w:rsidP="00975D6F">
      <w:pPr>
        <w:rPr>
          <w:rFonts w:cs="Arial"/>
          <w:b/>
          <w:szCs w:val="22"/>
        </w:rPr>
      </w:pPr>
    </w:p>
    <w:p w:rsidR="0047763C" w:rsidRPr="00E0320E" w:rsidRDefault="0047763C" w:rsidP="00975D6F">
      <w:pPr>
        <w:rPr>
          <w:rFonts w:cs="Arial"/>
          <w:szCs w:val="22"/>
        </w:rPr>
      </w:pPr>
    </w:p>
    <w:p w:rsidR="0047763C" w:rsidRPr="00706644" w:rsidRDefault="0047763C">
      <w:pPr>
        <w:rPr>
          <w:rFonts w:cs="Arial"/>
          <w:b/>
        </w:rPr>
      </w:pPr>
      <w:r w:rsidRPr="00706644">
        <w:rPr>
          <w:rFonts w:cs="Arial"/>
          <w:b/>
        </w:rPr>
        <w:br w:type="page"/>
      </w:r>
    </w:p>
    <w:p w:rsidR="0047763C" w:rsidRPr="00831AFF" w:rsidRDefault="0047763C">
      <w:pPr>
        <w:pStyle w:val="DHSHeadingA"/>
        <w:spacing w:after="240"/>
        <w:rPr>
          <w:color w:val="365F91"/>
        </w:rPr>
      </w:pPr>
      <w:r w:rsidRPr="00831AFF">
        <w:rPr>
          <w:color w:val="365F91"/>
        </w:rPr>
        <w:lastRenderedPageBreak/>
        <w:t>Overview</w:t>
      </w:r>
    </w:p>
    <w:p w:rsidR="0047763C" w:rsidRPr="000B458D" w:rsidRDefault="0047763C" w:rsidP="000B458D">
      <w:pPr>
        <w:pStyle w:val="DHSheadingB"/>
        <w:spacing w:line="270" w:lineRule="exact"/>
        <w:rPr>
          <w:rFonts w:cs="Arial"/>
          <w:sz w:val="22"/>
        </w:rPr>
      </w:pPr>
      <w:r w:rsidRPr="000B458D">
        <w:rPr>
          <w:rFonts w:cs="Arial"/>
          <w:sz w:val="22"/>
        </w:rPr>
        <w:t>Trends in rents</w:t>
      </w:r>
    </w:p>
    <w:p w:rsidR="0047763C" w:rsidRPr="00133DBA" w:rsidRDefault="00133DBA" w:rsidP="00EF7C2D">
      <w:r w:rsidRPr="00133DBA">
        <w:t>The Melbourne R</w:t>
      </w:r>
      <w:r w:rsidR="004B57AE">
        <w:t>ent Index (MRI) increased by 0.5</w:t>
      </w:r>
      <w:r w:rsidR="00231C96">
        <w:t xml:space="preserve"> per cent</w:t>
      </w:r>
      <w:r w:rsidRPr="00133DBA">
        <w:t xml:space="preserve"> in the </w:t>
      </w:r>
      <w:r w:rsidR="004B57AE">
        <w:t>December quarter</w:t>
      </w:r>
      <w:r w:rsidR="00246F19">
        <w:t>.</w:t>
      </w:r>
      <w:r w:rsidRPr="00133DBA">
        <w:t xml:space="preserve"> </w:t>
      </w:r>
      <w:r w:rsidR="0047763C" w:rsidRPr="00133DBA">
        <w:t xml:space="preserve">In the twelve months to </w:t>
      </w:r>
      <w:r w:rsidR="004B57AE">
        <w:t>December</w:t>
      </w:r>
      <w:r w:rsidR="00231C96">
        <w:t xml:space="preserve"> 201</w:t>
      </w:r>
      <w:r w:rsidR="00FF0F48">
        <w:t>5</w:t>
      </w:r>
      <w:r w:rsidR="0047763C" w:rsidRPr="00133DBA">
        <w:t xml:space="preserve">, the </w:t>
      </w:r>
      <w:r w:rsidR="00594FD7">
        <w:t>MRI</w:t>
      </w:r>
      <w:r w:rsidR="0047763C" w:rsidRPr="00133DBA">
        <w:t xml:space="preserve"> increased by </w:t>
      </w:r>
      <w:r w:rsidR="004B57AE">
        <w:t>3.0</w:t>
      </w:r>
      <w:r w:rsidR="000F29A4">
        <w:t xml:space="preserve"> </w:t>
      </w:r>
      <w:r w:rsidR="0047763C" w:rsidRPr="00133DBA">
        <w:t xml:space="preserve">per cent. This annual rate of increase is </w:t>
      </w:r>
      <w:r w:rsidR="000F29A4">
        <w:t>above</w:t>
      </w:r>
      <w:r w:rsidR="0047763C" w:rsidRPr="00133DBA">
        <w:t xml:space="preserve"> that </w:t>
      </w:r>
      <w:r w:rsidR="00C64921">
        <w:t>in the twelve months to</w:t>
      </w:r>
      <w:r w:rsidR="0047763C" w:rsidRPr="00133DBA">
        <w:t xml:space="preserve"> </w:t>
      </w:r>
      <w:r w:rsidR="004B57AE">
        <w:t>December</w:t>
      </w:r>
      <w:r w:rsidR="00231C96">
        <w:t xml:space="preserve"> 201</w:t>
      </w:r>
      <w:r w:rsidR="000F29A4">
        <w:t>4</w:t>
      </w:r>
      <w:r w:rsidR="0047763C" w:rsidRPr="00133DBA">
        <w:t xml:space="preserve"> (</w:t>
      </w:r>
      <w:r w:rsidR="004B57AE">
        <w:t>1.9</w:t>
      </w:r>
      <w:r w:rsidR="00DF50F4">
        <w:t>%</w:t>
      </w:r>
      <w:r w:rsidR="0047763C" w:rsidRPr="00133DBA">
        <w:t xml:space="preserve">) </w:t>
      </w:r>
      <w:r w:rsidR="00B1601F">
        <w:t>but</w:t>
      </w:r>
      <w:r w:rsidR="0047763C" w:rsidRPr="00133DBA">
        <w:t xml:space="preserve"> well below the long term average annual increa</w:t>
      </w:r>
      <w:r w:rsidR="00231C96">
        <w:t>se (over the past ten years) (5.</w:t>
      </w:r>
      <w:r w:rsidR="004B57AE">
        <w:t>1</w:t>
      </w:r>
      <w:r w:rsidR="00231C96">
        <w:t>%)</w:t>
      </w:r>
      <w:r w:rsidR="0047763C" w:rsidRPr="00133DBA">
        <w:t xml:space="preserve">. </w:t>
      </w:r>
    </w:p>
    <w:p w:rsidR="0047763C" w:rsidRPr="000F3B39" w:rsidRDefault="0047763C" w:rsidP="00EF7C2D">
      <w:pPr>
        <w:rPr>
          <w:rFonts w:cs="Arial"/>
          <w:szCs w:val="20"/>
        </w:rPr>
      </w:pPr>
    </w:p>
    <w:p w:rsidR="0047763C" w:rsidRPr="000F3B39" w:rsidRDefault="00594FD7" w:rsidP="00EF7C2D">
      <w:pPr>
        <w:rPr>
          <w:rFonts w:cs="Arial"/>
          <w:szCs w:val="20"/>
        </w:rPr>
      </w:pPr>
      <w:r>
        <w:rPr>
          <w:rFonts w:cs="Arial"/>
          <w:szCs w:val="20"/>
        </w:rPr>
        <w:t>T</w:t>
      </w:r>
      <w:r w:rsidR="0047763C" w:rsidRPr="000F3B39">
        <w:rPr>
          <w:rFonts w:cs="Arial"/>
          <w:szCs w:val="20"/>
        </w:rPr>
        <w:t xml:space="preserve">he Regional Rent Index (RRI) </w:t>
      </w:r>
      <w:r w:rsidR="002D7F55">
        <w:rPr>
          <w:rFonts w:cs="Arial"/>
          <w:szCs w:val="20"/>
        </w:rPr>
        <w:t>in</w:t>
      </w:r>
      <w:r w:rsidR="00231C96">
        <w:rPr>
          <w:rFonts w:cs="Arial"/>
          <w:szCs w:val="20"/>
        </w:rPr>
        <w:t xml:space="preserve">creased by </w:t>
      </w:r>
      <w:r w:rsidR="004B57AE">
        <w:rPr>
          <w:rFonts w:cs="Arial"/>
          <w:szCs w:val="20"/>
        </w:rPr>
        <w:t>0.1</w:t>
      </w:r>
      <w:r w:rsidR="00231C96">
        <w:rPr>
          <w:rFonts w:cs="Arial"/>
          <w:szCs w:val="20"/>
        </w:rPr>
        <w:t xml:space="preserve"> per cent</w:t>
      </w:r>
      <w:r>
        <w:rPr>
          <w:rFonts w:cs="Arial"/>
          <w:szCs w:val="20"/>
        </w:rPr>
        <w:t xml:space="preserve"> in the </w:t>
      </w:r>
      <w:r w:rsidR="004B57AE">
        <w:rPr>
          <w:rFonts w:cs="Arial"/>
          <w:szCs w:val="20"/>
        </w:rPr>
        <w:t>December</w:t>
      </w:r>
      <w:r>
        <w:rPr>
          <w:rFonts w:cs="Arial"/>
          <w:szCs w:val="20"/>
        </w:rPr>
        <w:t xml:space="preserve"> quarter.</w:t>
      </w:r>
      <w:r w:rsidR="003859FB">
        <w:rPr>
          <w:rFonts w:cs="Arial"/>
          <w:szCs w:val="20"/>
        </w:rPr>
        <w:t xml:space="preserve"> </w:t>
      </w:r>
      <w:r>
        <w:rPr>
          <w:rFonts w:cs="Arial"/>
          <w:szCs w:val="20"/>
        </w:rPr>
        <w:t xml:space="preserve">In the twelve months to </w:t>
      </w:r>
      <w:r w:rsidR="004B57AE">
        <w:rPr>
          <w:rFonts w:cs="Arial"/>
          <w:szCs w:val="20"/>
        </w:rPr>
        <w:t>December</w:t>
      </w:r>
      <w:r w:rsidR="0047763C" w:rsidRPr="000F3B39">
        <w:rPr>
          <w:rFonts w:cs="Arial"/>
          <w:szCs w:val="20"/>
        </w:rPr>
        <w:t xml:space="preserve"> </w:t>
      </w:r>
      <w:r w:rsidR="00231C96">
        <w:rPr>
          <w:rFonts w:cs="Arial"/>
          <w:szCs w:val="20"/>
        </w:rPr>
        <w:t>201</w:t>
      </w:r>
      <w:r w:rsidR="00B1601F">
        <w:rPr>
          <w:rFonts w:cs="Arial"/>
          <w:szCs w:val="20"/>
        </w:rPr>
        <w:t>5</w:t>
      </w:r>
      <w:r w:rsidR="00231C96">
        <w:rPr>
          <w:rFonts w:cs="Arial"/>
          <w:szCs w:val="20"/>
        </w:rPr>
        <w:t>, the RRI</w:t>
      </w:r>
      <w:r w:rsidR="004B57AE">
        <w:rPr>
          <w:rFonts w:cs="Arial"/>
          <w:szCs w:val="20"/>
        </w:rPr>
        <w:t xml:space="preserve"> increased by 2.9</w:t>
      </w:r>
      <w:r>
        <w:rPr>
          <w:rFonts w:cs="Arial"/>
          <w:szCs w:val="20"/>
        </w:rPr>
        <w:t xml:space="preserve"> per cent.</w:t>
      </w:r>
      <w:r w:rsidR="000F29A4">
        <w:rPr>
          <w:rFonts w:cs="Arial"/>
          <w:szCs w:val="20"/>
        </w:rPr>
        <w:t xml:space="preserve"> </w:t>
      </w:r>
      <w:r w:rsidR="003859FB">
        <w:rPr>
          <w:rFonts w:cs="Arial"/>
          <w:szCs w:val="20"/>
        </w:rPr>
        <w:t>This annual rate of increase is</w:t>
      </w:r>
      <w:r w:rsidR="000F29A4">
        <w:rPr>
          <w:rFonts w:cs="Arial"/>
          <w:szCs w:val="20"/>
        </w:rPr>
        <w:t xml:space="preserve"> </w:t>
      </w:r>
      <w:r w:rsidR="002D7F55">
        <w:rPr>
          <w:rFonts w:cs="Arial"/>
          <w:szCs w:val="20"/>
        </w:rPr>
        <w:t>above</w:t>
      </w:r>
      <w:r w:rsidR="003859FB">
        <w:rPr>
          <w:rFonts w:cs="Arial"/>
          <w:szCs w:val="20"/>
        </w:rPr>
        <w:t xml:space="preserve"> </w:t>
      </w:r>
      <w:r w:rsidR="00C64921" w:rsidRPr="00133DBA">
        <w:t xml:space="preserve">that </w:t>
      </w:r>
      <w:r w:rsidR="00C64921">
        <w:t>in the twelve months to</w:t>
      </w:r>
      <w:r w:rsidR="00C64921" w:rsidRPr="00133DBA">
        <w:t xml:space="preserve"> </w:t>
      </w:r>
      <w:r w:rsidR="004B57AE">
        <w:t>December</w:t>
      </w:r>
      <w:r w:rsidR="003859FB">
        <w:rPr>
          <w:rFonts w:cs="Arial"/>
          <w:szCs w:val="20"/>
        </w:rPr>
        <w:t xml:space="preserve"> 2</w:t>
      </w:r>
      <w:r w:rsidR="00231C96">
        <w:rPr>
          <w:rFonts w:cs="Arial"/>
          <w:szCs w:val="20"/>
        </w:rPr>
        <w:t>01</w:t>
      </w:r>
      <w:r w:rsidR="000F29A4">
        <w:rPr>
          <w:rFonts w:cs="Arial"/>
          <w:szCs w:val="20"/>
        </w:rPr>
        <w:t>4</w:t>
      </w:r>
      <w:r w:rsidR="00231C96">
        <w:rPr>
          <w:rFonts w:cs="Arial"/>
          <w:szCs w:val="20"/>
        </w:rPr>
        <w:t xml:space="preserve"> (</w:t>
      </w:r>
      <w:r w:rsidR="004B57AE">
        <w:rPr>
          <w:rFonts w:cs="Arial"/>
          <w:szCs w:val="20"/>
        </w:rPr>
        <w:t>1.2</w:t>
      </w:r>
      <w:r w:rsidR="00DF50F4">
        <w:rPr>
          <w:rFonts w:cs="Arial"/>
          <w:szCs w:val="20"/>
        </w:rPr>
        <w:t>%</w:t>
      </w:r>
      <w:r w:rsidR="003859FB">
        <w:rPr>
          <w:rFonts w:cs="Arial"/>
          <w:szCs w:val="20"/>
        </w:rPr>
        <w:t xml:space="preserve">) </w:t>
      </w:r>
      <w:r w:rsidR="001E528C">
        <w:rPr>
          <w:rFonts w:cs="Arial"/>
          <w:szCs w:val="20"/>
        </w:rPr>
        <w:t>and also well below</w:t>
      </w:r>
      <w:r w:rsidR="003859FB">
        <w:rPr>
          <w:rFonts w:cs="Arial"/>
          <w:szCs w:val="20"/>
        </w:rPr>
        <w:t xml:space="preserve"> the long-t</w:t>
      </w:r>
      <w:r w:rsidR="00231C96">
        <w:rPr>
          <w:rFonts w:cs="Arial"/>
          <w:szCs w:val="20"/>
        </w:rPr>
        <w:t>erm average annual increase (</w:t>
      </w:r>
      <w:r w:rsidR="004B57AE">
        <w:rPr>
          <w:rFonts w:cs="Arial"/>
          <w:szCs w:val="20"/>
        </w:rPr>
        <w:t>4.2</w:t>
      </w:r>
      <w:r w:rsidR="00DF50F4">
        <w:rPr>
          <w:rFonts w:cs="Arial"/>
          <w:szCs w:val="20"/>
        </w:rPr>
        <w:t>%</w:t>
      </w:r>
      <w:r w:rsidR="003859FB">
        <w:rPr>
          <w:rFonts w:cs="Arial"/>
          <w:szCs w:val="20"/>
        </w:rPr>
        <w:t>).</w:t>
      </w:r>
    </w:p>
    <w:p w:rsidR="0047763C" w:rsidRPr="00706644" w:rsidRDefault="0047763C" w:rsidP="00AC75C4">
      <w:pPr>
        <w:pStyle w:val="DHSheadingD"/>
        <w:rPr>
          <w:rFonts w:cs="Arial"/>
        </w:rPr>
      </w:pPr>
      <w:r w:rsidRPr="00706644">
        <w:rPr>
          <w:rFonts w:cs="Arial"/>
        </w:rPr>
        <w:t>Rent Indices at a glance</w:t>
      </w:r>
      <w:r>
        <w:rPr>
          <w:rFonts w:cs="Arial"/>
        </w:rPr>
        <w:t xml:space="preserve"> </w:t>
      </w:r>
    </w:p>
    <w:tbl>
      <w:tblPr>
        <w:tblW w:w="9187" w:type="dxa"/>
        <w:tblBorders>
          <w:top w:val="single" w:sz="18" w:space="0" w:color="9DAECB"/>
          <w:bottom w:val="single" w:sz="18" w:space="0" w:color="9DAECB"/>
          <w:insideH w:val="single" w:sz="2" w:space="0" w:color="9DAECB"/>
        </w:tblBorders>
        <w:tblLook w:val="0000" w:firstRow="0" w:lastRow="0" w:firstColumn="0" w:lastColumn="0" w:noHBand="0" w:noVBand="0"/>
      </w:tblPr>
      <w:tblGrid>
        <w:gridCol w:w="3440"/>
        <w:gridCol w:w="1909"/>
        <w:gridCol w:w="1897"/>
        <w:gridCol w:w="1941"/>
      </w:tblGrid>
      <w:tr w:rsidR="0047763C" w:rsidRPr="005F5C4F" w:rsidTr="00DF3BA6">
        <w:tc>
          <w:tcPr>
            <w:tcW w:w="3440" w:type="dxa"/>
            <w:tcBorders>
              <w:top w:val="single" w:sz="18" w:space="0" w:color="9DAECB"/>
              <w:bottom w:val="single" w:sz="12" w:space="0" w:color="9DAECB"/>
            </w:tcBorders>
          </w:tcPr>
          <w:p w:rsidR="0047763C" w:rsidRPr="00C95655" w:rsidRDefault="0047763C" w:rsidP="00D55A3B">
            <w:pPr>
              <w:pStyle w:val="DHSbodycopytable"/>
              <w:spacing w:after="0"/>
              <w:rPr>
                <w:rFonts w:cs="Arial"/>
                <w:sz w:val="20"/>
              </w:rPr>
            </w:pPr>
          </w:p>
        </w:tc>
        <w:tc>
          <w:tcPr>
            <w:tcW w:w="1909" w:type="dxa"/>
            <w:tcBorders>
              <w:top w:val="single" w:sz="18" w:space="0" w:color="9DAECB"/>
              <w:bottom w:val="single" w:sz="12" w:space="0" w:color="9DAECB"/>
            </w:tcBorders>
            <w:shd w:val="clear" w:color="auto" w:fill="DEE4EE"/>
            <w:vAlign w:val="center"/>
          </w:tcPr>
          <w:p w:rsidR="0047763C" w:rsidRPr="00C95655" w:rsidRDefault="00D55A3B" w:rsidP="00D55A3B">
            <w:pPr>
              <w:pStyle w:val="DHSbodycopytable"/>
              <w:spacing w:after="0"/>
              <w:jc w:val="center"/>
              <w:rPr>
                <w:rFonts w:cs="Arial"/>
                <w:b/>
                <w:sz w:val="20"/>
              </w:rPr>
            </w:pPr>
            <w:r>
              <w:rPr>
                <w:rFonts w:cs="Arial"/>
                <w:b/>
                <w:sz w:val="20"/>
              </w:rPr>
              <w:t>Median Rent</w:t>
            </w:r>
            <w:r>
              <w:rPr>
                <w:rFonts w:cs="Arial"/>
                <w:b/>
                <w:sz w:val="20"/>
              </w:rPr>
              <w:br/>
              <w:t>(</w:t>
            </w:r>
            <w:r w:rsidR="0047763C" w:rsidRPr="00C95655">
              <w:rPr>
                <w:rFonts w:cs="Arial"/>
                <w:b/>
                <w:sz w:val="20"/>
              </w:rPr>
              <w:t>p</w:t>
            </w:r>
            <w:r>
              <w:rPr>
                <w:rFonts w:cs="Arial"/>
                <w:b/>
                <w:sz w:val="20"/>
              </w:rPr>
              <w:t xml:space="preserve">er </w:t>
            </w:r>
            <w:r w:rsidR="0047763C" w:rsidRPr="00C95655">
              <w:rPr>
                <w:rFonts w:cs="Arial"/>
                <w:b/>
                <w:sz w:val="20"/>
              </w:rPr>
              <w:t>w</w:t>
            </w:r>
            <w:r>
              <w:rPr>
                <w:rFonts w:cs="Arial"/>
                <w:b/>
                <w:sz w:val="20"/>
              </w:rPr>
              <w:t>eek)</w:t>
            </w:r>
          </w:p>
        </w:tc>
        <w:tc>
          <w:tcPr>
            <w:tcW w:w="1897" w:type="dxa"/>
            <w:tcBorders>
              <w:top w:val="single" w:sz="18" w:space="0" w:color="9DAECB"/>
              <w:bottom w:val="single" w:sz="12" w:space="0" w:color="9DAECB"/>
            </w:tcBorders>
            <w:vAlign w:val="center"/>
          </w:tcPr>
          <w:p w:rsidR="0047763C" w:rsidRPr="00C95655" w:rsidRDefault="0047763C" w:rsidP="00D55A3B">
            <w:pPr>
              <w:pStyle w:val="DHSbodycopytable"/>
              <w:spacing w:after="0"/>
              <w:jc w:val="center"/>
              <w:rPr>
                <w:rFonts w:cs="Arial"/>
                <w:b/>
                <w:sz w:val="20"/>
              </w:rPr>
            </w:pPr>
            <w:r w:rsidRPr="00C95655">
              <w:rPr>
                <w:rFonts w:cs="Arial"/>
                <w:b/>
                <w:sz w:val="20"/>
              </w:rPr>
              <w:t>Quarterly Change*</w:t>
            </w:r>
          </w:p>
        </w:tc>
        <w:tc>
          <w:tcPr>
            <w:tcW w:w="1941" w:type="dxa"/>
            <w:tcBorders>
              <w:top w:val="single" w:sz="18" w:space="0" w:color="9DAECB"/>
              <w:bottom w:val="single" w:sz="12" w:space="0" w:color="9DAECB"/>
            </w:tcBorders>
            <w:shd w:val="clear" w:color="auto" w:fill="DEE4EE"/>
            <w:vAlign w:val="center"/>
          </w:tcPr>
          <w:p w:rsidR="0047763C" w:rsidRPr="00C95655" w:rsidRDefault="00D55A3B" w:rsidP="00D55A3B">
            <w:pPr>
              <w:pStyle w:val="DHSbodycopytable"/>
              <w:spacing w:after="0"/>
              <w:jc w:val="center"/>
              <w:rPr>
                <w:rFonts w:cs="Arial"/>
                <w:b/>
                <w:sz w:val="20"/>
              </w:rPr>
            </w:pPr>
            <w:r>
              <w:rPr>
                <w:rFonts w:cs="Arial"/>
                <w:b/>
                <w:sz w:val="20"/>
              </w:rPr>
              <w:t>Annual</w:t>
            </w:r>
            <w:r>
              <w:rPr>
                <w:rFonts w:cs="Arial"/>
                <w:b/>
                <w:sz w:val="20"/>
              </w:rPr>
              <w:br/>
            </w:r>
            <w:r w:rsidR="0047763C" w:rsidRPr="00C95655">
              <w:rPr>
                <w:rFonts w:cs="Arial"/>
                <w:b/>
                <w:sz w:val="20"/>
              </w:rPr>
              <w:t>Change*</w:t>
            </w:r>
          </w:p>
        </w:tc>
      </w:tr>
      <w:tr w:rsidR="00FB1A84" w:rsidRPr="005F5C4F" w:rsidTr="005E5C54">
        <w:trPr>
          <w:trHeight w:hRule="exact" w:val="340"/>
        </w:trPr>
        <w:tc>
          <w:tcPr>
            <w:tcW w:w="3440" w:type="dxa"/>
            <w:tcBorders>
              <w:top w:val="single" w:sz="12" w:space="0" w:color="9DAECB"/>
            </w:tcBorders>
          </w:tcPr>
          <w:p w:rsidR="00FB1A84" w:rsidRPr="00C95655" w:rsidRDefault="00FB1A84" w:rsidP="00C95655">
            <w:pPr>
              <w:pStyle w:val="DHSbodycopytable"/>
              <w:spacing w:after="0"/>
              <w:rPr>
                <w:rFonts w:cs="Arial"/>
                <w:sz w:val="20"/>
              </w:rPr>
            </w:pPr>
            <w:r>
              <w:rPr>
                <w:rFonts w:cs="Arial"/>
                <w:sz w:val="20"/>
              </w:rPr>
              <w:t xml:space="preserve">Metropolitan </w:t>
            </w:r>
            <w:r w:rsidRPr="00C95655">
              <w:rPr>
                <w:rFonts w:cs="Arial"/>
                <w:sz w:val="20"/>
              </w:rPr>
              <w:t>Melbourne</w:t>
            </w:r>
          </w:p>
        </w:tc>
        <w:tc>
          <w:tcPr>
            <w:tcW w:w="1909" w:type="dxa"/>
            <w:tcBorders>
              <w:top w:val="single" w:sz="12" w:space="0" w:color="9DAECB"/>
            </w:tcBorders>
            <w:shd w:val="clear" w:color="auto" w:fill="DEE4EE"/>
            <w:vAlign w:val="center"/>
          </w:tcPr>
          <w:p w:rsidR="00FB1A84" w:rsidRPr="005E5C54" w:rsidRDefault="00FB1A84" w:rsidP="005E5C54">
            <w:pPr>
              <w:jc w:val="center"/>
              <w:rPr>
                <w:sz w:val="20"/>
              </w:rPr>
            </w:pPr>
            <w:r w:rsidRPr="005E5C54">
              <w:rPr>
                <w:sz w:val="20"/>
              </w:rPr>
              <w:t>$380</w:t>
            </w:r>
          </w:p>
        </w:tc>
        <w:tc>
          <w:tcPr>
            <w:tcW w:w="1897" w:type="dxa"/>
            <w:tcBorders>
              <w:top w:val="single" w:sz="12" w:space="0" w:color="9DAECB"/>
            </w:tcBorders>
            <w:vAlign w:val="center"/>
          </w:tcPr>
          <w:p w:rsidR="00FB1A84" w:rsidRPr="005E5C54" w:rsidRDefault="00FB1A84" w:rsidP="005E5C54">
            <w:pPr>
              <w:jc w:val="center"/>
              <w:rPr>
                <w:sz w:val="20"/>
              </w:rPr>
            </w:pPr>
            <w:r w:rsidRPr="005E5C54">
              <w:rPr>
                <w:sz w:val="20"/>
              </w:rPr>
              <w:t>0.5%</w:t>
            </w:r>
          </w:p>
        </w:tc>
        <w:tc>
          <w:tcPr>
            <w:tcW w:w="1941" w:type="dxa"/>
            <w:tcBorders>
              <w:top w:val="single" w:sz="12" w:space="0" w:color="9DAECB"/>
            </w:tcBorders>
            <w:shd w:val="clear" w:color="auto" w:fill="DEE4EE"/>
            <w:vAlign w:val="center"/>
          </w:tcPr>
          <w:p w:rsidR="00FB1A84" w:rsidRPr="005E5C54" w:rsidRDefault="00FB1A84" w:rsidP="005E5C54">
            <w:pPr>
              <w:jc w:val="center"/>
              <w:rPr>
                <w:sz w:val="20"/>
              </w:rPr>
            </w:pPr>
            <w:r w:rsidRPr="005E5C54">
              <w:rPr>
                <w:sz w:val="20"/>
              </w:rPr>
              <w:t>3.0%</w:t>
            </w:r>
          </w:p>
        </w:tc>
      </w:tr>
      <w:tr w:rsidR="00FB1A84" w:rsidRPr="005F5C4F" w:rsidTr="005E5C54">
        <w:trPr>
          <w:trHeight w:hRule="exact" w:val="340"/>
        </w:trPr>
        <w:tc>
          <w:tcPr>
            <w:tcW w:w="3440" w:type="dxa"/>
          </w:tcPr>
          <w:p w:rsidR="00FB1A84" w:rsidRPr="00C95655" w:rsidRDefault="00FB1A84" w:rsidP="00C95655">
            <w:pPr>
              <w:pStyle w:val="DHSbodycopytable"/>
              <w:spacing w:after="0"/>
              <w:rPr>
                <w:rFonts w:cs="Arial"/>
                <w:sz w:val="20"/>
              </w:rPr>
            </w:pPr>
            <w:r w:rsidRPr="00C95655">
              <w:rPr>
                <w:rFonts w:cs="Arial"/>
                <w:sz w:val="20"/>
              </w:rPr>
              <w:t>Regional Victoria</w:t>
            </w:r>
          </w:p>
        </w:tc>
        <w:tc>
          <w:tcPr>
            <w:tcW w:w="1909" w:type="dxa"/>
            <w:shd w:val="clear" w:color="auto" w:fill="DEE4EE"/>
            <w:vAlign w:val="center"/>
          </w:tcPr>
          <w:p w:rsidR="00FB1A84" w:rsidRPr="005E5C54" w:rsidRDefault="00FB1A84" w:rsidP="005E5C54">
            <w:pPr>
              <w:jc w:val="center"/>
              <w:rPr>
                <w:sz w:val="20"/>
              </w:rPr>
            </w:pPr>
            <w:r w:rsidRPr="005E5C54">
              <w:rPr>
                <w:sz w:val="20"/>
              </w:rPr>
              <w:t>$280</w:t>
            </w:r>
          </w:p>
        </w:tc>
        <w:tc>
          <w:tcPr>
            <w:tcW w:w="1897" w:type="dxa"/>
            <w:vAlign w:val="center"/>
          </w:tcPr>
          <w:p w:rsidR="00FB1A84" w:rsidRPr="005E5C54" w:rsidRDefault="00FB1A84" w:rsidP="005E5C54">
            <w:pPr>
              <w:jc w:val="center"/>
              <w:rPr>
                <w:sz w:val="20"/>
              </w:rPr>
            </w:pPr>
            <w:r w:rsidRPr="005E5C54">
              <w:rPr>
                <w:sz w:val="20"/>
              </w:rPr>
              <w:t>0.1%</w:t>
            </w:r>
          </w:p>
        </w:tc>
        <w:tc>
          <w:tcPr>
            <w:tcW w:w="1941" w:type="dxa"/>
            <w:shd w:val="clear" w:color="auto" w:fill="DEE4EE"/>
            <w:vAlign w:val="center"/>
          </w:tcPr>
          <w:p w:rsidR="00FB1A84" w:rsidRPr="005E5C54" w:rsidRDefault="00FB1A84" w:rsidP="005E5C54">
            <w:pPr>
              <w:jc w:val="center"/>
              <w:rPr>
                <w:sz w:val="20"/>
              </w:rPr>
            </w:pPr>
            <w:r w:rsidRPr="005E5C54">
              <w:rPr>
                <w:sz w:val="20"/>
              </w:rPr>
              <w:t>2.9%</w:t>
            </w:r>
          </w:p>
        </w:tc>
      </w:tr>
      <w:tr w:rsidR="00FB1A84" w:rsidRPr="005F5C4F" w:rsidTr="005E5C54">
        <w:trPr>
          <w:trHeight w:hRule="exact" w:val="340"/>
        </w:trPr>
        <w:tc>
          <w:tcPr>
            <w:tcW w:w="3440" w:type="dxa"/>
          </w:tcPr>
          <w:p w:rsidR="00FB1A84" w:rsidRPr="00C95655" w:rsidRDefault="00FB1A84" w:rsidP="00C95655">
            <w:pPr>
              <w:pStyle w:val="DHSbodycopytable"/>
              <w:spacing w:after="0"/>
              <w:rPr>
                <w:rFonts w:cs="Arial"/>
                <w:sz w:val="20"/>
              </w:rPr>
            </w:pPr>
            <w:r w:rsidRPr="00C95655">
              <w:rPr>
                <w:rFonts w:cs="Arial"/>
                <w:sz w:val="20"/>
              </w:rPr>
              <w:t>Victoria</w:t>
            </w:r>
          </w:p>
        </w:tc>
        <w:tc>
          <w:tcPr>
            <w:tcW w:w="1909" w:type="dxa"/>
            <w:shd w:val="clear" w:color="auto" w:fill="DEE4EE"/>
            <w:vAlign w:val="center"/>
          </w:tcPr>
          <w:p w:rsidR="00FB1A84" w:rsidRPr="005E5C54" w:rsidRDefault="00FB1A84" w:rsidP="005E5C54">
            <w:pPr>
              <w:jc w:val="center"/>
              <w:rPr>
                <w:sz w:val="20"/>
              </w:rPr>
            </w:pPr>
            <w:r w:rsidRPr="005E5C54">
              <w:rPr>
                <w:sz w:val="20"/>
              </w:rPr>
              <w:t>$360</w:t>
            </w:r>
          </w:p>
        </w:tc>
        <w:tc>
          <w:tcPr>
            <w:tcW w:w="1897" w:type="dxa"/>
            <w:vAlign w:val="center"/>
          </w:tcPr>
          <w:p w:rsidR="00FB1A84" w:rsidRPr="005E5C54" w:rsidRDefault="00FB1A84" w:rsidP="005E5C54">
            <w:pPr>
              <w:jc w:val="center"/>
              <w:rPr>
                <w:sz w:val="20"/>
              </w:rPr>
            </w:pPr>
            <w:r w:rsidRPr="005E5C54">
              <w:rPr>
                <w:sz w:val="20"/>
              </w:rPr>
              <w:t>0.5%</w:t>
            </w:r>
          </w:p>
        </w:tc>
        <w:tc>
          <w:tcPr>
            <w:tcW w:w="1941" w:type="dxa"/>
            <w:shd w:val="clear" w:color="auto" w:fill="DEE4EE"/>
            <w:vAlign w:val="center"/>
          </w:tcPr>
          <w:p w:rsidR="00FB1A84" w:rsidRPr="005E5C54" w:rsidRDefault="00FB1A84" w:rsidP="005E5C54">
            <w:pPr>
              <w:jc w:val="center"/>
              <w:rPr>
                <w:sz w:val="20"/>
              </w:rPr>
            </w:pPr>
            <w:r w:rsidRPr="005E5C54">
              <w:rPr>
                <w:sz w:val="20"/>
              </w:rPr>
              <w:t>3.0%</w:t>
            </w:r>
          </w:p>
        </w:tc>
      </w:tr>
    </w:tbl>
    <w:p w:rsidR="0047763C" w:rsidRPr="006A259B" w:rsidRDefault="0047763C" w:rsidP="00AC75C4">
      <w:pPr>
        <w:pStyle w:val="Footnote"/>
        <w:jc w:val="left"/>
        <w:rPr>
          <w:rFonts w:cs="Arial"/>
          <w:color w:val="auto"/>
        </w:rPr>
      </w:pPr>
      <w:r w:rsidRPr="006A259B">
        <w:rPr>
          <w:rFonts w:cs="Arial"/>
          <w:color w:val="auto"/>
        </w:rPr>
        <w:t>* Percentage change figures are calculated from relevant Rent Index</w:t>
      </w:r>
    </w:p>
    <w:p w:rsidR="0047763C" w:rsidRPr="000B458D" w:rsidRDefault="0047763C" w:rsidP="000B458D">
      <w:pPr>
        <w:pStyle w:val="DHSheadingB"/>
        <w:spacing w:line="270" w:lineRule="exact"/>
        <w:rPr>
          <w:rFonts w:cs="Arial"/>
          <w:sz w:val="22"/>
        </w:rPr>
      </w:pPr>
      <w:r w:rsidRPr="000B458D">
        <w:rPr>
          <w:rFonts w:cs="Arial"/>
          <w:sz w:val="22"/>
        </w:rPr>
        <w:t>New Lettings</w:t>
      </w:r>
    </w:p>
    <w:p w:rsidR="0047763C" w:rsidRPr="000F3B39" w:rsidRDefault="0047763C" w:rsidP="00BB12A7">
      <w:pPr>
        <w:rPr>
          <w:rFonts w:cs="Arial"/>
          <w:szCs w:val="20"/>
        </w:rPr>
      </w:pPr>
      <w:r w:rsidRPr="000F3B39">
        <w:rPr>
          <w:rFonts w:cs="Arial"/>
          <w:szCs w:val="20"/>
        </w:rPr>
        <w:t xml:space="preserve">Across the state, the total number of new lettings this quarter was </w:t>
      </w:r>
      <w:r w:rsidR="004B57AE" w:rsidRPr="004B57AE">
        <w:rPr>
          <w:rFonts w:cs="Arial"/>
          <w:szCs w:val="20"/>
        </w:rPr>
        <w:t>50</w:t>
      </w:r>
      <w:r w:rsidR="004B57AE">
        <w:rPr>
          <w:rFonts w:cs="Arial"/>
          <w:szCs w:val="20"/>
        </w:rPr>
        <w:t>,</w:t>
      </w:r>
      <w:r w:rsidR="004B57AE" w:rsidRPr="004B57AE">
        <w:rPr>
          <w:rFonts w:cs="Arial"/>
          <w:szCs w:val="20"/>
        </w:rPr>
        <w:t>860</w:t>
      </w:r>
      <w:r w:rsidRPr="000F3B39">
        <w:rPr>
          <w:rFonts w:cs="Arial"/>
          <w:szCs w:val="20"/>
        </w:rPr>
        <w:t xml:space="preserve"> a</w:t>
      </w:r>
      <w:r w:rsidR="00C5401F">
        <w:rPr>
          <w:rFonts w:cs="Arial"/>
          <w:szCs w:val="20"/>
        </w:rPr>
        <w:t xml:space="preserve"> de</w:t>
      </w:r>
      <w:r w:rsidRPr="000F3B39">
        <w:rPr>
          <w:rFonts w:cs="Arial"/>
          <w:szCs w:val="20"/>
        </w:rPr>
        <w:t xml:space="preserve">crease of </w:t>
      </w:r>
      <w:r w:rsidR="004B57AE">
        <w:rPr>
          <w:rFonts w:cs="Arial"/>
          <w:szCs w:val="20"/>
        </w:rPr>
        <w:t>0.6</w:t>
      </w:r>
      <w:r w:rsidRPr="000F3B39">
        <w:rPr>
          <w:rFonts w:cs="Arial"/>
          <w:szCs w:val="20"/>
        </w:rPr>
        <w:t xml:space="preserve"> per cent over the </w:t>
      </w:r>
      <w:r w:rsidR="004B57AE">
        <w:rPr>
          <w:rFonts w:cs="Arial"/>
          <w:szCs w:val="20"/>
        </w:rPr>
        <w:t>December</w:t>
      </w:r>
      <w:r w:rsidR="00C5401F">
        <w:rPr>
          <w:rFonts w:cs="Arial"/>
          <w:szCs w:val="20"/>
        </w:rPr>
        <w:t xml:space="preserve"> quarter 201</w:t>
      </w:r>
      <w:r w:rsidR="000F29A4">
        <w:rPr>
          <w:rFonts w:cs="Arial"/>
          <w:szCs w:val="20"/>
        </w:rPr>
        <w:t>4</w:t>
      </w:r>
      <w:r w:rsidRPr="000F3B39">
        <w:rPr>
          <w:rFonts w:cs="Arial"/>
          <w:szCs w:val="20"/>
        </w:rPr>
        <w:t xml:space="preserve">. In metropolitan Melbourne the number of new lettings </w:t>
      </w:r>
      <w:r w:rsidR="00376B90">
        <w:rPr>
          <w:rFonts w:cs="Arial"/>
          <w:szCs w:val="20"/>
        </w:rPr>
        <w:t>in</w:t>
      </w:r>
      <w:r w:rsidRPr="000F3B39">
        <w:rPr>
          <w:rFonts w:cs="Arial"/>
          <w:szCs w:val="20"/>
        </w:rPr>
        <w:t xml:space="preserve">creased by </w:t>
      </w:r>
      <w:r w:rsidR="004B57AE">
        <w:rPr>
          <w:rFonts w:cs="Arial"/>
          <w:szCs w:val="20"/>
        </w:rPr>
        <w:t>0.5</w:t>
      </w:r>
      <w:r w:rsidRPr="000F3B39">
        <w:rPr>
          <w:rFonts w:cs="Arial"/>
          <w:szCs w:val="20"/>
        </w:rPr>
        <w:t xml:space="preserve"> per cent over the </w:t>
      </w:r>
      <w:r w:rsidR="004B57AE">
        <w:rPr>
          <w:rFonts w:cs="Arial"/>
          <w:szCs w:val="20"/>
        </w:rPr>
        <w:t>December</w:t>
      </w:r>
      <w:r w:rsidR="00C5401F">
        <w:rPr>
          <w:rFonts w:cs="Arial"/>
          <w:szCs w:val="20"/>
        </w:rPr>
        <w:t xml:space="preserve"> quarter 201</w:t>
      </w:r>
      <w:r w:rsidR="008312D3">
        <w:rPr>
          <w:rFonts w:cs="Arial"/>
          <w:szCs w:val="20"/>
        </w:rPr>
        <w:t>4</w:t>
      </w:r>
      <w:r w:rsidRPr="000F3B39">
        <w:rPr>
          <w:rFonts w:cs="Arial"/>
          <w:szCs w:val="20"/>
        </w:rPr>
        <w:t xml:space="preserve">. In regional Victoria the number of new lettings </w:t>
      </w:r>
      <w:r w:rsidR="008C1D3D">
        <w:rPr>
          <w:rFonts w:cs="Arial"/>
          <w:szCs w:val="20"/>
        </w:rPr>
        <w:t>decreased</w:t>
      </w:r>
      <w:r w:rsidRPr="000F3B39">
        <w:rPr>
          <w:rFonts w:cs="Arial"/>
          <w:szCs w:val="20"/>
        </w:rPr>
        <w:t xml:space="preserve"> by </w:t>
      </w:r>
      <w:r w:rsidR="004B57AE">
        <w:rPr>
          <w:rFonts w:cs="Arial"/>
          <w:szCs w:val="20"/>
        </w:rPr>
        <w:t>4.6</w:t>
      </w:r>
      <w:r w:rsidRPr="000F3B39">
        <w:rPr>
          <w:rFonts w:cs="Arial"/>
          <w:szCs w:val="20"/>
        </w:rPr>
        <w:t xml:space="preserve"> per cent over the </w:t>
      </w:r>
      <w:r w:rsidR="004B57AE">
        <w:rPr>
          <w:rFonts w:cs="Arial"/>
          <w:szCs w:val="20"/>
        </w:rPr>
        <w:t>December</w:t>
      </w:r>
      <w:r w:rsidR="00C5401F">
        <w:rPr>
          <w:rFonts w:cs="Arial"/>
          <w:szCs w:val="20"/>
        </w:rPr>
        <w:t xml:space="preserve"> quarter 201</w:t>
      </w:r>
      <w:r w:rsidR="008312D3">
        <w:rPr>
          <w:rFonts w:cs="Arial"/>
          <w:szCs w:val="20"/>
        </w:rPr>
        <w:t>4</w:t>
      </w:r>
      <w:r w:rsidRPr="000F3B39">
        <w:rPr>
          <w:rFonts w:cs="Arial"/>
          <w:szCs w:val="20"/>
        </w:rPr>
        <w:t>.</w:t>
      </w:r>
      <w:r w:rsidR="00B1601F" w:rsidRPr="00B1601F">
        <w:rPr>
          <w:rFonts w:cs="Arial"/>
          <w:szCs w:val="20"/>
        </w:rPr>
        <w:t xml:space="preserve"> </w:t>
      </w:r>
      <w:r w:rsidR="00B1601F" w:rsidRPr="000F3B39">
        <w:rPr>
          <w:rFonts w:cs="Arial"/>
          <w:szCs w:val="20"/>
        </w:rPr>
        <w:t>Metropolitan Melbourne</w:t>
      </w:r>
      <w:r w:rsidR="002D7F55">
        <w:rPr>
          <w:rFonts w:cs="Arial"/>
          <w:szCs w:val="20"/>
        </w:rPr>
        <w:t xml:space="preserve"> accounted for </w:t>
      </w:r>
      <w:r w:rsidR="004B57AE">
        <w:rPr>
          <w:rFonts w:cs="Arial"/>
          <w:szCs w:val="20"/>
        </w:rPr>
        <w:t>79</w:t>
      </w:r>
      <w:r w:rsidR="00B1601F" w:rsidRPr="000F3B39">
        <w:rPr>
          <w:rFonts w:cs="Arial"/>
          <w:szCs w:val="20"/>
        </w:rPr>
        <w:t xml:space="preserve"> per cent of all new lettings in Victoria.</w:t>
      </w:r>
    </w:p>
    <w:p w:rsidR="0047763C" w:rsidRPr="000B458D" w:rsidRDefault="0047763C" w:rsidP="00C23C44">
      <w:pPr>
        <w:pStyle w:val="DHSheadingB"/>
        <w:spacing w:line="270" w:lineRule="exact"/>
        <w:rPr>
          <w:rFonts w:cs="Arial"/>
          <w:sz w:val="22"/>
        </w:rPr>
      </w:pPr>
      <w:r w:rsidRPr="000B458D">
        <w:rPr>
          <w:rFonts w:cs="Arial"/>
          <w:sz w:val="22"/>
        </w:rPr>
        <w:t>Active bonds</w:t>
      </w:r>
    </w:p>
    <w:p w:rsidR="0047763C" w:rsidRPr="000F3B39" w:rsidRDefault="0047763C" w:rsidP="00C23C44">
      <w:pPr>
        <w:rPr>
          <w:rFonts w:cs="Arial"/>
          <w:szCs w:val="20"/>
        </w:rPr>
      </w:pPr>
      <w:r w:rsidRPr="00F36B43">
        <w:rPr>
          <w:rFonts w:cs="Arial"/>
          <w:szCs w:val="20"/>
        </w:rPr>
        <w:t xml:space="preserve">At the end of the </w:t>
      </w:r>
      <w:r w:rsidR="004B57AE">
        <w:rPr>
          <w:rFonts w:cs="Arial"/>
          <w:szCs w:val="20"/>
        </w:rPr>
        <w:t>December</w:t>
      </w:r>
      <w:r w:rsidR="00C23C44">
        <w:rPr>
          <w:rFonts w:cs="Arial"/>
          <w:szCs w:val="20"/>
        </w:rPr>
        <w:t xml:space="preserve"> quarter 201</w:t>
      </w:r>
      <w:r w:rsidR="00A708B7">
        <w:rPr>
          <w:rFonts w:cs="Arial"/>
          <w:szCs w:val="20"/>
        </w:rPr>
        <w:t>5</w:t>
      </w:r>
      <w:r w:rsidRPr="00F36B43">
        <w:rPr>
          <w:rFonts w:cs="Arial"/>
          <w:szCs w:val="20"/>
        </w:rPr>
        <w:t xml:space="preserve">, the total number of active bonds held in Victoria was </w:t>
      </w:r>
      <w:r w:rsidR="00824C3E" w:rsidRPr="00824C3E">
        <w:rPr>
          <w:rFonts w:cs="Arial"/>
          <w:szCs w:val="22"/>
          <w:lang w:eastAsia="en-AU"/>
        </w:rPr>
        <w:t>523</w:t>
      </w:r>
      <w:r w:rsidR="00824C3E">
        <w:rPr>
          <w:rFonts w:cs="Arial"/>
          <w:szCs w:val="22"/>
          <w:lang w:eastAsia="en-AU"/>
        </w:rPr>
        <w:t xml:space="preserve">, </w:t>
      </w:r>
      <w:r w:rsidR="00824C3E" w:rsidRPr="00824C3E">
        <w:rPr>
          <w:rFonts w:cs="Arial"/>
          <w:szCs w:val="22"/>
          <w:lang w:eastAsia="en-AU"/>
        </w:rPr>
        <w:t>611</w:t>
      </w:r>
      <w:r w:rsidR="003610F1" w:rsidRPr="002D7F55">
        <w:rPr>
          <w:rFonts w:cs="Arial"/>
          <w:szCs w:val="22"/>
        </w:rPr>
        <w:t>,</w:t>
      </w:r>
      <w:r w:rsidRPr="002D7F55">
        <w:rPr>
          <w:rFonts w:cs="Arial"/>
          <w:szCs w:val="22"/>
        </w:rPr>
        <w:t xml:space="preserve"> an increase of </w:t>
      </w:r>
      <w:r w:rsidR="00824C3E">
        <w:rPr>
          <w:rFonts w:cs="Arial"/>
          <w:szCs w:val="22"/>
        </w:rPr>
        <w:t>3.2</w:t>
      </w:r>
      <w:r w:rsidRPr="002D7F55">
        <w:rPr>
          <w:rFonts w:cs="Arial"/>
          <w:szCs w:val="22"/>
        </w:rPr>
        <w:t xml:space="preserve"> per cent on the size of the rental market in the same quarter of 201</w:t>
      </w:r>
      <w:r w:rsidR="00A708B7" w:rsidRPr="002D7F55">
        <w:rPr>
          <w:rFonts w:cs="Arial"/>
          <w:szCs w:val="22"/>
        </w:rPr>
        <w:t>4</w:t>
      </w:r>
      <w:r w:rsidRPr="002D7F55">
        <w:rPr>
          <w:rFonts w:cs="Arial"/>
          <w:szCs w:val="22"/>
        </w:rPr>
        <w:t>.</w:t>
      </w:r>
      <w:r w:rsidRPr="00F36B43">
        <w:rPr>
          <w:rFonts w:cs="Arial"/>
          <w:szCs w:val="20"/>
        </w:rPr>
        <w:t xml:space="preserve"> The average annual growth in the rental market over the last </w:t>
      </w:r>
      <w:r w:rsidR="002D7F55">
        <w:rPr>
          <w:rFonts w:cs="Arial"/>
          <w:szCs w:val="20"/>
        </w:rPr>
        <w:t>ten years is 5.8</w:t>
      </w:r>
      <w:r w:rsidRPr="00F36B43">
        <w:rPr>
          <w:rFonts w:cs="Arial"/>
          <w:szCs w:val="20"/>
        </w:rPr>
        <w:t xml:space="preserve"> per cent.</w:t>
      </w:r>
    </w:p>
    <w:p w:rsidR="0047763C" w:rsidRPr="000B458D" w:rsidRDefault="0047763C" w:rsidP="000B458D">
      <w:pPr>
        <w:pStyle w:val="DHSheadingB"/>
        <w:spacing w:line="270" w:lineRule="exact"/>
        <w:rPr>
          <w:rFonts w:cs="Arial"/>
          <w:sz w:val="22"/>
        </w:rPr>
      </w:pPr>
      <w:r w:rsidRPr="000B458D">
        <w:rPr>
          <w:rFonts w:cs="Arial"/>
          <w:sz w:val="22"/>
        </w:rPr>
        <w:t>Turnover</w:t>
      </w:r>
    </w:p>
    <w:p w:rsidR="0047763C" w:rsidRPr="000F3B39" w:rsidRDefault="0047763C" w:rsidP="00770E49">
      <w:pPr>
        <w:rPr>
          <w:rFonts w:cs="Arial"/>
          <w:szCs w:val="20"/>
        </w:rPr>
      </w:pPr>
      <w:r w:rsidRPr="000F3B39">
        <w:rPr>
          <w:rFonts w:cs="Arial"/>
          <w:szCs w:val="20"/>
        </w:rPr>
        <w:t xml:space="preserve">The quarterly turnover rate for metropolitan Melbourne was </w:t>
      </w:r>
      <w:r w:rsidR="00824C3E">
        <w:rPr>
          <w:rFonts w:cs="Arial"/>
          <w:szCs w:val="20"/>
        </w:rPr>
        <w:t>8.9</w:t>
      </w:r>
      <w:r w:rsidRPr="000F3B39">
        <w:rPr>
          <w:rFonts w:cs="Arial"/>
          <w:szCs w:val="20"/>
        </w:rPr>
        <w:t xml:space="preserve"> per cent, </w:t>
      </w:r>
      <w:r w:rsidR="002D7F55">
        <w:rPr>
          <w:rFonts w:cs="Arial"/>
          <w:szCs w:val="20"/>
        </w:rPr>
        <w:t xml:space="preserve">a slightly </w:t>
      </w:r>
      <w:r w:rsidR="00824C3E">
        <w:rPr>
          <w:rFonts w:cs="Arial"/>
          <w:szCs w:val="20"/>
        </w:rPr>
        <w:t>higher</w:t>
      </w:r>
      <w:r w:rsidR="002D7F55">
        <w:rPr>
          <w:rFonts w:cs="Arial"/>
          <w:szCs w:val="20"/>
        </w:rPr>
        <w:t xml:space="preserve"> </w:t>
      </w:r>
      <w:r w:rsidR="00C23C44">
        <w:rPr>
          <w:rFonts w:cs="Arial"/>
          <w:szCs w:val="20"/>
        </w:rPr>
        <w:t xml:space="preserve">rate </w:t>
      </w:r>
      <w:r w:rsidR="002D7F55">
        <w:rPr>
          <w:rFonts w:cs="Arial"/>
          <w:szCs w:val="20"/>
        </w:rPr>
        <w:t>than in</w:t>
      </w:r>
      <w:r w:rsidR="009E18EA">
        <w:rPr>
          <w:rFonts w:cs="Arial"/>
          <w:szCs w:val="20"/>
        </w:rPr>
        <w:t xml:space="preserve"> the</w:t>
      </w:r>
      <w:r w:rsidRPr="000F3B39">
        <w:rPr>
          <w:rFonts w:cs="Arial"/>
          <w:szCs w:val="20"/>
        </w:rPr>
        <w:t xml:space="preserve"> </w:t>
      </w:r>
      <w:r w:rsidR="004B57AE">
        <w:rPr>
          <w:rFonts w:cs="Arial"/>
          <w:szCs w:val="20"/>
        </w:rPr>
        <w:t>December</w:t>
      </w:r>
      <w:r w:rsidR="009E18EA">
        <w:rPr>
          <w:rFonts w:cs="Arial"/>
          <w:szCs w:val="20"/>
        </w:rPr>
        <w:t xml:space="preserve"> quarter 2014</w:t>
      </w:r>
      <w:r w:rsidR="00824C3E">
        <w:rPr>
          <w:rFonts w:cs="Arial"/>
          <w:szCs w:val="20"/>
        </w:rPr>
        <w:t xml:space="preserve"> (8</w:t>
      </w:r>
      <w:r w:rsidR="002D7F55">
        <w:rPr>
          <w:rFonts w:cs="Arial"/>
          <w:szCs w:val="20"/>
        </w:rPr>
        <w:t>.8%)</w:t>
      </w:r>
      <w:r w:rsidRPr="000F3B39">
        <w:rPr>
          <w:rFonts w:cs="Arial"/>
          <w:szCs w:val="20"/>
        </w:rPr>
        <w:t xml:space="preserve">. The quarterly turnover rate in regional Victoria </w:t>
      </w:r>
      <w:r w:rsidR="0018463E">
        <w:rPr>
          <w:rFonts w:cs="Arial"/>
          <w:szCs w:val="20"/>
        </w:rPr>
        <w:t xml:space="preserve">was </w:t>
      </w:r>
      <w:r w:rsidR="00824C3E">
        <w:rPr>
          <w:rFonts w:cs="Arial"/>
          <w:szCs w:val="20"/>
        </w:rPr>
        <w:t>10.6</w:t>
      </w:r>
      <w:r w:rsidR="00E403B1">
        <w:rPr>
          <w:rFonts w:cs="Arial"/>
          <w:szCs w:val="20"/>
        </w:rPr>
        <w:t xml:space="preserve"> per cent</w:t>
      </w:r>
      <w:r w:rsidR="00C23C44">
        <w:rPr>
          <w:rFonts w:cs="Arial"/>
          <w:szCs w:val="20"/>
        </w:rPr>
        <w:t xml:space="preserve">, </w:t>
      </w:r>
      <w:r w:rsidR="009E18EA">
        <w:rPr>
          <w:rFonts w:cs="Arial"/>
          <w:szCs w:val="20"/>
        </w:rPr>
        <w:t>slightly higher than the</w:t>
      </w:r>
      <w:r w:rsidR="00C23C44">
        <w:rPr>
          <w:rFonts w:cs="Arial"/>
          <w:szCs w:val="20"/>
        </w:rPr>
        <w:t xml:space="preserve"> rate in</w:t>
      </w:r>
      <w:r w:rsidR="00E403B1">
        <w:rPr>
          <w:rFonts w:cs="Arial"/>
          <w:szCs w:val="20"/>
        </w:rPr>
        <w:t xml:space="preserve"> </w:t>
      </w:r>
      <w:r>
        <w:rPr>
          <w:rFonts w:cs="Arial"/>
          <w:szCs w:val="20"/>
        </w:rPr>
        <w:t xml:space="preserve">the </w:t>
      </w:r>
      <w:r w:rsidR="004B57AE">
        <w:rPr>
          <w:rFonts w:cs="Arial"/>
          <w:szCs w:val="20"/>
        </w:rPr>
        <w:t>December</w:t>
      </w:r>
      <w:r w:rsidR="004E1197">
        <w:rPr>
          <w:rFonts w:cs="Arial"/>
          <w:szCs w:val="20"/>
        </w:rPr>
        <w:t xml:space="preserve"> quarter 2014 </w:t>
      </w:r>
      <w:r w:rsidR="00824C3E">
        <w:rPr>
          <w:rFonts w:cs="Arial"/>
          <w:szCs w:val="20"/>
        </w:rPr>
        <w:t>(9.8</w:t>
      </w:r>
      <w:r w:rsidR="009E18EA">
        <w:rPr>
          <w:rFonts w:cs="Arial"/>
          <w:szCs w:val="20"/>
        </w:rPr>
        <w:t>%)</w:t>
      </w:r>
      <w:r w:rsidRPr="000F3B39">
        <w:rPr>
          <w:rFonts w:cs="Arial"/>
          <w:szCs w:val="20"/>
        </w:rPr>
        <w:t>.</w:t>
      </w:r>
    </w:p>
    <w:p w:rsidR="0047763C" w:rsidRPr="000B458D" w:rsidRDefault="0047763C" w:rsidP="000B458D">
      <w:pPr>
        <w:pStyle w:val="DHSheadingB"/>
        <w:spacing w:line="270" w:lineRule="exact"/>
        <w:rPr>
          <w:rFonts w:cs="Arial"/>
          <w:sz w:val="22"/>
        </w:rPr>
      </w:pPr>
      <w:r w:rsidRPr="000B458D">
        <w:rPr>
          <w:rFonts w:cs="Arial"/>
          <w:sz w:val="22"/>
        </w:rPr>
        <w:t>Investor lending</w:t>
      </w:r>
    </w:p>
    <w:p w:rsidR="0047763C" w:rsidRDefault="0047763C" w:rsidP="00F36B43">
      <w:pPr>
        <w:rPr>
          <w:rFonts w:cs="Arial"/>
          <w:szCs w:val="20"/>
        </w:rPr>
      </w:pPr>
      <w:r>
        <w:rPr>
          <w:rFonts w:cs="Arial"/>
          <w:szCs w:val="20"/>
        </w:rPr>
        <w:t>L</w:t>
      </w:r>
      <w:r w:rsidRPr="000F3B39">
        <w:rPr>
          <w:rFonts w:cs="Arial"/>
          <w:szCs w:val="20"/>
        </w:rPr>
        <w:t xml:space="preserve">ending to </w:t>
      </w:r>
      <w:r>
        <w:rPr>
          <w:rFonts w:cs="Arial"/>
          <w:szCs w:val="20"/>
        </w:rPr>
        <w:t xml:space="preserve">residential property </w:t>
      </w:r>
      <w:r w:rsidRPr="000F3B39">
        <w:rPr>
          <w:rFonts w:cs="Arial"/>
          <w:szCs w:val="20"/>
        </w:rPr>
        <w:t>investors in Victoria</w:t>
      </w:r>
      <w:r w:rsidR="00C23C44">
        <w:rPr>
          <w:rFonts w:cs="Arial"/>
          <w:szCs w:val="20"/>
        </w:rPr>
        <w:t xml:space="preserve"> was $</w:t>
      </w:r>
      <w:r w:rsidR="00824C3E">
        <w:rPr>
          <w:rFonts w:cs="Arial"/>
          <w:szCs w:val="20"/>
        </w:rPr>
        <w:t>9.53</w:t>
      </w:r>
      <w:r>
        <w:rPr>
          <w:rFonts w:cs="Arial"/>
          <w:szCs w:val="20"/>
        </w:rPr>
        <w:t xml:space="preserve"> billion i</w:t>
      </w:r>
      <w:r w:rsidRPr="000F3B39">
        <w:rPr>
          <w:rFonts w:cs="Arial"/>
          <w:szCs w:val="20"/>
        </w:rPr>
        <w:t xml:space="preserve">n the </w:t>
      </w:r>
      <w:r w:rsidR="004B57AE">
        <w:rPr>
          <w:rFonts w:cs="Arial"/>
          <w:szCs w:val="20"/>
        </w:rPr>
        <w:t>December</w:t>
      </w:r>
      <w:r w:rsidR="00C23C44">
        <w:rPr>
          <w:rFonts w:cs="Arial"/>
          <w:szCs w:val="20"/>
        </w:rPr>
        <w:t xml:space="preserve"> quarter 201</w:t>
      </w:r>
      <w:r w:rsidR="009E18EA">
        <w:rPr>
          <w:rFonts w:cs="Arial"/>
          <w:szCs w:val="20"/>
        </w:rPr>
        <w:t>5</w:t>
      </w:r>
      <w:r w:rsidR="00C23C44">
        <w:rPr>
          <w:rFonts w:cs="Arial"/>
          <w:szCs w:val="20"/>
        </w:rPr>
        <w:t xml:space="preserve">, </w:t>
      </w:r>
      <w:r w:rsidR="00824C3E">
        <w:rPr>
          <w:rFonts w:cs="Arial"/>
          <w:szCs w:val="20"/>
        </w:rPr>
        <w:t>1.7</w:t>
      </w:r>
      <w:r w:rsidR="00E403B1">
        <w:rPr>
          <w:rFonts w:cs="Arial"/>
          <w:szCs w:val="20"/>
        </w:rPr>
        <w:t xml:space="preserve"> </w:t>
      </w:r>
      <w:r w:rsidRPr="000F3B39">
        <w:rPr>
          <w:rFonts w:cs="Arial"/>
          <w:szCs w:val="20"/>
        </w:rPr>
        <w:t xml:space="preserve">per cent </w:t>
      </w:r>
      <w:r w:rsidR="00824C3E">
        <w:rPr>
          <w:rFonts w:cs="Arial"/>
          <w:szCs w:val="20"/>
        </w:rPr>
        <w:t>lower</w:t>
      </w:r>
      <w:r w:rsidRPr="000F3B39">
        <w:rPr>
          <w:rFonts w:cs="Arial"/>
          <w:szCs w:val="20"/>
        </w:rPr>
        <w:t xml:space="preserve"> than </w:t>
      </w:r>
      <w:r w:rsidR="00824C3E">
        <w:rPr>
          <w:rFonts w:cs="Arial"/>
          <w:szCs w:val="20"/>
        </w:rPr>
        <w:t xml:space="preserve">in </w:t>
      </w:r>
      <w:r>
        <w:rPr>
          <w:rFonts w:cs="Arial"/>
          <w:szCs w:val="20"/>
        </w:rPr>
        <w:t xml:space="preserve">the </w:t>
      </w:r>
      <w:r w:rsidR="004B57AE">
        <w:rPr>
          <w:rFonts w:cs="Arial"/>
          <w:szCs w:val="20"/>
        </w:rPr>
        <w:t>December</w:t>
      </w:r>
      <w:r w:rsidR="00C23C44">
        <w:rPr>
          <w:rFonts w:cs="Arial"/>
          <w:szCs w:val="20"/>
        </w:rPr>
        <w:t xml:space="preserve"> quarter 201</w:t>
      </w:r>
      <w:r w:rsidR="009E18EA">
        <w:rPr>
          <w:rFonts w:cs="Arial"/>
          <w:szCs w:val="20"/>
        </w:rPr>
        <w:t>4</w:t>
      </w:r>
      <w:r>
        <w:rPr>
          <w:rFonts w:cs="Arial"/>
          <w:szCs w:val="20"/>
        </w:rPr>
        <w:t>.</w:t>
      </w:r>
    </w:p>
    <w:p w:rsidR="0047763C" w:rsidRPr="000B458D" w:rsidRDefault="0047763C" w:rsidP="000B458D">
      <w:pPr>
        <w:pStyle w:val="DHSheadingB"/>
        <w:spacing w:line="270" w:lineRule="exact"/>
        <w:rPr>
          <w:rFonts w:cs="Arial"/>
          <w:sz w:val="22"/>
        </w:rPr>
      </w:pPr>
      <w:r w:rsidRPr="000B458D">
        <w:rPr>
          <w:rFonts w:cs="Arial"/>
          <w:sz w:val="22"/>
        </w:rPr>
        <w:t>Vacancy rates</w:t>
      </w:r>
    </w:p>
    <w:p w:rsidR="0047763C" w:rsidRDefault="0047763C" w:rsidP="00C53547">
      <w:pPr>
        <w:rPr>
          <w:rFonts w:cs="Arial"/>
          <w:szCs w:val="20"/>
        </w:rPr>
      </w:pPr>
      <w:r w:rsidRPr="000F3B39">
        <w:rPr>
          <w:rFonts w:cs="Arial"/>
          <w:szCs w:val="20"/>
        </w:rPr>
        <w:t xml:space="preserve">The metropolitan vacancy rate has </w:t>
      </w:r>
      <w:r w:rsidR="0099321F">
        <w:rPr>
          <w:rFonts w:cs="Arial"/>
          <w:szCs w:val="20"/>
        </w:rPr>
        <w:t xml:space="preserve">increased </w:t>
      </w:r>
      <w:r w:rsidRPr="000F3B39">
        <w:rPr>
          <w:rFonts w:cs="Arial"/>
          <w:szCs w:val="20"/>
        </w:rPr>
        <w:t xml:space="preserve">over the past quarter. For </w:t>
      </w:r>
      <w:r w:rsidR="004B57AE">
        <w:rPr>
          <w:rFonts w:cs="Arial"/>
          <w:szCs w:val="20"/>
        </w:rPr>
        <w:t>December</w:t>
      </w:r>
      <w:r w:rsidR="0054064E">
        <w:rPr>
          <w:rFonts w:cs="Arial"/>
          <w:szCs w:val="20"/>
        </w:rPr>
        <w:t xml:space="preserve"> 201</w:t>
      </w:r>
      <w:r w:rsidR="00343F26">
        <w:rPr>
          <w:rFonts w:cs="Arial"/>
          <w:szCs w:val="20"/>
        </w:rPr>
        <w:t>5</w:t>
      </w:r>
      <w:r w:rsidR="00824C3E">
        <w:rPr>
          <w:rFonts w:cs="Arial"/>
          <w:szCs w:val="20"/>
        </w:rPr>
        <w:t>,</w:t>
      </w:r>
      <w:r w:rsidR="005F0D91">
        <w:rPr>
          <w:rFonts w:cs="Arial"/>
          <w:szCs w:val="20"/>
        </w:rPr>
        <w:t xml:space="preserve"> </w:t>
      </w:r>
      <w:r w:rsidRPr="000F3B39">
        <w:rPr>
          <w:rFonts w:cs="Arial"/>
          <w:szCs w:val="20"/>
        </w:rPr>
        <w:t xml:space="preserve">the trend vacancy rate was </w:t>
      </w:r>
      <w:r w:rsidR="00824C3E">
        <w:rPr>
          <w:rFonts w:cs="Arial"/>
          <w:szCs w:val="20"/>
        </w:rPr>
        <w:t>3.3</w:t>
      </w:r>
      <w:r w:rsidRPr="000F3B39">
        <w:rPr>
          <w:rFonts w:cs="Arial"/>
          <w:szCs w:val="20"/>
        </w:rPr>
        <w:t xml:space="preserve"> per cent</w:t>
      </w:r>
      <w:r w:rsidR="005F0D91">
        <w:rPr>
          <w:rFonts w:cs="Arial"/>
          <w:szCs w:val="20"/>
        </w:rPr>
        <w:t>,</w:t>
      </w:r>
      <w:r w:rsidR="00824C3E">
        <w:rPr>
          <w:rFonts w:cs="Arial"/>
          <w:szCs w:val="20"/>
        </w:rPr>
        <w:t xml:space="preserve"> compared with 3.0</w:t>
      </w:r>
      <w:r w:rsidR="0099321F">
        <w:rPr>
          <w:rFonts w:cs="Arial"/>
          <w:szCs w:val="20"/>
        </w:rPr>
        <w:t xml:space="preserve"> per cent for </w:t>
      </w:r>
      <w:r w:rsidR="00824C3E">
        <w:rPr>
          <w:rFonts w:cs="Arial"/>
          <w:szCs w:val="20"/>
        </w:rPr>
        <w:t>September</w:t>
      </w:r>
      <w:r w:rsidR="00C42516">
        <w:rPr>
          <w:rFonts w:cs="Arial"/>
          <w:szCs w:val="20"/>
        </w:rPr>
        <w:t xml:space="preserve"> 2015</w:t>
      </w:r>
      <w:r w:rsidRPr="000F3B39">
        <w:rPr>
          <w:rFonts w:cs="Arial"/>
          <w:szCs w:val="20"/>
        </w:rPr>
        <w:t xml:space="preserve">. The regional vacancy rate has </w:t>
      </w:r>
      <w:r w:rsidR="00824C3E">
        <w:rPr>
          <w:rFonts w:cs="Arial"/>
          <w:szCs w:val="20"/>
        </w:rPr>
        <w:t>in</w:t>
      </w:r>
      <w:r w:rsidR="002E047A">
        <w:rPr>
          <w:rFonts w:cs="Arial"/>
          <w:szCs w:val="20"/>
        </w:rPr>
        <w:t>creased</w:t>
      </w:r>
      <w:r w:rsidRPr="000F3B39">
        <w:rPr>
          <w:rFonts w:cs="Arial"/>
          <w:szCs w:val="20"/>
        </w:rPr>
        <w:t xml:space="preserve"> </w:t>
      </w:r>
      <w:r w:rsidR="005F0D91">
        <w:rPr>
          <w:rFonts w:cs="Arial"/>
          <w:szCs w:val="20"/>
        </w:rPr>
        <w:t xml:space="preserve">marginally </w:t>
      </w:r>
      <w:r w:rsidRPr="000F3B39">
        <w:rPr>
          <w:rFonts w:cs="Arial"/>
          <w:szCs w:val="20"/>
        </w:rPr>
        <w:t xml:space="preserve">over the past quarter. For </w:t>
      </w:r>
      <w:r w:rsidR="004B57AE">
        <w:rPr>
          <w:rFonts w:cs="Arial"/>
          <w:szCs w:val="20"/>
        </w:rPr>
        <w:t>December</w:t>
      </w:r>
      <w:r w:rsidR="00461328">
        <w:rPr>
          <w:rFonts w:cs="Arial"/>
          <w:szCs w:val="20"/>
        </w:rPr>
        <w:t xml:space="preserve"> 2015</w:t>
      </w:r>
      <w:r w:rsidR="00824C3E">
        <w:rPr>
          <w:rFonts w:cs="Arial"/>
          <w:szCs w:val="20"/>
        </w:rPr>
        <w:t>,</w:t>
      </w:r>
      <w:r>
        <w:rPr>
          <w:rFonts w:cs="Arial"/>
          <w:szCs w:val="20"/>
        </w:rPr>
        <w:t xml:space="preserve"> t</w:t>
      </w:r>
      <w:r w:rsidR="00E403B1">
        <w:rPr>
          <w:rFonts w:cs="Arial"/>
          <w:szCs w:val="20"/>
        </w:rPr>
        <w:t xml:space="preserve">he trend vacancy rate was </w:t>
      </w:r>
      <w:r w:rsidR="00343F26">
        <w:rPr>
          <w:rFonts w:cs="Arial"/>
          <w:szCs w:val="20"/>
        </w:rPr>
        <w:t>2</w:t>
      </w:r>
      <w:r w:rsidR="00824C3E">
        <w:rPr>
          <w:rFonts w:cs="Arial"/>
          <w:szCs w:val="20"/>
        </w:rPr>
        <w:t>.4</w:t>
      </w:r>
      <w:r w:rsidRPr="000F3B39">
        <w:rPr>
          <w:rFonts w:cs="Arial"/>
          <w:szCs w:val="20"/>
        </w:rPr>
        <w:t xml:space="preserve"> per cent</w:t>
      </w:r>
      <w:r w:rsidR="00824C3E">
        <w:rPr>
          <w:rFonts w:cs="Arial"/>
          <w:szCs w:val="20"/>
        </w:rPr>
        <w:t>, compared with 2.3</w:t>
      </w:r>
      <w:r w:rsidR="00461328">
        <w:rPr>
          <w:rFonts w:cs="Arial"/>
          <w:szCs w:val="20"/>
        </w:rPr>
        <w:t xml:space="preserve"> per cent for </w:t>
      </w:r>
      <w:r w:rsidR="00824C3E">
        <w:rPr>
          <w:rFonts w:cs="Arial"/>
          <w:szCs w:val="20"/>
        </w:rPr>
        <w:t>September</w:t>
      </w:r>
      <w:r w:rsidR="00C42516">
        <w:rPr>
          <w:rFonts w:cs="Arial"/>
          <w:szCs w:val="20"/>
        </w:rPr>
        <w:t xml:space="preserve"> 2015</w:t>
      </w:r>
      <w:r w:rsidR="00461328">
        <w:rPr>
          <w:rFonts w:cs="Arial"/>
          <w:szCs w:val="20"/>
        </w:rPr>
        <w:t>.</w:t>
      </w:r>
    </w:p>
    <w:p w:rsidR="002E047A" w:rsidRDefault="002E047A" w:rsidP="00C53547">
      <w:pPr>
        <w:rPr>
          <w:rFonts w:cs="Arial"/>
          <w:szCs w:val="20"/>
        </w:rPr>
      </w:pPr>
    </w:p>
    <w:p w:rsidR="002E047A" w:rsidRDefault="002E047A" w:rsidP="00C53547">
      <w:pPr>
        <w:rPr>
          <w:rFonts w:cs="Arial"/>
          <w:szCs w:val="20"/>
        </w:rPr>
      </w:pPr>
    </w:p>
    <w:p w:rsidR="00246F19" w:rsidRDefault="00246F19" w:rsidP="00C53547">
      <w:pPr>
        <w:rPr>
          <w:rFonts w:cs="Arial"/>
          <w:szCs w:val="20"/>
        </w:rPr>
      </w:pPr>
    </w:p>
    <w:p w:rsidR="000A2A61" w:rsidRDefault="000A2A61">
      <w:pPr>
        <w:rPr>
          <w:rFonts w:cs="Arial"/>
          <w:b/>
          <w:bCs/>
          <w:color w:val="365F91"/>
        </w:rPr>
      </w:pPr>
      <w:r>
        <w:rPr>
          <w:rFonts w:cs="Arial"/>
        </w:rPr>
        <w:br w:type="page"/>
      </w:r>
    </w:p>
    <w:p w:rsidR="0047763C" w:rsidRPr="000B458D" w:rsidRDefault="0047763C" w:rsidP="000B458D">
      <w:pPr>
        <w:pStyle w:val="DHSheadingB"/>
        <w:spacing w:line="270" w:lineRule="exact"/>
        <w:rPr>
          <w:rFonts w:cs="Arial"/>
          <w:sz w:val="22"/>
        </w:rPr>
      </w:pPr>
      <w:r w:rsidRPr="000B458D">
        <w:rPr>
          <w:rFonts w:cs="Arial"/>
          <w:sz w:val="22"/>
        </w:rPr>
        <w:lastRenderedPageBreak/>
        <w:t>Rental Affordability</w:t>
      </w:r>
    </w:p>
    <w:p w:rsidR="0047763C" w:rsidRPr="005F61BA" w:rsidRDefault="00B50D36" w:rsidP="00F67B7A">
      <w:pPr>
        <w:rPr>
          <w:rFonts w:cs="Arial"/>
          <w:szCs w:val="20"/>
        </w:rPr>
      </w:pPr>
      <w:r>
        <w:rPr>
          <w:rFonts w:cs="Arial"/>
          <w:szCs w:val="20"/>
        </w:rPr>
        <w:t>T</w:t>
      </w:r>
      <w:r w:rsidR="0047763C" w:rsidRPr="005F61BA">
        <w:rPr>
          <w:rFonts w:cs="Arial"/>
          <w:szCs w:val="20"/>
        </w:rPr>
        <w:t xml:space="preserve">he proportion </w:t>
      </w:r>
      <w:r w:rsidR="0047763C">
        <w:rPr>
          <w:rFonts w:cs="Arial"/>
          <w:szCs w:val="20"/>
        </w:rPr>
        <w:t>of all new lettings that were affordable ac</w:t>
      </w:r>
      <w:r w:rsidR="00E4154A">
        <w:rPr>
          <w:rFonts w:cs="Arial"/>
          <w:szCs w:val="20"/>
        </w:rPr>
        <w:t>ross the state decreased to 19.0</w:t>
      </w:r>
      <w:r w:rsidR="0047763C">
        <w:rPr>
          <w:rFonts w:cs="Arial"/>
          <w:szCs w:val="20"/>
        </w:rPr>
        <w:t xml:space="preserve"> per cent in the </w:t>
      </w:r>
      <w:r w:rsidR="004B57AE">
        <w:rPr>
          <w:rFonts w:cs="Arial"/>
          <w:szCs w:val="20"/>
        </w:rPr>
        <w:t>December</w:t>
      </w:r>
      <w:r w:rsidR="0047763C">
        <w:rPr>
          <w:rFonts w:cs="Arial"/>
          <w:szCs w:val="20"/>
        </w:rPr>
        <w:t xml:space="preserve"> quarter</w:t>
      </w:r>
      <w:r w:rsidR="00E4154A">
        <w:rPr>
          <w:rFonts w:cs="Arial"/>
          <w:szCs w:val="20"/>
        </w:rPr>
        <w:t>,</w:t>
      </w:r>
      <w:r w:rsidR="0047763C">
        <w:rPr>
          <w:rFonts w:cs="Arial"/>
          <w:szCs w:val="20"/>
        </w:rPr>
        <w:t xml:space="preserve"> compared with </w:t>
      </w:r>
      <w:r w:rsidR="00E4154A">
        <w:rPr>
          <w:rFonts w:cs="Arial"/>
          <w:szCs w:val="20"/>
        </w:rPr>
        <w:t>19.5</w:t>
      </w:r>
      <w:r>
        <w:rPr>
          <w:rFonts w:cs="Arial"/>
          <w:szCs w:val="20"/>
        </w:rPr>
        <w:t xml:space="preserve"> per cent in </w:t>
      </w:r>
      <w:r w:rsidR="002E047A">
        <w:rPr>
          <w:rFonts w:cs="Arial"/>
          <w:szCs w:val="20"/>
        </w:rPr>
        <w:t xml:space="preserve">the </w:t>
      </w:r>
      <w:r w:rsidR="00E4154A">
        <w:rPr>
          <w:rFonts w:cs="Arial"/>
          <w:szCs w:val="20"/>
        </w:rPr>
        <w:t>September</w:t>
      </w:r>
      <w:r w:rsidR="00C42516">
        <w:rPr>
          <w:rFonts w:cs="Arial"/>
          <w:szCs w:val="20"/>
        </w:rPr>
        <w:t xml:space="preserve"> quarter 2015</w:t>
      </w:r>
      <w:r w:rsidR="00E4154A">
        <w:rPr>
          <w:rFonts w:cs="Arial"/>
          <w:szCs w:val="20"/>
        </w:rPr>
        <w:t xml:space="preserve"> and 22.2</w:t>
      </w:r>
      <w:r w:rsidR="00E32D36">
        <w:rPr>
          <w:rFonts w:cs="Arial"/>
          <w:szCs w:val="20"/>
        </w:rPr>
        <w:t xml:space="preserve"> per cent in the </w:t>
      </w:r>
      <w:r w:rsidR="004B57AE">
        <w:rPr>
          <w:rFonts w:cs="Arial"/>
          <w:szCs w:val="20"/>
        </w:rPr>
        <w:t>December</w:t>
      </w:r>
      <w:r w:rsidR="002E047A">
        <w:rPr>
          <w:rFonts w:cs="Arial"/>
          <w:szCs w:val="20"/>
        </w:rPr>
        <w:t xml:space="preserve"> quarter 201</w:t>
      </w:r>
      <w:r w:rsidR="000A2A61">
        <w:rPr>
          <w:rFonts w:cs="Arial"/>
          <w:szCs w:val="20"/>
        </w:rPr>
        <w:t>4</w:t>
      </w:r>
      <w:r w:rsidR="0047763C" w:rsidRPr="005F61BA">
        <w:rPr>
          <w:rFonts w:cs="Arial"/>
          <w:szCs w:val="20"/>
        </w:rPr>
        <w:t>.</w:t>
      </w:r>
    </w:p>
    <w:p w:rsidR="0047763C" w:rsidRPr="005F61BA" w:rsidRDefault="0047763C" w:rsidP="00F67B7A">
      <w:pPr>
        <w:rPr>
          <w:rFonts w:cs="Arial"/>
          <w:szCs w:val="20"/>
        </w:rPr>
      </w:pPr>
    </w:p>
    <w:p w:rsidR="0047763C" w:rsidRPr="005F61BA" w:rsidRDefault="0047763C" w:rsidP="0099180B">
      <w:pPr>
        <w:rPr>
          <w:rFonts w:cs="Arial"/>
          <w:szCs w:val="20"/>
        </w:rPr>
      </w:pPr>
      <w:r w:rsidRPr="005F61BA">
        <w:rPr>
          <w:rFonts w:cs="Arial"/>
          <w:szCs w:val="20"/>
        </w:rPr>
        <w:t>Metropolitan Melbourne continues to register very low levels of rental affordability</w:t>
      </w:r>
      <w:r w:rsidR="002E047A">
        <w:rPr>
          <w:rFonts w:cs="Arial"/>
          <w:szCs w:val="20"/>
        </w:rPr>
        <w:t>. The proportion of affordable new letting</w:t>
      </w:r>
      <w:r w:rsidR="007D55DC">
        <w:rPr>
          <w:rFonts w:cs="Arial"/>
          <w:szCs w:val="20"/>
        </w:rPr>
        <w:t>s de</w:t>
      </w:r>
      <w:r w:rsidR="005F0D91">
        <w:rPr>
          <w:rFonts w:cs="Arial"/>
          <w:szCs w:val="20"/>
        </w:rPr>
        <w:t>creased</w:t>
      </w:r>
      <w:r w:rsidR="002E047A">
        <w:rPr>
          <w:rFonts w:cs="Arial"/>
          <w:szCs w:val="20"/>
        </w:rPr>
        <w:t xml:space="preserve"> in </w:t>
      </w:r>
      <w:r w:rsidR="004B57AE">
        <w:rPr>
          <w:rFonts w:cs="Arial"/>
          <w:szCs w:val="20"/>
        </w:rPr>
        <w:t>December</w:t>
      </w:r>
      <w:r w:rsidR="002E047A">
        <w:rPr>
          <w:rFonts w:cs="Arial"/>
          <w:szCs w:val="20"/>
        </w:rPr>
        <w:t xml:space="preserve"> 201</w:t>
      </w:r>
      <w:r w:rsidR="000A2A61">
        <w:rPr>
          <w:rFonts w:cs="Arial"/>
          <w:szCs w:val="20"/>
        </w:rPr>
        <w:t>5</w:t>
      </w:r>
      <w:r w:rsidR="002E047A">
        <w:rPr>
          <w:rFonts w:cs="Arial"/>
          <w:szCs w:val="20"/>
        </w:rPr>
        <w:t xml:space="preserve"> </w:t>
      </w:r>
      <w:r w:rsidR="005F0D91">
        <w:rPr>
          <w:rFonts w:cs="Arial"/>
          <w:szCs w:val="20"/>
        </w:rPr>
        <w:t>to</w:t>
      </w:r>
      <w:r w:rsidRPr="005F61BA">
        <w:rPr>
          <w:rFonts w:cs="Arial"/>
          <w:szCs w:val="20"/>
        </w:rPr>
        <w:t xml:space="preserve"> </w:t>
      </w:r>
      <w:r w:rsidR="00E4154A">
        <w:rPr>
          <w:rFonts w:cs="Arial"/>
          <w:szCs w:val="20"/>
        </w:rPr>
        <w:t>8.5</w:t>
      </w:r>
      <w:r w:rsidRPr="005F61BA">
        <w:rPr>
          <w:rFonts w:cs="Arial"/>
          <w:szCs w:val="20"/>
        </w:rPr>
        <w:t xml:space="preserve"> per cent</w:t>
      </w:r>
      <w:r w:rsidR="000F433B">
        <w:rPr>
          <w:rFonts w:cs="Arial"/>
          <w:szCs w:val="20"/>
        </w:rPr>
        <w:t>.</w:t>
      </w:r>
      <w:r w:rsidR="002E047A">
        <w:rPr>
          <w:rFonts w:cs="Arial"/>
          <w:szCs w:val="20"/>
        </w:rPr>
        <w:t xml:space="preserve"> </w:t>
      </w:r>
      <w:r w:rsidR="007D55DC">
        <w:rPr>
          <w:rFonts w:cs="Arial"/>
          <w:szCs w:val="20"/>
        </w:rPr>
        <w:t xml:space="preserve">This compares with </w:t>
      </w:r>
      <w:r w:rsidR="00E4154A">
        <w:rPr>
          <w:rFonts w:cs="Arial"/>
          <w:szCs w:val="20"/>
        </w:rPr>
        <w:t>8.9</w:t>
      </w:r>
      <w:r w:rsidR="0053497C">
        <w:rPr>
          <w:rFonts w:cs="Arial"/>
          <w:szCs w:val="20"/>
        </w:rPr>
        <w:t xml:space="preserve"> per cent in the </w:t>
      </w:r>
      <w:r w:rsidR="00E4154A">
        <w:rPr>
          <w:rFonts w:cs="Arial"/>
          <w:szCs w:val="20"/>
        </w:rPr>
        <w:t>September</w:t>
      </w:r>
      <w:r w:rsidR="00C42516">
        <w:rPr>
          <w:rFonts w:cs="Arial"/>
          <w:szCs w:val="20"/>
        </w:rPr>
        <w:t xml:space="preserve"> quarter 2015</w:t>
      </w:r>
      <w:r w:rsidR="007D55DC">
        <w:rPr>
          <w:rFonts w:cs="Arial"/>
          <w:szCs w:val="20"/>
        </w:rPr>
        <w:t xml:space="preserve"> and 1</w:t>
      </w:r>
      <w:r w:rsidR="00E4154A">
        <w:rPr>
          <w:rFonts w:cs="Arial"/>
          <w:szCs w:val="20"/>
        </w:rPr>
        <w:t>1.1</w:t>
      </w:r>
      <w:r w:rsidR="000F433B">
        <w:rPr>
          <w:rFonts w:cs="Arial"/>
          <w:szCs w:val="20"/>
        </w:rPr>
        <w:t xml:space="preserve"> per cent in the </w:t>
      </w:r>
      <w:r w:rsidR="004B57AE">
        <w:rPr>
          <w:rFonts w:cs="Arial"/>
          <w:szCs w:val="20"/>
        </w:rPr>
        <w:t>December</w:t>
      </w:r>
      <w:r w:rsidR="000F433B">
        <w:rPr>
          <w:rFonts w:cs="Arial"/>
          <w:szCs w:val="20"/>
        </w:rPr>
        <w:t xml:space="preserve"> quarter 2014.</w:t>
      </w:r>
    </w:p>
    <w:p w:rsidR="0047763C" w:rsidRPr="005F61BA" w:rsidRDefault="0047763C" w:rsidP="0099180B">
      <w:pPr>
        <w:rPr>
          <w:rFonts w:cs="Arial"/>
        </w:rPr>
      </w:pPr>
    </w:p>
    <w:p w:rsidR="0047763C" w:rsidRPr="008C44FD" w:rsidRDefault="0047763C" w:rsidP="0099180B">
      <w:pPr>
        <w:rPr>
          <w:rFonts w:cs="Arial"/>
        </w:rPr>
      </w:pPr>
      <w:r w:rsidRPr="005F61BA">
        <w:rPr>
          <w:rFonts w:cs="Arial"/>
        </w:rPr>
        <w:t>The proportion of affordable rental lettings in Regional Victoria</w:t>
      </w:r>
      <w:r w:rsidR="007D55DC">
        <w:rPr>
          <w:rFonts w:cs="Arial"/>
        </w:rPr>
        <w:t xml:space="preserve"> also decreased to </w:t>
      </w:r>
      <w:r w:rsidR="00E4154A">
        <w:rPr>
          <w:rFonts w:cs="Arial"/>
        </w:rPr>
        <w:t>59.2</w:t>
      </w:r>
      <w:r w:rsidR="0053497C">
        <w:rPr>
          <w:rFonts w:cs="Arial"/>
        </w:rPr>
        <w:t xml:space="preserve"> per cent, compared with </w:t>
      </w:r>
      <w:r w:rsidR="007D55DC">
        <w:rPr>
          <w:rFonts w:cs="Arial"/>
        </w:rPr>
        <w:t>6</w:t>
      </w:r>
      <w:r w:rsidR="00E4154A">
        <w:rPr>
          <w:rFonts w:cs="Arial"/>
        </w:rPr>
        <w:t>0.6</w:t>
      </w:r>
      <w:r>
        <w:rPr>
          <w:rFonts w:cs="Arial"/>
        </w:rPr>
        <w:t xml:space="preserve"> per cent in </w:t>
      </w:r>
      <w:r w:rsidRPr="005F61BA">
        <w:rPr>
          <w:rFonts w:cs="Arial"/>
        </w:rPr>
        <w:t xml:space="preserve">the </w:t>
      </w:r>
      <w:r w:rsidR="00E4154A">
        <w:rPr>
          <w:rFonts w:cs="Arial"/>
        </w:rPr>
        <w:t>September</w:t>
      </w:r>
      <w:r w:rsidR="00C42516">
        <w:rPr>
          <w:rFonts w:cs="Arial"/>
        </w:rPr>
        <w:t xml:space="preserve"> quarter 2015</w:t>
      </w:r>
      <w:r w:rsidR="00E4154A">
        <w:rPr>
          <w:rFonts w:cs="Arial"/>
        </w:rPr>
        <w:t xml:space="preserve"> and 62.3</w:t>
      </w:r>
      <w:r w:rsidR="005F0D91">
        <w:rPr>
          <w:rFonts w:cs="Arial"/>
        </w:rPr>
        <w:t xml:space="preserve"> per cent </w:t>
      </w:r>
      <w:r w:rsidRPr="005F61BA">
        <w:rPr>
          <w:rFonts w:cs="Arial"/>
        </w:rPr>
        <w:t xml:space="preserve">in the </w:t>
      </w:r>
      <w:r w:rsidR="004B57AE">
        <w:rPr>
          <w:rFonts w:cs="Arial"/>
        </w:rPr>
        <w:t>December</w:t>
      </w:r>
      <w:r w:rsidR="0053497C">
        <w:rPr>
          <w:rFonts w:cs="Arial"/>
        </w:rPr>
        <w:t xml:space="preserve"> quarter 201</w:t>
      </w:r>
      <w:r w:rsidR="00B22F3F">
        <w:rPr>
          <w:rFonts w:cs="Arial"/>
        </w:rPr>
        <w:t>4</w:t>
      </w:r>
      <w:r w:rsidR="000F433B">
        <w:rPr>
          <w:rFonts w:cs="Arial"/>
        </w:rPr>
        <w:t>.</w:t>
      </w:r>
    </w:p>
    <w:p w:rsidR="0047763C" w:rsidRDefault="0047763C" w:rsidP="0099180B">
      <w:pPr>
        <w:rPr>
          <w:rFonts w:cs="Arial"/>
        </w:rPr>
      </w:pPr>
    </w:p>
    <w:p w:rsidR="00D81966" w:rsidRDefault="00D81966" w:rsidP="0099180B">
      <w:pPr>
        <w:rPr>
          <w:rFonts w:cs="Arial"/>
        </w:rPr>
      </w:pPr>
    </w:p>
    <w:p w:rsidR="00D81966" w:rsidRPr="00706644" w:rsidRDefault="00D81966" w:rsidP="0099180B">
      <w:pPr>
        <w:rPr>
          <w:rFonts w:cs="Arial"/>
        </w:rPr>
      </w:pPr>
    </w:p>
    <w:p w:rsidR="0047763C" w:rsidRPr="00180B5B" w:rsidRDefault="0047763C">
      <w:pPr>
        <w:pStyle w:val="DHSHeadingA"/>
        <w:spacing w:after="240"/>
      </w:pPr>
      <w:r w:rsidRPr="00180B5B">
        <w:br w:type="page"/>
      </w:r>
      <w:r w:rsidRPr="00180B5B">
        <w:lastRenderedPageBreak/>
        <w:t>Current Rents</w:t>
      </w:r>
    </w:p>
    <w:p w:rsidR="0047763C" w:rsidRPr="00831AFF" w:rsidRDefault="0047763C" w:rsidP="005A1E70">
      <w:pPr>
        <w:pStyle w:val="DHSheadingB"/>
        <w:rPr>
          <w:rFonts w:cs="Arial"/>
        </w:rPr>
      </w:pPr>
      <w:r w:rsidRPr="00831AFF">
        <w:rPr>
          <w:rFonts w:cs="Arial"/>
        </w:rPr>
        <w:t>Rent Indices</w:t>
      </w:r>
    </w:p>
    <w:p w:rsidR="0047763C" w:rsidRPr="000F3B39" w:rsidRDefault="0047763C" w:rsidP="0099180B">
      <w:pPr>
        <w:rPr>
          <w:rFonts w:cs="Arial"/>
          <w:szCs w:val="20"/>
        </w:rPr>
      </w:pPr>
      <w:r w:rsidRPr="000F3B39">
        <w:rPr>
          <w:rFonts w:cs="Arial"/>
          <w:szCs w:val="20"/>
        </w:rPr>
        <w:t xml:space="preserve">Table 1 shows median rents, rent indices and changes in the rent indices at </w:t>
      </w:r>
      <w:r w:rsidR="004B57AE">
        <w:rPr>
          <w:rFonts w:cs="Arial"/>
          <w:szCs w:val="20"/>
        </w:rPr>
        <w:t>December</w:t>
      </w:r>
      <w:r w:rsidR="005212AA">
        <w:rPr>
          <w:rFonts w:cs="Arial"/>
          <w:szCs w:val="20"/>
        </w:rPr>
        <w:t xml:space="preserve"> 201</w:t>
      </w:r>
      <w:r w:rsidR="00B22F3F">
        <w:rPr>
          <w:rFonts w:cs="Arial"/>
          <w:szCs w:val="20"/>
        </w:rPr>
        <w:t>5</w:t>
      </w:r>
      <w:r w:rsidRPr="000F3B39">
        <w:rPr>
          <w:rFonts w:cs="Arial"/>
          <w:szCs w:val="20"/>
        </w:rPr>
        <w:t xml:space="preserve">. </w:t>
      </w:r>
      <w:r w:rsidR="005212AA">
        <w:rPr>
          <w:rFonts w:cs="Arial"/>
          <w:szCs w:val="20"/>
        </w:rPr>
        <w:t>T</w:t>
      </w:r>
      <w:r w:rsidRPr="000F3B39">
        <w:rPr>
          <w:rFonts w:cs="Arial"/>
          <w:szCs w:val="20"/>
        </w:rPr>
        <w:t xml:space="preserve">he Metropolitan Rent Index (MRI) </w:t>
      </w:r>
      <w:r w:rsidR="005212AA">
        <w:rPr>
          <w:rFonts w:cs="Arial"/>
          <w:szCs w:val="20"/>
        </w:rPr>
        <w:t>in</w:t>
      </w:r>
      <w:r w:rsidR="00B50D36">
        <w:rPr>
          <w:rFonts w:cs="Arial"/>
          <w:szCs w:val="20"/>
        </w:rPr>
        <w:t xml:space="preserve">creased </w:t>
      </w:r>
      <w:r w:rsidR="00E4154A">
        <w:rPr>
          <w:rFonts w:cs="Arial"/>
          <w:szCs w:val="20"/>
        </w:rPr>
        <w:t>by 0.5</w:t>
      </w:r>
      <w:r w:rsidR="005212AA">
        <w:rPr>
          <w:rFonts w:cs="Arial"/>
          <w:szCs w:val="20"/>
        </w:rPr>
        <w:t xml:space="preserve"> per cent </w:t>
      </w:r>
      <w:r w:rsidR="00B50D36">
        <w:rPr>
          <w:rFonts w:cs="Arial"/>
          <w:szCs w:val="20"/>
        </w:rPr>
        <w:t xml:space="preserve">in the </w:t>
      </w:r>
      <w:r w:rsidR="004B57AE">
        <w:rPr>
          <w:rFonts w:cs="Arial"/>
          <w:szCs w:val="20"/>
        </w:rPr>
        <w:t>December</w:t>
      </w:r>
      <w:r w:rsidR="00B50D36">
        <w:rPr>
          <w:rFonts w:cs="Arial"/>
          <w:szCs w:val="20"/>
        </w:rPr>
        <w:t xml:space="preserve"> quarter</w:t>
      </w:r>
      <w:r w:rsidR="005212AA">
        <w:rPr>
          <w:rFonts w:cs="Arial"/>
          <w:szCs w:val="20"/>
        </w:rPr>
        <w:t xml:space="preserve">. The </w:t>
      </w:r>
      <w:r w:rsidRPr="000F3B39">
        <w:rPr>
          <w:rFonts w:cs="Arial"/>
          <w:szCs w:val="20"/>
        </w:rPr>
        <w:t xml:space="preserve">median rent for Melbourne </w:t>
      </w:r>
      <w:r w:rsidR="00E4154A">
        <w:rPr>
          <w:rFonts w:cs="Arial"/>
          <w:szCs w:val="20"/>
        </w:rPr>
        <w:t>remained steady at</w:t>
      </w:r>
      <w:r w:rsidR="00D728F5">
        <w:rPr>
          <w:rFonts w:cs="Arial"/>
          <w:szCs w:val="20"/>
        </w:rPr>
        <w:t xml:space="preserve"> </w:t>
      </w:r>
      <w:r w:rsidR="005212AA">
        <w:rPr>
          <w:rFonts w:cs="Arial"/>
          <w:szCs w:val="20"/>
        </w:rPr>
        <w:t>$3</w:t>
      </w:r>
      <w:r w:rsidR="00D728F5">
        <w:rPr>
          <w:rFonts w:cs="Arial"/>
          <w:szCs w:val="20"/>
        </w:rPr>
        <w:t>8</w:t>
      </w:r>
      <w:r w:rsidR="00B22F3F">
        <w:rPr>
          <w:rFonts w:cs="Arial"/>
          <w:szCs w:val="20"/>
        </w:rPr>
        <w:t>0 per week</w:t>
      </w:r>
      <w:r w:rsidRPr="000F3B39">
        <w:rPr>
          <w:rFonts w:cs="Arial"/>
          <w:szCs w:val="20"/>
        </w:rPr>
        <w:t xml:space="preserve">. </w:t>
      </w:r>
      <w:r w:rsidR="001E528C">
        <w:rPr>
          <w:rFonts w:cs="Arial"/>
          <w:szCs w:val="20"/>
        </w:rPr>
        <w:t>T</w:t>
      </w:r>
      <w:r w:rsidRPr="000F3B39">
        <w:rPr>
          <w:rFonts w:cs="Arial"/>
          <w:szCs w:val="20"/>
        </w:rPr>
        <w:t>he Regional Rent Index (RRI)</w:t>
      </w:r>
      <w:r w:rsidR="00D728F5">
        <w:rPr>
          <w:rFonts w:cs="Arial"/>
          <w:szCs w:val="20"/>
        </w:rPr>
        <w:t xml:space="preserve"> in</w:t>
      </w:r>
      <w:r w:rsidR="001E528C">
        <w:rPr>
          <w:rFonts w:cs="Arial"/>
          <w:szCs w:val="20"/>
        </w:rPr>
        <w:t>c</w:t>
      </w:r>
      <w:r w:rsidR="00B50D36">
        <w:rPr>
          <w:rFonts w:cs="Arial"/>
          <w:szCs w:val="20"/>
        </w:rPr>
        <w:t xml:space="preserve">reased </w:t>
      </w:r>
      <w:r w:rsidR="00E4154A">
        <w:rPr>
          <w:rFonts w:cs="Arial"/>
          <w:szCs w:val="20"/>
        </w:rPr>
        <w:t>by 0.1</w:t>
      </w:r>
      <w:r w:rsidR="00F03559">
        <w:rPr>
          <w:rFonts w:cs="Arial"/>
          <w:szCs w:val="20"/>
        </w:rPr>
        <w:t xml:space="preserve"> per cent in the </w:t>
      </w:r>
      <w:r w:rsidR="004B57AE">
        <w:rPr>
          <w:rFonts w:cs="Arial"/>
          <w:szCs w:val="20"/>
        </w:rPr>
        <w:t>December</w:t>
      </w:r>
      <w:r w:rsidR="00F03559">
        <w:rPr>
          <w:rFonts w:cs="Arial"/>
          <w:szCs w:val="20"/>
        </w:rPr>
        <w:t xml:space="preserve"> quarter and </w:t>
      </w:r>
      <w:r w:rsidRPr="000F3B39">
        <w:rPr>
          <w:rFonts w:cs="Arial"/>
          <w:szCs w:val="20"/>
        </w:rPr>
        <w:t xml:space="preserve">the median rent for Regional Victoria </w:t>
      </w:r>
      <w:r w:rsidR="00397411">
        <w:rPr>
          <w:rFonts w:cs="Arial"/>
          <w:szCs w:val="20"/>
        </w:rPr>
        <w:t>in</w:t>
      </w:r>
      <w:r w:rsidR="00010CC3">
        <w:rPr>
          <w:rFonts w:cs="Arial"/>
          <w:szCs w:val="20"/>
        </w:rPr>
        <w:t>creased by $5</w:t>
      </w:r>
      <w:r w:rsidR="00F03559">
        <w:rPr>
          <w:rFonts w:cs="Arial"/>
          <w:szCs w:val="20"/>
        </w:rPr>
        <w:t xml:space="preserve"> to $2</w:t>
      </w:r>
      <w:r w:rsidR="00E4154A">
        <w:rPr>
          <w:rFonts w:cs="Arial"/>
          <w:szCs w:val="20"/>
        </w:rPr>
        <w:t>80</w:t>
      </w:r>
      <w:r w:rsidRPr="000F3B39">
        <w:rPr>
          <w:rFonts w:cs="Arial"/>
          <w:szCs w:val="20"/>
        </w:rPr>
        <w:t xml:space="preserve"> per week.</w:t>
      </w:r>
    </w:p>
    <w:p w:rsidR="0047763C" w:rsidRPr="000F3B39" w:rsidRDefault="0047763C" w:rsidP="0099180B">
      <w:pPr>
        <w:rPr>
          <w:rFonts w:cs="Arial"/>
          <w:szCs w:val="20"/>
        </w:rPr>
      </w:pPr>
    </w:p>
    <w:p w:rsidR="0047763C" w:rsidRPr="000F3B39" w:rsidRDefault="0047763C" w:rsidP="0099180B">
      <w:pPr>
        <w:rPr>
          <w:rFonts w:cs="Arial"/>
          <w:szCs w:val="20"/>
        </w:rPr>
      </w:pPr>
      <w:r w:rsidRPr="000F3B39">
        <w:rPr>
          <w:rFonts w:cs="Arial"/>
          <w:szCs w:val="20"/>
        </w:rPr>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w:t>
      </w:r>
      <w:r w:rsidR="003A00A1" w:rsidRPr="000F3B39">
        <w:rPr>
          <w:rFonts w:cs="Arial"/>
          <w:szCs w:val="20"/>
        </w:rPr>
        <w:t>mid-point</w:t>
      </w:r>
      <w:r w:rsidRPr="000F3B39">
        <w:rPr>
          <w:rFonts w:cs="Arial"/>
          <w:szCs w:val="20"/>
        </w:rPr>
        <w:t xml:space="preserve"> in the distribution of all rents with fifty per cent of rents </w:t>
      </w:r>
      <w:r w:rsidR="00D41879">
        <w:rPr>
          <w:rFonts w:cs="Arial"/>
          <w:szCs w:val="20"/>
        </w:rPr>
        <w:t>at or above</w:t>
      </w:r>
      <w:r w:rsidRPr="000F3B39">
        <w:rPr>
          <w:rFonts w:cs="Arial"/>
          <w:szCs w:val="20"/>
        </w:rPr>
        <w:t xml:space="preserve"> the median and fifty per cent </w:t>
      </w:r>
      <w:r w:rsidR="00D41879">
        <w:rPr>
          <w:rFonts w:cs="Arial"/>
          <w:szCs w:val="20"/>
        </w:rPr>
        <w:t xml:space="preserve">at or </w:t>
      </w:r>
      <w:r w:rsidRPr="000F3B39">
        <w:rPr>
          <w:rFonts w:cs="Arial"/>
          <w:szCs w:val="20"/>
        </w:rPr>
        <w:t>below the median. A number of properties on the median rent can disguise overall changes in rents over time.)</w:t>
      </w:r>
    </w:p>
    <w:p w:rsidR="0047763C" w:rsidRPr="000F3B39" w:rsidRDefault="0047763C" w:rsidP="0099180B">
      <w:pPr>
        <w:rPr>
          <w:rFonts w:cs="Arial"/>
          <w:szCs w:val="20"/>
        </w:rPr>
      </w:pPr>
    </w:p>
    <w:p w:rsidR="0047763C" w:rsidRPr="00CD29A6" w:rsidRDefault="0047763C" w:rsidP="003B398B">
      <w:pPr>
        <w:rPr>
          <w:rFonts w:cs="Arial"/>
          <w:b/>
          <w:sz w:val="20"/>
          <w:szCs w:val="20"/>
        </w:rPr>
      </w:pPr>
      <w:r w:rsidRPr="00CD29A6">
        <w:rPr>
          <w:rFonts w:cs="Arial"/>
          <w:b/>
          <w:sz w:val="20"/>
          <w:szCs w:val="20"/>
        </w:rPr>
        <w:t xml:space="preserve">Figure 1 Metropolitan Rent Index and Regional Rent Index - </w:t>
      </w:r>
      <w:r w:rsidRPr="00CD29A6">
        <w:rPr>
          <w:rFonts w:cs="Arial"/>
          <w:b/>
          <w:sz w:val="20"/>
          <w:szCs w:val="20"/>
          <w:lang w:eastAsia="en-AU"/>
        </w:rPr>
        <w:t>annual percent</w:t>
      </w:r>
      <w:r w:rsidR="00B50D36">
        <w:rPr>
          <w:rFonts w:cs="Arial"/>
          <w:b/>
          <w:sz w:val="20"/>
          <w:szCs w:val="20"/>
          <w:lang w:eastAsia="en-AU"/>
        </w:rPr>
        <w:t>age</w:t>
      </w:r>
      <w:r w:rsidRPr="00CD29A6">
        <w:rPr>
          <w:rFonts w:cs="Arial"/>
          <w:b/>
          <w:sz w:val="20"/>
          <w:szCs w:val="20"/>
          <w:lang w:eastAsia="en-AU"/>
        </w:rPr>
        <w:t xml:space="preserve"> change</w:t>
      </w:r>
    </w:p>
    <w:p w:rsidR="002D716F" w:rsidRDefault="00FB1A84" w:rsidP="003B398B">
      <w:pPr>
        <w:rPr>
          <w:rFonts w:cs="Arial"/>
        </w:rPr>
      </w:pPr>
      <w:r w:rsidRPr="00FB1A84">
        <w:rPr>
          <w:rFonts w:cs="Arial"/>
          <w:noProof/>
          <w:lang w:eastAsia="en-AU"/>
        </w:rPr>
        <w:drawing>
          <wp:inline distT="0" distB="0" distL="0" distR="0">
            <wp:extent cx="5010149" cy="29432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7763C" w:rsidRPr="00706644" w:rsidRDefault="0047763C" w:rsidP="0059106A">
      <w:pPr>
        <w:pStyle w:val="DHSheadingD"/>
        <w:rPr>
          <w:rFonts w:cs="Arial"/>
          <w:lang w:val="en-US"/>
        </w:rPr>
      </w:pPr>
      <w:r w:rsidRPr="00706644">
        <w:rPr>
          <w:rFonts w:cs="Arial"/>
          <w:lang w:val="en-US"/>
        </w:rPr>
        <w:t xml:space="preserve">Table 1: Median rents and rent indices </w:t>
      </w:r>
    </w:p>
    <w:tbl>
      <w:tblPr>
        <w:tblW w:w="10506"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2552"/>
        <w:gridCol w:w="1985"/>
        <w:gridCol w:w="1999"/>
        <w:gridCol w:w="1985"/>
        <w:gridCol w:w="1985"/>
      </w:tblGrid>
      <w:tr w:rsidR="0047763C" w:rsidRPr="0036384D" w:rsidTr="00DF3BA6">
        <w:tc>
          <w:tcPr>
            <w:tcW w:w="2552" w:type="dxa"/>
            <w:tcBorders>
              <w:top w:val="single" w:sz="18" w:space="0" w:color="9DAECB"/>
              <w:bottom w:val="single" w:sz="12" w:space="0" w:color="9DAECB"/>
            </w:tcBorders>
          </w:tcPr>
          <w:p w:rsidR="0047763C" w:rsidRPr="00C95655" w:rsidRDefault="0047763C" w:rsidP="00D55A3B">
            <w:pPr>
              <w:pStyle w:val="DHSbodycopytable"/>
              <w:spacing w:after="0"/>
              <w:rPr>
                <w:rFonts w:cs="Arial"/>
                <w:b/>
                <w:bCs/>
                <w:sz w:val="20"/>
              </w:rPr>
            </w:pPr>
          </w:p>
        </w:tc>
        <w:tc>
          <w:tcPr>
            <w:tcW w:w="1985" w:type="dxa"/>
            <w:tcBorders>
              <w:top w:val="single" w:sz="18" w:space="0" w:color="9DAECB"/>
              <w:bottom w:val="single" w:sz="12" w:space="0" w:color="9DAECB"/>
            </w:tcBorders>
            <w:shd w:val="clear" w:color="auto" w:fill="DEE4EE"/>
            <w:vAlign w:val="center"/>
          </w:tcPr>
          <w:p w:rsidR="0047763C" w:rsidRPr="00C95655" w:rsidRDefault="0047763C" w:rsidP="00D55A3B">
            <w:pPr>
              <w:pStyle w:val="DHSbodycopytable"/>
              <w:spacing w:after="0"/>
              <w:jc w:val="center"/>
              <w:rPr>
                <w:rFonts w:cs="Arial"/>
                <w:b/>
                <w:bCs/>
                <w:sz w:val="20"/>
              </w:rPr>
            </w:pPr>
            <w:r w:rsidRPr="00C95655">
              <w:rPr>
                <w:rFonts w:cs="Arial"/>
                <w:b/>
                <w:bCs/>
                <w:sz w:val="20"/>
              </w:rPr>
              <w:t>Median Rent</w:t>
            </w:r>
            <w:r w:rsidR="00D55A3B">
              <w:rPr>
                <w:rFonts w:cs="Arial"/>
                <w:b/>
                <w:bCs/>
                <w:sz w:val="20"/>
              </w:rPr>
              <w:br/>
              <w:t>(per week)</w:t>
            </w:r>
          </w:p>
        </w:tc>
        <w:tc>
          <w:tcPr>
            <w:tcW w:w="1999" w:type="dxa"/>
            <w:tcBorders>
              <w:top w:val="single" w:sz="18" w:space="0" w:color="9DAECB"/>
              <w:bottom w:val="single" w:sz="12" w:space="0" w:color="9DAECB"/>
            </w:tcBorders>
            <w:vAlign w:val="center"/>
          </w:tcPr>
          <w:p w:rsidR="0047763C" w:rsidRPr="00C95655" w:rsidRDefault="0047763C" w:rsidP="00D55A3B">
            <w:pPr>
              <w:pStyle w:val="DHSbodycopytable"/>
              <w:spacing w:after="0"/>
              <w:jc w:val="center"/>
              <w:rPr>
                <w:rFonts w:cs="Arial"/>
                <w:b/>
                <w:bCs/>
                <w:sz w:val="20"/>
              </w:rPr>
            </w:pPr>
            <w:r w:rsidRPr="00C95655">
              <w:rPr>
                <w:rFonts w:cs="Arial"/>
                <w:b/>
                <w:bCs/>
                <w:sz w:val="20"/>
              </w:rPr>
              <w:t>Rent Index</w:t>
            </w:r>
          </w:p>
        </w:tc>
        <w:tc>
          <w:tcPr>
            <w:tcW w:w="1985" w:type="dxa"/>
            <w:tcBorders>
              <w:top w:val="single" w:sz="18" w:space="0" w:color="9DAECB"/>
              <w:bottom w:val="single" w:sz="12" w:space="0" w:color="9DAECB"/>
            </w:tcBorders>
            <w:shd w:val="clear" w:color="auto" w:fill="DEE4EE"/>
            <w:vAlign w:val="center"/>
          </w:tcPr>
          <w:p w:rsidR="0047763C" w:rsidRPr="00C95655" w:rsidRDefault="00D55A3B" w:rsidP="00D55A3B">
            <w:pPr>
              <w:pStyle w:val="DHSbodycopytable"/>
              <w:spacing w:after="0"/>
              <w:jc w:val="center"/>
              <w:rPr>
                <w:rFonts w:cs="Arial"/>
                <w:b/>
                <w:bCs/>
                <w:sz w:val="20"/>
              </w:rPr>
            </w:pPr>
            <w:r>
              <w:rPr>
                <w:rFonts w:cs="Arial"/>
                <w:b/>
                <w:bCs/>
                <w:sz w:val="20"/>
              </w:rPr>
              <w:t>Quarterly</w:t>
            </w:r>
            <w:r>
              <w:rPr>
                <w:rFonts w:cs="Arial"/>
                <w:b/>
                <w:bCs/>
                <w:sz w:val="20"/>
              </w:rPr>
              <w:br/>
            </w:r>
            <w:r w:rsidR="0047763C" w:rsidRPr="00C95655">
              <w:rPr>
                <w:rFonts w:cs="Arial"/>
                <w:b/>
                <w:bCs/>
                <w:sz w:val="20"/>
              </w:rPr>
              <w:t>Change*</w:t>
            </w:r>
          </w:p>
        </w:tc>
        <w:tc>
          <w:tcPr>
            <w:tcW w:w="1985" w:type="dxa"/>
            <w:tcBorders>
              <w:top w:val="single" w:sz="18" w:space="0" w:color="9DAECB"/>
              <w:bottom w:val="single" w:sz="12" w:space="0" w:color="9DAECB"/>
            </w:tcBorders>
            <w:vAlign w:val="center"/>
          </w:tcPr>
          <w:p w:rsidR="0047763C" w:rsidRPr="00C95655" w:rsidRDefault="00D55A3B" w:rsidP="00D55A3B">
            <w:pPr>
              <w:pStyle w:val="DHSbodycopytable"/>
              <w:spacing w:after="0"/>
              <w:jc w:val="center"/>
              <w:rPr>
                <w:rFonts w:cs="Arial"/>
                <w:b/>
                <w:bCs/>
                <w:sz w:val="20"/>
              </w:rPr>
            </w:pPr>
            <w:r>
              <w:rPr>
                <w:rFonts w:cs="Arial"/>
                <w:b/>
                <w:bCs/>
                <w:sz w:val="20"/>
              </w:rPr>
              <w:t>Annual</w:t>
            </w:r>
            <w:r>
              <w:rPr>
                <w:rFonts w:cs="Arial"/>
                <w:b/>
                <w:bCs/>
                <w:sz w:val="20"/>
              </w:rPr>
              <w:br/>
            </w:r>
            <w:r w:rsidR="0047763C" w:rsidRPr="00C95655">
              <w:rPr>
                <w:rFonts w:cs="Arial"/>
                <w:b/>
                <w:bCs/>
                <w:sz w:val="20"/>
              </w:rPr>
              <w:t>Change*</w:t>
            </w:r>
          </w:p>
        </w:tc>
      </w:tr>
      <w:tr w:rsidR="00FB1A84" w:rsidRPr="0036384D" w:rsidTr="005E5C54">
        <w:trPr>
          <w:trHeight w:hRule="exact" w:val="340"/>
        </w:trPr>
        <w:tc>
          <w:tcPr>
            <w:tcW w:w="2552" w:type="dxa"/>
            <w:tcBorders>
              <w:top w:val="single" w:sz="12" w:space="0" w:color="9DAECB"/>
            </w:tcBorders>
            <w:vAlign w:val="center"/>
          </w:tcPr>
          <w:p w:rsidR="00FB1A84" w:rsidRPr="00C95655" w:rsidRDefault="00FB1A84" w:rsidP="00DB4FBA">
            <w:pPr>
              <w:pStyle w:val="DHSbodycopytable"/>
              <w:spacing w:after="0"/>
              <w:rPr>
                <w:rFonts w:cs="Arial"/>
                <w:b/>
                <w:bCs/>
                <w:sz w:val="20"/>
              </w:rPr>
            </w:pPr>
            <w:r w:rsidRPr="00C95655">
              <w:rPr>
                <w:rFonts w:cs="Arial"/>
                <w:bCs/>
                <w:sz w:val="20"/>
              </w:rPr>
              <w:t>M</w:t>
            </w:r>
            <w:r>
              <w:rPr>
                <w:rFonts w:cs="Arial"/>
                <w:bCs/>
                <w:sz w:val="20"/>
              </w:rPr>
              <w:t>etropolitan M</w:t>
            </w:r>
            <w:r w:rsidRPr="00C95655">
              <w:rPr>
                <w:rFonts w:cs="Arial"/>
                <w:bCs/>
                <w:sz w:val="20"/>
              </w:rPr>
              <w:t>elbourne</w:t>
            </w:r>
          </w:p>
        </w:tc>
        <w:tc>
          <w:tcPr>
            <w:tcW w:w="1985" w:type="dxa"/>
            <w:tcBorders>
              <w:top w:val="single" w:sz="12" w:space="0" w:color="9DAECB"/>
            </w:tcBorders>
            <w:shd w:val="clear" w:color="auto" w:fill="DEE4EE"/>
            <w:vAlign w:val="center"/>
          </w:tcPr>
          <w:p w:rsidR="00FB1A84" w:rsidRPr="005E5C54" w:rsidRDefault="00FB1A84" w:rsidP="005E5C54">
            <w:pPr>
              <w:jc w:val="center"/>
              <w:rPr>
                <w:sz w:val="20"/>
              </w:rPr>
            </w:pPr>
            <w:r w:rsidRPr="005E5C54">
              <w:rPr>
                <w:sz w:val="20"/>
              </w:rPr>
              <w:t>$380</w:t>
            </w:r>
          </w:p>
        </w:tc>
        <w:tc>
          <w:tcPr>
            <w:tcW w:w="1999" w:type="dxa"/>
            <w:tcBorders>
              <w:top w:val="single" w:sz="12" w:space="0" w:color="9DAECB"/>
            </w:tcBorders>
            <w:vAlign w:val="center"/>
          </w:tcPr>
          <w:p w:rsidR="00FB1A84" w:rsidRPr="005E5C54" w:rsidRDefault="00FB1A84" w:rsidP="005E5C54">
            <w:pPr>
              <w:jc w:val="center"/>
              <w:rPr>
                <w:sz w:val="20"/>
              </w:rPr>
            </w:pPr>
            <w:r w:rsidRPr="005E5C54">
              <w:rPr>
                <w:sz w:val="20"/>
              </w:rPr>
              <w:t>212.1</w:t>
            </w:r>
          </w:p>
        </w:tc>
        <w:tc>
          <w:tcPr>
            <w:tcW w:w="1985" w:type="dxa"/>
            <w:tcBorders>
              <w:top w:val="single" w:sz="12" w:space="0" w:color="9DAECB"/>
            </w:tcBorders>
            <w:shd w:val="clear" w:color="auto" w:fill="DEE4EE"/>
            <w:vAlign w:val="center"/>
          </w:tcPr>
          <w:p w:rsidR="00FB1A84" w:rsidRPr="005E5C54" w:rsidRDefault="00FB1A84" w:rsidP="005E5C54">
            <w:pPr>
              <w:jc w:val="center"/>
              <w:rPr>
                <w:sz w:val="20"/>
              </w:rPr>
            </w:pPr>
            <w:r w:rsidRPr="005E5C54">
              <w:rPr>
                <w:sz w:val="20"/>
              </w:rPr>
              <w:t>0.5%</w:t>
            </w:r>
          </w:p>
        </w:tc>
        <w:tc>
          <w:tcPr>
            <w:tcW w:w="1985" w:type="dxa"/>
            <w:tcBorders>
              <w:top w:val="single" w:sz="12" w:space="0" w:color="9DAECB"/>
            </w:tcBorders>
            <w:vAlign w:val="center"/>
          </w:tcPr>
          <w:p w:rsidR="00FB1A84" w:rsidRPr="005E5C54" w:rsidRDefault="00FB1A84" w:rsidP="005E5C54">
            <w:pPr>
              <w:jc w:val="center"/>
              <w:rPr>
                <w:sz w:val="20"/>
              </w:rPr>
            </w:pPr>
            <w:r w:rsidRPr="005E5C54">
              <w:rPr>
                <w:sz w:val="20"/>
              </w:rPr>
              <w:t>3.0%</w:t>
            </w:r>
          </w:p>
        </w:tc>
      </w:tr>
      <w:tr w:rsidR="00FB1A84" w:rsidRPr="0036384D" w:rsidTr="005E5C54">
        <w:trPr>
          <w:trHeight w:hRule="exact" w:val="340"/>
        </w:trPr>
        <w:tc>
          <w:tcPr>
            <w:tcW w:w="2552" w:type="dxa"/>
            <w:vAlign w:val="center"/>
          </w:tcPr>
          <w:p w:rsidR="00FB1A84" w:rsidRPr="00C95655" w:rsidRDefault="00FB1A84" w:rsidP="00DB4FBA">
            <w:pPr>
              <w:pStyle w:val="DHSbodycopytable"/>
              <w:spacing w:after="0"/>
              <w:rPr>
                <w:rFonts w:cs="Arial"/>
                <w:b/>
                <w:bCs/>
                <w:sz w:val="20"/>
              </w:rPr>
            </w:pPr>
            <w:r w:rsidRPr="00C95655">
              <w:rPr>
                <w:rFonts w:cs="Arial"/>
                <w:bCs/>
                <w:sz w:val="20"/>
              </w:rPr>
              <w:t>Regional Victoria</w:t>
            </w:r>
          </w:p>
        </w:tc>
        <w:tc>
          <w:tcPr>
            <w:tcW w:w="1985" w:type="dxa"/>
            <w:shd w:val="clear" w:color="auto" w:fill="DEE4EE"/>
            <w:vAlign w:val="center"/>
          </w:tcPr>
          <w:p w:rsidR="00FB1A84" w:rsidRPr="005E5C54" w:rsidRDefault="00FB1A84" w:rsidP="005E5C54">
            <w:pPr>
              <w:jc w:val="center"/>
              <w:rPr>
                <w:sz w:val="20"/>
              </w:rPr>
            </w:pPr>
            <w:r w:rsidRPr="005E5C54">
              <w:rPr>
                <w:sz w:val="20"/>
              </w:rPr>
              <w:t>$280</w:t>
            </w:r>
          </w:p>
        </w:tc>
        <w:tc>
          <w:tcPr>
            <w:tcW w:w="1999" w:type="dxa"/>
            <w:vAlign w:val="center"/>
          </w:tcPr>
          <w:p w:rsidR="00FB1A84" w:rsidRPr="005E5C54" w:rsidRDefault="00FB1A84" w:rsidP="005E5C54">
            <w:pPr>
              <w:jc w:val="center"/>
              <w:rPr>
                <w:sz w:val="20"/>
              </w:rPr>
            </w:pPr>
            <w:r w:rsidRPr="005E5C54">
              <w:rPr>
                <w:sz w:val="20"/>
              </w:rPr>
              <w:t>208.1</w:t>
            </w:r>
          </w:p>
        </w:tc>
        <w:tc>
          <w:tcPr>
            <w:tcW w:w="1985" w:type="dxa"/>
            <w:shd w:val="clear" w:color="auto" w:fill="DEE4EE"/>
            <w:vAlign w:val="center"/>
          </w:tcPr>
          <w:p w:rsidR="00FB1A84" w:rsidRPr="005E5C54" w:rsidRDefault="00FB1A84" w:rsidP="005E5C54">
            <w:pPr>
              <w:jc w:val="center"/>
              <w:rPr>
                <w:sz w:val="20"/>
              </w:rPr>
            </w:pPr>
            <w:r w:rsidRPr="005E5C54">
              <w:rPr>
                <w:sz w:val="20"/>
              </w:rPr>
              <w:t>0.1%</w:t>
            </w:r>
          </w:p>
        </w:tc>
        <w:tc>
          <w:tcPr>
            <w:tcW w:w="1985" w:type="dxa"/>
            <w:vAlign w:val="center"/>
          </w:tcPr>
          <w:p w:rsidR="00FB1A84" w:rsidRPr="005E5C54" w:rsidRDefault="00FB1A84" w:rsidP="005E5C54">
            <w:pPr>
              <w:jc w:val="center"/>
              <w:rPr>
                <w:sz w:val="20"/>
              </w:rPr>
            </w:pPr>
            <w:r w:rsidRPr="005E5C54">
              <w:rPr>
                <w:sz w:val="20"/>
              </w:rPr>
              <w:t>2.9%</w:t>
            </w:r>
          </w:p>
        </w:tc>
      </w:tr>
      <w:tr w:rsidR="00FB1A84" w:rsidRPr="0036384D" w:rsidTr="005E5C54">
        <w:trPr>
          <w:trHeight w:hRule="exact" w:val="340"/>
        </w:trPr>
        <w:tc>
          <w:tcPr>
            <w:tcW w:w="2552" w:type="dxa"/>
            <w:vAlign w:val="center"/>
          </w:tcPr>
          <w:p w:rsidR="00FB1A84" w:rsidRPr="00C95655" w:rsidRDefault="00FB1A84" w:rsidP="00DB4FBA">
            <w:pPr>
              <w:pStyle w:val="DHSbodycopytable"/>
              <w:spacing w:after="0"/>
              <w:rPr>
                <w:rFonts w:cs="Arial"/>
                <w:b/>
                <w:bCs/>
                <w:sz w:val="20"/>
              </w:rPr>
            </w:pPr>
            <w:r w:rsidRPr="00C95655">
              <w:rPr>
                <w:rFonts w:cs="Arial"/>
                <w:bCs/>
                <w:sz w:val="20"/>
              </w:rPr>
              <w:t>Victoria</w:t>
            </w:r>
          </w:p>
        </w:tc>
        <w:tc>
          <w:tcPr>
            <w:tcW w:w="1985" w:type="dxa"/>
            <w:shd w:val="clear" w:color="auto" w:fill="DEE4EE"/>
            <w:vAlign w:val="center"/>
          </w:tcPr>
          <w:p w:rsidR="00FB1A84" w:rsidRPr="005E5C54" w:rsidRDefault="00FB1A84" w:rsidP="005E5C54">
            <w:pPr>
              <w:jc w:val="center"/>
              <w:rPr>
                <w:sz w:val="20"/>
              </w:rPr>
            </w:pPr>
            <w:r w:rsidRPr="005E5C54">
              <w:rPr>
                <w:sz w:val="20"/>
              </w:rPr>
              <w:t>$360</w:t>
            </w:r>
          </w:p>
        </w:tc>
        <w:tc>
          <w:tcPr>
            <w:tcW w:w="1999" w:type="dxa"/>
            <w:vAlign w:val="center"/>
          </w:tcPr>
          <w:p w:rsidR="00FB1A84" w:rsidRPr="005E5C54" w:rsidRDefault="00FB1A84" w:rsidP="005E5C54">
            <w:pPr>
              <w:jc w:val="center"/>
              <w:rPr>
                <w:sz w:val="20"/>
              </w:rPr>
            </w:pPr>
            <w:r w:rsidRPr="005E5C54">
              <w:rPr>
                <w:sz w:val="20"/>
              </w:rPr>
              <w:t>209.4</w:t>
            </w:r>
          </w:p>
        </w:tc>
        <w:tc>
          <w:tcPr>
            <w:tcW w:w="1985" w:type="dxa"/>
            <w:shd w:val="clear" w:color="auto" w:fill="DEE4EE"/>
            <w:vAlign w:val="center"/>
          </w:tcPr>
          <w:p w:rsidR="00FB1A84" w:rsidRPr="005E5C54" w:rsidRDefault="00FB1A84" w:rsidP="005E5C54">
            <w:pPr>
              <w:jc w:val="center"/>
              <w:rPr>
                <w:sz w:val="20"/>
              </w:rPr>
            </w:pPr>
            <w:r w:rsidRPr="005E5C54">
              <w:rPr>
                <w:sz w:val="20"/>
              </w:rPr>
              <w:t>0.5%</w:t>
            </w:r>
          </w:p>
        </w:tc>
        <w:tc>
          <w:tcPr>
            <w:tcW w:w="1985" w:type="dxa"/>
            <w:vAlign w:val="center"/>
          </w:tcPr>
          <w:p w:rsidR="00FB1A84" w:rsidRPr="005E5C54" w:rsidRDefault="00FB1A84" w:rsidP="005E5C54">
            <w:pPr>
              <w:jc w:val="center"/>
              <w:rPr>
                <w:sz w:val="20"/>
              </w:rPr>
            </w:pPr>
            <w:r w:rsidRPr="005E5C54">
              <w:rPr>
                <w:sz w:val="20"/>
              </w:rPr>
              <w:t>3.0%</w:t>
            </w:r>
          </w:p>
        </w:tc>
      </w:tr>
    </w:tbl>
    <w:p w:rsidR="0047763C" w:rsidRPr="006A259B" w:rsidRDefault="0047763C" w:rsidP="0059106A">
      <w:pPr>
        <w:pStyle w:val="Footnote"/>
        <w:jc w:val="left"/>
        <w:rPr>
          <w:rFonts w:cs="Arial"/>
          <w:color w:val="auto"/>
          <w:sz w:val="16"/>
        </w:rPr>
      </w:pPr>
      <w:r w:rsidRPr="006A259B">
        <w:rPr>
          <w:rFonts w:cs="Arial"/>
          <w:color w:val="auto"/>
          <w:sz w:val="16"/>
        </w:rPr>
        <w:t>* Percentage change figures are calculated from relevant Rent Index</w:t>
      </w:r>
    </w:p>
    <w:p w:rsidR="0047763C" w:rsidRPr="008C44FD" w:rsidRDefault="0047763C" w:rsidP="003B398B">
      <w:pPr>
        <w:rPr>
          <w:rFonts w:cs="Arial"/>
        </w:rPr>
      </w:pPr>
    </w:p>
    <w:p w:rsidR="0047763C" w:rsidRPr="00D55A3B" w:rsidRDefault="0047763C" w:rsidP="00000681">
      <w:pPr>
        <w:pStyle w:val="DHSHeadingC"/>
      </w:pPr>
      <w:r w:rsidRPr="00D55A3B">
        <w:t>Metropolitan Rent Index</w:t>
      </w:r>
    </w:p>
    <w:p w:rsidR="0047763C" w:rsidRPr="000F3B39" w:rsidRDefault="0047763C" w:rsidP="006E4F28">
      <w:pPr>
        <w:rPr>
          <w:rFonts w:cs="Arial"/>
          <w:szCs w:val="20"/>
        </w:rPr>
      </w:pPr>
      <w:r w:rsidRPr="000F3B39">
        <w:rPr>
          <w:rFonts w:cs="Arial"/>
          <w:szCs w:val="20"/>
        </w:rPr>
        <w:t xml:space="preserve">The annual increase of </w:t>
      </w:r>
      <w:r w:rsidR="00E4154A">
        <w:rPr>
          <w:rFonts w:cs="Arial"/>
          <w:szCs w:val="20"/>
        </w:rPr>
        <w:t>3.0</w:t>
      </w:r>
      <w:r w:rsidRPr="000F3B39">
        <w:rPr>
          <w:rFonts w:cs="Arial"/>
          <w:szCs w:val="20"/>
        </w:rPr>
        <w:t xml:space="preserve"> per cent in the MRI </w:t>
      </w:r>
      <w:r>
        <w:rPr>
          <w:rFonts w:cs="Arial"/>
          <w:szCs w:val="20"/>
        </w:rPr>
        <w:t>to</w:t>
      </w:r>
      <w:r w:rsidRPr="000F3B39">
        <w:rPr>
          <w:rFonts w:cs="Arial"/>
          <w:szCs w:val="20"/>
        </w:rPr>
        <w:t xml:space="preserve"> the </w:t>
      </w:r>
      <w:r w:rsidR="004B57AE">
        <w:rPr>
          <w:rFonts w:cs="Arial"/>
          <w:szCs w:val="20"/>
        </w:rPr>
        <w:t>December</w:t>
      </w:r>
      <w:r w:rsidRPr="000F3B39">
        <w:rPr>
          <w:rFonts w:cs="Arial"/>
          <w:szCs w:val="20"/>
        </w:rPr>
        <w:t xml:space="preserve"> quarter </w:t>
      </w:r>
      <w:r w:rsidR="00F03559">
        <w:rPr>
          <w:rFonts w:cs="Arial"/>
          <w:szCs w:val="20"/>
        </w:rPr>
        <w:t>201</w:t>
      </w:r>
      <w:r w:rsidR="00B22F3F">
        <w:rPr>
          <w:rFonts w:cs="Arial"/>
          <w:szCs w:val="20"/>
        </w:rPr>
        <w:t>5</w:t>
      </w:r>
      <w:r w:rsidRPr="000F3B39">
        <w:rPr>
          <w:rFonts w:cs="Arial"/>
          <w:szCs w:val="20"/>
        </w:rPr>
        <w:t xml:space="preserve"> </w:t>
      </w:r>
      <w:r w:rsidR="00D55A3B">
        <w:rPr>
          <w:rFonts w:cs="Arial"/>
          <w:szCs w:val="20"/>
        </w:rPr>
        <w:t>is</w:t>
      </w:r>
      <w:r w:rsidRPr="000F3B39">
        <w:rPr>
          <w:rFonts w:cs="Arial"/>
          <w:szCs w:val="20"/>
        </w:rPr>
        <w:t xml:space="preserve"> </w:t>
      </w:r>
      <w:r w:rsidR="00B22F3F">
        <w:rPr>
          <w:rFonts w:cs="Arial"/>
          <w:szCs w:val="20"/>
        </w:rPr>
        <w:t>above</w:t>
      </w:r>
      <w:r w:rsidRPr="000F3B39">
        <w:rPr>
          <w:rFonts w:cs="Arial"/>
          <w:szCs w:val="20"/>
        </w:rPr>
        <w:t xml:space="preserve"> that of a year ago (</w:t>
      </w:r>
      <w:r w:rsidR="00E4154A">
        <w:rPr>
          <w:rFonts w:cs="Arial"/>
          <w:szCs w:val="20"/>
        </w:rPr>
        <w:t>1.9</w:t>
      </w:r>
      <w:r w:rsidR="00DF50F4">
        <w:rPr>
          <w:rFonts w:cs="Arial"/>
          <w:szCs w:val="20"/>
        </w:rPr>
        <w:t>%</w:t>
      </w:r>
      <w:r w:rsidRPr="000F3B39">
        <w:rPr>
          <w:rFonts w:cs="Arial"/>
          <w:szCs w:val="20"/>
        </w:rPr>
        <w:t>)</w:t>
      </w:r>
      <w:r>
        <w:rPr>
          <w:rFonts w:cs="Arial"/>
          <w:szCs w:val="20"/>
        </w:rPr>
        <w:t>.</w:t>
      </w:r>
      <w:r w:rsidRPr="000F3B39">
        <w:rPr>
          <w:rFonts w:cs="Arial"/>
          <w:szCs w:val="20"/>
        </w:rPr>
        <w:t xml:space="preserve"> Over the past </w:t>
      </w:r>
      <w:r w:rsidR="00010CC3">
        <w:rPr>
          <w:rFonts w:cs="Arial"/>
          <w:szCs w:val="20"/>
        </w:rPr>
        <w:t>four</w:t>
      </w:r>
      <w:r w:rsidRPr="000F3B39">
        <w:rPr>
          <w:rFonts w:cs="Arial"/>
          <w:szCs w:val="20"/>
        </w:rPr>
        <w:t xml:space="preserve"> years, the situation for renters has improved, with the annual increase of the MRI </w:t>
      </w:r>
      <w:r w:rsidR="00010CC3">
        <w:rPr>
          <w:rFonts w:cs="Arial"/>
          <w:szCs w:val="20"/>
        </w:rPr>
        <w:t xml:space="preserve">well </w:t>
      </w:r>
      <w:r w:rsidRPr="000F3B39">
        <w:rPr>
          <w:rFonts w:cs="Arial"/>
          <w:szCs w:val="20"/>
        </w:rPr>
        <w:t>below the lon</w:t>
      </w:r>
      <w:r w:rsidR="00F03559">
        <w:rPr>
          <w:rFonts w:cs="Arial"/>
          <w:szCs w:val="20"/>
        </w:rPr>
        <w:t>g term (10 years) average of 5.</w:t>
      </w:r>
      <w:r w:rsidR="00E4154A">
        <w:rPr>
          <w:rFonts w:cs="Arial"/>
          <w:szCs w:val="20"/>
        </w:rPr>
        <w:t>1</w:t>
      </w:r>
      <w:r w:rsidRPr="000F3B39">
        <w:rPr>
          <w:rFonts w:cs="Arial"/>
          <w:szCs w:val="20"/>
        </w:rPr>
        <w:t xml:space="preserve"> per cent.</w:t>
      </w:r>
    </w:p>
    <w:p w:rsidR="0047763C" w:rsidRPr="000F3B39" w:rsidRDefault="0047763C" w:rsidP="003B398B">
      <w:pPr>
        <w:rPr>
          <w:rFonts w:cs="Arial"/>
          <w:szCs w:val="20"/>
        </w:rPr>
      </w:pPr>
    </w:p>
    <w:p w:rsidR="0047763C" w:rsidRPr="000F3B39" w:rsidRDefault="00D55A3B" w:rsidP="001C455B">
      <w:pPr>
        <w:rPr>
          <w:rFonts w:cs="Arial"/>
          <w:szCs w:val="20"/>
        </w:rPr>
      </w:pPr>
      <w:r>
        <w:rPr>
          <w:rFonts w:cs="Arial"/>
          <w:szCs w:val="20"/>
        </w:rPr>
        <w:t xml:space="preserve">In the </w:t>
      </w:r>
      <w:r w:rsidR="004B57AE">
        <w:rPr>
          <w:rFonts w:cs="Arial"/>
          <w:szCs w:val="20"/>
        </w:rPr>
        <w:t>December</w:t>
      </w:r>
      <w:r>
        <w:rPr>
          <w:rFonts w:cs="Arial"/>
          <w:szCs w:val="20"/>
        </w:rPr>
        <w:t xml:space="preserve"> quarter,</w:t>
      </w:r>
      <w:r w:rsidR="0047763C" w:rsidRPr="000F3B39">
        <w:rPr>
          <w:rFonts w:cs="Arial"/>
          <w:szCs w:val="20"/>
        </w:rPr>
        <w:t xml:space="preserve"> the MRI </w:t>
      </w:r>
      <w:r w:rsidR="00E4154A">
        <w:rPr>
          <w:rFonts w:cs="Arial"/>
          <w:szCs w:val="20"/>
        </w:rPr>
        <w:t>increased by 0.5</w:t>
      </w:r>
      <w:r w:rsidR="0047763C" w:rsidRPr="000F3B39">
        <w:rPr>
          <w:rFonts w:cs="Arial"/>
          <w:szCs w:val="20"/>
        </w:rPr>
        <w:t xml:space="preserve"> per cent, </w:t>
      </w:r>
      <w:r w:rsidR="00370EFE">
        <w:rPr>
          <w:rFonts w:cs="Arial"/>
          <w:szCs w:val="20"/>
        </w:rPr>
        <w:t>compared with a 0.7</w:t>
      </w:r>
      <w:r>
        <w:rPr>
          <w:rFonts w:cs="Arial"/>
          <w:szCs w:val="20"/>
        </w:rPr>
        <w:t xml:space="preserve"> per cent increase in the previous quarter</w:t>
      </w:r>
      <w:r w:rsidR="0047763C" w:rsidRPr="000F3B39">
        <w:rPr>
          <w:rFonts w:cs="Arial"/>
          <w:szCs w:val="20"/>
        </w:rPr>
        <w:t xml:space="preserve"> and </w:t>
      </w:r>
      <w:r w:rsidR="00F03559">
        <w:rPr>
          <w:rFonts w:cs="Arial"/>
          <w:szCs w:val="20"/>
        </w:rPr>
        <w:t>a 0.</w:t>
      </w:r>
      <w:r w:rsidR="00370EFE">
        <w:rPr>
          <w:rFonts w:cs="Arial"/>
          <w:szCs w:val="20"/>
        </w:rPr>
        <w:t>3</w:t>
      </w:r>
      <w:r w:rsidR="00F03559">
        <w:rPr>
          <w:rFonts w:cs="Arial"/>
          <w:szCs w:val="20"/>
        </w:rPr>
        <w:t xml:space="preserve"> per cent increase </w:t>
      </w:r>
      <w:r>
        <w:rPr>
          <w:rFonts w:cs="Arial"/>
          <w:szCs w:val="20"/>
        </w:rPr>
        <w:t xml:space="preserve">in </w:t>
      </w:r>
      <w:r w:rsidR="0047763C" w:rsidRPr="000F3B39">
        <w:rPr>
          <w:rFonts w:cs="Arial"/>
          <w:szCs w:val="20"/>
        </w:rPr>
        <w:t xml:space="preserve">the </w:t>
      </w:r>
      <w:r w:rsidR="004B57AE">
        <w:rPr>
          <w:rFonts w:cs="Arial"/>
          <w:szCs w:val="20"/>
        </w:rPr>
        <w:t>December</w:t>
      </w:r>
      <w:r w:rsidR="00F03559">
        <w:rPr>
          <w:rFonts w:cs="Arial"/>
          <w:szCs w:val="20"/>
        </w:rPr>
        <w:t xml:space="preserve"> quarter 201</w:t>
      </w:r>
      <w:r w:rsidR="00B22F3F">
        <w:rPr>
          <w:rFonts w:cs="Arial"/>
          <w:szCs w:val="20"/>
        </w:rPr>
        <w:t>4</w:t>
      </w:r>
      <w:r w:rsidR="0047763C" w:rsidRPr="000F3B39">
        <w:rPr>
          <w:rFonts w:cs="Arial"/>
          <w:szCs w:val="20"/>
        </w:rPr>
        <w:t xml:space="preserve">. </w:t>
      </w:r>
    </w:p>
    <w:p w:rsidR="0047763C" w:rsidRPr="00EC3090" w:rsidRDefault="0047763C" w:rsidP="00000681">
      <w:pPr>
        <w:pStyle w:val="DHSHeadingC"/>
      </w:pPr>
      <w:r w:rsidRPr="00EC3090">
        <w:lastRenderedPageBreak/>
        <w:t>Regional Rent Index</w:t>
      </w:r>
    </w:p>
    <w:p w:rsidR="0047763C" w:rsidRDefault="0047763C" w:rsidP="00706644">
      <w:pPr>
        <w:rPr>
          <w:rFonts w:cs="Arial"/>
          <w:szCs w:val="20"/>
        </w:rPr>
      </w:pPr>
      <w:r w:rsidRPr="000F3B39">
        <w:rPr>
          <w:rFonts w:cs="Arial"/>
          <w:szCs w:val="20"/>
        </w:rPr>
        <w:t xml:space="preserve">The annual </w:t>
      </w:r>
      <w:r w:rsidR="00370EFE">
        <w:rPr>
          <w:rFonts w:cs="Arial"/>
          <w:szCs w:val="20"/>
        </w:rPr>
        <w:t>increase of 2.9</w:t>
      </w:r>
      <w:r w:rsidR="00AE07F6">
        <w:rPr>
          <w:rFonts w:cs="Arial"/>
          <w:szCs w:val="20"/>
        </w:rPr>
        <w:t xml:space="preserve"> per cent</w:t>
      </w:r>
      <w:r w:rsidRPr="000F3B39">
        <w:rPr>
          <w:rFonts w:cs="Arial"/>
          <w:szCs w:val="20"/>
        </w:rPr>
        <w:t xml:space="preserve"> in the RRI</w:t>
      </w:r>
      <w:r w:rsidR="00010CC3" w:rsidRPr="00010CC3">
        <w:rPr>
          <w:rFonts w:cs="Arial"/>
          <w:szCs w:val="20"/>
        </w:rPr>
        <w:t xml:space="preserve"> </w:t>
      </w:r>
      <w:r w:rsidR="00010CC3">
        <w:rPr>
          <w:rFonts w:cs="Arial"/>
          <w:szCs w:val="20"/>
        </w:rPr>
        <w:t>to</w:t>
      </w:r>
      <w:r w:rsidR="00010CC3" w:rsidRPr="000F3B39">
        <w:rPr>
          <w:rFonts w:cs="Arial"/>
          <w:szCs w:val="20"/>
        </w:rPr>
        <w:t xml:space="preserve"> the </w:t>
      </w:r>
      <w:r w:rsidR="004B57AE">
        <w:rPr>
          <w:rFonts w:cs="Arial"/>
          <w:szCs w:val="20"/>
        </w:rPr>
        <w:t>December</w:t>
      </w:r>
      <w:r w:rsidR="00010CC3" w:rsidRPr="000F3B39">
        <w:rPr>
          <w:rFonts w:cs="Arial"/>
          <w:szCs w:val="20"/>
        </w:rPr>
        <w:t xml:space="preserve"> </w:t>
      </w:r>
      <w:r w:rsidR="00AE07F6">
        <w:rPr>
          <w:rFonts w:cs="Arial"/>
          <w:szCs w:val="20"/>
        </w:rPr>
        <w:t xml:space="preserve">quarter 2015 </w:t>
      </w:r>
      <w:r w:rsidR="00C06FA9">
        <w:rPr>
          <w:rFonts w:cs="Arial"/>
          <w:szCs w:val="20"/>
        </w:rPr>
        <w:t>is above that of a year ago (</w:t>
      </w:r>
      <w:r w:rsidR="00370EFE">
        <w:rPr>
          <w:rFonts w:cs="Arial"/>
          <w:szCs w:val="20"/>
        </w:rPr>
        <w:t>1.2</w:t>
      </w:r>
      <w:r w:rsidR="00AE07F6">
        <w:rPr>
          <w:rFonts w:cs="Arial"/>
          <w:szCs w:val="20"/>
        </w:rPr>
        <w:t xml:space="preserve">%) </w:t>
      </w:r>
      <w:r w:rsidRPr="000F3B39">
        <w:rPr>
          <w:rFonts w:cs="Arial"/>
          <w:szCs w:val="20"/>
        </w:rPr>
        <w:t xml:space="preserve">and </w:t>
      </w:r>
      <w:r w:rsidR="005A049B">
        <w:rPr>
          <w:rFonts w:cs="Arial"/>
          <w:szCs w:val="20"/>
        </w:rPr>
        <w:t xml:space="preserve">well </w:t>
      </w:r>
      <w:r w:rsidRPr="000F3B39">
        <w:rPr>
          <w:rFonts w:cs="Arial"/>
          <w:szCs w:val="20"/>
        </w:rPr>
        <w:t>below the l</w:t>
      </w:r>
      <w:r>
        <w:rPr>
          <w:rFonts w:cs="Arial"/>
          <w:szCs w:val="20"/>
        </w:rPr>
        <w:t>on</w:t>
      </w:r>
      <w:r w:rsidR="00F03559">
        <w:rPr>
          <w:rFonts w:cs="Arial"/>
          <w:szCs w:val="20"/>
        </w:rPr>
        <w:t xml:space="preserve">g term average increase of </w:t>
      </w:r>
      <w:r w:rsidR="00370EFE">
        <w:rPr>
          <w:rFonts w:cs="Arial"/>
          <w:szCs w:val="20"/>
        </w:rPr>
        <w:t>4.2</w:t>
      </w:r>
      <w:r w:rsidRPr="000F3B39">
        <w:rPr>
          <w:rFonts w:cs="Arial"/>
          <w:szCs w:val="20"/>
        </w:rPr>
        <w:t xml:space="preserve"> per cent. </w:t>
      </w:r>
      <w:r w:rsidR="006573CE">
        <w:rPr>
          <w:rFonts w:cs="Arial"/>
          <w:szCs w:val="20"/>
        </w:rPr>
        <w:t xml:space="preserve">The annual change in the RRI has remained below the long term average since the </w:t>
      </w:r>
      <w:r w:rsidR="004B57AE">
        <w:rPr>
          <w:rFonts w:cs="Arial"/>
          <w:szCs w:val="20"/>
        </w:rPr>
        <w:t>December</w:t>
      </w:r>
      <w:r w:rsidR="006573CE">
        <w:rPr>
          <w:rFonts w:cs="Arial"/>
          <w:szCs w:val="20"/>
        </w:rPr>
        <w:t xml:space="preserve"> quarter of 2012.</w:t>
      </w:r>
    </w:p>
    <w:p w:rsidR="00AD4E72" w:rsidRDefault="00AD4E72" w:rsidP="00706644">
      <w:pPr>
        <w:rPr>
          <w:rFonts w:cs="Arial"/>
          <w:szCs w:val="20"/>
        </w:rPr>
      </w:pPr>
    </w:p>
    <w:p w:rsidR="00AD4E72" w:rsidRPr="000F3B39" w:rsidRDefault="00AD4E72" w:rsidP="00706644">
      <w:pPr>
        <w:rPr>
          <w:rFonts w:cs="Arial"/>
          <w:szCs w:val="20"/>
        </w:rPr>
      </w:pPr>
      <w:r w:rsidRPr="00AD4E72">
        <w:rPr>
          <w:rFonts w:cs="Arial"/>
          <w:szCs w:val="20"/>
        </w:rPr>
        <w:t xml:space="preserve">In the </w:t>
      </w:r>
      <w:r w:rsidR="004B57AE">
        <w:rPr>
          <w:rFonts w:cs="Arial"/>
          <w:szCs w:val="20"/>
        </w:rPr>
        <w:t>December</w:t>
      </w:r>
      <w:r w:rsidRPr="00AD4E72">
        <w:rPr>
          <w:rFonts w:cs="Arial"/>
          <w:szCs w:val="20"/>
        </w:rPr>
        <w:t xml:space="preserve"> quarter, </w:t>
      </w:r>
      <w:r>
        <w:rPr>
          <w:rFonts w:cs="Arial"/>
          <w:szCs w:val="20"/>
        </w:rPr>
        <w:t>the RRI</w:t>
      </w:r>
      <w:r w:rsidRPr="00AD4E72">
        <w:rPr>
          <w:rFonts w:cs="Arial"/>
          <w:szCs w:val="20"/>
        </w:rPr>
        <w:t xml:space="preserve"> </w:t>
      </w:r>
      <w:r w:rsidR="00370EFE">
        <w:rPr>
          <w:rFonts w:cs="Arial"/>
          <w:szCs w:val="20"/>
        </w:rPr>
        <w:t>increased by 0.1</w:t>
      </w:r>
      <w:r>
        <w:rPr>
          <w:rFonts w:cs="Arial"/>
          <w:szCs w:val="20"/>
        </w:rPr>
        <w:t xml:space="preserve"> per cent</w:t>
      </w:r>
      <w:r w:rsidRPr="00AD4E72">
        <w:rPr>
          <w:rFonts w:cs="Arial"/>
          <w:szCs w:val="20"/>
        </w:rPr>
        <w:t xml:space="preserve"> over the previous quarter</w:t>
      </w:r>
      <w:r>
        <w:rPr>
          <w:rFonts w:cs="Arial"/>
          <w:szCs w:val="20"/>
        </w:rPr>
        <w:t xml:space="preserve"> compared with </w:t>
      </w:r>
      <w:r w:rsidR="00AF4A0D">
        <w:rPr>
          <w:rFonts w:cs="Arial"/>
          <w:szCs w:val="20"/>
        </w:rPr>
        <w:t xml:space="preserve">a </w:t>
      </w:r>
      <w:r w:rsidR="00370EFE">
        <w:rPr>
          <w:rFonts w:cs="Arial"/>
          <w:szCs w:val="20"/>
        </w:rPr>
        <w:t>1.2</w:t>
      </w:r>
      <w:r w:rsidR="006573CE">
        <w:rPr>
          <w:rFonts w:cs="Arial"/>
          <w:szCs w:val="20"/>
        </w:rPr>
        <w:t xml:space="preserve"> per cent</w:t>
      </w:r>
      <w:r w:rsidR="001F4C47">
        <w:rPr>
          <w:rFonts w:cs="Arial"/>
          <w:szCs w:val="20"/>
        </w:rPr>
        <w:t xml:space="preserve"> in</w:t>
      </w:r>
      <w:r>
        <w:rPr>
          <w:rFonts w:cs="Arial"/>
          <w:szCs w:val="20"/>
        </w:rPr>
        <w:t>crea</w:t>
      </w:r>
      <w:r w:rsidR="00C06FA9">
        <w:rPr>
          <w:rFonts w:cs="Arial"/>
          <w:szCs w:val="20"/>
        </w:rPr>
        <w:t>se in the last</w:t>
      </w:r>
      <w:r w:rsidR="00370EFE">
        <w:rPr>
          <w:rFonts w:cs="Arial"/>
          <w:szCs w:val="20"/>
        </w:rPr>
        <w:t xml:space="preserve"> quarter and </w:t>
      </w:r>
      <w:r w:rsidR="001F4C47">
        <w:rPr>
          <w:rFonts w:cs="Arial"/>
          <w:szCs w:val="20"/>
        </w:rPr>
        <w:t>no change</w:t>
      </w:r>
      <w:r>
        <w:rPr>
          <w:rFonts w:cs="Arial"/>
          <w:szCs w:val="20"/>
        </w:rPr>
        <w:t xml:space="preserve"> in the</w:t>
      </w:r>
      <w:r w:rsidRPr="00AD4E72">
        <w:rPr>
          <w:rFonts w:cs="Arial"/>
          <w:szCs w:val="20"/>
        </w:rPr>
        <w:t xml:space="preserve"> </w:t>
      </w:r>
      <w:r w:rsidR="004B57AE">
        <w:rPr>
          <w:rFonts w:cs="Arial"/>
          <w:szCs w:val="20"/>
        </w:rPr>
        <w:t>December</w:t>
      </w:r>
      <w:r w:rsidRPr="00AD4E72">
        <w:rPr>
          <w:rFonts w:cs="Arial"/>
          <w:szCs w:val="20"/>
        </w:rPr>
        <w:t xml:space="preserve"> quarter last</w:t>
      </w:r>
      <w:r>
        <w:rPr>
          <w:rFonts w:cs="Arial"/>
          <w:szCs w:val="20"/>
        </w:rPr>
        <w:t xml:space="preserve"> year</w:t>
      </w:r>
      <w:r w:rsidRPr="00AD4E72">
        <w:rPr>
          <w:rFonts w:cs="Arial"/>
          <w:szCs w:val="20"/>
        </w:rPr>
        <w:t>.</w:t>
      </w:r>
    </w:p>
    <w:p w:rsidR="0047763C" w:rsidRPr="00C823FC" w:rsidRDefault="0047763C" w:rsidP="005A1E70">
      <w:pPr>
        <w:pStyle w:val="DHSheadingB"/>
        <w:rPr>
          <w:rFonts w:cs="Arial"/>
        </w:rPr>
      </w:pPr>
      <w:r w:rsidRPr="00C823FC">
        <w:rPr>
          <w:rFonts w:cs="Arial"/>
        </w:rPr>
        <w:t>Median rents by region</w:t>
      </w:r>
    </w:p>
    <w:p w:rsidR="0047763C" w:rsidRPr="000F3B39" w:rsidRDefault="0047763C" w:rsidP="0099180B">
      <w:pPr>
        <w:rPr>
          <w:rFonts w:cs="Arial"/>
          <w:szCs w:val="20"/>
        </w:rPr>
      </w:pPr>
      <w:r w:rsidRPr="000F3B39">
        <w:rPr>
          <w:rFonts w:cs="Arial"/>
          <w:szCs w:val="20"/>
        </w:rPr>
        <w:t xml:space="preserve">Table 2 shows the median rents for new lettings in the </w:t>
      </w:r>
      <w:r w:rsidR="004B57AE">
        <w:rPr>
          <w:rFonts w:cs="Arial"/>
          <w:szCs w:val="20"/>
        </w:rPr>
        <w:t>December</w:t>
      </w:r>
      <w:r w:rsidRPr="000F3B39">
        <w:rPr>
          <w:rFonts w:cs="Arial"/>
          <w:szCs w:val="20"/>
        </w:rPr>
        <w:t xml:space="preserve"> quarter for 14 statistical regions</w:t>
      </w:r>
      <w:r>
        <w:rPr>
          <w:rFonts w:cs="Arial"/>
          <w:szCs w:val="20"/>
        </w:rPr>
        <w:t xml:space="preserve"> in Victoria (9 in metropolitan Melbourne and 5 in regional Victoria)</w:t>
      </w:r>
      <w:r w:rsidRPr="000F3B39">
        <w:rPr>
          <w:rFonts w:cs="Arial"/>
          <w:szCs w:val="20"/>
        </w:rPr>
        <w:t xml:space="preserve">. </w:t>
      </w:r>
    </w:p>
    <w:p w:rsidR="0047763C" w:rsidRPr="000F3B39" w:rsidRDefault="0047763C" w:rsidP="0099180B">
      <w:pPr>
        <w:rPr>
          <w:rFonts w:cs="Arial"/>
          <w:szCs w:val="20"/>
        </w:rPr>
      </w:pPr>
    </w:p>
    <w:p w:rsidR="00DB32F9" w:rsidRDefault="0047763C" w:rsidP="0099180B">
      <w:pPr>
        <w:rPr>
          <w:rFonts w:cs="Arial"/>
          <w:szCs w:val="20"/>
        </w:rPr>
      </w:pPr>
      <w:r>
        <w:rPr>
          <w:rFonts w:cs="Arial"/>
          <w:szCs w:val="20"/>
        </w:rPr>
        <w:t>In metropolitan Melbourne, m</w:t>
      </w:r>
      <w:r w:rsidR="00360DEE">
        <w:rPr>
          <w:rFonts w:cs="Arial"/>
          <w:szCs w:val="20"/>
        </w:rPr>
        <w:t>edia</w:t>
      </w:r>
      <w:r w:rsidR="00C06FA9">
        <w:rPr>
          <w:rFonts w:cs="Arial"/>
          <w:szCs w:val="20"/>
        </w:rPr>
        <w:t>n rents ranged from $34</w:t>
      </w:r>
      <w:r w:rsidRPr="000F3B39">
        <w:rPr>
          <w:rFonts w:cs="Arial"/>
          <w:szCs w:val="20"/>
        </w:rPr>
        <w:t xml:space="preserve">0 per week for </w:t>
      </w:r>
      <w:r w:rsidR="00EF5182" w:rsidRPr="000F3B39">
        <w:rPr>
          <w:rFonts w:cs="Arial"/>
          <w:szCs w:val="20"/>
        </w:rPr>
        <w:t>Western Melbourne</w:t>
      </w:r>
      <w:r w:rsidR="00021886">
        <w:rPr>
          <w:rFonts w:cs="Arial"/>
          <w:szCs w:val="20"/>
        </w:rPr>
        <w:t xml:space="preserve"> </w:t>
      </w:r>
      <w:r w:rsidRPr="00C06FA9">
        <w:rPr>
          <w:rFonts w:cs="Arial"/>
          <w:szCs w:val="22"/>
        </w:rPr>
        <w:t>to $</w:t>
      </w:r>
      <w:r w:rsidR="00021886">
        <w:rPr>
          <w:rFonts w:cs="Arial"/>
          <w:szCs w:val="22"/>
        </w:rPr>
        <w:t>43</w:t>
      </w:r>
      <w:r w:rsidR="00C06FA9">
        <w:rPr>
          <w:rFonts w:cs="Arial"/>
          <w:szCs w:val="22"/>
        </w:rPr>
        <w:t>5</w:t>
      </w:r>
      <w:r w:rsidRPr="00C06FA9">
        <w:rPr>
          <w:rFonts w:cs="Arial"/>
          <w:szCs w:val="22"/>
        </w:rPr>
        <w:t xml:space="preserve"> for Inner Melbourne. In regional Victo</w:t>
      </w:r>
      <w:r w:rsidR="00360DEE" w:rsidRPr="00C06FA9">
        <w:rPr>
          <w:rFonts w:cs="Arial"/>
          <w:szCs w:val="22"/>
        </w:rPr>
        <w:t>ria</w:t>
      </w:r>
      <w:r w:rsidR="00360DEE">
        <w:rPr>
          <w:rFonts w:cs="Arial"/>
          <w:szCs w:val="20"/>
        </w:rPr>
        <w:t xml:space="preserve"> median rents ranged from $26</w:t>
      </w:r>
      <w:r w:rsidRPr="000F3B39">
        <w:rPr>
          <w:rFonts w:cs="Arial"/>
          <w:szCs w:val="20"/>
        </w:rPr>
        <w:t>0 per week for</w:t>
      </w:r>
      <w:r w:rsidR="00360DEE">
        <w:rPr>
          <w:rFonts w:cs="Arial"/>
          <w:szCs w:val="20"/>
        </w:rPr>
        <w:t xml:space="preserve"> </w:t>
      </w:r>
      <w:r w:rsidR="00C06FA9">
        <w:rPr>
          <w:rFonts w:cs="Arial"/>
          <w:szCs w:val="20"/>
        </w:rPr>
        <w:t>Gippsland</w:t>
      </w:r>
      <w:r w:rsidRPr="000F3B39">
        <w:rPr>
          <w:rFonts w:cs="Arial"/>
          <w:szCs w:val="20"/>
        </w:rPr>
        <w:t xml:space="preserve"> </w:t>
      </w:r>
      <w:r w:rsidR="00F03559">
        <w:rPr>
          <w:rFonts w:cs="Arial"/>
          <w:szCs w:val="20"/>
        </w:rPr>
        <w:t>to $</w:t>
      </w:r>
      <w:r w:rsidR="00360DEE">
        <w:rPr>
          <w:rFonts w:cs="Arial"/>
          <w:szCs w:val="20"/>
        </w:rPr>
        <w:t>300</w:t>
      </w:r>
      <w:r w:rsidRPr="000F3B39">
        <w:rPr>
          <w:rFonts w:cs="Arial"/>
          <w:szCs w:val="20"/>
        </w:rPr>
        <w:t xml:space="preserve"> per week for Barwon-South West.</w:t>
      </w:r>
      <w:r w:rsidR="00DB32F9">
        <w:rPr>
          <w:rFonts w:cs="Arial"/>
          <w:szCs w:val="20"/>
        </w:rPr>
        <w:t xml:space="preserve"> </w:t>
      </w:r>
    </w:p>
    <w:p w:rsidR="00DB32F9" w:rsidRDefault="00DB32F9" w:rsidP="0099180B">
      <w:pPr>
        <w:rPr>
          <w:rFonts w:cs="Arial"/>
          <w:szCs w:val="20"/>
        </w:rPr>
      </w:pPr>
    </w:p>
    <w:p w:rsidR="0047763C" w:rsidRPr="000F3B39" w:rsidRDefault="00DB32F9" w:rsidP="0099180B">
      <w:pPr>
        <w:rPr>
          <w:rFonts w:cs="Arial"/>
          <w:szCs w:val="20"/>
        </w:rPr>
      </w:pPr>
      <w:r>
        <w:rPr>
          <w:rFonts w:cs="Arial"/>
          <w:szCs w:val="20"/>
        </w:rPr>
        <w:t xml:space="preserve">In the </w:t>
      </w:r>
      <w:r w:rsidR="004B57AE">
        <w:rPr>
          <w:rFonts w:cs="Arial"/>
          <w:szCs w:val="20"/>
        </w:rPr>
        <w:t>December</w:t>
      </w:r>
      <w:r w:rsidR="00021886">
        <w:rPr>
          <w:rFonts w:cs="Arial"/>
          <w:szCs w:val="20"/>
        </w:rPr>
        <w:t xml:space="preserve"> quarter,</w:t>
      </w:r>
      <w:r>
        <w:rPr>
          <w:rFonts w:cs="Arial"/>
          <w:szCs w:val="20"/>
        </w:rPr>
        <w:t xml:space="preserve"> the</w:t>
      </w:r>
      <w:r w:rsidR="00D41879">
        <w:rPr>
          <w:rFonts w:cs="Arial"/>
          <w:szCs w:val="20"/>
        </w:rPr>
        <w:t xml:space="preserve"> median rent </w:t>
      </w:r>
      <w:r w:rsidR="00021886">
        <w:rPr>
          <w:rFonts w:cs="Arial"/>
          <w:szCs w:val="20"/>
        </w:rPr>
        <w:t xml:space="preserve">in Metropolitan Melbourne </w:t>
      </w:r>
      <w:r w:rsidR="00AF4A0D">
        <w:rPr>
          <w:rFonts w:cs="Arial"/>
          <w:szCs w:val="20"/>
        </w:rPr>
        <w:t>incr</w:t>
      </w:r>
      <w:r w:rsidR="00B42E1C">
        <w:rPr>
          <w:rFonts w:cs="Arial"/>
          <w:szCs w:val="20"/>
        </w:rPr>
        <w:t>eased in</w:t>
      </w:r>
      <w:r w:rsidR="00C06FA9">
        <w:rPr>
          <w:rFonts w:cs="Arial"/>
          <w:szCs w:val="20"/>
        </w:rPr>
        <w:t xml:space="preserve"> </w:t>
      </w:r>
      <w:r w:rsidR="00021886">
        <w:rPr>
          <w:rFonts w:cs="Arial"/>
          <w:szCs w:val="20"/>
        </w:rPr>
        <w:t>North Western Melbourne (2.9%), Mornington Peninsula (2.9%),</w:t>
      </w:r>
      <w:r w:rsidR="00021886" w:rsidRPr="00021886">
        <w:rPr>
          <w:rFonts w:cs="Arial"/>
          <w:szCs w:val="20"/>
        </w:rPr>
        <w:t xml:space="preserve"> </w:t>
      </w:r>
      <w:r w:rsidR="00021886">
        <w:rPr>
          <w:rFonts w:cs="Arial"/>
          <w:szCs w:val="20"/>
        </w:rPr>
        <w:t xml:space="preserve">Southern Melbourne (2.4%), South Eastern Melbourne (1.8%) and Inner Eastern Melbourne (1.2%). </w:t>
      </w:r>
      <w:r w:rsidR="00C06FA9">
        <w:rPr>
          <w:rFonts w:cs="Arial"/>
          <w:szCs w:val="20"/>
        </w:rPr>
        <w:t>It remained steady in</w:t>
      </w:r>
      <w:r w:rsidR="008F49F2">
        <w:rPr>
          <w:rFonts w:cs="Arial"/>
          <w:szCs w:val="20"/>
        </w:rPr>
        <w:t xml:space="preserve"> </w:t>
      </w:r>
      <w:r w:rsidR="00021886">
        <w:rPr>
          <w:rFonts w:cs="Arial"/>
          <w:szCs w:val="20"/>
        </w:rPr>
        <w:t>Western Melbourne,</w:t>
      </w:r>
      <w:r w:rsidR="00021886" w:rsidRPr="00021886">
        <w:rPr>
          <w:rFonts w:cs="Arial"/>
          <w:szCs w:val="20"/>
        </w:rPr>
        <w:t xml:space="preserve"> </w:t>
      </w:r>
      <w:r w:rsidR="00021886">
        <w:rPr>
          <w:rFonts w:cs="Arial"/>
          <w:szCs w:val="20"/>
        </w:rPr>
        <w:t xml:space="preserve">North Eastern Melbourne </w:t>
      </w:r>
      <w:r w:rsidR="0067463B">
        <w:rPr>
          <w:rFonts w:cs="Arial"/>
          <w:szCs w:val="20"/>
        </w:rPr>
        <w:t>and</w:t>
      </w:r>
      <w:r w:rsidR="00021886">
        <w:rPr>
          <w:rFonts w:cs="Arial"/>
          <w:szCs w:val="20"/>
        </w:rPr>
        <w:t xml:space="preserve"> Outer Eastern Melbourne</w:t>
      </w:r>
      <w:r w:rsidR="0067463B">
        <w:rPr>
          <w:rFonts w:cs="Arial"/>
          <w:szCs w:val="20"/>
        </w:rPr>
        <w:t xml:space="preserve">. </w:t>
      </w:r>
      <w:r w:rsidR="00081281">
        <w:rPr>
          <w:rFonts w:cs="Arial"/>
          <w:szCs w:val="20"/>
        </w:rPr>
        <w:t xml:space="preserve">It </w:t>
      </w:r>
      <w:r w:rsidR="00D41879">
        <w:rPr>
          <w:rFonts w:cs="Arial"/>
          <w:szCs w:val="20"/>
        </w:rPr>
        <w:t xml:space="preserve">decreased in </w:t>
      </w:r>
      <w:r w:rsidR="00021886">
        <w:rPr>
          <w:rFonts w:cs="Arial"/>
          <w:szCs w:val="20"/>
        </w:rPr>
        <w:t>Inner Melbourne (-1.4</w:t>
      </w:r>
      <w:r w:rsidR="00C06FA9">
        <w:rPr>
          <w:rFonts w:cs="Arial"/>
          <w:szCs w:val="20"/>
        </w:rPr>
        <w:t>%)</w:t>
      </w:r>
      <w:r w:rsidR="00AF4A0D">
        <w:rPr>
          <w:rFonts w:cs="Arial"/>
          <w:szCs w:val="20"/>
        </w:rPr>
        <w:t>.</w:t>
      </w:r>
      <w:r w:rsidR="00081281">
        <w:rPr>
          <w:rFonts w:cs="Arial"/>
          <w:szCs w:val="20"/>
        </w:rPr>
        <w:t xml:space="preserve"> In regional Victoria</w:t>
      </w:r>
      <w:r w:rsidR="00360DEE">
        <w:rPr>
          <w:rFonts w:cs="Arial"/>
          <w:szCs w:val="20"/>
        </w:rPr>
        <w:t xml:space="preserve"> </w:t>
      </w:r>
      <w:r w:rsidR="00EF5182">
        <w:rPr>
          <w:rFonts w:cs="Arial"/>
          <w:szCs w:val="20"/>
        </w:rPr>
        <w:t xml:space="preserve">the </w:t>
      </w:r>
      <w:r w:rsidR="00360DEE">
        <w:rPr>
          <w:rFonts w:cs="Arial"/>
          <w:szCs w:val="20"/>
        </w:rPr>
        <w:t xml:space="preserve">median rent </w:t>
      </w:r>
      <w:r w:rsidR="003A00A1">
        <w:rPr>
          <w:rFonts w:cs="Arial"/>
          <w:szCs w:val="20"/>
        </w:rPr>
        <w:t xml:space="preserve">increased in </w:t>
      </w:r>
      <w:r w:rsidR="00021886" w:rsidRPr="00D41879">
        <w:t>Loddon-Mallee</w:t>
      </w:r>
      <w:r w:rsidR="00021886">
        <w:t xml:space="preserve"> (3.7%), </w:t>
      </w:r>
      <w:r w:rsidR="00021886" w:rsidRPr="001010FF">
        <w:rPr>
          <w:rFonts w:cs="Arial"/>
          <w:szCs w:val="20"/>
        </w:rPr>
        <w:t>Central Highlands-</w:t>
      </w:r>
      <w:r w:rsidR="00021886">
        <w:t xml:space="preserve">Wimmera (2.3%) and </w:t>
      </w:r>
      <w:r w:rsidR="003A00A1">
        <w:t xml:space="preserve">Goulburn-Ovens-Murray (1.9%) and </w:t>
      </w:r>
      <w:r w:rsidR="00081281">
        <w:t xml:space="preserve">remained steady in </w:t>
      </w:r>
      <w:r w:rsidR="00081281" w:rsidRPr="001010FF">
        <w:t>Barwon-South West</w:t>
      </w:r>
      <w:r w:rsidR="00021886">
        <w:t xml:space="preserve"> and </w:t>
      </w:r>
      <w:r w:rsidR="00021886">
        <w:rPr>
          <w:rFonts w:cs="Arial"/>
          <w:szCs w:val="20"/>
        </w:rPr>
        <w:t>Gippsland</w:t>
      </w:r>
      <w:r w:rsidR="00B42E1C">
        <w:t>.</w:t>
      </w:r>
    </w:p>
    <w:p w:rsidR="0047763C" w:rsidRPr="000F3B39" w:rsidRDefault="0047763C" w:rsidP="0099180B">
      <w:pPr>
        <w:rPr>
          <w:rFonts w:cs="Arial"/>
          <w:szCs w:val="20"/>
        </w:rPr>
      </w:pPr>
    </w:p>
    <w:p w:rsidR="0047763C" w:rsidRPr="006C165F" w:rsidRDefault="0047763C" w:rsidP="0059106A">
      <w:pPr>
        <w:pStyle w:val="DHSheadingD"/>
        <w:rPr>
          <w:rFonts w:cs="Arial"/>
          <w:lang w:val="en-US"/>
        </w:rPr>
      </w:pPr>
      <w:r w:rsidRPr="00706644">
        <w:rPr>
          <w:rFonts w:cs="Arial"/>
          <w:lang w:val="en-US"/>
        </w:rPr>
        <w:t xml:space="preserve">Table 2: </w:t>
      </w:r>
      <w:r w:rsidR="00580EEA">
        <w:rPr>
          <w:rFonts w:cs="Arial"/>
          <w:lang w:val="en-US"/>
        </w:rPr>
        <w:t>Dec</w:t>
      </w:r>
      <w:r w:rsidR="00D728F5">
        <w:rPr>
          <w:rFonts w:cs="Arial"/>
          <w:lang w:val="en-US"/>
        </w:rPr>
        <w:t>ember</w:t>
      </w:r>
      <w:r>
        <w:rPr>
          <w:rFonts w:cs="Arial"/>
          <w:lang w:val="en-US"/>
        </w:rPr>
        <w:t xml:space="preserve"> quarter m</w:t>
      </w:r>
      <w:r w:rsidRPr="00706644">
        <w:rPr>
          <w:rFonts w:cs="Arial"/>
          <w:lang w:val="en-US"/>
        </w:rPr>
        <w:t>ed</w:t>
      </w:r>
      <w:r w:rsidR="006C165F">
        <w:rPr>
          <w:rFonts w:cs="Arial"/>
          <w:lang w:val="en-US"/>
        </w:rPr>
        <w:t>ian rents by statistical region</w:t>
      </w:r>
    </w:p>
    <w:tbl>
      <w:tblPr>
        <w:tblW w:w="10170"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376"/>
        <w:gridCol w:w="2469"/>
        <w:gridCol w:w="2523"/>
      </w:tblGrid>
      <w:tr w:rsidR="0047763C" w:rsidRPr="002E1555" w:rsidTr="00DF3BA6">
        <w:trPr>
          <w:trHeight w:hRule="exact" w:val="340"/>
        </w:trPr>
        <w:tc>
          <w:tcPr>
            <w:tcW w:w="2802" w:type="dxa"/>
            <w:tcBorders>
              <w:top w:val="single" w:sz="18" w:space="0" w:color="9DAECB"/>
              <w:bottom w:val="single" w:sz="12" w:space="0" w:color="9DAECB"/>
            </w:tcBorders>
          </w:tcPr>
          <w:p w:rsidR="0047763C" w:rsidRPr="00C95655" w:rsidRDefault="0047763C" w:rsidP="00405B10">
            <w:pPr>
              <w:pStyle w:val="DHSbodycopytable"/>
              <w:rPr>
                <w:rFonts w:cs="Arial"/>
                <w:b/>
                <w:bCs/>
                <w:sz w:val="20"/>
              </w:rPr>
            </w:pPr>
            <w:r w:rsidRPr="00C95655">
              <w:rPr>
                <w:rFonts w:cs="Arial"/>
                <w:b/>
                <w:bCs/>
                <w:sz w:val="20"/>
              </w:rPr>
              <w:t>Region</w:t>
            </w:r>
          </w:p>
        </w:tc>
        <w:tc>
          <w:tcPr>
            <w:tcW w:w="2376" w:type="dxa"/>
            <w:tcBorders>
              <w:top w:val="single" w:sz="18" w:space="0" w:color="9DAECB"/>
              <w:bottom w:val="single" w:sz="12" w:space="0" w:color="9DAECB"/>
            </w:tcBorders>
            <w:shd w:val="clear" w:color="auto" w:fill="DEE4EE"/>
            <w:vAlign w:val="center"/>
          </w:tcPr>
          <w:p w:rsidR="0047763C" w:rsidRPr="00C95655" w:rsidRDefault="0047763C" w:rsidP="00C95655">
            <w:pPr>
              <w:pStyle w:val="DHSbodycopytable"/>
              <w:jc w:val="center"/>
              <w:rPr>
                <w:rFonts w:cs="Arial"/>
                <w:b/>
                <w:bCs/>
                <w:sz w:val="20"/>
              </w:rPr>
            </w:pPr>
            <w:r w:rsidRPr="00C95655">
              <w:rPr>
                <w:rFonts w:cs="Arial"/>
                <w:b/>
                <w:bCs/>
                <w:sz w:val="20"/>
              </w:rPr>
              <w:t>Median Rent</w:t>
            </w:r>
          </w:p>
        </w:tc>
        <w:tc>
          <w:tcPr>
            <w:tcW w:w="2469" w:type="dxa"/>
            <w:tcBorders>
              <w:top w:val="single" w:sz="18" w:space="0" w:color="9DAECB"/>
              <w:bottom w:val="single" w:sz="12" w:space="0" w:color="9DAECB"/>
            </w:tcBorders>
            <w:vAlign w:val="center"/>
          </w:tcPr>
          <w:p w:rsidR="0047763C" w:rsidRPr="00C95655" w:rsidRDefault="0047763C" w:rsidP="00C95655">
            <w:pPr>
              <w:pStyle w:val="DHSbodycopytable"/>
              <w:jc w:val="center"/>
              <w:rPr>
                <w:rFonts w:cs="Arial"/>
                <w:b/>
                <w:bCs/>
                <w:sz w:val="20"/>
              </w:rPr>
            </w:pPr>
            <w:r w:rsidRPr="00C95655">
              <w:rPr>
                <w:rFonts w:cs="Arial"/>
                <w:b/>
                <w:bCs/>
                <w:sz w:val="20"/>
              </w:rPr>
              <w:t>Quarterly Change</w:t>
            </w:r>
            <w:r w:rsidR="00276F9E">
              <w:rPr>
                <w:rFonts w:cs="Arial"/>
                <w:b/>
                <w:bCs/>
                <w:sz w:val="20"/>
              </w:rPr>
              <w:t>*</w:t>
            </w:r>
          </w:p>
        </w:tc>
        <w:tc>
          <w:tcPr>
            <w:tcW w:w="2523" w:type="dxa"/>
            <w:tcBorders>
              <w:top w:val="single" w:sz="18" w:space="0" w:color="9DAECB"/>
              <w:bottom w:val="single" w:sz="12" w:space="0" w:color="9DAECB"/>
            </w:tcBorders>
            <w:shd w:val="clear" w:color="auto" w:fill="DEE4EE"/>
            <w:vAlign w:val="center"/>
          </w:tcPr>
          <w:p w:rsidR="0047763C" w:rsidRPr="00C95655" w:rsidRDefault="0047763C" w:rsidP="00C95655">
            <w:pPr>
              <w:pStyle w:val="DHSbodycopytable"/>
              <w:jc w:val="center"/>
              <w:rPr>
                <w:rFonts w:cs="Arial"/>
                <w:b/>
                <w:bCs/>
                <w:sz w:val="20"/>
              </w:rPr>
            </w:pPr>
            <w:r w:rsidRPr="00C95655">
              <w:rPr>
                <w:rFonts w:cs="Arial"/>
                <w:b/>
                <w:bCs/>
                <w:sz w:val="20"/>
              </w:rPr>
              <w:t>Annual Change</w:t>
            </w:r>
            <w:r w:rsidR="00276F9E">
              <w:rPr>
                <w:rFonts w:cs="Arial"/>
                <w:b/>
                <w:bCs/>
                <w:sz w:val="20"/>
              </w:rPr>
              <w:t>*</w:t>
            </w:r>
          </w:p>
        </w:tc>
      </w:tr>
      <w:tr w:rsidR="0047763C" w:rsidRPr="002E1555" w:rsidTr="00DF3BA6">
        <w:trPr>
          <w:trHeight w:hRule="exact" w:val="454"/>
        </w:trPr>
        <w:tc>
          <w:tcPr>
            <w:tcW w:w="2802" w:type="dxa"/>
            <w:tcBorders>
              <w:top w:val="single" w:sz="12" w:space="0" w:color="9DAECB"/>
              <w:bottom w:val="single" w:sz="12" w:space="0" w:color="9DAECB"/>
            </w:tcBorders>
            <w:vAlign w:val="bottom"/>
          </w:tcPr>
          <w:p w:rsidR="0047763C" w:rsidRPr="00C95655" w:rsidRDefault="0047763C" w:rsidP="00C95655">
            <w:pPr>
              <w:pStyle w:val="DHSbodycopytable"/>
              <w:spacing w:after="0"/>
              <w:rPr>
                <w:rFonts w:cs="Arial"/>
                <w:b/>
                <w:sz w:val="20"/>
              </w:rPr>
            </w:pPr>
            <w:r w:rsidRPr="00C95655">
              <w:rPr>
                <w:rFonts w:cs="Arial"/>
                <w:b/>
                <w:sz w:val="20"/>
              </w:rPr>
              <w:t>Metropolitan Melbourne</w:t>
            </w:r>
          </w:p>
        </w:tc>
        <w:tc>
          <w:tcPr>
            <w:tcW w:w="2376" w:type="dxa"/>
            <w:tcBorders>
              <w:top w:val="single" w:sz="12" w:space="0" w:color="9DAECB"/>
              <w:bottom w:val="single" w:sz="12" w:space="0" w:color="9DAECB"/>
            </w:tcBorders>
            <w:shd w:val="clear" w:color="auto" w:fill="DEE4EE"/>
            <w:vAlign w:val="bottom"/>
          </w:tcPr>
          <w:p w:rsidR="0047763C" w:rsidRPr="00C95655" w:rsidRDefault="0047763C" w:rsidP="00C95655">
            <w:pPr>
              <w:pStyle w:val="DHSbodycopytable"/>
              <w:spacing w:after="0"/>
              <w:rPr>
                <w:rFonts w:cs="Arial"/>
                <w:sz w:val="20"/>
              </w:rPr>
            </w:pPr>
          </w:p>
        </w:tc>
        <w:tc>
          <w:tcPr>
            <w:tcW w:w="2469" w:type="dxa"/>
            <w:tcBorders>
              <w:top w:val="single" w:sz="12" w:space="0" w:color="9DAECB"/>
              <w:bottom w:val="single" w:sz="12" w:space="0" w:color="9DAECB"/>
            </w:tcBorders>
            <w:vAlign w:val="bottom"/>
          </w:tcPr>
          <w:p w:rsidR="0047763C" w:rsidRPr="00C95655" w:rsidRDefault="0047763C" w:rsidP="00C95655">
            <w:pPr>
              <w:pStyle w:val="DHSbodycopytable"/>
              <w:spacing w:after="0"/>
              <w:rPr>
                <w:rFonts w:cs="Arial"/>
                <w:sz w:val="20"/>
              </w:rPr>
            </w:pPr>
          </w:p>
        </w:tc>
        <w:tc>
          <w:tcPr>
            <w:tcW w:w="2523" w:type="dxa"/>
            <w:tcBorders>
              <w:top w:val="single" w:sz="12" w:space="0" w:color="9DAECB"/>
              <w:bottom w:val="single" w:sz="12" w:space="0" w:color="9DAECB"/>
            </w:tcBorders>
            <w:shd w:val="clear" w:color="auto" w:fill="DEE4EE"/>
            <w:vAlign w:val="bottom"/>
          </w:tcPr>
          <w:p w:rsidR="0047763C" w:rsidRPr="00C95655" w:rsidRDefault="0047763C" w:rsidP="00C95655">
            <w:pPr>
              <w:pStyle w:val="DHSbodycopytable"/>
              <w:spacing w:after="0"/>
              <w:rPr>
                <w:rFonts w:cs="Arial"/>
                <w:sz w:val="20"/>
              </w:rPr>
            </w:pPr>
          </w:p>
        </w:tc>
      </w:tr>
      <w:tr w:rsidR="00D724E8" w:rsidRPr="000051C5" w:rsidTr="005E5C54">
        <w:trPr>
          <w:trHeight w:hRule="exact" w:val="340"/>
        </w:trPr>
        <w:tc>
          <w:tcPr>
            <w:tcW w:w="2802" w:type="dxa"/>
            <w:tcBorders>
              <w:top w:val="single" w:sz="12" w:space="0" w:color="9DAECB"/>
            </w:tcBorders>
            <w:vAlign w:val="center"/>
          </w:tcPr>
          <w:p w:rsidR="00D724E8" w:rsidRPr="00C95655" w:rsidRDefault="00D724E8" w:rsidP="00C95655">
            <w:pPr>
              <w:pStyle w:val="DHSbodycopytable"/>
              <w:spacing w:after="0"/>
              <w:rPr>
                <w:rFonts w:cs="Arial"/>
                <w:sz w:val="20"/>
              </w:rPr>
            </w:pPr>
            <w:r w:rsidRPr="00C95655">
              <w:rPr>
                <w:rFonts w:cs="Arial"/>
                <w:sz w:val="20"/>
              </w:rPr>
              <w:t>Inner Melbourne</w:t>
            </w:r>
          </w:p>
        </w:tc>
        <w:tc>
          <w:tcPr>
            <w:tcW w:w="2376" w:type="dxa"/>
            <w:tcBorders>
              <w:top w:val="single" w:sz="12" w:space="0" w:color="9DAECB"/>
            </w:tcBorders>
            <w:shd w:val="clear" w:color="auto" w:fill="DEE4EE"/>
            <w:vAlign w:val="center"/>
          </w:tcPr>
          <w:p w:rsidR="00D724E8" w:rsidRPr="005E5C54" w:rsidRDefault="00D724E8" w:rsidP="005E5C54">
            <w:pPr>
              <w:jc w:val="center"/>
              <w:rPr>
                <w:sz w:val="20"/>
              </w:rPr>
            </w:pPr>
            <w:r w:rsidRPr="005E5C54">
              <w:rPr>
                <w:sz w:val="20"/>
              </w:rPr>
              <w:t>$435</w:t>
            </w:r>
          </w:p>
        </w:tc>
        <w:tc>
          <w:tcPr>
            <w:tcW w:w="2469" w:type="dxa"/>
            <w:tcBorders>
              <w:top w:val="single" w:sz="12" w:space="0" w:color="9DAECB"/>
            </w:tcBorders>
            <w:vAlign w:val="center"/>
          </w:tcPr>
          <w:p w:rsidR="00D724E8" w:rsidRPr="005E5C54" w:rsidRDefault="00D724E8" w:rsidP="005E5C54">
            <w:pPr>
              <w:jc w:val="center"/>
              <w:rPr>
                <w:sz w:val="20"/>
              </w:rPr>
            </w:pPr>
            <w:r w:rsidRPr="005E5C54">
              <w:rPr>
                <w:sz w:val="20"/>
              </w:rPr>
              <w:t>-1.4%</w:t>
            </w:r>
          </w:p>
        </w:tc>
        <w:tc>
          <w:tcPr>
            <w:tcW w:w="2523" w:type="dxa"/>
            <w:tcBorders>
              <w:top w:val="single" w:sz="12" w:space="0" w:color="9DAECB"/>
            </w:tcBorders>
            <w:shd w:val="clear" w:color="auto" w:fill="DEE4EE"/>
            <w:vAlign w:val="center"/>
          </w:tcPr>
          <w:p w:rsidR="00D724E8" w:rsidRPr="005E5C54" w:rsidRDefault="00D724E8" w:rsidP="005E5C54">
            <w:pPr>
              <w:jc w:val="center"/>
              <w:rPr>
                <w:sz w:val="20"/>
              </w:rPr>
            </w:pPr>
            <w:r w:rsidRPr="005E5C54">
              <w:rPr>
                <w:sz w:val="20"/>
              </w:rPr>
              <w:t>-1.1%</w:t>
            </w:r>
          </w:p>
        </w:tc>
      </w:tr>
      <w:tr w:rsidR="00D724E8" w:rsidRPr="000051C5" w:rsidTr="005E5C54">
        <w:trPr>
          <w:trHeight w:hRule="exact" w:val="340"/>
        </w:trPr>
        <w:tc>
          <w:tcPr>
            <w:tcW w:w="2802" w:type="dxa"/>
            <w:vAlign w:val="center"/>
          </w:tcPr>
          <w:p w:rsidR="00D724E8" w:rsidRPr="00C95655" w:rsidRDefault="00D724E8" w:rsidP="00C95655">
            <w:pPr>
              <w:pStyle w:val="DHSbodycopytable"/>
              <w:spacing w:after="0"/>
              <w:rPr>
                <w:rFonts w:cs="Arial"/>
                <w:sz w:val="20"/>
              </w:rPr>
            </w:pPr>
            <w:r w:rsidRPr="00C95655">
              <w:rPr>
                <w:rFonts w:cs="Arial"/>
                <w:sz w:val="20"/>
              </w:rPr>
              <w:t>Inner Eastern Melbourne</w:t>
            </w:r>
          </w:p>
        </w:tc>
        <w:tc>
          <w:tcPr>
            <w:tcW w:w="2376" w:type="dxa"/>
            <w:shd w:val="clear" w:color="auto" w:fill="DEE4EE"/>
            <w:vAlign w:val="center"/>
          </w:tcPr>
          <w:p w:rsidR="00D724E8" w:rsidRPr="005E5C54" w:rsidRDefault="00D724E8" w:rsidP="005E5C54">
            <w:pPr>
              <w:jc w:val="center"/>
              <w:rPr>
                <w:sz w:val="20"/>
              </w:rPr>
            </w:pPr>
            <w:r w:rsidRPr="005E5C54">
              <w:rPr>
                <w:sz w:val="20"/>
              </w:rPr>
              <w:t>$420</w:t>
            </w:r>
          </w:p>
        </w:tc>
        <w:tc>
          <w:tcPr>
            <w:tcW w:w="2469" w:type="dxa"/>
            <w:vAlign w:val="center"/>
          </w:tcPr>
          <w:p w:rsidR="00D724E8" w:rsidRPr="005E5C54" w:rsidRDefault="00D724E8" w:rsidP="005E5C54">
            <w:pPr>
              <w:jc w:val="center"/>
              <w:rPr>
                <w:sz w:val="20"/>
              </w:rPr>
            </w:pPr>
            <w:r w:rsidRPr="005E5C54">
              <w:rPr>
                <w:sz w:val="20"/>
              </w:rPr>
              <w:t>1.2%</w:t>
            </w:r>
          </w:p>
        </w:tc>
        <w:tc>
          <w:tcPr>
            <w:tcW w:w="2523" w:type="dxa"/>
            <w:shd w:val="clear" w:color="auto" w:fill="DEE4EE"/>
            <w:vAlign w:val="center"/>
          </w:tcPr>
          <w:p w:rsidR="00D724E8" w:rsidRPr="005E5C54" w:rsidRDefault="00D724E8" w:rsidP="005E5C54">
            <w:pPr>
              <w:jc w:val="center"/>
              <w:rPr>
                <w:sz w:val="20"/>
              </w:rPr>
            </w:pPr>
            <w:r w:rsidRPr="005E5C54">
              <w:rPr>
                <w:sz w:val="20"/>
              </w:rPr>
              <w:t>2.4%</w:t>
            </w:r>
          </w:p>
        </w:tc>
      </w:tr>
      <w:tr w:rsidR="00D724E8" w:rsidRPr="000051C5" w:rsidTr="005E5C54">
        <w:trPr>
          <w:trHeight w:hRule="exact" w:val="340"/>
        </w:trPr>
        <w:tc>
          <w:tcPr>
            <w:tcW w:w="2802" w:type="dxa"/>
            <w:vAlign w:val="center"/>
          </w:tcPr>
          <w:p w:rsidR="00D724E8" w:rsidRPr="00C95655" w:rsidRDefault="00D724E8" w:rsidP="00C95655">
            <w:pPr>
              <w:pStyle w:val="DHSbodycopytable"/>
              <w:spacing w:after="0"/>
              <w:rPr>
                <w:rFonts w:cs="Arial"/>
                <w:sz w:val="20"/>
              </w:rPr>
            </w:pPr>
            <w:r w:rsidRPr="00C95655">
              <w:rPr>
                <w:rFonts w:cs="Arial"/>
                <w:sz w:val="20"/>
              </w:rPr>
              <w:t>Southern Melbourne</w:t>
            </w:r>
          </w:p>
        </w:tc>
        <w:tc>
          <w:tcPr>
            <w:tcW w:w="2376" w:type="dxa"/>
            <w:shd w:val="clear" w:color="auto" w:fill="DEE4EE"/>
            <w:vAlign w:val="center"/>
          </w:tcPr>
          <w:p w:rsidR="00D724E8" w:rsidRPr="005E5C54" w:rsidRDefault="00D724E8" w:rsidP="005E5C54">
            <w:pPr>
              <w:jc w:val="center"/>
              <w:rPr>
                <w:sz w:val="20"/>
              </w:rPr>
            </w:pPr>
            <w:r w:rsidRPr="005E5C54">
              <w:rPr>
                <w:sz w:val="20"/>
              </w:rPr>
              <w:t>$420</w:t>
            </w:r>
          </w:p>
        </w:tc>
        <w:tc>
          <w:tcPr>
            <w:tcW w:w="2469" w:type="dxa"/>
            <w:vAlign w:val="center"/>
          </w:tcPr>
          <w:p w:rsidR="00D724E8" w:rsidRPr="005E5C54" w:rsidRDefault="00D724E8" w:rsidP="005E5C54">
            <w:pPr>
              <w:jc w:val="center"/>
              <w:rPr>
                <w:sz w:val="20"/>
              </w:rPr>
            </w:pPr>
            <w:r w:rsidRPr="005E5C54">
              <w:rPr>
                <w:sz w:val="20"/>
              </w:rPr>
              <w:t>2.4%</w:t>
            </w:r>
          </w:p>
        </w:tc>
        <w:tc>
          <w:tcPr>
            <w:tcW w:w="2523" w:type="dxa"/>
            <w:shd w:val="clear" w:color="auto" w:fill="DEE4EE"/>
            <w:vAlign w:val="center"/>
          </w:tcPr>
          <w:p w:rsidR="00D724E8" w:rsidRPr="005E5C54" w:rsidRDefault="00D724E8" w:rsidP="005E5C54">
            <w:pPr>
              <w:jc w:val="center"/>
              <w:rPr>
                <w:sz w:val="20"/>
              </w:rPr>
            </w:pPr>
            <w:r w:rsidRPr="005E5C54">
              <w:rPr>
                <w:sz w:val="20"/>
              </w:rPr>
              <w:t>2.4%</w:t>
            </w:r>
          </w:p>
        </w:tc>
      </w:tr>
      <w:tr w:rsidR="00D724E8" w:rsidRPr="000051C5" w:rsidTr="005E5C54">
        <w:trPr>
          <w:trHeight w:hRule="exact" w:val="340"/>
        </w:trPr>
        <w:tc>
          <w:tcPr>
            <w:tcW w:w="2802" w:type="dxa"/>
            <w:vAlign w:val="center"/>
          </w:tcPr>
          <w:p w:rsidR="00D724E8" w:rsidRPr="00C95655" w:rsidRDefault="00D724E8" w:rsidP="00C95655">
            <w:pPr>
              <w:pStyle w:val="DHSbodycopytable"/>
              <w:spacing w:after="0"/>
              <w:rPr>
                <w:rFonts w:cs="Arial"/>
                <w:sz w:val="20"/>
              </w:rPr>
            </w:pPr>
            <w:r w:rsidRPr="00C95655">
              <w:rPr>
                <w:rFonts w:cs="Arial"/>
                <w:sz w:val="20"/>
              </w:rPr>
              <w:t>Western Melbourne</w:t>
            </w:r>
          </w:p>
        </w:tc>
        <w:tc>
          <w:tcPr>
            <w:tcW w:w="2376" w:type="dxa"/>
            <w:shd w:val="clear" w:color="auto" w:fill="DEE4EE"/>
            <w:vAlign w:val="center"/>
          </w:tcPr>
          <w:p w:rsidR="00D724E8" w:rsidRPr="005E5C54" w:rsidRDefault="00D724E8" w:rsidP="005E5C54">
            <w:pPr>
              <w:jc w:val="center"/>
              <w:rPr>
                <w:sz w:val="20"/>
              </w:rPr>
            </w:pPr>
            <w:r w:rsidRPr="005E5C54">
              <w:rPr>
                <w:sz w:val="20"/>
              </w:rPr>
              <w:t>$340</w:t>
            </w:r>
          </w:p>
        </w:tc>
        <w:tc>
          <w:tcPr>
            <w:tcW w:w="2469" w:type="dxa"/>
            <w:vAlign w:val="center"/>
          </w:tcPr>
          <w:p w:rsidR="00D724E8" w:rsidRPr="005E5C54" w:rsidRDefault="00D724E8" w:rsidP="005E5C54">
            <w:pPr>
              <w:jc w:val="center"/>
              <w:rPr>
                <w:sz w:val="20"/>
              </w:rPr>
            </w:pPr>
            <w:r w:rsidRPr="005E5C54">
              <w:rPr>
                <w:sz w:val="20"/>
              </w:rPr>
              <w:t>0.0%</w:t>
            </w:r>
          </w:p>
        </w:tc>
        <w:tc>
          <w:tcPr>
            <w:tcW w:w="2523" w:type="dxa"/>
            <w:shd w:val="clear" w:color="auto" w:fill="DEE4EE"/>
            <w:vAlign w:val="center"/>
          </w:tcPr>
          <w:p w:rsidR="00D724E8" w:rsidRPr="005E5C54" w:rsidRDefault="00D724E8" w:rsidP="005E5C54">
            <w:pPr>
              <w:jc w:val="center"/>
              <w:rPr>
                <w:sz w:val="20"/>
              </w:rPr>
            </w:pPr>
            <w:r w:rsidRPr="005E5C54">
              <w:rPr>
                <w:sz w:val="20"/>
              </w:rPr>
              <w:t>3.0%</w:t>
            </w:r>
          </w:p>
        </w:tc>
      </w:tr>
      <w:tr w:rsidR="00D724E8" w:rsidRPr="000051C5" w:rsidTr="005E5C54">
        <w:trPr>
          <w:trHeight w:hRule="exact" w:val="340"/>
        </w:trPr>
        <w:tc>
          <w:tcPr>
            <w:tcW w:w="2802" w:type="dxa"/>
            <w:vAlign w:val="center"/>
          </w:tcPr>
          <w:p w:rsidR="00D724E8" w:rsidRPr="00C95655" w:rsidRDefault="00D724E8" w:rsidP="00C95655">
            <w:pPr>
              <w:pStyle w:val="DHSbodycopytable"/>
              <w:spacing w:after="0"/>
              <w:rPr>
                <w:rFonts w:cs="Arial"/>
                <w:sz w:val="20"/>
              </w:rPr>
            </w:pPr>
            <w:r w:rsidRPr="00C95655">
              <w:rPr>
                <w:rFonts w:cs="Arial"/>
                <w:sz w:val="20"/>
              </w:rPr>
              <w:t>North Western Melbourne</w:t>
            </w:r>
          </w:p>
        </w:tc>
        <w:tc>
          <w:tcPr>
            <w:tcW w:w="2376" w:type="dxa"/>
            <w:shd w:val="clear" w:color="auto" w:fill="DEE4EE"/>
            <w:vAlign w:val="center"/>
          </w:tcPr>
          <w:p w:rsidR="00D724E8" w:rsidRPr="005E5C54" w:rsidRDefault="00D724E8" w:rsidP="005E5C54">
            <w:pPr>
              <w:jc w:val="center"/>
              <w:rPr>
                <w:sz w:val="20"/>
              </w:rPr>
            </w:pPr>
            <w:r w:rsidRPr="005E5C54">
              <w:rPr>
                <w:sz w:val="20"/>
              </w:rPr>
              <w:t>$360</w:t>
            </w:r>
          </w:p>
        </w:tc>
        <w:tc>
          <w:tcPr>
            <w:tcW w:w="2469" w:type="dxa"/>
            <w:vAlign w:val="center"/>
          </w:tcPr>
          <w:p w:rsidR="00D724E8" w:rsidRPr="005E5C54" w:rsidRDefault="00D724E8" w:rsidP="005E5C54">
            <w:pPr>
              <w:jc w:val="center"/>
              <w:rPr>
                <w:sz w:val="20"/>
              </w:rPr>
            </w:pPr>
            <w:r w:rsidRPr="005E5C54">
              <w:rPr>
                <w:sz w:val="20"/>
              </w:rPr>
              <w:t>2.9%</w:t>
            </w:r>
          </w:p>
        </w:tc>
        <w:tc>
          <w:tcPr>
            <w:tcW w:w="2523" w:type="dxa"/>
            <w:shd w:val="clear" w:color="auto" w:fill="DEE4EE"/>
            <w:vAlign w:val="center"/>
          </w:tcPr>
          <w:p w:rsidR="00D724E8" w:rsidRPr="005E5C54" w:rsidRDefault="00D724E8" w:rsidP="005E5C54">
            <w:pPr>
              <w:jc w:val="center"/>
              <w:rPr>
                <w:sz w:val="20"/>
              </w:rPr>
            </w:pPr>
            <w:r w:rsidRPr="005E5C54">
              <w:rPr>
                <w:sz w:val="20"/>
              </w:rPr>
              <w:t>2.9%</w:t>
            </w:r>
          </w:p>
        </w:tc>
      </w:tr>
      <w:tr w:rsidR="00D724E8" w:rsidRPr="000051C5" w:rsidTr="005E5C54">
        <w:trPr>
          <w:trHeight w:hRule="exact" w:val="340"/>
        </w:trPr>
        <w:tc>
          <w:tcPr>
            <w:tcW w:w="2802" w:type="dxa"/>
            <w:vAlign w:val="center"/>
          </w:tcPr>
          <w:p w:rsidR="00D724E8" w:rsidRPr="00C95655" w:rsidRDefault="00D724E8" w:rsidP="00C95655">
            <w:pPr>
              <w:pStyle w:val="DHSbodycopytable"/>
              <w:spacing w:after="0"/>
              <w:rPr>
                <w:rFonts w:cs="Arial"/>
                <w:sz w:val="20"/>
              </w:rPr>
            </w:pPr>
            <w:r w:rsidRPr="00C95655">
              <w:rPr>
                <w:rFonts w:cs="Arial"/>
                <w:sz w:val="20"/>
              </w:rPr>
              <w:t>North Eastern Melbourne</w:t>
            </w:r>
          </w:p>
        </w:tc>
        <w:tc>
          <w:tcPr>
            <w:tcW w:w="2376" w:type="dxa"/>
            <w:shd w:val="clear" w:color="auto" w:fill="DEE4EE"/>
            <w:vAlign w:val="center"/>
          </w:tcPr>
          <w:p w:rsidR="00D724E8" w:rsidRPr="005E5C54" w:rsidRDefault="00D724E8" w:rsidP="005E5C54">
            <w:pPr>
              <w:jc w:val="center"/>
              <w:rPr>
                <w:sz w:val="20"/>
              </w:rPr>
            </w:pPr>
            <w:r w:rsidRPr="005E5C54">
              <w:rPr>
                <w:sz w:val="20"/>
              </w:rPr>
              <w:t>$350</w:t>
            </w:r>
          </w:p>
        </w:tc>
        <w:tc>
          <w:tcPr>
            <w:tcW w:w="2469" w:type="dxa"/>
            <w:vAlign w:val="center"/>
          </w:tcPr>
          <w:p w:rsidR="00D724E8" w:rsidRPr="005E5C54" w:rsidRDefault="00D724E8" w:rsidP="005E5C54">
            <w:pPr>
              <w:jc w:val="center"/>
              <w:rPr>
                <w:sz w:val="20"/>
              </w:rPr>
            </w:pPr>
            <w:r w:rsidRPr="005E5C54">
              <w:rPr>
                <w:sz w:val="20"/>
              </w:rPr>
              <w:t>0.0%</w:t>
            </w:r>
          </w:p>
        </w:tc>
        <w:tc>
          <w:tcPr>
            <w:tcW w:w="2523" w:type="dxa"/>
            <w:shd w:val="clear" w:color="auto" w:fill="DEE4EE"/>
            <w:vAlign w:val="center"/>
          </w:tcPr>
          <w:p w:rsidR="00D724E8" w:rsidRPr="005E5C54" w:rsidRDefault="00D724E8" w:rsidP="005E5C54">
            <w:pPr>
              <w:jc w:val="center"/>
              <w:rPr>
                <w:sz w:val="20"/>
              </w:rPr>
            </w:pPr>
            <w:r w:rsidRPr="005E5C54">
              <w:rPr>
                <w:sz w:val="20"/>
              </w:rPr>
              <w:t>0.0%</w:t>
            </w:r>
          </w:p>
        </w:tc>
      </w:tr>
      <w:tr w:rsidR="00D724E8" w:rsidRPr="000051C5" w:rsidTr="005E5C54">
        <w:trPr>
          <w:trHeight w:hRule="exact" w:val="340"/>
        </w:trPr>
        <w:tc>
          <w:tcPr>
            <w:tcW w:w="2802" w:type="dxa"/>
            <w:vAlign w:val="center"/>
          </w:tcPr>
          <w:p w:rsidR="00D724E8" w:rsidRPr="00C95655" w:rsidRDefault="00D724E8" w:rsidP="00C95655">
            <w:pPr>
              <w:pStyle w:val="DHSbodycopytable"/>
              <w:spacing w:after="0"/>
              <w:rPr>
                <w:rFonts w:cs="Arial"/>
                <w:sz w:val="20"/>
              </w:rPr>
            </w:pPr>
            <w:r w:rsidRPr="00C95655">
              <w:rPr>
                <w:rFonts w:cs="Arial"/>
                <w:sz w:val="20"/>
              </w:rPr>
              <w:t>Outer Eastern Melbourne</w:t>
            </w:r>
          </w:p>
        </w:tc>
        <w:tc>
          <w:tcPr>
            <w:tcW w:w="2376" w:type="dxa"/>
            <w:shd w:val="clear" w:color="auto" w:fill="DEE4EE"/>
            <w:vAlign w:val="center"/>
          </w:tcPr>
          <w:p w:rsidR="00D724E8" w:rsidRPr="005E5C54" w:rsidRDefault="00D724E8" w:rsidP="005E5C54">
            <w:pPr>
              <w:jc w:val="center"/>
              <w:rPr>
                <w:sz w:val="20"/>
              </w:rPr>
            </w:pPr>
            <w:r w:rsidRPr="005E5C54">
              <w:rPr>
                <w:sz w:val="20"/>
              </w:rPr>
              <w:t>$370</w:t>
            </w:r>
          </w:p>
        </w:tc>
        <w:tc>
          <w:tcPr>
            <w:tcW w:w="2469" w:type="dxa"/>
            <w:vAlign w:val="center"/>
          </w:tcPr>
          <w:p w:rsidR="00D724E8" w:rsidRPr="005E5C54" w:rsidRDefault="00D724E8" w:rsidP="005E5C54">
            <w:pPr>
              <w:jc w:val="center"/>
              <w:rPr>
                <w:sz w:val="20"/>
              </w:rPr>
            </w:pPr>
            <w:r w:rsidRPr="005E5C54">
              <w:rPr>
                <w:sz w:val="20"/>
              </w:rPr>
              <w:t>0.0%</w:t>
            </w:r>
          </w:p>
        </w:tc>
        <w:tc>
          <w:tcPr>
            <w:tcW w:w="2523" w:type="dxa"/>
            <w:shd w:val="clear" w:color="auto" w:fill="DEE4EE"/>
            <w:vAlign w:val="center"/>
          </w:tcPr>
          <w:p w:rsidR="00D724E8" w:rsidRPr="005E5C54" w:rsidRDefault="00D724E8" w:rsidP="005E5C54">
            <w:pPr>
              <w:jc w:val="center"/>
              <w:rPr>
                <w:sz w:val="20"/>
              </w:rPr>
            </w:pPr>
            <w:r w:rsidRPr="005E5C54">
              <w:rPr>
                <w:sz w:val="20"/>
              </w:rPr>
              <w:t>2.8%</w:t>
            </w:r>
          </w:p>
        </w:tc>
      </w:tr>
      <w:tr w:rsidR="00D724E8" w:rsidRPr="000051C5" w:rsidTr="005E5C54">
        <w:trPr>
          <w:trHeight w:hRule="exact" w:val="340"/>
        </w:trPr>
        <w:tc>
          <w:tcPr>
            <w:tcW w:w="2802" w:type="dxa"/>
            <w:vAlign w:val="center"/>
          </w:tcPr>
          <w:p w:rsidR="00D724E8" w:rsidRPr="00C95655" w:rsidRDefault="00D724E8" w:rsidP="00C95655">
            <w:pPr>
              <w:pStyle w:val="DHSbodycopytable"/>
              <w:spacing w:after="0"/>
              <w:rPr>
                <w:rFonts w:cs="Arial"/>
                <w:sz w:val="20"/>
              </w:rPr>
            </w:pPr>
            <w:r w:rsidRPr="00C95655">
              <w:rPr>
                <w:rFonts w:cs="Arial"/>
                <w:sz w:val="20"/>
              </w:rPr>
              <w:t>South Eastern Melbourne</w:t>
            </w:r>
          </w:p>
        </w:tc>
        <w:tc>
          <w:tcPr>
            <w:tcW w:w="2376" w:type="dxa"/>
            <w:shd w:val="clear" w:color="auto" w:fill="DEE4EE"/>
            <w:vAlign w:val="center"/>
          </w:tcPr>
          <w:p w:rsidR="00D724E8" w:rsidRPr="005E5C54" w:rsidRDefault="00D724E8" w:rsidP="005E5C54">
            <w:pPr>
              <w:jc w:val="center"/>
              <w:rPr>
                <w:sz w:val="20"/>
              </w:rPr>
            </w:pPr>
            <w:r w:rsidRPr="005E5C54">
              <w:rPr>
                <w:sz w:val="20"/>
              </w:rPr>
              <w:t>$346</w:t>
            </w:r>
          </w:p>
        </w:tc>
        <w:tc>
          <w:tcPr>
            <w:tcW w:w="2469" w:type="dxa"/>
            <w:vAlign w:val="center"/>
          </w:tcPr>
          <w:p w:rsidR="00D724E8" w:rsidRPr="005E5C54" w:rsidRDefault="00D724E8" w:rsidP="005E5C54">
            <w:pPr>
              <w:jc w:val="center"/>
              <w:rPr>
                <w:sz w:val="20"/>
              </w:rPr>
            </w:pPr>
            <w:r w:rsidRPr="005E5C54">
              <w:rPr>
                <w:sz w:val="20"/>
              </w:rPr>
              <w:t>1.8%</w:t>
            </w:r>
          </w:p>
        </w:tc>
        <w:tc>
          <w:tcPr>
            <w:tcW w:w="2523" w:type="dxa"/>
            <w:shd w:val="clear" w:color="auto" w:fill="DEE4EE"/>
            <w:vAlign w:val="center"/>
          </w:tcPr>
          <w:p w:rsidR="00D724E8" w:rsidRPr="005E5C54" w:rsidRDefault="00D724E8" w:rsidP="005E5C54">
            <w:pPr>
              <w:jc w:val="center"/>
              <w:rPr>
                <w:sz w:val="20"/>
              </w:rPr>
            </w:pPr>
            <w:r w:rsidRPr="005E5C54">
              <w:rPr>
                <w:sz w:val="20"/>
              </w:rPr>
              <w:t>4.8%</w:t>
            </w:r>
          </w:p>
        </w:tc>
      </w:tr>
      <w:tr w:rsidR="00D724E8" w:rsidRPr="000051C5" w:rsidTr="005E5C54">
        <w:trPr>
          <w:trHeight w:hRule="exact" w:val="340"/>
        </w:trPr>
        <w:tc>
          <w:tcPr>
            <w:tcW w:w="2802" w:type="dxa"/>
            <w:tcBorders>
              <w:bottom w:val="single" w:sz="12" w:space="0" w:color="9DAECB"/>
            </w:tcBorders>
            <w:vAlign w:val="center"/>
          </w:tcPr>
          <w:p w:rsidR="00D724E8" w:rsidRPr="00C95655" w:rsidRDefault="00D724E8" w:rsidP="00C95655">
            <w:pPr>
              <w:pStyle w:val="DHSbodycopytable"/>
              <w:spacing w:after="0"/>
              <w:rPr>
                <w:rFonts w:cs="Arial"/>
                <w:sz w:val="20"/>
              </w:rPr>
            </w:pPr>
            <w:r w:rsidRPr="00C95655">
              <w:rPr>
                <w:rFonts w:cs="Arial"/>
                <w:sz w:val="20"/>
              </w:rPr>
              <w:t>Mornington Peninsula</w:t>
            </w:r>
          </w:p>
        </w:tc>
        <w:tc>
          <w:tcPr>
            <w:tcW w:w="2376" w:type="dxa"/>
            <w:tcBorders>
              <w:bottom w:val="single" w:sz="12" w:space="0" w:color="9DAECB"/>
            </w:tcBorders>
            <w:shd w:val="clear" w:color="auto" w:fill="DEE4EE"/>
            <w:vAlign w:val="center"/>
          </w:tcPr>
          <w:p w:rsidR="00D724E8" w:rsidRPr="005E5C54" w:rsidRDefault="00D724E8" w:rsidP="005E5C54">
            <w:pPr>
              <w:jc w:val="center"/>
              <w:rPr>
                <w:sz w:val="20"/>
              </w:rPr>
            </w:pPr>
            <w:r w:rsidRPr="005E5C54">
              <w:rPr>
                <w:sz w:val="20"/>
              </w:rPr>
              <w:t>$350</w:t>
            </w:r>
          </w:p>
        </w:tc>
        <w:tc>
          <w:tcPr>
            <w:tcW w:w="2469" w:type="dxa"/>
            <w:tcBorders>
              <w:bottom w:val="single" w:sz="12" w:space="0" w:color="9DAECB"/>
            </w:tcBorders>
            <w:vAlign w:val="center"/>
          </w:tcPr>
          <w:p w:rsidR="00D724E8" w:rsidRPr="005E5C54" w:rsidRDefault="00D724E8" w:rsidP="005E5C54">
            <w:pPr>
              <w:jc w:val="center"/>
              <w:rPr>
                <w:sz w:val="20"/>
              </w:rPr>
            </w:pPr>
            <w:r w:rsidRPr="005E5C54">
              <w:rPr>
                <w:sz w:val="20"/>
              </w:rPr>
              <w:t>2.9%</w:t>
            </w:r>
          </w:p>
        </w:tc>
        <w:tc>
          <w:tcPr>
            <w:tcW w:w="2523" w:type="dxa"/>
            <w:tcBorders>
              <w:bottom w:val="single" w:sz="12" w:space="0" w:color="9DAECB"/>
            </w:tcBorders>
            <w:shd w:val="clear" w:color="auto" w:fill="DEE4EE"/>
            <w:vAlign w:val="center"/>
          </w:tcPr>
          <w:p w:rsidR="00D724E8" w:rsidRPr="005E5C54" w:rsidRDefault="00D724E8" w:rsidP="005E5C54">
            <w:pPr>
              <w:jc w:val="center"/>
              <w:rPr>
                <w:sz w:val="20"/>
              </w:rPr>
            </w:pPr>
            <w:r w:rsidRPr="005E5C54">
              <w:rPr>
                <w:sz w:val="20"/>
              </w:rPr>
              <w:t>6.1%</w:t>
            </w:r>
          </w:p>
        </w:tc>
      </w:tr>
      <w:tr w:rsidR="00D724E8" w:rsidRPr="0027082E" w:rsidTr="005E5C54">
        <w:trPr>
          <w:trHeight w:hRule="exact" w:val="454"/>
        </w:trPr>
        <w:tc>
          <w:tcPr>
            <w:tcW w:w="2802" w:type="dxa"/>
            <w:tcBorders>
              <w:top w:val="single" w:sz="12" w:space="0" w:color="9DAECB"/>
              <w:bottom w:val="single" w:sz="12" w:space="0" w:color="9DAECB"/>
            </w:tcBorders>
            <w:vAlign w:val="bottom"/>
          </w:tcPr>
          <w:p w:rsidR="00D724E8" w:rsidRPr="00C95655" w:rsidRDefault="00D724E8" w:rsidP="00C95655">
            <w:pPr>
              <w:pStyle w:val="DHSbodycopytable"/>
              <w:spacing w:after="0"/>
              <w:rPr>
                <w:rFonts w:cs="Arial"/>
                <w:b/>
                <w:sz w:val="20"/>
              </w:rPr>
            </w:pPr>
            <w:r w:rsidRPr="00C95655">
              <w:rPr>
                <w:rFonts w:cs="Arial"/>
                <w:b/>
                <w:sz w:val="20"/>
              </w:rPr>
              <w:t>Regional Victoria</w:t>
            </w:r>
          </w:p>
        </w:tc>
        <w:tc>
          <w:tcPr>
            <w:tcW w:w="2376" w:type="dxa"/>
            <w:tcBorders>
              <w:top w:val="single" w:sz="12" w:space="0" w:color="9DAECB"/>
              <w:bottom w:val="single" w:sz="12" w:space="0" w:color="9DAECB"/>
            </w:tcBorders>
            <w:shd w:val="clear" w:color="auto" w:fill="DEE4EE"/>
            <w:vAlign w:val="center"/>
          </w:tcPr>
          <w:p w:rsidR="00D724E8" w:rsidRPr="005E5C54" w:rsidRDefault="00D724E8" w:rsidP="005E5C54">
            <w:pPr>
              <w:jc w:val="center"/>
              <w:rPr>
                <w:sz w:val="20"/>
              </w:rPr>
            </w:pPr>
          </w:p>
        </w:tc>
        <w:tc>
          <w:tcPr>
            <w:tcW w:w="2469" w:type="dxa"/>
            <w:tcBorders>
              <w:top w:val="single" w:sz="12" w:space="0" w:color="9DAECB"/>
              <w:bottom w:val="single" w:sz="12" w:space="0" w:color="9DAECB"/>
            </w:tcBorders>
            <w:vAlign w:val="center"/>
          </w:tcPr>
          <w:p w:rsidR="00D724E8" w:rsidRPr="005E5C54" w:rsidRDefault="00D724E8" w:rsidP="005E5C54">
            <w:pPr>
              <w:jc w:val="center"/>
              <w:rPr>
                <w:sz w:val="20"/>
              </w:rPr>
            </w:pPr>
          </w:p>
        </w:tc>
        <w:tc>
          <w:tcPr>
            <w:tcW w:w="2523" w:type="dxa"/>
            <w:tcBorders>
              <w:top w:val="single" w:sz="12" w:space="0" w:color="9DAECB"/>
              <w:bottom w:val="single" w:sz="12" w:space="0" w:color="9DAECB"/>
            </w:tcBorders>
            <w:shd w:val="clear" w:color="auto" w:fill="DEE4EE"/>
            <w:vAlign w:val="center"/>
          </w:tcPr>
          <w:p w:rsidR="00D724E8" w:rsidRPr="005E5C54" w:rsidRDefault="00D724E8" w:rsidP="005E5C54">
            <w:pPr>
              <w:jc w:val="center"/>
              <w:rPr>
                <w:sz w:val="20"/>
              </w:rPr>
            </w:pPr>
          </w:p>
        </w:tc>
      </w:tr>
      <w:tr w:rsidR="00D724E8" w:rsidRPr="000051C5" w:rsidTr="005E5C54">
        <w:trPr>
          <w:trHeight w:hRule="exact" w:val="340"/>
        </w:trPr>
        <w:tc>
          <w:tcPr>
            <w:tcW w:w="2802" w:type="dxa"/>
            <w:tcBorders>
              <w:top w:val="single" w:sz="12" w:space="0" w:color="9DAECB"/>
            </w:tcBorders>
            <w:vAlign w:val="center"/>
          </w:tcPr>
          <w:p w:rsidR="00D724E8" w:rsidRPr="00C95655" w:rsidRDefault="00D724E8" w:rsidP="00C95655">
            <w:pPr>
              <w:pStyle w:val="DHSbodycopytable"/>
              <w:spacing w:after="0"/>
              <w:rPr>
                <w:rFonts w:cs="Arial"/>
                <w:sz w:val="20"/>
              </w:rPr>
            </w:pPr>
            <w:r w:rsidRPr="00C95655">
              <w:rPr>
                <w:rFonts w:cs="Arial"/>
                <w:sz w:val="20"/>
              </w:rPr>
              <w:t>Barwon-South West</w:t>
            </w:r>
          </w:p>
        </w:tc>
        <w:tc>
          <w:tcPr>
            <w:tcW w:w="2376" w:type="dxa"/>
            <w:tcBorders>
              <w:top w:val="single" w:sz="12" w:space="0" w:color="9DAECB"/>
            </w:tcBorders>
            <w:shd w:val="clear" w:color="auto" w:fill="DEE4EE"/>
            <w:vAlign w:val="center"/>
          </w:tcPr>
          <w:p w:rsidR="00D724E8" w:rsidRPr="005E5C54" w:rsidRDefault="00D724E8" w:rsidP="005E5C54">
            <w:pPr>
              <w:jc w:val="center"/>
              <w:rPr>
                <w:sz w:val="20"/>
              </w:rPr>
            </w:pPr>
            <w:r w:rsidRPr="005E5C54">
              <w:rPr>
                <w:sz w:val="20"/>
              </w:rPr>
              <w:t>$300</w:t>
            </w:r>
          </w:p>
        </w:tc>
        <w:tc>
          <w:tcPr>
            <w:tcW w:w="2469" w:type="dxa"/>
            <w:tcBorders>
              <w:top w:val="single" w:sz="12" w:space="0" w:color="9DAECB"/>
            </w:tcBorders>
            <w:vAlign w:val="center"/>
          </w:tcPr>
          <w:p w:rsidR="00D724E8" w:rsidRPr="005E5C54" w:rsidRDefault="00D724E8" w:rsidP="005E5C54">
            <w:pPr>
              <w:jc w:val="center"/>
              <w:rPr>
                <w:sz w:val="20"/>
              </w:rPr>
            </w:pPr>
            <w:r w:rsidRPr="005E5C54">
              <w:rPr>
                <w:sz w:val="20"/>
              </w:rPr>
              <w:t>0.0%</w:t>
            </w:r>
          </w:p>
        </w:tc>
        <w:tc>
          <w:tcPr>
            <w:tcW w:w="2523" w:type="dxa"/>
            <w:tcBorders>
              <w:top w:val="single" w:sz="12" w:space="0" w:color="9DAECB"/>
            </w:tcBorders>
            <w:shd w:val="clear" w:color="auto" w:fill="DEE4EE"/>
            <w:vAlign w:val="center"/>
          </w:tcPr>
          <w:p w:rsidR="00D724E8" w:rsidRPr="005E5C54" w:rsidRDefault="00D724E8" w:rsidP="005E5C54">
            <w:pPr>
              <w:jc w:val="center"/>
              <w:rPr>
                <w:sz w:val="20"/>
              </w:rPr>
            </w:pPr>
            <w:r w:rsidRPr="005E5C54">
              <w:rPr>
                <w:sz w:val="20"/>
              </w:rPr>
              <w:t>0.0%</w:t>
            </w:r>
          </w:p>
        </w:tc>
      </w:tr>
      <w:tr w:rsidR="00D724E8" w:rsidRPr="000051C5" w:rsidTr="005E5C54">
        <w:trPr>
          <w:trHeight w:hRule="exact" w:val="340"/>
        </w:trPr>
        <w:tc>
          <w:tcPr>
            <w:tcW w:w="2802" w:type="dxa"/>
            <w:vAlign w:val="center"/>
          </w:tcPr>
          <w:p w:rsidR="00D724E8" w:rsidRPr="00C95655" w:rsidRDefault="00D724E8" w:rsidP="00C95655">
            <w:pPr>
              <w:pStyle w:val="DHSbodycopytable"/>
              <w:spacing w:after="0"/>
              <w:rPr>
                <w:rFonts w:cs="Arial"/>
                <w:sz w:val="20"/>
              </w:rPr>
            </w:pPr>
            <w:r w:rsidRPr="00C95655">
              <w:rPr>
                <w:rFonts w:cs="Arial"/>
                <w:sz w:val="20"/>
              </w:rPr>
              <w:t>Gippsland</w:t>
            </w:r>
          </w:p>
        </w:tc>
        <w:tc>
          <w:tcPr>
            <w:tcW w:w="2376" w:type="dxa"/>
            <w:shd w:val="clear" w:color="auto" w:fill="DEE4EE"/>
            <w:vAlign w:val="center"/>
          </w:tcPr>
          <w:p w:rsidR="00D724E8" w:rsidRPr="005E5C54" w:rsidRDefault="00D724E8" w:rsidP="005E5C54">
            <w:pPr>
              <w:jc w:val="center"/>
              <w:rPr>
                <w:sz w:val="20"/>
              </w:rPr>
            </w:pPr>
            <w:r w:rsidRPr="005E5C54">
              <w:rPr>
                <w:sz w:val="20"/>
              </w:rPr>
              <w:t>$260</w:t>
            </w:r>
          </w:p>
        </w:tc>
        <w:tc>
          <w:tcPr>
            <w:tcW w:w="2469" w:type="dxa"/>
            <w:vAlign w:val="center"/>
          </w:tcPr>
          <w:p w:rsidR="00D724E8" w:rsidRPr="005E5C54" w:rsidRDefault="00D724E8" w:rsidP="005E5C54">
            <w:pPr>
              <w:jc w:val="center"/>
              <w:rPr>
                <w:sz w:val="20"/>
              </w:rPr>
            </w:pPr>
            <w:r w:rsidRPr="005E5C54">
              <w:rPr>
                <w:sz w:val="20"/>
              </w:rPr>
              <w:t>0.0%</w:t>
            </w:r>
          </w:p>
        </w:tc>
        <w:tc>
          <w:tcPr>
            <w:tcW w:w="2523" w:type="dxa"/>
            <w:shd w:val="clear" w:color="auto" w:fill="DEE4EE"/>
            <w:vAlign w:val="center"/>
          </w:tcPr>
          <w:p w:rsidR="00D724E8" w:rsidRPr="005E5C54" w:rsidRDefault="00D724E8" w:rsidP="005E5C54">
            <w:pPr>
              <w:jc w:val="center"/>
              <w:rPr>
                <w:sz w:val="20"/>
              </w:rPr>
            </w:pPr>
            <w:r w:rsidRPr="005E5C54">
              <w:rPr>
                <w:sz w:val="20"/>
              </w:rPr>
              <w:t>4.0%</w:t>
            </w:r>
          </w:p>
        </w:tc>
      </w:tr>
      <w:tr w:rsidR="00D724E8" w:rsidRPr="000051C5" w:rsidTr="005E5C54">
        <w:trPr>
          <w:trHeight w:hRule="exact" w:val="340"/>
        </w:trPr>
        <w:tc>
          <w:tcPr>
            <w:tcW w:w="2802" w:type="dxa"/>
            <w:vAlign w:val="center"/>
          </w:tcPr>
          <w:p w:rsidR="00D724E8" w:rsidRPr="00C95655" w:rsidRDefault="00D724E8" w:rsidP="00C95655">
            <w:pPr>
              <w:pStyle w:val="DHSbodycopytable"/>
              <w:spacing w:after="0"/>
              <w:rPr>
                <w:rFonts w:cs="Arial"/>
                <w:sz w:val="20"/>
              </w:rPr>
            </w:pPr>
            <w:r w:rsidRPr="00C95655">
              <w:rPr>
                <w:rFonts w:cs="Arial"/>
                <w:sz w:val="20"/>
              </w:rPr>
              <w:t>Goulburn-Ovens-Murray</w:t>
            </w:r>
          </w:p>
        </w:tc>
        <w:tc>
          <w:tcPr>
            <w:tcW w:w="2376" w:type="dxa"/>
            <w:shd w:val="clear" w:color="auto" w:fill="DEE4EE"/>
            <w:vAlign w:val="center"/>
          </w:tcPr>
          <w:p w:rsidR="00D724E8" w:rsidRPr="005E5C54" w:rsidRDefault="00D724E8" w:rsidP="005E5C54">
            <w:pPr>
              <w:jc w:val="center"/>
              <w:rPr>
                <w:sz w:val="20"/>
              </w:rPr>
            </w:pPr>
            <w:r w:rsidRPr="005E5C54">
              <w:rPr>
                <w:sz w:val="20"/>
              </w:rPr>
              <w:t>$265</w:t>
            </w:r>
          </w:p>
        </w:tc>
        <w:tc>
          <w:tcPr>
            <w:tcW w:w="2469" w:type="dxa"/>
            <w:vAlign w:val="center"/>
          </w:tcPr>
          <w:p w:rsidR="00D724E8" w:rsidRPr="005E5C54" w:rsidRDefault="00D724E8" w:rsidP="005E5C54">
            <w:pPr>
              <w:jc w:val="center"/>
              <w:rPr>
                <w:sz w:val="20"/>
              </w:rPr>
            </w:pPr>
            <w:r w:rsidRPr="005E5C54">
              <w:rPr>
                <w:sz w:val="20"/>
              </w:rPr>
              <w:t>1.9%</w:t>
            </w:r>
          </w:p>
        </w:tc>
        <w:tc>
          <w:tcPr>
            <w:tcW w:w="2523" w:type="dxa"/>
            <w:shd w:val="clear" w:color="auto" w:fill="DEE4EE"/>
            <w:vAlign w:val="center"/>
          </w:tcPr>
          <w:p w:rsidR="00D724E8" w:rsidRPr="005E5C54" w:rsidRDefault="00D724E8" w:rsidP="005E5C54">
            <w:pPr>
              <w:jc w:val="center"/>
              <w:rPr>
                <w:sz w:val="20"/>
              </w:rPr>
            </w:pPr>
            <w:r w:rsidRPr="005E5C54">
              <w:rPr>
                <w:sz w:val="20"/>
              </w:rPr>
              <w:t>0.0%</w:t>
            </w:r>
          </w:p>
        </w:tc>
      </w:tr>
      <w:tr w:rsidR="00D724E8" w:rsidRPr="000051C5" w:rsidTr="005E5C54">
        <w:trPr>
          <w:trHeight w:hRule="exact" w:val="340"/>
        </w:trPr>
        <w:tc>
          <w:tcPr>
            <w:tcW w:w="2802" w:type="dxa"/>
            <w:vAlign w:val="center"/>
          </w:tcPr>
          <w:p w:rsidR="00D724E8" w:rsidRPr="00C95655" w:rsidRDefault="00D724E8" w:rsidP="00C95655">
            <w:pPr>
              <w:pStyle w:val="DHSbodycopytable"/>
              <w:spacing w:after="0"/>
              <w:rPr>
                <w:rFonts w:cs="Arial"/>
                <w:sz w:val="20"/>
              </w:rPr>
            </w:pPr>
            <w:r w:rsidRPr="00C95655">
              <w:rPr>
                <w:rFonts w:cs="Arial"/>
                <w:sz w:val="20"/>
              </w:rPr>
              <w:t>Loddon-Mallee</w:t>
            </w:r>
          </w:p>
        </w:tc>
        <w:tc>
          <w:tcPr>
            <w:tcW w:w="2376" w:type="dxa"/>
            <w:shd w:val="clear" w:color="auto" w:fill="DEE4EE"/>
            <w:vAlign w:val="center"/>
          </w:tcPr>
          <w:p w:rsidR="00D724E8" w:rsidRPr="005E5C54" w:rsidRDefault="00D724E8" w:rsidP="005E5C54">
            <w:pPr>
              <w:jc w:val="center"/>
              <w:rPr>
                <w:sz w:val="20"/>
              </w:rPr>
            </w:pPr>
            <w:r w:rsidRPr="005E5C54">
              <w:rPr>
                <w:sz w:val="20"/>
              </w:rPr>
              <w:t>$280</w:t>
            </w:r>
          </w:p>
        </w:tc>
        <w:tc>
          <w:tcPr>
            <w:tcW w:w="2469" w:type="dxa"/>
            <w:vAlign w:val="center"/>
          </w:tcPr>
          <w:p w:rsidR="00D724E8" w:rsidRPr="005E5C54" w:rsidRDefault="00D724E8" w:rsidP="005E5C54">
            <w:pPr>
              <w:jc w:val="center"/>
              <w:rPr>
                <w:sz w:val="20"/>
              </w:rPr>
            </w:pPr>
            <w:r w:rsidRPr="005E5C54">
              <w:rPr>
                <w:sz w:val="20"/>
              </w:rPr>
              <w:t>3.7%</w:t>
            </w:r>
          </w:p>
        </w:tc>
        <w:tc>
          <w:tcPr>
            <w:tcW w:w="2523" w:type="dxa"/>
            <w:shd w:val="clear" w:color="auto" w:fill="DEE4EE"/>
            <w:vAlign w:val="center"/>
          </w:tcPr>
          <w:p w:rsidR="00D724E8" w:rsidRPr="005E5C54" w:rsidRDefault="00D724E8" w:rsidP="005E5C54">
            <w:pPr>
              <w:jc w:val="center"/>
              <w:rPr>
                <w:sz w:val="20"/>
              </w:rPr>
            </w:pPr>
            <w:r w:rsidRPr="005E5C54">
              <w:rPr>
                <w:sz w:val="20"/>
              </w:rPr>
              <w:t>3.7%</w:t>
            </w:r>
          </w:p>
        </w:tc>
      </w:tr>
      <w:tr w:rsidR="00D724E8" w:rsidRPr="000051C5" w:rsidTr="005E5C54">
        <w:trPr>
          <w:trHeight w:hRule="exact" w:val="340"/>
        </w:trPr>
        <w:tc>
          <w:tcPr>
            <w:tcW w:w="2802" w:type="dxa"/>
            <w:vAlign w:val="center"/>
          </w:tcPr>
          <w:p w:rsidR="00D724E8" w:rsidRPr="00C95655" w:rsidRDefault="00D724E8" w:rsidP="00C95655">
            <w:pPr>
              <w:pStyle w:val="DHSbodycopytable"/>
              <w:spacing w:after="0"/>
              <w:rPr>
                <w:rFonts w:cs="Arial"/>
                <w:sz w:val="20"/>
              </w:rPr>
            </w:pPr>
            <w:r w:rsidRPr="00C95655">
              <w:rPr>
                <w:rFonts w:cs="Arial"/>
                <w:sz w:val="20"/>
              </w:rPr>
              <w:t>Central Highlands-Wimmera</w:t>
            </w:r>
          </w:p>
        </w:tc>
        <w:tc>
          <w:tcPr>
            <w:tcW w:w="2376" w:type="dxa"/>
            <w:shd w:val="clear" w:color="auto" w:fill="DEE4EE"/>
            <w:vAlign w:val="center"/>
          </w:tcPr>
          <w:p w:rsidR="00D724E8" w:rsidRPr="005E5C54" w:rsidRDefault="00D724E8" w:rsidP="005E5C54">
            <w:pPr>
              <w:jc w:val="center"/>
              <w:rPr>
                <w:sz w:val="20"/>
              </w:rPr>
            </w:pPr>
            <w:r w:rsidRPr="005E5C54">
              <w:rPr>
                <w:sz w:val="20"/>
              </w:rPr>
              <w:t>$266</w:t>
            </w:r>
          </w:p>
        </w:tc>
        <w:tc>
          <w:tcPr>
            <w:tcW w:w="2469" w:type="dxa"/>
            <w:vAlign w:val="center"/>
          </w:tcPr>
          <w:p w:rsidR="00D724E8" w:rsidRPr="005E5C54" w:rsidRDefault="00D724E8" w:rsidP="005E5C54">
            <w:pPr>
              <w:jc w:val="center"/>
              <w:rPr>
                <w:sz w:val="20"/>
              </w:rPr>
            </w:pPr>
            <w:r w:rsidRPr="005E5C54">
              <w:rPr>
                <w:sz w:val="20"/>
              </w:rPr>
              <w:t>2.3%</w:t>
            </w:r>
          </w:p>
        </w:tc>
        <w:tc>
          <w:tcPr>
            <w:tcW w:w="2523" w:type="dxa"/>
            <w:shd w:val="clear" w:color="auto" w:fill="DEE4EE"/>
            <w:vAlign w:val="center"/>
          </w:tcPr>
          <w:p w:rsidR="00D724E8" w:rsidRPr="005E5C54" w:rsidRDefault="00D724E8" w:rsidP="005E5C54">
            <w:pPr>
              <w:jc w:val="center"/>
              <w:rPr>
                <w:sz w:val="20"/>
              </w:rPr>
            </w:pPr>
            <w:r w:rsidRPr="005E5C54">
              <w:rPr>
                <w:sz w:val="20"/>
              </w:rPr>
              <w:t>0.4%</w:t>
            </w:r>
          </w:p>
        </w:tc>
      </w:tr>
    </w:tbl>
    <w:p w:rsidR="0047763C" w:rsidRDefault="0047763C" w:rsidP="00D24F61">
      <w:pPr>
        <w:pStyle w:val="Footnote"/>
        <w:jc w:val="left"/>
        <w:rPr>
          <w:rFonts w:cs="Arial"/>
          <w:color w:val="auto"/>
        </w:rPr>
      </w:pPr>
      <w:r w:rsidRPr="006A259B">
        <w:rPr>
          <w:rFonts w:cs="Arial"/>
          <w:color w:val="auto"/>
        </w:rPr>
        <w:t xml:space="preserve">* Percentage change figures are calculated from </w:t>
      </w:r>
      <w:r>
        <w:rPr>
          <w:rFonts w:cs="Arial"/>
          <w:color w:val="auto"/>
        </w:rPr>
        <w:t>median rents in the region</w:t>
      </w:r>
    </w:p>
    <w:p w:rsidR="00CB793D" w:rsidRDefault="00CB793D" w:rsidP="00CB793D">
      <w:pPr>
        <w:rPr>
          <w:rFonts w:cs="Arial"/>
        </w:rPr>
      </w:pPr>
    </w:p>
    <w:p w:rsidR="00344376" w:rsidRPr="00D41879" w:rsidRDefault="00344376" w:rsidP="00344376">
      <w:r w:rsidRPr="00D41879">
        <w:t xml:space="preserve">Over the 12 months to the </w:t>
      </w:r>
      <w:r>
        <w:t>December quarter,</w:t>
      </w:r>
      <w:r w:rsidRPr="00D41879">
        <w:t xml:space="preserve"> </w:t>
      </w:r>
      <w:r>
        <w:t>the median rent</w:t>
      </w:r>
      <w:r w:rsidRPr="00D41879">
        <w:t xml:space="preserve"> </w:t>
      </w:r>
      <w:r>
        <w:t xml:space="preserve">in </w:t>
      </w:r>
      <w:r w:rsidRPr="00D41879">
        <w:t>metropolitan Melbourne</w:t>
      </w:r>
      <w:r>
        <w:t xml:space="preserve"> </w:t>
      </w:r>
      <w:r w:rsidRPr="00D41879">
        <w:t xml:space="preserve">increased in </w:t>
      </w:r>
      <w:r>
        <w:t xml:space="preserve">Mornington Peninsula (6.1%), </w:t>
      </w:r>
      <w:r w:rsidRPr="00D41879">
        <w:t xml:space="preserve">South Eastern </w:t>
      </w:r>
      <w:r>
        <w:t>Melbourne (4.8%), Western Melbourne (3.0%), North Western Melbourne (2.9%), Outer Eastern Melbourne (2.8%), Inner Eastern Melbourne (2.4%) and Southern Melbourne (2.4</w:t>
      </w:r>
      <w:r w:rsidRPr="00D41879">
        <w:t>%)</w:t>
      </w:r>
      <w:r>
        <w:t xml:space="preserve">. It remained steady in </w:t>
      </w:r>
      <w:r w:rsidRPr="00D41879">
        <w:t xml:space="preserve">North Eastern </w:t>
      </w:r>
      <w:r>
        <w:t xml:space="preserve">Melbourne </w:t>
      </w:r>
      <w:r>
        <w:lastRenderedPageBreak/>
        <w:t>and decreased in Inner Melbourne (-1.1%). In</w:t>
      </w:r>
      <w:r w:rsidRPr="00D41879">
        <w:t xml:space="preserve"> regional Victoria, </w:t>
      </w:r>
      <w:r>
        <w:t>the median rent</w:t>
      </w:r>
      <w:r w:rsidRPr="00D41879">
        <w:t xml:space="preserve"> increased in</w:t>
      </w:r>
      <w:r w:rsidRPr="003A00A1">
        <w:t xml:space="preserve"> </w:t>
      </w:r>
      <w:r>
        <w:t xml:space="preserve">Gippsland (4.0%), </w:t>
      </w:r>
      <w:r w:rsidRPr="00D41879">
        <w:t>Loddon-Mallee</w:t>
      </w:r>
      <w:r>
        <w:t xml:space="preserve"> (3.7%) and Central Highlands-Wimmera (0.4%). It remained steady in Barwon-South West and Goulburn-Ovens-Murray.</w:t>
      </w:r>
    </w:p>
    <w:p w:rsidR="00344376" w:rsidRPr="006A259B" w:rsidRDefault="00344376" w:rsidP="00CB793D">
      <w:pPr>
        <w:rPr>
          <w:rFonts w:cs="Arial"/>
        </w:rPr>
      </w:pPr>
    </w:p>
    <w:p w:rsidR="0047763C" w:rsidRPr="00C823FC" w:rsidRDefault="0047763C" w:rsidP="005A1E70">
      <w:pPr>
        <w:pStyle w:val="DHSheadingB"/>
        <w:rPr>
          <w:rFonts w:cs="Arial"/>
        </w:rPr>
      </w:pPr>
      <w:r w:rsidRPr="00C823FC">
        <w:rPr>
          <w:rFonts w:cs="Arial"/>
        </w:rPr>
        <w:t>Median rents by major property types</w:t>
      </w:r>
    </w:p>
    <w:p w:rsidR="0047763C" w:rsidRPr="000F3B39" w:rsidRDefault="0047763C" w:rsidP="0099180B">
      <w:pPr>
        <w:rPr>
          <w:rFonts w:cs="Arial"/>
          <w:szCs w:val="20"/>
        </w:rPr>
      </w:pPr>
      <w:r w:rsidRPr="000F3B39">
        <w:rPr>
          <w:rFonts w:cs="Arial"/>
          <w:szCs w:val="20"/>
        </w:rPr>
        <w:t xml:space="preserve">Table 3 provides the median rents for new lettings in the </w:t>
      </w:r>
      <w:r w:rsidR="004B57AE">
        <w:rPr>
          <w:rFonts w:cs="Arial"/>
          <w:szCs w:val="20"/>
        </w:rPr>
        <w:t>December</w:t>
      </w:r>
      <w:r w:rsidRPr="000F3B39">
        <w:rPr>
          <w:rFonts w:cs="Arial"/>
          <w:szCs w:val="20"/>
        </w:rPr>
        <w:t xml:space="preserve"> quarter </w:t>
      </w:r>
      <w:r w:rsidR="0003709A">
        <w:rPr>
          <w:rFonts w:cs="Arial"/>
          <w:szCs w:val="20"/>
        </w:rPr>
        <w:t>201</w:t>
      </w:r>
      <w:r w:rsidR="00496312">
        <w:rPr>
          <w:rFonts w:cs="Arial"/>
          <w:szCs w:val="20"/>
        </w:rPr>
        <w:t>5</w:t>
      </w:r>
      <w:r w:rsidRPr="000F3B39">
        <w:rPr>
          <w:rFonts w:cs="Arial"/>
          <w:szCs w:val="20"/>
        </w:rPr>
        <w:t xml:space="preserve"> for the six major property types for metropolitan Melbourne and regional Victoria as well as the quarterly and annual change in the relevant Rent Index for each property type. </w:t>
      </w:r>
    </w:p>
    <w:p w:rsidR="0047763C" w:rsidRPr="000F3B39" w:rsidRDefault="0047763C" w:rsidP="0099180B">
      <w:pPr>
        <w:rPr>
          <w:rFonts w:cs="Arial"/>
          <w:szCs w:val="20"/>
        </w:rPr>
      </w:pPr>
    </w:p>
    <w:p w:rsidR="0047763C" w:rsidRDefault="0047763C" w:rsidP="0099180B">
      <w:pPr>
        <w:rPr>
          <w:rFonts w:cs="Arial"/>
          <w:szCs w:val="22"/>
        </w:rPr>
      </w:pPr>
      <w:r w:rsidRPr="000F3B39">
        <w:rPr>
          <w:rFonts w:cs="Arial"/>
          <w:szCs w:val="20"/>
        </w:rPr>
        <w:t xml:space="preserve">In metropolitan Melbourne, the </w:t>
      </w:r>
      <w:r w:rsidR="0003709A">
        <w:rPr>
          <w:rFonts w:cs="Arial"/>
          <w:szCs w:val="20"/>
        </w:rPr>
        <w:t xml:space="preserve">highest median rent </w:t>
      </w:r>
      <w:r w:rsidR="00074E3E">
        <w:rPr>
          <w:rFonts w:cs="Arial"/>
          <w:szCs w:val="20"/>
        </w:rPr>
        <w:t>is for four-</w:t>
      </w:r>
      <w:r>
        <w:rPr>
          <w:rFonts w:cs="Arial"/>
          <w:szCs w:val="20"/>
        </w:rPr>
        <w:t>bedroom houses</w:t>
      </w:r>
      <w:r w:rsidR="0067463B">
        <w:rPr>
          <w:rFonts w:cs="Arial"/>
          <w:szCs w:val="20"/>
        </w:rPr>
        <w:t xml:space="preserve"> ($42</w:t>
      </w:r>
      <w:r w:rsidR="00074E3E">
        <w:rPr>
          <w:rFonts w:cs="Arial"/>
          <w:szCs w:val="20"/>
        </w:rPr>
        <w:t>0</w:t>
      </w:r>
      <w:r w:rsidR="00074E3E" w:rsidRPr="000F3B39">
        <w:rPr>
          <w:rFonts w:cs="Arial"/>
          <w:szCs w:val="20"/>
        </w:rPr>
        <w:t xml:space="preserve"> per week)</w:t>
      </w:r>
      <w:r>
        <w:rPr>
          <w:rFonts w:cs="Arial"/>
          <w:szCs w:val="20"/>
        </w:rPr>
        <w:t xml:space="preserve">. The lowest median rent </w:t>
      </w:r>
      <w:r w:rsidR="00074E3E">
        <w:rPr>
          <w:rFonts w:cs="Arial"/>
          <w:szCs w:val="20"/>
        </w:rPr>
        <w:t>is for one-</w:t>
      </w:r>
      <w:r w:rsidRPr="00887570">
        <w:rPr>
          <w:rFonts w:cs="Arial"/>
          <w:szCs w:val="20"/>
        </w:rPr>
        <w:t>bedroom flats</w:t>
      </w:r>
      <w:r w:rsidR="00EA4989">
        <w:rPr>
          <w:rFonts w:cs="Arial"/>
          <w:szCs w:val="20"/>
        </w:rPr>
        <w:t xml:space="preserve"> ($329</w:t>
      </w:r>
      <w:r w:rsidR="00074E3E" w:rsidRPr="00887570">
        <w:rPr>
          <w:rFonts w:cs="Arial"/>
          <w:szCs w:val="20"/>
        </w:rPr>
        <w:t xml:space="preserve"> per week)</w:t>
      </w:r>
      <w:r w:rsidRPr="00887570">
        <w:rPr>
          <w:rFonts w:cs="Arial"/>
          <w:szCs w:val="20"/>
        </w:rPr>
        <w:t xml:space="preserve">. </w:t>
      </w:r>
      <w:r>
        <w:rPr>
          <w:rFonts w:cs="Arial"/>
          <w:szCs w:val="20"/>
        </w:rPr>
        <w:t>The a</w:t>
      </w:r>
      <w:r w:rsidRPr="00887570">
        <w:rPr>
          <w:rFonts w:cs="Arial"/>
          <w:szCs w:val="20"/>
        </w:rPr>
        <w:t xml:space="preserve">nnual </w:t>
      </w:r>
      <w:r w:rsidR="0067463B">
        <w:rPr>
          <w:rFonts w:cs="Arial"/>
          <w:szCs w:val="22"/>
        </w:rPr>
        <w:t>change</w:t>
      </w:r>
      <w:r w:rsidRPr="000B458D">
        <w:rPr>
          <w:rFonts w:cs="Arial"/>
          <w:szCs w:val="22"/>
        </w:rPr>
        <w:t xml:space="preserve"> in the property type Rent Index in metropolitan Melbourne ranged from </w:t>
      </w:r>
      <w:r w:rsidR="00EA4989">
        <w:rPr>
          <w:rFonts w:cs="Arial"/>
          <w:szCs w:val="22"/>
        </w:rPr>
        <w:t>an increase of 1.3</w:t>
      </w:r>
      <w:r w:rsidR="0067463B">
        <w:rPr>
          <w:rFonts w:cs="Arial"/>
          <w:szCs w:val="22"/>
        </w:rPr>
        <w:t xml:space="preserve"> </w:t>
      </w:r>
      <w:r w:rsidR="00ED1D5B">
        <w:rPr>
          <w:rFonts w:cs="Arial"/>
          <w:color w:val="000000"/>
          <w:szCs w:val="22"/>
          <w:lang w:eastAsia="en-AU"/>
        </w:rPr>
        <w:t xml:space="preserve">per cent for </w:t>
      </w:r>
      <w:r w:rsidR="00EA4989">
        <w:rPr>
          <w:rFonts w:cs="Arial"/>
          <w:szCs w:val="20"/>
        </w:rPr>
        <w:t>one</w:t>
      </w:r>
      <w:r w:rsidR="00ED1D5B">
        <w:rPr>
          <w:rFonts w:cs="Arial"/>
          <w:szCs w:val="20"/>
        </w:rPr>
        <w:t xml:space="preserve">-bedroom </w:t>
      </w:r>
      <w:r w:rsidR="00EA4989">
        <w:rPr>
          <w:rFonts w:cs="Arial"/>
          <w:szCs w:val="20"/>
        </w:rPr>
        <w:t>flats to 4.0</w:t>
      </w:r>
      <w:r w:rsidRPr="000B458D">
        <w:rPr>
          <w:rFonts w:cs="Arial"/>
          <w:color w:val="000000"/>
          <w:szCs w:val="22"/>
          <w:lang w:eastAsia="en-AU"/>
        </w:rPr>
        <w:t xml:space="preserve"> per cent for </w:t>
      </w:r>
      <w:r w:rsidR="00EA4989">
        <w:rPr>
          <w:rFonts w:cs="Arial"/>
          <w:szCs w:val="20"/>
        </w:rPr>
        <w:t>two</w:t>
      </w:r>
      <w:r w:rsidR="00ED1D5B">
        <w:rPr>
          <w:rFonts w:cs="Arial"/>
          <w:szCs w:val="20"/>
        </w:rPr>
        <w:t xml:space="preserve">-bedroom </w:t>
      </w:r>
      <w:r w:rsidR="00EA4989">
        <w:rPr>
          <w:rFonts w:cs="Arial"/>
          <w:szCs w:val="20"/>
        </w:rPr>
        <w:t>flats</w:t>
      </w:r>
      <w:r w:rsidR="00ED1D5B">
        <w:rPr>
          <w:rFonts w:cs="Arial"/>
          <w:color w:val="000000"/>
          <w:szCs w:val="22"/>
          <w:lang w:eastAsia="en-AU"/>
        </w:rPr>
        <w:t xml:space="preserve">. </w:t>
      </w:r>
      <w:r w:rsidR="005C23FE">
        <w:rPr>
          <w:rFonts w:cs="Arial"/>
          <w:szCs w:val="22"/>
        </w:rPr>
        <w:t xml:space="preserve">The quarterly change in the Rent Index </w:t>
      </w:r>
      <w:r w:rsidR="0003709A">
        <w:rPr>
          <w:rFonts w:cs="Arial"/>
          <w:szCs w:val="22"/>
        </w:rPr>
        <w:t>in</w:t>
      </w:r>
      <w:r w:rsidR="005C23FE">
        <w:rPr>
          <w:rFonts w:cs="Arial"/>
          <w:szCs w:val="22"/>
        </w:rPr>
        <w:t xml:space="preserve">creased for </w:t>
      </w:r>
      <w:r w:rsidR="0003709A">
        <w:rPr>
          <w:rFonts w:cs="Arial"/>
          <w:szCs w:val="22"/>
        </w:rPr>
        <w:t xml:space="preserve">all property types except </w:t>
      </w:r>
      <w:r w:rsidR="00EA4989">
        <w:rPr>
          <w:rFonts w:cs="Arial"/>
          <w:szCs w:val="22"/>
        </w:rPr>
        <w:t>three</w:t>
      </w:r>
      <w:r w:rsidR="00074E3E">
        <w:rPr>
          <w:rFonts w:cs="Arial"/>
          <w:szCs w:val="22"/>
        </w:rPr>
        <w:t>-</w:t>
      </w:r>
      <w:r w:rsidR="005C23FE">
        <w:rPr>
          <w:rFonts w:cs="Arial"/>
          <w:szCs w:val="22"/>
        </w:rPr>
        <w:t>bedroom flats</w:t>
      </w:r>
      <w:r w:rsidR="00EA4989">
        <w:rPr>
          <w:rFonts w:cs="Arial"/>
          <w:szCs w:val="22"/>
        </w:rPr>
        <w:t xml:space="preserve"> which remained steady</w:t>
      </w:r>
      <w:r w:rsidR="00D938BD">
        <w:rPr>
          <w:rFonts w:cs="Arial"/>
          <w:szCs w:val="22"/>
        </w:rPr>
        <w:t>.</w:t>
      </w:r>
    </w:p>
    <w:p w:rsidR="0003709A" w:rsidRPr="000F3B39" w:rsidRDefault="0003709A" w:rsidP="0099180B">
      <w:pPr>
        <w:rPr>
          <w:rFonts w:cs="Arial"/>
          <w:szCs w:val="20"/>
        </w:rPr>
      </w:pPr>
    </w:p>
    <w:p w:rsidR="0047763C" w:rsidRPr="000F3B39" w:rsidRDefault="0047763C" w:rsidP="00887570">
      <w:pPr>
        <w:rPr>
          <w:rFonts w:cs="Arial"/>
          <w:szCs w:val="20"/>
        </w:rPr>
      </w:pPr>
      <w:r w:rsidRPr="000F3B39">
        <w:rPr>
          <w:rFonts w:cs="Arial"/>
          <w:szCs w:val="20"/>
        </w:rPr>
        <w:t>In regional Victoria, the highest median re</w:t>
      </w:r>
      <w:r>
        <w:rPr>
          <w:rFonts w:cs="Arial"/>
          <w:szCs w:val="20"/>
        </w:rPr>
        <w:t xml:space="preserve">nt </w:t>
      </w:r>
      <w:r w:rsidR="00074E3E">
        <w:rPr>
          <w:rFonts w:cs="Arial"/>
          <w:szCs w:val="20"/>
        </w:rPr>
        <w:t>is for four-</w:t>
      </w:r>
      <w:r w:rsidRPr="000F3B39">
        <w:rPr>
          <w:rFonts w:cs="Arial"/>
          <w:szCs w:val="20"/>
        </w:rPr>
        <w:t>bedroom hous</w:t>
      </w:r>
      <w:r w:rsidR="0003709A">
        <w:rPr>
          <w:rFonts w:cs="Arial"/>
          <w:szCs w:val="20"/>
        </w:rPr>
        <w:t>es</w:t>
      </w:r>
      <w:r w:rsidR="00EA4989">
        <w:rPr>
          <w:rFonts w:cs="Arial"/>
          <w:szCs w:val="20"/>
        </w:rPr>
        <w:t xml:space="preserve"> ($36</w:t>
      </w:r>
      <w:r w:rsidR="00074E3E">
        <w:rPr>
          <w:rFonts w:cs="Arial"/>
          <w:szCs w:val="20"/>
        </w:rPr>
        <w:t>0</w:t>
      </w:r>
      <w:r w:rsidR="00074E3E" w:rsidRPr="000F3B39">
        <w:rPr>
          <w:rFonts w:cs="Arial"/>
          <w:szCs w:val="20"/>
        </w:rPr>
        <w:t xml:space="preserve"> per week)</w:t>
      </w:r>
      <w:r w:rsidR="0003709A">
        <w:rPr>
          <w:rFonts w:cs="Arial"/>
          <w:szCs w:val="20"/>
        </w:rPr>
        <w:t xml:space="preserve">. The lowest median rent </w:t>
      </w:r>
      <w:r w:rsidR="00074E3E">
        <w:rPr>
          <w:rFonts w:cs="Arial"/>
          <w:szCs w:val="20"/>
        </w:rPr>
        <w:t>is for one-</w:t>
      </w:r>
      <w:r w:rsidRPr="000F3B39">
        <w:rPr>
          <w:rFonts w:cs="Arial"/>
          <w:szCs w:val="20"/>
        </w:rPr>
        <w:t>bedroom flats</w:t>
      </w:r>
      <w:r w:rsidR="00EA4989">
        <w:rPr>
          <w:rFonts w:cs="Arial"/>
          <w:szCs w:val="20"/>
        </w:rPr>
        <w:t xml:space="preserve"> ($175</w:t>
      </w:r>
      <w:r w:rsidR="00074E3E" w:rsidRPr="000F3B39">
        <w:rPr>
          <w:rFonts w:cs="Arial"/>
          <w:szCs w:val="20"/>
        </w:rPr>
        <w:t xml:space="preserve"> per week)</w:t>
      </w:r>
      <w:r w:rsidRPr="000F3B39">
        <w:rPr>
          <w:rFonts w:cs="Arial"/>
          <w:szCs w:val="20"/>
        </w:rPr>
        <w:t xml:space="preserve">. </w:t>
      </w:r>
      <w:r w:rsidR="005C23FE">
        <w:rPr>
          <w:rFonts w:cs="Arial"/>
          <w:szCs w:val="20"/>
        </w:rPr>
        <w:t xml:space="preserve">The annual </w:t>
      </w:r>
      <w:r w:rsidR="0067463B">
        <w:rPr>
          <w:rFonts w:cs="Arial"/>
          <w:szCs w:val="20"/>
        </w:rPr>
        <w:t>change</w:t>
      </w:r>
      <w:r w:rsidR="005C23FE">
        <w:rPr>
          <w:rFonts w:cs="Arial"/>
          <w:szCs w:val="20"/>
        </w:rPr>
        <w:t xml:space="preserve"> in the property type </w:t>
      </w:r>
      <w:r w:rsidRPr="00887570">
        <w:rPr>
          <w:rFonts w:cs="Arial"/>
          <w:szCs w:val="20"/>
        </w:rPr>
        <w:t xml:space="preserve">Rent Index </w:t>
      </w:r>
      <w:r w:rsidRPr="000F3B39">
        <w:rPr>
          <w:rFonts w:cs="Arial"/>
          <w:szCs w:val="20"/>
        </w:rPr>
        <w:t xml:space="preserve">ranged from </w:t>
      </w:r>
      <w:r w:rsidR="00EA4989">
        <w:rPr>
          <w:rFonts w:cs="Arial"/>
          <w:szCs w:val="20"/>
        </w:rPr>
        <w:t>an increase of 0</w:t>
      </w:r>
      <w:r w:rsidR="0067463B">
        <w:rPr>
          <w:rFonts w:cs="Arial"/>
          <w:szCs w:val="20"/>
        </w:rPr>
        <w:t>.6</w:t>
      </w:r>
      <w:r w:rsidR="00367435">
        <w:rPr>
          <w:rFonts w:cs="Arial"/>
          <w:szCs w:val="20"/>
        </w:rPr>
        <w:t xml:space="preserve"> per cent for </w:t>
      </w:r>
      <w:r w:rsidR="0067463B">
        <w:rPr>
          <w:rFonts w:cs="Arial"/>
          <w:szCs w:val="20"/>
        </w:rPr>
        <w:t>two</w:t>
      </w:r>
      <w:r w:rsidR="00367435">
        <w:rPr>
          <w:rFonts w:cs="Arial"/>
          <w:szCs w:val="20"/>
        </w:rPr>
        <w:t xml:space="preserve">-bedroom </w:t>
      </w:r>
      <w:r w:rsidR="0067463B">
        <w:rPr>
          <w:rFonts w:cs="Arial"/>
          <w:szCs w:val="20"/>
        </w:rPr>
        <w:t>houses</w:t>
      </w:r>
      <w:r w:rsidR="00367435">
        <w:rPr>
          <w:rFonts w:cs="Arial"/>
          <w:szCs w:val="20"/>
        </w:rPr>
        <w:t xml:space="preserve"> </w:t>
      </w:r>
      <w:r w:rsidRPr="000F3B39">
        <w:rPr>
          <w:rFonts w:cs="Arial"/>
          <w:szCs w:val="20"/>
        </w:rPr>
        <w:t xml:space="preserve">to </w:t>
      </w:r>
      <w:r w:rsidR="005C23FE">
        <w:rPr>
          <w:rFonts w:cs="Arial"/>
          <w:szCs w:val="20"/>
        </w:rPr>
        <w:t xml:space="preserve">an increase of </w:t>
      </w:r>
      <w:r w:rsidR="00EA4989">
        <w:rPr>
          <w:rFonts w:cs="Arial"/>
          <w:szCs w:val="20"/>
        </w:rPr>
        <w:t>3.3</w:t>
      </w:r>
      <w:r w:rsidRPr="000F3B39">
        <w:rPr>
          <w:rFonts w:cs="Arial"/>
          <w:szCs w:val="20"/>
        </w:rPr>
        <w:t xml:space="preserve"> per cent for </w:t>
      </w:r>
      <w:r w:rsidR="00EA4989">
        <w:rPr>
          <w:rFonts w:cs="Arial"/>
          <w:szCs w:val="20"/>
        </w:rPr>
        <w:t>four</w:t>
      </w:r>
      <w:r w:rsidR="00074E3E">
        <w:rPr>
          <w:rFonts w:cs="Arial"/>
          <w:szCs w:val="20"/>
        </w:rPr>
        <w:t>-</w:t>
      </w:r>
      <w:r w:rsidRPr="000F3B39">
        <w:rPr>
          <w:rFonts w:cs="Arial"/>
          <w:szCs w:val="20"/>
        </w:rPr>
        <w:t xml:space="preserve">bedroom </w:t>
      </w:r>
      <w:r w:rsidR="00EA4989">
        <w:rPr>
          <w:rFonts w:cs="Arial"/>
          <w:szCs w:val="20"/>
        </w:rPr>
        <w:t>houses</w:t>
      </w:r>
      <w:r w:rsidRPr="000F3B39">
        <w:rPr>
          <w:rFonts w:cs="Arial"/>
          <w:szCs w:val="20"/>
        </w:rPr>
        <w:t>.</w:t>
      </w:r>
      <w:r w:rsidR="005C23FE" w:rsidRPr="005C23FE">
        <w:rPr>
          <w:rFonts w:cs="Arial"/>
          <w:szCs w:val="22"/>
        </w:rPr>
        <w:t xml:space="preserve"> </w:t>
      </w:r>
      <w:r w:rsidR="005C23FE">
        <w:rPr>
          <w:rFonts w:cs="Arial"/>
          <w:szCs w:val="22"/>
        </w:rPr>
        <w:t xml:space="preserve">The </w:t>
      </w:r>
      <w:r w:rsidR="001F4C47">
        <w:rPr>
          <w:rFonts w:cs="Arial"/>
          <w:szCs w:val="22"/>
        </w:rPr>
        <w:t xml:space="preserve">quarterly property type </w:t>
      </w:r>
      <w:r w:rsidR="005C23FE">
        <w:rPr>
          <w:rFonts w:cs="Arial"/>
          <w:szCs w:val="22"/>
        </w:rPr>
        <w:t>Ren</w:t>
      </w:r>
      <w:r w:rsidR="0003709A">
        <w:rPr>
          <w:rFonts w:cs="Arial"/>
          <w:szCs w:val="22"/>
        </w:rPr>
        <w:t xml:space="preserve">t Index </w:t>
      </w:r>
      <w:r w:rsidR="001F4C47">
        <w:rPr>
          <w:rFonts w:cs="Arial"/>
          <w:szCs w:val="22"/>
        </w:rPr>
        <w:t>has de</w:t>
      </w:r>
      <w:r w:rsidR="00367435">
        <w:rPr>
          <w:rFonts w:cs="Arial"/>
          <w:szCs w:val="22"/>
        </w:rPr>
        <w:t xml:space="preserve">creased </w:t>
      </w:r>
      <w:r w:rsidR="001F4C47">
        <w:rPr>
          <w:rFonts w:cs="Arial"/>
          <w:szCs w:val="22"/>
        </w:rPr>
        <w:t xml:space="preserve">for one-bedroom and three-bedroom flats as well as two-bedroom houses, remained steady </w:t>
      </w:r>
      <w:r w:rsidR="00360F0B">
        <w:rPr>
          <w:rFonts w:cs="Arial"/>
          <w:szCs w:val="22"/>
        </w:rPr>
        <w:t>for</w:t>
      </w:r>
      <w:r w:rsidR="001F4C47">
        <w:rPr>
          <w:rFonts w:cs="Arial"/>
          <w:szCs w:val="22"/>
        </w:rPr>
        <w:t xml:space="preserve"> two-bedroom flats and, increased for three-bedroom and four-bedroom houses</w:t>
      </w:r>
      <w:r w:rsidR="005C23FE">
        <w:rPr>
          <w:rFonts w:cs="Arial"/>
          <w:szCs w:val="22"/>
        </w:rPr>
        <w:t>.</w:t>
      </w:r>
    </w:p>
    <w:p w:rsidR="0047763C" w:rsidRDefault="0047763C" w:rsidP="0099180B">
      <w:pPr>
        <w:rPr>
          <w:rFonts w:cs="Arial"/>
        </w:rPr>
      </w:pPr>
    </w:p>
    <w:p w:rsidR="0047763C" w:rsidRPr="008C44FD" w:rsidRDefault="0047763C" w:rsidP="0099180B">
      <w:pPr>
        <w:rPr>
          <w:rFonts w:cs="Arial"/>
        </w:rPr>
      </w:pPr>
      <w:r w:rsidRPr="000854B6">
        <w:rPr>
          <w:rFonts w:cs="Arial"/>
          <w:szCs w:val="22"/>
          <w:u w:val="single"/>
        </w:rPr>
        <w:t>Note</w:t>
      </w:r>
      <w:r w:rsidRPr="00216C85">
        <w:rPr>
          <w:rFonts w:cs="Arial"/>
          <w:szCs w:val="22"/>
        </w:rPr>
        <w:t>: The metropolitan Melbourne medians reflect the geographic distribution of different property types. Houses tend to be the dominant rental property type in outer metropolitan areas, whereas flats are more prevalent in areas closer to the centre of Melbourne.</w:t>
      </w:r>
    </w:p>
    <w:p w:rsidR="0047763C" w:rsidRDefault="0047763C" w:rsidP="00405B10">
      <w:pPr>
        <w:pStyle w:val="DHSheadingD"/>
        <w:rPr>
          <w:rFonts w:cs="Arial"/>
          <w:lang w:val="en-US"/>
        </w:rPr>
      </w:pPr>
      <w:r w:rsidRPr="00706644">
        <w:rPr>
          <w:rFonts w:cs="Arial"/>
          <w:lang w:val="en-US"/>
        </w:rPr>
        <w:t xml:space="preserve">Table 3: </w:t>
      </w:r>
      <w:r w:rsidR="00580EEA">
        <w:rPr>
          <w:rFonts w:cs="Arial"/>
          <w:lang w:val="en-US"/>
        </w:rPr>
        <w:t>Dec</w:t>
      </w:r>
      <w:r w:rsidR="00D728F5">
        <w:rPr>
          <w:rFonts w:cs="Arial"/>
          <w:lang w:val="en-US"/>
        </w:rPr>
        <w:t>ember</w:t>
      </w:r>
      <w:r>
        <w:rPr>
          <w:rFonts w:cs="Arial"/>
          <w:lang w:val="en-US"/>
        </w:rPr>
        <w:t xml:space="preserve"> quarter m</w:t>
      </w:r>
      <w:r w:rsidRPr="00706644">
        <w:rPr>
          <w:rFonts w:cs="Arial"/>
          <w:lang w:val="en-US"/>
        </w:rPr>
        <w:t xml:space="preserve">edian rents by major property types </w:t>
      </w:r>
    </w:p>
    <w:tbl>
      <w:tblPr>
        <w:tblW w:w="10159" w:type="dxa"/>
        <w:tblBorders>
          <w:top w:val="single" w:sz="18" w:space="0" w:color="9DAECB"/>
          <w:bottom w:val="single" w:sz="2" w:space="0" w:color="9DAECB"/>
          <w:insideH w:val="single" w:sz="2" w:space="0" w:color="9DAECB"/>
        </w:tblBorders>
        <w:tblLook w:val="04A0" w:firstRow="1" w:lastRow="0" w:firstColumn="1" w:lastColumn="0" w:noHBand="0" w:noVBand="1"/>
      </w:tblPr>
      <w:tblGrid>
        <w:gridCol w:w="1970"/>
        <w:gridCol w:w="1971"/>
        <w:gridCol w:w="1971"/>
        <w:gridCol w:w="2276"/>
        <w:gridCol w:w="1971"/>
      </w:tblGrid>
      <w:tr w:rsidR="0047763C" w:rsidRPr="007E091F" w:rsidTr="00DF3BA6">
        <w:tc>
          <w:tcPr>
            <w:tcW w:w="1970" w:type="dxa"/>
            <w:tcBorders>
              <w:top w:val="single" w:sz="18" w:space="0" w:color="9DAECB"/>
            </w:tcBorders>
          </w:tcPr>
          <w:p w:rsidR="0047763C" w:rsidRPr="00C95655" w:rsidRDefault="0047763C" w:rsidP="007E091F">
            <w:pPr>
              <w:pStyle w:val="DHSbodycopytable"/>
              <w:rPr>
                <w:rFonts w:cs="Arial"/>
                <w:b/>
                <w:sz w:val="20"/>
              </w:rPr>
            </w:pPr>
          </w:p>
        </w:tc>
        <w:tc>
          <w:tcPr>
            <w:tcW w:w="1971" w:type="dxa"/>
            <w:tcBorders>
              <w:top w:val="single" w:sz="18" w:space="0" w:color="9DAECB"/>
            </w:tcBorders>
            <w:shd w:val="clear" w:color="auto" w:fill="DEE4EE"/>
            <w:vAlign w:val="center"/>
          </w:tcPr>
          <w:p w:rsidR="0047763C" w:rsidRPr="00C95655" w:rsidRDefault="0047763C" w:rsidP="007B6A59">
            <w:pPr>
              <w:pStyle w:val="DHSbodycopytable"/>
              <w:rPr>
                <w:rFonts w:cs="Arial"/>
                <w:b/>
                <w:sz w:val="20"/>
              </w:rPr>
            </w:pPr>
            <w:r w:rsidRPr="00C95655">
              <w:rPr>
                <w:rFonts w:cs="Arial"/>
                <w:b/>
                <w:sz w:val="20"/>
              </w:rPr>
              <w:t>Property Type</w:t>
            </w:r>
          </w:p>
        </w:tc>
        <w:tc>
          <w:tcPr>
            <w:tcW w:w="1971" w:type="dxa"/>
            <w:tcBorders>
              <w:top w:val="single" w:sz="18" w:space="0" w:color="9DAECB"/>
            </w:tcBorders>
            <w:vAlign w:val="center"/>
          </w:tcPr>
          <w:p w:rsidR="0047763C" w:rsidRPr="00C95655" w:rsidRDefault="0047763C" w:rsidP="00C95655">
            <w:pPr>
              <w:pStyle w:val="DHSbodycopytable"/>
              <w:jc w:val="center"/>
              <w:rPr>
                <w:rFonts w:cs="Arial"/>
                <w:b/>
                <w:sz w:val="20"/>
              </w:rPr>
            </w:pPr>
            <w:r w:rsidRPr="00C95655">
              <w:rPr>
                <w:rFonts w:cs="Arial"/>
                <w:b/>
                <w:sz w:val="20"/>
              </w:rPr>
              <w:t>Median Rent</w:t>
            </w:r>
          </w:p>
        </w:tc>
        <w:tc>
          <w:tcPr>
            <w:tcW w:w="2276" w:type="dxa"/>
            <w:tcBorders>
              <w:top w:val="single" w:sz="18" w:space="0" w:color="9DAECB"/>
            </w:tcBorders>
            <w:shd w:val="clear" w:color="auto" w:fill="DEE4EE"/>
            <w:vAlign w:val="center"/>
          </w:tcPr>
          <w:p w:rsidR="0047763C" w:rsidRPr="00C95655" w:rsidRDefault="0047763C" w:rsidP="00C95655">
            <w:pPr>
              <w:pStyle w:val="DHSbodycopytable"/>
              <w:jc w:val="center"/>
              <w:rPr>
                <w:rFonts w:cs="Arial"/>
                <w:b/>
                <w:sz w:val="20"/>
              </w:rPr>
            </w:pPr>
            <w:r w:rsidRPr="00C95655">
              <w:rPr>
                <w:rFonts w:cs="Arial"/>
                <w:b/>
                <w:sz w:val="20"/>
              </w:rPr>
              <w:t>Quarterly Change*</w:t>
            </w:r>
          </w:p>
        </w:tc>
        <w:tc>
          <w:tcPr>
            <w:tcW w:w="1971" w:type="dxa"/>
            <w:tcBorders>
              <w:top w:val="single" w:sz="18" w:space="0" w:color="9DAECB"/>
            </w:tcBorders>
            <w:vAlign w:val="center"/>
          </w:tcPr>
          <w:p w:rsidR="0047763C" w:rsidRPr="00C95655" w:rsidRDefault="0047763C" w:rsidP="00C95655">
            <w:pPr>
              <w:pStyle w:val="DHSbodycopytable"/>
              <w:jc w:val="center"/>
              <w:rPr>
                <w:rFonts w:cs="Arial"/>
                <w:b/>
                <w:sz w:val="20"/>
              </w:rPr>
            </w:pPr>
            <w:r w:rsidRPr="00C95655">
              <w:rPr>
                <w:rFonts w:cs="Arial"/>
                <w:b/>
                <w:sz w:val="20"/>
              </w:rPr>
              <w:t>Annual Change*</w:t>
            </w:r>
          </w:p>
        </w:tc>
      </w:tr>
      <w:tr w:rsidR="00214589" w:rsidTr="005E5C54">
        <w:trPr>
          <w:trHeight w:hRule="exact" w:val="340"/>
        </w:trPr>
        <w:tc>
          <w:tcPr>
            <w:tcW w:w="1970" w:type="dxa"/>
            <w:vMerge w:val="restart"/>
          </w:tcPr>
          <w:p w:rsidR="00214589" w:rsidRPr="00C95655" w:rsidRDefault="00214589" w:rsidP="00ED1D5B">
            <w:pPr>
              <w:pStyle w:val="DHSbodycopytable"/>
              <w:rPr>
                <w:rFonts w:cs="Arial"/>
                <w:sz w:val="20"/>
              </w:rPr>
            </w:pPr>
            <w:r w:rsidRPr="00C95655">
              <w:rPr>
                <w:rFonts w:cs="Arial"/>
                <w:sz w:val="20"/>
              </w:rPr>
              <w:t>M</w:t>
            </w:r>
            <w:r>
              <w:rPr>
                <w:rFonts w:cs="Arial"/>
                <w:sz w:val="20"/>
              </w:rPr>
              <w:t>etropolitan</w:t>
            </w:r>
            <w:r>
              <w:rPr>
                <w:rFonts w:cs="Arial"/>
                <w:sz w:val="20"/>
              </w:rPr>
              <w:br/>
              <w:t>M</w:t>
            </w:r>
            <w:r w:rsidRPr="00C95655">
              <w:rPr>
                <w:rFonts w:cs="Arial"/>
                <w:sz w:val="20"/>
              </w:rPr>
              <w:t>elbourne</w:t>
            </w:r>
          </w:p>
        </w:tc>
        <w:tc>
          <w:tcPr>
            <w:tcW w:w="1971" w:type="dxa"/>
            <w:shd w:val="clear" w:color="auto" w:fill="DEE4EE"/>
            <w:vAlign w:val="center"/>
          </w:tcPr>
          <w:p w:rsidR="00214589" w:rsidRPr="00C95655" w:rsidRDefault="00214589" w:rsidP="00ED1D5B">
            <w:pPr>
              <w:pStyle w:val="DHSbodycopytable"/>
              <w:spacing w:after="0"/>
              <w:rPr>
                <w:rFonts w:cs="Arial"/>
                <w:sz w:val="20"/>
              </w:rPr>
            </w:pPr>
            <w:r w:rsidRPr="00C95655">
              <w:rPr>
                <w:rFonts w:cs="Arial"/>
                <w:sz w:val="20"/>
              </w:rPr>
              <w:t>1 Bed Flat</w:t>
            </w:r>
          </w:p>
        </w:tc>
        <w:tc>
          <w:tcPr>
            <w:tcW w:w="1971" w:type="dxa"/>
            <w:vAlign w:val="center"/>
          </w:tcPr>
          <w:p w:rsidR="00214589" w:rsidRPr="005E5C54" w:rsidRDefault="00214589" w:rsidP="005E5C54">
            <w:pPr>
              <w:jc w:val="center"/>
              <w:rPr>
                <w:sz w:val="20"/>
              </w:rPr>
            </w:pPr>
            <w:r w:rsidRPr="005E5C54">
              <w:rPr>
                <w:sz w:val="20"/>
              </w:rPr>
              <w:t>$329</w:t>
            </w:r>
          </w:p>
        </w:tc>
        <w:tc>
          <w:tcPr>
            <w:tcW w:w="2276" w:type="dxa"/>
            <w:shd w:val="clear" w:color="auto" w:fill="DEE4EE"/>
            <w:vAlign w:val="center"/>
          </w:tcPr>
          <w:p w:rsidR="00214589" w:rsidRPr="005E5C54" w:rsidRDefault="00214589" w:rsidP="005E5C54">
            <w:pPr>
              <w:jc w:val="center"/>
              <w:rPr>
                <w:sz w:val="20"/>
              </w:rPr>
            </w:pPr>
            <w:r w:rsidRPr="005E5C54">
              <w:rPr>
                <w:sz w:val="20"/>
              </w:rPr>
              <w:t>0.2%</w:t>
            </w:r>
          </w:p>
        </w:tc>
        <w:tc>
          <w:tcPr>
            <w:tcW w:w="1971" w:type="dxa"/>
            <w:vAlign w:val="center"/>
          </w:tcPr>
          <w:p w:rsidR="00214589" w:rsidRPr="005E5C54" w:rsidRDefault="00214589" w:rsidP="005E5C54">
            <w:pPr>
              <w:jc w:val="center"/>
              <w:rPr>
                <w:sz w:val="20"/>
              </w:rPr>
            </w:pPr>
            <w:r w:rsidRPr="005E5C54">
              <w:rPr>
                <w:sz w:val="20"/>
              </w:rPr>
              <w:t>1.3%</w:t>
            </w:r>
          </w:p>
        </w:tc>
      </w:tr>
      <w:tr w:rsidR="00214589" w:rsidTr="005E5C54">
        <w:trPr>
          <w:trHeight w:hRule="exact" w:val="340"/>
        </w:trPr>
        <w:tc>
          <w:tcPr>
            <w:tcW w:w="1970" w:type="dxa"/>
            <w:vMerge/>
            <w:vAlign w:val="center"/>
          </w:tcPr>
          <w:p w:rsidR="00214589" w:rsidRPr="00C95655" w:rsidRDefault="00214589" w:rsidP="00593F79">
            <w:pPr>
              <w:pStyle w:val="DHSbodycopytable"/>
              <w:rPr>
                <w:rFonts w:cs="Arial"/>
                <w:sz w:val="20"/>
                <w:lang w:val="en-US"/>
              </w:rPr>
            </w:pPr>
          </w:p>
        </w:tc>
        <w:tc>
          <w:tcPr>
            <w:tcW w:w="1971" w:type="dxa"/>
            <w:shd w:val="clear" w:color="auto" w:fill="DEE4EE"/>
            <w:vAlign w:val="center"/>
          </w:tcPr>
          <w:p w:rsidR="00214589" w:rsidRPr="00C95655" w:rsidRDefault="00214589" w:rsidP="00593F79">
            <w:pPr>
              <w:pStyle w:val="DHSbodycopytable"/>
              <w:spacing w:after="0"/>
              <w:rPr>
                <w:rFonts w:cs="Arial"/>
                <w:sz w:val="20"/>
              </w:rPr>
            </w:pPr>
            <w:r w:rsidRPr="00C95655">
              <w:rPr>
                <w:rFonts w:cs="Arial"/>
                <w:sz w:val="20"/>
              </w:rPr>
              <w:t>2 Bed Flat</w:t>
            </w:r>
          </w:p>
        </w:tc>
        <w:tc>
          <w:tcPr>
            <w:tcW w:w="1971" w:type="dxa"/>
            <w:vAlign w:val="center"/>
          </w:tcPr>
          <w:p w:rsidR="00214589" w:rsidRPr="005E5C54" w:rsidRDefault="00214589" w:rsidP="005E5C54">
            <w:pPr>
              <w:jc w:val="center"/>
              <w:rPr>
                <w:sz w:val="20"/>
              </w:rPr>
            </w:pPr>
            <w:r w:rsidRPr="005E5C54">
              <w:rPr>
                <w:sz w:val="20"/>
              </w:rPr>
              <w:t>$380</w:t>
            </w:r>
          </w:p>
        </w:tc>
        <w:tc>
          <w:tcPr>
            <w:tcW w:w="2276" w:type="dxa"/>
            <w:shd w:val="clear" w:color="auto" w:fill="DEE4EE"/>
            <w:vAlign w:val="center"/>
          </w:tcPr>
          <w:p w:rsidR="00214589" w:rsidRPr="005E5C54" w:rsidRDefault="00214589" w:rsidP="005E5C54">
            <w:pPr>
              <w:jc w:val="center"/>
              <w:rPr>
                <w:sz w:val="20"/>
              </w:rPr>
            </w:pPr>
            <w:r w:rsidRPr="005E5C54">
              <w:rPr>
                <w:sz w:val="20"/>
              </w:rPr>
              <w:t>0.1%</w:t>
            </w:r>
          </w:p>
        </w:tc>
        <w:tc>
          <w:tcPr>
            <w:tcW w:w="1971" w:type="dxa"/>
            <w:vAlign w:val="center"/>
          </w:tcPr>
          <w:p w:rsidR="00214589" w:rsidRPr="005E5C54" w:rsidRDefault="00214589" w:rsidP="005E5C54">
            <w:pPr>
              <w:jc w:val="center"/>
              <w:rPr>
                <w:sz w:val="20"/>
              </w:rPr>
            </w:pPr>
            <w:r w:rsidRPr="005E5C54">
              <w:rPr>
                <w:sz w:val="20"/>
              </w:rPr>
              <w:t>4.0%</w:t>
            </w:r>
          </w:p>
        </w:tc>
      </w:tr>
      <w:tr w:rsidR="00214589" w:rsidTr="005E5C54">
        <w:trPr>
          <w:trHeight w:hRule="exact" w:val="340"/>
        </w:trPr>
        <w:tc>
          <w:tcPr>
            <w:tcW w:w="1970" w:type="dxa"/>
            <w:vMerge/>
            <w:vAlign w:val="center"/>
          </w:tcPr>
          <w:p w:rsidR="00214589" w:rsidRPr="00C95655" w:rsidRDefault="00214589" w:rsidP="00593F79">
            <w:pPr>
              <w:pStyle w:val="DHSbodycopytable"/>
              <w:rPr>
                <w:rFonts w:cs="Arial"/>
                <w:sz w:val="20"/>
                <w:lang w:val="en-US"/>
              </w:rPr>
            </w:pPr>
          </w:p>
        </w:tc>
        <w:tc>
          <w:tcPr>
            <w:tcW w:w="1971" w:type="dxa"/>
            <w:shd w:val="clear" w:color="auto" w:fill="DEE4EE"/>
            <w:vAlign w:val="center"/>
          </w:tcPr>
          <w:p w:rsidR="00214589" w:rsidRPr="00C95655" w:rsidRDefault="00214589" w:rsidP="00593F79">
            <w:pPr>
              <w:pStyle w:val="DHSbodycopytable"/>
              <w:spacing w:after="0"/>
              <w:rPr>
                <w:rFonts w:cs="Arial"/>
                <w:sz w:val="20"/>
              </w:rPr>
            </w:pPr>
            <w:r w:rsidRPr="00C95655">
              <w:rPr>
                <w:rFonts w:cs="Arial"/>
                <w:sz w:val="20"/>
              </w:rPr>
              <w:t>3 Bed Flat</w:t>
            </w:r>
          </w:p>
        </w:tc>
        <w:tc>
          <w:tcPr>
            <w:tcW w:w="1971" w:type="dxa"/>
            <w:vAlign w:val="center"/>
          </w:tcPr>
          <w:p w:rsidR="00214589" w:rsidRPr="005E5C54" w:rsidRDefault="00214589" w:rsidP="005E5C54">
            <w:pPr>
              <w:jc w:val="center"/>
              <w:rPr>
                <w:sz w:val="20"/>
              </w:rPr>
            </w:pPr>
            <w:r w:rsidRPr="005E5C54">
              <w:rPr>
                <w:sz w:val="20"/>
              </w:rPr>
              <w:t>$410</w:t>
            </w:r>
          </w:p>
        </w:tc>
        <w:tc>
          <w:tcPr>
            <w:tcW w:w="2276" w:type="dxa"/>
            <w:shd w:val="clear" w:color="auto" w:fill="DEE4EE"/>
            <w:vAlign w:val="center"/>
          </w:tcPr>
          <w:p w:rsidR="00214589" w:rsidRPr="005E5C54" w:rsidRDefault="00214589" w:rsidP="005E5C54">
            <w:pPr>
              <w:jc w:val="center"/>
              <w:rPr>
                <w:sz w:val="20"/>
              </w:rPr>
            </w:pPr>
            <w:r w:rsidRPr="005E5C54">
              <w:rPr>
                <w:sz w:val="20"/>
              </w:rPr>
              <w:t>0.0%</w:t>
            </w:r>
          </w:p>
        </w:tc>
        <w:tc>
          <w:tcPr>
            <w:tcW w:w="1971" w:type="dxa"/>
            <w:vAlign w:val="center"/>
          </w:tcPr>
          <w:p w:rsidR="00214589" w:rsidRPr="005E5C54" w:rsidRDefault="00214589" w:rsidP="005E5C54">
            <w:pPr>
              <w:jc w:val="center"/>
              <w:rPr>
                <w:sz w:val="20"/>
              </w:rPr>
            </w:pPr>
            <w:r w:rsidRPr="005E5C54">
              <w:rPr>
                <w:sz w:val="20"/>
              </w:rPr>
              <w:t>3.5%</w:t>
            </w:r>
          </w:p>
        </w:tc>
      </w:tr>
      <w:tr w:rsidR="00214589" w:rsidTr="005E5C54">
        <w:trPr>
          <w:trHeight w:hRule="exact" w:val="340"/>
        </w:trPr>
        <w:tc>
          <w:tcPr>
            <w:tcW w:w="1970" w:type="dxa"/>
            <w:vMerge/>
            <w:vAlign w:val="center"/>
          </w:tcPr>
          <w:p w:rsidR="00214589" w:rsidRPr="00C95655" w:rsidRDefault="00214589" w:rsidP="00593F79">
            <w:pPr>
              <w:pStyle w:val="DHSbodycopytable"/>
              <w:rPr>
                <w:rFonts w:cs="Arial"/>
                <w:sz w:val="20"/>
                <w:lang w:val="en-US"/>
              </w:rPr>
            </w:pPr>
          </w:p>
        </w:tc>
        <w:tc>
          <w:tcPr>
            <w:tcW w:w="1971" w:type="dxa"/>
            <w:shd w:val="clear" w:color="auto" w:fill="DEE4EE"/>
            <w:vAlign w:val="center"/>
          </w:tcPr>
          <w:p w:rsidR="00214589" w:rsidRPr="00C95655" w:rsidRDefault="00214589" w:rsidP="00593F79">
            <w:pPr>
              <w:pStyle w:val="DHSbodycopytable"/>
              <w:spacing w:after="0"/>
              <w:rPr>
                <w:rFonts w:cs="Arial"/>
                <w:sz w:val="20"/>
              </w:rPr>
            </w:pPr>
            <w:r w:rsidRPr="00C95655">
              <w:rPr>
                <w:rFonts w:cs="Arial"/>
                <w:sz w:val="20"/>
              </w:rPr>
              <w:t>2 Bed House</w:t>
            </w:r>
          </w:p>
        </w:tc>
        <w:tc>
          <w:tcPr>
            <w:tcW w:w="1971" w:type="dxa"/>
            <w:vAlign w:val="center"/>
          </w:tcPr>
          <w:p w:rsidR="00214589" w:rsidRPr="005E5C54" w:rsidRDefault="00214589" w:rsidP="005E5C54">
            <w:pPr>
              <w:jc w:val="center"/>
              <w:rPr>
                <w:sz w:val="20"/>
              </w:rPr>
            </w:pPr>
            <w:r w:rsidRPr="005E5C54">
              <w:rPr>
                <w:sz w:val="20"/>
              </w:rPr>
              <w:t>$400</w:t>
            </w:r>
          </w:p>
        </w:tc>
        <w:tc>
          <w:tcPr>
            <w:tcW w:w="2276" w:type="dxa"/>
            <w:shd w:val="clear" w:color="auto" w:fill="DEE4EE"/>
            <w:vAlign w:val="center"/>
          </w:tcPr>
          <w:p w:rsidR="00214589" w:rsidRPr="005E5C54" w:rsidRDefault="00214589" w:rsidP="005E5C54">
            <w:pPr>
              <w:jc w:val="center"/>
              <w:rPr>
                <w:sz w:val="20"/>
              </w:rPr>
            </w:pPr>
            <w:r w:rsidRPr="005E5C54">
              <w:rPr>
                <w:sz w:val="20"/>
              </w:rPr>
              <w:t>0.2%</w:t>
            </w:r>
          </w:p>
        </w:tc>
        <w:tc>
          <w:tcPr>
            <w:tcW w:w="1971" w:type="dxa"/>
            <w:vAlign w:val="center"/>
          </w:tcPr>
          <w:p w:rsidR="00214589" w:rsidRPr="005E5C54" w:rsidRDefault="00214589" w:rsidP="005E5C54">
            <w:pPr>
              <w:jc w:val="center"/>
              <w:rPr>
                <w:sz w:val="20"/>
              </w:rPr>
            </w:pPr>
            <w:r w:rsidRPr="005E5C54">
              <w:rPr>
                <w:sz w:val="20"/>
              </w:rPr>
              <w:t>2.9%</w:t>
            </w:r>
          </w:p>
        </w:tc>
      </w:tr>
      <w:tr w:rsidR="00214589" w:rsidTr="005E5C54">
        <w:trPr>
          <w:trHeight w:hRule="exact" w:val="340"/>
        </w:trPr>
        <w:tc>
          <w:tcPr>
            <w:tcW w:w="1970" w:type="dxa"/>
            <w:vMerge/>
            <w:vAlign w:val="center"/>
          </w:tcPr>
          <w:p w:rsidR="00214589" w:rsidRPr="00C95655" w:rsidRDefault="00214589" w:rsidP="00593F79">
            <w:pPr>
              <w:pStyle w:val="DHSbodycopytable"/>
              <w:rPr>
                <w:rFonts w:cs="Arial"/>
                <w:sz w:val="20"/>
                <w:lang w:val="en-US"/>
              </w:rPr>
            </w:pPr>
          </w:p>
        </w:tc>
        <w:tc>
          <w:tcPr>
            <w:tcW w:w="1971" w:type="dxa"/>
            <w:shd w:val="clear" w:color="auto" w:fill="DEE4EE"/>
            <w:vAlign w:val="center"/>
          </w:tcPr>
          <w:p w:rsidR="00214589" w:rsidRPr="00C95655" w:rsidRDefault="00214589" w:rsidP="00593F79">
            <w:pPr>
              <w:pStyle w:val="DHSbodycopytable"/>
              <w:spacing w:after="0"/>
              <w:rPr>
                <w:rFonts w:cs="Arial"/>
                <w:sz w:val="20"/>
              </w:rPr>
            </w:pPr>
            <w:r w:rsidRPr="00C95655">
              <w:rPr>
                <w:rFonts w:cs="Arial"/>
                <w:sz w:val="20"/>
              </w:rPr>
              <w:t>3 Bed House</w:t>
            </w:r>
          </w:p>
        </w:tc>
        <w:tc>
          <w:tcPr>
            <w:tcW w:w="1971" w:type="dxa"/>
            <w:vAlign w:val="center"/>
          </w:tcPr>
          <w:p w:rsidR="00214589" w:rsidRPr="005E5C54" w:rsidRDefault="00214589" w:rsidP="005E5C54">
            <w:pPr>
              <w:jc w:val="center"/>
              <w:rPr>
                <w:sz w:val="20"/>
              </w:rPr>
            </w:pPr>
            <w:r w:rsidRPr="005E5C54">
              <w:rPr>
                <w:sz w:val="20"/>
              </w:rPr>
              <w:t>$370</w:t>
            </w:r>
          </w:p>
        </w:tc>
        <w:tc>
          <w:tcPr>
            <w:tcW w:w="2276" w:type="dxa"/>
            <w:shd w:val="clear" w:color="auto" w:fill="DEE4EE"/>
            <w:vAlign w:val="center"/>
          </w:tcPr>
          <w:p w:rsidR="00214589" w:rsidRPr="005E5C54" w:rsidRDefault="00214589" w:rsidP="005E5C54">
            <w:pPr>
              <w:jc w:val="center"/>
              <w:rPr>
                <w:sz w:val="20"/>
              </w:rPr>
            </w:pPr>
            <w:r w:rsidRPr="005E5C54">
              <w:rPr>
                <w:sz w:val="20"/>
              </w:rPr>
              <w:t>1.1%</w:t>
            </w:r>
          </w:p>
        </w:tc>
        <w:tc>
          <w:tcPr>
            <w:tcW w:w="1971" w:type="dxa"/>
            <w:vAlign w:val="center"/>
          </w:tcPr>
          <w:p w:rsidR="00214589" w:rsidRPr="005E5C54" w:rsidRDefault="00214589" w:rsidP="005E5C54">
            <w:pPr>
              <w:jc w:val="center"/>
              <w:rPr>
                <w:sz w:val="20"/>
              </w:rPr>
            </w:pPr>
            <w:r w:rsidRPr="005E5C54">
              <w:rPr>
                <w:sz w:val="20"/>
              </w:rPr>
              <w:t>3.0%</w:t>
            </w:r>
          </w:p>
        </w:tc>
      </w:tr>
      <w:tr w:rsidR="00214589" w:rsidTr="005E5C54">
        <w:trPr>
          <w:trHeight w:hRule="exact" w:val="340"/>
        </w:trPr>
        <w:tc>
          <w:tcPr>
            <w:tcW w:w="1970" w:type="dxa"/>
            <w:vMerge/>
            <w:tcBorders>
              <w:bottom w:val="single" w:sz="12" w:space="0" w:color="9DAECB"/>
            </w:tcBorders>
            <w:vAlign w:val="center"/>
          </w:tcPr>
          <w:p w:rsidR="00214589" w:rsidRPr="00C95655" w:rsidRDefault="00214589" w:rsidP="00593F79">
            <w:pPr>
              <w:pStyle w:val="DHSbodycopytable"/>
              <w:rPr>
                <w:rFonts w:cs="Arial"/>
                <w:sz w:val="20"/>
                <w:lang w:val="en-US"/>
              </w:rPr>
            </w:pPr>
          </w:p>
        </w:tc>
        <w:tc>
          <w:tcPr>
            <w:tcW w:w="1971" w:type="dxa"/>
            <w:tcBorders>
              <w:bottom w:val="single" w:sz="12" w:space="0" w:color="9DAECB"/>
            </w:tcBorders>
            <w:shd w:val="clear" w:color="auto" w:fill="DEE4EE"/>
            <w:vAlign w:val="center"/>
          </w:tcPr>
          <w:p w:rsidR="00214589" w:rsidRPr="00C95655" w:rsidRDefault="00214589" w:rsidP="00593F79">
            <w:pPr>
              <w:pStyle w:val="DHSbodycopytable"/>
              <w:spacing w:after="0"/>
              <w:rPr>
                <w:rFonts w:cs="Arial"/>
                <w:sz w:val="20"/>
              </w:rPr>
            </w:pPr>
            <w:r w:rsidRPr="00C95655">
              <w:rPr>
                <w:rFonts w:cs="Arial"/>
                <w:sz w:val="20"/>
              </w:rPr>
              <w:t>4 Bed House</w:t>
            </w:r>
          </w:p>
        </w:tc>
        <w:tc>
          <w:tcPr>
            <w:tcW w:w="1971" w:type="dxa"/>
            <w:tcBorders>
              <w:bottom w:val="single" w:sz="12" w:space="0" w:color="9DAECB"/>
            </w:tcBorders>
            <w:vAlign w:val="center"/>
          </w:tcPr>
          <w:p w:rsidR="00214589" w:rsidRPr="005E5C54" w:rsidRDefault="00214589" w:rsidP="005E5C54">
            <w:pPr>
              <w:jc w:val="center"/>
              <w:rPr>
                <w:sz w:val="20"/>
              </w:rPr>
            </w:pPr>
            <w:r w:rsidRPr="005E5C54">
              <w:rPr>
                <w:sz w:val="20"/>
              </w:rPr>
              <w:t>$420</w:t>
            </w:r>
          </w:p>
        </w:tc>
        <w:tc>
          <w:tcPr>
            <w:tcW w:w="2276" w:type="dxa"/>
            <w:tcBorders>
              <w:bottom w:val="single" w:sz="12" w:space="0" w:color="9DAECB"/>
            </w:tcBorders>
            <w:shd w:val="clear" w:color="auto" w:fill="DEE4EE"/>
            <w:vAlign w:val="center"/>
          </w:tcPr>
          <w:p w:rsidR="00214589" w:rsidRPr="005E5C54" w:rsidRDefault="00214589" w:rsidP="005E5C54">
            <w:pPr>
              <w:jc w:val="center"/>
              <w:rPr>
                <w:sz w:val="20"/>
              </w:rPr>
            </w:pPr>
            <w:r w:rsidRPr="005E5C54">
              <w:rPr>
                <w:sz w:val="20"/>
              </w:rPr>
              <w:t>1.1%</w:t>
            </w:r>
          </w:p>
        </w:tc>
        <w:tc>
          <w:tcPr>
            <w:tcW w:w="1971" w:type="dxa"/>
            <w:tcBorders>
              <w:bottom w:val="single" w:sz="12" w:space="0" w:color="9DAECB"/>
            </w:tcBorders>
            <w:vAlign w:val="center"/>
          </w:tcPr>
          <w:p w:rsidR="00214589" w:rsidRPr="005E5C54" w:rsidRDefault="00214589" w:rsidP="005E5C54">
            <w:pPr>
              <w:jc w:val="center"/>
              <w:rPr>
                <w:sz w:val="20"/>
              </w:rPr>
            </w:pPr>
            <w:r w:rsidRPr="005E5C54">
              <w:rPr>
                <w:sz w:val="20"/>
              </w:rPr>
              <w:t>1.9%</w:t>
            </w:r>
          </w:p>
        </w:tc>
      </w:tr>
      <w:tr w:rsidR="00214589" w:rsidTr="005E5C54">
        <w:trPr>
          <w:trHeight w:hRule="exact" w:val="340"/>
        </w:trPr>
        <w:tc>
          <w:tcPr>
            <w:tcW w:w="1970" w:type="dxa"/>
            <w:vMerge w:val="restart"/>
            <w:tcBorders>
              <w:top w:val="single" w:sz="12" w:space="0" w:color="9DAECB"/>
            </w:tcBorders>
          </w:tcPr>
          <w:p w:rsidR="00214589" w:rsidRPr="00C95655" w:rsidRDefault="00214589" w:rsidP="00593F79">
            <w:pPr>
              <w:pStyle w:val="DHSbodycopytable"/>
              <w:rPr>
                <w:rFonts w:cs="Arial"/>
                <w:sz w:val="20"/>
              </w:rPr>
            </w:pPr>
            <w:r>
              <w:rPr>
                <w:rFonts w:cs="Arial"/>
                <w:sz w:val="20"/>
              </w:rPr>
              <w:t>Regional</w:t>
            </w:r>
            <w:r>
              <w:rPr>
                <w:rFonts w:cs="Arial"/>
                <w:sz w:val="20"/>
              </w:rPr>
              <w:br/>
            </w:r>
            <w:r w:rsidRPr="00C95655">
              <w:rPr>
                <w:rFonts w:cs="Arial"/>
                <w:sz w:val="20"/>
              </w:rPr>
              <w:t>Victoria</w:t>
            </w:r>
          </w:p>
        </w:tc>
        <w:tc>
          <w:tcPr>
            <w:tcW w:w="1971" w:type="dxa"/>
            <w:tcBorders>
              <w:top w:val="single" w:sz="12" w:space="0" w:color="9DAECB"/>
            </w:tcBorders>
            <w:shd w:val="clear" w:color="auto" w:fill="DEE4EE"/>
            <w:vAlign w:val="center"/>
          </w:tcPr>
          <w:p w:rsidR="00214589" w:rsidRPr="00C95655" w:rsidRDefault="00214589" w:rsidP="00593F79">
            <w:pPr>
              <w:pStyle w:val="DHSbodycopytable"/>
              <w:spacing w:after="0"/>
              <w:rPr>
                <w:rFonts w:cs="Arial"/>
                <w:sz w:val="20"/>
              </w:rPr>
            </w:pPr>
            <w:r w:rsidRPr="00C95655">
              <w:rPr>
                <w:rFonts w:cs="Arial"/>
                <w:sz w:val="20"/>
              </w:rPr>
              <w:t>1 Bed Flat</w:t>
            </w:r>
          </w:p>
        </w:tc>
        <w:tc>
          <w:tcPr>
            <w:tcW w:w="1971" w:type="dxa"/>
            <w:tcBorders>
              <w:top w:val="single" w:sz="12" w:space="0" w:color="9DAECB"/>
            </w:tcBorders>
            <w:vAlign w:val="center"/>
          </w:tcPr>
          <w:p w:rsidR="00214589" w:rsidRPr="005E5C54" w:rsidRDefault="00214589" w:rsidP="005E5C54">
            <w:pPr>
              <w:jc w:val="center"/>
              <w:rPr>
                <w:sz w:val="20"/>
              </w:rPr>
            </w:pPr>
            <w:r w:rsidRPr="005E5C54">
              <w:rPr>
                <w:sz w:val="20"/>
              </w:rPr>
              <w:t>$175</w:t>
            </w:r>
          </w:p>
        </w:tc>
        <w:tc>
          <w:tcPr>
            <w:tcW w:w="2276" w:type="dxa"/>
            <w:tcBorders>
              <w:top w:val="single" w:sz="12" w:space="0" w:color="9DAECB"/>
            </w:tcBorders>
            <w:shd w:val="clear" w:color="auto" w:fill="DEE4EE"/>
            <w:vAlign w:val="center"/>
          </w:tcPr>
          <w:p w:rsidR="00214589" w:rsidRPr="005E5C54" w:rsidRDefault="00214589" w:rsidP="005E5C54">
            <w:pPr>
              <w:jc w:val="center"/>
              <w:rPr>
                <w:sz w:val="20"/>
              </w:rPr>
            </w:pPr>
            <w:r w:rsidRPr="005E5C54">
              <w:rPr>
                <w:sz w:val="20"/>
              </w:rPr>
              <w:t>-4.2%</w:t>
            </w:r>
          </w:p>
        </w:tc>
        <w:tc>
          <w:tcPr>
            <w:tcW w:w="1971" w:type="dxa"/>
            <w:tcBorders>
              <w:top w:val="single" w:sz="12" w:space="0" w:color="9DAECB"/>
            </w:tcBorders>
            <w:vAlign w:val="center"/>
          </w:tcPr>
          <w:p w:rsidR="00214589" w:rsidRPr="005E5C54" w:rsidRDefault="00214589" w:rsidP="005E5C54">
            <w:pPr>
              <w:jc w:val="center"/>
              <w:rPr>
                <w:sz w:val="20"/>
              </w:rPr>
            </w:pPr>
            <w:r w:rsidRPr="005E5C54">
              <w:rPr>
                <w:sz w:val="20"/>
              </w:rPr>
              <w:t>3.0%</w:t>
            </w:r>
          </w:p>
        </w:tc>
      </w:tr>
      <w:tr w:rsidR="00214589" w:rsidTr="005E5C54">
        <w:trPr>
          <w:trHeight w:hRule="exact" w:val="340"/>
        </w:trPr>
        <w:tc>
          <w:tcPr>
            <w:tcW w:w="1970" w:type="dxa"/>
            <w:vMerge/>
          </w:tcPr>
          <w:p w:rsidR="00214589" w:rsidRPr="00C95655" w:rsidRDefault="00214589" w:rsidP="00593F79">
            <w:pPr>
              <w:pStyle w:val="DHSbodycopytable"/>
              <w:rPr>
                <w:rFonts w:cs="Arial"/>
                <w:sz w:val="20"/>
                <w:lang w:val="en-US"/>
              </w:rPr>
            </w:pPr>
          </w:p>
        </w:tc>
        <w:tc>
          <w:tcPr>
            <w:tcW w:w="1971" w:type="dxa"/>
            <w:shd w:val="clear" w:color="auto" w:fill="DEE4EE"/>
            <w:vAlign w:val="center"/>
          </w:tcPr>
          <w:p w:rsidR="00214589" w:rsidRPr="00C95655" w:rsidRDefault="00214589" w:rsidP="00593F79">
            <w:pPr>
              <w:pStyle w:val="DHSbodycopytable"/>
              <w:spacing w:after="0"/>
              <w:rPr>
                <w:rFonts w:cs="Arial"/>
                <w:sz w:val="20"/>
              </w:rPr>
            </w:pPr>
            <w:r w:rsidRPr="00C95655">
              <w:rPr>
                <w:rFonts w:cs="Arial"/>
                <w:sz w:val="20"/>
              </w:rPr>
              <w:t>2 Bed Flat</w:t>
            </w:r>
          </w:p>
        </w:tc>
        <w:tc>
          <w:tcPr>
            <w:tcW w:w="1971" w:type="dxa"/>
            <w:vAlign w:val="center"/>
          </w:tcPr>
          <w:p w:rsidR="00214589" w:rsidRPr="005E5C54" w:rsidRDefault="00214589" w:rsidP="005E5C54">
            <w:pPr>
              <w:jc w:val="center"/>
              <w:rPr>
                <w:sz w:val="20"/>
              </w:rPr>
            </w:pPr>
            <w:r w:rsidRPr="005E5C54">
              <w:rPr>
                <w:sz w:val="20"/>
              </w:rPr>
              <w:t>$230</w:t>
            </w:r>
          </w:p>
        </w:tc>
        <w:tc>
          <w:tcPr>
            <w:tcW w:w="2276" w:type="dxa"/>
            <w:shd w:val="clear" w:color="auto" w:fill="DEE4EE"/>
            <w:vAlign w:val="center"/>
          </w:tcPr>
          <w:p w:rsidR="00214589" w:rsidRPr="005E5C54" w:rsidRDefault="00214589" w:rsidP="005E5C54">
            <w:pPr>
              <w:jc w:val="center"/>
              <w:rPr>
                <w:sz w:val="20"/>
              </w:rPr>
            </w:pPr>
            <w:r w:rsidRPr="005E5C54">
              <w:rPr>
                <w:sz w:val="20"/>
              </w:rPr>
              <w:t>0.0%</w:t>
            </w:r>
          </w:p>
        </w:tc>
        <w:tc>
          <w:tcPr>
            <w:tcW w:w="1971" w:type="dxa"/>
            <w:vAlign w:val="center"/>
          </w:tcPr>
          <w:p w:rsidR="00214589" w:rsidRPr="005E5C54" w:rsidRDefault="00214589" w:rsidP="005E5C54">
            <w:pPr>
              <w:jc w:val="center"/>
              <w:rPr>
                <w:sz w:val="20"/>
              </w:rPr>
            </w:pPr>
            <w:r w:rsidRPr="005E5C54">
              <w:rPr>
                <w:sz w:val="20"/>
              </w:rPr>
              <w:t>2.6%</w:t>
            </w:r>
          </w:p>
        </w:tc>
      </w:tr>
      <w:tr w:rsidR="00214589" w:rsidTr="005E5C54">
        <w:trPr>
          <w:trHeight w:hRule="exact" w:val="340"/>
        </w:trPr>
        <w:tc>
          <w:tcPr>
            <w:tcW w:w="1970" w:type="dxa"/>
            <w:vMerge/>
          </w:tcPr>
          <w:p w:rsidR="00214589" w:rsidRPr="00C95655" w:rsidRDefault="00214589" w:rsidP="00593F79">
            <w:pPr>
              <w:pStyle w:val="DHSbodycopytable"/>
              <w:rPr>
                <w:rFonts w:cs="Arial"/>
                <w:sz w:val="20"/>
                <w:lang w:val="en-US"/>
              </w:rPr>
            </w:pPr>
          </w:p>
        </w:tc>
        <w:tc>
          <w:tcPr>
            <w:tcW w:w="1971" w:type="dxa"/>
            <w:shd w:val="clear" w:color="auto" w:fill="DEE4EE"/>
            <w:vAlign w:val="center"/>
          </w:tcPr>
          <w:p w:rsidR="00214589" w:rsidRPr="00C95655" w:rsidRDefault="00214589" w:rsidP="00593F79">
            <w:pPr>
              <w:pStyle w:val="DHSbodycopytable"/>
              <w:spacing w:after="0"/>
              <w:rPr>
                <w:rFonts w:cs="Arial"/>
                <w:sz w:val="20"/>
              </w:rPr>
            </w:pPr>
            <w:r w:rsidRPr="00C95655">
              <w:rPr>
                <w:rFonts w:cs="Arial"/>
                <w:sz w:val="20"/>
              </w:rPr>
              <w:t>3 Bed Flat</w:t>
            </w:r>
          </w:p>
        </w:tc>
        <w:tc>
          <w:tcPr>
            <w:tcW w:w="1971" w:type="dxa"/>
            <w:vAlign w:val="center"/>
          </w:tcPr>
          <w:p w:rsidR="00214589" w:rsidRPr="005E5C54" w:rsidRDefault="00214589" w:rsidP="005E5C54">
            <w:pPr>
              <w:jc w:val="center"/>
              <w:rPr>
                <w:sz w:val="20"/>
              </w:rPr>
            </w:pPr>
            <w:r w:rsidRPr="005E5C54">
              <w:rPr>
                <w:sz w:val="20"/>
              </w:rPr>
              <w:t>$300</w:t>
            </w:r>
          </w:p>
        </w:tc>
        <w:tc>
          <w:tcPr>
            <w:tcW w:w="2276" w:type="dxa"/>
            <w:shd w:val="clear" w:color="auto" w:fill="DEE4EE"/>
            <w:vAlign w:val="center"/>
          </w:tcPr>
          <w:p w:rsidR="00214589" w:rsidRPr="005E5C54" w:rsidRDefault="00214589" w:rsidP="005E5C54">
            <w:pPr>
              <w:jc w:val="center"/>
              <w:rPr>
                <w:sz w:val="20"/>
              </w:rPr>
            </w:pPr>
            <w:r w:rsidRPr="005E5C54">
              <w:rPr>
                <w:sz w:val="20"/>
              </w:rPr>
              <w:t>-0.4%</w:t>
            </w:r>
          </w:p>
        </w:tc>
        <w:tc>
          <w:tcPr>
            <w:tcW w:w="1971" w:type="dxa"/>
            <w:vAlign w:val="center"/>
          </w:tcPr>
          <w:p w:rsidR="00214589" w:rsidRPr="005E5C54" w:rsidRDefault="00214589" w:rsidP="005E5C54">
            <w:pPr>
              <w:jc w:val="center"/>
              <w:rPr>
                <w:sz w:val="20"/>
              </w:rPr>
            </w:pPr>
            <w:r w:rsidRPr="005E5C54">
              <w:rPr>
                <w:sz w:val="20"/>
              </w:rPr>
              <w:t>1.7%</w:t>
            </w:r>
          </w:p>
        </w:tc>
      </w:tr>
      <w:tr w:rsidR="00214589" w:rsidTr="005E5C54">
        <w:trPr>
          <w:trHeight w:hRule="exact" w:val="340"/>
        </w:trPr>
        <w:tc>
          <w:tcPr>
            <w:tcW w:w="1970" w:type="dxa"/>
            <w:vMerge/>
          </w:tcPr>
          <w:p w:rsidR="00214589" w:rsidRPr="00C95655" w:rsidRDefault="00214589" w:rsidP="00593F79">
            <w:pPr>
              <w:pStyle w:val="DHSbodycopytable"/>
              <w:rPr>
                <w:rFonts w:cs="Arial"/>
                <w:sz w:val="20"/>
                <w:lang w:val="en-US"/>
              </w:rPr>
            </w:pPr>
          </w:p>
        </w:tc>
        <w:tc>
          <w:tcPr>
            <w:tcW w:w="1971" w:type="dxa"/>
            <w:shd w:val="clear" w:color="auto" w:fill="DEE4EE"/>
            <w:vAlign w:val="center"/>
          </w:tcPr>
          <w:p w:rsidR="00214589" w:rsidRPr="00C95655" w:rsidRDefault="00214589" w:rsidP="00593F79">
            <w:pPr>
              <w:pStyle w:val="DHSbodycopytable"/>
              <w:spacing w:after="0"/>
              <w:rPr>
                <w:rFonts w:cs="Arial"/>
                <w:sz w:val="20"/>
              </w:rPr>
            </w:pPr>
            <w:r w:rsidRPr="00C95655">
              <w:rPr>
                <w:rFonts w:cs="Arial"/>
                <w:sz w:val="20"/>
              </w:rPr>
              <w:t>2 Bed House</w:t>
            </w:r>
          </w:p>
        </w:tc>
        <w:tc>
          <w:tcPr>
            <w:tcW w:w="1971" w:type="dxa"/>
            <w:vAlign w:val="center"/>
          </w:tcPr>
          <w:p w:rsidR="00214589" w:rsidRPr="005E5C54" w:rsidRDefault="00214589" w:rsidP="005E5C54">
            <w:pPr>
              <w:jc w:val="center"/>
              <w:rPr>
                <w:sz w:val="20"/>
              </w:rPr>
            </w:pPr>
            <w:r w:rsidRPr="005E5C54">
              <w:rPr>
                <w:sz w:val="20"/>
              </w:rPr>
              <w:t>$240</w:t>
            </w:r>
          </w:p>
        </w:tc>
        <w:tc>
          <w:tcPr>
            <w:tcW w:w="2276" w:type="dxa"/>
            <w:shd w:val="clear" w:color="auto" w:fill="DEE4EE"/>
            <w:vAlign w:val="center"/>
          </w:tcPr>
          <w:p w:rsidR="00214589" w:rsidRPr="005E5C54" w:rsidRDefault="00214589" w:rsidP="005E5C54">
            <w:pPr>
              <w:jc w:val="center"/>
              <w:rPr>
                <w:sz w:val="20"/>
              </w:rPr>
            </w:pPr>
            <w:r w:rsidRPr="005E5C54">
              <w:rPr>
                <w:sz w:val="20"/>
              </w:rPr>
              <w:t>-0.9%</w:t>
            </w:r>
          </w:p>
        </w:tc>
        <w:tc>
          <w:tcPr>
            <w:tcW w:w="1971" w:type="dxa"/>
            <w:vAlign w:val="center"/>
          </w:tcPr>
          <w:p w:rsidR="00214589" w:rsidRPr="005E5C54" w:rsidRDefault="00214589" w:rsidP="005E5C54">
            <w:pPr>
              <w:jc w:val="center"/>
              <w:rPr>
                <w:sz w:val="20"/>
              </w:rPr>
            </w:pPr>
            <w:r w:rsidRPr="005E5C54">
              <w:rPr>
                <w:sz w:val="20"/>
              </w:rPr>
              <w:t>0.6%</w:t>
            </w:r>
          </w:p>
        </w:tc>
      </w:tr>
      <w:tr w:rsidR="00214589" w:rsidTr="005E5C54">
        <w:trPr>
          <w:trHeight w:hRule="exact" w:val="340"/>
        </w:trPr>
        <w:tc>
          <w:tcPr>
            <w:tcW w:w="1970" w:type="dxa"/>
            <w:vMerge/>
          </w:tcPr>
          <w:p w:rsidR="00214589" w:rsidRPr="00C95655" w:rsidRDefault="00214589" w:rsidP="00593F79">
            <w:pPr>
              <w:pStyle w:val="DHSbodycopytable"/>
              <w:rPr>
                <w:rFonts w:cs="Arial"/>
                <w:sz w:val="20"/>
                <w:lang w:val="en-US"/>
              </w:rPr>
            </w:pPr>
          </w:p>
        </w:tc>
        <w:tc>
          <w:tcPr>
            <w:tcW w:w="1971" w:type="dxa"/>
            <w:shd w:val="clear" w:color="auto" w:fill="DEE4EE"/>
            <w:vAlign w:val="center"/>
          </w:tcPr>
          <w:p w:rsidR="00214589" w:rsidRPr="00C95655" w:rsidRDefault="00214589" w:rsidP="00593F79">
            <w:pPr>
              <w:pStyle w:val="DHSbodycopytable"/>
              <w:spacing w:after="0"/>
              <w:rPr>
                <w:rFonts w:cs="Arial"/>
                <w:sz w:val="20"/>
              </w:rPr>
            </w:pPr>
            <w:r w:rsidRPr="00C95655">
              <w:rPr>
                <w:rFonts w:cs="Arial"/>
                <w:sz w:val="20"/>
              </w:rPr>
              <w:t>3 Bed House</w:t>
            </w:r>
          </w:p>
        </w:tc>
        <w:tc>
          <w:tcPr>
            <w:tcW w:w="1971" w:type="dxa"/>
            <w:vAlign w:val="center"/>
          </w:tcPr>
          <w:p w:rsidR="00214589" w:rsidRPr="005E5C54" w:rsidRDefault="00214589" w:rsidP="005E5C54">
            <w:pPr>
              <w:jc w:val="center"/>
              <w:rPr>
                <w:sz w:val="20"/>
              </w:rPr>
            </w:pPr>
            <w:r w:rsidRPr="005E5C54">
              <w:rPr>
                <w:sz w:val="20"/>
              </w:rPr>
              <w:t>$285</w:t>
            </w:r>
          </w:p>
        </w:tc>
        <w:tc>
          <w:tcPr>
            <w:tcW w:w="2276" w:type="dxa"/>
            <w:shd w:val="clear" w:color="auto" w:fill="DEE4EE"/>
            <w:vAlign w:val="center"/>
          </w:tcPr>
          <w:p w:rsidR="00214589" w:rsidRPr="005E5C54" w:rsidRDefault="00214589" w:rsidP="005E5C54">
            <w:pPr>
              <w:jc w:val="center"/>
              <w:rPr>
                <w:sz w:val="20"/>
              </w:rPr>
            </w:pPr>
            <w:r w:rsidRPr="005E5C54">
              <w:rPr>
                <w:sz w:val="20"/>
              </w:rPr>
              <w:t>0.4%</w:t>
            </w:r>
          </w:p>
        </w:tc>
        <w:tc>
          <w:tcPr>
            <w:tcW w:w="1971" w:type="dxa"/>
            <w:vAlign w:val="center"/>
          </w:tcPr>
          <w:p w:rsidR="00214589" w:rsidRPr="005E5C54" w:rsidRDefault="00214589" w:rsidP="005E5C54">
            <w:pPr>
              <w:jc w:val="center"/>
              <w:rPr>
                <w:sz w:val="20"/>
              </w:rPr>
            </w:pPr>
            <w:r w:rsidRPr="005E5C54">
              <w:rPr>
                <w:sz w:val="20"/>
              </w:rPr>
              <w:t>3.2%</w:t>
            </w:r>
          </w:p>
        </w:tc>
      </w:tr>
      <w:tr w:rsidR="00214589" w:rsidTr="005E5C54">
        <w:trPr>
          <w:trHeight w:hRule="exact" w:val="340"/>
        </w:trPr>
        <w:tc>
          <w:tcPr>
            <w:tcW w:w="1970" w:type="dxa"/>
            <w:vMerge/>
            <w:tcBorders>
              <w:bottom w:val="single" w:sz="18" w:space="0" w:color="9DAECB"/>
            </w:tcBorders>
          </w:tcPr>
          <w:p w:rsidR="00214589" w:rsidRPr="00C95655" w:rsidRDefault="00214589" w:rsidP="00593F79">
            <w:pPr>
              <w:pStyle w:val="DHSbodycopytable"/>
              <w:rPr>
                <w:rFonts w:cs="Arial"/>
                <w:sz w:val="20"/>
                <w:lang w:val="en-US"/>
              </w:rPr>
            </w:pPr>
          </w:p>
        </w:tc>
        <w:tc>
          <w:tcPr>
            <w:tcW w:w="1971" w:type="dxa"/>
            <w:tcBorders>
              <w:bottom w:val="single" w:sz="18" w:space="0" w:color="9DAECB"/>
            </w:tcBorders>
            <w:shd w:val="clear" w:color="auto" w:fill="DEE4EE"/>
            <w:vAlign w:val="center"/>
          </w:tcPr>
          <w:p w:rsidR="00214589" w:rsidRPr="00C95655" w:rsidRDefault="00214589" w:rsidP="00593F79">
            <w:pPr>
              <w:pStyle w:val="DHSbodycopytable"/>
              <w:spacing w:after="0"/>
              <w:rPr>
                <w:rFonts w:cs="Arial"/>
                <w:sz w:val="20"/>
              </w:rPr>
            </w:pPr>
            <w:r w:rsidRPr="00C95655">
              <w:rPr>
                <w:rFonts w:cs="Arial"/>
                <w:sz w:val="20"/>
              </w:rPr>
              <w:t>4 Bed House</w:t>
            </w:r>
          </w:p>
        </w:tc>
        <w:tc>
          <w:tcPr>
            <w:tcW w:w="1971" w:type="dxa"/>
            <w:tcBorders>
              <w:bottom w:val="single" w:sz="18" w:space="0" w:color="9DAECB"/>
            </w:tcBorders>
            <w:vAlign w:val="center"/>
          </w:tcPr>
          <w:p w:rsidR="00214589" w:rsidRPr="005E5C54" w:rsidRDefault="00214589" w:rsidP="005E5C54">
            <w:pPr>
              <w:jc w:val="center"/>
              <w:rPr>
                <w:sz w:val="20"/>
              </w:rPr>
            </w:pPr>
            <w:r w:rsidRPr="005E5C54">
              <w:rPr>
                <w:sz w:val="20"/>
              </w:rPr>
              <w:t>$360</w:t>
            </w:r>
          </w:p>
        </w:tc>
        <w:tc>
          <w:tcPr>
            <w:tcW w:w="2276" w:type="dxa"/>
            <w:tcBorders>
              <w:bottom w:val="single" w:sz="18" w:space="0" w:color="9DAECB"/>
            </w:tcBorders>
            <w:shd w:val="clear" w:color="auto" w:fill="DEE4EE"/>
            <w:vAlign w:val="center"/>
          </w:tcPr>
          <w:p w:rsidR="00214589" w:rsidRPr="005E5C54" w:rsidRDefault="00214589" w:rsidP="005E5C54">
            <w:pPr>
              <w:jc w:val="center"/>
              <w:rPr>
                <w:sz w:val="20"/>
              </w:rPr>
            </w:pPr>
            <w:r w:rsidRPr="005E5C54">
              <w:rPr>
                <w:sz w:val="20"/>
              </w:rPr>
              <w:t>0.7%</w:t>
            </w:r>
          </w:p>
        </w:tc>
        <w:tc>
          <w:tcPr>
            <w:tcW w:w="1971" w:type="dxa"/>
            <w:tcBorders>
              <w:bottom w:val="single" w:sz="18" w:space="0" w:color="9DAECB"/>
            </w:tcBorders>
            <w:vAlign w:val="center"/>
          </w:tcPr>
          <w:p w:rsidR="00214589" w:rsidRPr="005E5C54" w:rsidRDefault="00214589" w:rsidP="005E5C54">
            <w:pPr>
              <w:jc w:val="center"/>
              <w:rPr>
                <w:sz w:val="20"/>
              </w:rPr>
            </w:pPr>
            <w:r w:rsidRPr="005E5C54">
              <w:rPr>
                <w:sz w:val="20"/>
              </w:rPr>
              <w:t>3.3%</w:t>
            </w:r>
          </w:p>
        </w:tc>
      </w:tr>
    </w:tbl>
    <w:p w:rsidR="0047763C" w:rsidRPr="006A259B" w:rsidRDefault="0047763C" w:rsidP="00405B10">
      <w:pPr>
        <w:pStyle w:val="Footnote"/>
        <w:jc w:val="left"/>
        <w:rPr>
          <w:rFonts w:cs="Arial"/>
          <w:color w:val="auto"/>
          <w:sz w:val="16"/>
          <w:szCs w:val="16"/>
        </w:rPr>
      </w:pPr>
      <w:r w:rsidRPr="006A259B">
        <w:rPr>
          <w:rFonts w:cs="Arial"/>
          <w:color w:val="auto"/>
          <w:sz w:val="16"/>
          <w:szCs w:val="16"/>
        </w:rPr>
        <w:t>* Percentage change figures are calculated from relevant Rent Index</w:t>
      </w:r>
    </w:p>
    <w:p w:rsidR="0047763C" w:rsidRPr="008C44FD" w:rsidRDefault="0047763C" w:rsidP="0099180B">
      <w:pPr>
        <w:rPr>
          <w:rFonts w:cs="Arial"/>
          <w:b/>
        </w:rPr>
      </w:pPr>
    </w:p>
    <w:p w:rsidR="0047763C" w:rsidRPr="00831AFF" w:rsidRDefault="0047763C" w:rsidP="005A1E70">
      <w:pPr>
        <w:pStyle w:val="DHSheadingB"/>
        <w:rPr>
          <w:rFonts w:cs="Arial"/>
        </w:rPr>
      </w:pPr>
      <w:r w:rsidRPr="00831AFF">
        <w:rPr>
          <w:rFonts w:cs="Arial"/>
        </w:rPr>
        <w:t>Moving annual median rents by suburb or town</w:t>
      </w:r>
    </w:p>
    <w:p w:rsidR="0047763C" w:rsidRDefault="0047763C" w:rsidP="0099180B">
      <w:pPr>
        <w:rPr>
          <w:rFonts w:cs="Arial"/>
          <w:szCs w:val="20"/>
        </w:rPr>
      </w:pPr>
      <w:r w:rsidRPr="000F3B39">
        <w:rPr>
          <w:rFonts w:cs="Arial"/>
          <w:szCs w:val="20"/>
        </w:rPr>
        <w:t xml:space="preserve">Table 11 shows the moving annual median rents for suburbs and towns across Victoria by major property type. (Note that the medians in Table 11 are moving </w:t>
      </w:r>
      <w:r w:rsidRPr="00BA6BE6">
        <w:rPr>
          <w:rFonts w:cs="Arial"/>
          <w:i/>
          <w:szCs w:val="20"/>
        </w:rPr>
        <w:t>annual</w:t>
      </w:r>
      <w:r w:rsidRPr="000F3B39">
        <w:rPr>
          <w:rFonts w:cs="Arial"/>
          <w:szCs w:val="20"/>
        </w:rPr>
        <w:t xml:space="preserve"> medians, not quarterly medians, and that the annual percentage change is calculated from these moving annual medians.) </w:t>
      </w:r>
    </w:p>
    <w:p w:rsidR="0047763C" w:rsidRDefault="0047763C" w:rsidP="0099180B">
      <w:pPr>
        <w:rPr>
          <w:rFonts w:cs="Arial"/>
          <w:szCs w:val="20"/>
        </w:rPr>
      </w:pPr>
    </w:p>
    <w:p w:rsidR="0047763C" w:rsidRDefault="0047763C" w:rsidP="00BA6BE6">
      <w:pPr>
        <w:rPr>
          <w:rFonts w:cs="Arial"/>
          <w:szCs w:val="20"/>
        </w:rPr>
      </w:pPr>
      <w:r w:rsidRPr="000F3B39">
        <w:rPr>
          <w:rFonts w:cs="Arial"/>
          <w:szCs w:val="20"/>
        </w:rPr>
        <w:lastRenderedPageBreak/>
        <w:t xml:space="preserve">Figure 2 and Figure 3 show the moving annual median rents in </w:t>
      </w:r>
      <w:r w:rsidR="002C4406">
        <w:rPr>
          <w:rFonts w:cs="Arial"/>
          <w:szCs w:val="20"/>
        </w:rPr>
        <w:t xml:space="preserve">metropolitan </w:t>
      </w:r>
      <w:r w:rsidRPr="000F3B39">
        <w:rPr>
          <w:rFonts w:cs="Arial"/>
          <w:szCs w:val="20"/>
        </w:rPr>
        <w:t>Melbourne for two</w:t>
      </w:r>
      <w:r w:rsidR="00986171">
        <w:rPr>
          <w:rFonts w:cs="Arial"/>
          <w:szCs w:val="20"/>
        </w:rPr>
        <w:t>-bedroom flats and for three-</w:t>
      </w:r>
      <w:r w:rsidRPr="000F3B39">
        <w:rPr>
          <w:rFonts w:cs="Arial"/>
          <w:szCs w:val="20"/>
        </w:rPr>
        <w:t xml:space="preserve">bedroom houses, respectively. They show the pattern of concentration of the highest median rents in Inner Melbourne, large portions of Inner Eastern </w:t>
      </w:r>
      <w:r w:rsidR="00CB793D">
        <w:rPr>
          <w:rFonts w:cs="Arial"/>
          <w:szCs w:val="20"/>
        </w:rPr>
        <w:t xml:space="preserve">Melbourne </w:t>
      </w:r>
      <w:r w:rsidRPr="000F3B39">
        <w:rPr>
          <w:rFonts w:cs="Arial"/>
          <w:szCs w:val="20"/>
        </w:rPr>
        <w:t xml:space="preserve">and Southern Melbourne and the inner parts of North Western </w:t>
      </w:r>
      <w:r w:rsidR="00CB793D">
        <w:rPr>
          <w:rFonts w:cs="Arial"/>
          <w:szCs w:val="20"/>
        </w:rPr>
        <w:t xml:space="preserve">Melbourne </w:t>
      </w:r>
      <w:r w:rsidR="00397411">
        <w:rPr>
          <w:rFonts w:cs="Arial"/>
          <w:szCs w:val="20"/>
        </w:rPr>
        <w:t>and North Eastern Melbourne.</w:t>
      </w:r>
    </w:p>
    <w:p w:rsidR="00757CC4" w:rsidRPr="000F3B39" w:rsidRDefault="00757CC4" w:rsidP="00BA6BE6">
      <w:pPr>
        <w:rPr>
          <w:rFonts w:cs="Arial"/>
          <w:szCs w:val="20"/>
        </w:rPr>
      </w:pPr>
    </w:p>
    <w:p w:rsidR="0047763C" w:rsidRPr="000375B1" w:rsidRDefault="0047763C" w:rsidP="0099180B">
      <w:pPr>
        <w:rPr>
          <w:rFonts w:cs="Arial"/>
          <w:b/>
          <w:sz w:val="20"/>
          <w:szCs w:val="20"/>
        </w:rPr>
      </w:pPr>
      <w:r w:rsidRPr="000375B1">
        <w:rPr>
          <w:rFonts w:cs="Arial"/>
          <w:b/>
          <w:sz w:val="20"/>
          <w:szCs w:val="20"/>
        </w:rPr>
        <w:t xml:space="preserve">Figure 2: Moving annual median rents </w:t>
      </w:r>
      <w:r>
        <w:rPr>
          <w:rFonts w:cs="Arial"/>
          <w:b/>
          <w:sz w:val="20"/>
          <w:szCs w:val="20"/>
        </w:rPr>
        <w:t xml:space="preserve">by suburb </w:t>
      </w:r>
      <w:r w:rsidR="00986171">
        <w:rPr>
          <w:rFonts w:cs="Arial"/>
          <w:b/>
          <w:sz w:val="20"/>
          <w:szCs w:val="20"/>
        </w:rPr>
        <w:t>for two-</w:t>
      </w:r>
      <w:r w:rsidRPr="000375B1">
        <w:rPr>
          <w:rFonts w:cs="Arial"/>
          <w:b/>
          <w:sz w:val="20"/>
          <w:szCs w:val="20"/>
        </w:rPr>
        <w:t>bedroom flats</w:t>
      </w:r>
      <w:r w:rsidR="002C4406">
        <w:rPr>
          <w:rFonts w:cs="Arial"/>
          <w:b/>
          <w:sz w:val="20"/>
          <w:szCs w:val="20"/>
        </w:rPr>
        <w:t>, Metropolitan Melbourne</w:t>
      </w:r>
    </w:p>
    <w:p w:rsidR="0047763C" w:rsidRDefault="0047763C">
      <w:pPr>
        <w:rPr>
          <w:rFonts w:cs="Arial"/>
        </w:rPr>
      </w:pPr>
    </w:p>
    <w:p w:rsidR="003F1D40" w:rsidRDefault="00214589">
      <w:pPr>
        <w:rPr>
          <w:rFonts w:cs="Arial"/>
        </w:rPr>
      </w:pPr>
      <w:r>
        <w:rPr>
          <w:rFonts w:cs="Arial"/>
          <w:noProof/>
          <w:lang w:eastAsia="en-AU"/>
        </w:rPr>
        <w:drawing>
          <wp:inline distT="0" distB="0" distL="0" distR="0">
            <wp:extent cx="3529851" cy="3570136"/>
            <wp:effectExtent l="19050" t="0" r="0" b="0"/>
            <wp:docPr id="2" name="Picture 1" descr="20154Melb2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4Melb2br.jpg"/>
                    <pic:cNvPicPr/>
                  </pic:nvPicPr>
                  <pic:blipFill>
                    <a:blip r:embed="rId10" cstate="print"/>
                    <a:stretch>
                      <a:fillRect/>
                    </a:stretch>
                  </pic:blipFill>
                  <pic:spPr>
                    <a:xfrm>
                      <a:off x="0" y="0"/>
                      <a:ext cx="3535716" cy="3576068"/>
                    </a:xfrm>
                    <a:prstGeom prst="rect">
                      <a:avLst/>
                    </a:prstGeom>
                  </pic:spPr>
                </pic:pic>
              </a:graphicData>
            </a:graphic>
          </wp:inline>
        </w:drawing>
      </w:r>
    </w:p>
    <w:p w:rsidR="003F1D40" w:rsidRDefault="003F1D40">
      <w:pPr>
        <w:rPr>
          <w:rFonts w:cs="Arial"/>
        </w:rPr>
      </w:pPr>
    </w:p>
    <w:p w:rsidR="003F1D40" w:rsidRDefault="003F1D40">
      <w:pPr>
        <w:rPr>
          <w:rFonts w:cs="Arial"/>
        </w:rPr>
      </w:pPr>
    </w:p>
    <w:p w:rsidR="0047763C" w:rsidRDefault="0047763C">
      <w:pPr>
        <w:rPr>
          <w:rFonts w:cs="Arial"/>
          <w:b/>
          <w:sz w:val="20"/>
          <w:szCs w:val="20"/>
        </w:rPr>
      </w:pPr>
      <w:r w:rsidRPr="000375B1">
        <w:rPr>
          <w:rFonts w:cs="Arial"/>
          <w:b/>
          <w:sz w:val="20"/>
          <w:szCs w:val="20"/>
        </w:rPr>
        <w:t>Figure 3: Moving annual median rents</w:t>
      </w:r>
      <w:r>
        <w:rPr>
          <w:rFonts w:cs="Arial"/>
          <w:b/>
          <w:sz w:val="20"/>
          <w:szCs w:val="20"/>
        </w:rPr>
        <w:t xml:space="preserve"> by suburb</w:t>
      </w:r>
      <w:r w:rsidR="00986171">
        <w:rPr>
          <w:rFonts w:cs="Arial"/>
          <w:b/>
          <w:sz w:val="20"/>
          <w:szCs w:val="20"/>
        </w:rPr>
        <w:t xml:space="preserve"> for three-</w:t>
      </w:r>
      <w:r w:rsidRPr="000375B1">
        <w:rPr>
          <w:rFonts w:cs="Arial"/>
          <w:b/>
          <w:sz w:val="20"/>
          <w:szCs w:val="20"/>
        </w:rPr>
        <w:t>bedroom houses</w:t>
      </w:r>
      <w:r w:rsidR="002C4406">
        <w:rPr>
          <w:rFonts w:cs="Arial"/>
          <w:b/>
          <w:sz w:val="20"/>
          <w:szCs w:val="20"/>
        </w:rPr>
        <w:t>,</w:t>
      </w:r>
      <w:r>
        <w:rPr>
          <w:rFonts w:cs="Arial"/>
          <w:b/>
          <w:sz w:val="20"/>
          <w:szCs w:val="20"/>
        </w:rPr>
        <w:t xml:space="preserve"> </w:t>
      </w:r>
      <w:r w:rsidR="002C4406">
        <w:rPr>
          <w:rFonts w:cs="Arial"/>
          <w:b/>
          <w:sz w:val="20"/>
          <w:szCs w:val="20"/>
        </w:rPr>
        <w:t xml:space="preserve">Metropolitan </w:t>
      </w:r>
      <w:r w:rsidR="00CC3D62">
        <w:rPr>
          <w:rFonts w:cs="Arial"/>
          <w:b/>
          <w:sz w:val="20"/>
          <w:szCs w:val="20"/>
        </w:rPr>
        <w:t>Melbourne</w:t>
      </w:r>
    </w:p>
    <w:p w:rsidR="00CC3D62" w:rsidRDefault="00CC3D62">
      <w:pPr>
        <w:rPr>
          <w:rFonts w:cs="Arial"/>
          <w:b/>
          <w:sz w:val="20"/>
          <w:szCs w:val="20"/>
        </w:rPr>
      </w:pPr>
    </w:p>
    <w:p w:rsidR="003F1D40" w:rsidRDefault="00214589">
      <w:pPr>
        <w:rPr>
          <w:rFonts w:cs="Arial"/>
          <w:b/>
          <w:sz w:val="20"/>
          <w:szCs w:val="20"/>
        </w:rPr>
      </w:pPr>
      <w:r>
        <w:rPr>
          <w:rFonts w:cs="Arial"/>
          <w:b/>
          <w:noProof/>
          <w:sz w:val="20"/>
          <w:szCs w:val="20"/>
          <w:lang w:eastAsia="en-AU"/>
        </w:rPr>
        <w:drawing>
          <wp:inline distT="0" distB="0" distL="0" distR="0">
            <wp:extent cx="3666358" cy="3737113"/>
            <wp:effectExtent l="19050" t="0" r="0" b="0"/>
            <wp:docPr id="5" name="Picture 4" descr="20154Melb3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4Melb3br.jpg"/>
                    <pic:cNvPicPr/>
                  </pic:nvPicPr>
                  <pic:blipFill>
                    <a:blip r:embed="rId11" cstate="print"/>
                    <a:stretch>
                      <a:fillRect/>
                    </a:stretch>
                  </pic:blipFill>
                  <pic:spPr>
                    <a:xfrm>
                      <a:off x="0" y="0"/>
                      <a:ext cx="3672214" cy="3743082"/>
                    </a:xfrm>
                    <a:prstGeom prst="rect">
                      <a:avLst/>
                    </a:prstGeom>
                  </pic:spPr>
                </pic:pic>
              </a:graphicData>
            </a:graphic>
          </wp:inline>
        </w:drawing>
      </w:r>
    </w:p>
    <w:p w:rsidR="003F1D40" w:rsidRDefault="003F1D40">
      <w:pPr>
        <w:rPr>
          <w:rFonts w:cs="Arial"/>
          <w:b/>
          <w:sz w:val="20"/>
          <w:szCs w:val="20"/>
        </w:rPr>
      </w:pPr>
    </w:p>
    <w:p w:rsidR="003F1D40" w:rsidRDefault="003F1D40">
      <w:pPr>
        <w:rPr>
          <w:rFonts w:cs="Arial"/>
          <w:b/>
          <w:sz w:val="20"/>
          <w:szCs w:val="20"/>
        </w:rPr>
      </w:pPr>
    </w:p>
    <w:p w:rsidR="0047763C" w:rsidRDefault="001E0276" w:rsidP="00BA6BE6">
      <w:pPr>
        <w:rPr>
          <w:rFonts w:cs="Arial"/>
          <w:szCs w:val="22"/>
          <w:lang w:eastAsia="en-AU"/>
        </w:rPr>
      </w:pPr>
      <w:r>
        <w:rPr>
          <w:rFonts w:cs="Arial"/>
          <w:szCs w:val="22"/>
        </w:rPr>
        <w:t>For two-</w:t>
      </w:r>
      <w:r w:rsidR="0047763C" w:rsidRPr="00572675">
        <w:rPr>
          <w:rFonts w:cs="Arial"/>
          <w:szCs w:val="22"/>
        </w:rPr>
        <w:t xml:space="preserve">bedroom flats in metropolitan Melbourne, the suburbs with the highest increases in moving annual median rents to the </w:t>
      </w:r>
      <w:r w:rsidR="004B57AE">
        <w:rPr>
          <w:rFonts w:cs="Arial"/>
          <w:szCs w:val="22"/>
        </w:rPr>
        <w:t>December</w:t>
      </w:r>
      <w:r w:rsidR="0047763C" w:rsidRPr="00572675">
        <w:rPr>
          <w:rFonts w:cs="Arial"/>
          <w:szCs w:val="22"/>
        </w:rPr>
        <w:t xml:space="preserve"> quarter were </w:t>
      </w:r>
      <w:r w:rsidR="00B31F38" w:rsidRPr="005E5052">
        <w:rPr>
          <w:rFonts w:cs="Arial"/>
          <w:szCs w:val="22"/>
          <w:lang w:eastAsia="en-AU"/>
        </w:rPr>
        <w:t xml:space="preserve">Rowville </w:t>
      </w:r>
      <w:r w:rsidR="002C64D6">
        <w:rPr>
          <w:rFonts w:cs="Arial"/>
          <w:szCs w:val="22"/>
          <w:lang w:eastAsia="en-AU"/>
        </w:rPr>
        <w:t>(13.0</w:t>
      </w:r>
      <w:r w:rsidR="00B31F38" w:rsidRPr="00757CC4">
        <w:rPr>
          <w:rFonts w:cs="Arial"/>
          <w:szCs w:val="22"/>
          <w:lang w:eastAsia="en-AU"/>
        </w:rPr>
        <w:t>%</w:t>
      </w:r>
      <w:r w:rsidR="00B31F38">
        <w:rPr>
          <w:rFonts w:cs="Arial"/>
          <w:szCs w:val="22"/>
          <w:lang w:eastAsia="en-AU"/>
        </w:rPr>
        <w:t xml:space="preserve">), </w:t>
      </w:r>
      <w:r w:rsidR="00090EF8" w:rsidRPr="00090EF8">
        <w:rPr>
          <w:rFonts w:cs="Arial"/>
          <w:szCs w:val="22"/>
          <w:lang w:eastAsia="en-AU"/>
        </w:rPr>
        <w:t>Doncaster East-Donvale</w:t>
      </w:r>
      <w:r w:rsidR="00090EF8">
        <w:rPr>
          <w:rFonts w:cs="Arial"/>
          <w:szCs w:val="22"/>
          <w:lang w:eastAsia="en-AU"/>
        </w:rPr>
        <w:t xml:space="preserve"> (</w:t>
      </w:r>
      <w:r w:rsidR="002C64D6">
        <w:rPr>
          <w:rFonts w:cs="Arial"/>
          <w:szCs w:val="22"/>
          <w:lang w:eastAsia="en-AU"/>
        </w:rPr>
        <w:t>9.2</w:t>
      </w:r>
      <w:r w:rsidR="00090EF8">
        <w:rPr>
          <w:rFonts w:cs="Arial"/>
          <w:szCs w:val="22"/>
          <w:lang w:eastAsia="en-AU"/>
        </w:rPr>
        <w:t xml:space="preserve">%), </w:t>
      </w:r>
      <w:r w:rsidR="00090EF8" w:rsidRPr="00090EF8">
        <w:rPr>
          <w:rFonts w:cs="Arial"/>
          <w:szCs w:val="22"/>
          <w:lang w:eastAsia="en-AU"/>
        </w:rPr>
        <w:t>Dromana-Portsea</w:t>
      </w:r>
      <w:r w:rsidR="002C64D6">
        <w:rPr>
          <w:rFonts w:cs="Arial"/>
          <w:szCs w:val="22"/>
          <w:lang w:eastAsia="en-AU"/>
        </w:rPr>
        <w:t xml:space="preserve"> (7.7%), East Brunswick (7.5%) </w:t>
      </w:r>
      <w:r w:rsidR="00090EF8">
        <w:rPr>
          <w:rFonts w:cs="Arial"/>
          <w:szCs w:val="22"/>
          <w:lang w:eastAsia="en-AU"/>
        </w:rPr>
        <w:t xml:space="preserve">and </w:t>
      </w:r>
      <w:r w:rsidR="002C64D6">
        <w:rPr>
          <w:rFonts w:cs="Arial"/>
          <w:szCs w:val="22"/>
          <w:lang w:eastAsia="en-AU"/>
        </w:rPr>
        <w:t>Malvern (7.0%)</w:t>
      </w:r>
      <w:r w:rsidR="00090EF8">
        <w:rPr>
          <w:rFonts w:cs="Arial"/>
          <w:szCs w:val="22"/>
          <w:lang w:eastAsia="en-AU"/>
        </w:rPr>
        <w:t xml:space="preserve">. </w:t>
      </w:r>
      <w:r w:rsidR="00572675">
        <w:rPr>
          <w:rFonts w:cs="Arial"/>
          <w:szCs w:val="20"/>
        </w:rPr>
        <w:t>The suburbs with</w:t>
      </w:r>
      <w:r w:rsidR="00572675" w:rsidRPr="000F3B39">
        <w:rPr>
          <w:rFonts w:cs="Arial"/>
          <w:szCs w:val="20"/>
        </w:rPr>
        <w:t xml:space="preserve"> </w:t>
      </w:r>
      <w:r w:rsidR="00572675">
        <w:rPr>
          <w:rFonts w:cs="Arial"/>
          <w:szCs w:val="20"/>
        </w:rPr>
        <w:t>decreases in m</w:t>
      </w:r>
      <w:r w:rsidR="0047763C" w:rsidRPr="000F3B39">
        <w:rPr>
          <w:rFonts w:cs="Arial"/>
          <w:szCs w:val="20"/>
        </w:rPr>
        <w:t xml:space="preserve">oving annual median rents </w:t>
      </w:r>
      <w:r w:rsidR="00572675">
        <w:rPr>
          <w:rFonts w:cs="Arial"/>
          <w:szCs w:val="20"/>
        </w:rPr>
        <w:t xml:space="preserve">were </w:t>
      </w:r>
      <w:r w:rsidR="00090EF8" w:rsidRPr="00090EF8">
        <w:rPr>
          <w:rFonts w:cs="Arial"/>
          <w:szCs w:val="20"/>
        </w:rPr>
        <w:t>North Melbourne-West Melbourne</w:t>
      </w:r>
      <w:r w:rsidR="00090EF8">
        <w:rPr>
          <w:rFonts w:cs="Arial"/>
          <w:szCs w:val="20"/>
        </w:rPr>
        <w:t xml:space="preserve"> (-</w:t>
      </w:r>
      <w:r w:rsidR="002C64D6">
        <w:rPr>
          <w:rFonts w:cs="Arial"/>
          <w:szCs w:val="20"/>
        </w:rPr>
        <w:t>1.1</w:t>
      </w:r>
      <w:r w:rsidR="00090EF8">
        <w:rPr>
          <w:rFonts w:cs="Arial"/>
          <w:szCs w:val="20"/>
        </w:rPr>
        <w:t>%)</w:t>
      </w:r>
      <w:r w:rsidR="002C64D6">
        <w:rPr>
          <w:rFonts w:cs="Arial"/>
          <w:szCs w:val="20"/>
        </w:rPr>
        <w:t xml:space="preserve"> and </w:t>
      </w:r>
      <w:r w:rsidR="00090EF8" w:rsidRPr="00090EF8">
        <w:rPr>
          <w:rFonts w:cs="Arial"/>
          <w:szCs w:val="20"/>
        </w:rPr>
        <w:t>Carlton North</w:t>
      </w:r>
      <w:r w:rsidR="002C64D6">
        <w:rPr>
          <w:rFonts w:cs="Arial"/>
          <w:szCs w:val="20"/>
        </w:rPr>
        <w:t xml:space="preserve"> (-0.7</w:t>
      </w:r>
      <w:r w:rsidR="00090EF8">
        <w:rPr>
          <w:rFonts w:cs="Arial"/>
          <w:szCs w:val="20"/>
        </w:rPr>
        <w:t>%)</w:t>
      </w:r>
      <w:r w:rsidR="002C64D6">
        <w:rPr>
          <w:rFonts w:cs="Arial"/>
          <w:szCs w:val="20"/>
        </w:rPr>
        <w:t xml:space="preserve">. </w:t>
      </w:r>
      <w:r w:rsidR="00912264">
        <w:rPr>
          <w:rFonts w:cs="Arial"/>
          <w:szCs w:val="20"/>
        </w:rPr>
        <w:t>Sixteen s</w:t>
      </w:r>
      <w:r w:rsidR="002C64D6">
        <w:rPr>
          <w:rFonts w:cs="Arial"/>
          <w:szCs w:val="20"/>
        </w:rPr>
        <w:t>uburbs remaining steady were Albert Park</w:t>
      </w:r>
      <w:r w:rsidR="002C64D6" w:rsidRPr="002C64D6">
        <w:rPr>
          <w:rFonts w:cs="Arial"/>
          <w:szCs w:val="20"/>
        </w:rPr>
        <w:t>-Middle Park-West St Kilda</w:t>
      </w:r>
      <w:r w:rsidR="00912264">
        <w:rPr>
          <w:rFonts w:cs="Arial"/>
          <w:szCs w:val="20"/>
        </w:rPr>
        <w:t xml:space="preserve">, </w:t>
      </w:r>
      <w:r w:rsidR="00912264" w:rsidRPr="00912264">
        <w:rPr>
          <w:rFonts w:cs="Arial"/>
          <w:szCs w:val="22"/>
        </w:rPr>
        <w:t>Flemington-Kensington, Toorak, Blackburn, Clayton,</w:t>
      </w:r>
      <w:r w:rsidR="00090EF8" w:rsidRPr="00912264">
        <w:rPr>
          <w:rFonts w:cs="Arial"/>
          <w:szCs w:val="22"/>
        </w:rPr>
        <w:t xml:space="preserve"> </w:t>
      </w:r>
      <w:r w:rsidR="00912264" w:rsidRPr="00912264">
        <w:rPr>
          <w:rFonts w:cs="Arial"/>
          <w:szCs w:val="22"/>
        </w:rPr>
        <w:t xml:space="preserve">Hawthorn, </w:t>
      </w:r>
      <w:r w:rsidR="00912264" w:rsidRPr="00912749">
        <w:rPr>
          <w:rFonts w:cs="Arial"/>
          <w:szCs w:val="22"/>
          <w:lang w:eastAsia="en-AU"/>
        </w:rPr>
        <w:t>Brighton</w:t>
      </w:r>
      <w:r w:rsidR="00912264" w:rsidRPr="00912264">
        <w:rPr>
          <w:rFonts w:cs="Arial"/>
          <w:szCs w:val="22"/>
          <w:lang w:eastAsia="en-AU"/>
        </w:rPr>
        <w:t xml:space="preserve">, </w:t>
      </w:r>
      <w:r w:rsidR="00912264" w:rsidRPr="00912749">
        <w:rPr>
          <w:rFonts w:cs="Arial"/>
          <w:szCs w:val="22"/>
          <w:lang w:eastAsia="en-AU"/>
        </w:rPr>
        <w:t>Elsternwick</w:t>
      </w:r>
      <w:r w:rsidR="00912264" w:rsidRPr="00912264">
        <w:rPr>
          <w:rFonts w:cs="Arial"/>
          <w:szCs w:val="22"/>
          <w:lang w:eastAsia="en-AU"/>
        </w:rPr>
        <w:t xml:space="preserve">, </w:t>
      </w:r>
      <w:r w:rsidR="00912264" w:rsidRPr="00912749">
        <w:rPr>
          <w:rFonts w:cs="Arial"/>
          <w:szCs w:val="22"/>
          <w:lang w:eastAsia="en-AU"/>
        </w:rPr>
        <w:t>St Albans-Deer Park</w:t>
      </w:r>
      <w:r w:rsidR="00912264" w:rsidRPr="00912264">
        <w:rPr>
          <w:rFonts w:cs="Arial"/>
          <w:szCs w:val="22"/>
          <w:lang w:eastAsia="en-AU"/>
        </w:rPr>
        <w:t xml:space="preserve">, </w:t>
      </w:r>
      <w:r w:rsidR="00912264" w:rsidRPr="00912749">
        <w:rPr>
          <w:rFonts w:cs="Arial"/>
          <w:szCs w:val="22"/>
          <w:lang w:eastAsia="en-AU"/>
        </w:rPr>
        <w:t>Craigieburn</w:t>
      </w:r>
      <w:r w:rsidR="00912264" w:rsidRPr="00912264">
        <w:rPr>
          <w:rFonts w:cs="Arial"/>
          <w:szCs w:val="22"/>
          <w:lang w:eastAsia="en-AU"/>
        </w:rPr>
        <w:t xml:space="preserve">, </w:t>
      </w:r>
      <w:r w:rsidR="00912264" w:rsidRPr="00912749">
        <w:rPr>
          <w:rFonts w:cs="Arial"/>
          <w:szCs w:val="22"/>
          <w:lang w:eastAsia="en-AU"/>
        </w:rPr>
        <w:t>Gladstone Park-Tullamarine</w:t>
      </w:r>
      <w:r w:rsidR="00912264" w:rsidRPr="00912264">
        <w:rPr>
          <w:rFonts w:cs="Arial"/>
          <w:szCs w:val="22"/>
          <w:lang w:eastAsia="en-AU"/>
        </w:rPr>
        <w:t xml:space="preserve">, </w:t>
      </w:r>
      <w:r w:rsidR="00912264" w:rsidRPr="00912749">
        <w:rPr>
          <w:rFonts w:cs="Arial"/>
          <w:szCs w:val="22"/>
          <w:lang w:eastAsia="en-AU"/>
        </w:rPr>
        <w:t>Fairfield-Alphington</w:t>
      </w:r>
      <w:r w:rsidR="00912264" w:rsidRPr="00912264">
        <w:rPr>
          <w:rFonts w:cs="Arial"/>
          <w:szCs w:val="22"/>
          <w:lang w:eastAsia="en-AU"/>
        </w:rPr>
        <w:t xml:space="preserve">, </w:t>
      </w:r>
      <w:r w:rsidR="00912264" w:rsidRPr="00912749">
        <w:rPr>
          <w:rFonts w:cs="Arial"/>
          <w:szCs w:val="22"/>
          <w:lang w:eastAsia="en-AU"/>
        </w:rPr>
        <w:t>Mill Park-Epping</w:t>
      </w:r>
      <w:r w:rsidR="00912264" w:rsidRPr="00912264">
        <w:rPr>
          <w:rFonts w:cs="Arial"/>
          <w:szCs w:val="22"/>
          <w:lang w:eastAsia="en-AU"/>
        </w:rPr>
        <w:t xml:space="preserve">, </w:t>
      </w:r>
      <w:r w:rsidR="00912264" w:rsidRPr="00912749">
        <w:rPr>
          <w:rFonts w:cs="Arial"/>
          <w:szCs w:val="22"/>
          <w:lang w:eastAsia="en-AU"/>
        </w:rPr>
        <w:t>Whittlesea</w:t>
      </w:r>
      <w:r w:rsidR="00912264" w:rsidRPr="00912264">
        <w:rPr>
          <w:rFonts w:cs="Arial"/>
          <w:szCs w:val="22"/>
          <w:lang w:eastAsia="en-AU"/>
        </w:rPr>
        <w:t xml:space="preserve"> and </w:t>
      </w:r>
      <w:r w:rsidR="00912264" w:rsidRPr="00912749">
        <w:rPr>
          <w:rFonts w:cs="Arial"/>
          <w:szCs w:val="22"/>
          <w:lang w:eastAsia="en-AU"/>
        </w:rPr>
        <w:t>Hastings-Flinders</w:t>
      </w:r>
      <w:r w:rsidR="00912264">
        <w:rPr>
          <w:rFonts w:cs="Arial"/>
          <w:szCs w:val="22"/>
          <w:lang w:eastAsia="en-AU"/>
        </w:rPr>
        <w:t xml:space="preserve">. </w:t>
      </w:r>
    </w:p>
    <w:p w:rsidR="00912264" w:rsidRPr="00912264" w:rsidRDefault="00912264" w:rsidP="00BA6BE6">
      <w:pPr>
        <w:rPr>
          <w:rFonts w:cs="Arial"/>
          <w:szCs w:val="22"/>
          <w:lang w:eastAsia="en-AU"/>
        </w:rPr>
      </w:pPr>
    </w:p>
    <w:p w:rsidR="007C014F" w:rsidRPr="00B15DFE" w:rsidRDefault="0047763C" w:rsidP="007C014F">
      <w:pPr>
        <w:rPr>
          <w:rFonts w:cs="Arial"/>
          <w:szCs w:val="16"/>
          <w:lang w:eastAsia="en-AU"/>
        </w:rPr>
      </w:pPr>
      <w:r w:rsidRPr="00DF5FA6">
        <w:rPr>
          <w:rFonts w:cs="Arial"/>
          <w:szCs w:val="22"/>
        </w:rPr>
        <w:t xml:space="preserve">For </w:t>
      </w:r>
      <w:r w:rsidR="001E0276">
        <w:rPr>
          <w:rFonts w:cs="Arial"/>
          <w:szCs w:val="22"/>
        </w:rPr>
        <w:t>two-</w:t>
      </w:r>
      <w:r w:rsidR="00AB0D80" w:rsidRPr="00DF5FA6">
        <w:rPr>
          <w:rFonts w:cs="Arial"/>
          <w:szCs w:val="22"/>
        </w:rPr>
        <w:t xml:space="preserve">bedroom flats in </w:t>
      </w:r>
      <w:r w:rsidRPr="00DF5FA6">
        <w:rPr>
          <w:rFonts w:cs="Arial"/>
          <w:szCs w:val="22"/>
        </w:rPr>
        <w:t>regional Victoria</w:t>
      </w:r>
      <w:r w:rsidR="00CE7BFD">
        <w:rPr>
          <w:rFonts w:cs="Arial"/>
          <w:szCs w:val="22"/>
        </w:rPr>
        <w:t>,</w:t>
      </w:r>
      <w:r w:rsidRPr="00DF5FA6">
        <w:rPr>
          <w:rFonts w:cs="Arial"/>
          <w:szCs w:val="22"/>
        </w:rPr>
        <w:t xml:space="preserve"> the towns with the highest increases in moving annual median rents to the </w:t>
      </w:r>
      <w:r w:rsidR="004B57AE">
        <w:rPr>
          <w:rFonts w:cs="Arial"/>
          <w:szCs w:val="22"/>
        </w:rPr>
        <w:t>December</w:t>
      </w:r>
      <w:r w:rsidRPr="00DF5FA6">
        <w:rPr>
          <w:rFonts w:cs="Arial"/>
          <w:szCs w:val="22"/>
        </w:rPr>
        <w:t xml:space="preserve"> quarter were </w:t>
      </w:r>
      <w:r w:rsidR="00257AF0" w:rsidRPr="00DF5FA6">
        <w:rPr>
          <w:rFonts w:cs="Arial"/>
          <w:szCs w:val="22"/>
        </w:rPr>
        <w:t>Horsham (</w:t>
      </w:r>
      <w:r w:rsidR="00257AF0">
        <w:rPr>
          <w:rFonts w:cs="Arial"/>
          <w:szCs w:val="22"/>
        </w:rPr>
        <w:t>11.4</w:t>
      </w:r>
      <w:r w:rsidR="00257AF0" w:rsidRPr="00DF5FA6">
        <w:rPr>
          <w:rFonts w:cs="Arial"/>
          <w:szCs w:val="22"/>
        </w:rPr>
        <w:t>%),</w:t>
      </w:r>
      <w:r w:rsidR="00257AF0" w:rsidRPr="00257AF0">
        <w:rPr>
          <w:rFonts w:cs="Arial"/>
          <w:szCs w:val="22"/>
        </w:rPr>
        <w:t xml:space="preserve"> </w:t>
      </w:r>
      <w:r w:rsidR="00257AF0">
        <w:rPr>
          <w:rFonts w:cs="Arial"/>
          <w:szCs w:val="22"/>
        </w:rPr>
        <w:t>Seymour (11.1%), Sale-Maffra (9.1%), T</w:t>
      </w:r>
      <w:r w:rsidR="00AD4229" w:rsidRPr="00DF5FA6">
        <w:rPr>
          <w:rFonts w:cs="Arial"/>
          <w:szCs w:val="22"/>
        </w:rPr>
        <w:t>orquay (</w:t>
      </w:r>
      <w:r w:rsidR="00257AF0">
        <w:rPr>
          <w:rFonts w:cs="Arial"/>
          <w:szCs w:val="22"/>
        </w:rPr>
        <w:t>8.2%),</w:t>
      </w:r>
      <w:r w:rsidR="00090EF8">
        <w:rPr>
          <w:rFonts w:cs="Arial"/>
          <w:szCs w:val="22"/>
        </w:rPr>
        <w:t xml:space="preserve"> Swan Hill (7.5%) and </w:t>
      </w:r>
      <w:r w:rsidR="00090EF8" w:rsidRPr="00090EF8">
        <w:rPr>
          <w:rFonts w:cs="Arial"/>
          <w:szCs w:val="22"/>
        </w:rPr>
        <w:t>Moe-Newborough</w:t>
      </w:r>
      <w:r w:rsidR="00090EF8">
        <w:rPr>
          <w:rFonts w:cs="Arial"/>
          <w:szCs w:val="22"/>
        </w:rPr>
        <w:t xml:space="preserve"> (6.7%). </w:t>
      </w:r>
      <w:r w:rsidR="00AB0D80" w:rsidRPr="00DF5FA6">
        <w:rPr>
          <w:rFonts w:cs="Arial"/>
          <w:szCs w:val="22"/>
        </w:rPr>
        <w:t xml:space="preserve">The towns with </w:t>
      </w:r>
      <w:r w:rsidR="00E8090A" w:rsidRPr="00DF5FA6">
        <w:rPr>
          <w:rFonts w:cs="Arial"/>
          <w:szCs w:val="22"/>
        </w:rPr>
        <w:t>decreases in m</w:t>
      </w:r>
      <w:r w:rsidRPr="00DF5FA6">
        <w:rPr>
          <w:rFonts w:cs="Arial"/>
          <w:szCs w:val="22"/>
        </w:rPr>
        <w:t xml:space="preserve">oving annual median rents </w:t>
      </w:r>
      <w:r w:rsidR="00E8090A" w:rsidRPr="00DF5FA6">
        <w:rPr>
          <w:rFonts w:cs="Arial"/>
          <w:szCs w:val="22"/>
        </w:rPr>
        <w:t xml:space="preserve">were </w:t>
      </w:r>
      <w:r w:rsidR="00C86F4A" w:rsidRPr="00DF5FA6">
        <w:rPr>
          <w:rFonts w:cs="Arial"/>
          <w:szCs w:val="22"/>
        </w:rPr>
        <w:t>Hamilton (</w:t>
      </w:r>
      <w:r w:rsidR="00257AF0">
        <w:rPr>
          <w:rFonts w:cs="Arial"/>
          <w:szCs w:val="22"/>
        </w:rPr>
        <w:t>-9.5</w:t>
      </w:r>
      <w:r w:rsidR="00C86F4A" w:rsidRPr="00DF5FA6">
        <w:rPr>
          <w:rFonts w:cs="Arial"/>
          <w:szCs w:val="22"/>
        </w:rPr>
        <w:t>%)</w:t>
      </w:r>
      <w:r w:rsidR="00C86F4A">
        <w:rPr>
          <w:rFonts w:cs="Arial"/>
          <w:szCs w:val="22"/>
        </w:rPr>
        <w:t xml:space="preserve">, </w:t>
      </w:r>
      <w:r w:rsidR="00CB6501" w:rsidRPr="00C86F4A">
        <w:rPr>
          <w:rFonts w:cs="Arial"/>
          <w:szCs w:val="22"/>
        </w:rPr>
        <w:t>North Bendigo</w:t>
      </w:r>
      <w:r w:rsidR="00CB6501">
        <w:rPr>
          <w:rFonts w:cs="Arial"/>
          <w:szCs w:val="22"/>
        </w:rPr>
        <w:t xml:space="preserve"> (-4.2%), </w:t>
      </w:r>
      <w:r w:rsidR="00C86F4A" w:rsidRPr="000A2FC7">
        <w:rPr>
          <w:rFonts w:cs="Arial"/>
          <w:szCs w:val="22"/>
        </w:rPr>
        <w:t>Ocean Grove-Barwon Heads</w:t>
      </w:r>
      <w:r w:rsidR="00C86F4A">
        <w:rPr>
          <w:rFonts w:cs="Arial"/>
          <w:szCs w:val="22"/>
        </w:rPr>
        <w:t xml:space="preserve"> (-3.4%),</w:t>
      </w:r>
      <w:r w:rsidR="00C86F4A" w:rsidRPr="00C86F4A">
        <w:rPr>
          <w:rFonts w:cs="Arial"/>
          <w:szCs w:val="22"/>
        </w:rPr>
        <w:t xml:space="preserve"> </w:t>
      </w:r>
      <w:r w:rsidR="00C86F4A" w:rsidRPr="00DF5FA6">
        <w:rPr>
          <w:rFonts w:cs="Arial"/>
          <w:szCs w:val="22"/>
        </w:rPr>
        <w:t>Portland (</w:t>
      </w:r>
      <w:r w:rsidR="00C86F4A">
        <w:rPr>
          <w:rFonts w:cs="Arial"/>
          <w:szCs w:val="22"/>
        </w:rPr>
        <w:t>-2.9</w:t>
      </w:r>
      <w:r w:rsidR="00C86F4A" w:rsidRPr="00DF5FA6">
        <w:rPr>
          <w:rFonts w:cs="Arial"/>
          <w:szCs w:val="22"/>
        </w:rPr>
        <w:t>%)</w:t>
      </w:r>
      <w:r w:rsidR="00C86F4A">
        <w:rPr>
          <w:rFonts w:cs="Arial"/>
          <w:szCs w:val="22"/>
        </w:rPr>
        <w:t xml:space="preserve">, </w:t>
      </w:r>
      <w:r w:rsidR="00CB6501">
        <w:rPr>
          <w:rFonts w:cs="Arial"/>
          <w:szCs w:val="22"/>
        </w:rPr>
        <w:t xml:space="preserve">Benalla (-2.7%), </w:t>
      </w:r>
      <w:r w:rsidR="00C86F4A">
        <w:rPr>
          <w:rFonts w:cs="Arial"/>
          <w:szCs w:val="22"/>
        </w:rPr>
        <w:t>Bendigo (-2.1%)</w:t>
      </w:r>
      <w:r w:rsidR="00CB6501">
        <w:rPr>
          <w:rFonts w:cs="Arial"/>
          <w:szCs w:val="22"/>
        </w:rPr>
        <w:t xml:space="preserve"> and</w:t>
      </w:r>
      <w:r w:rsidR="00C86F4A">
        <w:rPr>
          <w:rFonts w:cs="Arial"/>
          <w:szCs w:val="22"/>
        </w:rPr>
        <w:t xml:space="preserve"> </w:t>
      </w:r>
      <w:r w:rsidR="00C86F4A" w:rsidRPr="00C86F4A">
        <w:rPr>
          <w:rFonts w:cs="Arial"/>
          <w:szCs w:val="22"/>
        </w:rPr>
        <w:t>Wangaratta</w:t>
      </w:r>
      <w:r w:rsidR="00CB6501">
        <w:rPr>
          <w:rFonts w:cs="Arial"/>
          <w:szCs w:val="22"/>
        </w:rPr>
        <w:t xml:space="preserve"> (-1</w:t>
      </w:r>
      <w:r w:rsidR="00C86F4A">
        <w:rPr>
          <w:rFonts w:cs="Arial"/>
          <w:szCs w:val="22"/>
        </w:rPr>
        <w:t>.5%).</w:t>
      </w:r>
      <w:r w:rsidR="00CB6501">
        <w:rPr>
          <w:rFonts w:cs="Arial"/>
          <w:szCs w:val="22"/>
        </w:rPr>
        <w:t xml:space="preserve"> </w:t>
      </w:r>
      <w:r w:rsidR="007C014F">
        <w:rPr>
          <w:rFonts w:cs="Arial"/>
          <w:szCs w:val="22"/>
        </w:rPr>
        <w:t xml:space="preserve">Nine towns remaining steady were </w:t>
      </w:r>
      <w:r w:rsidR="007C014F" w:rsidRPr="00B15DFE">
        <w:rPr>
          <w:rFonts w:cs="Arial"/>
          <w:szCs w:val="16"/>
          <w:lang w:eastAsia="en-AU"/>
        </w:rPr>
        <w:t>Belmont-Grovedale</w:t>
      </w:r>
      <w:r w:rsidR="007C014F">
        <w:rPr>
          <w:rFonts w:cs="Arial"/>
          <w:szCs w:val="16"/>
          <w:lang w:eastAsia="en-AU"/>
        </w:rPr>
        <w:t xml:space="preserve">, </w:t>
      </w:r>
      <w:r w:rsidR="007C014F" w:rsidRPr="00B15DFE">
        <w:rPr>
          <w:rFonts w:cs="Arial"/>
          <w:szCs w:val="16"/>
          <w:lang w:eastAsia="en-AU"/>
        </w:rPr>
        <w:t>Corio</w:t>
      </w:r>
      <w:r w:rsidR="007C014F">
        <w:rPr>
          <w:rFonts w:cs="Arial"/>
          <w:szCs w:val="16"/>
          <w:lang w:eastAsia="en-AU"/>
        </w:rPr>
        <w:t>, G</w:t>
      </w:r>
      <w:r w:rsidR="007C014F" w:rsidRPr="00B15DFE">
        <w:rPr>
          <w:rFonts w:cs="Arial"/>
          <w:szCs w:val="16"/>
          <w:lang w:eastAsia="en-AU"/>
        </w:rPr>
        <w:t>eelong-Newcomb</w:t>
      </w:r>
      <w:r w:rsidR="007C014F">
        <w:rPr>
          <w:rFonts w:cs="Arial"/>
          <w:szCs w:val="16"/>
          <w:lang w:eastAsia="en-AU"/>
        </w:rPr>
        <w:t xml:space="preserve">, </w:t>
      </w:r>
      <w:r w:rsidR="007C014F" w:rsidRPr="00B15DFE">
        <w:rPr>
          <w:rFonts w:cs="Arial"/>
          <w:szCs w:val="16"/>
          <w:lang w:eastAsia="en-AU"/>
        </w:rPr>
        <w:t>Ballarat</w:t>
      </w:r>
      <w:r w:rsidR="007C014F">
        <w:rPr>
          <w:rFonts w:cs="Arial"/>
          <w:szCs w:val="16"/>
          <w:lang w:eastAsia="en-AU"/>
        </w:rPr>
        <w:t xml:space="preserve">, </w:t>
      </w:r>
      <w:r w:rsidR="007C014F" w:rsidRPr="00B15DFE">
        <w:rPr>
          <w:rFonts w:cs="Arial"/>
          <w:szCs w:val="16"/>
          <w:lang w:eastAsia="en-AU"/>
        </w:rPr>
        <w:t>Mount Clear-Buninyong</w:t>
      </w:r>
      <w:r w:rsidR="007C014F">
        <w:rPr>
          <w:rFonts w:cs="Arial"/>
          <w:szCs w:val="16"/>
          <w:lang w:eastAsia="en-AU"/>
        </w:rPr>
        <w:t xml:space="preserve">, </w:t>
      </w:r>
      <w:r w:rsidR="007C014F" w:rsidRPr="00B15DFE">
        <w:rPr>
          <w:rFonts w:cs="Arial"/>
          <w:szCs w:val="16"/>
          <w:lang w:eastAsia="en-AU"/>
        </w:rPr>
        <w:t>Flora Hill-Bendigo East</w:t>
      </w:r>
      <w:r w:rsidR="007C014F">
        <w:rPr>
          <w:rFonts w:cs="Arial"/>
          <w:szCs w:val="16"/>
          <w:lang w:eastAsia="en-AU"/>
        </w:rPr>
        <w:t xml:space="preserve">, </w:t>
      </w:r>
      <w:r w:rsidR="007C014F" w:rsidRPr="00B15DFE">
        <w:rPr>
          <w:rFonts w:cs="Arial"/>
          <w:szCs w:val="16"/>
          <w:lang w:eastAsia="en-AU"/>
        </w:rPr>
        <w:t>Shepparton</w:t>
      </w:r>
      <w:r w:rsidR="007C014F">
        <w:rPr>
          <w:rFonts w:cs="Arial"/>
          <w:szCs w:val="16"/>
          <w:lang w:eastAsia="en-AU"/>
        </w:rPr>
        <w:t xml:space="preserve">, </w:t>
      </w:r>
      <w:r w:rsidR="007C014F" w:rsidRPr="00B15DFE">
        <w:rPr>
          <w:rFonts w:cs="Arial"/>
          <w:szCs w:val="16"/>
          <w:lang w:eastAsia="en-AU"/>
        </w:rPr>
        <w:t>Warragul</w:t>
      </w:r>
      <w:r w:rsidR="007C014F">
        <w:rPr>
          <w:rFonts w:cs="Arial"/>
          <w:szCs w:val="16"/>
          <w:lang w:eastAsia="en-AU"/>
        </w:rPr>
        <w:t xml:space="preserve"> and </w:t>
      </w:r>
      <w:r w:rsidR="007C014F" w:rsidRPr="00B15DFE">
        <w:rPr>
          <w:rFonts w:cs="Arial"/>
          <w:szCs w:val="16"/>
          <w:lang w:eastAsia="en-AU"/>
        </w:rPr>
        <w:t>Warrnambool</w:t>
      </w:r>
      <w:r w:rsidR="007C014F">
        <w:rPr>
          <w:rFonts w:cs="Arial"/>
          <w:szCs w:val="16"/>
          <w:lang w:eastAsia="en-AU"/>
        </w:rPr>
        <w:t>.</w:t>
      </w:r>
    </w:p>
    <w:p w:rsidR="00E8090A" w:rsidRDefault="00E8090A" w:rsidP="00A84558">
      <w:pPr>
        <w:rPr>
          <w:rFonts w:cs="Arial"/>
          <w:szCs w:val="20"/>
        </w:rPr>
      </w:pPr>
    </w:p>
    <w:p w:rsidR="00A60C67" w:rsidRPr="00257AF0" w:rsidRDefault="001E0276" w:rsidP="00280B16">
      <w:pPr>
        <w:rPr>
          <w:rFonts w:cs="Arial"/>
          <w:szCs w:val="22"/>
        </w:rPr>
      </w:pPr>
      <w:r>
        <w:rPr>
          <w:rFonts w:cs="Arial"/>
          <w:szCs w:val="22"/>
        </w:rPr>
        <w:t>For three-</w:t>
      </w:r>
      <w:r w:rsidR="00C87597" w:rsidRPr="00052803">
        <w:rPr>
          <w:rFonts w:cs="Arial"/>
          <w:szCs w:val="22"/>
        </w:rPr>
        <w:t>bedroom houses i</w:t>
      </w:r>
      <w:r w:rsidR="0047763C" w:rsidRPr="00052803">
        <w:rPr>
          <w:rFonts w:cs="Arial"/>
          <w:szCs w:val="22"/>
        </w:rPr>
        <w:t xml:space="preserve">n metropolitan Melbourne, the suburbs with the highest increases in moving annual median rents to the </w:t>
      </w:r>
      <w:r w:rsidR="004B57AE">
        <w:rPr>
          <w:rFonts w:cs="Arial"/>
          <w:szCs w:val="22"/>
        </w:rPr>
        <w:t>December</w:t>
      </w:r>
      <w:r w:rsidR="0047763C" w:rsidRPr="00052803">
        <w:rPr>
          <w:rFonts w:cs="Arial"/>
          <w:szCs w:val="22"/>
        </w:rPr>
        <w:t xml:space="preserve"> quarter were </w:t>
      </w:r>
      <w:r w:rsidR="00912264" w:rsidRPr="00280B16">
        <w:rPr>
          <w:rFonts w:cs="Arial"/>
          <w:szCs w:val="22"/>
        </w:rPr>
        <w:t>East Melbourne</w:t>
      </w:r>
      <w:r w:rsidR="00912264" w:rsidRPr="005167A2">
        <w:rPr>
          <w:rFonts w:cs="Arial"/>
          <w:szCs w:val="22"/>
        </w:rPr>
        <w:t xml:space="preserve"> </w:t>
      </w:r>
      <w:r w:rsidR="00912264">
        <w:rPr>
          <w:rFonts w:cs="Arial"/>
          <w:szCs w:val="22"/>
        </w:rPr>
        <w:t xml:space="preserve">(15.9%), </w:t>
      </w:r>
      <w:r w:rsidR="00057D9B">
        <w:rPr>
          <w:rFonts w:cs="Arial"/>
          <w:szCs w:val="22"/>
        </w:rPr>
        <w:t>Malvern</w:t>
      </w:r>
      <w:r w:rsidR="00057D9B" w:rsidRPr="005167A2">
        <w:rPr>
          <w:rFonts w:cs="Arial"/>
          <w:szCs w:val="22"/>
        </w:rPr>
        <w:t xml:space="preserve"> </w:t>
      </w:r>
      <w:r w:rsidR="00C86F4A">
        <w:rPr>
          <w:rFonts w:cs="Arial"/>
          <w:szCs w:val="22"/>
        </w:rPr>
        <w:t>(1</w:t>
      </w:r>
      <w:r w:rsidR="00912264">
        <w:rPr>
          <w:rFonts w:cs="Arial"/>
          <w:szCs w:val="22"/>
        </w:rPr>
        <w:t>1.9</w:t>
      </w:r>
      <w:r w:rsidR="00057D9B">
        <w:rPr>
          <w:rFonts w:cs="Arial"/>
          <w:szCs w:val="22"/>
        </w:rPr>
        <w:t xml:space="preserve">%), </w:t>
      </w:r>
      <w:r w:rsidR="00057D9B" w:rsidRPr="00057D9B">
        <w:rPr>
          <w:rFonts w:cs="Arial"/>
          <w:szCs w:val="22"/>
        </w:rPr>
        <w:t xml:space="preserve">Albert Park-Middle Park-West St Kilda </w:t>
      </w:r>
      <w:r w:rsidR="00912264">
        <w:rPr>
          <w:rFonts w:cs="Arial"/>
          <w:szCs w:val="22"/>
        </w:rPr>
        <w:t>(10.4</w:t>
      </w:r>
      <w:r w:rsidR="00057D9B">
        <w:rPr>
          <w:rFonts w:cs="Arial"/>
          <w:szCs w:val="22"/>
        </w:rPr>
        <w:t xml:space="preserve">%), </w:t>
      </w:r>
      <w:r w:rsidR="00912264">
        <w:rPr>
          <w:rFonts w:cs="Arial"/>
          <w:szCs w:val="22"/>
        </w:rPr>
        <w:t xml:space="preserve">West Brunswick (10.0%), Hawthorn (9.2%), </w:t>
      </w:r>
      <w:r w:rsidR="00912264" w:rsidRPr="00A60C67">
        <w:rPr>
          <w:rFonts w:cs="Arial"/>
          <w:szCs w:val="22"/>
        </w:rPr>
        <w:t>Thornbury</w:t>
      </w:r>
      <w:r w:rsidR="00257AF0">
        <w:rPr>
          <w:rFonts w:cs="Arial"/>
          <w:szCs w:val="22"/>
        </w:rPr>
        <w:t xml:space="preserve"> (8.6%), </w:t>
      </w:r>
      <w:r w:rsidR="00A60C67" w:rsidRPr="00A60C67">
        <w:rPr>
          <w:rFonts w:cs="Arial"/>
          <w:szCs w:val="22"/>
        </w:rPr>
        <w:t>Fairfield-Alphington</w:t>
      </w:r>
      <w:r w:rsidR="00A60C67">
        <w:rPr>
          <w:rFonts w:cs="Arial"/>
          <w:szCs w:val="22"/>
        </w:rPr>
        <w:t xml:space="preserve"> (8.4%), </w:t>
      </w:r>
      <w:r w:rsidR="00257AF0" w:rsidRPr="00C86F4A">
        <w:rPr>
          <w:rFonts w:cs="Arial"/>
          <w:szCs w:val="22"/>
        </w:rPr>
        <w:t>Yarraville-Seddon</w:t>
      </w:r>
      <w:r w:rsidR="00257AF0">
        <w:rPr>
          <w:rFonts w:cs="Arial"/>
          <w:szCs w:val="22"/>
        </w:rPr>
        <w:t xml:space="preserve"> (7.8%), </w:t>
      </w:r>
      <w:r w:rsidR="00257AF0" w:rsidRPr="00257AF0">
        <w:rPr>
          <w:rFonts w:cs="Arial"/>
          <w:szCs w:val="22"/>
        </w:rPr>
        <w:t>Mt Eliza-Mornington-Mt Martha</w:t>
      </w:r>
      <w:r w:rsidR="00257AF0">
        <w:rPr>
          <w:rFonts w:cs="Arial"/>
          <w:szCs w:val="22"/>
        </w:rPr>
        <w:t xml:space="preserve"> (7.6%) and </w:t>
      </w:r>
      <w:r w:rsidR="00C86F4A" w:rsidRPr="00057D9B">
        <w:rPr>
          <w:rFonts w:cs="Arial"/>
          <w:szCs w:val="22"/>
        </w:rPr>
        <w:t xml:space="preserve">Newport-Spotswood </w:t>
      </w:r>
      <w:r w:rsidR="00257AF0">
        <w:rPr>
          <w:rFonts w:cs="Arial"/>
          <w:szCs w:val="22"/>
        </w:rPr>
        <w:t>(7.1%)</w:t>
      </w:r>
      <w:r w:rsidR="00A60C67">
        <w:rPr>
          <w:rFonts w:cs="Arial"/>
          <w:szCs w:val="22"/>
        </w:rPr>
        <w:t xml:space="preserve">. </w:t>
      </w:r>
      <w:r w:rsidR="005167A2" w:rsidRPr="00052803">
        <w:rPr>
          <w:rFonts w:cs="Arial"/>
          <w:szCs w:val="22"/>
        </w:rPr>
        <w:t>The suburbs with decreases in moving annual median rents were</w:t>
      </w:r>
      <w:r w:rsidR="00257AF0">
        <w:rPr>
          <w:rFonts w:cs="Arial"/>
          <w:szCs w:val="22"/>
        </w:rPr>
        <w:t xml:space="preserve"> Toorak (-5.5%), </w:t>
      </w:r>
      <w:r w:rsidR="00A60C67" w:rsidRPr="00280B16">
        <w:rPr>
          <w:rFonts w:cs="Arial"/>
          <w:szCs w:val="22"/>
        </w:rPr>
        <w:t>Heidelberg-Heidelberg West</w:t>
      </w:r>
      <w:r w:rsidR="00A60C67">
        <w:rPr>
          <w:rFonts w:cs="Arial"/>
          <w:szCs w:val="22"/>
        </w:rPr>
        <w:t xml:space="preserve"> </w:t>
      </w:r>
      <w:r w:rsidR="00A60C67" w:rsidRPr="00280B16">
        <w:rPr>
          <w:rFonts w:cs="Arial"/>
          <w:szCs w:val="22"/>
        </w:rPr>
        <w:t>(</w:t>
      </w:r>
      <w:r w:rsidR="00A60C67">
        <w:rPr>
          <w:rFonts w:cs="Arial"/>
          <w:szCs w:val="22"/>
        </w:rPr>
        <w:t>-3.9</w:t>
      </w:r>
      <w:r w:rsidR="00A60C67" w:rsidRPr="00280B16">
        <w:rPr>
          <w:rFonts w:cs="Arial"/>
          <w:szCs w:val="22"/>
        </w:rPr>
        <w:t>%)</w:t>
      </w:r>
      <w:r w:rsidR="00A60C67">
        <w:rPr>
          <w:rFonts w:cs="Arial"/>
          <w:szCs w:val="22"/>
        </w:rPr>
        <w:t xml:space="preserve">, </w:t>
      </w:r>
      <w:r w:rsidR="00257AF0" w:rsidRPr="00A60C67">
        <w:rPr>
          <w:rFonts w:cs="Arial"/>
          <w:szCs w:val="22"/>
        </w:rPr>
        <w:t>Armadale</w:t>
      </w:r>
      <w:r w:rsidR="00257AF0">
        <w:rPr>
          <w:rFonts w:cs="Arial"/>
          <w:szCs w:val="22"/>
        </w:rPr>
        <w:t xml:space="preserve"> (-2.9%), </w:t>
      </w:r>
      <w:r w:rsidR="00A60C67" w:rsidRPr="00A60C67">
        <w:rPr>
          <w:rFonts w:cs="Arial"/>
          <w:szCs w:val="22"/>
        </w:rPr>
        <w:t>Elsternwick</w:t>
      </w:r>
      <w:r w:rsidR="00257AF0">
        <w:rPr>
          <w:rFonts w:cs="Arial"/>
          <w:szCs w:val="22"/>
        </w:rPr>
        <w:t xml:space="preserve"> (-2.3</w:t>
      </w:r>
      <w:r w:rsidR="00A60C67">
        <w:rPr>
          <w:rFonts w:cs="Arial"/>
          <w:szCs w:val="22"/>
        </w:rPr>
        <w:t xml:space="preserve">%), </w:t>
      </w:r>
      <w:r w:rsidR="00257AF0" w:rsidRPr="00280B16">
        <w:rPr>
          <w:rFonts w:cs="Arial"/>
          <w:szCs w:val="22"/>
        </w:rPr>
        <w:t>Carnegie</w:t>
      </w:r>
      <w:r w:rsidR="00257AF0">
        <w:rPr>
          <w:rFonts w:cs="Arial"/>
          <w:szCs w:val="22"/>
        </w:rPr>
        <w:t xml:space="preserve"> </w:t>
      </w:r>
      <w:r w:rsidR="00257AF0" w:rsidRPr="00280B16">
        <w:rPr>
          <w:rFonts w:cs="Arial"/>
          <w:szCs w:val="22"/>
        </w:rPr>
        <w:t>(</w:t>
      </w:r>
      <w:r w:rsidR="00257AF0">
        <w:rPr>
          <w:rFonts w:cs="Arial"/>
          <w:szCs w:val="22"/>
        </w:rPr>
        <w:t>-1.8</w:t>
      </w:r>
      <w:r w:rsidR="00257AF0" w:rsidRPr="00280B16">
        <w:rPr>
          <w:rFonts w:cs="Arial"/>
          <w:szCs w:val="22"/>
        </w:rPr>
        <w:t>%)</w:t>
      </w:r>
      <w:r w:rsidR="00257AF0">
        <w:rPr>
          <w:rFonts w:cs="Arial"/>
          <w:szCs w:val="22"/>
        </w:rPr>
        <w:t>, Elwood (-0.9</w:t>
      </w:r>
      <w:r w:rsidR="00A60C67">
        <w:rPr>
          <w:rFonts w:cs="Arial"/>
          <w:szCs w:val="22"/>
        </w:rPr>
        <w:t>%)</w:t>
      </w:r>
      <w:r w:rsidR="00257AF0">
        <w:rPr>
          <w:rFonts w:cs="Arial"/>
          <w:szCs w:val="22"/>
        </w:rPr>
        <w:t xml:space="preserve"> and</w:t>
      </w:r>
      <w:r w:rsidR="00A60C67">
        <w:rPr>
          <w:rFonts w:cs="Arial"/>
          <w:szCs w:val="22"/>
        </w:rPr>
        <w:t xml:space="preserve"> </w:t>
      </w:r>
      <w:r w:rsidR="00A60C67" w:rsidRPr="00A60C67">
        <w:rPr>
          <w:rFonts w:cs="Arial"/>
          <w:szCs w:val="22"/>
        </w:rPr>
        <w:t>Keilor</w:t>
      </w:r>
      <w:r w:rsidR="00257AF0">
        <w:rPr>
          <w:rFonts w:cs="Arial"/>
          <w:szCs w:val="22"/>
        </w:rPr>
        <w:t xml:space="preserve"> (-0.5</w:t>
      </w:r>
      <w:r w:rsidR="00A60C67">
        <w:rPr>
          <w:rFonts w:cs="Arial"/>
          <w:szCs w:val="22"/>
        </w:rPr>
        <w:t>%)</w:t>
      </w:r>
      <w:r w:rsidR="00257AF0">
        <w:rPr>
          <w:rFonts w:cs="Arial"/>
          <w:szCs w:val="22"/>
        </w:rPr>
        <w:t xml:space="preserve">. Seven suburbs </w:t>
      </w:r>
      <w:r w:rsidR="00257AF0" w:rsidRPr="00257AF0">
        <w:rPr>
          <w:rFonts w:cs="Arial"/>
          <w:szCs w:val="22"/>
        </w:rPr>
        <w:t xml:space="preserve">remaining steady were </w:t>
      </w:r>
      <w:r w:rsidR="00257AF0" w:rsidRPr="00B15DFE">
        <w:rPr>
          <w:rFonts w:cs="Arial"/>
          <w:szCs w:val="22"/>
          <w:lang w:eastAsia="en-AU"/>
        </w:rPr>
        <w:t>Carlton-Parkville</w:t>
      </w:r>
      <w:r w:rsidR="00257AF0" w:rsidRPr="00257AF0">
        <w:rPr>
          <w:rFonts w:cs="Arial"/>
          <w:szCs w:val="22"/>
          <w:lang w:eastAsia="en-AU"/>
        </w:rPr>
        <w:t xml:space="preserve">, </w:t>
      </w:r>
      <w:r w:rsidR="00257AF0" w:rsidRPr="00B15DFE">
        <w:rPr>
          <w:rFonts w:cs="Arial"/>
          <w:szCs w:val="22"/>
          <w:lang w:eastAsia="en-AU"/>
        </w:rPr>
        <w:t>Burwood-Ashburton</w:t>
      </w:r>
      <w:r w:rsidR="00257AF0" w:rsidRPr="00257AF0">
        <w:rPr>
          <w:rFonts w:cs="Arial"/>
          <w:szCs w:val="22"/>
          <w:lang w:eastAsia="en-AU"/>
        </w:rPr>
        <w:t xml:space="preserve">, </w:t>
      </w:r>
      <w:r w:rsidR="00257AF0" w:rsidRPr="00B15DFE">
        <w:rPr>
          <w:rFonts w:cs="Arial"/>
          <w:szCs w:val="22"/>
          <w:lang w:eastAsia="en-AU"/>
        </w:rPr>
        <w:t>Craigieburn</w:t>
      </w:r>
      <w:r w:rsidR="00257AF0" w:rsidRPr="00257AF0">
        <w:rPr>
          <w:rFonts w:cs="Arial"/>
          <w:szCs w:val="22"/>
          <w:lang w:eastAsia="en-AU"/>
        </w:rPr>
        <w:t xml:space="preserve">, </w:t>
      </w:r>
      <w:r w:rsidR="00257AF0" w:rsidRPr="00B15DFE">
        <w:rPr>
          <w:rFonts w:cs="Arial"/>
          <w:szCs w:val="22"/>
          <w:lang w:eastAsia="en-AU"/>
        </w:rPr>
        <w:t>Sunbury</w:t>
      </w:r>
      <w:r w:rsidR="00257AF0" w:rsidRPr="00257AF0">
        <w:rPr>
          <w:rFonts w:cs="Arial"/>
          <w:szCs w:val="22"/>
          <w:lang w:eastAsia="en-AU"/>
        </w:rPr>
        <w:t xml:space="preserve">, </w:t>
      </w:r>
      <w:r w:rsidR="00257AF0" w:rsidRPr="00B15DFE">
        <w:rPr>
          <w:rFonts w:cs="Arial"/>
          <w:szCs w:val="22"/>
          <w:lang w:eastAsia="en-AU"/>
        </w:rPr>
        <w:t>Mill Park-Epping</w:t>
      </w:r>
      <w:r w:rsidR="00257AF0" w:rsidRPr="00257AF0">
        <w:rPr>
          <w:rFonts w:cs="Arial"/>
          <w:szCs w:val="22"/>
          <w:lang w:eastAsia="en-AU"/>
        </w:rPr>
        <w:t xml:space="preserve">, </w:t>
      </w:r>
      <w:r w:rsidR="00257AF0" w:rsidRPr="00B15DFE">
        <w:rPr>
          <w:rFonts w:cs="Arial"/>
          <w:szCs w:val="22"/>
          <w:lang w:eastAsia="en-AU"/>
        </w:rPr>
        <w:t>Reservoir</w:t>
      </w:r>
      <w:r w:rsidR="00257AF0">
        <w:rPr>
          <w:rFonts w:cs="Arial"/>
          <w:szCs w:val="22"/>
          <w:lang w:eastAsia="en-AU"/>
        </w:rPr>
        <w:t xml:space="preserve"> and </w:t>
      </w:r>
      <w:r w:rsidR="00257AF0" w:rsidRPr="00B15DFE">
        <w:rPr>
          <w:rFonts w:cs="Arial"/>
          <w:szCs w:val="22"/>
          <w:lang w:eastAsia="en-AU"/>
        </w:rPr>
        <w:t>Dandenong</w:t>
      </w:r>
      <w:r w:rsidR="00257AF0">
        <w:rPr>
          <w:rFonts w:cs="Arial"/>
          <w:szCs w:val="22"/>
          <w:lang w:eastAsia="en-AU"/>
        </w:rPr>
        <w:t>.</w:t>
      </w:r>
    </w:p>
    <w:p w:rsidR="00A60C67" w:rsidRDefault="00A60C67" w:rsidP="00280B16">
      <w:pPr>
        <w:rPr>
          <w:rFonts w:cs="Arial"/>
          <w:szCs w:val="22"/>
        </w:rPr>
      </w:pPr>
    </w:p>
    <w:p w:rsidR="00CB6501" w:rsidRPr="00B15DFE" w:rsidRDefault="001E0276" w:rsidP="00CB6501">
      <w:pPr>
        <w:rPr>
          <w:rFonts w:cs="Arial"/>
          <w:szCs w:val="16"/>
          <w:lang w:eastAsia="en-AU"/>
        </w:rPr>
      </w:pPr>
      <w:r>
        <w:rPr>
          <w:rFonts w:cs="Arial"/>
          <w:szCs w:val="22"/>
        </w:rPr>
        <w:t>For three-</w:t>
      </w:r>
      <w:r w:rsidR="006D0FD4" w:rsidRPr="00052803">
        <w:rPr>
          <w:rFonts w:cs="Arial"/>
          <w:szCs w:val="22"/>
        </w:rPr>
        <w:t>bedroom houses</w:t>
      </w:r>
      <w:r w:rsidR="00146CCF" w:rsidRPr="00052803">
        <w:rPr>
          <w:rFonts w:cs="Arial"/>
          <w:szCs w:val="22"/>
        </w:rPr>
        <w:t xml:space="preserve"> in </w:t>
      </w:r>
      <w:r w:rsidR="0047763C" w:rsidRPr="00052803">
        <w:rPr>
          <w:rFonts w:cs="Arial"/>
          <w:szCs w:val="22"/>
        </w:rPr>
        <w:t xml:space="preserve">regional Victoria, the towns with the highest increases in moving annual median rents to the </w:t>
      </w:r>
      <w:r w:rsidR="004B57AE">
        <w:rPr>
          <w:rFonts w:cs="Arial"/>
          <w:szCs w:val="22"/>
        </w:rPr>
        <w:t>December</w:t>
      </w:r>
      <w:r w:rsidR="0047763C" w:rsidRPr="00052803">
        <w:rPr>
          <w:rFonts w:cs="Arial"/>
          <w:szCs w:val="22"/>
        </w:rPr>
        <w:t xml:space="preserve"> quarter were</w:t>
      </w:r>
      <w:r w:rsidR="00052803" w:rsidRPr="00052803">
        <w:rPr>
          <w:rFonts w:cs="Arial"/>
          <w:szCs w:val="22"/>
        </w:rPr>
        <w:t xml:space="preserve"> Moe-Newborough</w:t>
      </w:r>
      <w:r w:rsidR="008F6E44">
        <w:rPr>
          <w:rFonts w:cs="Arial"/>
          <w:szCs w:val="22"/>
        </w:rPr>
        <w:t xml:space="preserve"> </w:t>
      </w:r>
      <w:r w:rsidR="00CB6501">
        <w:rPr>
          <w:rFonts w:cs="Arial"/>
          <w:szCs w:val="22"/>
        </w:rPr>
        <w:t xml:space="preserve">(9.1%), </w:t>
      </w:r>
      <w:r w:rsidR="00057D9B">
        <w:rPr>
          <w:rFonts w:cs="Arial"/>
          <w:szCs w:val="22"/>
        </w:rPr>
        <w:t>Sale-Maffra (7.7</w:t>
      </w:r>
      <w:r w:rsidR="00052803" w:rsidRPr="00052803">
        <w:rPr>
          <w:rFonts w:cs="Arial"/>
          <w:szCs w:val="22"/>
        </w:rPr>
        <w:t>%)</w:t>
      </w:r>
      <w:r w:rsidR="00CB6501">
        <w:rPr>
          <w:rFonts w:cs="Arial"/>
          <w:szCs w:val="22"/>
        </w:rPr>
        <w:t>, Warragul (7.4%), Echuca (6.9%), Warrnambool (6.0%), Mildura (5.7%), Bendigo (5.4%) and Torquay (5.0%)</w:t>
      </w:r>
      <w:r w:rsidR="00057D9B">
        <w:rPr>
          <w:rFonts w:cs="Arial"/>
          <w:szCs w:val="22"/>
        </w:rPr>
        <w:t>.</w:t>
      </w:r>
      <w:r w:rsidR="00A60C67">
        <w:rPr>
          <w:rFonts w:cs="Arial"/>
          <w:szCs w:val="22"/>
        </w:rPr>
        <w:t xml:space="preserve"> </w:t>
      </w:r>
      <w:r w:rsidR="008B5736">
        <w:rPr>
          <w:rFonts w:cs="Arial"/>
          <w:szCs w:val="22"/>
        </w:rPr>
        <w:t>The towns with decreases in m</w:t>
      </w:r>
      <w:r w:rsidR="008B5736" w:rsidRPr="00052803">
        <w:rPr>
          <w:rFonts w:cs="Arial"/>
          <w:szCs w:val="22"/>
        </w:rPr>
        <w:t xml:space="preserve">oving annual median rents were </w:t>
      </w:r>
      <w:r w:rsidR="00CB6501">
        <w:rPr>
          <w:rFonts w:cs="Arial"/>
          <w:szCs w:val="22"/>
        </w:rPr>
        <w:t xml:space="preserve">Hamilton (-4.0%), </w:t>
      </w:r>
      <w:r w:rsidR="00CA0CC4" w:rsidRPr="001458F3">
        <w:rPr>
          <w:rFonts w:cs="Arial"/>
          <w:szCs w:val="22"/>
        </w:rPr>
        <w:t>Flora Hill-Bendigo East</w:t>
      </w:r>
      <w:r w:rsidR="00CA0CC4">
        <w:rPr>
          <w:rFonts w:cs="Arial"/>
          <w:szCs w:val="22"/>
        </w:rPr>
        <w:t xml:space="preserve"> (-3.3%), </w:t>
      </w:r>
      <w:r w:rsidR="00CB6501" w:rsidRPr="00052803">
        <w:rPr>
          <w:rFonts w:cs="Arial"/>
          <w:szCs w:val="22"/>
        </w:rPr>
        <w:t>Portland</w:t>
      </w:r>
      <w:r w:rsidR="00CB6501">
        <w:rPr>
          <w:rFonts w:cs="Arial"/>
          <w:szCs w:val="22"/>
        </w:rPr>
        <w:t xml:space="preserve"> </w:t>
      </w:r>
      <w:r w:rsidR="00CB6501" w:rsidRPr="00052803">
        <w:rPr>
          <w:rFonts w:cs="Arial"/>
          <w:szCs w:val="22"/>
        </w:rPr>
        <w:t>(</w:t>
      </w:r>
      <w:r w:rsidR="00CB6501">
        <w:rPr>
          <w:rFonts w:cs="Arial"/>
          <w:szCs w:val="22"/>
        </w:rPr>
        <w:t>-2.1%</w:t>
      </w:r>
      <w:r w:rsidR="00CB6501" w:rsidRPr="00052803">
        <w:rPr>
          <w:rFonts w:cs="Arial"/>
          <w:szCs w:val="22"/>
        </w:rPr>
        <w:t>)</w:t>
      </w:r>
      <w:r w:rsidR="00CB6501">
        <w:rPr>
          <w:rFonts w:cs="Arial"/>
          <w:szCs w:val="22"/>
        </w:rPr>
        <w:t xml:space="preserve">, </w:t>
      </w:r>
      <w:r w:rsidR="00CB6501" w:rsidRPr="00A60C67">
        <w:rPr>
          <w:rFonts w:cs="Arial"/>
          <w:szCs w:val="22"/>
        </w:rPr>
        <w:t>Golden Square-Kangaroo Flat</w:t>
      </w:r>
      <w:r w:rsidR="00CB6501">
        <w:rPr>
          <w:rFonts w:cs="Arial"/>
          <w:szCs w:val="22"/>
        </w:rPr>
        <w:t xml:space="preserve"> (-1.7%), </w:t>
      </w:r>
      <w:r w:rsidR="00A60C67" w:rsidRPr="00A60C67">
        <w:rPr>
          <w:rFonts w:cs="Arial"/>
          <w:szCs w:val="22"/>
        </w:rPr>
        <w:t>Castlemaine</w:t>
      </w:r>
      <w:r w:rsidR="00CB6501">
        <w:rPr>
          <w:rFonts w:cs="Arial"/>
          <w:szCs w:val="22"/>
        </w:rPr>
        <w:t xml:space="preserve"> (-1.6%) and</w:t>
      </w:r>
      <w:r w:rsidR="00A60C67">
        <w:rPr>
          <w:rFonts w:cs="Arial"/>
          <w:szCs w:val="22"/>
        </w:rPr>
        <w:t xml:space="preserve"> </w:t>
      </w:r>
      <w:r w:rsidR="00CA0CC4" w:rsidRPr="001458F3">
        <w:rPr>
          <w:rFonts w:cs="Arial"/>
          <w:szCs w:val="22"/>
        </w:rPr>
        <w:t>Herne Hill-Geelong West</w:t>
      </w:r>
      <w:r w:rsidR="00CB6501">
        <w:rPr>
          <w:rFonts w:cs="Arial"/>
          <w:szCs w:val="22"/>
        </w:rPr>
        <w:t xml:space="preserve"> (-0.6</w:t>
      </w:r>
      <w:r w:rsidR="00C41DC2">
        <w:rPr>
          <w:rFonts w:cs="Arial"/>
          <w:szCs w:val="22"/>
        </w:rPr>
        <w:t>%).</w:t>
      </w:r>
      <w:r w:rsidR="00CB6501">
        <w:rPr>
          <w:rFonts w:cs="Arial"/>
          <w:szCs w:val="22"/>
        </w:rPr>
        <w:t xml:space="preserve"> Eleven towns remaining steady were </w:t>
      </w:r>
      <w:r w:rsidR="00CB6501" w:rsidRPr="00B15DFE">
        <w:rPr>
          <w:rFonts w:cs="Arial"/>
          <w:szCs w:val="16"/>
          <w:lang w:eastAsia="en-AU"/>
        </w:rPr>
        <w:t>Corio</w:t>
      </w:r>
      <w:r w:rsidR="00CB6501">
        <w:rPr>
          <w:rFonts w:cs="Arial"/>
          <w:szCs w:val="16"/>
          <w:lang w:eastAsia="en-AU"/>
        </w:rPr>
        <w:t xml:space="preserve">, </w:t>
      </w:r>
      <w:r w:rsidR="00CB6501" w:rsidRPr="00B15DFE">
        <w:rPr>
          <w:rFonts w:cs="Arial"/>
          <w:szCs w:val="16"/>
          <w:lang w:eastAsia="en-AU"/>
        </w:rPr>
        <w:t>Geelong-Newcomb</w:t>
      </w:r>
      <w:r w:rsidR="00CB6501">
        <w:rPr>
          <w:rFonts w:cs="Arial"/>
          <w:szCs w:val="16"/>
          <w:lang w:eastAsia="en-AU"/>
        </w:rPr>
        <w:t xml:space="preserve">, </w:t>
      </w:r>
      <w:r w:rsidR="00CB6501" w:rsidRPr="00B15DFE">
        <w:rPr>
          <w:rFonts w:cs="Arial"/>
          <w:szCs w:val="16"/>
          <w:lang w:eastAsia="en-AU"/>
        </w:rPr>
        <w:t>Lara</w:t>
      </w:r>
      <w:r w:rsidR="00CB6501">
        <w:rPr>
          <w:rFonts w:cs="Arial"/>
          <w:szCs w:val="16"/>
          <w:lang w:eastAsia="en-AU"/>
        </w:rPr>
        <w:t xml:space="preserve">, </w:t>
      </w:r>
      <w:r w:rsidR="00CB6501" w:rsidRPr="00B15DFE">
        <w:rPr>
          <w:rFonts w:cs="Arial"/>
          <w:szCs w:val="16"/>
          <w:lang w:eastAsia="en-AU"/>
        </w:rPr>
        <w:t>Ballarat</w:t>
      </w:r>
      <w:r w:rsidR="00CB6501">
        <w:rPr>
          <w:rFonts w:cs="Arial"/>
          <w:szCs w:val="16"/>
          <w:lang w:eastAsia="en-AU"/>
        </w:rPr>
        <w:t xml:space="preserve">, </w:t>
      </w:r>
      <w:r w:rsidR="00CB6501" w:rsidRPr="00B15DFE">
        <w:rPr>
          <w:rFonts w:cs="Arial"/>
          <w:szCs w:val="16"/>
          <w:lang w:eastAsia="en-AU"/>
        </w:rPr>
        <w:t>Mount Clear-Buninyong</w:t>
      </w:r>
      <w:r w:rsidR="00CB6501">
        <w:rPr>
          <w:rFonts w:cs="Arial"/>
          <w:szCs w:val="16"/>
          <w:lang w:eastAsia="en-AU"/>
        </w:rPr>
        <w:t xml:space="preserve">, </w:t>
      </w:r>
      <w:r w:rsidR="00CB6501" w:rsidRPr="00B15DFE">
        <w:rPr>
          <w:rFonts w:cs="Arial"/>
          <w:szCs w:val="16"/>
          <w:lang w:eastAsia="en-AU"/>
        </w:rPr>
        <w:t>North Bendigo</w:t>
      </w:r>
      <w:r w:rsidR="00CB6501">
        <w:rPr>
          <w:rFonts w:cs="Arial"/>
          <w:szCs w:val="16"/>
          <w:lang w:eastAsia="en-AU"/>
        </w:rPr>
        <w:t xml:space="preserve">, </w:t>
      </w:r>
      <w:r w:rsidR="00CB6501" w:rsidRPr="00B15DFE">
        <w:rPr>
          <w:rFonts w:cs="Arial"/>
          <w:szCs w:val="16"/>
          <w:lang w:eastAsia="en-AU"/>
        </w:rPr>
        <w:t>Ocean Grove-Barwon Heads</w:t>
      </w:r>
      <w:r w:rsidR="00CB6501">
        <w:rPr>
          <w:rFonts w:cs="Arial"/>
          <w:szCs w:val="16"/>
          <w:lang w:eastAsia="en-AU"/>
        </w:rPr>
        <w:t xml:space="preserve">, </w:t>
      </w:r>
      <w:r w:rsidR="00CB6501" w:rsidRPr="00B15DFE">
        <w:rPr>
          <w:rFonts w:cs="Arial"/>
          <w:szCs w:val="16"/>
          <w:lang w:eastAsia="en-AU"/>
        </w:rPr>
        <w:t>Seymour</w:t>
      </w:r>
      <w:r w:rsidR="00CB6501">
        <w:rPr>
          <w:rFonts w:cs="Arial"/>
          <w:szCs w:val="16"/>
          <w:lang w:eastAsia="en-AU"/>
        </w:rPr>
        <w:t xml:space="preserve">, </w:t>
      </w:r>
      <w:r w:rsidR="00CB6501" w:rsidRPr="00B15DFE">
        <w:rPr>
          <w:rFonts w:cs="Arial"/>
          <w:szCs w:val="16"/>
          <w:lang w:eastAsia="en-AU"/>
        </w:rPr>
        <w:t>Swan Hill</w:t>
      </w:r>
      <w:r w:rsidR="00CB6501">
        <w:rPr>
          <w:rFonts w:cs="Arial"/>
          <w:szCs w:val="16"/>
          <w:lang w:eastAsia="en-AU"/>
        </w:rPr>
        <w:t xml:space="preserve">, </w:t>
      </w:r>
      <w:r w:rsidR="00CB6501" w:rsidRPr="00B15DFE">
        <w:rPr>
          <w:rFonts w:cs="Arial"/>
          <w:szCs w:val="16"/>
          <w:lang w:eastAsia="en-AU"/>
        </w:rPr>
        <w:t>Traralgon</w:t>
      </w:r>
      <w:r w:rsidR="00CB6501">
        <w:rPr>
          <w:rFonts w:cs="Arial"/>
          <w:szCs w:val="16"/>
          <w:lang w:eastAsia="en-AU"/>
        </w:rPr>
        <w:t xml:space="preserve"> and </w:t>
      </w:r>
      <w:r w:rsidR="00CB6501" w:rsidRPr="00B15DFE">
        <w:rPr>
          <w:rFonts w:cs="Arial"/>
          <w:szCs w:val="16"/>
          <w:lang w:eastAsia="en-AU"/>
        </w:rPr>
        <w:t>Wangaratta</w:t>
      </w:r>
      <w:r w:rsidR="00CB6501">
        <w:rPr>
          <w:rFonts w:cs="Arial"/>
          <w:szCs w:val="16"/>
          <w:lang w:eastAsia="en-AU"/>
        </w:rPr>
        <w:t>.</w:t>
      </w:r>
    </w:p>
    <w:p w:rsidR="00CA0CC4" w:rsidRDefault="00CA0CC4" w:rsidP="00052803">
      <w:pPr>
        <w:rPr>
          <w:rFonts w:cs="Arial"/>
          <w:szCs w:val="22"/>
        </w:rPr>
      </w:pPr>
    </w:p>
    <w:p w:rsidR="00F70E86" w:rsidRDefault="00F70E86" w:rsidP="00052803">
      <w:pPr>
        <w:rPr>
          <w:rFonts w:cs="Arial"/>
          <w:szCs w:val="22"/>
        </w:rPr>
      </w:pPr>
    </w:p>
    <w:p w:rsidR="00CD4622" w:rsidRDefault="00CD4622">
      <w:pPr>
        <w:rPr>
          <w:rFonts w:cs="Arial"/>
          <w:b/>
          <w:bCs/>
          <w:color w:val="7C93B9"/>
          <w:sz w:val="26"/>
        </w:rPr>
      </w:pPr>
      <w:r>
        <w:rPr>
          <w:rFonts w:cs="Arial"/>
        </w:rPr>
        <w:br w:type="page"/>
      </w:r>
    </w:p>
    <w:p w:rsidR="0047763C" w:rsidRPr="00831AFF" w:rsidRDefault="0047763C" w:rsidP="005A1E70">
      <w:pPr>
        <w:pStyle w:val="DHSheadingB"/>
        <w:rPr>
          <w:rFonts w:cs="Arial"/>
        </w:rPr>
      </w:pPr>
      <w:r w:rsidRPr="00831AFF">
        <w:rPr>
          <w:rFonts w:cs="Arial"/>
        </w:rPr>
        <w:lastRenderedPageBreak/>
        <w:t>Where are median rents highest? Where are median rents lowest?</w:t>
      </w:r>
    </w:p>
    <w:p w:rsidR="0047763C" w:rsidRPr="004837EA" w:rsidRDefault="0047763C">
      <w:pPr>
        <w:rPr>
          <w:rFonts w:cs="Arial"/>
        </w:rPr>
      </w:pPr>
      <w:r w:rsidRPr="000F3B39">
        <w:rPr>
          <w:rFonts w:cs="Arial"/>
          <w:szCs w:val="20"/>
        </w:rPr>
        <w:t>Table 4 provides the highest and lowest median rents in both metropolitan Melbourne and regional Victoria.</w:t>
      </w:r>
    </w:p>
    <w:p w:rsidR="0047763C" w:rsidRPr="00EC3090" w:rsidRDefault="0047763C">
      <w:pPr>
        <w:rPr>
          <w:rFonts w:cs="Arial"/>
        </w:rPr>
      </w:pPr>
    </w:p>
    <w:p w:rsidR="00C57B36" w:rsidRDefault="004837EA" w:rsidP="006A2718">
      <w:pPr>
        <w:ind w:left="709" w:hanging="709"/>
        <w:rPr>
          <w:rFonts w:cs="Arial"/>
          <w:b/>
          <w:sz w:val="20"/>
          <w:szCs w:val="20"/>
        </w:rPr>
      </w:pPr>
      <w:r>
        <w:rPr>
          <w:rFonts w:cs="Arial"/>
          <w:b/>
          <w:sz w:val="20"/>
          <w:szCs w:val="20"/>
        </w:rPr>
        <w:t>Table 4</w:t>
      </w:r>
      <w:r w:rsidR="0047763C">
        <w:rPr>
          <w:rFonts w:cs="Arial"/>
          <w:b/>
          <w:sz w:val="20"/>
          <w:szCs w:val="20"/>
        </w:rPr>
        <w:t xml:space="preserve"> </w:t>
      </w:r>
      <w:r w:rsidR="0047763C" w:rsidRPr="000375B1">
        <w:rPr>
          <w:rFonts w:cs="Arial"/>
          <w:b/>
          <w:sz w:val="20"/>
          <w:szCs w:val="20"/>
        </w:rPr>
        <w:t xml:space="preserve">Highest and lowest </w:t>
      </w:r>
      <w:r w:rsidR="0047763C">
        <w:rPr>
          <w:rFonts w:cs="Arial"/>
          <w:b/>
          <w:sz w:val="20"/>
          <w:szCs w:val="20"/>
        </w:rPr>
        <w:t xml:space="preserve">moving annual </w:t>
      </w:r>
      <w:r w:rsidR="0047763C" w:rsidRPr="000375B1">
        <w:rPr>
          <w:rFonts w:cs="Arial"/>
          <w:b/>
          <w:sz w:val="20"/>
          <w:szCs w:val="20"/>
        </w:rPr>
        <w:t>median rents in metropolitan Melbourne and regional Victoria</w:t>
      </w:r>
    </w:p>
    <w:tbl>
      <w:tblPr>
        <w:tblW w:w="0" w:type="auto"/>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969"/>
        <w:gridCol w:w="1134"/>
        <w:gridCol w:w="2948"/>
        <w:gridCol w:w="1134"/>
      </w:tblGrid>
      <w:tr w:rsidR="00180B5B" w:rsidRPr="00180B5B" w:rsidTr="00B03AB9">
        <w:trPr>
          <w:trHeight w:hRule="exact" w:val="851"/>
          <w:tblHeader/>
        </w:trPr>
        <w:tc>
          <w:tcPr>
            <w:tcW w:w="5103" w:type="dxa"/>
            <w:gridSpan w:val="2"/>
            <w:tcBorders>
              <w:bottom w:val="single" w:sz="12" w:space="0" w:color="9DAECB"/>
            </w:tcBorders>
            <w:vAlign w:val="center"/>
          </w:tcPr>
          <w:p w:rsidR="0047763C" w:rsidRPr="00180B5B" w:rsidRDefault="00B03AB9" w:rsidP="00C95655">
            <w:pPr>
              <w:spacing w:before="59"/>
              <w:ind w:left="170" w:right="57"/>
              <w:jc w:val="center"/>
              <w:rPr>
                <w:rFonts w:ascii="Times New Roman" w:hAnsi="Times New Roman" w:cs="Arial"/>
                <w:b/>
                <w:color w:val="9DAECB"/>
                <w:sz w:val="24"/>
                <w:szCs w:val="20"/>
              </w:rPr>
            </w:pPr>
            <w:r>
              <w:rPr>
                <w:rFonts w:cs="Arial"/>
                <w:b/>
                <w:color w:val="9DAECB"/>
                <w:sz w:val="24"/>
                <w:szCs w:val="20"/>
              </w:rPr>
              <w:t>Where are median rents</w:t>
            </w:r>
            <w:r>
              <w:rPr>
                <w:rFonts w:cs="Arial"/>
                <w:b/>
                <w:color w:val="9DAECB"/>
                <w:sz w:val="24"/>
                <w:szCs w:val="20"/>
              </w:rPr>
              <w:br/>
            </w:r>
            <w:r w:rsidR="0047763C" w:rsidRPr="00180B5B">
              <w:rPr>
                <w:rFonts w:cs="Arial"/>
                <w:b/>
                <w:color w:val="9DAECB"/>
                <w:sz w:val="24"/>
                <w:szCs w:val="20"/>
              </w:rPr>
              <w:t>highest?</w:t>
            </w:r>
          </w:p>
        </w:tc>
        <w:tc>
          <w:tcPr>
            <w:tcW w:w="4082" w:type="dxa"/>
            <w:gridSpan w:val="2"/>
            <w:tcBorders>
              <w:bottom w:val="single" w:sz="12" w:space="0" w:color="9DAECB"/>
            </w:tcBorders>
            <w:vAlign w:val="center"/>
          </w:tcPr>
          <w:p w:rsidR="0047763C" w:rsidRPr="00180B5B" w:rsidRDefault="0047763C" w:rsidP="00C95655">
            <w:pPr>
              <w:spacing w:before="59"/>
              <w:ind w:left="170" w:right="57"/>
              <w:jc w:val="center"/>
              <w:rPr>
                <w:rFonts w:ascii="Times New Roman" w:hAnsi="Times New Roman" w:cs="Arial"/>
                <w:b/>
                <w:color w:val="9DAECB"/>
                <w:sz w:val="24"/>
                <w:szCs w:val="20"/>
              </w:rPr>
            </w:pPr>
            <w:r w:rsidRPr="00180B5B">
              <w:rPr>
                <w:rFonts w:cs="Arial"/>
                <w:b/>
                <w:color w:val="9DAECB"/>
                <w:sz w:val="24"/>
                <w:szCs w:val="20"/>
              </w:rPr>
              <w:t>Where are median rents lowest?</w:t>
            </w:r>
          </w:p>
        </w:tc>
      </w:tr>
      <w:tr w:rsidR="00180B5B" w:rsidRPr="00180B5B" w:rsidTr="00CE3231">
        <w:trPr>
          <w:trHeight w:hRule="exact" w:val="567"/>
        </w:trPr>
        <w:tc>
          <w:tcPr>
            <w:tcW w:w="3969" w:type="dxa"/>
            <w:tcBorders>
              <w:top w:val="single" w:sz="12" w:space="0" w:color="9DAECB"/>
              <w:bottom w:val="single" w:sz="12" w:space="0" w:color="9DAECB"/>
            </w:tcBorders>
            <w:vAlign w:val="bottom"/>
          </w:tcPr>
          <w:p w:rsidR="0047763C" w:rsidRPr="00180B5B" w:rsidRDefault="00085411" w:rsidP="00C95655">
            <w:pPr>
              <w:spacing w:before="120"/>
              <w:rPr>
                <w:rFonts w:cs="Arial"/>
                <w:b/>
                <w:bCs/>
                <w:color w:val="9DAECB"/>
              </w:rPr>
            </w:pPr>
            <w:r w:rsidRPr="00180B5B">
              <w:rPr>
                <w:rFonts w:cs="Arial"/>
                <w:b/>
                <w:bCs/>
                <w:color w:val="9DAECB"/>
              </w:rPr>
              <w:t>2-</w:t>
            </w:r>
            <w:r w:rsidR="0047763C" w:rsidRPr="00180B5B">
              <w:rPr>
                <w:rFonts w:cs="Arial"/>
                <w:b/>
                <w:bCs/>
                <w:color w:val="9DAECB"/>
              </w:rPr>
              <w:t>bedroom flat</w:t>
            </w:r>
          </w:p>
        </w:tc>
        <w:tc>
          <w:tcPr>
            <w:tcW w:w="1134" w:type="dxa"/>
            <w:tcBorders>
              <w:top w:val="single" w:sz="12" w:space="0" w:color="9DAECB"/>
              <w:bottom w:val="single" w:sz="12" w:space="0" w:color="9DAECB"/>
            </w:tcBorders>
            <w:vAlign w:val="bottom"/>
          </w:tcPr>
          <w:p w:rsidR="0047763C" w:rsidRPr="00180B5B" w:rsidRDefault="0047763C" w:rsidP="00C95655">
            <w:pPr>
              <w:spacing w:before="59"/>
              <w:ind w:left="562" w:right="543"/>
              <w:rPr>
                <w:rFonts w:cs="Arial"/>
                <w:b/>
                <w:bCs/>
                <w:color w:val="9DAECB"/>
              </w:rPr>
            </w:pPr>
          </w:p>
        </w:tc>
        <w:tc>
          <w:tcPr>
            <w:tcW w:w="2948" w:type="dxa"/>
            <w:tcBorders>
              <w:top w:val="single" w:sz="12" w:space="0" w:color="9DAECB"/>
              <w:bottom w:val="single" w:sz="12" w:space="0" w:color="9DAECB"/>
            </w:tcBorders>
            <w:vAlign w:val="bottom"/>
          </w:tcPr>
          <w:p w:rsidR="0047763C" w:rsidRPr="00180B5B" w:rsidRDefault="0047763C" w:rsidP="00C95655">
            <w:pPr>
              <w:spacing w:before="59"/>
              <w:ind w:left="80" w:right="-20"/>
              <w:rPr>
                <w:rFonts w:cs="Arial"/>
                <w:b/>
                <w:bCs/>
                <w:color w:val="9DAECB"/>
              </w:rPr>
            </w:pPr>
          </w:p>
        </w:tc>
        <w:tc>
          <w:tcPr>
            <w:tcW w:w="1134" w:type="dxa"/>
            <w:tcBorders>
              <w:top w:val="single" w:sz="12" w:space="0" w:color="9DAECB"/>
              <w:bottom w:val="single" w:sz="12" w:space="0" w:color="9DAECB"/>
            </w:tcBorders>
            <w:vAlign w:val="bottom"/>
          </w:tcPr>
          <w:p w:rsidR="0047763C" w:rsidRPr="00180B5B" w:rsidRDefault="0047763C" w:rsidP="00C95655">
            <w:pPr>
              <w:spacing w:before="59"/>
              <w:ind w:left="563" w:right="542"/>
              <w:rPr>
                <w:rFonts w:cs="Arial"/>
                <w:color w:val="9DAECB"/>
                <w:szCs w:val="16"/>
              </w:rPr>
            </w:pPr>
          </w:p>
        </w:tc>
      </w:tr>
      <w:tr w:rsidR="0047763C" w:rsidRPr="00ED3997" w:rsidTr="00CE3231">
        <w:trPr>
          <w:trHeight w:hRule="exact" w:val="340"/>
        </w:trPr>
        <w:tc>
          <w:tcPr>
            <w:tcW w:w="3969" w:type="dxa"/>
            <w:tcBorders>
              <w:top w:val="single" w:sz="12" w:space="0" w:color="9DAECB"/>
            </w:tcBorders>
            <w:vAlign w:val="bottom"/>
          </w:tcPr>
          <w:p w:rsidR="0047763C" w:rsidRPr="00C95655" w:rsidRDefault="002C4406" w:rsidP="00C95655">
            <w:pPr>
              <w:ind w:left="113"/>
              <w:rPr>
                <w:rFonts w:cs="Arial"/>
                <w:b/>
                <w:sz w:val="20"/>
                <w:szCs w:val="20"/>
              </w:rPr>
            </w:pPr>
            <w:r>
              <w:rPr>
                <w:rFonts w:cs="Arial"/>
                <w:b/>
                <w:color w:val="231F20"/>
                <w:sz w:val="20"/>
                <w:szCs w:val="20"/>
              </w:rPr>
              <w:t xml:space="preserve">Metropolitan </w:t>
            </w:r>
            <w:r w:rsidR="0047763C" w:rsidRPr="00C95655">
              <w:rPr>
                <w:rFonts w:cs="Arial"/>
                <w:b/>
                <w:color w:val="231F20"/>
                <w:sz w:val="20"/>
                <w:szCs w:val="20"/>
              </w:rPr>
              <w:t>Melbourne</w:t>
            </w:r>
          </w:p>
        </w:tc>
        <w:tc>
          <w:tcPr>
            <w:tcW w:w="1134" w:type="dxa"/>
            <w:tcBorders>
              <w:top w:val="single" w:sz="12" w:space="0" w:color="9DAECB"/>
            </w:tcBorders>
          </w:tcPr>
          <w:p w:rsidR="0047763C" w:rsidRPr="00C95655" w:rsidRDefault="0047763C" w:rsidP="00C95655">
            <w:pPr>
              <w:spacing w:before="59"/>
              <w:ind w:left="562" w:right="543"/>
              <w:jc w:val="center"/>
              <w:rPr>
                <w:rFonts w:cs="Arial"/>
                <w:sz w:val="20"/>
                <w:szCs w:val="20"/>
              </w:rPr>
            </w:pPr>
          </w:p>
        </w:tc>
        <w:tc>
          <w:tcPr>
            <w:tcW w:w="2948" w:type="dxa"/>
            <w:tcBorders>
              <w:top w:val="single" w:sz="12" w:space="0" w:color="9DAECB"/>
            </w:tcBorders>
          </w:tcPr>
          <w:p w:rsidR="0047763C" w:rsidRPr="00C95655" w:rsidRDefault="0047763C" w:rsidP="00C95655">
            <w:pPr>
              <w:spacing w:before="59"/>
              <w:ind w:left="80" w:right="-20"/>
              <w:rPr>
                <w:rFonts w:cs="Arial"/>
                <w:sz w:val="20"/>
                <w:szCs w:val="20"/>
              </w:rPr>
            </w:pPr>
          </w:p>
        </w:tc>
        <w:tc>
          <w:tcPr>
            <w:tcW w:w="1134" w:type="dxa"/>
            <w:tcBorders>
              <w:top w:val="single" w:sz="12" w:space="0" w:color="9DAECB"/>
            </w:tcBorders>
          </w:tcPr>
          <w:p w:rsidR="0047763C" w:rsidRPr="00C95655" w:rsidRDefault="0047763C" w:rsidP="00C95655">
            <w:pPr>
              <w:spacing w:before="59"/>
              <w:ind w:left="563" w:right="542"/>
              <w:jc w:val="center"/>
              <w:rPr>
                <w:rFonts w:cs="Arial"/>
                <w:sz w:val="20"/>
                <w:szCs w:val="20"/>
              </w:rPr>
            </w:pPr>
          </w:p>
        </w:tc>
      </w:tr>
      <w:tr w:rsidR="009B1520" w:rsidRPr="00ED3997" w:rsidTr="005E5C54">
        <w:trPr>
          <w:trHeight w:hRule="exact" w:val="312"/>
        </w:trPr>
        <w:tc>
          <w:tcPr>
            <w:tcW w:w="3969" w:type="dxa"/>
          </w:tcPr>
          <w:p w:rsidR="009B1520" w:rsidRPr="003D5531" w:rsidRDefault="009B1520" w:rsidP="00220B78">
            <w:r w:rsidRPr="003D5531">
              <w:t>Port Melbourne</w:t>
            </w:r>
          </w:p>
        </w:tc>
        <w:tc>
          <w:tcPr>
            <w:tcW w:w="1134" w:type="dxa"/>
            <w:shd w:val="clear" w:color="auto" w:fill="DEE4EE"/>
            <w:vAlign w:val="center"/>
          </w:tcPr>
          <w:p w:rsidR="009B1520" w:rsidRPr="003D5531" w:rsidRDefault="009B1520" w:rsidP="005E5C54">
            <w:pPr>
              <w:jc w:val="center"/>
            </w:pPr>
            <w:r w:rsidRPr="003D5531">
              <w:t>$570</w:t>
            </w:r>
          </w:p>
        </w:tc>
        <w:tc>
          <w:tcPr>
            <w:tcW w:w="2948" w:type="dxa"/>
            <w:vAlign w:val="bottom"/>
          </w:tcPr>
          <w:p w:rsidR="009B1520" w:rsidRPr="009B1520" w:rsidRDefault="009B1520">
            <w:r w:rsidRPr="009B1520">
              <w:t>Melton</w:t>
            </w:r>
          </w:p>
        </w:tc>
        <w:tc>
          <w:tcPr>
            <w:tcW w:w="1134" w:type="dxa"/>
            <w:shd w:val="clear" w:color="auto" w:fill="DEE4EE"/>
            <w:vAlign w:val="center"/>
          </w:tcPr>
          <w:p w:rsidR="009B1520" w:rsidRPr="009B1520" w:rsidRDefault="009B1520" w:rsidP="005E5C54">
            <w:pPr>
              <w:jc w:val="center"/>
            </w:pPr>
            <w:r w:rsidRPr="009B1520">
              <w:t>$240</w:t>
            </w:r>
          </w:p>
        </w:tc>
      </w:tr>
      <w:tr w:rsidR="009B1520" w:rsidRPr="00ED3997" w:rsidTr="005E5C54">
        <w:trPr>
          <w:trHeight w:hRule="exact" w:val="312"/>
        </w:trPr>
        <w:tc>
          <w:tcPr>
            <w:tcW w:w="3969" w:type="dxa"/>
          </w:tcPr>
          <w:p w:rsidR="009B1520" w:rsidRPr="003D5531" w:rsidRDefault="009B1520" w:rsidP="00220B78">
            <w:r w:rsidRPr="003D5531">
              <w:t>Docklands</w:t>
            </w:r>
          </w:p>
        </w:tc>
        <w:tc>
          <w:tcPr>
            <w:tcW w:w="1134" w:type="dxa"/>
            <w:shd w:val="clear" w:color="auto" w:fill="DEE4EE"/>
            <w:vAlign w:val="center"/>
          </w:tcPr>
          <w:p w:rsidR="009B1520" w:rsidRPr="003D5531" w:rsidRDefault="009B1520" w:rsidP="005E5C54">
            <w:pPr>
              <w:jc w:val="center"/>
            </w:pPr>
            <w:r w:rsidRPr="003D5531">
              <w:t>$550</w:t>
            </w:r>
          </w:p>
        </w:tc>
        <w:tc>
          <w:tcPr>
            <w:tcW w:w="2948" w:type="dxa"/>
            <w:vAlign w:val="bottom"/>
          </w:tcPr>
          <w:p w:rsidR="009B1520" w:rsidRPr="009B1520" w:rsidRDefault="009B1520">
            <w:r w:rsidRPr="009B1520">
              <w:t>Werribee-Hoppers Crossing</w:t>
            </w:r>
          </w:p>
        </w:tc>
        <w:tc>
          <w:tcPr>
            <w:tcW w:w="1134" w:type="dxa"/>
            <w:shd w:val="clear" w:color="auto" w:fill="DEE4EE"/>
            <w:vAlign w:val="center"/>
          </w:tcPr>
          <w:p w:rsidR="009B1520" w:rsidRPr="009B1520" w:rsidRDefault="009B1520" w:rsidP="005E5C54">
            <w:pPr>
              <w:jc w:val="center"/>
            </w:pPr>
            <w:r w:rsidRPr="009B1520">
              <w:t>$265</w:t>
            </w:r>
          </w:p>
        </w:tc>
      </w:tr>
      <w:tr w:rsidR="009B1520" w:rsidRPr="00ED3997" w:rsidTr="005E5C54">
        <w:trPr>
          <w:trHeight w:hRule="exact" w:val="312"/>
        </w:trPr>
        <w:tc>
          <w:tcPr>
            <w:tcW w:w="3969" w:type="dxa"/>
          </w:tcPr>
          <w:p w:rsidR="009B1520" w:rsidRPr="003D5531" w:rsidRDefault="009B1520" w:rsidP="00220B78">
            <w:r w:rsidRPr="003D5531">
              <w:t>Southbank</w:t>
            </w:r>
          </w:p>
        </w:tc>
        <w:tc>
          <w:tcPr>
            <w:tcW w:w="1134" w:type="dxa"/>
            <w:shd w:val="clear" w:color="auto" w:fill="DEE4EE"/>
            <w:vAlign w:val="center"/>
          </w:tcPr>
          <w:p w:rsidR="009B1520" w:rsidRPr="003D5531" w:rsidRDefault="009B1520" w:rsidP="005E5C54">
            <w:pPr>
              <w:jc w:val="center"/>
            </w:pPr>
            <w:r w:rsidRPr="003D5531">
              <w:t>$550</w:t>
            </w:r>
          </w:p>
        </w:tc>
        <w:tc>
          <w:tcPr>
            <w:tcW w:w="2948" w:type="dxa"/>
            <w:vAlign w:val="bottom"/>
          </w:tcPr>
          <w:p w:rsidR="009B1520" w:rsidRPr="009B1520" w:rsidRDefault="009B1520">
            <w:r w:rsidRPr="009B1520">
              <w:t>Hastings-Flinders</w:t>
            </w:r>
          </w:p>
        </w:tc>
        <w:tc>
          <w:tcPr>
            <w:tcW w:w="1134" w:type="dxa"/>
            <w:shd w:val="clear" w:color="auto" w:fill="DEE4EE"/>
            <w:vAlign w:val="center"/>
          </w:tcPr>
          <w:p w:rsidR="009B1520" w:rsidRPr="009B1520" w:rsidRDefault="009B1520" w:rsidP="005E5C54">
            <w:pPr>
              <w:jc w:val="center"/>
            </w:pPr>
            <w:r w:rsidRPr="009B1520">
              <w:t>$270</w:t>
            </w:r>
          </w:p>
        </w:tc>
      </w:tr>
      <w:tr w:rsidR="009B1520" w:rsidRPr="00ED3997" w:rsidTr="005E5C54">
        <w:trPr>
          <w:trHeight w:hRule="exact" w:val="312"/>
        </w:trPr>
        <w:tc>
          <w:tcPr>
            <w:tcW w:w="3969" w:type="dxa"/>
          </w:tcPr>
          <w:p w:rsidR="009B1520" w:rsidRPr="003D5531" w:rsidRDefault="009B1520" w:rsidP="00220B78">
            <w:r w:rsidRPr="003D5531">
              <w:t>Fitzroy</w:t>
            </w:r>
          </w:p>
        </w:tc>
        <w:tc>
          <w:tcPr>
            <w:tcW w:w="1134" w:type="dxa"/>
            <w:shd w:val="clear" w:color="auto" w:fill="DEE4EE"/>
            <w:vAlign w:val="center"/>
          </w:tcPr>
          <w:p w:rsidR="009B1520" w:rsidRPr="003D5531" w:rsidRDefault="009B1520" w:rsidP="005E5C54">
            <w:pPr>
              <w:jc w:val="center"/>
            </w:pPr>
            <w:r w:rsidRPr="003D5531">
              <w:t>$540</w:t>
            </w:r>
          </w:p>
        </w:tc>
        <w:tc>
          <w:tcPr>
            <w:tcW w:w="2948" w:type="dxa"/>
            <w:vAlign w:val="bottom"/>
          </w:tcPr>
          <w:p w:rsidR="009B1520" w:rsidRPr="009B1520" w:rsidRDefault="009B1520">
            <w:r w:rsidRPr="009B1520">
              <w:t>Pakenham</w:t>
            </w:r>
          </w:p>
        </w:tc>
        <w:tc>
          <w:tcPr>
            <w:tcW w:w="1134" w:type="dxa"/>
            <w:shd w:val="clear" w:color="auto" w:fill="DEE4EE"/>
            <w:vAlign w:val="center"/>
          </w:tcPr>
          <w:p w:rsidR="009B1520" w:rsidRPr="009B1520" w:rsidRDefault="009B1520" w:rsidP="005E5C54">
            <w:pPr>
              <w:jc w:val="center"/>
            </w:pPr>
            <w:r w:rsidRPr="009B1520">
              <w:t>$270</w:t>
            </w:r>
          </w:p>
        </w:tc>
      </w:tr>
      <w:tr w:rsidR="009B1520" w:rsidRPr="00ED3997" w:rsidTr="005E5C54">
        <w:trPr>
          <w:trHeight w:hRule="exact" w:val="312"/>
        </w:trPr>
        <w:tc>
          <w:tcPr>
            <w:tcW w:w="3969" w:type="dxa"/>
          </w:tcPr>
          <w:p w:rsidR="009B1520" w:rsidRPr="003D5531" w:rsidRDefault="009B1520" w:rsidP="00220B78">
            <w:r w:rsidRPr="003D5531">
              <w:t>CBD-St Kilda Rd</w:t>
            </w:r>
          </w:p>
        </w:tc>
        <w:tc>
          <w:tcPr>
            <w:tcW w:w="1134" w:type="dxa"/>
            <w:shd w:val="clear" w:color="auto" w:fill="DEE4EE"/>
            <w:vAlign w:val="center"/>
          </w:tcPr>
          <w:p w:rsidR="009B1520" w:rsidRDefault="009B1520" w:rsidP="005E5C54">
            <w:pPr>
              <w:jc w:val="center"/>
            </w:pPr>
            <w:r w:rsidRPr="003D5531">
              <w:t>$530</w:t>
            </w:r>
          </w:p>
        </w:tc>
        <w:tc>
          <w:tcPr>
            <w:tcW w:w="2948" w:type="dxa"/>
            <w:vAlign w:val="bottom"/>
          </w:tcPr>
          <w:p w:rsidR="009B1520" w:rsidRPr="009B1520" w:rsidRDefault="009B1520">
            <w:r w:rsidRPr="009B1520">
              <w:t>St Albans-Deer Park</w:t>
            </w:r>
          </w:p>
        </w:tc>
        <w:tc>
          <w:tcPr>
            <w:tcW w:w="1134" w:type="dxa"/>
            <w:shd w:val="clear" w:color="auto" w:fill="DEE4EE"/>
            <w:vAlign w:val="center"/>
          </w:tcPr>
          <w:p w:rsidR="009B1520" w:rsidRPr="009B1520" w:rsidRDefault="009B1520" w:rsidP="005E5C54">
            <w:pPr>
              <w:jc w:val="center"/>
            </w:pPr>
            <w:r w:rsidRPr="009B1520">
              <w:t>$270</w:t>
            </w:r>
          </w:p>
        </w:tc>
      </w:tr>
      <w:tr w:rsidR="0047763C" w:rsidRPr="00ED3997" w:rsidTr="005E5C54">
        <w:trPr>
          <w:trHeight w:hRule="exact" w:val="340"/>
        </w:trPr>
        <w:tc>
          <w:tcPr>
            <w:tcW w:w="3969" w:type="dxa"/>
            <w:vAlign w:val="bottom"/>
          </w:tcPr>
          <w:p w:rsidR="0047763C" w:rsidRPr="00C95655" w:rsidRDefault="0047763C" w:rsidP="00C95655">
            <w:pPr>
              <w:ind w:left="113"/>
              <w:rPr>
                <w:rFonts w:cs="Arial"/>
                <w:b/>
                <w:bCs/>
                <w:sz w:val="20"/>
                <w:szCs w:val="20"/>
              </w:rPr>
            </w:pPr>
            <w:r w:rsidRPr="00C95655">
              <w:rPr>
                <w:rFonts w:cs="Arial"/>
                <w:b/>
                <w:color w:val="231F20"/>
                <w:sz w:val="20"/>
                <w:szCs w:val="20"/>
              </w:rPr>
              <w:t>Regional Victoria</w:t>
            </w:r>
          </w:p>
        </w:tc>
        <w:tc>
          <w:tcPr>
            <w:tcW w:w="1134" w:type="dxa"/>
            <w:vAlign w:val="center"/>
          </w:tcPr>
          <w:p w:rsidR="0047763C" w:rsidRPr="00C95655" w:rsidRDefault="0047763C" w:rsidP="005E5C54">
            <w:pPr>
              <w:jc w:val="center"/>
              <w:rPr>
                <w:rFonts w:cs="Arial"/>
                <w:sz w:val="20"/>
                <w:szCs w:val="20"/>
              </w:rPr>
            </w:pPr>
          </w:p>
        </w:tc>
        <w:tc>
          <w:tcPr>
            <w:tcW w:w="2948" w:type="dxa"/>
            <w:vAlign w:val="center"/>
          </w:tcPr>
          <w:p w:rsidR="0047763C" w:rsidRPr="00C95655" w:rsidRDefault="0047763C" w:rsidP="007E091F">
            <w:pPr>
              <w:rPr>
                <w:rFonts w:cs="Arial"/>
                <w:sz w:val="20"/>
                <w:szCs w:val="20"/>
              </w:rPr>
            </w:pPr>
          </w:p>
        </w:tc>
        <w:tc>
          <w:tcPr>
            <w:tcW w:w="1134" w:type="dxa"/>
            <w:vAlign w:val="center"/>
          </w:tcPr>
          <w:p w:rsidR="0047763C" w:rsidRPr="00C95655" w:rsidRDefault="0047763C" w:rsidP="005E5C54">
            <w:pPr>
              <w:jc w:val="center"/>
              <w:rPr>
                <w:rFonts w:cs="Arial"/>
                <w:sz w:val="20"/>
                <w:szCs w:val="20"/>
              </w:rPr>
            </w:pPr>
          </w:p>
        </w:tc>
      </w:tr>
      <w:tr w:rsidR="009B1520" w:rsidRPr="00CF005E" w:rsidTr="005E5C54">
        <w:trPr>
          <w:trHeight w:hRule="exact" w:val="312"/>
        </w:trPr>
        <w:tc>
          <w:tcPr>
            <w:tcW w:w="3969" w:type="dxa"/>
            <w:vAlign w:val="bottom"/>
          </w:tcPr>
          <w:p w:rsidR="009B1520" w:rsidRPr="009B1520" w:rsidRDefault="009B1520">
            <w:r w:rsidRPr="009B1520">
              <w:t>Torquay</w:t>
            </w:r>
          </w:p>
        </w:tc>
        <w:tc>
          <w:tcPr>
            <w:tcW w:w="1134" w:type="dxa"/>
            <w:shd w:val="clear" w:color="auto" w:fill="DEE4EE"/>
            <w:vAlign w:val="center"/>
          </w:tcPr>
          <w:p w:rsidR="009B1520" w:rsidRPr="009B1520" w:rsidRDefault="009B1520" w:rsidP="005E5C54">
            <w:pPr>
              <w:jc w:val="center"/>
            </w:pPr>
            <w:r w:rsidRPr="009B1520">
              <w:t>$330</w:t>
            </w:r>
          </w:p>
        </w:tc>
        <w:tc>
          <w:tcPr>
            <w:tcW w:w="2948" w:type="dxa"/>
            <w:shd w:val="clear" w:color="auto" w:fill="auto"/>
            <w:vAlign w:val="bottom"/>
          </w:tcPr>
          <w:p w:rsidR="009B1520" w:rsidRPr="009B1520" w:rsidRDefault="009B1520">
            <w:r w:rsidRPr="009B1520">
              <w:t>Moe-Newborough</w:t>
            </w:r>
          </w:p>
        </w:tc>
        <w:tc>
          <w:tcPr>
            <w:tcW w:w="1134" w:type="dxa"/>
            <w:shd w:val="clear" w:color="auto" w:fill="DEE4EE"/>
            <w:vAlign w:val="center"/>
          </w:tcPr>
          <w:p w:rsidR="009B1520" w:rsidRPr="009B1520" w:rsidRDefault="009B1520" w:rsidP="005E5C54">
            <w:pPr>
              <w:jc w:val="center"/>
            </w:pPr>
            <w:r w:rsidRPr="009B1520">
              <w:t>$160</w:t>
            </w:r>
          </w:p>
        </w:tc>
      </w:tr>
      <w:tr w:rsidR="009B1520" w:rsidRPr="00CF005E" w:rsidTr="005E5C54">
        <w:trPr>
          <w:trHeight w:hRule="exact" w:val="312"/>
        </w:trPr>
        <w:tc>
          <w:tcPr>
            <w:tcW w:w="3969" w:type="dxa"/>
            <w:vAlign w:val="bottom"/>
          </w:tcPr>
          <w:p w:rsidR="009B1520" w:rsidRPr="009B1520" w:rsidRDefault="009B1520">
            <w:r w:rsidRPr="009B1520">
              <w:t>Geelong-Newcomb</w:t>
            </w:r>
          </w:p>
        </w:tc>
        <w:tc>
          <w:tcPr>
            <w:tcW w:w="1134" w:type="dxa"/>
            <w:shd w:val="clear" w:color="auto" w:fill="DEE4EE"/>
            <w:vAlign w:val="center"/>
          </w:tcPr>
          <w:p w:rsidR="009B1520" w:rsidRPr="009B1520" w:rsidRDefault="009B1520" w:rsidP="005E5C54">
            <w:pPr>
              <w:jc w:val="center"/>
            </w:pPr>
            <w:r w:rsidRPr="009B1520">
              <w:t>$290</w:t>
            </w:r>
          </w:p>
        </w:tc>
        <w:tc>
          <w:tcPr>
            <w:tcW w:w="2948" w:type="dxa"/>
            <w:shd w:val="clear" w:color="auto" w:fill="auto"/>
            <w:vAlign w:val="bottom"/>
          </w:tcPr>
          <w:p w:rsidR="009B1520" w:rsidRPr="009B1520" w:rsidRDefault="009B1520">
            <w:r w:rsidRPr="009B1520">
              <w:t>Morwell</w:t>
            </w:r>
          </w:p>
        </w:tc>
        <w:tc>
          <w:tcPr>
            <w:tcW w:w="1134" w:type="dxa"/>
            <w:shd w:val="clear" w:color="auto" w:fill="DEE4EE"/>
            <w:vAlign w:val="center"/>
          </w:tcPr>
          <w:p w:rsidR="009B1520" w:rsidRPr="009B1520" w:rsidRDefault="009B1520" w:rsidP="005E5C54">
            <w:pPr>
              <w:jc w:val="center"/>
            </w:pPr>
            <w:r w:rsidRPr="009B1520">
              <w:t>$170</w:t>
            </w:r>
          </w:p>
        </w:tc>
      </w:tr>
      <w:tr w:rsidR="009B1520" w:rsidRPr="00CF005E" w:rsidTr="005E5C54">
        <w:trPr>
          <w:trHeight w:hRule="exact" w:val="312"/>
        </w:trPr>
        <w:tc>
          <w:tcPr>
            <w:tcW w:w="3969" w:type="dxa"/>
            <w:vAlign w:val="bottom"/>
          </w:tcPr>
          <w:p w:rsidR="009B1520" w:rsidRPr="009B1520" w:rsidRDefault="009B1520">
            <w:r w:rsidRPr="009B1520">
              <w:t>Newtown</w:t>
            </w:r>
          </w:p>
        </w:tc>
        <w:tc>
          <w:tcPr>
            <w:tcW w:w="1134" w:type="dxa"/>
            <w:shd w:val="clear" w:color="auto" w:fill="DEE4EE"/>
            <w:vAlign w:val="center"/>
          </w:tcPr>
          <w:p w:rsidR="009B1520" w:rsidRPr="009B1520" w:rsidRDefault="009B1520" w:rsidP="005E5C54">
            <w:pPr>
              <w:jc w:val="center"/>
            </w:pPr>
            <w:r w:rsidRPr="009B1520">
              <w:t>$285</w:t>
            </w:r>
          </w:p>
        </w:tc>
        <w:tc>
          <w:tcPr>
            <w:tcW w:w="2948" w:type="dxa"/>
            <w:shd w:val="clear" w:color="auto" w:fill="auto"/>
            <w:vAlign w:val="bottom"/>
          </w:tcPr>
          <w:p w:rsidR="009B1520" w:rsidRPr="009B1520" w:rsidRDefault="009B1520">
            <w:r w:rsidRPr="009B1520">
              <w:t>Portland</w:t>
            </w:r>
          </w:p>
        </w:tc>
        <w:tc>
          <w:tcPr>
            <w:tcW w:w="1134" w:type="dxa"/>
            <w:shd w:val="clear" w:color="auto" w:fill="DEE4EE"/>
            <w:vAlign w:val="center"/>
          </w:tcPr>
          <w:p w:rsidR="009B1520" w:rsidRPr="009B1520" w:rsidRDefault="009B1520" w:rsidP="005E5C54">
            <w:pPr>
              <w:jc w:val="center"/>
            </w:pPr>
            <w:r w:rsidRPr="009B1520">
              <w:t>$170</w:t>
            </w:r>
          </w:p>
        </w:tc>
      </w:tr>
      <w:tr w:rsidR="009B1520" w:rsidRPr="00CF005E" w:rsidTr="005E5C54">
        <w:trPr>
          <w:trHeight w:hRule="exact" w:val="312"/>
        </w:trPr>
        <w:tc>
          <w:tcPr>
            <w:tcW w:w="3969" w:type="dxa"/>
            <w:vAlign w:val="bottom"/>
          </w:tcPr>
          <w:p w:rsidR="009B1520" w:rsidRPr="009B1520" w:rsidRDefault="009B1520">
            <w:r w:rsidRPr="009B1520">
              <w:t>Belmont-Grovedale</w:t>
            </w:r>
          </w:p>
        </w:tc>
        <w:tc>
          <w:tcPr>
            <w:tcW w:w="1134" w:type="dxa"/>
            <w:shd w:val="clear" w:color="auto" w:fill="DEE4EE"/>
            <w:vAlign w:val="center"/>
          </w:tcPr>
          <w:p w:rsidR="009B1520" w:rsidRPr="009B1520" w:rsidRDefault="009B1520" w:rsidP="005E5C54">
            <w:pPr>
              <w:jc w:val="center"/>
            </w:pPr>
            <w:r w:rsidRPr="009B1520">
              <w:t>$280</w:t>
            </w:r>
          </w:p>
        </w:tc>
        <w:tc>
          <w:tcPr>
            <w:tcW w:w="2948" w:type="dxa"/>
            <w:shd w:val="clear" w:color="auto" w:fill="auto"/>
            <w:vAlign w:val="bottom"/>
          </w:tcPr>
          <w:p w:rsidR="009B1520" w:rsidRPr="009B1520" w:rsidRDefault="009B1520">
            <w:r w:rsidRPr="009B1520">
              <w:t>Benalla</w:t>
            </w:r>
          </w:p>
        </w:tc>
        <w:tc>
          <w:tcPr>
            <w:tcW w:w="1134" w:type="dxa"/>
            <w:shd w:val="clear" w:color="auto" w:fill="DBE5F1" w:themeFill="accent1" w:themeFillTint="33"/>
            <w:vAlign w:val="center"/>
          </w:tcPr>
          <w:p w:rsidR="009B1520" w:rsidRPr="009B1520" w:rsidRDefault="009B1520" w:rsidP="005E5C54">
            <w:pPr>
              <w:jc w:val="center"/>
            </w:pPr>
            <w:r w:rsidRPr="009B1520">
              <w:t>$180</w:t>
            </w:r>
          </w:p>
        </w:tc>
      </w:tr>
      <w:tr w:rsidR="009B1520" w:rsidRPr="00CF005E" w:rsidTr="00BF5E1B">
        <w:trPr>
          <w:trHeight w:hRule="exact" w:val="312"/>
        </w:trPr>
        <w:tc>
          <w:tcPr>
            <w:tcW w:w="3969" w:type="dxa"/>
            <w:vAlign w:val="bottom"/>
          </w:tcPr>
          <w:p w:rsidR="009B1520" w:rsidRPr="009B1520" w:rsidRDefault="009B1520">
            <w:r w:rsidRPr="009B1520">
              <w:t>North Geelong</w:t>
            </w:r>
          </w:p>
        </w:tc>
        <w:tc>
          <w:tcPr>
            <w:tcW w:w="1134" w:type="dxa"/>
            <w:shd w:val="clear" w:color="auto" w:fill="DEE4EE"/>
            <w:vAlign w:val="center"/>
          </w:tcPr>
          <w:p w:rsidR="009B1520" w:rsidRPr="009B1520" w:rsidRDefault="009B1520" w:rsidP="005E5C54">
            <w:pPr>
              <w:jc w:val="center"/>
            </w:pPr>
            <w:r w:rsidRPr="009B1520">
              <w:t>$280</w:t>
            </w:r>
          </w:p>
        </w:tc>
        <w:tc>
          <w:tcPr>
            <w:tcW w:w="2948" w:type="dxa"/>
            <w:shd w:val="clear" w:color="auto" w:fill="auto"/>
            <w:vAlign w:val="center"/>
          </w:tcPr>
          <w:p w:rsidR="009B1520" w:rsidRPr="00706F80" w:rsidRDefault="009B1520" w:rsidP="0067115B"/>
        </w:tc>
        <w:tc>
          <w:tcPr>
            <w:tcW w:w="1134" w:type="dxa"/>
            <w:shd w:val="clear" w:color="auto" w:fill="auto"/>
            <w:vAlign w:val="center"/>
          </w:tcPr>
          <w:p w:rsidR="009B1520" w:rsidRPr="00683311" w:rsidRDefault="009B1520" w:rsidP="005E5C54">
            <w:pPr>
              <w:jc w:val="center"/>
            </w:pPr>
          </w:p>
        </w:tc>
      </w:tr>
      <w:tr w:rsidR="00706F80" w:rsidRPr="00180B5B" w:rsidTr="00706F80">
        <w:trPr>
          <w:trHeight w:hRule="exact" w:val="567"/>
        </w:trPr>
        <w:tc>
          <w:tcPr>
            <w:tcW w:w="3969" w:type="dxa"/>
            <w:tcBorders>
              <w:top w:val="single" w:sz="2" w:space="0" w:color="9DAECB"/>
              <w:bottom w:val="single" w:sz="12" w:space="0" w:color="9DAECB"/>
            </w:tcBorders>
            <w:vAlign w:val="bottom"/>
          </w:tcPr>
          <w:p w:rsidR="00706F80" w:rsidRPr="00180B5B" w:rsidRDefault="00706F80" w:rsidP="00C95655">
            <w:pPr>
              <w:spacing w:before="120"/>
              <w:rPr>
                <w:rFonts w:cs="Arial"/>
                <w:b/>
                <w:bCs/>
                <w:color w:val="9DAECB"/>
              </w:rPr>
            </w:pPr>
            <w:r w:rsidRPr="00180B5B">
              <w:rPr>
                <w:rFonts w:cs="Arial"/>
                <w:b/>
                <w:bCs/>
                <w:color w:val="9DAECB"/>
              </w:rPr>
              <w:t>3-bedroom house</w:t>
            </w:r>
          </w:p>
        </w:tc>
        <w:tc>
          <w:tcPr>
            <w:tcW w:w="1134" w:type="dxa"/>
            <w:tcBorders>
              <w:top w:val="single" w:sz="2" w:space="0" w:color="9DAECB"/>
              <w:bottom w:val="single" w:sz="12" w:space="0" w:color="9DAECB"/>
            </w:tcBorders>
            <w:vAlign w:val="center"/>
          </w:tcPr>
          <w:p w:rsidR="00706F80" w:rsidRPr="00180B5B" w:rsidRDefault="00706F80" w:rsidP="00CF005E">
            <w:pPr>
              <w:spacing w:before="120"/>
              <w:jc w:val="center"/>
              <w:rPr>
                <w:rFonts w:cs="Arial"/>
                <w:b/>
                <w:bCs/>
                <w:color w:val="9DAECB"/>
              </w:rPr>
            </w:pPr>
          </w:p>
        </w:tc>
        <w:tc>
          <w:tcPr>
            <w:tcW w:w="2948" w:type="dxa"/>
            <w:tcBorders>
              <w:top w:val="single" w:sz="2" w:space="0" w:color="9DAECB"/>
              <w:bottom w:val="single" w:sz="12" w:space="0" w:color="9DAECB"/>
            </w:tcBorders>
          </w:tcPr>
          <w:p w:rsidR="00706F80" w:rsidRPr="00706F80" w:rsidRDefault="00706F80" w:rsidP="00706F80"/>
        </w:tc>
        <w:tc>
          <w:tcPr>
            <w:tcW w:w="1134" w:type="dxa"/>
            <w:tcBorders>
              <w:top w:val="single" w:sz="2" w:space="0" w:color="9DAECB"/>
              <w:bottom w:val="single" w:sz="12" w:space="0" w:color="9DAECB"/>
            </w:tcBorders>
            <w:vAlign w:val="center"/>
          </w:tcPr>
          <w:p w:rsidR="00706F80" w:rsidRPr="00683311" w:rsidRDefault="00706F80" w:rsidP="00706F80">
            <w:pPr>
              <w:jc w:val="center"/>
            </w:pPr>
          </w:p>
        </w:tc>
      </w:tr>
      <w:tr w:rsidR="00706F80" w:rsidRPr="00ED3997" w:rsidTr="00CE3231">
        <w:trPr>
          <w:trHeight w:hRule="exact" w:val="340"/>
        </w:trPr>
        <w:tc>
          <w:tcPr>
            <w:tcW w:w="3969" w:type="dxa"/>
            <w:tcBorders>
              <w:top w:val="single" w:sz="12" w:space="0" w:color="9DAECB"/>
            </w:tcBorders>
            <w:vAlign w:val="bottom"/>
          </w:tcPr>
          <w:p w:rsidR="00706F80" w:rsidRPr="00C95655" w:rsidRDefault="00706F80" w:rsidP="00C95655">
            <w:pPr>
              <w:ind w:left="113"/>
              <w:rPr>
                <w:rFonts w:cs="Arial"/>
                <w:sz w:val="20"/>
                <w:szCs w:val="20"/>
              </w:rPr>
            </w:pPr>
            <w:r>
              <w:rPr>
                <w:rFonts w:cs="Arial"/>
                <w:b/>
                <w:color w:val="231F20"/>
                <w:sz w:val="20"/>
                <w:szCs w:val="20"/>
              </w:rPr>
              <w:t xml:space="preserve">Metropolitan </w:t>
            </w:r>
            <w:r w:rsidRPr="00C95655">
              <w:rPr>
                <w:rFonts w:cs="Arial"/>
                <w:b/>
                <w:color w:val="231F20"/>
                <w:sz w:val="20"/>
                <w:szCs w:val="20"/>
              </w:rPr>
              <w:t>Melbourne</w:t>
            </w:r>
          </w:p>
        </w:tc>
        <w:tc>
          <w:tcPr>
            <w:tcW w:w="1134" w:type="dxa"/>
            <w:tcBorders>
              <w:top w:val="single" w:sz="12" w:space="0" w:color="9DAECB"/>
            </w:tcBorders>
            <w:vAlign w:val="center"/>
          </w:tcPr>
          <w:p w:rsidR="00706F80" w:rsidRPr="00C95655" w:rsidRDefault="00706F80" w:rsidP="00CF005E">
            <w:pPr>
              <w:jc w:val="center"/>
              <w:rPr>
                <w:rFonts w:cs="Arial"/>
                <w:sz w:val="20"/>
                <w:szCs w:val="20"/>
              </w:rPr>
            </w:pPr>
          </w:p>
        </w:tc>
        <w:tc>
          <w:tcPr>
            <w:tcW w:w="2948" w:type="dxa"/>
            <w:tcBorders>
              <w:top w:val="single" w:sz="12" w:space="0" w:color="9DAECB"/>
            </w:tcBorders>
            <w:vAlign w:val="bottom"/>
          </w:tcPr>
          <w:p w:rsidR="00706F80" w:rsidRPr="00C95655" w:rsidRDefault="00706F80">
            <w:pPr>
              <w:rPr>
                <w:rFonts w:cs="Arial"/>
                <w:sz w:val="20"/>
                <w:szCs w:val="20"/>
              </w:rPr>
            </w:pPr>
          </w:p>
        </w:tc>
        <w:tc>
          <w:tcPr>
            <w:tcW w:w="1134" w:type="dxa"/>
            <w:tcBorders>
              <w:top w:val="single" w:sz="12" w:space="0" w:color="9DAECB"/>
            </w:tcBorders>
            <w:vAlign w:val="center"/>
          </w:tcPr>
          <w:p w:rsidR="00706F80" w:rsidRPr="00C95655" w:rsidRDefault="00706F80" w:rsidP="00CF005E">
            <w:pPr>
              <w:jc w:val="center"/>
              <w:rPr>
                <w:rFonts w:cs="Arial"/>
                <w:sz w:val="20"/>
                <w:szCs w:val="20"/>
              </w:rPr>
            </w:pPr>
          </w:p>
        </w:tc>
      </w:tr>
      <w:tr w:rsidR="009B1520" w:rsidRPr="00CF005E" w:rsidTr="005E5C54">
        <w:trPr>
          <w:trHeight w:hRule="exact" w:val="312"/>
        </w:trPr>
        <w:tc>
          <w:tcPr>
            <w:tcW w:w="3969" w:type="dxa"/>
            <w:vAlign w:val="bottom"/>
          </w:tcPr>
          <w:p w:rsidR="009B1520" w:rsidRPr="009B1520" w:rsidRDefault="009B1520">
            <w:r w:rsidRPr="009B1520">
              <w:t>East Melbourne</w:t>
            </w:r>
          </w:p>
        </w:tc>
        <w:tc>
          <w:tcPr>
            <w:tcW w:w="1134" w:type="dxa"/>
            <w:shd w:val="clear" w:color="auto" w:fill="DEE4EE"/>
            <w:vAlign w:val="center"/>
          </w:tcPr>
          <w:p w:rsidR="009B1520" w:rsidRPr="009B1520" w:rsidRDefault="009B1520" w:rsidP="005E5C54">
            <w:pPr>
              <w:jc w:val="center"/>
            </w:pPr>
            <w:r w:rsidRPr="009B1520">
              <w:t>$1,000</w:t>
            </w:r>
          </w:p>
        </w:tc>
        <w:tc>
          <w:tcPr>
            <w:tcW w:w="2948" w:type="dxa"/>
            <w:shd w:val="clear" w:color="auto" w:fill="auto"/>
            <w:vAlign w:val="bottom"/>
          </w:tcPr>
          <w:p w:rsidR="009B1520" w:rsidRPr="009B1520" w:rsidRDefault="009B1520">
            <w:r w:rsidRPr="009B1520">
              <w:t>Melton</w:t>
            </w:r>
          </w:p>
        </w:tc>
        <w:tc>
          <w:tcPr>
            <w:tcW w:w="1134" w:type="dxa"/>
            <w:shd w:val="clear" w:color="auto" w:fill="DEE4EE"/>
            <w:vAlign w:val="center"/>
          </w:tcPr>
          <w:p w:rsidR="009B1520" w:rsidRPr="009B1520" w:rsidRDefault="009B1520" w:rsidP="005E5C54">
            <w:pPr>
              <w:jc w:val="center"/>
            </w:pPr>
            <w:r w:rsidRPr="009B1520">
              <w:t>$280</w:t>
            </w:r>
          </w:p>
        </w:tc>
      </w:tr>
      <w:tr w:rsidR="009B1520" w:rsidRPr="00CF005E" w:rsidTr="005E5C54">
        <w:trPr>
          <w:trHeight w:hRule="exact" w:val="312"/>
        </w:trPr>
        <w:tc>
          <w:tcPr>
            <w:tcW w:w="3969" w:type="dxa"/>
            <w:vAlign w:val="bottom"/>
          </w:tcPr>
          <w:p w:rsidR="009B1520" w:rsidRPr="009B1520" w:rsidRDefault="009B1520">
            <w:r w:rsidRPr="009B1520">
              <w:t>Toorak</w:t>
            </w:r>
          </w:p>
        </w:tc>
        <w:tc>
          <w:tcPr>
            <w:tcW w:w="1134" w:type="dxa"/>
            <w:shd w:val="clear" w:color="auto" w:fill="DEE4EE"/>
            <w:vAlign w:val="center"/>
          </w:tcPr>
          <w:p w:rsidR="009B1520" w:rsidRPr="009B1520" w:rsidRDefault="009B1520" w:rsidP="005E5C54">
            <w:pPr>
              <w:jc w:val="center"/>
            </w:pPr>
            <w:r w:rsidRPr="009B1520">
              <w:t>$898</w:t>
            </w:r>
          </w:p>
        </w:tc>
        <w:tc>
          <w:tcPr>
            <w:tcW w:w="2948" w:type="dxa"/>
            <w:shd w:val="clear" w:color="auto" w:fill="auto"/>
            <w:vAlign w:val="bottom"/>
          </w:tcPr>
          <w:p w:rsidR="009B1520" w:rsidRPr="009B1520" w:rsidRDefault="009B1520">
            <w:r w:rsidRPr="009B1520">
              <w:t>Werribee-Hoppers Crossing</w:t>
            </w:r>
          </w:p>
        </w:tc>
        <w:tc>
          <w:tcPr>
            <w:tcW w:w="1134" w:type="dxa"/>
            <w:shd w:val="clear" w:color="auto" w:fill="DEE4EE"/>
            <w:vAlign w:val="center"/>
          </w:tcPr>
          <w:p w:rsidR="009B1520" w:rsidRPr="009B1520" w:rsidRDefault="009B1520" w:rsidP="005E5C54">
            <w:pPr>
              <w:jc w:val="center"/>
            </w:pPr>
            <w:r w:rsidRPr="009B1520">
              <w:t>$310</w:t>
            </w:r>
          </w:p>
        </w:tc>
      </w:tr>
      <w:tr w:rsidR="009B1520" w:rsidRPr="00CF005E" w:rsidTr="005E5C54">
        <w:trPr>
          <w:trHeight w:hRule="exact" w:val="312"/>
        </w:trPr>
        <w:tc>
          <w:tcPr>
            <w:tcW w:w="3969" w:type="dxa"/>
            <w:vAlign w:val="bottom"/>
          </w:tcPr>
          <w:p w:rsidR="009B1520" w:rsidRPr="009B1520" w:rsidRDefault="009B1520">
            <w:r w:rsidRPr="009B1520">
              <w:t>Albert Park-Middle Park-West St Kilda</w:t>
            </w:r>
          </w:p>
        </w:tc>
        <w:tc>
          <w:tcPr>
            <w:tcW w:w="1134" w:type="dxa"/>
            <w:shd w:val="clear" w:color="auto" w:fill="DEE4EE"/>
            <w:vAlign w:val="center"/>
          </w:tcPr>
          <w:p w:rsidR="009B1520" w:rsidRPr="009B1520" w:rsidRDefault="009B1520" w:rsidP="005E5C54">
            <w:pPr>
              <w:jc w:val="center"/>
            </w:pPr>
            <w:r w:rsidRPr="009B1520">
              <w:t>$878</w:t>
            </w:r>
          </w:p>
        </w:tc>
        <w:tc>
          <w:tcPr>
            <w:tcW w:w="2948" w:type="dxa"/>
            <w:shd w:val="clear" w:color="auto" w:fill="auto"/>
            <w:vAlign w:val="bottom"/>
          </w:tcPr>
          <w:p w:rsidR="009B1520" w:rsidRPr="009B1520" w:rsidRDefault="009B1520">
            <w:r w:rsidRPr="009B1520">
              <w:t>Pakenham</w:t>
            </w:r>
          </w:p>
        </w:tc>
        <w:tc>
          <w:tcPr>
            <w:tcW w:w="1134" w:type="dxa"/>
            <w:shd w:val="clear" w:color="auto" w:fill="DEE4EE"/>
            <w:vAlign w:val="center"/>
          </w:tcPr>
          <w:p w:rsidR="009B1520" w:rsidRPr="009B1520" w:rsidRDefault="009B1520" w:rsidP="005E5C54">
            <w:pPr>
              <w:jc w:val="center"/>
            </w:pPr>
            <w:r w:rsidRPr="009B1520">
              <w:t>$320</w:t>
            </w:r>
          </w:p>
        </w:tc>
      </w:tr>
      <w:tr w:rsidR="009B1520" w:rsidRPr="00CF005E" w:rsidTr="005E5C54">
        <w:trPr>
          <w:trHeight w:hRule="exact" w:val="312"/>
        </w:trPr>
        <w:tc>
          <w:tcPr>
            <w:tcW w:w="3969" w:type="dxa"/>
            <w:vAlign w:val="bottom"/>
          </w:tcPr>
          <w:p w:rsidR="009B1520" w:rsidRPr="009B1520" w:rsidRDefault="009B1520">
            <w:r w:rsidRPr="009B1520">
              <w:t>South Yarra</w:t>
            </w:r>
          </w:p>
        </w:tc>
        <w:tc>
          <w:tcPr>
            <w:tcW w:w="1134" w:type="dxa"/>
            <w:shd w:val="clear" w:color="auto" w:fill="DEE4EE"/>
            <w:vAlign w:val="center"/>
          </w:tcPr>
          <w:p w:rsidR="009B1520" w:rsidRPr="009B1520" w:rsidRDefault="009B1520" w:rsidP="005E5C54">
            <w:pPr>
              <w:jc w:val="center"/>
            </w:pPr>
            <w:r w:rsidRPr="009B1520">
              <w:t>$850</w:t>
            </w:r>
          </w:p>
        </w:tc>
        <w:tc>
          <w:tcPr>
            <w:tcW w:w="2948" w:type="dxa"/>
            <w:shd w:val="clear" w:color="auto" w:fill="auto"/>
            <w:vAlign w:val="bottom"/>
          </w:tcPr>
          <w:p w:rsidR="009B1520" w:rsidRPr="009B1520" w:rsidRDefault="009B1520">
            <w:r w:rsidRPr="009B1520">
              <w:t>St Albans-Deer Park</w:t>
            </w:r>
          </w:p>
        </w:tc>
        <w:tc>
          <w:tcPr>
            <w:tcW w:w="1134" w:type="dxa"/>
            <w:shd w:val="clear" w:color="auto" w:fill="DEE4EE"/>
            <w:vAlign w:val="center"/>
          </w:tcPr>
          <w:p w:rsidR="009B1520" w:rsidRPr="009B1520" w:rsidRDefault="009B1520" w:rsidP="005E5C54">
            <w:pPr>
              <w:jc w:val="center"/>
            </w:pPr>
            <w:r w:rsidRPr="009B1520">
              <w:t>$320</w:t>
            </w:r>
          </w:p>
        </w:tc>
      </w:tr>
      <w:tr w:rsidR="009B1520" w:rsidRPr="00CF005E" w:rsidTr="005E5C54">
        <w:trPr>
          <w:trHeight w:hRule="exact" w:val="312"/>
        </w:trPr>
        <w:tc>
          <w:tcPr>
            <w:tcW w:w="3969" w:type="dxa"/>
            <w:vAlign w:val="bottom"/>
          </w:tcPr>
          <w:p w:rsidR="009B1520" w:rsidRPr="009B1520" w:rsidRDefault="009B1520">
            <w:r w:rsidRPr="009B1520">
              <w:t>Armadale</w:t>
            </w:r>
          </w:p>
        </w:tc>
        <w:tc>
          <w:tcPr>
            <w:tcW w:w="1134" w:type="dxa"/>
            <w:shd w:val="clear" w:color="auto" w:fill="DEE4EE"/>
            <w:vAlign w:val="center"/>
          </w:tcPr>
          <w:p w:rsidR="009B1520" w:rsidRPr="009B1520" w:rsidRDefault="009B1520" w:rsidP="005E5C54">
            <w:pPr>
              <w:jc w:val="center"/>
            </w:pPr>
            <w:r w:rsidRPr="009B1520">
              <w:t>$825</w:t>
            </w:r>
          </w:p>
        </w:tc>
        <w:tc>
          <w:tcPr>
            <w:tcW w:w="2948" w:type="dxa"/>
            <w:shd w:val="clear" w:color="auto" w:fill="auto"/>
            <w:vAlign w:val="bottom"/>
          </w:tcPr>
          <w:p w:rsidR="009B1520" w:rsidRPr="009B1520" w:rsidRDefault="009B1520">
            <w:r w:rsidRPr="009B1520">
              <w:t>Sunbury</w:t>
            </w:r>
          </w:p>
        </w:tc>
        <w:tc>
          <w:tcPr>
            <w:tcW w:w="1134" w:type="dxa"/>
            <w:shd w:val="clear" w:color="auto" w:fill="DEE4EE"/>
            <w:vAlign w:val="center"/>
          </w:tcPr>
          <w:p w:rsidR="009B1520" w:rsidRPr="009B1520" w:rsidRDefault="009B1520" w:rsidP="005E5C54">
            <w:pPr>
              <w:jc w:val="center"/>
            </w:pPr>
            <w:r w:rsidRPr="009B1520">
              <w:t>$320</w:t>
            </w:r>
          </w:p>
        </w:tc>
      </w:tr>
      <w:tr w:rsidR="009B1520" w:rsidRPr="00CF005E" w:rsidTr="00BF5E1B">
        <w:trPr>
          <w:trHeight w:hRule="exact" w:val="312"/>
        </w:trPr>
        <w:tc>
          <w:tcPr>
            <w:tcW w:w="3969" w:type="dxa"/>
            <w:vAlign w:val="center"/>
          </w:tcPr>
          <w:p w:rsidR="009B1520" w:rsidRPr="007538A7" w:rsidRDefault="009B1520" w:rsidP="0067115B"/>
        </w:tc>
        <w:tc>
          <w:tcPr>
            <w:tcW w:w="1134" w:type="dxa"/>
            <w:shd w:val="clear" w:color="auto" w:fill="auto"/>
            <w:vAlign w:val="center"/>
          </w:tcPr>
          <w:p w:rsidR="009B1520" w:rsidRPr="007538A7" w:rsidRDefault="009B1520" w:rsidP="005E5C54">
            <w:pPr>
              <w:jc w:val="center"/>
            </w:pPr>
          </w:p>
        </w:tc>
        <w:tc>
          <w:tcPr>
            <w:tcW w:w="2948" w:type="dxa"/>
            <w:shd w:val="clear" w:color="auto" w:fill="auto"/>
            <w:vAlign w:val="bottom"/>
          </w:tcPr>
          <w:p w:rsidR="009B1520" w:rsidRPr="009B1520" w:rsidRDefault="009B1520">
            <w:r w:rsidRPr="009B1520">
              <w:t>Sunshine</w:t>
            </w:r>
          </w:p>
        </w:tc>
        <w:tc>
          <w:tcPr>
            <w:tcW w:w="1134" w:type="dxa"/>
            <w:shd w:val="clear" w:color="auto" w:fill="DEE4EE"/>
            <w:vAlign w:val="center"/>
          </w:tcPr>
          <w:p w:rsidR="009B1520" w:rsidRPr="009B1520" w:rsidRDefault="009B1520" w:rsidP="005E5C54">
            <w:pPr>
              <w:jc w:val="center"/>
            </w:pPr>
            <w:r w:rsidRPr="009B1520">
              <w:t>$320</w:t>
            </w:r>
          </w:p>
        </w:tc>
      </w:tr>
      <w:tr w:rsidR="00D7682B" w:rsidRPr="00ED3997" w:rsidTr="005E5C54">
        <w:trPr>
          <w:trHeight w:hRule="exact" w:val="397"/>
        </w:trPr>
        <w:tc>
          <w:tcPr>
            <w:tcW w:w="3969" w:type="dxa"/>
            <w:vAlign w:val="bottom"/>
          </w:tcPr>
          <w:p w:rsidR="00D7682B" w:rsidRPr="00C95655" w:rsidRDefault="00D7682B" w:rsidP="00C95655">
            <w:pPr>
              <w:ind w:left="113"/>
              <w:rPr>
                <w:rFonts w:cs="Arial"/>
                <w:b/>
                <w:bCs/>
                <w:sz w:val="20"/>
                <w:szCs w:val="20"/>
              </w:rPr>
            </w:pPr>
            <w:r w:rsidRPr="00C95655">
              <w:rPr>
                <w:rFonts w:cs="Arial"/>
                <w:b/>
                <w:bCs/>
                <w:sz w:val="20"/>
                <w:szCs w:val="20"/>
              </w:rPr>
              <w:t>Regional</w:t>
            </w:r>
            <w:r>
              <w:rPr>
                <w:rFonts w:cs="Arial"/>
                <w:b/>
                <w:bCs/>
                <w:sz w:val="20"/>
                <w:szCs w:val="20"/>
              </w:rPr>
              <w:t xml:space="preserve"> Victoria</w:t>
            </w:r>
          </w:p>
        </w:tc>
        <w:tc>
          <w:tcPr>
            <w:tcW w:w="1134" w:type="dxa"/>
            <w:vAlign w:val="center"/>
          </w:tcPr>
          <w:p w:rsidR="00D7682B" w:rsidRPr="00C95655" w:rsidRDefault="00D7682B" w:rsidP="005E5C54">
            <w:pPr>
              <w:spacing w:before="60"/>
              <w:ind w:left="113" w:right="170"/>
              <w:jc w:val="center"/>
              <w:rPr>
                <w:rFonts w:cs="Arial"/>
                <w:sz w:val="20"/>
                <w:szCs w:val="20"/>
              </w:rPr>
            </w:pPr>
          </w:p>
        </w:tc>
        <w:tc>
          <w:tcPr>
            <w:tcW w:w="2948" w:type="dxa"/>
            <w:vAlign w:val="bottom"/>
          </w:tcPr>
          <w:p w:rsidR="00D7682B" w:rsidRPr="00C95655" w:rsidRDefault="00D7682B" w:rsidP="00C95655">
            <w:pPr>
              <w:spacing w:before="60"/>
              <w:ind w:left="113"/>
              <w:rPr>
                <w:rFonts w:cs="Arial"/>
                <w:sz w:val="20"/>
                <w:szCs w:val="20"/>
              </w:rPr>
            </w:pPr>
          </w:p>
        </w:tc>
        <w:tc>
          <w:tcPr>
            <w:tcW w:w="1134" w:type="dxa"/>
            <w:vAlign w:val="center"/>
          </w:tcPr>
          <w:p w:rsidR="00D7682B" w:rsidRPr="00C95655" w:rsidRDefault="00D7682B" w:rsidP="005E5C54">
            <w:pPr>
              <w:spacing w:before="60"/>
              <w:ind w:left="113" w:right="170"/>
              <w:jc w:val="center"/>
              <w:rPr>
                <w:rFonts w:cs="Arial"/>
                <w:sz w:val="20"/>
                <w:szCs w:val="20"/>
              </w:rPr>
            </w:pPr>
          </w:p>
        </w:tc>
      </w:tr>
      <w:tr w:rsidR="009B1520" w:rsidRPr="00CF005E" w:rsidTr="005E5C54">
        <w:trPr>
          <w:trHeight w:hRule="exact" w:val="312"/>
        </w:trPr>
        <w:tc>
          <w:tcPr>
            <w:tcW w:w="3969" w:type="dxa"/>
            <w:vAlign w:val="bottom"/>
          </w:tcPr>
          <w:p w:rsidR="009B1520" w:rsidRPr="009B1520" w:rsidRDefault="009B1520">
            <w:r w:rsidRPr="009B1520">
              <w:t>Torquay</w:t>
            </w:r>
          </w:p>
        </w:tc>
        <w:tc>
          <w:tcPr>
            <w:tcW w:w="1134" w:type="dxa"/>
            <w:shd w:val="clear" w:color="auto" w:fill="DEE4EE"/>
            <w:vAlign w:val="center"/>
          </w:tcPr>
          <w:p w:rsidR="009B1520" w:rsidRPr="009B1520" w:rsidRDefault="009B1520" w:rsidP="005E5C54">
            <w:pPr>
              <w:jc w:val="center"/>
            </w:pPr>
            <w:r w:rsidRPr="009B1520">
              <w:t>$420</w:t>
            </w:r>
          </w:p>
        </w:tc>
        <w:tc>
          <w:tcPr>
            <w:tcW w:w="2948" w:type="dxa"/>
            <w:vAlign w:val="bottom"/>
          </w:tcPr>
          <w:p w:rsidR="009B1520" w:rsidRPr="009B1520" w:rsidRDefault="009B1520">
            <w:r w:rsidRPr="009B1520">
              <w:t>Morwell</w:t>
            </w:r>
          </w:p>
        </w:tc>
        <w:tc>
          <w:tcPr>
            <w:tcW w:w="1134" w:type="dxa"/>
            <w:shd w:val="clear" w:color="auto" w:fill="DEE4EE"/>
            <w:vAlign w:val="center"/>
          </w:tcPr>
          <w:p w:rsidR="009B1520" w:rsidRPr="009B1520" w:rsidRDefault="009B1520" w:rsidP="005E5C54">
            <w:pPr>
              <w:jc w:val="center"/>
            </w:pPr>
            <w:r w:rsidRPr="009B1520">
              <w:t>$210</w:t>
            </w:r>
          </w:p>
        </w:tc>
      </w:tr>
      <w:tr w:rsidR="009B1520" w:rsidRPr="00CF005E" w:rsidTr="005E5C54">
        <w:trPr>
          <w:trHeight w:hRule="exact" w:val="312"/>
        </w:trPr>
        <w:tc>
          <w:tcPr>
            <w:tcW w:w="3969" w:type="dxa"/>
            <w:vAlign w:val="bottom"/>
          </w:tcPr>
          <w:p w:rsidR="009B1520" w:rsidRPr="009B1520" w:rsidRDefault="009B1520">
            <w:r w:rsidRPr="009B1520">
              <w:t>Newtown</w:t>
            </w:r>
          </w:p>
        </w:tc>
        <w:tc>
          <w:tcPr>
            <w:tcW w:w="1134" w:type="dxa"/>
            <w:shd w:val="clear" w:color="auto" w:fill="DEE4EE"/>
            <w:vAlign w:val="center"/>
          </w:tcPr>
          <w:p w:rsidR="009B1520" w:rsidRPr="009B1520" w:rsidRDefault="009B1520" w:rsidP="005E5C54">
            <w:pPr>
              <w:jc w:val="center"/>
            </w:pPr>
            <w:r w:rsidRPr="009B1520">
              <w:t>$360</w:t>
            </w:r>
          </w:p>
        </w:tc>
        <w:tc>
          <w:tcPr>
            <w:tcW w:w="2948" w:type="dxa"/>
            <w:vAlign w:val="bottom"/>
          </w:tcPr>
          <w:p w:rsidR="009B1520" w:rsidRPr="009B1520" w:rsidRDefault="009B1520">
            <w:r w:rsidRPr="009B1520">
              <w:t>Portland</w:t>
            </w:r>
          </w:p>
        </w:tc>
        <w:tc>
          <w:tcPr>
            <w:tcW w:w="1134" w:type="dxa"/>
            <w:shd w:val="clear" w:color="auto" w:fill="DEE4EE"/>
            <w:vAlign w:val="center"/>
          </w:tcPr>
          <w:p w:rsidR="009B1520" w:rsidRPr="009B1520" w:rsidRDefault="009B1520" w:rsidP="005E5C54">
            <w:pPr>
              <w:jc w:val="center"/>
            </w:pPr>
            <w:r w:rsidRPr="009B1520">
              <w:t>$230</w:t>
            </w:r>
          </w:p>
        </w:tc>
      </w:tr>
      <w:tr w:rsidR="009B1520" w:rsidRPr="00CF005E" w:rsidTr="005E5C54">
        <w:trPr>
          <w:trHeight w:hRule="exact" w:val="312"/>
        </w:trPr>
        <w:tc>
          <w:tcPr>
            <w:tcW w:w="3969" w:type="dxa"/>
            <w:vAlign w:val="bottom"/>
          </w:tcPr>
          <w:p w:rsidR="009B1520" w:rsidRPr="009B1520" w:rsidRDefault="009B1520">
            <w:r w:rsidRPr="009B1520">
              <w:t>Ocean Grove-Barwon Heads</w:t>
            </w:r>
          </w:p>
        </w:tc>
        <w:tc>
          <w:tcPr>
            <w:tcW w:w="1134" w:type="dxa"/>
            <w:shd w:val="clear" w:color="auto" w:fill="DEE4EE"/>
            <w:vAlign w:val="center"/>
          </w:tcPr>
          <w:p w:rsidR="009B1520" w:rsidRPr="009B1520" w:rsidRDefault="009B1520" w:rsidP="005E5C54">
            <w:pPr>
              <w:jc w:val="center"/>
            </w:pPr>
            <w:r w:rsidRPr="009B1520">
              <w:t>$360</w:t>
            </w:r>
          </w:p>
        </w:tc>
        <w:tc>
          <w:tcPr>
            <w:tcW w:w="2948" w:type="dxa"/>
            <w:vAlign w:val="bottom"/>
          </w:tcPr>
          <w:p w:rsidR="009B1520" w:rsidRPr="009B1520" w:rsidRDefault="009B1520">
            <w:r w:rsidRPr="009B1520">
              <w:t>Hamilton</w:t>
            </w:r>
          </w:p>
        </w:tc>
        <w:tc>
          <w:tcPr>
            <w:tcW w:w="1134" w:type="dxa"/>
            <w:shd w:val="clear" w:color="auto" w:fill="DEE4EE"/>
            <w:vAlign w:val="center"/>
          </w:tcPr>
          <w:p w:rsidR="009B1520" w:rsidRPr="009B1520" w:rsidRDefault="009B1520" w:rsidP="005E5C54">
            <w:pPr>
              <w:jc w:val="center"/>
            </w:pPr>
            <w:r w:rsidRPr="009B1520">
              <w:t>$240</w:t>
            </w:r>
          </w:p>
        </w:tc>
      </w:tr>
      <w:tr w:rsidR="00BF5E1B" w:rsidRPr="00CF005E" w:rsidTr="00BF5E1B">
        <w:trPr>
          <w:trHeight w:hRule="exact" w:val="312"/>
        </w:trPr>
        <w:tc>
          <w:tcPr>
            <w:tcW w:w="3969" w:type="dxa"/>
            <w:vAlign w:val="bottom"/>
          </w:tcPr>
          <w:p w:rsidR="00BF5E1B" w:rsidRPr="009B1520" w:rsidRDefault="00BF5E1B">
            <w:r w:rsidRPr="009B1520">
              <w:t>Belmont-Grovedale</w:t>
            </w:r>
          </w:p>
        </w:tc>
        <w:tc>
          <w:tcPr>
            <w:tcW w:w="1134" w:type="dxa"/>
            <w:shd w:val="clear" w:color="auto" w:fill="DEE4EE"/>
            <w:vAlign w:val="center"/>
          </w:tcPr>
          <w:p w:rsidR="00BF5E1B" w:rsidRPr="009B1520" w:rsidRDefault="00BF5E1B" w:rsidP="005E5C54">
            <w:pPr>
              <w:jc w:val="center"/>
            </w:pPr>
            <w:r w:rsidRPr="009B1520">
              <w:t>$350</w:t>
            </w:r>
          </w:p>
        </w:tc>
        <w:tc>
          <w:tcPr>
            <w:tcW w:w="2948" w:type="dxa"/>
            <w:vAlign w:val="bottom"/>
          </w:tcPr>
          <w:p w:rsidR="00BF5E1B" w:rsidRPr="009B1520" w:rsidRDefault="00BF5E1B">
            <w:r w:rsidRPr="009B1520">
              <w:t>Moe-Newborough</w:t>
            </w:r>
          </w:p>
        </w:tc>
        <w:tc>
          <w:tcPr>
            <w:tcW w:w="1134" w:type="dxa"/>
            <w:shd w:val="clear" w:color="auto" w:fill="DBE5F1" w:themeFill="accent1" w:themeFillTint="33"/>
            <w:vAlign w:val="center"/>
          </w:tcPr>
          <w:p w:rsidR="00BF5E1B" w:rsidRPr="009B1520" w:rsidRDefault="00BF5E1B" w:rsidP="00BF5E1B">
            <w:pPr>
              <w:jc w:val="center"/>
            </w:pPr>
            <w:r w:rsidRPr="009B1520">
              <w:t>$240</w:t>
            </w:r>
          </w:p>
        </w:tc>
      </w:tr>
      <w:tr w:rsidR="009B1520" w:rsidRPr="00CF005E" w:rsidTr="005E5C54">
        <w:trPr>
          <w:trHeight w:hRule="exact" w:val="312"/>
        </w:trPr>
        <w:tc>
          <w:tcPr>
            <w:tcW w:w="3969" w:type="dxa"/>
            <w:vAlign w:val="bottom"/>
          </w:tcPr>
          <w:p w:rsidR="009B1520" w:rsidRPr="009B1520" w:rsidRDefault="009B1520">
            <w:r w:rsidRPr="009B1520">
              <w:t>Herne Hill-Geelong West</w:t>
            </w:r>
          </w:p>
        </w:tc>
        <w:tc>
          <w:tcPr>
            <w:tcW w:w="1134" w:type="dxa"/>
            <w:shd w:val="clear" w:color="auto" w:fill="DEE4EE"/>
            <w:vAlign w:val="center"/>
          </w:tcPr>
          <w:p w:rsidR="009B1520" w:rsidRPr="009B1520" w:rsidRDefault="009B1520" w:rsidP="005E5C54">
            <w:pPr>
              <w:jc w:val="center"/>
            </w:pPr>
            <w:r w:rsidRPr="009B1520">
              <w:t>$338</w:t>
            </w:r>
          </w:p>
        </w:tc>
        <w:tc>
          <w:tcPr>
            <w:tcW w:w="2948" w:type="dxa"/>
            <w:vAlign w:val="bottom"/>
          </w:tcPr>
          <w:p w:rsidR="009B1520" w:rsidRDefault="009B1520">
            <w:pPr>
              <w:rPr>
                <w:rFonts w:ascii="Verdana" w:hAnsi="Verdana"/>
                <w:sz w:val="16"/>
                <w:szCs w:val="16"/>
              </w:rPr>
            </w:pPr>
          </w:p>
        </w:tc>
        <w:tc>
          <w:tcPr>
            <w:tcW w:w="1134" w:type="dxa"/>
            <w:shd w:val="clear" w:color="auto" w:fill="FFFFFF" w:themeFill="background1"/>
            <w:vAlign w:val="bottom"/>
          </w:tcPr>
          <w:p w:rsidR="009B1520" w:rsidRDefault="009B1520">
            <w:pPr>
              <w:rPr>
                <w:rFonts w:ascii="Verdana" w:hAnsi="Verdana"/>
                <w:sz w:val="16"/>
                <w:szCs w:val="16"/>
              </w:rPr>
            </w:pPr>
          </w:p>
        </w:tc>
      </w:tr>
      <w:tr w:rsidR="009B1520" w:rsidRPr="00CF005E" w:rsidTr="005E5C54">
        <w:trPr>
          <w:trHeight w:hRule="exact" w:val="312"/>
        </w:trPr>
        <w:tc>
          <w:tcPr>
            <w:tcW w:w="3969" w:type="dxa"/>
            <w:vAlign w:val="bottom"/>
          </w:tcPr>
          <w:p w:rsidR="009B1520" w:rsidRPr="009B1520" w:rsidRDefault="009B1520">
            <w:r w:rsidRPr="009B1520">
              <w:t>Lara</w:t>
            </w:r>
          </w:p>
        </w:tc>
        <w:tc>
          <w:tcPr>
            <w:tcW w:w="1134" w:type="dxa"/>
            <w:shd w:val="clear" w:color="auto" w:fill="DEE4EE"/>
            <w:vAlign w:val="center"/>
          </w:tcPr>
          <w:p w:rsidR="009B1520" w:rsidRPr="009B1520" w:rsidRDefault="009B1520" w:rsidP="005E5C54">
            <w:pPr>
              <w:jc w:val="center"/>
            </w:pPr>
            <w:r w:rsidRPr="009B1520">
              <w:t>$330</w:t>
            </w:r>
          </w:p>
        </w:tc>
        <w:tc>
          <w:tcPr>
            <w:tcW w:w="2948" w:type="dxa"/>
            <w:vAlign w:val="bottom"/>
          </w:tcPr>
          <w:p w:rsidR="009B1520" w:rsidRDefault="009B1520">
            <w:pPr>
              <w:rPr>
                <w:rFonts w:ascii="Verdana" w:hAnsi="Verdana"/>
                <w:sz w:val="16"/>
                <w:szCs w:val="16"/>
              </w:rPr>
            </w:pPr>
          </w:p>
        </w:tc>
        <w:tc>
          <w:tcPr>
            <w:tcW w:w="1134" w:type="dxa"/>
            <w:shd w:val="clear" w:color="auto" w:fill="FFFFFF" w:themeFill="background1"/>
            <w:vAlign w:val="bottom"/>
          </w:tcPr>
          <w:p w:rsidR="009B1520" w:rsidRDefault="009B1520">
            <w:pPr>
              <w:rPr>
                <w:rFonts w:ascii="Verdana" w:hAnsi="Verdana"/>
                <w:sz w:val="16"/>
                <w:szCs w:val="16"/>
              </w:rPr>
            </w:pPr>
          </w:p>
        </w:tc>
      </w:tr>
    </w:tbl>
    <w:p w:rsidR="0047763C" w:rsidRDefault="00E4154A">
      <w:r>
        <w:rPr>
          <w:noProof/>
          <w:lang w:eastAsia="en-AU"/>
        </w:rPr>
        <mc:AlternateContent>
          <mc:Choice Requires="wps">
            <w:drawing>
              <wp:anchor distT="0" distB="0" distL="114300" distR="114300" simplePos="0" relativeHeight="251651584" behindDoc="0" locked="1" layoutInCell="1" allowOverlap="1">
                <wp:simplePos x="0" y="0"/>
                <wp:positionH relativeFrom="column">
                  <wp:posOffset>325755</wp:posOffset>
                </wp:positionH>
                <wp:positionV relativeFrom="paragraph">
                  <wp:posOffset>315595</wp:posOffset>
                </wp:positionV>
                <wp:extent cx="5471160" cy="685165"/>
                <wp:effectExtent l="0" t="0" r="15240" b="20320"/>
                <wp:wrapTopAndBottom/>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85165"/>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rsidR="00360F0B" w:rsidRPr="00767C9B" w:rsidRDefault="00360F0B">
                            <w:pPr>
                              <w:rPr>
                                <w:sz w:val="20"/>
                                <w:szCs w:val="20"/>
                              </w:rPr>
                            </w:pPr>
                            <w:r>
                              <w:rPr>
                                <w:sz w:val="20"/>
                                <w:szCs w:val="20"/>
                              </w:rPr>
                              <w:t>An expanded version of Table 11</w:t>
                            </w:r>
                            <w:r w:rsidRPr="00BD61FF">
                              <w:rPr>
                                <w:sz w:val="20"/>
                                <w:szCs w:val="20"/>
                              </w:rPr>
                              <w:t xml:space="preserve"> containing extra property types as well as lower and upper quartile information ca</w:t>
                            </w:r>
                            <w:r>
                              <w:rPr>
                                <w:sz w:val="20"/>
                                <w:szCs w:val="20"/>
                              </w:rPr>
                              <w:t>n be found in the Rental Report December Q</w:t>
                            </w:r>
                            <w:r w:rsidRPr="00BD61FF">
                              <w:rPr>
                                <w:sz w:val="20"/>
                                <w:szCs w:val="20"/>
                              </w:rPr>
                              <w:t xml:space="preserve">uarter </w:t>
                            </w:r>
                            <w:r>
                              <w:rPr>
                                <w:sz w:val="20"/>
                                <w:szCs w:val="20"/>
                              </w:rPr>
                              <w:t>2015</w:t>
                            </w:r>
                            <w:r w:rsidRPr="00BD61FF">
                              <w:rPr>
                                <w:sz w:val="20"/>
                                <w:szCs w:val="20"/>
                              </w:rPr>
                              <w:t xml:space="preserve"> data tables available for download from the Office of Housing website</w:t>
                            </w:r>
                            <w:r>
                              <w:rPr>
                                <w:sz w:val="20"/>
                                <w:szCs w:val="20"/>
                              </w:rPr>
                              <w:t>:</w:t>
                            </w:r>
                            <w:r w:rsidRPr="00BD61FF">
                              <w:rPr>
                                <w:sz w:val="20"/>
                                <w:szCs w:val="20"/>
                              </w:rPr>
                              <w:t xml:space="preserve"> </w:t>
                            </w:r>
                            <w:hyperlink r:id="rId12" w:history="1">
                              <w:r w:rsidRPr="00A7207A">
                                <w:rPr>
                                  <w:rStyle w:val="Hyperlink"/>
                                  <w:sz w:val="20"/>
                                  <w:szCs w:val="20"/>
                                </w:rPr>
                                <w:t>www.dhs.vic.gov.au/about-the-department/documents-and-resources/research,-data-and-statistics/current-rental-report</w:t>
                              </w:r>
                            </w:hyperlink>
                            <w:r>
                              <w:rPr>
                                <w:sz w:val="20"/>
                                <w:szCs w:val="20"/>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65pt;margin-top:24.85pt;width:430.8pt;height:5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duViAIAAA8FAAAOAAAAZHJzL2Uyb0RvYy54bWysVNuO2yAQfa/Uf0C8Z22ntpNY66zSOKkq&#10;bS/Sbj+AYByjYqBAYm+r/nsHnGSz7UtV1Q8YmGE4Z+YMt3dDJ9CRGcuVLHFyE2PEJFU1l/sSf3nc&#10;TuYYWUdkTYSSrMRPzOK75etXt70u2FS1StTMIAgibdHrErfO6SKKLG1ZR+yN0kyCsVGmIw6WZh/V&#10;hvQQvRPRNI7zqFem1kZRZi3sVqMRL0P8pmHUfWoayxwSJQZsLowmjDs/RstbUuwN0S2nJxjkH1B0&#10;hEu49BKqIo6gg+F/hOo4Ncqqxt1Q1UWqaThlgQOwSeLf2Dy0RLPABZJj9SVN9v+FpR+Pnw3idYlz&#10;jCTpoESPbHDorRrQ1Gen17YApwcNbm6AbahyYGr1vaJfLZJq3RK5ZytjVN8yUgO6xJ+Mro6OcawP&#10;sus/qBquIQenQqChMZ1PHSQDQXSo0tOlMh4Khc0snSVJDiYKtnyeJXkWriDF+bQ21r1jqkN+UmID&#10;lQ/RyfHeOo+GFGcXf5lUWy5EqL6QqC/xIptmIy8leO2N3s2a/W4tDDoS0E+ez2er9HSvvXbruAMV&#10;C96VeB77zzuRwmdjI+swd4SLcQ5IhPRmIAfYTrNRLT8W8WIz38zTSTrNN5M0rqrJartOJ/k2mWXV&#10;m2q9rpKfHmeSFi2vayY91LNyk/TvlHHqoVFzF+2+oPSC+Ra+kRSAv3KLXsIIWQZW539gF2TgKz9q&#10;wA27ARLitbFT9RMIwqixK+EVgUmrzHeMeujIEttvB2IYRuK9BFEtkjT1LRwWaTabwsJcW3bXFiIp&#10;hCqxw2icrt3Y9gdt+L6Fm84yXoEQtzxo5BnVSb7QdYHM6YXwbX29Dl7P79jyFwAAAP//AwBQSwME&#10;FAAGAAgAAAAhANp2vqjhAAAACQEAAA8AAABkcnMvZG93bnJldi54bWxMj8tOwzAQRfdI/IM1SOyo&#10;k9K0JMSpUBFCaleU19aJp0loPI5it035eoYVLEf36N4z+XK0nTji4FtHCuJJBAKpcqalWsHb69PN&#10;HQgfNBndOUIFZ/SwLC4vcp0Zd6IXPG5DLbiEfKYVNCH0mZS+atBqP3E9Emc7N1gd+BxqaQZ94nLb&#10;yWkUzaXVLfFCo3tcNVjttwerYB/M5nP99byaVeN38vix25TvQ6nU9dX4cA8i4Bj+YPjVZ3Uo2Kl0&#10;BzJedAqS+JZJBbN0AYLzNJ6mIEoGk8UcZJHL/x8UPwAAAP//AwBQSwECLQAUAAYACAAAACEAtoM4&#10;kv4AAADhAQAAEwAAAAAAAAAAAAAAAAAAAAAAW0NvbnRlbnRfVHlwZXNdLnhtbFBLAQItABQABgAI&#10;AAAAIQA4/SH/1gAAAJQBAAALAAAAAAAAAAAAAAAAAC8BAABfcmVscy8ucmVsc1BLAQItABQABgAI&#10;AAAAIQAfgduViAIAAA8FAAAOAAAAAAAAAAAAAAAAAC4CAABkcnMvZTJvRG9jLnhtbFBLAQItABQA&#10;BgAIAAAAIQDadr6o4QAAAAkBAAAPAAAAAAAAAAAAAAAAAOIEAABkcnMvZG93bnJldi54bWxQSwUG&#10;AAAAAAQABADzAAAA8AUAAAAA&#10;" filled="f" fillcolor="yellow" strokecolor="#6687a4">
                <v:textbox style="mso-fit-shape-to-text:t">
                  <w:txbxContent>
                    <w:p w:rsidR="00360F0B" w:rsidRPr="00767C9B" w:rsidRDefault="00360F0B">
                      <w:pPr>
                        <w:rPr>
                          <w:sz w:val="20"/>
                          <w:szCs w:val="20"/>
                        </w:rPr>
                      </w:pPr>
                      <w:r>
                        <w:rPr>
                          <w:sz w:val="20"/>
                          <w:szCs w:val="20"/>
                        </w:rPr>
                        <w:t>An expanded version of Table 11</w:t>
                      </w:r>
                      <w:r w:rsidRPr="00BD61FF">
                        <w:rPr>
                          <w:sz w:val="20"/>
                          <w:szCs w:val="20"/>
                        </w:rPr>
                        <w:t xml:space="preserve"> containing extra property types as well as lower and upper quartile information ca</w:t>
                      </w:r>
                      <w:r>
                        <w:rPr>
                          <w:sz w:val="20"/>
                          <w:szCs w:val="20"/>
                        </w:rPr>
                        <w:t>n be found in the Rental Report December Q</w:t>
                      </w:r>
                      <w:r w:rsidRPr="00BD61FF">
                        <w:rPr>
                          <w:sz w:val="20"/>
                          <w:szCs w:val="20"/>
                        </w:rPr>
                        <w:t xml:space="preserve">uarter </w:t>
                      </w:r>
                      <w:r>
                        <w:rPr>
                          <w:sz w:val="20"/>
                          <w:szCs w:val="20"/>
                        </w:rPr>
                        <w:t>2015</w:t>
                      </w:r>
                      <w:r w:rsidRPr="00BD61FF">
                        <w:rPr>
                          <w:sz w:val="20"/>
                          <w:szCs w:val="20"/>
                        </w:rPr>
                        <w:t xml:space="preserve"> data tables available for download from the Office of Housing website</w:t>
                      </w:r>
                      <w:r>
                        <w:rPr>
                          <w:sz w:val="20"/>
                          <w:szCs w:val="20"/>
                        </w:rPr>
                        <w:t>:</w:t>
                      </w:r>
                      <w:r w:rsidRPr="00BD61FF">
                        <w:rPr>
                          <w:sz w:val="20"/>
                          <w:szCs w:val="20"/>
                        </w:rPr>
                        <w:t xml:space="preserve"> </w:t>
                      </w:r>
                      <w:hyperlink r:id="rId13" w:history="1">
                        <w:r w:rsidRPr="00A7207A">
                          <w:rPr>
                            <w:rStyle w:val="Hyperlink"/>
                            <w:sz w:val="20"/>
                            <w:szCs w:val="20"/>
                          </w:rPr>
                          <w:t>www.dhs.vic.gov.au/about-the-department/documents-and-resources/research,-data-and-statistics/current-rental-report</w:t>
                        </w:r>
                      </w:hyperlink>
                      <w:r>
                        <w:rPr>
                          <w:sz w:val="20"/>
                          <w:szCs w:val="20"/>
                        </w:rPr>
                        <w:t>.</w:t>
                      </w:r>
                    </w:p>
                  </w:txbxContent>
                </v:textbox>
                <w10:wrap type="topAndBottom"/>
                <w10:anchorlock/>
              </v:shape>
            </w:pict>
          </mc:Fallback>
        </mc:AlternateContent>
      </w:r>
    </w:p>
    <w:p w:rsidR="0047763C" w:rsidRPr="00706644" w:rsidRDefault="0047763C" w:rsidP="00054C75">
      <w:pPr>
        <w:rPr>
          <w:rFonts w:cs="Arial"/>
          <w:b/>
        </w:rPr>
      </w:pPr>
    </w:p>
    <w:p w:rsidR="0047763C" w:rsidRPr="00180B5B" w:rsidRDefault="00BB271B">
      <w:pPr>
        <w:pStyle w:val="DHSHeadingA"/>
        <w:spacing w:after="240"/>
      </w:pPr>
      <w:r w:rsidRPr="00180B5B">
        <w:br w:type="page"/>
      </w:r>
      <w:r w:rsidR="0047763C" w:rsidRPr="00180B5B">
        <w:lastRenderedPageBreak/>
        <w:t>Rental availability</w:t>
      </w:r>
    </w:p>
    <w:p w:rsidR="0047763C" w:rsidRPr="005A1E70" w:rsidRDefault="0047763C" w:rsidP="005A1E70">
      <w:pPr>
        <w:pStyle w:val="DHSheadingB"/>
        <w:rPr>
          <w:rFonts w:cs="Arial"/>
        </w:rPr>
      </w:pPr>
      <w:r w:rsidRPr="005A1E70">
        <w:rPr>
          <w:rFonts w:cs="Arial"/>
        </w:rPr>
        <w:t>New Lettings</w:t>
      </w:r>
    </w:p>
    <w:p w:rsidR="0047763C" w:rsidRPr="000F3B39" w:rsidRDefault="0047763C" w:rsidP="00054C75">
      <w:pPr>
        <w:rPr>
          <w:rFonts w:cs="Arial"/>
          <w:szCs w:val="20"/>
        </w:rPr>
      </w:pPr>
      <w:r w:rsidRPr="000F3B39">
        <w:rPr>
          <w:rFonts w:cs="Arial"/>
          <w:szCs w:val="20"/>
        </w:rPr>
        <w:t>The number of new lettings provides an indicator of the overall availability of rental housing for a specific period. A new letting can result from two main sources: turnover in existing rental housing or new additions to the stock of rental housing.</w:t>
      </w:r>
    </w:p>
    <w:p w:rsidR="0047763C" w:rsidRPr="000F3B39" w:rsidRDefault="0047763C" w:rsidP="00054C75">
      <w:pPr>
        <w:rPr>
          <w:rFonts w:cs="Arial"/>
          <w:szCs w:val="20"/>
        </w:rPr>
      </w:pPr>
    </w:p>
    <w:p w:rsidR="0047763C" w:rsidRPr="000F3B39" w:rsidRDefault="0047763C" w:rsidP="00054C75">
      <w:pPr>
        <w:rPr>
          <w:rFonts w:cs="Arial"/>
          <w:szCs w:val="20"/>
        </w:rPr>
      </w:pPr>
      <w:r w:rsidRPr="000F3B39">
        <w:rPr>
          <w:rFonts w:cs="Arial"/>
          <w:szCs w:val="20"/>
        </w:rPr>
        <w:t xml:space="preserve">Table 5 shows the total number of new rental lettings for the </w:t>
      </w:r>
      <w:r w:rsidR="004B57AE">
        <w:rPr>
          <w:rFonts w:cs="Arial"/>
          <w:szCs w:val="20"/>
        </w:rPr>
        <w:t>December</w:t>
      </w:r>
      <w:r w:rsidR="00BD62BA">
        <w:rPr>
          <w:rFonts w:cs="Arial"/>
          <w:szCs w:val="20"/>
        </w:rPr>
        <w:t xml:space="preserve"> quarter 2015</w:t>
      </w:r>
      <w:r w:rsidRPr="000F3B39">
        <w:rPr>
          <w:rFonts w:cs="Arial"/>
          <w:szCs w:val="20"/>
        </w:rPr>
        <w:t xml:space="preserve">. Across the state the total number of new lettings was </w:t>
      </w:r>
      <w:r w:rsidR="00BF5E1B">
        <w:rPr>
          <w:rFonts w:cs="Arial"/>
          <w:szCs w:val="20"/>
        </w:rPr>
        <w:t>50</w:t>
      </w:r>
      <w:r w:rsidR="00BD62BA">
        <w:rPr>
          <w:rFonts w:cs="Arial"/>
          <w:szCs w:val="20"/>
        </w:rPr>
        <w:t>,</w:t>
      </w:r>
      <w:r w:rsidR="00BF5E1B">
        <w:rPr>
          <w:rFonts w:cs="Arial"/>
          <w:szCs w:val="20"/>
        </w:rPr>
        <w:t>860</w:t>
      </w:r>
      <w:r w:rsidRPr="000F3B39">
        <w:rPr>
          <w:rFonts w:cs="Arial"/>
          <w:szCs w:val="20"/>
        </w:rPr>
        <w:t xml:space="preserve"> a</w:t>
      </w:r>
      <w:r w:rsidR="00BD4AB1">
        <w:rPr>
          <w:rFonts w:cs="Arial"/>
          <w:szCs w:val="20"/>
        </w:rPr>
        <w:t xml:space="preserve"> dec</w:t>
      </w:r>
      <w:r w:rsidRPr="000F3B39">
        <w:rPr>
          <w:rFonts w:cs="Arial"/>
          <w:szCs w:val="20"/>
        </w:rPr>
        <w:t xml:space="preserve">rease of </w:t>
      </w:r>
      <w:r w:rsidR="00BF5E1B">
        <w:rPr>
          <w:rFonts w:cs="Arial"/>
          <w:szCs w:val="20"/>
        </w:rPr>
        <w:t>0.6</w:t>
      </w:r>
      <w:r w:rsidRPr="000F3B39">
        <w:rPr>
          <w:rFonts w:cs="Arial"/>
          <w:szCs w:val="20"/>
        </w:rPr>
        <w:t xml:space="preserve"> per cent on the same quarter </w:t>
      </w:r>
      <w:r w:rsidR="00BD4AB1">
        <w:rPr>
          <w:rFonts w:cs="Arial"/>
          <w:szCs w:val="20"/>
        </w:rPr>
        <w:t>of 201</w:t>
      </w:r>
      <w:r w:rsidR="00052803">
        <w:rPr>
          <w:rFonts w:cs="Arial"/>
          <w:szCs w:val="20"/>
        </w:rPr>
        <w:t>4</w:t>
      </w:r>
      <w:r w:rsidRPr="000F3B39">
        <w:rPr>
          <w:rFonts w:cs="Arial"/>
          <w:szCs w:val="20"/>
        </w:rPr>
        <w:t>. Metro</w:t>
      </w:r>
      <w:r w:rsidR="00BD4AB1">
        <w:rPr>
          <w:rFonts w:cs="Arial"/>
          <w:szCs w:val="20"/>
        </w:rPr>
        <w:t>politan Melbourne recorded a</w:t>
      </w:r>
      <w:r w:rsidR="00BF5E1B">
        <w:rPr>
          <w:rFonts w:cs="Arial"/>
          <w:szCs w:val="20"/>
        </w:rPr>
        <w:t>n in</w:t>
      </w:r>
      <w:r w:rsidRPr="000F3B39">
        <w:rPr>
          <w:rFonts w:cs="Arial"/>
          <w:szCs w:val="20"/>
        </w:rPr>
        <w:t xml:space="preserve">crease of </w:t>
      </w:r>
      <w:r w:rsidR="00BF5E1B">
        <w:rPr>
          <w:rFonts w:cs="Arial"/>
          <w:szCs w:val="20"/>
        </w:rPr>
        <w:t>0.5</w:t>
      </w:r>
      <w:r w:rsidRPr="000F3B39">
        <w:rPr>
          <w:rFonts w:cs="Arial"/>
          <w:szCs w:val="20"/>
        </w:rPr>
        <w:t xml:space="preserve"> per cent in new lettings and regional Victoria </w:t>
      </w:r>
      <w:r w:rsidR="00E03C22">
        <w:rPr>
          <w:rFonts w:cs="Arial"/>
          <w:szCs w:val="20"/>
        </w:rPr>
        <w:t xml:space="preserve">a decrease </w:t>
      </w:r>
      <w:r w:rsidRPr="000F3B39">
        <w:rPr>
          <w:rFonts w:cs="Arial"/>
          <w:szCs w:val="20"/>
        </w:rPr>
        <w:t>of</w:t>
      </w:r>
      <w:r w:rsidR="00BF5E1B">
        <w:rPr>
          <w:rFonts w:cs="Arial"/>
          <w:szCs w:val="20"/>
        </w:rPr>
        <w:t xml:space="preserve"> 4.6</w:t>
      </w:r>
      <w:r w:rsidRPr="000F3B39">
        <w:rPr>
          <w:rFonts w:cs="Arial"/>
          <w:szCs w:val="20"/>
        </w:rPr>
        <w:t xml:space="preserve"> per cent on the same quarter of last year</w:t>
      </w:r>
      <w:r w:rsidR="00BD4AB1">
        <w:rPr>
          <w:rFonts w:cs="Arial"/>
          <w:szCs w:val="20"/>
        </w:rPr>
        <w:t xml:space="preserve">. </w:t>
      </w:r>
      <w:r w:rsidRPr="000F3B39">
        <w:rPr>
          <w:rFonts w:cs="Arial"/>
          <w:szCs w:val="20"/>
        </w:rPr>
        <w:t xml:space="preserve">Metropolitan Melbourne accounted for </w:t>
      </w:r>
      <w:r w:rsidR="00BF5E1B">
        <w:rPr>
          <w:rFonts w:cs="Arial"/>
          <w:szCs w:val="20"/>
        </w:rPr>
        <w:t>79</w:t>
      </w:r>
      <w:r w:rsidRPr="000F3B39">
        <w:rPr>
          <w:rFonts w:cs="Arial"/>
          <w:szCs w:val="20"/>
        </w:rPr>
        <w:t xml:space="preserve"> per cent of all new lettings in Victoria.</w:t>
      </w:r>
    </w:p>
    <w:p w:rsidR="0047763C" w:rsidRPr="000F3B39" w:rsidRDefault="0047763C" w:rsidP="00054C75">
      <w:pPr>
        <w:rPr>
          <w:rFonts w:cs="Arial"/>
          <w:szCs w:val="20"/>
        </w:rPr>
      </w:pPr>
    </w:p>
    <w:p w:rsidR="0047763C" w:rsidRPr="000F3B39" w:rsidRDefault="0047763C" w:rsidP="00054C75">
      <w:pPr>
        <w:rPr>
          <w:rFonts w:cs="Arial"/>
          <w:szCs w:val="20"/>
        </w:rPr>
      </w:pPr>
      <w:r w:rsidRPr="000F3B39">
        <w:rPr>
          <w:rFonts w:cs="Arial"/>
          <w:szCs w:val="20"/>
        </w:rPr>
        <w:t xml:space="preserve">Table 6 lists the total number of new lettings across each of the 14 statistical regions. </w:t>
      </w:r>
      <w:r w:rsidR="00BF5E1B">
        <w:rPr>
          <w:rFonts w:cs="Arial"/>
          <w:szCs w:val="20"/>
        </w:rPr>
        <w:t>Five</w:t>
      </w:r>
      <w:r w:rsidR="00E03C22">
        <w:rPr>
          <w:rFonts w:cs="Arial"/>
          <w:szCs w:val="20"/>
        </w:rPr>
        <w:t xml:space="preserve"> of the</w:t>
      </w:r>
      <w:r w:rsidRPr="000F3B39">
        <w:rPr>
          <w:rFonts w:cs="Arial"/>
          <w:szCs w:val="20"/>
        </w:rPr>
        <w:t xml:space="preserve"> </w:t>
      </w:r>
      <w:r w:rsidRPr="00BF5E1B">
        <w:rPr>
          <w:rFonts w:cs="Arial"/>
          <w:szCs w:val="22"/>
        </w:rPr>
        <w:t>nine metropolitan regions</w:t>
      </w:r>
      <w:r w:rsidR="00BF5E1B">
        <w:rPr>
          <w:rFonts w:cs="Arial"/>
          <w:szCs w:val="22"/>
        </w:rPr>
        <w:t xml:space="preserve">, </w:t>
      </w:r>
      <w:r w:rsidR="00F2062A" w:rsidRPr="00BF5E1B">
        <w:rPr>
          <w:rFonts w:cs="Arial"/>
          <w:szCs w:val="22"/>
        </w:rPr>
        <w:t>Inner</w:t>
      </w:r>
      <w:r w:rsidR="00BF5E1B" w:rsidRPr="00BF5E1B">
        <w:rPr>
          <w:rFonts w:cs="Arial"/>
          <w:szCs w:val="22"/>
        </w:rPr>
        <w:t xml:space="preserve"> Eastern</w:t>
      </w:r>
      <w:r w:rsidR="00F2062A" w:rsidRPr="00BF5E1B">
        <w:rPr>
          <w:rFonts w:cs="Arial"/>
          <w:szCs w:val="22"/>
        </w:rPr>
        <w:t xml:space="preserve"> Melbourne, </w:t>
      </w:r>
      <w:r w:rsidR="00BF5E1B" w:rsidRPr="00BF5E1B">
        <w:rPr>
          <w:rFonts w:cs="Arial"/>
          <w:szCs w:val="22"/>
        </w:rPr>
        <w:t>North Western Melbourne</w:t>
      </w:r>
      <w:r w:rsidR="00BF5E1B">
        <w:rPr>
          <w:rFonts w:cs="Arial"/>
          <w:szCs w:val="22"/>
        </w:rPr>
        <w:t>, North Eas</w:t>
      </w:r>
      <w:r w:rsidR="00BF5E1B" w:rsidRPr="00BF5E1B">
        <w:rPr>
          <w:rFonts w:cs="Arial"/>
          <w:szCs w:val="22"/>
        </w:rPr>
        <w:t>tern Melbourne</w:t>
      </w:r>
      <w:r w:rsidR="00BF5E1B">
        <w:rPr>
          <w:rFonts w:cs="Arial"/>
          <w:szCs w:val="22"/>
        </w:rPr>
        <w:t>,</w:t>
      </w:r>
      <w:r w:rsidR="00BF5E1B" w:rsidRPr="00BF5E1B">
        <w:rPr>
          <w:rFonts w:cs="Arial"/>
          <w:szCs w:val="22"/>
        </w:rPr>
        <w:t xml:space="preserve"> </w:t>
      </w:r>
      <w:r w:rsidR="003610F1" w:rsidRPr="00BF5E1B">
        <w:rPr>
          <w:rFonts w:cs="Arial"/>
          <w:szCs w:val="22"/>
        </w:rPr>
        <w:t>Outer Eastern</w:t>
      </w:r>
      <w:r w:rsidR="003610F1">
        <w:rPr>
          <w:rFonts w:cs="Arial"/>
          <w:szCs w:val="20"/>
        </w:rPr>
        <w:t xml:space="preserve"> Melbourne and South Eastern Melbourne,</w:t>
      </w:r>
      <w:r w:rsidRPr="000F3B39">
        <w:rPr>
          <w:rFonts w:cs="Arial"/>
          <w:szCs w:val="20"/>
        </w:rPr>
        <w:t xml:space="preserve"> recorded </w:t>
      </w:r>
      <w:r w:rsidR="00E03C22">
        <w:rPr>
          <w:rFonts w:cs="Arial"/>
          <w:szCs w:val="20"/>
        </w:rPr>
        <w:t xml:space="preserve">annual </w:t>
      </w:r>
      <w:r w:rsidRPr="000F3B39">
        <w:rPr>
          <w:rFonts w:cs="Arial"/>
          <w:szCs w:val="20"/>
        </w:rPr>
        <w:t>increases in the number of new lettings</w:t>
      </w:r>
      <w:r w:rsidR="00E03C22">
        <w:rPr>
          <w:rFonts w:cs="Arial"/>
          <w:szCs w:val="20"/>
        </w:rPr>
        <w:t>. The change</w:t>
      </w:r>
      <w:r w:rsidRPr="000F3B39">
        <w:rPr>
          <w:rFonts w:cs="Arial"/>
          <w:szCs w:val="20"/>
        </w:rPr>
        <w:t xml:space="preserve"> on</w:t>
      </w:r>
      <w:r>
        <w:rPr>
          <w:rFonts w:cs="Arial"/>
          <w:szCs w:val="20"/>
        </w:rPr>
        <w:t xml:space="preserve"> the s</w:t>
      </w:r>
      <w:r w:rsidR="00027FDB">
        <w:rPr>
          <w:rFonts w:cs="Arial"/>
          <w:szCs w:val="20"/>
        </w:rPr>
        <w:t>ame quarter of 201</w:t>
      </w:r>
      <w:r w:rsidR="00052803">
        <w:rPr>
          <w:rFonts w:cs="Arial"/>
          <w:szCs w:val="20"/>
        </w:rPr>
        <w:t>4</w:t>
      </w:r>
      <w:r w:rsidR="00027FDB">
        <w:rPr>
          <w:rFonts w:cs="Arial"/>
          <w:szCs w:val="20"/>
        </w:rPr>
        <w:t xml:space="preserve"> ranged </w:t>
      </w:r>
      <w:r w:rsidR="00397411">
        <w:rPr>
          <w:rFonts w:cs="Arial"/>
          <w:szCs w:val="20"/>
        </w:rPr>
        <w:t xml:space="preserve">from </w:t>
      </w:r>
      <w:r w:rsidR="00027FDB">
        <w:rPr>
          <w:rFonts w:cs="Arial"/>
          <w:szCs w:val="20"/>
        </w:rPr>
        <w:t xml:space="preserve">a decrease of </w:t>
      </w:r>
      <w:r w:rsidR="00BF5E1B">
        <w:rPr>
          <w:rFonts w:cs="Arial"/>
          <w:szCs w:val="20"/>
        </w:rPr>
        <w:t>11.8</w:t>
      </w:r>
      <w:r>
        <w:rPr>
          <w:rFonts w:cs="Arial"/>
          <w:szCs w:val="20"/>
        </w:rPr>
        <w:t xml:space="preserve"> per cent for </w:t>
      </w:r>
      <w:r w:rsidR="00052803">
        <w:rPr>
          <w:rFonts w:cs="Arial"/>
          <w:szCs w:val="20"/>
        </w:rPr>
        <w:t>Mornington Peninsula</w:t>
      </w:r>
      <w:r>
        <w:rPr>
          <w:rFonts w:cs="Arial"/>
          <w:szCs w:val="20"/>
        </w:rPr>
        <w:t xml:space="preserve"> to </w:t>
      </w:r>
      <w:r w:rsidR="00027FDB">
        <w:rPr>
          <w:rFonts w:cs="Arial"/>
          <w:szCs w:val="20"/>
        </w:rPr>
        <w:t xml:space="preserve">an increase of </w:t>
      </w:r>
      <w:r w:rsidR="00F2062A">
        <w:rPr>
          <w:rFonts w:cs="Arial"/>
          <w:szCs w:val="20"/>
        </w:rPr>
        <w:t>5.</w:t>
      </w:r>
      <w:r w:rsidR="00BF5E1B">
        <w:rPr>
          <w:rFonts w:cs="Arial"/>
          <w:szCs w:val="20"/>
        </w:rPr>
        <w:t>6</w:t>
      </w:r>
      <w:r>
        <w:rPr>
          <w:rFonts w:cs="Arial"/>
          <w:szCs w:val="20"/>
        </w:rPr>
        <w:t xml:space="preserve"> per cent for </w:t>
      </w:r>
      <w:r w:rsidR="00B64A95">
        <w:rPr>
          <w:rFonts w:cs="Arial"/>
          <w:szCs w:val="20"/>
        </w:rPr>
        <w:t>North</w:t>
      </w:r>
      <w:r w:rsidR="00052803">
        <w:rPr>
          <w:rFonts w:cs="Arial"/>
          <w:szCs w:val="20"/>
        </w:rPr>
        <w:t xml:space="preserve"> Eastern</w:t>
      </w:r>
      <w:r>
        <w:rPr>
          <w:rFonts w:cs="Arial"/>
          <w:szCs w:val="20"/>
        </w:rPr>
        <w:t xml:space="preserve"> </w:t>
      </w:r>
      <w:r w:rsidR="005E609F">
        <w:rPr>
          <w:rFonts w:cs="Arial"/>
          <w:szCs w:val="20"/>
        </w:rPr>
        <w:t>Melbourne</w:t>
      </w:r>
      <w:r w:rsidRPr="000F3B39">
        <w:rPr>
          <w:rFonts w:cs="Arial"/>
          <w:szCs w:val="20"/>
        </w:rPr>
        <w:t xml:space="preserve">. </w:t>
      </w:r>
    </w:p>
    <w:p w:rsidR="0047763C" w:rsidRPr="000F3B39" w:rsidRDefault="0047763C" w:rsidP="00054C75">
      <w:pPr>
        <w:rPr>
          <w:rFonts w:cs="Arial"/>
          <w:szCs w:val="20"/>
        </w:rPr>
      </w:pPr>
    </w:p>
    <w:p w:rsidR="0047763C" w:rsidRPr="00F2062A" w:rsidRDefault="0047763C" w:rsidP="00054C75">
      <w:pPr>
        <w:rPr>
          <w:szCs w:val="22"/>
        </w:rPr>
      </w:pPr>
      <w:r w:rsidRPr="00F2062A">
        <w:rPr>
          <w:szCs w:val="22"/>
        </w:rPr>
        <w:t>In regional Victoria,</w:t>
      </w:r>
      <w:r w:rsidR="00B64A95">
        <w:rPr>
          <w:szCs w:val="22"/>
        </w:rPr>
        <w:t xml:space="preserve"> no region</w:t>
      </w:r>
      <w:r w:rsidR="00F2062A" w:rsidRPr="00F2062A">
        <w:rPr>
          <w:szCs w:val="22"/>
        </w:rPr>
        <w:t xml:space="preserve"> recorded an annual increase in the number of new lettings.</w:t>
      </w:r>
      <w:r w:rsidR="00E03C22" w:rsidRPr="00F2062A">
        <w:rPr>
          <w:szCs w:val="22"/>
        </w:rPr>
        <w:t xml:space="preserve"> The </w:t>
      </w:r>
      <w:r w:rsidR="00F2062A" w:rsidRPr="00F2062A">
        <w:rPr>
          <w:szCs w:val="22"/>
        </w:rPr>
        <w:t>change in new lettings</w:t>
      </w:r>
      <w:r w:rsidRPr="00F2062A">
        <w:rPr>
          <w:szCs w:val="22"/>
        </w:rPr>
        <w:t xml:space="preserve"> since the </w:t>
      </w:r>
      <w:r w:rsidR="004B57AE">
        <w:rPr>
          <w:szCs w:val="22"/>
        </w:rPr>
        <w:t>December</w:t>
      </w:r>
      <w:r w:rsidR="00E03C22" w:rsidRPr="00F2062A">
        <w:rPr>
          <w:szCs w:val="22"/>
        </w:rPr>
        <w:t xml:space="preserve"> quarter 201</w:t>
      </w:r>
      <w:r w:rsidR="00052803" w:rsidRPr="00F2062A">
        <w:rPr>
          <w:szCs w:val="22"/>
        </w:rPr>
        <w:t>4</w:t>
      </w:r>
      <w:r w:rsidR="00E03C22" w:rsidRPr="00F2062A">
        <w:rPr>
          <w:szCs w:val="22"/>
        </w:rPr>
        <w:t xml:space="preserve"> ranged</w:t>
      </w:r>
      <w:r w:rsidRPr="00F2062A">
        <w:rPr>
          <w:szCs w:val="22"/>
        </w:rPr>
        <w:t xml:space="preserve"> from </w:t>
      </w:r>
      <w:r w:rsidR="00F2062A">
        <w:rPr>
          <w:szCs w:val="22"/>
        </w:rPr>
        <w:t xml:space="preserve">a decrease of </w:t>
      </w:r>
      <w:r w:rsidR="00B64A95">
        <w:rPr>
          <w:szCs w:val="22"/>
        </w:rPr>
        <w:t>9.5</w:t>
      </w:r>
      <w:r w:rsidR="00F2062A">
        <w:rPr>
          <w:szCs w:val="22"/>
        </w:rPr>
        <w:t xml:space="preserve"> per cent in </w:t>
      </w:r>
      <w:r w:rsidR="00B64A95" w:rsidRPr="00F2062A">
        <w:rPr>
          <w:rFonts w:cs="Arial"/>
          <w:szCs w:val="22"/>
        </w:rPr>
        <w:t>Loddon-Mallee</w:t>
      </w:r>
      <w:r w:rsidR="00B64A95" w:rsidRPr="00F2062A">
        <w:rPr>
          <w:szCs w:val="22"/>
        </w:rPr>
        <w:t xml:space="preserve"> </w:t>
      </w:r>
      <w:r w:rsidR="00B64A95">
        <w:rPr>
          <w:szCs w:val="22"/>
        </w:rPr>
        <w:t>to a decrease of 1.1</w:t>
      </w:r>
      <w:r w:rsidR="00027FDB" w:rsidRPr="00F2062A">
        <w:rPr>
          <w:szCs w:val="22"/>
        </w:rPr>
        <w:t xml:space="preserve"> per cent in</w:t>
      </w:r>
      <w:r w:rsidR="00B64A95">
        <w:rPr>
          <w:szCs w:val="22"/>
        </w:rPr>
        <w:t xml:space="preserve"> Gippsland</w:t>
      </w:r>
      <w:r w:rsidRPr="00F2062A">
        <w:rPr>
          <w:szCs w:val="22"/>
        </w:rPr>
        <w:t xml:space="preserve">. </w:t>
      </w:r>
    </w:p>
    <w:p w:rsidR="0047763C" w:rsidRPr="008C44FD" w:rsidRDefault="0047763C" w:rsidP="00054C75">
      <w:pPr>
        <w:rPr>
          <w:rFonts w:cs="Arial"/>
          <w:b/>
        </w:rPr>
      </w:pPr>
    </w:p>
    <w:p w:rsidR="0047763C" w:rsidRPr="000375B1" w:rsidRDefault="0047763C" w:rsidP="005415B5">
      <w:pPr>
        <w:widowControl w:val="0"/>
        <w:tabs>
          <w:tab w:val="left" w:pos="227"/>
          <w:tab w:val="left" w:pos="397"/>
          <w:tab w:val="left" w:pos="567"/>
        </w:tabs>
        <w:suppressAutoHyphens/>
        <w:autoSpaceDE w:val="0"/>
        <w:autoSpaceDN w:val="0"/>
        <w:adjustRightInd w:val="0"/>
        <w:spacing w:after="57" w:line="270" w:lineRule="atLeast"/>
        <w:textAlignment w:val="baseline"/>
        <w:rPr>
          <w:rFonts w:cs="Arial"/>
          <w:b/>
          <w:color w:val="000000"/>
          <w:sz w:val="20"/>
          <w:szCs w:val="20"/>
          <w:lang w:val="en-US"/>
        </w:rPr>
      </w:pPr>
      <w:r w:rsidRPr="000375B1">
        <w:rPr>
          <w:rFonts w:cs="Arial"/>
          <w:b/>
          <w:color w:val="000000"/>
          <w:sz w:val="20"/>
          <w:szCs w:val="20"/>
          <w:lang w:val="en-US"/>
        </w:rPr>
        <w:t xml:space="preserve">Table 5: </w:t>
      </w:r>
      <w:r>
        <w:rPr>
          <w:rFonts w:cs="Arial"/>
          <w:b/>
          <w:color w:val="000000"/>
          <w:sz w:val="20"/>
          <w:szCs w:val="20"/>
          <w:lang w:val="en-US"/>
        </w:rPr>
        <w:t>N</w:t>
      </w:r>
      <w:r w:rsidRPr="000375B1">
        <w:rPr>
          <w:rFonts w:cs="Arial"/>
          <w:b/>
          <w:color w:val="000000"/>
          <w:sz w:val="20"/>
          <w:szCs w:val="20"/>
          <w:lang w:val="en-US"/>
        </w:rPr>
        <w:t xml:space="preserve">ew lettings for </w:t>
      </w:r>
      <w:r w:rsidR="002C4406">
        <w:rPr>
          <w:rFonts w:cs="Arial"/>
          <w:b/>
          <w:color w:val="000000"/>
          <w:sz w:val="20"/>
          <w:szCs w:val="20"/>
          <w:lang w:val="en-US"/>
        </w:rPr>
        <w:t xml:space="preserve">metropolitan </w:t>
      </w:r>
      <w:r w:rsidRPr="000375B1">
        <w:rPr>
          <w:rFonts w:cs="Arial"/>
          <w:b/>
          <w:color w:val="000000"/>
          <w:sz w:val="20"/>
          <w:szCs w:val="20"/>
          <w:lang w:val="en-US"/>
        </w:rPr>
        <w:t xml:space="preserve">Melbourne, regional Victoria and Victoria </w:t>
      </w:r>
    </w:p>
    <w:tbl>
      <w:tblPr>
        <w:tblW w:w="0" w:type="auto"/>
        <w:tblBorders>
          <w:top w:val="single" w:sz="18" w:space="0" w:color="9DAECB"/>
          <w:bottom w:val="single" w:sz="18" w:space="0" w:color="9DAECB"/>
          <w:insideH w:val="single" w:sz="2" w:space="0" w:color="9DAECB"/>
        </w:tblBorders>
        <w:tblLook w:val="0220" w:firstRow="1" w:lastRow="0" w:firstColumn="0" w:lastColumn="0" w:noHBand="1" w:noVBand="0"/>
      </w:tblPr>
      <w:tblGrid>
        <w:gridCol w:w="2552"/>
        <w:gridCol w:w="2381"/>
        <w:gridCol w:w="2381"/>
        <w:gridCol w:w="2381"/>
      </w:tblGrid>
      <w:tr w:rsidR="004A3161" w:rsidRPr="002E1555" w:rsidTr="004A3161">
        <w:trPr>
          <w:trHeight w:hRule="exact" w:val="340"/>
        </w:trPr>
        <w:tc>
          <w:tcPr>
            <w:tcW w:w="2552" w:type="dxa"/>
            <w:tcBorders>
              <w:top w:val="single" w:sz="18" w:space="0" w:color="9DAECB"/>
              <w:bottom w:val="single" w:sz="12" w:space="0" w:color="9DAECB"/>
            </w:tcBorders>
          </w:tcPr>
          <w:p w:rsidR="004A3161" w:rsidRPr="00C95655" w:rsidRDefault="004A3161">
            <w:pPr>
              <w:pStyle w:val="DHSbodycopytable"/>
              <w:rPr>
                <w:rFonts w:cs="Arial"/>
                <w:b/>
                <w:bCs/>
                <w:sz w:val="20"/>
              </w:rPr>
            </w:pPr>
          </w:p>
        </w:tc>
        <w:tc>
          <w:tcPr>
            <w:tcW w:w="2381" w:type="dxa"/>
            <w:tcBorders>
              <w:top w:val="single" w:sz="18" w:space="0" w:color="9DAECB"/>
              <w:bottom w:val="single" w:sz="12" w:space="0" w:color="9DAECB"/>
            </w:tcBorders>
            <w:shd w:val="clear" w:color="auto" w:fill="DEE4EE"/>
            <w:vAlign w:val="center"/>
          </w:tcPr>
          <w:p w:rsidR="004A3161" w:rsidRPr="004A3161" w:rsidRDefault="00580EEA" w:rsidP="004A3161">
            <w:pPr>
              <w:jc w:val="center"/>
              <w:rPr>
                <w:rFonts w:cs="Arial"/>
                <w:b/>
                <w:bCs/>
                <w:sz w:val="20"/>
                <w:szCs w:val="20"/>
              </w:rPr>
            </w:pPr>
            <w:r>
              <w:rPr>
                <w:rFonts w:cs="Arial"/>
                <w:b/>
                <w:bCs/>
                <w:sz w:val="20"/>
                <w:szCs w:val="20"/>
              </w:rPr>
              <w:t>Dec</w:t>
            </w:r>
            <w:r w:rsidR="004A3161" w:rsidRPr="004A3161">
              <w:rPr>
                <w:rFonts w:cs="Arial"/>
                <w:b/>
                <w:bCs/>
                <w:sz w:val="20"/>
                <w:szCs w:val="20"/>
              </w:rPr>
              <w:t>-15</w:t>
            </w:r>
          </w:p>
        </w:tc>
        <w:tc>
          <w:tcPr>
            <w:tcW w:w="2381" w:type="dxa"/>
            <w:tcBorders>
              <w:top w:val="single" w:sz="18" w:space="0" w:color="9DAECB"/>
              <w:bottom w:val="single" w:sz="12" w:space="0" w:color="9DAECB"/>
            </w:tcBorders>
            <w:vAlign w:val="center"/>
          </w:tcPr>
          <w:p w:rsidR="004A3161" w:rsidRPr="004A3161" w:rsidRDefault="00580EEA" w:rsidP="004A3161">
            <w:pPr>
              <w:jc w:val="center"/>
              <w:rPr>
                <w:rFonts w:cs="Arial"/>
                <w:b/>
                <w:bCs/>
                <w:sz w:val="20"/>
                <w:szCs w:val="20"/>
              </w:rPr>
            </w:pPr>
            <w:r>
              <w:rPr>
                <w:rFonts w:cs="Arial"/>
                <w:b/>
                <w:bCs/>
                <w:sz w:val="20"/>
                <w:szCs w:val="20"/>
              </w:rPr>
              <w:t>Dec</w:t>
            </w:r>
            <w:r w:rsidR="004A3161" w:rsidRPr="004A3161">
              <w:rPr>
                <w:rFonts w:cs="Arial"/>
                <w:b/>
                <w:bCs/>
                <w:sz w:val="20"/>
                <w:szCs w:val="20"/>
              </w:rPr>
              <w:t>-14</w:t>
            </w:r>
          </w:p>
        </w:tc>
        <w:tc>
          <w:tcPr>
            <w:tcW w:w="2381" w:type="dxa"/>
            <w:tcBorders>
              <w:top w:val="single" w:sz="18" w:space="0" w:color="9DAECB"/>
              <w:bottom w:val="single" w:sz="12" w:space="0" w:color="9DAECB"/>
            </w:tcBorders>
            <w:shd w:val="clear" w:color="auto" w:fill="DEE4EE"/>
            <w:vAlign w:val="center"/>
          </w:tcPr>
          <w:p w:rsidR="004A3161" w:rsidRPr="004A3161" w:rsidRDefault="004A3161" w:rsidP="004A3161">
            <w:pPr>
              <w:jc w:val="center"/>
              <w:rPr>
                <w:rFonts w:cs="Arial"/>
                <w:b/>
                <w:bCs/>
                <w:sz w:val="20"/>
                <w:szCs w:val="20"/>
              </w:rPr>
            </w:pPr>
            <w:r w:rsidRPr="004A3161">
              <w:rPr>
                <w:rFonts w:cs="Arial"/>
                <w:b/>
                <w:bCs/>
                <w:sz w:val="20"/>
                <w:szCs w:val="20"/>
              </w:rPr>
              <w:t>Change</w:t>
            </w:r>
          </w:p>
        </w:tc>
      </w:tr>
      <w:tr w:rsidR="00BF5E1B" w:rsidRPr="005F5C4F" w:rsidTr="00BF5E1B">
        <w:trPr>
          <w:trHeight w:hRule="exact" w:val="340"/>
        </w:trPr>
        <w:tc>
          <w:tcPr>
            <w:tcW w:w="2552" w:type="dxa"/>
            <w:tcBorders>
              <w:top w:val="single" w:sz="12" w:space="0" w:color="9DAECB"/>
            </w:tcBorders>
            <w:vAlign w:val="center"/>
          </w:tcPr>
          <w:p w:rsidR="00BF5E1B" w:rsidRPr="00C95655" w:rsidRDefault="00BF5E1B" w:rsidP="00FC2E69">
            <w:pPr>
              <w:pStyle w:val="DHSbodycopytable"/>
              <w:rPr>
                <w:rFonts w:cs="Arial"/>
                <w:b/>
                <w:sz w:val="20"/>
              </w:rPr>
            </w:pPr>
            <w:r>
              <w:rPr>
                <w:rFonts w:cs="Arial"/>
                <w:b/>
                <w:sz w:val="20"/>
              </w:rPr>
              <w:t xml:space="preserve">Metropolitan </w:t>
            </w:r>
            <w:r w:rsidRPr="00C95655">
              <w:rPr>
                <w:rFonts w:cs="Arial"/>
                <w:b/>
                <w:sz w:val="20"/>
              </w:rPr>
              <w:t>Melbourne</w:t>
            </w:r>
          </w:p>
        </w:tc>
        <w:tc>
          <w:tcPr>
            <w:tcW w:w="2381" w:type="dxa"/>
            <w:tcBorders>
              <w:top w:val="single" w:sz="12" w:space="0" w:color="9DAECB"/>
            </w:tcBorders>
            <w:shd w:val="clear" w:color="auto" w:fill="DEE4EE"/>
            <w:vAlign w:val="center"/>
          </w:tcPr>
          <w:p w:rsidR="00BF5E1B" w:rsidRPr="005E5C54" w:rsidRDefault="00BF5E1B" w:rsidP="005E5C54">
            <w:pPr>
              <w:jc w:val="center"/>
              <w:rPr>
                <w:sz w:val="20"/>
              </w:rPr>
            </w:pPr>
            <w:r w:rsidRPr="005E5C54">
              <w:rPr>
                <w:sz w:val="20"/>
              </w:rPr>
              <w:t>40,272</w:t>
            </w:r>
          </w:p>
        </w:tc>
        <w:tc>
          <w:tcPr>
            <w:tcW w:w="2381" w:type="dxa"/>
            <w:tcBorders>
              <w:top w:val="single" w:sz="12" w:space="0" w:color="9DAECB"/>
            </w:tcBorders>
            <w:vAlign w:val="center"/>
          </w:tcPr>
          <w:p w:rsidR="00BF5E1B" w:rsidRPr="005E5C54" w:rsidRDefault="00BF5E1B" w:rsidP="005E5C54">
            <w:pPr>
              <w:jc w:val="center"/>
              <w:rPr>
                <w:sz w:val="20"/>
              </w:rPr>
            </w:pPr>
            <w:r w:rsidRPr="005E5C54">
              <w:rPr>
                <w:sz w:val="20"/>
              </w:rPr>
              <w:t>40,065</w:t>
            </w:r>
          </w:p>
        </w:tc>
        <w:tc>
          <w:tcPr>
            <w:tcW w:w="2381" w:type="dxa"/>
            <w:tcBorders>
              <w:top w:val="single" w:sz="12" w:space="0" w:color="9DAECB"/>
            </w:tcBorders>
            <w:shd w:val="clear" w:color="auto" w:fill="DEE4EE"/>
            <w:vAlign w:val="center"/>
          </w:tcPr>
          <w:p w:rsidR="00BF5E1B" w:rsidRPr="00BF5E1B" w:rsidRDefault="00BF5E1B" w:rsidP="00BF5E1B">
            <w:pPr>
              <w:jc w:val="center"/>
              <w:rPr>
                <w:rFonts w:cs="Arial"/>
                <w:sz w:val="20"/>
                <w:szCs w:val="20"/>
              </w:rPr>
            </w:pPr>
            <w:r w:rsidRPr="00BF5E1B">
              <w:rPr>
                <w:rFonts w:cs="Arial"/>
                <w:sz w:val="20"/>
                <w:szCs w:val="20"/>
              </w:rPr>
              <w:t>0.5%</w:t>
            </w:r>
          </w:p>
        </w:tc>
      </w:tr>
      <w:tr w:rsidR="00BF5E1B" w:rsidRPr="005F5C4F" w:rsidTr="00BF5E1B">
        <w:trPr>
          <w:trHeight w:hRule="exact" w:val="340"/>
        </w:trPr>
        <w:tc>
          <w:tcPr>
            <w:tcW w:w="2552" w:type="dxa"/>
            <w:vAlign w:val="center"/>
          </w:tcPr>
          <w:p w:rsidR="00BF5E1B" w:rsidRPr="00C95655" w:rsidRDefault="00BF5E1B" w:rsidP="00FC2E69">
            <w:pPr>
              <w:pStyle w:val="DHSbodycopytable"/>
              <w:rPr>
                <w:rFonts w:cs="Arial"/>
                <w:b/>
                <w:sz w:val="20"/>
              </w:rPr>
            </w:pPr>
            <w:r w:rsidRPr="00C95655">
              <w:rPr>
                <w:rFonts w:cs="Arial"/>
                <w:b/>
                <w:sz w:val="20"/>
              </w:rPr>
              <w:t>Regional Victoria</w:t>
            </w:r>
          </w:p>
        </w:tc>
        <w:tc>
          <w:tcPr>
            <w:tcW w:w="2381" w:type="dxa"/>
            <w:shd w:val="clear" w:color="auto" w:fill="DEE4EE"/>
            <w:vAlign w:val="center"/>
          </w:tcPr>
          <w:p w:rsidR="00BF5E1B" w:rsidRPr="005E5C54" w:rsidRDefault="00BF5E1B" w:rsidP="005E5C54">
            <w:pPr>
              <w:jc w:val="center"/>
              <w:rPr>
                <w:sz w:val="20"/>
              </w:rPr>
            </w:pPr>
            <w:r w:rsidRPr="005E5C54">
              <w:rPr>
                <w:sz w:val="20"/>
              </w:rPr>
              <w:t>10,588</w:t>
            </w:r>
          </w:p>
        </w:tc>
        <w:tc>
          <w:tcPr>
            <w:tcW w:w="2381" w:type="dxa"/>
            <w:vAlign w:val="center"/>
          </w:tcPr>
          <w:p w:rsidR="00BF5E1B" w:rsidRPr="005E5C54" w:rsidRDefault="00BF5E1B" w:rsidP="005E5C54">
            <w:pPr>
              <w:jc w:val="center"/>
              <w:rPr>
                <w:sz w:val="20"/>
              </w:rPr>
            </w:pPr>
            <w:r w:rsidRPr="005E5C54">
              <w:rPr>
                <w:sz w:val="20"/>
              </w:rPr>
              <w:t>11,101</w:t>
            </w:r>
          </w:p>
        </w:tc>
        <w:tc>
          <w:tcPr>
            <w:tcW w:w="2381" w:type="dxa"/>
            <w:shd w:val="clear" w:color="auto" w:fill="DEE4EE"/>
            <w:vAlign w:val="center"/>
          </w:tcPr>
          <w:p w:rsidR="00BF5E1B" w:rsidRPr="00BF5E1B" w:rsidRDefault="00BF5E1B" w:rsidP="00BF5E1B">
            <w:pPr>
              <w:jc w:val="center"/>
              <w:rPr>
                <w:rFonts w:cs="Arial"/>
                <w:sz w:val="20"/>
                <w:szCs w:val="20"/>
              </w:rPr>
            </w:pPr>
            <w:r w:rsidRPr="00BF5E1B">
              <w:rPr>
                <w:rFonts w:cs="Arial"/>
                <w:sz w:val="20"/>
                <w:szCs w:val="20"/>
              </w:rPr>
              <w:t>-4.6%</w:t>
            </w:r>
          </w:p>
        </w:tc>
      </w:tr>
      <w:tr w:rsidR="00BF5E1B" w:rsidRPr="005F5C4F" w:rsidTr="00BF5E1B">
        <w:trPr>
          <w:trHeight w:hRule="exact" w:val="340"/>
        </w:trPr>
        <w:tc>
          <w:tcPr>
            <w:tcW w:w="2552" w:type="dxa"/>
            <w:vAlign w:val="center"/>
          </w:tcPr>
          <w:p w:rsidR="00BF5E1B" w:rsidRPr="00C95655" w:rsidRDefault="00BF5E1B" w:rsidP="00FC2E69">
            <w:pPr>
              <w:pStyle w:val="DHSbodycopytable"/>
              <w:rPr>
                <w:rFonts w:cs="Arial"/>
                <w:b/>
                <w:sz w:val="20"/>
              </w:rPr>
            </w:pPr>
            <w:r w:rsidRPr="00C95655">
              <w:rPr>
                <w:rFonts w:cs="Arial"/>
                <w:b/>
                <w:sz w:val="20"/>
              </w:rPr>
              <w:t>Victoria</w:t>
            </w:r>
          </w:p>
        </w:tc>
        <w:tc>
          <w:tcPr>
            <w:tcW w:w="2381" w:type="dxa"/>
            <w:shd w:val="clear" w:color="auto" w:fill="DEE4EE"/>
            <w:vAlign w:val="center"/>
          </w:tcPr>
          <w:p w:rsidR="00BF5E1B" w:rsidRPr="005E5C54" w:rsidRDefault="00BF5E1B" w:rsidP="005E5C54">
            <w:pPr>
              <w:jc w:val="center"/>
              <w:rPr>
                <w:sz w:val="20"/>
              </w:rPr>
            </w:pPr>
            <w:r w:rsidRPr="005E5C54">
              <w:rPr>
                <w:sz w:val="20"/>
              </w:rPr>
              <w:t>50,860</w:t>
            </w:r>
          </w:p>
        </w:tc>
        <w:tc>
          <w:tcPr>
            <w:tcW w:w="2381" w:type="dxa"/>
            <w:vAlign w:val="center"/>
          </w:tcPr>
          <w:p w:rsidR="00BF5E1B" w:rsidRPr="005E5C54" w:rsidRDefault="00BF5E1B" w:rsidP="005E5C54">
            <w:pPr>
              <w:jc w:val="center"/>
              <w:rPr>
                <w:sz w:val="20"/>
              </w:rPr>
            </w:pPr>
            <w:r w:rsidRPr="005E5C54">
              <w:rPr>
                <w:sz w:val="20"/>
              </w:rPr>
              <w:t>51,166</w:t>
            </w:r>
          </w:p>
        </w:tc>
        <w:tc>
          <w:tcPr>
            <w:tcW w:w="2381" w:type="dxa"/>
            <w:shd w:val="clear" w:color="auto" w:fill="DEE4EE"/>
            <w:vAlign w:val="center"/>
          </w:tcPr>
          <w:p w:rsidR="00BF5E1B" w:rsidRPr="00BF5E1B" w:rsidRDefault="00BF5E1B" w:rsidP="00BF5E1B">
            <w:pPr>
              <w:jc w:val="center"/>
              <w:rPr>
                <w:rFonts w:cs="Arial"/>
                <w:sz w:val="20"/>
                <w:szCs w:val="20"/>
              </w:rPr>
            </w:pPr>
            <w:r w:rsidRPr="00BF5E1B">
              <w:rPr>
                <w:rFonts w:cs="Arial"/>
                <w:sz w:val="20"/>
                <w:szCs w:val="20"/>
              </w:rPr>
              <w:t>-0.6%</w:t>
            </w:r>
          </w:p>
        </w:tc>
      </w:tr>
    </w:tbl>
    <w:p w:rsidR="0047763C" w:rsidRDefault="0047763C" w:rsidP="005415B5">
      <w:pPr>
        <w:pStyle w:val="DHSheadingD"/>
        <w:rPr>
          <w:rFonts w:cs="Arial"/>
          <w:lang w:val="en-US"/>
        </w:rPr>
      </w:pPr>
    </w:p>
    <w:p w:rsidR="0047763C" w:rsidRDefault="0047763C" w:rsidP="005415B5">
      <w:pPr>
        <w:pStyle w:val="DHSheadingD"/>
        <w:rPr>
          <w:rFonts w:cs="Arial"/>
          <w:lang w:val="en-US"/>
        </w:rPr>
      </w:pPr>
      <w:r w:rsidRPr="00706644">
        <w:rPr>
          <w:rFonts w:cs="Arial"/>
          <w:lang w:val="en-US"/>
        </w:rPr>
        <w:t xml:space="preserve">Table 6: New lettings for statistical regions Victoria </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126"/>
        <w:gridCol w:w="2381"/>
        <w:gridCol w:w="2381"/>
      </w:tblGrid>
      <w:tr w:rsidR="004A3161" w:rsidRPr="002E1555" w:rsidTr="00F2062A">
        <w:trPr>
          <w:trHeight w:hRule="exact" w:val="340"/>
        </w:trPr>
        <w:tc>
          <w:tcPr>
            <w:tcW w:w="2802" w:type="dxa"/>
            <w:tcBorders>
              <w:top w:val="single" w:sz="18" w:space="0" w:color="9DAECB"/>
              <w:bottom w:val="single" w:sz="12" w:space="0" w:color="9DAECB"/>
            </w:tcBorders>
          </w:tcPr>
          <w:p w:rsidR="004A3161" w:rsidRPr="00C95655" w:rsidRDefault="004A3161" w:rsidP="00B37013">
            <w:pPr>
              <w:pStyle w:val="DHSbodycopytable"/>
              <w:rPr>
                <w:rFonts w:cs="Arial"/>
                <w:b/>
                <w:bCs/>
                <w:sz w:val="20"/>
              </w:rPr>
            </w:pPr>
            <w:r w:rsidRPr="00C95655">
              <w:rPr>
                <w:rFonts w:cs="Arial"/>
                <w:b/>
                <w:bCs/>
                <w:sz w:val="20"/>
              </w:rPr>
              <w:t>Region</w:t>
            </w:r>
          </w:p>
        </w:tc>
        <w:tc>
          <w:tcPr>
            <w:tcW w:w="2126" w:type="dxa"/>
            <w:tcBorders>
              <w:top w:val="single" w:sz="18" w:space="0" w:color="9DAECB"/>
              <w:bottom w:val="single" w:sz="12" w:space="0" w:color="9DAECB"/>
            </w:tcBorders>
            <w:shd w:val="clear" w:color="auto" w:fill="DEE4EE"/>
            <w:vAlign w:val="center"/>
          </w:tcPr>
          <w:p w:rsidR="004A3161" w:rsidRPr="004A3161" w:rsidRDefault="00580EEA" w:rsidP="00A8679A">
            <w:pPr>
              <w:jc w:val="center"/>
              <w:rPr>
                <w:rFonts w:cs="Arial"/>
                <w:b/>
                <w:bCs/>
                <w:sz w:val="20"/>
                <w:szCs w:val="20"/>
              </w:rPr>
            </w:pPr>
            <w:r>
              <w:rPr>
                <w:rFonts w:cs="Arial"/>
                <w:b/>
                <w:bCs/>
                <w:sz w:val="20"/>
                <w:szCs w:val="20"/>
              </w:rPr>
              <w:t>Dec</w:t>
            </w:r>
            <w:r w:rsidR="004A3161" w:rsidRPr="004A3161">
              <w:rPr>
                <w:rFonts w:cs="Arial"/>
                <w:b/>
                <w:bCs/>
                <w:sz w:val="20"/>
                <w:szCs w:val="20"/>
              </w:rPr>
              <w:t>-15</w:t>
            </w:r>
          </w:p>
        </w:tc>
        <w:tc>
          <w:tcPr>
            <w:tcW w:w="2381" w:type="dxa"/>
            <w:tcBorders>
              <w:top w:val="single" w:sz="18" w:space="0" w:color="9DAECB"/>
              <w:bottom w:val="single" w:sz="12" w:space="0" w:color="9DAECB"/>
            </w:tcBorders>
            <w:vAlign w:val="center"/>
          </w:tcPr>
          <w:p w:rsidR="004A3161" w:rsidRPr="004A3161" w:rsidRDefault="00580EEA" w:rsidP="00A8679A">
            <w:pPr>
              <w:jc w:val="center"/>
              <w:rPr>
                <w:rFonts w:cs="Arial"/>
                <w:b/>
                <w:bCs/>
                <w:sz w:val="20"/>
                <w:szCs w:val="20"/>
              </w:rPr>
            </w:pPr>
            <w:r>
              <w:rPr>
                <w:rFonts w:cs="Arial"/>
                <w:b/>
                <w:bCs/>
                <w:sz w:val="20"/>
                <w:szCs w:val="20"/>
              </w:rPr>
              <w:t>Dec</w:t>
            </w:r>
            <w:r w:rsidR="004A3161" w:rsidRPr="004A3161">
              <w:rPr>
                <w:rFonts w:cs="Arial"/>
                <w:b/>
                <w:bCs/>
                <w:sz w:val="20"/>
                <w:szCs w:val="20"/>
              </w:rPr>
              <w:t>-14</w:t>
            </w:r>
          </w:p>
        </w:tc>
        <w:tc>
          <w:tcPr>
            <w:tcW w:w="2381" w:type="dxa"/>
            <w:tcBorders>
              <w:top w:val="single" w:sz="18" w:space="0" w:color="9DAECB"/>
              <w:bottom w:val="single" w:sz="12" w:space="0" w:color="9DAECB"/>
            </w:tcBorders>
            <w:shd w:val="clear" w:color="auto" w:fill="DEE4EE"/>
            <w:vAlign w:val="center"/>
          </w:tcPr>
          <w:p w:rsidR="004A3161" w:rsidRPr="004A3161" w:rsidRDefault="004A3161" w:rsidP="00A8679A">
            <w:pPr>
              <w:jc w:val="center"/>
              <w:rPr>
                <w:rFonts w:cs="Arial"/>
                <w:b/>
                <w:bCs/>
                <w:sz w:val="20"/>
                <w:szCs w:val="20"/>
              </w:rPr>
            </w:pPr>
            <w:r w:rsidRPr="004A3161">
              <w:rPr>
                <w:rFonts w:cs="Arial"/>
                <w:b/>
                <w:bCs/>
                <w:sz w:val="20"/>
                <w:szCs w:val="20"/>
              </w:rPr>
              <w:t>Change</w:t>
            </w:r>
          </w:p>
        </w:tc>
      </w:tr>
      <w:tr w:rsidR="0047763C" w:rsidRPr="002E1555" w:rsidTr="00F2062A">
        <w:trPr>
          <w:trHeight w:hRule="exact" w:val="454"/>
        </w:trPr>
        <w:tc>
          <w:tcPr>
            <w:tcW w:w="2802" w:type="dxa"/>
            <w:tcBorders>
              <w:top w:val="single" w:sz="12" w:space="0" w:color="9DAECB"/>
            </w:tcBorders>
            <w:vAlign w:val="bottom"/>
          </w:tcPr>
          <w:p w:rsidR="0047763C" w:rsidRPr="00C95655" w:rsidRDefault="0047763C" w:rsidP="00C95655">
            <w:pPr>
              <w:pStyle w:val="DHSbodycopytable"/>
              <w:spacing w:after="0"/>
              <w:rPr>
                <w:rFonts w:cs="Arial"/>
                <w:b/>
                <w:sz w:val="20"/>
              </w:rPr>
            </w:pPr>
            <w:r w:rsidRPr="00C95655">
              <w:rPr>
                <w:rFonts w:cs="Arial"/>
                <w:b/>
                <w:sz w:val="20"/>
              </w:rPr>
              <w:t>Metropolitan Melbourne</w:t>
            </w:r>
          </w:p>
        </w:tc>
        <w:tc>
          <w:tcPr>
            <w:tcW w:w="2126" w:type="dxa"/>
            <w:tcBorders>
              <w:top w:val="single" w:sz="12" w:space="0" w:color="9DAECB"/>
            </w:tcBorders>
            <w:shd w:val="clear" w:color="auto" w:fill="DEE4EE"/>
            <w:vAlign w:val="bottom"/>
          </w:tcPr>
          <w:p w:rsidR="0047763C" w:rsidRPr="00C95655" w:rsidRDefault="0047763C" w:rsidP="00C95655">
            <w:pPr>
              <w:pStyle w:val="DHSbodycopytable"/>
              <w:spacing w:after="0"/>
              <w:rPr>
                <w:rFonts w:cs="Arial"/>
                <w:sz w:val="20"/>
              </w:rPr>
            </w:pPr>
          </w:p>
        </w:tc>
        <w:tc>
          <w:tcPr>
            <w:tcW w:w="2381" w:type="dxa"/>
            <w:tcBorders>
              <w:top w:val="single" w:sz="12" w:space="0" w:color="9DAECB"/>
            </w:tcBorders>
            <w:vAlign w:val="bottom"/>
          </w:tcPr>
          <w:p w:rsidR="0047763C" w:rsidRPr="00C95655" w:rsidRDefault="0047763C" w:rsidP="00C95655">
            <w:pPr>
              <w:pStyle w:val="DHSbodycopytable"/>
              <w:spacing w:after="0"/>
              <w:rPr>
                <w:rFonts w:cs="Arial"/>
                <w:sz w:val="20"/>
              </w:rPr>
            </w:pPr>
          </w:p>
        </w:tc>
        <w:tc>
          <w:tcPr>
            <w:tcW w:w="2381" w:type="dxa"/>
            <w:tcBorders>
              <w:top w:val="single" w:sz="12" w:space="0" w:color="9DAECB"/>
            </w:tcBorders>
            <w:shd w:val="clear" w:color="auto" w:fill="DEE4EE"/>
            <w:vAlign w:val="bottom"/>
          </w:tcPr>
          <w:p w:rsidR="0047763C" w:rsidRPr="00C95655" w:rsidRDefault="0047763C" w:rsidP="00C95655">
            <w:pPr>
              <w:pStyle w:val="DHSbodycopytable"/>
              <w:spacing w:after="0"/>
              <w:rPr>
                <w:rFonts w:cs="Arial"/>
                <w:sz w:val="20"/>
              </w:rPr>
            </w:pPr>
          </w:p>
        </w:tc>
      </w:tr>
      <w:tr w:rsidR="00B61847" w:rsidRPr="000051C5" w:rsidTr="005E5C54">
        <w:trPr>
          <w:trHeight w:hRule="exact" w:val="284"/>
        </w:trPr>
        <w:tc>
          <w:tcPr>
            <w:tcW w:w="2802" w:type="dxa"/>
            <w:vAlign w:val="center"/>
          </w:tcPr>
          <w:p w:rsidR="00B61847" w:rsidRPr="00C95655" w:rsidRDefault="00B61847" w:rsidP="00FC2E69">
            <w:pPr>
              <w:pStyle w:val="DHSbodycopytable"/>
              <w:spacing w:after="0"/>
              <w:rPr>
                <w:rFonts w:cs="Arial"/>
                <w:sz w:val="20"/>
              </w:rPr>
            </w:pPr>
            <w:r w:rsidRPr="00C95655">
              <w:rPr>
                <w:rFonts w:cs="Arial"/>
                <w:sz w:val="20"/>
              </w:rPr>
              <w:t>Inner Melbourne</w:t>
            </w:r>
          </w:p>
        </w:tc>
        <w:tc>
          <w:tcPr>
            <w:tcW w:w="2126" w:type="dxa"/>
            <w:shd w:val="clear" w:color="auto" w:fill="DEE4EE"/>
            <w:vAlign w:val="center"/>
          </w:tcPr>
          <w:p w:rsidR="00B61847" w:rsidRPr="005E5C54" w:rsidRDefault="00B61847" w:rsidP="005E5C54">
            <w:pPr>
              <w:jc w:val="center"/>
              <w:rPr>
                <w:sz w:val="20"/>
              </w:rPr>
            </w:pPr>
            <w:r w:rsidRPr="005E5C54">
              <w:rPr>
                <w:sz w:val="20"/>
              </w:rPr>
              <w:t>10,204</w:t>
            </w:r>
          </w:p>
        </w:tc>
        <w:tc>
          <w:tcPr>
            <w:tcW w:w="2381" w:type="dxa"/>
            <w:vAlign w:val="center"/>
          </w:tcPr>
          <w:p w:rsidR="00B61847" w:rsidRPr="005E5C54" w:rsidRDefault="00B61847" w:rsidP="005E5C54">
            <w:pPr>
              <w:jc w:val="center"/>
              <w:rPr>
                <w:sz w:val="20"/>
              </w:rPr>
            </w:pPr>
            <w:r w:rsidRPr="005E5C54">
              <w:rPr>
                <w:sz w:val="20"/>
              </w:rPr>
              <w:t>10,267</w:t>
            </w:r>
          </w:p>
        </w:tc>
        <w:tc>
          <w:tcPr>
            <w:tcW w:w="2381" w:type="dxa"/>
            <w:shd w:val="clear" w:color="auto" w:fill="DEE4EE"/>
            <w:vAlign w:val="center"/>
          </w:tcPr>
          <w:p w:rsidR="00B61847" w:rsidRPr="005E5C54" w:rsidRDefault="00B61847" w:rsidP="005E5C54">
            <w:pPr>
              <w:jc w:val="center"/>
              <w:rPr>
                <w:sz w:val="20"/>
              </w:rPr>
            </w:pPr>
            <w:r w:rsidRPr="005E5C54">
              <w:rPr>
                <w:sz w:val="20"/>
              </w:rPr>
              <w:t>-0.6%</w:t>
            </w:r>
          </w:p>
        </w:tc>
      </w:tr>
      <w:tr w:rsidR="00B61847" w:rsidRPr="000051C5" w:rsidTr="005E5C54">
        <w:trPr>
          <w:trHeight w:hRule="exact" w:val="284"/>
        </w:trPr>
        <w:tc>
          <w:tcPr>
            <w:tcW w:w="2802" w:type="dxa"/>
            <w:vAlign w:val="center"/>
          </w:tcPr>
          <w:p w:rsidR="00B61847" w:rsidRPr="00C95655" w:rsidRDefault="00B61847" w:rsidP="00FC2E69">
            <w:pPr>
              <w:pStyle w:val="DHSbodycopytable"/>
              <w:spacing w:after="0"/>
              <w:rPr>
                <w:rFonts w:cs="Arial"/>
                <w:sz w:val="20"/>
              </w:rPr>
            </w:pPr>
            <w:r w:rsidRPr="00C95655">
              <w:rPr>
                <w:rFonts w:cs="Arial"/>
                <w:sz w:val="20"/>
              </w:rPr>
              <w:t>Inner Eastern Melbourne</w:t>
            </w:r>
          </w:p>
        </w:tc>
        <w:tc>
          <w:tcPr>
            <w:tcW w:w="2126" w:type="dxa"/>
            <w:shd w:val="clear" w:color="auto" w:fill="DEE4EE"/>
            <w:vAlign w:val="center"/>
          </w:tcPr>
          <w:p w:rsidR="00B61847" w:rsidRPr="005E5C54" w:rsidRDefault="00B61847" w:rsidP="005E5C54">
            <w:pPr>
              <w:jc w:val="center"/>
              <w:rPr>
                <w:sz w:val="20"/>
              </w:rPr>
            </w:pPr>
            <w:r w:rsidRPr="005E5C54">
              <w:rPr>
                <w:sz w:val="20"/>
              </w:rPr>
              <w:t>5,203</w:t>
            </w:r>
          </w:p>
        </w:tc>
        <w:tc>
          <w:tcPr>
            <w:tcW w:w="2381" w:type="dxa"/>
            <w:vAlign w:val="center"/>
          </w:tcPr>
          <w:p w:rsidR="00B61847" w:rsidRPr="005E5C54" w:rsidRDefault="00B61847" w:rsidP="005E5C54">
            <w:pPr>
              <w:jc w:val="center"/>
              <w:rPr>
                <w:sz w:val="20"/>
              </w:rPr>
            </w:pPr>
            <w:r w:rsidRPr="005E5C54">
              <w:rPr>
                <w:sz w:val="20"/>
              </w:rPr>
              <w:t>4,978</w:t>
            </w:r>
          </w:p>
        </w:tc>
        <w:tc>
          <w:tcPr>
            <w:tcW w:w="2381" w:type="dxa"/>
            <w:shd w:val="clear" w:color="auto" w:fill="DEE4EE"/>
            <w:vAlign w:val="center"/>
          </w:tcPr>
          <w:p w:rsidR="00B61847" w:rsidRPr="005E5C54" w:rsidRDefault="00B61847" w:rsidP="005E5C54">
            <w:pPr>
              <w:jc w:val="center"/>
              <w:rPr>
                <w:sz w:val="20"/>
              </w:rPr>
            </w:pPr>
            <w:r w:rsidRPr="005E5C54">
              <w:rPr>
                <w:sz w:val="20"/>
              </w:rPr>
              <w:t>4.5%</w:t>
            </w:r>
          </w:p>
        </w:tc>
      </w:tr>
      <w:tr w:rsidR="00B61847" w:rsidRPr="000051C5" w:rsidTr="005E5C54">
        <w:trPr>
          <w:trHeight w:hRule="exact" w:val="284"/>
        </w:trPr>
        <w:tc>
          <w:tcPr>
            <w:tcW w:w="2802" w:type="dxa"/>
            <w:vAlign w:val="center"/>
          </w:tcPr>
          <w:p w:rsidR="00B61847" w:rsidRPr="00C95655" w:rsidRDefault="00B61847" w:rsidP="00FC2E69">
            <w:pPr>
              <w:pStyle w:val="DHSbodycopytable"/>
              <w:spacing w:after="0"/>
              <w:rPr>
                <w:rFonts w:cs="Arial"/>
                <w:sz w:val="20"/>
              </w:rPr>
            </w:pPr>
            <w:r w:rsidRPr="00C95655">
              <w:rPr>
                <w:rFonts w:cs="Arial"/>
                <w:sz w:val="20"/>
              </w:rPr>
              <w:t>Southern Melbourne</w:t>
            </w:r>
          </w:p>
        </w:tc>
        <w:tc>
          <w:tcPr>
            <w:tcW w:w="2126" w:type="dxa"/>
            <w:shd w:val="clear" w:color="auto" w:fill="DEE4EE"/>
            <w:vAlign w:val="center"/>
          </w:tcPr>
          <w:p w:rsidR="00B61847" w:rsidRPr="005E5C54" w:rsidRDefault="00B61847" w:rsidP="005E5C54">
            <w:pPr>
              <w:jc w:val="center"/>
              <w:rPr>
                <w:sz w:val="20"/>
              </w:rPr>
            </w:pPr>
            <w:r w:rsidRPr="005E5C54">
              <w:rPr>
                <w:sz w:val="20"/>
              </w:rPr>
              <w:t>3,563</w:t>
            </w:r>
          </w:p>
        </w:tc>
        <w:tc>
          <w:tcPr>
            <w:tcW w:w="2381" w:type="dxa"/>
            <w:vAlign w:val="center"/>
          </w:tcPr>
          <w:p w:rsidR="00B61847" w:rsidRPr="005E5C54" w:rsidRDefault="00B61847" w:rsidP="005E5C54">
            <w:pPr>
              <w:jc w:val="center"/>
              <w:rPr>
                <w:sz w:val="20"/>
              </w:rPr>
            </w:pPr>
            <w:r w:rsidRPr="005E5C54">
              <w:rPr>
                <w:sz w:val="20"/>
              </w:rPr>
              <w:t>3,651</w:t>
            </w:r>
          </w:p>
        </w:tc>
        <w:tc>
          <w:tcPr>
            <w:tcW w:w="2381" w:type="dxa"/>
            <w:shd w:val="clear" w:color="auto" w:fill="DEE4EE"/>
            <w:vAlign w:val="center"/>
          </w:tcPr>
          <w:p w:rsidR="00B61847" w:rsidRPr="005E5C54" w:rsidRDefault="00B61847" w:rsidP="005E5C54">
            <w:pPr>
              <w:jc w:val="center"/>
              <w:rPr>
                <w:sz w:val="20"/>
              </w:rPr>
            </w:pPr>
            <w:r w:rsidRPr="005E5C54">
              <w:rPr>
                <w:sz w:val="20"/>
              </w:rPr>
              <w:t>-2.4%</w:t>
            </w:r>
          </w:p>
        </w:tc>
      </w:tr>
      <w:tr w:rsidR="00B61847" w:rsidRPr="000051C5" w:rsidTr="005E5C54">
        <w:trPr>
          <w:trHeight w:hRule="exact" w:val="284"/>
        </w:trPr>
        <w:tc>
          <w:tcPr>
            <w:tcW w:w="2802" w:type="dxa"/>
            <w:vAlign w:val="center"/>
          </w:tcPr>
          <w:p w:rsidR="00B61847" w:rsidRPr="00C95655" w:rsidRDefault="00B61847" w:rsidP="00FC2E69">
            <w:pPr>
              <w:pStyle w:val="DHSbodycopytable"/>
              <w:spacing w:after="0"/>
              <w:rPr>
                <w:rFonts w:cs="Arial"/>
                <w:sz w:val="20"/>
              </w:rPr>
            </w:pPr>
            <w:r w:rsidRPr="00C95655">
              <w:rPr>
                <w:rFonts w:cs="Arial"/>
                <w:sz w:val="20"/>
              </w:rPr>
              <w:t>Western Melbourne</w:t>
            </w:r>
          </w:p>
        </w:tc>
        <w:tc>
          <w:tcPr>
            <w:tcW w:w="2126" w:type="dxa"/>
            <w:shd w:val="clear" w:color="auto" w:fill="DEE4EE"/>
            <w:vAlign w:val="center"/>
          </w:tcPr>
          <w:p w:rsidR="00B61847" w:rsidRPr="005E5C54" w:rsidRDefault="00B61847" w:rsidP="005E5C54">
            <w:pPr>
              <w:jc w:val="center"/>
              <w:rPr>
                <w:sz w:val="20"/>
              </w:rPr>
            </w:pPr>
            <w:r w:rsidRPr="005E5C54">
              <w:rPr>
                <w:sz w:val="20"/>
              </w:rPr>
              <w:t>5,565</w:t>
            </w:r>
          </w:p>
        </w:tc>
        <w:tc>
          <w:tcPr>
            <w:tcW w:w="2381" w:type="dxa"/>
            <w:vAlign w:val="center"/>
          </w:tcPr>
          <w:p w:rsidR="00B61847" w:rsidRPr="005E5C54" w:rsidRDefault="00B61847" w:rsidP="005E5C54">
            <w:pPr>
              <w:jc w:val="center"/>
              <w:rPr>
                <w:sz w:val="20"/>
              </w:rPr>
            </w:pPr>
            <w:r w:rsidRPr="005E5C54">
              <w:rPr>
                <w:sz w:val="20"/>
              </w:rPr>
              <w:t>5,694</w:t>
            </w:r>
          </w:p>
        </w:tc>
        <w:tc>
          <w:tcPr>
            <w:tcW w:w="2381" w:type="dxa"/>
            <w:shd w:val="clear" w:color="auto" w:fill="DEE4EE"/>
            <w:vAlign w:val="center"/>
          </w:tcPr>
          <w:p w:rsidR="00B61847" w:rsidRPr="005E5C54" w:rsidRDefault="00B61847" w:rsidP="005E5C54">
            <w:pPr>
              <w:jc w:val="center"/>
              <w:rPr>
                <w:sz w:val="20"/>
              </w:rPr>
            </w:pPr>
            <w:r w:rsidRPr="005E5C54">
              <w:rPr>
                <w:sz w:val="20"/>
              </w:rPr>
              <w:t>-2.3%</w:t>
            </w:r>
          </w:p>
        </w:tc>
      </w:tr>
      <w:tr w:rsidR="00B61847" w:rsidRPr="000051C5" w:rsidTr="005E5C54">
        <w:trPr>
          <w:trHeight w:hRule="exact" w:val="284"/>
        </w:trPr>
        <w:tc>
          <w:tcPr>
            <w:tcW w:w="2802" w:type="dxa"/>
            <w:vAlign w:val="center"/>
          </w:tcPr>
          <w:p w:rsidR="00B61847" w:rsidRPr="00C95655" w:rsidRDefault="00B61847" w:rsidP="00FC2E69">
            <w:pPr>
              <w:pStyle w:val="DHSbodycopytable"/>
              <w:spacing w:after="0"/>
              <w:rPr>
                <w:rFonts w:cs="Arial"/>
                <w:sz w:val="20"/>
              </w:rPr>
            </w:pPr>
            <w:r w:rsidRPr="00C95655">
              <w:rPr>
                <w:rFonts w:cs="Arial"/>
                <w:sz w:val="20"/>
              </w:rPr>
              <w:t>North Western Melbourne</w:t>
            </w:r>
          </w:p>
        </w:tc>
        <w:tc>
          <w:tcPr>
            <w:tcW w:w="2126" w:type="dxa"/>
            <w:shd w:val="clear" w:color="auto" w:fill="DEE4EE"/>
            <w:vAlign w:val="center"/>
          </w:tcPr>
          <w:p w:rsidR="00B61847" w:rsidRPr="005E5C54" w:rsidRDefault="00B61847" w:rsidP="005E5C54">
            <w:pPr>
              <w:jc w:val="center"/>
              <w:rPr>
                <w:sz w:val="20"/>
              </w:rPr>
            </w:pPr>
            <w:r w:rsidRPr="005E5C54">
              <w:rPr>
                <w:sz w:val="20"/>
              </w:rPr>
              <w:t>4,062</w:t>
            </w:r>
          </w:p>
        </w:tc>
        <w:tc>
          <w:tcPr>
            <w:tcW w:w="2381" w:type="dxa"/>
            <w:vAlign w:val="center"/>
          </w:tcPr>
          <w:p w:rsidR="00B61847" w:rsidRPr="005E5C54" w:rsidRDefault="00B61847" w:rsidP="005E5C54">
            <w:pPr>
              <w:jc w:val="center"/>
              <w:rPr>
                <w:sz w:val="20"/>
              </w:rPr>
            </w:pPr>
            <w:r w:rsidRPr="005E5C54">
              <w:rPr>
                <w:sz w:val="20"/>
              </w:rPr>
              <w:t>3,884</w:t>
            </w:r>
          </w:p>
        </w:tc>
        <w:tc>
          <w:tcPr>
            <w:tcW w:w="2381" w:type="dxa"/>
            <w:shd w:val="clear" w:color="auto" w:fill="DEE4EE"/>
            <w:vAlign w:val="center"/>
          </w:tcPr>
          <w:p w:rsidR="00B61847" w:rsidRPr="005E5C54" w:rsidRDefault="00B61847" w:rsidP="005E5C54">
            <w:pPr>
              <w:jc w:val="center"/>
              <w:rPr>
                <w:sz w:val="20"/>
              </w:rPr>
            </w:pPr>
            <w:r w:rsidRPr="005E5C54">
              <w:rPr>
                <w:sz w:val="20"/>
              </w:rPr>
              <w:t>4.6%</w:t>
            </w:r>
          </w:p>
        </w:tc>
      </w:tr>
      <w:tr w:rsidR="00B61847" w:rsidRPr="000051C5" w:rsidTr="005E5C54">
        <w:trPr>
          <w:trHeight w:hRule="exact" w:val="284"/>
        </w:trPr>
        <w:tc>
          <w:tcPr>
            <w:tcW w:w="2802" w:type="dxa"/>
            <w:vAlign w:val="center"/>
          </w:tcPr>
          <w:p w:rsidR="00B61847" w:rsidRPr="00C95655" w:rsidRDefault="00B61847" w:rsidP="00FC2E69">
            <w:pPr>
              <w:pStyle w:val="DHSbodycopytable"/>
              <w:spacing w:after="0"/>
              <w:rPr>
                <w:rFonts w:cs="Arial"/>
                <w:sz w:val="20"/>
              </w:rPr>
            </w:pPr>
            <w:r w:rsidRPr="00C95655">
              <w:rPr>
                <w:rFonts w:cs="Arial"/>
                <w:sz w:val="20"/>
              </w:rPr>
              <w:t>North Eastern Melbourne</w:t>
            </w:r>
          </w:p>
        </w:tc>
        <w:tc>
          <w:tcPr>
            <w:tcW w:w="2126" w:type="dxa"/>
            <w:shd w:val="clear" w:color="auto" w:fill="DEE4EE"/>
            <w:vAlign w:val="center"/>
          </w:tcPr>
          <w:p w:rsidR="00B61847" w:rsidRPr="005E5C54" w:rsidRDefault="00B61847" w:rsidP="005E5C54">
            <w:pPr>
              <w:jc w:val="center"/>
              <w:rPr>
                <w:sz w:val="20"/>
              </w:rPr>
            </w:pPr>
            <w:r w:rsidRPr="005E5C54">
              <w:rPr>
                <w:sz w:val="20"/>
              </w:rPr>
              <w:t>4,080</w:t>
            </w:r>
          </w:p>
        </w:tc>
        <w:tc>
          <w:tcPr>
            <w:tcW w:w="2381" w:type="dxa"/>
            <w:vAlign w:val="center"/>
          </w:tcPr>
          <w:p w:rsidR="00B61847" w:rsidRPr="005E5C54" w:rsidRDefault="00B61847" w:rsidP="005E5C54">
            <w:pPr>
              <w:jc w:val="center"/>
              <w:rPr>
                <w:sz w:val="20"/>
              </w:rPr>
            </w:pPr>
            <w:r w:rsidRPr="005E5C54">
              <w:rPr>
                <w:sz w:val="20"/>
              </w:rPr>
              <w:t>3,865</w:t>
            </w:r>
          </w:p>
        </w:tc>
        <w:tc>
          <w:tcPr>
            <w:tcW w:w="2381" w:type="dxa"/>
            <w:shd w:val="clear" w:color="auto" w:fill="DEE4EE"/>
            <w:vAlign w:val="center"/>
          </w:tcPr>
          <w:p w:rsidR="00B61847" w:rsidRPr="005E5C54" w:rsidRDefault="00B61847" w:rsidP="005E5C54">
            <w:pPr>
              <w:jc w:val="center"/>
              <w:rPr>
                <w:sz w:val="20"/>
              </w:rPr>
            </w:pPr>
            <w:r w:rsidRPr="005E5C54">
              <w:rPr>
                <w:sz w:val="20"/>
              </w:rPr>
              <w:t>5.6%</w:t>
            </w:r>
          </w:p>
        </w:tc>
      </w:tr>
      <w:tr w:rsidR="00B61847" w:rsidRPr="000051C5" w:rsidTr="005E5C54">
        <w:trPr>
          <w:trHeight w:hRule="exact" w:val="284"/>
        </w:trPr>
        <w:tc>
          <w:tcPr>
            <w:tcW w:w="2802" w:type="dxa"/>
            <w:vAlign w:val="center"/>
          </w:tcPr>
          <w:p w:rsidR="00B61847" w:rsidRPr="00C95655" w:rsidRDefault="00B61847" w:rsidP="00FC2E69">
            <w:pPr>
              <w:pStyle w:val="DHSbodycopytable"/>
              <w:spacing w:after="0"/>
              <w:rPr>
                <w:rFonts w:cs="Arial"/>
                <w:sz w:val="20"/>
              </w:rPr>
            </w:pPr>
            <w:r w:rsidRPr="00C95655">
              <w:rPr>
                <w:rFonts w:cs="Arial"/>
                <w:sz w:val="20"/>
              </w:rPr>
              <w:t>Outer Eastern Melbourne</w:t>
            </w:r>
          </w:p>
        </w:tc>
        <w:tc>
          <w:tcPr>
            <w:tcW w:w="2126" w:type="dxa"/>
            <w:shd w:val="clear" w:color="auto" w:fill="DEE4EE"/>
            <w:vAlign w:val="center"/>
          </w:tcPr>
          <w:p w:rsidR="00B61847" w:rsidRPr="005E5C54" w:rsidRDefault="00B61847" w:rsidP="005E5C54">
            <w:pPr>
              <w:jc w:val="center"/>
              <w:rPr>
                <w:sz w:val="20"/>
              </w:rPr>
            </w:pPr>
            <w:r w:rsidRPr="005E5C54">
              <w:rPr>
                <w:sz w:val="20"/>
              </w:rPr>
              <w:t>2,045</w:t>
            </w:r>
          </w:p>
        </w:tc>
        <w:tc>
          <w:tcPr>
            <w:tcW w:w="2381" w:type="dxa"/>
            <w:vAlign w:val="center"/>
          </w:tcPr>
          <w:p w:rsidR="00B61847" w:rsidRPr="005E5C54" w:rsidRDefault="00B61847" w:rsidP="005E5C54">
            <w:pPr>
              <w:jc w:val="center"/>
              <w:rPr>
                <w:sz w:val="20"/>
              </w:rPr>
            </w:pPr>
            <w:r w:rsidRPr="005E5C54">
              <w:rPr>
                <w:sz w:val="20"/>
              </w:rPr>
              <w:t>1,987</w:t>
            </w:r>
          </w:p>
        </w:tc>
        <w:tc>
          <w:tcPr>
            <w:tcW w:w="2381" w:type="dxa"/>
            <w:shd w:val="clear" w:color="auto" w:fill="DEE4EE"/>
            <w:vAlign w:val="center"/>
          </w:tcPr>
          <w:p w:rsidR="00B61847" w:rsidRPr="005E5C54" w:rsidRDefault="00B61847" w:rsidP="005E5C54">
            <w:pPr>
              <w:jc w:val="center"/>
              <w:rPr>
                <w:sz w:val="20"/>
              </w:rPr>
            </w:pPr>
            <w:r w:rsidRPr="005E5C54">
              <w:rPr>
                <w:sz w:val="20"/>
              </w:rPr>
              <w:t>2.9%</w:t>
            </w:r>
          </w:p>
        </w:tc>
      </w:tr>
      <w:tr w:rsidR="00B61847" w:rsidRPr="000051C5" w:rsidTr="005E5C54">
        <w:trPr>
          <w:trHeight w:hRule="exact" w:val="284"/>
        </w:trPr>
        <w:tc>
          <w:tcPr>
            <w:tcW w:w="2802" w:type="dxa"/>
            <w:vAlign w:val="center"/>
          </w:tcPr>
          <w:p w:rsidR="00B61847" w:rsidRPr="00C95655" w:rsidRDefault="00B61847" w:rsidP="00FC2E69">
            <w:pPr>
              <w:pStyle w:val="DHSbodycopytable"/>
              <w:spacing w:after="0"/>
              <w:rPr>
                <w:rFonts w:cs="Arial"/>
                <w:sz w:val="20"/>
              </w:rPr>
            </w:pPr>
            <w:r w:rsidRPr="00C95655">
              <w:rPr>
                <w:rFonts w:cs="Arial"/>
                <w:sz w:val="20"/>
              </w:rPr>
              <w:t>South Eastern Melbourne</w:t>
            </w:r>
          </w:p>
        </w:tc>
        <w:tc>
          <w:tcPr>
            <w:tcW w:w="2126" w:type="dxa"/>
            <w:shd w:val="clear" w:color="auto" w:fill="DEE4EE"/>
            <w:vAlign w:val="center"/>
          </w:tcPr>
          <w:p w:rsidR="00B61847" w:rsidRPr="005E5C54" w:rsidRDefault="00B61847" w:rsidP="005E5C54">
            <w:pPr>
              <w:jc w:val="center"/>
              <w:rPr>
                <w:sz w:val="20"/>
              </w:rPr>
            </w:pPr>
            <w:r w:rsidRPr="005E5C54">
              <w:rPr>
                <w:sz w:val="20"/>
              </w:rPr>
              <w:t>3,540</w:t>
            </w:r>
          </w:p>
        </w:tc>
        <w:tc>
          <w:tcPr>
            <w:tcW w:w="2381" w:type="dxa"/>
            <w:vAlign w:val="center"/>
          </w:tcPr>
          <w:p w:rsidR="00B61847" w:rsidRPr="005E5C54" w:rsidRDefault="00B61847" w:rsidP="005E5C54">
            <w:pPr>
              <w:jc w:val="center"/>
              <w:rPr>
                <w:sz w:val="20"/>
              </w:rPr>
            </w:pPr>
            <w:r w:rsidRPr="005E5C54">
              <w:rPr>
                <w:sz w:val="20"/>
              </w:rPr>
              <w:t>3,461</w:t>
            </w:r>
          </w:p>
        </w:tc>
        <w:tc>
          <w:tcPr>
            <w:tcW w:w="2381" w:type="dxa"/>
            <w:shd w:val="clear" w:color="auto" w:fill="DEE4EE"/>
            <w:vAlign w:val="center"/>
          </w:tcPr>
          <w:p w:rsidR="00B61847" w:rsidRPr="005E5C54" w:rsidRDefault="00B61847" w:rsidP="005E5C54">
            <w:pPr>
              <w:jc w:val="center"/>
              <w:rPr>
                <w:sz w:val="20"/>
              </w:rPr>
            </w:pPr>
            <w:r w:rsidRPr="005E5C54">
              <w:rPr>
                <w:sz w:val="20"/>
              </w:rPr>
              <w:t>2.3%</w:t>
            </w:r>
          </w:p>
        </w:tc>
      </w:tr>
      <w:tr w:rsidR="00B61847" w:rsidRPr="000051C5" w:rsidTr="005E5C54">
        <w:trPr>
          <w:trHeight w:hRule="exact" w:val="284"/>
        </w:trPr>
        <w:tc>
          <w:tcPr>
            <w:tcW w:w="2802" w:type="dxa"/>
            <w:vAlign w:val="center"/>
          </w:tcPr>
          <w:p w:rsidR="00B61847" w:rsidRPr="00C95655" w:rsidRDefault="00B61847" w:rsidP="00FC2E69">
            <w:pPr>
              <w:pStyle w:val="DHSbodycopytable"/>
              <w:spacing w:after="0"/>
              <w:rPr>
                <w:rFonts w:cs="Arial"/>
                <w:sz w:val="20"/>
              </w:rPr>
            </w:pPr>
            <w:r w:rsidRPr="00C95655">
              <w:rPr>
                <w:rFonts w:cs="Arial"/>
                <w:sz w:val="20"/>
              </w:rPr>
              <w:t>Mornington Peninsula</w:t>
            </w:r>
          </w:p>
        </w:tc>
        <w:tc>
          <w:tcPr>
            <w:tcW w:w="2126" w:type="dxa"/>
            <w:shd w:val="clear" w:color="auto" w:fill="DEE4EE"/>
            <w:vAlign w:val="center"/>
          </w:tcPr>
          <w:p w:rsidR="00B61847" w:rsidRPr="005E5C54" w:rsidRDefault="00B61847" w:rsidP="005E5C54">
            <w:pPr>
              <w:jc w:val="center"/>
              <w:rPr>
                <w:sz w:val="20"/>
              </w:rPr>
            </w:pPr>
            <w:r w:rsidRPr="005E5C54">
              <w:rPr>
                <w:sz w:val="20"/>
              </w:rPr>
              <w:t>2,010</w:t>
            </w:r>
          </w:p>
        </w:tc>
        <w:tc>
          <w:tcPr>
            <w:tcW w:w="2381" w:type="dxa"/>
            <w:vAlign w:val="center"/>
          </w:tcPr>
          <w:p w:rsidR="00B61847" w:rsidRPr="005E5C54" w:rsidRDefault="00B61847" w:rsidP="005E5C54">
            <w:pPr>
              <w:jc w:val="center"/>
              <w:rPr>
                <w:sz w:val="20"/>
              </w:rPr>
            </w:pPr>
            <w:r w:rsidRPr="005E5C54">
              <w:rPr>
                <w:sz w:val="20"/>
              </w:rPr>
              <w:t>2,278</w:t>
            </w:r>
          </w:p>
        </w:tc>
        <w:tc>
          <w:tcPr>
            <w:tcW w:w="2381" w:type="dxa"/>
            <w:shd w:val="clear" w:color="auto" w:fill="DEE4EE"/>
            <w:vAlign w:val="center"/>
          </w:tcPr>
          <w:p w:rsidR="00B61847" w:rsidRPr="005E5C54" w:rsidRDefault="00B61847" w:rsidP="005E5C54">
            <w:pPr>
              <w:jc w:val="center"/>
              <w:rPr>
                <w:sz w:val="20"/>
              </w:rPr>
            </w:pPr>
            <w:r w:rsidRPr="005E5C54">
              <w:rPr>
                <w:sz w:val="20"/>
              </w:rPr>
              <w:t>-11.8%</w:t>
            </w:r>
          </w:p>
        </w:tc>
      </w:tr>
      <w:tr w:rsidR="00B61847" w:rsidRPr="0027082E" w:rsidTr="005E5C54">
        <w:trPr>
          <w:trHeight w:hRule="exact" w:val="454"/>
        </w:trPr>
        <w:tc>
          <w:tcPr>
            <w:tcW w:w="2802" w:type="dxa"/>
            <w:vAlign w:val="bottom"/>
          </w:tcPr>
          <w:p w:rsidR="00B61847" w:rsidRPr="00C95655" w:rsidRDefault="00B61847" w:rsidP="00C95655">
            <w:pPr>
              <w:pStyle w:val="DHSbodycopytable"/>
              <w:spacing w:after="0"/>
              <w:rPr>
                <w:rFonts w:cs="Arial"/>
                <w:b/>
                <w:sz w:val="20"/>
              </w:rPr>
            </w:pPr>
            <w:r w:rsidRPr="00C95655">
              <w:rPr>
                <w:rFonts w:cs="Arial"/>
                <w:b/>
                <w:sz w:val="20"/>
              </w:rPr>
              <w:t>Regional Victoria</w:t>
            </w:r>
          </w:p>
        </w:tc>
        <w:tc>
          <w:tcPr>
            <w:tcW w:w="2126" w:type="dxa"/>
            <w:shd w:val="clear" w:color="auto" w:fill="DEE4EE"/>
            <w:vAlign w:val="center"/>
          </w:tcPr>
          <w:p w:rsidR="00B61847" w:rsidRPr="005E5C54" w:rsidRDefault="00B61847" w:rsidP="005E5C54">
            <w:pPr>
              <w:jc w:val="center"/>
              <w:rPr>
                <w:sz w:val="20"/>
              </w:rPr>
            </w:pPr>
          </w:p>
        </w:tc>
        <w:tc>
          <w:tcPr>
            <w:tcW w:w="2381" w:type="dxa"/>
            <w:vAlign w:val="center"/>
          </w:tcPr>
          <w:p w:rsidR="00B61847" w:rsidRPr="005E5C54" w:rsidRDefault="00B61847" w:rsidP="005E5C54">
            <w:pPr>
              <w:jc w:val="center"/>
              <w:rPr>
                <w:sz w:val="20"/>
              </w:rPr>
            </w:pPr>
          </w:p>
        </w:tc>
        <w:tc>
          <w:tcPr>
            <w:tcW w:w="2381" w:type="dxa"/>
            <w:shd w:val="clear" w:color="auto" w:fill="DEE4EE"/>
            <w:vAlign w:val="center"/>
          </w:tcPr>
          <w:p w:rsidR="00B61847" w:rsidRPr="005E5C54" w:rsidRDefault="00B61847" w:rsidP="005E5C54">
            <w:pPr>
              <w:jc w:val="center"/>
              <w:rPr>
                <w:sz w:val="20"/>
              </w:rPr>
            </w:pPr>
          </w:p>
        </w:tc>
      </w:tr>
      <w:tr w:rsidR="00B61847" w:rsidRPr="000051C5" w:rsidTr="005E5C54">
        <w:trPr>
          <w:trHeight w:hRule="exact" w:val="284"/>
        </w:trPr>
        <w:tc>
          <w:tcPr>
            <w:tcW w:w="2802" w:type="dxa"/>
            <w:vAlign w:val="center"/>
          </w:tcPr>
          <w:p w:rsidR="00B61847" w:rsidRPr="00C95655" w:rsidRDefault="00B61847" w:rsidP="00FC2E69">
            <w:pPr>
              <w:pStyle w:val="DHSbodycopytable"/>
              <w:spacing w:after="0"/>
              <w:rPr>
                <w:rFonts w:cs="Arial"/>
                <w:sz w:val="20"/>
              </w:rPr>
            </w:pPr>
            <w:r w:rsidRPr="00C95655">
              <w:rPr>
                <w:rFonts w:cs="Arial"/>
                <w:sz w:val="20"/>
              </w:rPr>
              <w:t>Barwon-South West</w:t>
            </w:r>
          </w:p>
        </w:tc>
        <w:tc>
          <w:tcPr>
            <w:tcW w:w="2126" w:type="dxa"/>
            <w:shd w:val="clear" w:color="auto" w:fill="DEE4EE"/>
            <w:vAlign w:val="center"/>
          </w:tcPr>
          <w:p w:rsidR="00B61847" w:rsidRPr="005E5C54" w:rsidRDefault="00B61847" w:rsidP="005E5C54">
            <w:pPr>
              <w:jc w:val="center"/>
              <w:rPr>
                <w:sz w:val="20"/>
              </w:rPr>
            </w:pPr>
            <w:r w:rsidRPr="005E5C54">
              <w:rPr>
                <w:sz w:val="20"/>
              </w:rPr>
              <w:t>3,064</w:t>
            </w:r>
          </w:p>
        </w:tc>
        <w:tc>
          <w:tcPr>
            <w:tcW w:w="2381" w:type="dxa"/>
            <w:vAlign w:val="center"/>
          </w:tcPr>
          <w:p w:rsidR="00B61847" w:rsidRPr="005E5C54" w:rsidRDefault="00B61847" w:rsidP="005E5C54">
            <w:pPr>
              <w:jc w:val="center"/>
              <w:rPr>
                <w:sz w:val="20"/>
              </w:rPr>
            </w:pPr>
            <w:r w:rsidRPr="005E5C54">
              <w:rPr>
                <w:sz w:val="20"/>
              </w:rPr>
              <w:t>3,133</w:t>
            </w:r>
          </w:p>
        </w:tc>
        <w:tc>
          <w:tcPr>
            <w:tcW w:w="2381" w:type="dxa"/>
            <w:shd w:val="clear" w:color="auto" w:fill="DEE4EE"/>
            <w:vAlign w:val="center"/>
          </w:tcPr>
          <w:p w:rsidR="00B61847" w:rsidRPr="005E5C54" w:rsidRDefault="00B61847" w:rsidP="005E5C54">
            <w:pPr>
              <w:jc w:val="center"/>
              <w:rPr>
                <w:sz w:val="20"/>
              </w:rPr>
            </w:pPr>
            <w:r w:rsidRPr="005E5C54">
              <w:rPr>
                <w:sz w:val="20"/>
              </w:rPr>
              <w:t>-2.2%</w:t>
            </w:r>
          </w:p>
        </w:tc>
      </w:tr>
      <w:tr w:rsidR="00B61847" w:rsidRPr="000051C5" w:rsidTr="005E5C54">
        <w:trPr>
          <w:trHeight w:hRule="exact" w:val="284"/>
        </w:trPr>
        <w:tc>
          <w:tcPr>
            <w:tcW w:w="2802" w:type="dxa"/>
            <w:vAlign w:val="center"/>
          </w:tcPr>
          <w:p w:rsidR="00B61847" w:rsidRPr="00C95655" w:rsidRDefault="00B61847" w:rsidP="00FC2E69">
            <w:pPr>
              <w:pStyle w:val="DHSbodycopytable"/>
              <w:spacing w:after="0"/>
              <w:rPr>
                <w:rFonts w:cs="Arial"/>
                <w:sz w:val="20"/>
              </w:rPr>
            </w:pPr>
            <w:r w:rsidRPr="00C95655">
              <w:rPr>
                <w:rFonts w:cs="Arial"/>
                <w:sz w:val="20"/>
              </w:rPr>
              <w:t>Gippsland</w:t>
            </w:r>
          </w:p>
        </w:tc>
        <w:tc>
          <w:tcPr>
            <w:tcW w:w="2126" w:type="dxa"/>
            <w:shd w:val="clear" w:color="auto" w:fill="DEE4EE"/>
            <w:vAlign w:val="center"/>
          </w:tcPr>
          <w:p w:rsidR="00B61847" w:rsidRPr="005E5C54" w:rsidRDefault="00B61847" w:rsidP="005E5C54">
            <w:pPr>
              <w:jc w:val="center"/>
              <w:rPr>
                <w:sz w:val="20"/>
              </w:rPr>
            </w:pPr>
            <w:r w:rsidRPr="005E5C54">
              <w:rPr>
                <w:sz w:val="20"/>
              </w:rPr>
              <w:t>1,916</w:t>
            </w:r>
          </w:p>
        </w:tc>
        <w:tc>
          <w:tcPr>
            <w:tcW w:w="2381" w:type="dxa"/>
            <w:vAlign w:val="center"/>
          </w:tcPr>
          <w:p w:rsidR="00B61847" w:rsidRPr="005E5C54" w:rsidRDefault="00B61847" w:rsidP="005E5C54">
            <w:pPr>
              <w:jc w:val="center"/>
              <w:rPr>
                <w:sz w:val="20"/>
              </w:rPr>
            </w:pPr>
            <w:r w:rsidRPr="005E5C54">
              <w:rPr>
                <w:sz w:val="20"/>
              </w:rPr>
              <w:t>1,937</w:t>
            </w:r>
          </w:p>
        </w:tc>
        <w:tc>
          <w:tcPr>
            <w:tcW w:w="2381" w:type="dxa"/>
            <w:shd w:val="clear" w:color="auto" w:fill="DEE4EE"/>
            <w:vAlign w:val="center"/>
          </w:tcPr>
          <w:p w:rsidR="00B61847" w:rsidRPr="005E5C54" w:rsidRDefault="00B61847" w:rsidP="005E5C54">
            <w:pPr>
              <w:jc w:val="center"/>
              <w:rPr>
                <w:sz w:val="20"/>
              </w:rPr>
            </w:pPr>
            <w:r w:rsidRPr="005E5C54">
              <w:rPr>
                <w:sz w:val="20"/>
              </w:rPr>
              <w:t>-1.1%</w:t>
            </w:r>
          </w:p>
        </w:tc>
      </w:tr>
      <w:tr w:rsidR="00B61847" w:rsidRPr="000051C5" w:rsidTr="005E5C54">
        <w:trPr>
          <w:trHeight w:hRule="exact" w:val="284"/>
        </w:trPr>
        <w:tc>
          <w:tcPr>
            <w:tcW w:w="2802" w:type="dxa"/>
            <w:vAlign w:val="center"/>
          </w:tcPr>
          <w:p w:rsidR="00B61847" w:rsidRPr="00C95655" w:rsidRDefault="00B61847" w:rsidP="00FC2E69">
            <w:pPr>
              <w:pStyle w:val="DHSbodycopytable"/>
              <w:spacing w:after="0"/>
              <w:rPr>
                <w:rFonts w:cs="Arial"/>
                <w:sz w:val="20"/>
              </w:rPr>
            </w:pPr>
            <w:r w:rsidRPr="00C95655">
              <w:rPr>
                <w:rFonts w:cs="Arial"/>
                <w:sz w:val="20"/>
              </w:rPr>
              <w:t>Goulburn-Ovens-Murray</w:t>
            </w:r>
          </w:p>
        </w:tc>
        <w:tc>
          <w:tcPr>
            <w:tcW w:w="2126" w:type="dxa"/>
            <w:shd w:val="clear" w:color="auto" w:fill="DEE4EE"/>
            <w:vAlign w:val="center"/>
          </w:tcPr>
          <w:p w:rsidR="00B61847" w:rsidRPr="005E5C54" w:rsidRDefault="00B61847" w:rsidP="005E5C54">
            <w:pPr>
              <w:jc w:val="center"/>
              <w:rPr>
                <w:sz w:val="20"/>
              </w:rPr>
            </w:pPr>
            <w:r w:rsidRPr="005E5C54">
              <w:rPr>
                <w:sz w:val="20"/>
              </w:rPr>
              <w:t>2,039</w:t>
            </w:r>
          </w:p>
        </w:tc>
        <w:tc>
          <w:tcPr>
            <w:tcW w:w="2381" w:type="dxa"/>
            <w:vAlign w:val="center"/>
          </w:tcPr>
          <w:p w:rsidR="00B61847" w:rsidRPr="005E5C54" w:rsidRDefault="00B61847" w:rsidP="005E5C54">
            <w:pPr>
              <w:jc w:val="center"/>
              <w:rPr>
                <w:sz w:val="20"/>
              </w:rPr>
            </w:pPr>
            <w:r w:rsidRPr="005E5C54">
              <w:rPr>
                <w:sz w:val="20"/>
              </w:rPr>
              <w:t>2,199</w:t>
            </w:r>
          </w:p>
        </w:tc>
        <w:tc>
          <w:tcPr>
            <w:tcW w:w="2381" w:type="dxa"/>
            <w:shd w:val="clear" w:color="auto" w:fill="DEE4EE"/>
            <w:vAlign w:val="center"/>
          </w:tcPr>
          <w:p w:rsidR="00B61847" w:rsidRPr="005E5C54" w:rsidRDefault="00B61847" w:rsidP="005E5C54">
            <w:pPr>
              <w:jc w:val="center"/>
              <w:rPr>
                <w:sz w:val="20"/>
              </w:rPr>
            </w:pPr>
            <w:r w:rsidRPr="005E5C54">
              <w:rPr>
                <w:sz w:val="20"/>
              </w:rPr>
              <w:t>-7.3%</w:t>
            </w:r>
          </w:p>
        </w:tc>
      </w:tr>
      <w:tr w:rsidR="00B61847" w:rsidRPr="000051C5" w:rsidTr="005E5C54">
        <w:trPr>
          <w:trHeight w:hRule="exact" w:val="284"/>
        </w:trPr>
        <w:tc>
          <w:tcPr>
            <w:tcW w:w="2802" w:type="dxa"/>
            <w:vAlign w:val="center"/>
          </w:tcPr>
          <w:p w:rsidR="00B61847" w:rsidRPr="00C95655" w:rsidRDefault="00B61847" w:rsidP="00FC2E69">
            <w:pPr>
              <w:pStyle w:val="DHSbodycopytable"/>
              <w:spacing w:after="0"/>
              <w:rPr>
                <w:rFonts w:cs="Arial"/>
                <w:sz w:val="20"/>
              </w:rPr>
            </w:pPr>
            <w:r w:rsidRPr="00C95655">
              <w:rPr>
                <w:rFonts w:cs="Arial"/>
                <w:sz w:val="20"/>
              </w:rPr>
              <w:t>Loddon-Mallee</w:t>
            </w:r>
          </w:p>
        </w:tc>
        <w:tc>
          <w:tcPr>
            <w:tcW w:w="2126" w:type="dxa"/>
            <w:shd w:val="clear" w:color="auto" w:fill="DEE4EE"/>
            <w:vAlign w:val="center"/>
          </w:tcPr>
          <w:p w:rsidR="00B61847" w:rsidRPr="005E5C54" w:rsidRDefault="00B61847" w:rsidP="005E5C54">
            <w:pPr>
              <w:jc w:val="center"/>
              <w:rPr>
                <w:sz w:val="20"/>
              </w:rPr>
            </w:pPr>
            <w:r w:rsidRPr="005E5C54">
              <w:rPr>
                <w:sz w:val="20"/>
              </w:rPr>
              <w:t>1,918</w:t>
            </w:r>
          </w:p>
        </w:tc>
        <w:tc>
          <w:tcPr>
            <w:tcW w:w="2381" w:type="dxa"/>
            <w:vAlign w:val="center"/>
          </w:tcPr>
          <w:p w:rsidR="00B61847" w:rsidRPr="005E5C54" w:rsidRDefault="00B61847" w:rsidP="005E5C54">
            <w:pPr>
              <w:jc w:val="center"/>
              <w:rPr>
                <w:sz w:val="20"/>
              </w:rPr>
            </w:pPr>
            <w:r w:rsidRPr="005E5C54">
              <w:rPr>
                <w:sz w:val="20"/>
              </w:rPr>
              <w:t>2,120</w:t>
            </w:r>
          </w:p>
        </w:tc>
        <w:tc>
          <w:tcPr>
            <w:tcW w:w="2381" w:type="dxa"/>
            <w:shd w:val="clear" w:color="auto" w:fill="DEE4EE"/>
            <w:vAlign w:val="center"/>
          </w:tcPr>
          <w:p w:rsidR="00B61847" w:rsidRPr="005E5C54" w:rsidRDefault="00B61847" w:rsidP="005E5C54">
            <w:pPr>
              <w:jc w:val="center"/>
              <w:rPr>
                <w:sz w:val="20"/>
              </w:rPr>
            </w:pPr>
            <w:r w:rsidRPr="005E5C54">
              <w:rPr>
                <w:sz w:val="20"/>
              </w:rPr>
              <w:t>-9.5%</w:t>
            </w:r>
          </w:p>
        </w:tc>
      </w:tr>
      <w:tr w:rsidR="00B61847" w:rsidRPr="000051C5" w:rsidTr="005E5C54">
        <w:trPr>
          <w:trHeight w:hRule="exact" w:val="284"/>
        </w:trPr>
        <w:tc>
          <w:tcPr>
            <w:tcW w:w="2802" w:type="dxa"/>
            <w:vAlign w:val="center"/>
          </w:tcPr>
          <w:p w:rsidR="00B61847" w:rsidRPr="00C95655" w:rsidRDefault="00B61847" w:rsidP="00FC2E69">
            <w:pPr>
              <w:pStyle w:val="DHSbodycopytable"/>
              <w:spacing w:after="0"/>
              <w:rPr>
                <w:rFonts w:cs="Arial"/>
                <w:sz w:val="20"/>
              </w:rPr>
            </w:pPr>
            <w:r w:rsidRPr="00C95655">
              <w:rPr>
                <w:rFonts w:cs="Arial"/>
                <w:sz w:val="20"/>
              </w:rPr>
              <w:t>Central Highlands-Wimmera</w:t>
            </w:r>
          </w:p>
        </w:tc>
        <w:tc>
          <w:tcPr>
            <w:tcW w:w="2126" w:type="dxa"/>
            <w:shd w:val="clear" w:color="auto" w:fill="DEE4EE"/>
            <w:vAlign w:val="center"/>
          </w:tcPr>
          <w:p w:rsidR="00B61847" w:rsidRPr="005E5C54" w:rsidRDefault="00B61847" w:rsidP="005E5C54">
            <w:pPr>
              <w:jc w:val="center"/>
              <w:rPr>
                <w:sz w:val="20"/>
              </w:rPr>
            </w:pPr>
            <w:r w:rsidRPr="005E5C54">
              <w:rPr>
                <w:sz w:val="20"/>
              </w:rPr>
              <w:t>1,651</w:t>
            </w:r>
          </w:p>
        </w:tc>
        <w:tc>
          <w:tcPr>
            <w:tcW w:w="2381" w:type="dxa"/>
            <w:vAlign w:val="center"/>
          </w:tcPr>
          <w:p w:rsidR="00B61847" w:rsidRPr="005E5C54" w:rsidRDefault="00B61847" w:rsidP="005E5C54">
            <w:pPr>
              <w:jc w:val="center"/>
              <w:rPr>
                <w:sz w:val="20"/>
              </w:rPr>
            </w:pPr>
            <w:r w:rsidRPr="005E5C54">
              <w:rPr>
                <w:sz w:val="20"/>
              </w:rPr>
              <w:t>1,712</w:t>
            </w:r>
          </w:p>
        </w:tc>
        <w:tc>
          <w:tcPr>
            <w:tcW w:w="2381" w:type="dxa"/>
            <w:shd w:val="clear" w:color="auto" w:fill="DEE4EE"/>
            <w:vAlign w:val="center"/>
          </w:tcPr>
          <w:p w:rsidR="00B61847" w:rsidRPr="005E5C54" w:rsidRDefault="00B61847" w:rsidP="005E5C54">
            <w:pPr>
              <w:jc w:val="center"/>
              <w:rPr>
                <w:sz w:val="20"/>
              </w:rPr>
            </w:pPr>
            <w:r w:rsidRPr="005E5C54">
              <w:rPr>
                <w:sz w:val="20"/>
              </w:rPr>
              <w:t>-3.6%</w:t>
            </w:r>
          </w:p>
        </w:tc>
      </w:tr>
    </w:tbl>
    <w:p w:rsidR="00027FDB" w:rsidRPr="00027FDB" w:rsidRDefault="00027FDB" w:rsidP="00027FDB">
      <w:pPr>
        <w:pStyle w:val="DHSbody"/>
        <w:rPr>
          <w:lang w:val="en-US"/>
        </w:rPr>
      </w:pPr>
    </w:p>
    <w:p w:rsidR="0047763C" w:rsidRPr="005A1E70" w:rsidRDefault="0047763C" w:rsidP="005A1E70">
      <w:pPr>
        <w:pStyle w:val="DHSheadingB"/>
        <w:rPr>
          <w:rFonts w:cs="Arial"/>
        </w:rPr>
      </w:pPr>
      <w:r w:rsidRPr="005A1E70">
        <w:rPr>
          <w:rFonts w:cs="Arial"/>
        </w:rPr>
        <w:lastRenderedPageBreak/>
        <w:t>Active Bonds</w:t>
      </w:r>
    </w:p>
    <w:p w:rsidR="0047763C" w:rsidRPr="000F3B39" w:rsidRDefault="0047763C" w:rsidP="001C41EF">
      <w:pPr>
        <w:rPr>
          <w:rFonts w:cs="Arial"/>
          <w:szCs w:val="20"/>
        </w:rPr>
      </w:pPr>
      <w:r w:rsidRPr="000F3B39">
        <w:rPr>
          <w:rFonts w:cs="Arial"/>
          <w:szCs w:val="20"/>
        </w:rPr>
        <w:t xml:space="preserve">The number of active bonds provides an indicator of the total stock of rental housing, based on the total number of bonds held by the RTBA at a given point in time. </w:t>
      </w:r>
    </w:p>
    <w:p w:rsidR="0047763C" w:rsidRPr="000F3B39" w:rsidRDefault="0047763C" w:rsidP="001C41EF">
      <w:pPr>
        <w:rPr>
          <w:rFonts w:cs="Arial"/>
          <w:szCs w:val="20"/>
        </w:rPr>
      </w:pPr>
    </w:p>
    <w:p w:rsidR="0047763C" w:rsidRPr="000F3B39" w:rsidRDefault="0047763C" w:rsidP="001C41EF">
      <w:pPr>
        <w:rPr>
          <w:rFonts w:cs="Arial"/>
          <w:szCs w:val="20"/>
        </w:rPr>
      </w:pPr>
      <w:r w:rsidRPr="000F3B39">
        <w:rPr>
          <w:rFonts w:cs="Arial"/>
          <w:szCs w:val="20"/>
        </w:rPr>
        <w:t xml:space="preserve">At the end of the </w:t>
      </w:r>
      <w:r w:rsidR="004B57AE">
        <w:rPr>
          <w:rFonts w:cs="Arial"/>
          <w:szCs w:val="20"/>
        </w:rPr>
        <w:t>December</w:t>
      </w:r>
      <w:r w:rsidR="003E6F4B">
        <w:rPr>
          <w:rFonts w:cs="Arial"/>
          <w:szCs w:val="20"/>
        </w:rPr>
        <w:t xml:space="preserve"> quarter 201</w:t>
      </w:r>
      <w:r w:rsidR="00190052">
        <w:rPr>
          <w:rFonts w:cs="Arial"/>
          <w:szCs w:val="20"/>
        </w:rPr>
        <w:t>5</w:t>
      </w:r>
      <w:r w:rsidRPr="000F3B39">
        <w:rPr>
          <w:rFonts w:cs="Arial"/>
          <w:szCs w:val="20"/>
        </w:rPr>
        <w:t xml:space="preserve">, the total number of active bonds held in Victoria was </w:t>
      </w:r>
      <w:r w:rsidR="00E54F07" w:rsidRPr="00E54F07">
        <w:rPr>
          <w:rFonts w:cs="Arial"/>
          <w:szCs w:val="20"/>
        </w:rPr>
        <w:t>52</w:t>
      </w:r>
      <w:r w:rsidR="00B64A95">
        <w:rPr>
          <w:rFonts w:cs="Arial"/>
          <w:szCs w:val="20"/>
        </w:rPr>
        <w:t>3,611</w:t>
      </w:r>
      <w:r w:rsidR="003E6F4B" w:rsidRPr="00F36B43">
        <w:rPr>
          <w:rFonts w:cs="Arial"/>
          <w:szCs w:val="20"/>
        </w:rPr>
        <w:t xml:space="preserve">, an increase of </w:t>
      </w:r>
      <w:r w:rsidR="00B64A95">
        <w:rPr>
          <w:rFonts w:cs="Arial"/>
          <w:szCs w:val="20"/>
        </w:rPr>
        <w:t>3.2</w:t>
      </w:r>
      <w:r w:rsidR="003E6F4B">
        <w:rPr>
          <w:rFonts w:cs="Arial"/>
          <w:szCs w:val="20"/>
        </w:rPr>
        <w:t xml:space="preserve"> </w:t>
      </w:r>
      <w:r w:rsidRPr="000F3B39">
        <w:rPr>
          <w:rFonts w:cs="Arial"/>
          <w:szCs w:val="20"/>
        </w:rPr>
        <w:t>per cent on the size of the rental mark</w:t>
      </w:r>
      <w:r w:rsidR="005B7C55">
        <w:rPr>
          <w:rFonts w:cs="Arial"/>
          <w:szCs w:val="20"/>
        </w:rPr>
        <w:t>et over the same quarter of 2014</w:t>
      </w:r>
      <w:r w:rsidRPr="000F3B39">
        <w:rPr>
          <w:rFonts w:cs="Arial"/>
          <w:szCs w:val="20"/>
        </w:rPr>
        <w:t>. The average annual increase in the rental market over the last ten</w:t>
      </w:r>
      <w:r w:rsidR="003E6F4B">
        <w:rPr>
          <w:rFonts w:cs="Arial"/>
          <w:szCs w:val="20"/>
        </w:rPr>
        <w:t xml:space="preserve"> years is </w:t>
      </w:r>
      <w:r w:rsidR="00E54F07">
        <w:rPr>
          <w:rFonts w:cs="Arial"/>
          <w:szCs w:val="20"/>
        </w:rPr>
        <w:t>5.8</w:t>
      </w:r>
      <w:r w:rsidRPr="000F3B39">
        <w:rPr>
          <w:rFonts w:cs="Arial"/>
          <w:szCs w:val="20"/>
        </w:rPr>
        <w:t xml:space="preserve"> per cent. In the </w:t>
      </w:r>
      <w:r w:rsidR="004B57AE">
        <w:rPr>
          <w:rFonts w:cs="Arial"/>
          <w:szCs w:val="20"/>
        </w:rPr>
        <w:t>December</w:t>
      </w:r>
      <w:r w:rsidR="003E6F4B">
        <w:rPr>
          <w:rFonts w:cs="Arial"/>
          <w:szCs w:val="20"/>
        </w:rPr>
        <w:t xml:space="preserve"> quarter 201</w:t>
      </w:r>
      <w:r w:rsidR="005B7C55">
        <w:rPr>
          <w:rFonts w:cs="Arial"/>
          <w:szCs w:val="20"/>
        </w:rPr>
        <w:t>5</w:t>
      </w:r>
      <w:r w:rsidRPr="000F3B39">
        <w:rPr>
          <w:rFonts w:cs="Arial"/>
          <w:szCs w:val="20"/>
        </w:rPr>
        <w:t xml:space="preserve">, the annual increase in active bonds </w:t>
      </w:r>
      <w:r w:rsidR="00AF0C1C">
        <w:rPr>
          <w:rFonts w:cs="Arial"/>
          <w:szCs w:val="20"/>
        </w:rPr>
        <w:t>in metropolitan Melbourne (</w:t>
      </w:r>
      <w:r w:rsidR="00B64A95">
        <w:rPr>
          <w:rFonts w:cs="Arial"/>
          <w:szCs w:val="20"/>
        </w:rPr>
        <w:t>3.7</w:t>
      </w:r>
      <w:r w:rsidR="00DF50F4">
        <w:rPr>
          <w:rFonts w:cs="Arial"/>
          <w:szCs w:val="20"/>
        </w:rPr>
        <w:t>%</w:t>
      </w:r>
      <w:r w:rsidRPr="000F3B39">
        <w:rPr>
          <w:rFonts w:cs="Arial"/>
          <w:szCs w:val="20"/>
        </w:rPr>
        <w:t xml:space="preserve">) continues to be higher than for regional </w:t>
      </w:r>
      <w:r w:rsidR="00AF0C1C">
        <w:rPr>
          <w:rFonts w:cs="Arial"/>
          <w:szCs w:val="20"/>
        </w:rPr>
        <w:t>Victoria (</w:t>
      </w:r>
      <w:r w:rsidR="00B64A95">
        <w:rPr>
          <w:rFonts w:cs="Arial"/>
          <w:szCs w:val="20"/>
        </w:rPr>
        <w:t>1.3</w:t>
      </w:r>
      <w:r w:rsidR="00DF50F4">
        <w:rPr>
          <w:rFonts w:cs="Arial"/>
          <w:szCs w:val="20"/>
        </w:rPr>
        <w:t>%</w:t>
      </w:r>
      <w:r w:rsidRPr="000F3B39">
        <w:rPr>
          <w:rFonts w:cs="Arial"/>
          <w:szCs w:val="20"/>
        </w:rPr>
        <w:t xml:space="preserve">), a trend started in the </w:t>
      </w:r>
      <w:r w:rsidR="005B7C55">
        <w:rPr>
          <w:rFonts w:cs="Arial"/>
          <w:szCs w:val="20"/>
        </w:rPr>
        <w:t>March</w:t>
      </w:r>
      <w:r w:rsidRPr="000F3B39">
        <w:rPr>
          <w:rFonts w:cs="Arial"/>
          <w:szCs w:val="20"/>
        </w:rPr>
        <w:t xml:space="preserve"> quarter 20</w:t>
      </w:r>
      <w:r w:rsidR="005B7C55">
        <w:rPr>
          <w:rFonts w:cs="Arial"/>
          <w:szCs w:val="20"/>
        </w:rPr>
        <w:t>10</w:t>
      </w:r>
      <w:r w:rsidRPr="000F3B39">
        <w:rPr>
          <w:rFonts w:cs="Arial"/>
          <w:szCs w:val="20"/>
        </w:rPr>
        <w:t xml:space="preserve">. </w:t>
      </w:r>
    </w:p>
    <w:p w:rsidR="0047763C" w:rsidRPr="000F3B39" w:rsidRDefault="0047763C" w:rsidP="001C41EF">
      <w:pPr>
        <w:rPr>
          <w:rFonts w:cs="Arial"/>
          <w:szCs w:val="20"/>
        </w:rPr>
      </w:pPr>
    </w:p>
    <w:p w:rsidR="0047763C" w:rsidRDefault="0047763C" w:rsidP="001C41EF">
      <w:pPr>
        <w:rPr>
          <w:rFonts w:cs="Arial"/>
          <w:szCs w:val="20"/>
        </w:rPr>
      </w:pPr>
      <w:r w:rsidRPr="000F3B39">
        <w:rPr>
          <w:rFonts w:cs="Arial"/>
          <w:szCs w:val="20"/>
        </w:rPr>
        <w:t xml:space="preserve">Figure 4 shows trends in active bonds for the past five years. </w:t>
      </w:r>
      <w:r w:rsidR="00DE3C09">
        <w:rPr>
          <w:rFonts w:cs="Arial"/>
          <w:szCs w:val="20"/>
        </w:rPr>
        <w:t>The</w:t>
      </w:r>
      <w:r w:rsidR="00701BAC">
        <w:rPr>
          <w:rFonts w:cs="Arial"/>
          <w:szCs w:val="20"/>
        </w:rPr>
        <w:t xml:space="preserve"> annual</w:t>
      </w:r>
      <w:r w:rsidR="00DE3C09">
        <w:rPr>
          <w:rFonts w:cs="Arial"/>
          <w:szCs w:val="20"/>
        </w:rPr>
        <w:t xml:space="preserve"> increase </w:t>
      </w:r>
      <w:r w:rsidR="00701BAC">
        <w:rPr>
          <w:rFonts w:cs="Arial"/>
          <w:szCs w:val="20"/>
        </w:rPr>
        <w:t>in active bonds continues to reduce from a</w:t>
      </w:r>
      <w:r w:rsidR="00DC76E2">
        <w:rPr>
          <w:rFonts w:cs="Arial"/>
          <w:szCs w:val="20"/>
        </w:rPr>
        <w:t xml:space="preserve"> high of </w:t>
      </w:r>
      <w:r w:rsidR="007D122F">
        <w:rPr>
          <w:rFonts w:cs="Arial"/>
          <w:szCs w:val="20"/>
        </w:rPr>
        <w:t>7.9</w:t>
      </w:r>
      <w:r w:rsidR="00DE3C09" w:rsidRPr="000F3B39">
        <w:rPr>
          <w:rFonts w:cs="Arial"/>
          <w:szCs w:val="20"/>
        </w:rPr>
        <w:t xml:space="preserve"> per cent in the </w:t>
      </w:r>
      <w:r w:rsidR="009766E1">
        <w:rPr>
          <w:rFonts w:cs="Arial"/>
          <w:szCs w:val="20"/>
        </w:rPr>
        <w:t>June</w:t>
      </w:r>
      <w:r w:rsidR="00DE3C09" w:rsidRPr="000F3B39">
        <w:rPr>
          <w:rFonts w:cs="Arial"/>
          <w:szCs w:val="20"/>
        </w:rPr>
        <w:t xml:space="preserve"> quarter 20</w:t>
      </w:r>
      <w:r w:rsidR="009766E1">
        <w:rPr>
          <w:rFonts w:cs="Arial"/>
          <w:szCs w:val="20"/>
        </w:rPr>
        <w:t>12</w:t>
      </w:r>
      <w:r w:rsidR="00DE3C09" w:rsidRPr="000F3B39">
        <w:rPr>
          <w:rFonts w:cs="Arial"/>
          <w:szCs w:val="20"/>
        </w:rPr>
        <w:t xml:space="preserve">. </w:t>
      </w:r>
      <w:r w:rsidRPr="000F3B39">
        <w:rPr>
          <w:rFonts w:cs="Arial"/>
          <w:szCs w:val="20"/>
        </w:rPr>
        <w:t>While the average annual increase in the number active bon</w:t>
      </w:r>
      <w:r w:rsidR="00DE3C09">
        <w:rPr>
          <w:rFonts w:cs="Arial"/>
          <w:szCs w:val="20"/>
        </w:rPr>
        <w:t>ds over the past 10 yea</w:t>
      </w:r>
      <w:r w:rsidR="003E6F4B">
        <w:rPr>
          <w:rFonts w:cs="Arial"/>
          <w:szCs w:val="20"/>
        </w:rPr>
        <w:t xml:space="preserve">rs is </w:t>
      </w:r>
      <w:r w:rsidR="00E54F07">
        <w:rPr>
          <w:rFonts w:cs="Arial"/>
          <w:szCs w:val="20"/>
        </w:rPr>
        <w:t>5.8</w:t>
      </w:r>
      <w:r w:rsidRPr="000F3B39">
        <w:rPr>
          <w:rFonts w:cs="Arial"/>
          <w:szCs w:val="20"/>
        </w:rPr>
        <w:t xml:space="preserve"> per cent, the average increase over the past</w:t>
      </w:r>
      <w:r>
        <w:rPr>
          <w:rFonts w:cs="Arial"/>
          <w:szCs w:val="20"/>
        </w:rPr>
        <w:t xml:space="preserve"> </w:t>
      </w:r>
      <w:r w:rsidR="00701BAC">
        <w:rPr>
          <w:rFonts w:cs="Arial"/>
          <w:szCs w:val="20"/>
        </w:rPr>
        <w:t>two</w:t>
      </w:r>
      <w:r>
        <w:rPr>
          <w:rFonts w:cs="Arial"/>
          <w:szCs w:val="20"/>
        </w:rPr>
        <w:t xml:space="preserve"> years has </w:t>
      </w:r>
      <w:r w:rsidR="003E6F4B">
        <w:rPr>
          <w:rFonts w:cs="Arial"/>
          <w:szCs w:val="20"/>
        </w:rPr>
        <w:t xml:space="preserve">been </w:t>
      </w:r>
      <w:r w:rsidR="00701BAC">
        <w:rPr>
          <w:rFonts w:cs="Arial"/>
          <w:szCs w:val="20"/>
        </w:rPr>
        <w:t>lower</w:t>
      </w:r>
      <w:r w:rsidR="003E6F4B">
        <w:rPr>
          <w:rFonts w:cs="Arial"/>
          <w:szCs w:val="20"/>
        </w:rPr>
        <w:t xml:space="preserve"> (</w:t>
      </w:r>
      <w:r w:rsidR="00B64A95">
        <w:rPr>
          <w:rFonts w:cs="Arial"/>
          <w:szCs w:val="20"/>
        </w:rPr>
        <w:t>4.7</w:t>
      </w:r>
      <w:r w:rsidR="00DF50F4">
        <w:rPr>
          <w:rFonts w:cs="Arial"/>
          <w:szCs w:val="20"/>
        </w:rPr>
        <w:t>%</w:t>
      </w:r>
      <w:r w:rsidRPr="000F3B39">
        <w:rPr>
          <w:rFonts w:cs="Arial"/>
          <w:szCs w:val="20"/>
        </w:rPr>
        <w:t>)</w:t>
      </w:r>
      <w:r w:rsidR="00DE3C09">
        <w:rPr>
          <w:rFonts w:cs="Arial"/>
          <w:szCs w:val="20"/>
        </w:rPr>
        <w:t xml:space="preserve">. </w:t>
      </w:r>
    </w:p>
    <w:p w:rsidR="0047763C" w:rsidRDefault="0047763C" w:rsidP="001C41EF">
      <w:pPr>
        <w:rPr>
          <w:rFonts w:cs="Arial"/>
          <w:szCs w:val="20"/>
        </w:rPr>
      </w:pPr>
    </w:p>
    <w:p w:rsidR="0047763C" w:rsidRDefault="0047763C" w:rsidP="00311485">
      <w:pPr>
        <w:rPr>
          <w:rFonts w:cs="Arial"/>
          <w:szCs w:val="20"/>
        </w:rPr>
      </w:pPr>
      <w:r>
        <w:rPr>
          <w:rFonts w:cs="Arial"/>
          <w:szCs w:val="20"/>
        </w:rPr>
        <w:t xml:space="preserve">Table 14 below </w:t>
      </w:r>
      <w:r w:rsidR="003E6F4B">
        <w:rPr>
          <w:rFonts w:cs="Arial"/>
          <w:szCs w:val="20"/>
        </w:rPr>
        <w:t>shows the number of</w:t>
      </w:r>
      <w:r>
        <w:rPr>
          <w:rFonts w:cs="Arial"/>
          <w:szCs w:val="20"/>
        </w:rPr>
        <w:t xml:space="preserve"> active bonds for each local government area in </w:t>
      </w:r>
      <w:r w:rsidR="004B57AE">
        <w:rPr>
          <w:rFonts w:cs="Arial"/>
          <w:szCs w:val="20"/>
        </w:rPr>
        <w:t>December</w:t>
      </w:r>
      <w:r w:rsidR="003E6F4B">
        <w:rPr>
          <w:rFonts w:cs="Arial"/>
          <w:szCs w:val="20"/>
        </w:rPr>
        <w:t xml:space="preserve"> 201</w:t>
      </w:r>
      <w:r w:rsidR="000B245D">
        <w:rPr>
          <w:rFonts w:cs="Arial"/>
          <w:szCs w:val="20"/>
        </w:rPr>
        <w:t>5</w:t>
      </w:r>
      <w:r w:rsidR="003E6F4B">
        <w:rPr>
          <w:rFonts w:cs="Arial"/>
          <w:szCs w:val="20"/>
        </w:rPr>
        <w:t xml:space="preserve"> and, the change in active bonds in the past twelve months and over the past five years.</w:t>
      </w:r>
      <w:r>
        <w:rPr>
          <w:rFonts w:cs="Arial"/>
          <w:szCs w:val="20"/>
        </w:rPr>
        <w:t xml:space="preserve"> The largest numbers of active bonds in metropolitan Melbourne are in the municipalities of </w:t>
      </w:r>
      <w:r w:rsidR="001C7CF7">
        <w:rPr>
          <w:rFonts w:cs="Arial"/>
          <w:szCs w:val="20"/>
        </w:rPr>
        <w:t>Melbourne (</w:t>
      </w:r>
      <w:r w:rsidR="00DB3767">
        <w:rPr>
          <w:rFonts w:cs="Arial"/>
          <w:szCs w:val="22"/>
          <w:lang w:eastAsia="en-AU"/>
        </w:rPr>
        <w:t>40,203</w:t>
      </w:r>
      <w:r w:rsidR="001C7CF7" w:rsidRPr="00DE3C09">
        <w:rPr>
          <w:rFonts w:cs="Arial"/>
          <w:szCs w:val="20"/>
        </w:rPr>
        <w:t xml:space="preserve"> </w:t>
      </w:r>
      <w:r w:rsidR="00285E5B">
        <w:rPr>
          <w:rFonts w:cs="Arial"/>
          <w:szCs w:val="20"/>
        </w:rPr>
        <w:t xml:space="preserve">- </w:t>
      </w:r>
      <w:r w:rsidR="00E449DD">
        <w:rPr>
          <w:rFonts w:cs="Arial"/>
          <w:szCs w:val="20"/>
        </w:rPr>
        <w:t>9.6</w:t>
      </w:r>
      <w:r w:rsidR="001C7CF7" w:rsidRPr="001C7CF7">
        <w:rPr>
          <w:rFonts w:cs="Arial"/>
          <w:szCs w:val="22"/>
          <w:lang w:eastAsia="en-AU"/>
        </w:rPr>
        <w:t>%</w:t>
      </w:r>
      <w:r w:rsidR="001C7CF7">
        <w:rPr>
          <w:rFonts w:cs="Arial"/>
          <w:szCs w:val="22"/>
          <w:lang w:eastAsia="en-AU"/>
        </w:rPr>
        <w:t xml:space="preserve"> </w:t>
      </w:r>
      <w:r w:rsidR="001C7CF7">
        <w:rPr>
          <w:rFonts w:cs="Arial"/>
          <w:szCs w:val="20"/>
        </w:rPr>
        <w:t xml:space="preserve">of metropolitan Melbourne bonds), </w:t>
      </w:r>
      <w:r w:rsidR="003917B0">
        <w:rPr>
          <w:rFonts w:cs="Arial"/>
          <w:szCs w:val="20"/>
        </w:rPr>
        <w:t>Stonnington (</w:t>
      </w:r>
      <w:r w:rsidR="00DB3767">
        <w:rPr>
          <w:rFonts w:cs="Arial"/>
          <w:szCs w:val="22"/>
          <w:lang w:eastAsia="en-AU"/>
        </w:rPr>
        <w:t>20,947</w:t>
      </w:r>
      <w:r w:rsidR="003917B0" w:rsidRPr="00DE3C09">
        <w:rPr>
          <w:rFonts w:cs="Arial"/>
          <w:szCs w:val="20"/>
        </w:rPr>
        <w:t xml:space="preserve"> </w:t>
      </w:r>
      <w:r w:rsidR="003917B0">
        <w:rPr>
          <w:rFonts w:cs="Arial"/>
          <w:szCs w:val="20"/>
        </w:rPr>
        <w:t>– 5.0%</w:t>
      </w:r>
      <w:r w:rsidR="003917B0">
        <w:t xml:space="preserve">), </w:t>
      </w:r>
      <w:r w:rsidR="001C7CF7">
        <w:rPr>
          <w:rFonts w:cs="Arial"/>
          <w:szCs w:val="20"/>
        </w:rPr>
        <w:t>Port Phillip (</w:t>
      </w:r>
      <w:r w:rsidR="00DB3767">
        <w:rPr>
          <w:rFonts w:cs="Arial"/>
          <w:szCs w:val="22"/>
          <w:lang w:eastAsia="en-AU"/>
        </w:rPr>
        <w:t>20,746</w:t>
      </w:r>
      <w:r w:rsidR="001C7CF7" w:rsidRPr="00DE3C09">
        <w:rPr>
          <w:rFonts w:cs="Arial"/>
          <w:szCs w:val="20"/>
        </w:rPr>
        <w:t xml:space="preserve"> </w:t>
      </w:r>
      <w:r w:rsidR="001C7CF7">
        <w:rPr>
          <w:rFonts w:cs="Arial"/>
          <w:szCs w:val="20"/>
        </w:rPr>
        <w:t xml:space="preserve">– </w:t>
      </w:r>
      <w:r w:rsidR="00C72DE6">
        <w:rPr>
          <w:rFonts w:cs="Arial"/>
          <w:szCs w:val="22"/>
          <w:lang w:eastAsia="en-AU"/>
        </w:rPr>
        <w:t>5.0</w:t>
      </w:r>
      <w:r w:rsidR="001C7CF7" w:rsidRPr="001C7CF7">
        <w:rPr>
          <w:rFonts w:cs="Arial"/>
          <w:szCs w:val="22"/>
          <w:lang w:eastAsia="en-AU"/>
        </w:rPr>
        <w:t>%</w:t>
      </w:r>
      <w:r w:rsidR="001C7CF7">
        <w:rPr>
          <w:rFonts w:cs="Arial"/>
          <w:szCs w:val="22"/>
          <w:lang w:eastAsia="en-AU"/>
        </w:rPr>
        <w:t>)</w:t>
      </w:r>
      <w:r w:rsidR="001C7CF7">
        <w:rPr>
          <w:rFonts w:cs="Arial"/>
          <w:szCs w:val="20"/>
        </w:rPr>
        <w:t xml:space="preserve">, </w:t>
      </w:r>
      <w:r w:rsidR="00C72DE6" w:rsidRPr="00236D79">
        <w:t>Moreland (</w:t>
      </w:r>
      <w:r w:rsidR="00DB3767">
        <w:rPr>
          <w:rFonts w:cs="Arial"/>
          <w:szCs w:val="22"/>
          <w:lang w:eastAsia="en-AU"/>
        </w:rPr>
        <w:t>20,848</w:t>
      </w:r>
      <w:r w:rsidR="00C72DE6" w:rsidRPr="00DE3C09">
        <w:rPr>
          <w:lang w:eastAsia="en-AU"/>
        </w:rPr>
        <w:t xml:space="preserve"> </w:t>
      </w:r>
      <w:r w:rsidR="00C72DE6">
        <w:rPr>
          <w:lang w:eastAsia="en-AU"/>
        </w:rPr>
        <w:t xml:space="preserve">– 5.0%), </w:t>
      </w:r>
      <w:r w:rsidR="001C7CF7">
        <w:rPr>
          <w:lang w:eastAsia="en-AU"/>
        </w:rPr>
        <w:t>Glen Eira (</w:t>
      </w:r>
      <w:r w:rsidR="00DB3767">
        <w:rPr>
          <w:rFonts w:cs="Arial"/>
          <w:szCs w:val="22"/>
          <w:lang w:eastAsia="en-AU"/>
        </w:rPr>
        <w:t>19,141</w:t>
      </w:r>
      <w:r w:rsidR="001C7CF7" w:rsidRPr="00DE3C09">
        <w:rPr>
          <w:lang w:eastAsia="en-AU"/>
        </w:rPr>
        <w:t xml:space="preserve"> </w:t>
      </w:r>
      <w:r w:rsidR="001C7CF7">
        <w:rPr>
          <w:lang w:eastAsia="en-AU"/>
        </w:rPr>
        <w:t xml:space="preserve">– </w:t>
      </w:r>
      <w:r w:rsidR="00E449DD">
        <w:rPr>
          <w:lang w:eastAsia="en-AU"/>
        </w:rPr>
        <w:t>4.6</w:t>
      </w:r>
      <w:r w:rsidR="001C7CF7">
        <w:rPr>
          <w:lang w:eastAsia="en-AU"/>
        </w:rPr>
        <w:t>%), Boroondara (</w:t>
      </w:r>
      <w:r w:rsidR="00DB3767">
        <w:rPr>
          <w:rFonts w:cs="Arial"/>
          <w:szCs w:val="22"/>
          <w:lang w:eastAsia="en-AU"/>
        </w:rPr>
        <w:t>18,367</w:t>
      </w:r>
      <w:r w:rsidR="001C7CF7" w:rsidRPr="00DE3C09">
        <w:rPr>
          <w:lang w:eastAsia="en-AU"/>
        </w:rPr>
        <w:t xml:space="preserve"> </w:t>
      </w:r>
      <w:r w:rsidR="001C7CF7">
        <w:rPr>
          <w:lang w:eastAsia="en-AU"/>
        </w:rPr>
        <w:t>– 4.</w:t>
      </w:r>
      <w:r w:rsidR="00E449DD">
        <w:rPr>
          <w:lang w:eastAsia="en-AU"/>
        </w:rPr>
        <w:t>4</w:t>
      </w:r>
      <w:r w:rsidR="001C7CF7">
        <w:rPr>
          <w:lang w:eastAsia="en-AU"/>
        </w:rPr>
        <w:t>%), Darebin (</w:t>
      </w:r>
      <w:r w:rsidR="00DB3767">
        <w:rPr>
          <w:rFonts w:cs="Arial"/>
          <w:szCs w:val="22"/>
          <w:lang w:eastAsia="en-AU"/>
        </w:rPr>
        <w:t>17,098</w:t>
      </w:r>
      <w:r w:rsidR="001C7CF7">
        <w:rPr>
          <w:rFonts w:cs="Arial"/>
          <w:szCs w:val="22"/>
          <w:lang w:eastAsia="en-AU"/>
        </w:rPr>
        <w:t xml:space="preserve"> </w:t>
      </w:r>
      <w:r w:rsidR="001C7CF7">
        <w:rPr>
          <w:lang w:eastAsia="en-AU"/>
        </w:rPr>
        <w:t>- 4.</w:t>
      </w:r>
      <w:r w:rsidR="00E449DD">
        <w:rPr>
          <w:lang w:eastAsia="en-AU"/>
        </w:rPr>
        <w:t>1</w:t>
      </w:r>
      <w:r w:rsidR="001C7CF7">
        <w:rPr>
          <w:lang w:eastAsia="en-AU"/>
        </w:rPr>
        <w:t>%) and Wyndham (</w:t>
      </w:r>
      <w:r w:rsidR="00DB3767">
        <w:rPr>
          <w:lang w:eastAsia="en-AU"/>
        </w:rPr>
        <w:t>16,980</w:t>
      </w:r>
      <w:r w:rsidR="001C7CF7">
        <w:rPr>
          <w:rFonts w:cs="Arial"/>
          <w:szCs w:val="22"/>
          <w:lang w:eastAsia="en-AU"/>
        </w:rPr>
        <w:t xml:space="preserve"> - </w:t>
      </w:r>
      <w:r w:rsidR="00DB3767">
        <w:rPr>
          <w:rFonts w:cs="Arial"/>
          <w:szCs w:val="22"/>
          <w:lang w:eastAsia="en-AU"/>
        </w:rPr>
        <w:t>4.1</w:t>
      </w:r>
      <w:r w:rsidR="001C7CF7" w:rsidRPr="001C7CF7">
        <w:rPr>
          <w:rFonts w:cs="Arial"/>
          <w:szCs w:val="22"/>
          <w:lang w:eastAsia="en-AU"/>
        </w:rPr>
        <w:t>%</w:t>
      </w:r>
      <w:r w:rsidR="001C7CF7">
        <w:rPr>
          <w:rFonts w:cs="Arial"/>
          <w:szCs w:val="22"/>
          <w:lang w:eastAsia="en-AU"/>
        </w:rPr>
        <w:t>).</w:t>
      </w:r>
      <w:r w:rsidR="00311485">
        <w:rPr>
          <w:rFonts w:cs="Arial"/>
          <w:szCs w:val="22"/>
          <w:lang w:eastAsia="en-AU"/>
        </w:rPr>
        <w:t xml:space="preserve"> </w:t>
      </w:r>
      <w:r>
        <w:rPr>
          <w:rFonts w:cs="Arial"/>
          <w:szCs w:val="20"/>
        </w:rPr>
        <w:t xml:space="preserve">Over the five year period to </w:t>
      </w:r>
      <w:r w:rsidR="004B57AE">
        <w:rPr>
          <w:rFonts w:cs="Arial"/>
          <w:szCs w:val="20"/>
        </w:rPr>
        <w:t>December</w:t>
      </w:r>
      <w:r>
        <w:rPr>
          <w:rFonts w:cs="Arial"/>
          <w:szCs w:val="20"/>
        </w:rPr>
        <w:t xml:space="preserve"> 20</w:t>
      </w:r>
      <w:r w:rsidR="00E449DD">
        <w:rPr>
          <w:rFonts w:cs="Arial"/>
          <w:szCs w:val="20"/>
        </w:rPr>
        <w:t>15</w:t>
      </w:r>
      <w:r>
        <w:rPr>
          <w:rFonts w:cs="Arial"/>
          <w:szCs w:val="20"/>
        </w:rPr>
        <w:t>, the highest increases have been in municipalities on the fringe of me</w:t>
      </w:r>
      <w:r w:rsidR="001E2251">
        <w:rPr>
          <w:rFonts w:cs="Arial"/>
          <w:szCs w:val="20"/>
        </w:rPr>
        <w:t xml:space="preserve">tropolitan Melbourne in </w:t>
      </w:r>
      <w:r w:rsidR="00E449DD">
        <w:rPr>
          <w:rFonts w:cs="Arial"/>
          <w:szCs w:val="20"/>
        </w:rPr>
        <w:t>Nillumbik</w:t>
      </w:r>
      <w:r w:rsidR="00A30B18">
        <w:rPr>
          <w:rFonts w:cs="Arial"/>
          <w:szCs w:val="20"/>
        </w:rPr>
        <w:t xml:space="preserve"> </w:t>
      </w:r>
      <w:r w:rsidR="003917B0">
        <w:rPr>
          <w:rFonts w:cs="Arial"/>
          <w:szCs w:val="22"/>
          <w:lang w:eastAsia="en-AU"/>
        </w:rPr>
        <w:t>8</w:t>
      </w:r>
      <w:r w:rsidR="00DB3767">
        <w:rPr>
          <w:rFonts w:cs="Arial"/>
          <w:szCs w:val="22"/>
          <w:lang w:eastAsia="en-AU"/>
        </w:rPr>
        <w:t>0</w:t>
      </w:r>
      <w:r w:rsidR="003917B0">
        <w:rPr>
          <w:rFonts w:cs="Arial"/>
          <w:szCs w:val="22"/>
          <w:lang w:eastAsia="en-AU"/>
        </w:rPr>
        <w:t>.8</w:t>
      </w:r>
      <w:r w:rsidR="001C7CF7" w:rsidRPr="001C7CF7">
        <w:rPr>
          <w:rFonts w:cs="Arial"/>
          <w:szCs w:val="22"/>
          <w:lang w:eastAsia="en-AU"/>
        </w:rPr>
        <w:t>%</w:t>
      </w:r>
      <w:r w:rsidR="001E2251">
        <w:rPr>
          <w:rFonts w:cs="Arial"/>
          <w:szCs w:val="22"/>
          <w:lang w:eastAsia="en-AU"/>
        </w:rPr>
        <w:t>,</w:t>
      </w:r>
      <w:r w:rsidR="00A30B18">
        <w:rPr>
          <w:rFonts w:cs="Arial"/>
          <w:szCs w:val="20"/>
        </w:rPr>
        <w:t xml:space="preserve"> </w:t>
      </w:r>
      <w:r w:rsidR="00DB3767">
        <w:rPr>
          <w:rFonts w:cs="Arial"/>
          <w:szCs w:val="22"/>
          <w:lang w:eastAsia="en-AU"/>
        </w:rPr>
        <w:t>Hume 61.7%,</w:t>
      </w:r>
      <w:r w:rsidR="008D3E97">
        <w:rPr>
          <w:rFonts w:cs="Arial"/>
          <w:szCs w:val="22"/>
          <w:lang w:eastAsia="en-AU"/>
        </w:rPr>
        <w:t xml:space="preserve"> </w:t>
      </w:r>
      <w:r w:rsidR="00E449DD">
        <w:rPr>
          <w:rFonts w:cs="Arial"/>
          <w:szCs w:val="20"/>
        </w:rPr>
        <w:t>Melton</w:t>
      </w:r>
      <w:r w:rsidR="00A30B18">
        <w:rPr>
          <w:rFonts w:cs="Arial"/>
          <w:szCs w:val="20"/>
        </w:rPr>
        <w:t xml:space="preserve"> </w:t>
      </w:r>
      <w:r w:rsidR="00DB3767">
        <w:rPr>
          <w:rFonts w:cs="Arial"/>
          <w:szCs w:val="20"/>
        </w:rPr>
        <w:t>61.5</w:t>
      </w:r>
      <w:r w:rsidR="001C7CF7" w:rsidRPr="001C7CF7">
        <w:rPr>
          <w:rFonts w:cs="Arial"/>
          <w:szCs w:val="22"/>
          <w:lang w:eastAsia="en-AU"/>
        </w:rPr>
        <w:t>%</w:t>
      </w:r>
      <w:r w:rsidR="001E2251">
        <w:rPr>
          <w:rFonts w:cs="Arial"/>
          <w:szCs w:val="22"/>
          <w:lang w:eastAsia="en-AU"/>
        </w:rPr>
        <w:t>,</w:t>
      </w:r>
      <w:r w:rsidR="00A30B18">
        <w:rPr>
          <w:rFonts w:cs="Arial"/>
          <w:szCs w:val="20"/>
        </w:rPr>
        <w:t xml:space="preserve"> </w:t>
      </w:r>
      <w:r w:rsidR="00DB3767">
        <w:rPr>
          <w:rFonts w:cs="Arial"/>
          <w:szCs w:val="22"/>
          <w:lang w:eastAsia="en-AU"/>
        </w:rPr>
        <w:t>Whittlesea 61.2</w:t>
      </w:r>
      <w:r w:rsidR="003917B0">
        <w:rPr>
          <w:rFonts w:cs="Arial"/>
          <w:szCs w:val="22"/>
          <w:lang w:eastAsia="en-AU"/>
        </w:rPr>
        <w:t xml:space="preserve">%, </w:t>
      </w:r>
      <w:r w:rsidR="00DB3767">
        <w:rPr>
          <w:rFonts w:cs="Arial"/>
          <w:szCs w:val="20"/>
        </w:rPr>
        <w:t>Wyndham 59.2</w:t>
      </w:r>
      <w:r w:rsidR="003917B0" w:rsidRPr="001C7CF7">
        <w:rPr>
          <w:rFonts w:cs="Arial"/>
          <w:szCs w:val="22"/>
          <w:lang w:eastAsia="en-AU"/>
        </w:rPr>
        <w:t>%</w:t>
      </w:r>
      <w:r w:rsidR="003917B0">
        <w:rPr>
          <w:rFonts w:cs="Arial"/>
          <w:szCs w:val="22"/>
          <w:lang w:eastAsia="en-AU"/>
        </w:rPr>
        <w:t xml:space="preserve"> </w:t>
      </w:r>
      <w:r w:rsidR="00C72DE6">
        <w:rPr>
          <w:rFonts w:cs="Arial"/>
          <w:szCs w:val="20"/>
        </w:rPr>
        <w:t xml:space="preserve">and </w:t>
      </w:r>
      <w:r w:rsidR="00E449DD">
        <w:rPr>
          <w:rFonts w:cs="Arial"/>
          <w:szCs w:val="20"/>
        </w:rPr>
        <w:t>Cardinia</w:t>
      </w:r>
      <w:r w:rsidR="00A30B18">
        <w:rPr>
          <w:rFonts w:cs="Arial"/>
          <w:szCs w:val="20"/>
        </w:rPr>
        <w:t xml:space="preserve"> </w:t>
      </w:r>
      <w:r w:rsidR="00DB3767">
        <w:rPr>
          <w:rFonts w:cs="Arial"/>
          <w:szCs w:val="22"/>
          <w:lang w:eastAsia="en-AU"/>
        </w:rPr>
        <w:t>58.5</w:t>
      </w:r>
      <w:r w:rsidR="001C7CF7" w:rsidRPr="001C7CF7">
        <w:rPr>
          <w:rFonts w:cs="Arial"/>
          <w:szCs w:val="22"/>
          <w:lang w:eastAsia="en-AU"/>
        </w:rPr>
        <w:t>%</w:t>
      </w:r>
      <w:r w:rsidR="00C72DE6">
        <w:rPr>
          <w:rFonts w:cs="Arial"/>
          <w:szCs w:val="22"/>
          <w:lang w:eastAsia="en-AU"/>
        </w:rPr>
        <w:t xml:space="preserve">; </w:t>
      </w:r>
      <w:r w:rsidR="008C51DD">
        <w:rPr>
          <w:rFonts w:cs="Arial"/>
          <w:szCs w:val="20"/>
        </w:rPr>
        <w:t xml:space="preserve">the lowest increases have been in the municipalities of </w:t>
      </w:r>
      <w:r w:rsidR="008C51DD" w:rsidRPr="008C51DD">
        <w:rPr>
          <w:rFonts w:cs="Arial"/>
          <w:szCs w:val="20"/>
        </w:rPr>
        <w:t>Port Phillip</w:t>
      </w:r>
      <w:r w:rsidR="008C51DD">
        <w:rPr>
          <w:rFonts w:cs="Arial"/>
          <w:szCs w:val="20"/>
        </w:rPr>
        <w:t xml:space="preserve"> (</w:t>
      </w:r>
      <w:r w:rsidR="005D78C3">
        <w:rPr>
          <w:rFonts w:cs="Arial"/>
          <w:szCs w:val="22"/>
          <w:lang w:eastAsia="en-AU"/>
        </w:rPr>
        <w:t>9.5</w:t>
      </w:r>
      <w:r w:rsidR="001C7CF7" w:rsidRPr="001C7CF7">
        <w:rPr>
          <w:rFonts w:cs="Arial"/>
          <w:szCs w:val="22"/>
          <w:lang w:eastAsia="en-AU"/>
        </w:rPr>
        <w:t>%</w:t>
      </w:r>
      <w:r w:rsidR="001C7CF7">
        <w:rPr>
          <w:rFonts w:cs="Arial"/>
          <w:szCs w:val="22"/>
          <w:lang w:eastAsia="en-AU"/>
        </w:rPr>
        <w:t>)</w:t>
      </w:r>
      <w:r w:rsidR="008C51DD">
        <w:rPr>
          <w:rFonts w:cs="Arial"/>
          <w:szCs w:val="20"/>
        </w:rPr>
        <w:t xml:space="preserve">, </w:t>
      </w:r>
      <w:r w:rsidR="001C7CF7">
        <w:rPr>
          <w:rFonts w:cs="Arial"/>
          <w:szCs w:val="20"/>
        </w:rPr>
        <w:t xml:space="preserve">Yarra </w:t>
      </w:r>
      <w:r w:rsidR="00D16CF9">
        <w:rPr>
          <w:rFonts w:cs="Arial"/>
          <w:szCs w:val="20"/>
        </w:rPr>
        <w:t>Ranges</w:t>
      </w:r>
      <w:r w:rsidR="00BF4DA6">
        <w:rPr>
          <w:rFonts w:cs="Arial"/>
          <w:szCs w:val="20"/>
        </w:rPr>
        <w:t xml:space="preserve"> </w:t>
      </w:r>
      <w:r w:rsidR="001C7CF7">
        <w:rPr>
          <w:rFonts w:cs="Arial"/>
          <w:szCs w:val="20"/>
        </w:rPr>
        <w:t>(</w:t>
      </w:r>
      <w:r w:rsidR="005D78C3">
        <w:rPr>
          <w:rFonts w:cs="Arial"/>
          <w:szCs w:val="20"/>
        </w:rPr>
        <w:t>15.4</w:t>
      </w:r>
      <w:r w:rsidR="001C7CF7">
        <w:rPr>
          <w:rFonts w:cs="Arial"/>
          <w:szCs w:val="20"/>
        </w:rPr>
        <w:t xml:space="preserve">%), </w:t>
      </w:r>
      <w:r w:rsidR="008C51DD" w:rsidRPr="008C51DD">
        <w:rPr>
          <w:rFonts w:cs="Arial"/>
          <w:szCs w:val="20"/>
        </w:rPr>
        <w:t>Hobsons Bay</w:t>
      </w:r>
      <w:r w:rsidR="005D78C3">
        <w:rPr>
          <w:rFonts w:cs="Arial"/>
          <w:szCs w:val="20"/>
        </w:rPr>
        <w:t xml:space="preserve"> (19.8</w:t>
      </w:r>
      <w:r w:rsidR="00BF4DA6">
        <w:rPr>
          <w:rFonts w:cs="Arial"/>
          <w:szCs w:val="20"/>
        </w:rPr>
        <w:t>%)</w:t>
      </w:r>
      <w:r w:rsidR="001C7CF7">
        <w:rPr>
          <w:rFonts w:cs="Arial"/>
          <w:szCs w:val="20"/>
        </w:rPr>
        <w:t xml:space="preserve">, </w:t>
      </w:r>
      <w:r w:rsidR="00D16CF9">
        <w:rPr>
          <w:rFonts w:cs="Arial"/>
          <w:szCs w:val="20"/>
        </w:rPr>
        <w:t>Mornington Peninsula</w:t>
      </w:r>
      <w:r w:rsidR="001C7CF7">
        <w:rPr>
          <w:rFonts w:cs="Arial"/>
          <w:szCs w:val="20"/>
        </w:rPr>
        <w:t xml:space="preserve"> (2</w:t>
      </w:r>
      <w:r w:rsidR="003917B0">
        <w:rPr>
          <w:rFonts w:cs="Arial"/>
          <w:szCs w:val="20"/>
        </w:rPr>
        <w:t>1.4</w:t>
      </w:r>
      <w:r w:rsidR="008C51DD">
        <w:rPr>
          <w:rFonts w:cs="Arial"/>
          <w:szCs w:val="20"/>
        </w:rPr>
        <w:t xml:space="preserve">%), </w:t>
      </w:r>
      <w:r w:rsidR="005D78C3">
        <w:rPr>
          <w:rFonts w:cs="Arial"/>
          <w:szCs w:val="20"/>
        </w:rPr>
        <w:t>Monash (21.7</w:t>
      </w:r>
      <w:r w:rsidR="003917B0">
        <w:rPr>
          <w:rFonts w:cs="Arial"/>
          <w:szCs w:val="20"/>
        </w:rPr>
        <w:t xml:space="preserve">%), </w:t>
      </w:r>
      <w:r w:rsidR="005D78C3" w:rsidRPr="003917B0">
        <w:rPr>
          <w:rFonts w:cs="Arial"/>
          <w:szCs w:val="20"/>
        </w:rPr>
        <w:t>Glen Eira</w:t>
      </w:r>
      <w:r w:rsidR="005D78C3">
        <w:rPr>
          <w:rFonts w:cs="Arial"/>
          <w:szCs w:val="20"/>
        </w:rPr>
        <w:t xml:space="preserve"> (22.2%), Frankston (22.5%) and </w:t>
      </w:r>
      <w:r w:rsidR="00D16CF9">
        <w:rPr>
          <w:rFonts w:cs="Arial"/>
          <w:szCs w:val="20"/>
        </w:rPr>
        <w:t>Boroondara</w:t>
      </w:r>
      <w:r w:rsidR="001C7CF7">
        <w:rPr>
          <w:rFonts w:cs="Arial"/>
          <w:szCs w:val="20"/>
        </w:rPr>
        <w:t xml:space="preserve"> (2</w:t>
      </w:r>
      <w:r w:rsidR="005D78C3">
        <w:rPr>
          <w:rFonts w:cs="Arial"/>
          <w:szCs w:val="20"/>
        </w:rPr>
        <w:t>3.1</w:t>
      </w:r>
      <w:r w:rsidR="00BF4DA6">
        <w:rPr>
          <w:rFonts w:cs="Arial"/>
          <w:szCs w:val="20"/>
        </w:rPr>
        <w:t>%)</w:t>
      </w:r>
      <w:r w:rsidR="006E7936">
        <w:rPr>
          <w:rFonts w:cs="Arial"/>
          <w:szCs w:val="20"/>
        </w:rPr>
        <w:t>.</w:t>
      </w:r>
    </w:p>
    <w:p w:rsidR="00311485" w:rsidRDefault="00311485" w:rsidP="00311485">
      <w:pPr>
        <w:rPr>
          <w:rFonts w:cs="Arial"/>
          <w:szCs w:val="20"/>
        </w:rPr>
      </w:pPr>
    </w:p>
    <w:p w:rsidR="0047763C" w:rsidRPr="000F3B39" w:rsidRDefault="0047763C" w:rsidP="001C41EF">
      <w:pPr>
        <w:rPr>
          <w:rFonts w:cs="Arial"/>
          <w:szCs w:val="20"/>
        </w:rPr>
      </w:pPr>
      <w:r>
        <w:rPr>
          <w:rFonts w:cs="Arial"/>
          <w:szCs w:val="20"/>
        </w:rPr>
        <w:t>The largest numbers of active bonds in regional Victoria are in the municipalities of Greater Geelong (</w:t>
      </w:r>
      <w:r w:rsidR="005D78C3">
        <w:rPr>
          <w:rFonts w:cs="Arial"/>
          <w:szCs w:val="22"/>
          <w:lang w:eastAsia="en-AU"/>
        </w:rPr>
        <w:t>19,851</w:t>
      </w:r>
      <w:r w:rsidR="00311485">
        <w:rPr>
          <w:rFonts w:cs="Arial"/>
          <w:szCs w:val="20"/>
        </w:rPr>
        <w:t xml:space="preserve"> – 1</w:t>
      </w:r>
      <w:r w:rsidR="005D78C3">
        <w:rPr>
          <w:rFonts w:cs="Arial"/>
          <w:szCs w:val="20"/>
        </w:rPr>
        <w:t>8.9</w:t>
      </w:r>
      <w:r w:rsidR="00A30B18">
        <w:rPr>
          <w:rFonts w:cs="Arial"/>
          <w:szCs w:val="20"/>
        </w:rPr>
        <w:t>%</w:t>
      </w:r>
      <w:r>
        <w:rPr>
          <w:rFonts w:cs="Arial"/>
          <w:szCs w:val="20"/>
        </w:rPr>
        <w:t xml:space="preserve"> of regional Victoria bonds), Ballarat (</w:t>
      </w:r>
      <w:r w:rsidR="005D78C3">
        <w:rPr>
          <w:rFonts w:cs="Arial"/>
          <w:szCs w:val="22"/>
          <w:lang w:eastAsia="en-AU"/>
        </w:rPr>
        <w:t>10,134</w:t>
      </w:r>
      <w:r w:rsidR="00A30B18" w:rsidRPr="00A30B18">
        <w:rPr>
          <w:rFonts w:cs="Arial"/>
          <w:szCs w:val="20"/>
        </w:rPr>
        <w:t xml:space="preserve"> </w:t>
      </w:r>
      <w:r w:rsidR="00311485">
        <w:rPr>
          <w:rFonts w:cs="Arial"/>
          <w:szCs w:val="20"/>
        </w:rPr>
        <w:t xml:space="preserve">– </w:t>
      </w:r>
      <w:r w:rsidR="006E7936">
        <w:rPr>
          <w:rFonts w:cs="Arial"/>
          <w:szCs w:val="20"/>
        </w:rPr>
        <w:t>9.6</w:t>
      </w:r>
      <w:r w:rsidR="00A30B18">
        <w:rPr>
          <w:rFonts w:cs="Arial"/>
          <w:szCs w:val="20"/>
        </w:rPr>
        <w:t>%</w:t>
      </w:r>
      <w:r>
        <w:rPr>
          <w:rFonts w:cs="Arial"/>
          <w:szCs w:val="20"/>
        </w:rPr>
        <w:t>), Greater Bendigo (</w:t>
      </w:r>
      <w:r w:rsidR="005D78C3">
        <w:rPr>
          <w:rFonts w:cs="Arial"/>
          <w:szCs w:val="22"/>
          <w:lang w:eastAsia="en-AU"/>
        </w:rPr>
        <w:t>9,540</w:t>
      </w:r>
      <w:r w:rsidR="00A30B18" w:rsidRPr="00A30B18">
        <w:rPr>
          <w:rFonts w:cs="Arial"/>
          <w:szCs w:val="20"/>
        </w:rPr>
        <w:t xml:space="preserve"> </w:t>
      </w:r>
      <w:r w:rsidR="00311485">
        <w:rPr>
          <w:rFonts w:cs="Arial"/>
          <w:szCs w:val="20"/>
        </w:rPr>
        <w:t xml:space="preserve">– </w:t>
      </w:r>
      <w:r w:rsidR="007A59DE">
        <w:rPr>
          <w:rFonts w:cs="Arial"/>
          <w:szCs w:val="20"/>
        </w:rPr>
        <w:t>9.1</w:t>
      </w:r>
      <w:r w:rsidR="005E609F">
        <w:rPr>
          <w:rFonts w:cs="Arial"/>
          <w:szCs w:val="20"/>
        </w:rPr>
        <w:t>%</w:t>
      </w:r>
      <w:r>
        <w:rPr>
          <w:rFonts w:cs="Arial"/>
          <w:szCs w:val="20"/>
        </w:rPr>
        <w:t>), Latrobe (</w:t>
      </w:r>
      <w:r w:rsidR="005D78C3">
        <w:rPr>
          <w:rFonts w:cs="Arial"/>
          <w:szCs w:val="22"/>
          <w:lang w:eastAsia="en-AU"/>
        </w:rPr>
        <w:t>5,859</w:t>
      </w:r>
      <w:r w:rsidR="00A30B18" w:rsidRPr="00A30B18">
        <w:rPr>
          <w:rFonts w:cs="Arial"/>
          <w:szCs w:val="20"/>
        </w:rPr>
        <w:t xml:space="preserve"> </w:t>
      </w:r>
      <w:r w:rsidR="00A30B18">
        <w:rPr>
          <w:rFonts w:cs="Arial"/>
          <w:szCs w:val="20"/>
        </w:rPr>
        <w:t xml:space="preserve">– </w:t>
      </w:r>
      <w:r w:rsidR="003D65FF">
        <w:rPr>
          <w:rFonts w:cs="Arial"/>
          <w:szCs w:val="20"/>
        </w:rPr>
        <w:t>5.6</w:t>
      </w:r>
      <w:r w:rsidR="00A30B18">
        <w:rPr>
          <w:rFonts w:cs="Arial"/>
          <w:szCs w:val="20"/>
        </w:rPr>
        <w:t>%</w:t>
      </w:r>
      <w:r>
        <w:rPr>
          <w:rFonts w:cs="Arial"/>
          <w:szCs w:val="20"/>
        </w:rPr>
        <w:t>), Greater Shepparton (</w:t>
      </w:r>
      <w:r w:rsidR="005D78C3">
        <w:rPr>
          <w:rFonts w:cs="Arial"/>
          <w:szCs w:val="20"/>
        </w:rPr>
        <w:t>5,028</w:t>
      </w:r>
      <w:r w:rsidR="00A30B18" w:rsidRPr="00A30B18">
        <w:rPr>
          <w:rFonts w:cs="Arial"/>
          <w:szCs w:val="20"/>
        </w:rPr>
        <w:t xml:space="preserve"> </w:t>
      </w:r>
      <w:r w:rsidR="00A30B18">
        <w:rPr>
          <w:rFonts w:cs="Arial"/>
          <w:szCs w:val="20"/>
        </w:rPr>
        <w:t xml:space="preserve">– </w:t>
      </w:r>
      <w:r w:rsidR="003D65FF">
        <w:rPr>
          <w:rFonts w:cs="Arial"/>
          <w:szCs w:val="20"/>
        </w:rPr>
        <w:t>4.8</w:t>
      </w:r>
      <w:r w:rsidR="00A30B18">
        <w:rPr>
          <w:rFonts w:cs="Arial"/>
          <w:szCs w:val="20"/>
        </w:rPr>
        <w:t>%</w:t>
      </w:r>
      <w:r>
        <w:rPr>
          <w:rFonts w:cs="Arial"/>
          <w:szCs w:val="20"/>
        </w:rPr>
        <w:t>) and Mildura (</w:t>
      </w:r>
      <w:r w:rsidR="00311485" w:rsidRPr="00311485">
        <w:rPr>
          <w:rFonts w:cs="Arial"/>
          <w:szCs w:val="22"/>
          <w:lang w:eastAsia="en-AU"/>
        </w:rPr>
        <w:t>4,</w:t>
      </w:r>
      <w:r w:rsidR="005D78C3">
        <w:rPr>
          <w:rFonts w:cs="Arial"/>
          <w:szCs w:val="22"/>
          <w:lang w:eastAsia="en-AU"/>
        </w:rPr>
        <w:t>603</w:t>
      </w:r>
      <w:r w:rsidR="00A30B18" w:rsidRPr="00A30B18">
        <w:rPr>
          <w:rFonts w:cs="Arial"/>
          <w:szCs w:val="20"/>
        </w:rPr>
        <w:t xml:space="preserve"> </w:t>
      </w:r>
      <w:r w:rsidR="003D65FF">
        <w:rPr>
          <w:rFonts w:cs="Arial"/>
          <w:szCs w:val="20"/>
        </w:rPr>
        <w:t>– 4.4</w:t>
      </w:r>
      <w:r w:rsidR="00A30B18">
        <w:rPr>
          <w:rFonts w:cs="Arial"/>
          <w:szCs w:val="20"/>
        </w:rPr>
        <w:t>%</w:t>
      </w:r>
      <w:r>
        <w:rPr>
          <w:rFonts w:cs="Arial"/>
          <w:szCs w:val="20"/>
        </w:rPr>
        <w:t>). Over the past five years, the highest increases have been in the munic</w:t>
      </w:r>
      <w:r w:rsidR="00A30B18">
        <w:rPr>
          <w:rFonts w:cs="Arial"/>
          <w:szCs w:val="20"/>
        </w:rPr>
        <w:t xml:space="preserve">ipalities of </w:t>
      </w:r>
      <w:r w:rsidR="00793469">
        <w:rPr>
          <w:rFonts w:cs="Arial"/>
          <w:szCs w:val="20"/>
        </w:rPr>
        <w:t>Moorabool</w:t>
      </w:r>
      <w:r w:rsidR="00A30B18">
        <w:rPr>
          <w:rFonts w:cs="Arial"/>
          <w:szCs w:val="20"/>
        </w:rPr>
        <w:t xml:space="preserve"> (</w:t>
      </w:r>
      <w:r w:rsidR="005D78C3">
        <w:rPr>
          <w:rFonts w:cs="Arial"/>
          <w:szCs w:val="22"/>
          <w:lang w:eastAsia="en-AU"/>
        </w:rPr>
        <w:t>53.3</w:t>
      </w:r>
      <w:r w:rsidR="005823FC" w:rsidRPr="005823FC">
        <w:rPr>
          <w:rFonts w:cs="Arial"/>
          <w:szCs w:val="22"/>
          <w:lang w:eastAsia="en-AU"/>
        </w:rPr>
        <w:t>%</w:t>
      </w:r>
      <w:r>
        <w:rPr>
          <w:rFonts w:cs="Arial"/>
          <w:szCs w:val="20"/>
        </w:rPr>
        <w:t xml:space="preserve">), </w:t>
      </w:r>
      <w:r w:rsidR="005D78C3">
        <w:rPr>
          <w:rFonts w:cs="Arial"/>
          <w:szCs w:val="20"/>
        </w:rPr>
        <w:t>Mitchell (48.2</w:t>
      </w:r>
      <w:r w:rsidR="005D78C3" w:rsidRPr="005823FC">
        <w:rPr>
          <w:rFonts w:cs="Arial"/>
          <w:szCs w:val="22"/>
          <w:lang w:eastAsia="en-AU"/>
        </w:rPr>
        <w:t>%</w:t>
      </w:r>
      <w:r w:rsidR="005D78C3">
        <w:rPr>
          <w:rFonts w:cs="Arial"/>
          <w:szCs w:val="20"/>
        </w:rPr>
        <w:t xml:space="preserve">), </w:t>
      </w:r>
      <w:r w:rsidR="00793469">
        <w:rPr>
          <w:rFonts w:cs="Arial"/>
          <w:szCs w:val="20"/>
        </w:rPr>
        <w:t>Pyrenees</w:t>
      </w:r>
      <w:r w:rsidR="00FF2CA0">
        <w:rPr>
          <w:rFonts w:cs="Arial"/>
          <w:szCs w:val="20"/>
        </w:rPr>
        <w:t xml:space="preserve"> (</w:t>
      </w:r>
      <w:r w:rsidR="005D78C3">
        <w:rPr>
          <w:rFonts w:cs="Arial"/>
          <w:szCs w:val="22"/>
          <w:lang w:eastAsia="en-AU"/>
        </w:rPr>
        <w:t>41.1</w:t>
      </w:r>
      <w:r w:rsidR="005823FC" w:rsidRPr="005823FC">
        <w:rPr>
          <w:rFonts w:cs="Arial"/>
          <w:szCs w:val="22"/>
          <w:lang w:eastAsia="en-AU"/>
        </w:rPr>
        <w:t>%</w:t>
      </w:r>
      <w:r w:rsidR="00FF2CA0">
        <w:rPr>
          <w:rFonts w:cs="Arial"/>
          <w:szCs w:val="20"/>
        </w:rPr>
        <w:t xml:space="preserve">), </w:t>
      </w:r>
      <w:r w:rsidR="00793469">
        <w:rPr>
          <w:rFonts w:cs="Arial"/>
          <w:szCs w:val="22"/>
          <w:lang w:eastAsia="en-AU"/>
        </w:rPr>
        <w:t xml:space="preserve">Baw </w:t>
      </w:r>
      <w:proofErr w:type="spellStart"/>
      <w:r w:rsidR="00793469">
        <w:rPr>
          <w:rFonts w:cs="Arial"/>
          <w:szCs w:val="22"/>
          <w:lang w:eastAsia="en-AU"/>
        </w:rPr>
        <w:t>Baw</w:t>
      </w:r>
      <w:proofErr w:type="spellEnd"/>
      <w:r w:rsidR="005823FC">
        <w:rPr>
          <w:rFonts w:cs="Arial"/>
          <w:szCs w:val="20"/>
        </w:rPr>
        <w:t xml:space="preserve"> (</w:t>
      </w:r>
      <w:r w:rsidR="005D78C3">
        <w:rPr>
          <w:rFonts w:cs="Arial"/>
          <w:szCs w:val="20"/>
        </w:rPr>
        <w:t>41.0</w:t>
      </w:r>
      <w:r w:rsidR="005823FC" w:rsidRPr="005823FC">
        <w:rPr>
          <w:rFonts w:cs="Arial"/>
          <w:szCs w:val="22"/>
          <w:lang w:eastAsia="en-AU"/>
        </w:rPr>
        <w:t>%</w:t>
      </w:r>
      <w:r w:rsidR="005823FC">
        <w:rPr>
          <w:rFonts w:cs="Arial"/>
          <w:szCs w:val="22"/>
          <w:lang w:eastAsia="en-AU"/>
        </w:rPr>
        <w:t>)</w:t>
      </w:r>
      <w:r w:rsidR="007A59DE">
        <w:rPr>
          <w:rFonts w:cs="Arial"/>
          <w:szCs w:val="22"/>
          <w:lang w:eastAsia="en-AU"/>
        </w:rPr>
        <w:t xml:space="preserve"> and </w:t>
      </w:r>
      <w:r w:rsidR="007A59DE" w:rsidRPr="007A59DE">
        <w:rPr>
          <w:rFonts w:cs="Arial"/>
          <w:szCs w:val="22"/>
          <w:lang w:eastAsia="en-AU"/>
        </w:rPr>
        <w:t>Golden Plains</w:t>
      </w:r>
      <w:r w:rsidR="005D78C3">
        <w:rPr>
          <w:rFonts w:cs="Arial"/>
          <w:szCs w:val="22"/>
          <w:lang w:eastAsia="en-AU"/>
        </w:rPr>
        <w:t xml:space="preserve"> (36.8</w:t>
      </w:r>
      <w:r w:rsidR="007A59DE">
        <w:rPr>
          <w:rFonts w:cs="Arial"/>
          <w:szCs w:val="22"/>
          <w:lang w:eastAsia="en-AU"/>
        </w:rPr>
        <w:t>%)</w:t>
      </w:r>
      <w:r>
        <w:rPr>
          <w:rFonts w:cs="Arial"/>
          <w:szCs w:val="20"/>
        </w:rPr>
        <w:t>.</w:t>
      </w:r>
    </w:p>
    <w:p w:rsidR="001C7CF7" w:rsidRPr="000F3B39" w:rsidRDefault="001C7CF7" w:rsidP="00236D79">
      <w:pPr>
        <w:rPr>
          <w:rFonts w:cs="Arial"/>
          <w:szCs w:val="20"/>
        </w:rPr>
      </w:pPr>
    </w:p>
    <w:p w:rsidR="0047763C" w:rsidRDefault="0047763C" w:rsidP="00236D79">
      <w:pPr>
        <w:rPr>
          <w:rFonts w:cs="Arial"/>
          <w:szCs w:val="20"/>
        </w:rPr>
      </w:pPr>
      <w:r w:rsidRPr="000F3B39">
        <w:rPr>
          <w:rFonts w:cs="Arial"/>
          <w:szCs w:val="20"/>
        </w:rPr>
        <w:t>Figure 5a illustrates the distribution of active bonds by suburb for metropolitan Melbourne. Figure 5b illustrates the distribution of active bonds</w:t>
      </w:r>
      <w:r w:rsidR="00876B0E">
        <w:rPr>
          <w:rFonts w:cs="Arial"/>
          <w:szCs w:val="20"/>
        </w:rPr>
        <w:t xml:space="preserve"> by local government area </w:t>
      </w:r>
      <w:r w:rsidRPr="000F3B39">
        <w:rPr>
          <w:rFonts w:cs="Arial"/>
          <w:szCs w:val="20"/>
        </w:rPr>
        <w:t>for regional Victoria.</w:t>
      </w:r>
    </w:p>
    <w:p w:rsidR="0047763C" w:rsidRDefault="0047763C" w:rsidP="00236D79">
      <w:pPr>
        <w:rPr>
          <w:rFonts w:cs="Arial"/>
          <w:szCs w:val="20"/>
        </w:rPr>
      </w:pPr>
    </w:p>
    <w:p w:rsidR="00FC2E69" w:rsidRPr="007A59DE" w:rsidRDefault="0047763C" w:rsidP="00220B78">
      <w:pPr>
        <w:rPr>
          <w:rFonts w:cs="Arial"/>
          <w:b/>
          <w:sz w:val="20"/>
          <w:szCs w:val="20"/>
          <w:lang w:eastAsia="en-AU"/>
        </w:rPr>
      </w:pPr>
      <w:r w:rsidRPr="00CD29A6">
        <w:rPr>
          <w:rFonts w:cs="Arial"/>
          <w:b/>
          <w:sz w:val="20"/>
          <w:szCs w:val="20"/>
        </w:rPr>
        <w:t xml:space="preserve">Figure 4 –Total active residential bonds, Victoria - </w:t>
      </w:r>
      <w:r w:rsidRPr="00CD29A6">
        <w:rPr>
          <w:rFonts w:cs="Arial"/>
          <w:b/>
          <w:sz w:val="20"/>
          <w:szCs w:val="20"/>
          <w:lang w:eastAsia="en-AU"/>
        </w:rPr>
        <w:t>annual percent</w:t>
      </w:r>
      <w:r w:rsidR="00023AD6">
        <w:rPr>
          <w:rFonts w:cs="Arial"/>
          <w:b/>
          <w:sz w:val="20"/>
          <w:szCs w:val="20"/>
          <w:lang w:eastAsia="en-AU"/>
        </w:rPr>
        <w:t>age</w:t>
      </w:r>
      <w:r w:rsidR="007A59DE">
        <w:rPr>
          <w:rFonts w:cs="Arial"/>
          <w:b/>
          <w:sz w:val="20"/>
          <w:szCs w:val="20"/>
          <w:lang w:eastAsia="en-AU"/>
        </w:rPr>
        <w:t xml:space="preserve"> change</w:t>
      </w:r>
      <w:r w:rsidR="00220B78" w:rsidRPr="00220B78">
        <w:rPr>
          <w:rFonts w:cs="Arial"/>
          <w:b/>
          <w:noProof/>
          <w:sz w:val="20"/>
          <w:szCs w:val="20"/>
          <w:lang w:eastAsia="en-AU"/>
        </w:rPr>
        <w:drawing>
          <wp:anchor distT="0" distB="0" distL="114300" distR="114300" simplePos="0" relativeHeight="251658240" behindDoc="0" locked="0" layoutInCell="1" allowOverlap="1">
            <wp:simplePos x="0" y="0"/>
            <wp:positionH relativeFrom="column">
              <wp:align>center</wp:align>
            </wp:positionH>
            <wp:positionV relativeFrom="paragraph">
              <wp:posOffset>288290</wp:posOffset>
            </wp:positionV>
            <wp:extent cx="4978800" cy="3106800"/>
            <wp:effectExtent l="0" t="0" r="0" b="0"/>
            <wp:wrapSquare wrapText="bothSides"/>
            <wp:docPr id="9" name="Char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0047763C" w:rsidRPr="009D353E" w:rsidRDefault="0047763C" w:rsidP="009D353E">
      <w:pPr>
        <w:rPr>
          <w:rFonts w:cs="Arial"/>
          <w:b/>
          <w:sz w:val="20"/>
          <w:szCs w:val="20"/>
        </w:rPr>
      </w:pPr>
      <w:r>
        <w:rPr>
          <w:rFonts w:cs="Arial"/>
          <w:lang w:val="en-US"/>
        </w:rPr>
        <w:br w:type="page"/>
      </w:r>
      <w:r w:rsidRPr="009D353E">
        <w:rPr>
          <w:rFonts w:cs="Arial"/>
          <w:b/>
          <w:sz w:val="20"/>
          <w:szCs w:val="20"/>
        </w:rPr>
        <w:lastRenderedPageBreak/>
        <w:t xml:space="preserve">Figure 5a: Number of active bonds by suburb for metropolitan Melbourne </w:t>
      </w:r>
    </w:p>
    <w:p w:rsidR="0047763C" w:rsidRDefault="00220B78" w:rsidP="00FA23E4">
      <w:pPr>
        <w:jc w:val="center"/>
        <w:rPr>
          <w:rFonts w:cs="Arial"/>
          <w:b/>
          <w:sz w:val="20"/>
          <w:szCs w:val="20"/>
        </w:rPr>
      </w:pPr>
      <w:r>
        <w:rPr>
          <w:rFonts w:cs="Arial"/>
          <w:b/>
          <w:noProof/>
          <w:sz w:val="20"/>
          <w:szCs w:val="20"/>
          <w:lang w:eastAsia="en-AU"/>
        </w:rPr>
        <w:drawing>
          <wp:inline distT="0" distB="0" distL="0" distR="0">
            <wp:extent cx="4197863" cy="4230094"/>
            <wp:effectExtent l="19050" t="0" r="0" b="0"/>
            <wp:docPr id="10" name="Picture 9" descr="20154MelbAct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4MelbActive.jpg"/>
                    <pic:cNvPicPr/>
                  </pic:nvPicPr>
                  <pic:blipFill>
                    <a:blip r:embed="rId15" cstate="print"/>
                    <a:stretch>
                      <a:fillRect/>
                    </a:stretch>
                  </pic:blipFill>
                  <pic:spPr>
                    <a:xfrm>
                      <a:off x="0" y="0"/>
                      <a:ext cx="4199911" cy="4232157"/>
                    </a:xfrm>
                    <a:prstGeom prst="rect">
                      <a:avLst/>
                    </a:prstGeom>
                  </pic:spPr>
                </pic:pic>
              </a:graphicData>
            </a:graphic>
          </wp:inline>
        </w:drawing>
      </w:r>
    </w:p>
    <w:p w:rsidR="00FC2E69" w:rsidRDefault="00FC2E69" w:rsidP="00FA23E4">
      <w:pPr>
        <w:jc w:val="center"/>
        <w:rPr>
          <w:rFonts w:cs="Arial"/>
          <w:b/>
          <w:sz w:val="20"/>
          <w:szCs w:val="20"/>
        </w:rPr>
      </w:pPr>
    </w:p>
    <w:p w:rsidR="00FC2E69" w:rsidRDefault="0047763C" w:rsidP="007D2335">
      <w:pPr>
        <w:jc w:val="center"/>
        <w:rPr>
          <w:rFonts w:cs="Arial"/>
          <w:b/>
        </w:rPr>
      </w:pPr>
      <w:r w:rsidRPr="000375B1">
        <w:rPr>
          <w:rFonts w:cs="Arial"/>
          <w:b/>
          <w:sz w:val="20"/>
          <w:szCs w:val="20"/>
        </w:rPr>
        <w:t xml:space="preserve">Figure 5b – Number of active bonds by </w:t>
      </w:r>
      <w:r>
        <w:rPr>
          <w:rFonts w:cs="Arial"/>
          <w:b/>
          <w:sz w:val="20"/>
          <w:szCs w:val="20"/>
        </w:rPr>
        <w:t>Local Government Area</w:t>
      </w:r>
      <w:r w:rsidRPr="000375B1">
        <w:rPr>
          <w:rFonts w:cs="Arial"/>
          <w:b/>
          <w:sz w:val="20"/>
          <w:szCs w:val="20"/>
        </w:rPr>
        <w:t xml:space="preserve"> for regional Victoria</w:t>
      </w:r>
      <w:r>
        <w:rPr>
          <w:rFonts w:cs="Arial"/>
          <w:b/>
          <w:sz w:val="20"/>
          <w:szCs w:val="20"/>
        </w:rPr>
        <w:br/>
      </w:r>
      <w:r w:rsidR="00220B78">
        <w:rPr>
          <w:rFonts w:cs="Arial"/>
          <w:b/>
          <w:noProof/>
          <w:lang w:eastAsia="en-AU"/>
        </w:rPr>
        <w:drawing>
          <wp:inline distT="0" distB="0" distL="0" distR="0">
            <wp:extent cx="5801305" cy="4134587"/>
            <wp:effectExtent l="19050" t="0" r="8945" b="0"/>
            <wp:docPr id="11" name="Picture 10" descr="20154RegA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4RegAct.jpg"/>
                    <pic:cNvPicPr/>
                  </pic:nvPicPr>
                  <pic:blipFill>
                    <a:blip r:embed="rId16" cstate="print"/>
                    <a:stretch>
                      <a:fillRect/>
                    </a:stretch>
                  </pic:blipFill>
                  <pic:spPr>
                    <a:xfrm>
                      <a:off x="0" y="0"/>
                      <a:ext cx="5801679" cy="4134853"/>
                    </a:xfrm>
                    <a:prstGeom prst="rect">
                      <a:avLst/>
                    </a:prstGeom>
                  </pic:spPr>
                </pic:pic>
              </a:graphicData>
            </a:graphic>
          </wp:inline>
        </w:drawing>
      </w:r>
    </w:p>
    <w:p w:rsidR="00FC2E69" w:rsidRPr="00706644" w:rsidRDefault="00FC2E69" w:rsidP="00FA23E4">
      <w:pPr>
        <w:jc w:val="center"/>
        <w:rPr>
          <w:rFonts w:cs="Arial"/>
          <w:b/>
        </w:rPr>
      </w:pPr>
    </w:p>
    <w:p w:rsidR="0047763C" w:rsidRPr="00831AFF" w:rsidRDefault="0047763C" w:rsidP="008C51DD">
      <w:pPr>
        <w:pStyle w:val="DHSheadingB"/>
        <w:rPr>
          <w:rFonts w:cs="Arial"/>
        </w:rPr>
      </w:pPr>
      <w:r w:rsidRPr="00831AFF">
        <w:rPr>
          <w:rFonts w:cs="Arial"/>
        </w:rPr>
        <w:lastRenderedPageBreak/>
        <w:t xml:space="preserve">Turnover and length of tenancy </w:t>
      </w:r>
    </w:p>
    <w:p w:rsidR="0047763C" w:rsidRPr="000F3B39" w:rsidRDefault="0047763C" w:rsidP="00054C75">
      <w:pPr>
        <w:rPr>
          <w:rFonts w:cs="Arial"/>
          <w:szCs w:val="20"/>
        </w:rPr>
      </w:pPr>
      <w:r w:rsidRPr="000F3B39">
        <w:rPr>
          <w:rFonts w:cs="Arial"/>
          <w:szCs w:val="20"/>
        </w:rPr>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rsidR="0047763C" w:rsidRPr="000F3B39" w:rsidRDefault="0047763C" w:rsidP="00054C75">
      <w:pPr>
        <w:rPr>
          <w:rFonts w:cs="Arial"/>
          <w:szCs w:val="20"/>
        </w:rPr>
      </w:pPr>
    </w:p>
    <w:p w:rsidR="0000002E" w:rsidRDefault="0047763C" w:rsidP="00054C75">
      <w:pPr>
        <w:rPr>
          <w:rFonts w:cs="Arial"/>
          <w:szCs w:val="20"/>
        </w:rPr>
      </w:pPr>
      <w:r w:rsidRPr="000F3B39">
        <w:rPr>
          <w:rFonts w:cs="Arial"/>
          <w:szCs w:val="20"/>
        </w:rPr>
        <w:t xml:space="preserve">Table 7 shows the turnover rate </w:t>
      </w:r>
      <w:r>
        <w:rPr>
          <w:rFonts w:cs="Arial"/>
          <w:szCs w:val="20"/>
        </w:rPr>
        <w:t>and</w:t>
      </w:r>
      <w:r w:rsidR="0000002E">
        <w:rPr>
          <w:rFonts w:cs="Arial"/>
          <w:szCs w:val="20"/>
        </w:rPr>
        <w:t>,</w:t>
      </w:r>
      <w:r>
        <w:rPr>
          <w:rFonts w:cs="Arial"/>
          <w:szCs w:val="20"/>
        </w:rPr>
        <w:t xml:space="preserve"> </w:t>
      </w:r>
      <w:r w:rsidRPr="000F3B39">
        <w:rPr>
          <w:rFonts w:cs="Arial"/>
          <w:szCs w:val="20"/>
        </w:rPr>
        <w:t xml:space="preserve">the median length of tenancy (based on bond refunds during the quarter) for both metropolitan Melbourne and regional Victoria. </w:t>
      </w:r>
    </w:p>
    <w:p w:rsidR="0000002E" w:rsidRDefault="0000002E" w:rsidP="00054C75">
      <w:pPr>
        <w:rPr>
          <w:rFonts w:cs="Arial"/>
          <w:szCs w:val="20"/>
        </w:rPr>
      </w:pPr>
    </w:p>
    <w:p w:rsidR="0047763C" w:rsidRPr="000F3B39" w:rsidRDefault="0047763C" w:rsidP="0096162F">
      <w:pPr>
        <w:rPr>
          <w:rFonts w:cs="Arial"/>
          <w:szCs w:val="20"/>
        </w:rPr>
      </w:pPr>
      <w:r w:rsidRPr="000F3B39">
        <w:rPr>
          <w:rFonts w:cs="Arial"/>
          <w:szCs w:val="20"/>
        </w:rPr>
        <w:t xml:space="preserve">For the </w:t>
      </w:r>
      <w:r w:rsidR="004B57AE">
        <w:rPr>
          <w:rFonts w:cs="Arial"/>
          <w:szCs w:val="20"/>
        </w:rPr>
        <w:t>December</w:t>
      </w:r>
      <w:r w:rsidR="003B18D6">
        <w:rPr>
          <w:rFonts w:cs="Arial"/>
          <w:szCs w:val="20"/>
        </w:rPr>
        <w:t xml:space="preserve"> quarter 201</w:t>
      </w:r>
      <w:r w:rsidR="003A2969">
        <w:rPr>
          <w:rFonts w:cs="Arial"/>
          <w:szCs w:val="20"/>
        </w:rPr>
        <w:t>5</w:t>
      </w:r>
      <w:r w:rsidRPr="000F3B39">
        <w:rPr>
          <w:rFonts w:cs="Arial"/>
          <w:szCs w:val="20"/>
        </w:rPr>
        <w:t xml:space="preserve"> the quarterly turnover rate for metropolitan Melbourne was </w:t>
      </w:r>
      <w:r w:rsidR="00750FF1">
        <w:rPr>
          <w:rFonts w:cs="Arial"/>
          <w:szCs w:val="20"/>
        </w:rPr>
        <w:t>8.9</w:t>
      </w:r>
      <w:r w:rsidRPr="000F3B39">
        <w:rPr>
          <w:rFonts w:cs="Arial"/>
          <w:szCs w:val="20"/>
        </w:rPr>
        <w:t xml:space="preserve"> per cent (that is, </w:t>
      </w:r>
      <w:r w:rsidR="00750FF1">
        <w:rPr>
          <w:rFonts w:cs="Arial"/>
          <w:szCs w:val="20"/>
        </w:rPr>
        <w:t>8.9</w:t>
      </w:r>
      <w:r w:rsidRPr="000F3B39">
        <w:rPr>
          <w:rFonts w:cs="Arial"/>
          <w:szCs w:val="20"/>
        </w:rPr>
        <w:t xml:space="preserve"> per cent of all bonds were refunded in the quarter)</w:t>
      </w:r>
      <w:r w:rsidR="00F24E3B">
        <w:rPr>
          <w:rFonts w:cs="Arial"/>
          <w:szCs w:val="20"/>
        </w:rPr>
        <w:t xml:space="preserve">, a slightly </w:t>
      </w:r>
      <w:r w:rsidR="00750FF1">
        <w:rPr>
          <w:rFonts w:cs="Arial"/>
          <w:szCs w:val="20"/>
        </w:rPr>
        <w:t>higher</w:t>
      </w:r>
      <w:r w:rsidR="003A2969">
        <w:rPr>
          <w:rFonts w:cs="Arial"/>
          <w:szCs w:val="20"/>
        </w:rPr>
        <w:t xml:space="preserve"> rate </w:t>
      </w:r>
      <w:r w:rsidR="00F24E3B">
        <w:rPr>
          <w:rFonts w:cs="Arial"/>
          <w:szCs w:val="20"/>
        </w:rPr>
        <w:t>than</w:t>
      </w:r>
      <w:r w:rsidR="003A2969">
        <w:rPr>
          <w:rFonts w:cs="Arial"/>
          <w:szCs w:val="20"/>
        </w:rPr>
        <w:t xml:space="preserve"> a year earlier</w:t>
      </w:r>
      <w:r w:rsidR="00750FF1">
        <w:rPr>
          <w:rFonts w:cs="Arial"/>
          <w:szCs w:val="20"/>
        </w:rPr>
        <w:t xml:space="preserve"> (8</w:t>
      </w:r>
      <w:r w:rsidR="00F24E3B">
        <w:rPr>
          <w:rFonts w:cs="Arial"/>
          <w:szCs w:val="20"/>
        </w:rPr>
        <w:t>.8%)</w:t>
      </w:r>
      <w:r w:rsidR="003B18D6">
        <w:rPr>
          <w:rFonts w:cs="Arial"/>
          <w:szCs w:val="20"/>
        </w:rPr>
        <w:t>.</w:t>
      </w:r>
      <w:r w:rsidRPr="000F3B39">
        <w:rPr>
          <w:rFonts w:cs="Arial"/>
          <w:szCs w:val="20"/>
        </w:rPr>
        <w:t xml:space="preserve"> The turnover rate in regional Victoria </w:t>
      </w:r>
      <w:r>
        <w:rPr>
          <w:rFonts w:cs="Arial"/>
          <w:szCs w:val="20"/>
        </w:rPr>
        <w:t>for</w:t>
      </w:r>
      <w:r w:rsidRPr="000F3B39">
        <w:rPr>
          <w:rFonts w:cs="Arial"/>
          <w:szCs w:val="20"/>
        </w:rPr>
        <w:t xml:space="preserve"> the </w:t>
      </w:r>
      <w:r w:rsidR="004B57AE">
        <w:rPr>
          <w:rFonts w:cs="Arial"/>
          <w:szCs w:val="20"/>
        </w:rPr>
        <w:t>December</w:t>
      </w:r>
      <w:r w:rsidR="003B18D6">
        <w:rPr>
          <w:rFonts w:cs="Arial"/>
          <w:szCs w:val="20"/>
        </w:rPr>
        <w:t xml:space="preserve"> quarter 201</w:t>
      </w:r>
      <w:r w:rsidR="003A2969">
        <w:rPr>
          <w:rFonts w:cs="Arial"/>
          <w:szCs w:val="20"/>
        </w:rPr>
        <w:t>5</w:t>
      </w:r>
      <w:r w:rsidRPr="000F3B39">
        <w:rPr>
          <w:rFonts w:cs="Arial"/>
          <w:szCs w:val="20"/>
        </w:rPr>
        <w:t xml:space="preserve"> was </w:t>
      </w:r>
      <w:r w:rsidR="001B69C8">
        <w:rPr>
          <w:rFonts w:cs="Arial"/>
          <w:szCs w:val="20"/>
        </w:rPr>
        <w:t>10.6</w:t>
      </w:r>
      <w:r>
        <w:rPr>
          <w:rFonts w:cs="Arial"/>
          <w:szCs w:val="20"/>
        </w:rPr>
        <w:t xml:space="preserve"> per cent</w:t>
      </w:r>
      <w:r w:rsidR="004404D2">
        <w:rPr>
          <w:rFonts w:cs="Arial"/>
          <w:szCs w:val="20"/>
        </w:rPr>
        <w:t>,</w:t>
      </w:r>
      <w:r w:rsidR="00F24E3B">
        <w:rPr>
          <w:rFonts w:cs="Arial"/>
          <w:szCs w:val="20"/>
        </w:rPr>
        <w:t xml:space="preserve"> </w:t>
      </w:r>
      <w:r w:rsidR="001B69C8">
        <w:rPr>
          <w:rFonts w:cs="Arial"/>
          <w:szCs w:val="20"/>
        </w:rPr>
        <w:t>compared with 9.8</w:t>
      </w:r>
      <w:r w:rsidR="003A2969">
        <w:rPr>
          <w:rFonts w:cs="Arial"/>
          <w:szCs w:val="20"/>
        </w:rPr>
        <w:t xml:space="preserve"> per cent in the same quarter last year</w:t>
      </w:r>
      <w:r w:rsidR="00ED11CC">
        <w:rPr>
          <w:rFonts w:cs="Arial"/>
          <w:szCs w:val="20"/>
        </w:rPr>
        <w:t>.</w:t>
      </w:r>
    </w:p>
    <w:p w:rsidR="0047763C" w:rsidRPr="000F3B39" w:rsidRDefault="0047763C" w:rsidP="00054C75">
      <w:pPr>
        <w:rPr>
          <w:rFonts w:cs="Arial"/>
          <w:szCs w:val="20"/>
        </w:rPr>
      </w:pPr>
    </w:p>
    <w:p w:rsidR="0047763C" w:rsidRPr="000F3B39" w:rsidRDefault="0047763C" w:rsidP="00054C75">
      <w:pPr>
        <w:rPr>
          <w:rFonts w:cs="Arial"/>
          <w:szCs w:val="20"/>
        </w:rPr>
      </w:pPr>
      <w:r w:rsidRPr="000F3B39">
        <w:rPr>
          <w:rFonts w:cs="Arial"/>
          <w:szCs w:val="20"/>
        </w:rPr>
        <w:t xml:space="preserve">The median length of tenancy for bonds refunded in the </w:t>
      </w:r>
      <w:r w:rsidR="004B57AE">
        <w:rPr>
          <w:rFonts w:cs="Arial"/>
          <w:szCs w:val="20"/>
        </w:rPr>
        <w:t>December</w:t>
      </w:r>
      <w:r w:rsidR="004C4DDC">
        <w:rPr>
          <w:rFonts w:cs="Arial"/>
          <w:szCs w:val="20"/>
        </w:rPr>
        <w:t xml:space="preserve"> quarter 2015</w:t>
      </w:r>
      <w:r w:rsidRPr="000F3B39">
        <w:rPr>
          <w:rFonts w:cs="Arial"/>
          <w:szCs w:val="20"/>
        </w:rPr>
        <w:t xml:space="preserve"> was </w:t>
      </w:r>
      <w:r w:rsidR="003B18D6">
        <w:rPr>
          <w:rFonts w:cs="Arial"/>
          <w:szCs w:val="20"/>
        </w:rPr>
        <w:t>1</w:t>
      </w:r>
      <w:r w:rsidR="001B69C8">
        <w:rPr>
          <w:rFonts w:cs="Arial"/>
          <w:szCs w:val="20"/>
        </w:rPr>
        <w:t>9</w:t>
      </w:r>
      <w:r w:rsidRPr="000F3B39">
        <w:rPr>
          <w:rFonts w:cs="Arial"/>
          <w:szCs w:val="20"/>
        </w:rPr>
        <w:t xml:space="preserve"> months f</w:t>
      </w:r>
      <w:r w:rsidR="003B18D6">
        <w:rPr>
          <w:rFonts w:cs="Arial"/>
          <w:szCs w:val="20"/>
        </w:rPr>
        <w:t>or metropolitan Melbourne and 1</w:t>
      </w:r>
      <w:r w:rsidR="001B69C8">
        <w:rPr>
          <w:rFonts w:cs="Arial"/>
          <w:szCs w:val="20"/>
        </w:rPr>
        <w:t>7</w:t>
      </w:r>
      <w:r w:rsidRPr="000F3B39">
        <w:rPr>
          <w:rFonts w:cs="Arial"/>
          <w:szCs w:val="20"/>
        </w:rPr>
        <w:t xml:space="preserve"> months for regional Victoria.</w:t>
      </w:r>
    </w:p>
    <w:p w:rsidR="0047763C" w:rsidRPr="000F3B39" w:rsidRDefault="0047763C" w:rsidP="00054C75">
      <w:pPr>
        <w:rPr>
          <w:rFonts w:cs="Arial"/>
          <w:szCs w:val="20"/>
        </w:rPr>
      </w:pPr>
    </w:p>
    <w:p w:rsidR="0047763C" w:rsidRPr="000F3B39" w:rsidRDefault="0047763C" w:rsidP="002869F3">
      <w:pPr>
        <w:rPr>
          <w:rFonts w:cs="Arial"/>
          <w:szCs w:val="20"/>
        </w:rPr>
      </w:pPr>
      <w:r w:rsidRPr="000F3B39">
        <w:rPr>
          <w:rFonts w:cs="Arial"/>
          <w:szCs w:val="20"/>
        </w:rPr>
        <w:t>Table 8 shows the median length of tenancy and turnover by dwelling size for both metropolitan Melbourne and regional Victoria</w:t>
      </w:r>
      <w:r w:rsidR="004C4DDC">
        <w:rPr>
          <w:rFonts w:cs="Arial"/>
          <w:szCs w:val="20"/>
        </w:rPr>
        <w:t>. In metropolitan Melbourne one-</w:t>
      </w:r>
      <w:r w:rsidRPr="000F3B39">
        <w:rPr>
          <w:rFonts w:cs="Arial"/>
          <w:szCs w:val="20"/>
        </w:rPr>
        <w:t xml:space="preserve">bedroom dwellings have the lowest median length of tenancy </w:t>
      </w:r>
      <w:r w:rsidR="001B69C8">
        <w:rPr>
          <w:rFonts w:cs="Arial"/>
          <w:szCs w:val="20"/>
        </w:rPr>
        <w:t>(14</w:t>
      </w:r>
      <w:r w:rsidRPr="000F3B39">
        <w:rPr>
          <w:rFonts w:cs="Arial"/>
          <w:szCs w:val="20"/>
        </w:rPr>
        <w:t xml:space="preserve"> months) an</w:t>
      </w:r>
      <w:r>
        <w:rPr>
          <w:rFonts w:cs="Arial"/>
          <w:szCs w:val="20"/>
        </w:rPr>
        <w:t xml:space="preserve">d </w:t>
      </w:r>
      <w:r w:rsidR="001B69C8">
        <w:rPr>
          <w:rFonts w:cs="Arial"/>
          <w:szCs w:val="20"/>
        </w:rPr>
        <w:t>the highest turnover rates (10.7</w:t>
      </w:r>
      <w:r w:rsidR="00E27B3A">
        <w:rPr>
          <w:rFonts w:cs="Arial"/>
          <w:szCs w:val="20"/>
        </w:rPr>
        <w:t>%</w:t>
      </w:r>
      <w:r w:rsidRPr="000F3B39">
        <w:rPr>
          <w:rFonts w:cs="Arial"/>
          <w:szCs w:val="20"/>
        </w:rPr>
        <w:t xml:space="preserve">). In regional Victoria, </w:t>
      </w:r>
      <w:r w:rsidR="00085411">
        <w:rPr>
          <w:rFonts w:cs="Arial"/>
          <w:szCs w:val="20"/>
        </w:rPr>
        <w:t>one-</w:t>
      </w:r>
      <w:r w:rsidR="003B18D6" w:rsidRPr="000F3B39">
        <w:rPr>
          <w:rFonts w:cs="Arial"/>
          <w:szCs w:val="20"/>
        </w:rPr>
        <w:t xml:space="preserve">bedroom </w:t>
      </w:r>
      <w:r w:rsidR="001B69C8">
        <w:rPr>
          <w:rFonts w:cs="Arial"/>
          <w:szCs w:val="20"/>
        </w:rPr>
        <w:t xml:space="preserve">and four-bedroom-plus </w:t>
      </w:r>
      <w:r w:rsidR="003B18D6" w:rsidRPr="000F3B39">
        <w:rPr>
          <w:rFonts w:cs="Arial"/>
          <w:szCs w:val="20"/>
        </w:rPr>
        <w:t xml:space="preserve">dwellings have the lowest median length of tenancy </w:t>
      </w:r>
      <w:r w:rsidR="001B69C8">
        <w:rPr>
          <w:rFonts w:cs="Arial"/>
          <w:szCs w:val="20"/>
        </w:rPr>
        <w:t>(15</w:t>
      </w:r>
      <w:r w:rsidR="003B18D6" w:rsidRPr="000F3B39">
        <w:rPr>
          <w:rFonts w:cs="Arial"/>
          <w:szCs w:val="20"/>
        </w:rPr>
        <w:t xml:space="preserve"> months) </w:t>
      </w:r>
      <w:r w:rsidR="004C4DDC">
        <w:rPr>
          <w:rFonts w:cs="Arial"/>
          <w:szCs w:val="20"/>
        </w:rPr>
        <w:t xml:space="preserve">and </w:t>
      </w:r>
      <w:r w:rsidR="00360F0B">
        <w:rPr>
          <w:rFonts w:cs="Arial"/>
          <w:szCs w:val="20"/>
        </w:rPr>
        <w:t>four-</w:t>
      </w:r>
      <w:r w:rsidR="00F24E3B">
        <w:rPr>
          <w:rFonts w:cs="Arial"/>
          <w:szCs w:val="20"/>
        </w:rPr>
        <w:t>bedroom</w:t>
      </w:r>
      <w:r w:rsidR="00360F0B">
        <w:rPr>
          <w:rFonts w:cs="Arial"/>
          <w:szCs w:val="20"/>
        </w:rPr>
        <w:t>-plus</w:t>
      </w:r>
      <w:r w:rsidR="00F24E3B">
        <w:rPr>
          <w:rFonts w:cs="Arial"/>
          <w:szCs w:val="20"/>
        </w:rPr>
        <w:t xml:space="preserve"> </w:t>
      </w:r>
      <w:r w:rsidRPr="000F3B39">
        <w:rPr>
          <w:rFonts w:cs="Arial"/>
          <w:szCs w:val="20"/>
        </w:rPr>
        <w:t>dwellings have the highest turnover rate higher (</w:t>
      </w:r>
      <w:r w:rsidR="003B18D6">
        <w:rPr>
          <w:rFonts w:cs="Arial"/>
          <w:szCs w:val="20"/>
        </w:rPr>
        <w:t>1</w:t>
      </w:r>
      <w:r w:rsidR="00360F0B">
        <w:rPr>
          <w:rFonts w:cs="Arial"/>
          <w:szCs w:val="20"/>
        </w:rPr>
        <w:t>1.1</w:t>
      </w:r>
      <w:r w:rsidR="00DF50F4">
        <w:rPr>
          <w:rFonts w:cs="Arial"/>
          <w:szCs w:val="20"/>
        </w:rPr>
        <w:t>%</w:t>
      </w:r>
      <w:r w:rsidRPr="000F3B39">
        <w:rPr>
          <w:rFonts w:cs="Arial"/>
          <w:szCs w:val="20"/>
        </w:rPr>
        <w:t>).</w:t>
      </w:r>
    </w:p>
    <w:p w:rsidR="0047763C" w:rsidRPr="00154B67" w:rsidRDefault="0047763C" w:rsidP="00054C75">
      <w:pPr>
        <w:rPr>
          <w:rFonts w:cs="Arial"/>
          <w:b/>
        </w:rPr>
      </w:pPr>
    </w:p>
    <w:p w:rsidR="0047763C" w:rsidRDefault="0047763C" w:rsidP="006A2718">
      <w:pPr>
        <w:pStyle w:val="DHSheadingD"/>
        <w:rPr>
          <w:lang w:val="en-US"/>
        </w:rPr>
      </w:pPr>
      <w:r w:rsidRPr="00706644">
        <w:rPr>
          <w:rFonts w:cs="Arial"/>
          <w:lang w:val="en-US"/>
        </w:rPr>
        <w:t xml:space="preserve">Table 7: </w:t>
      </w:r>
      <w:r>
        <w:rPr>
          <w:rFonts w:cs="Arial"/>
          <w:lang w:val="en-US"/>
        </w:rPr>
        <w:t>T</w:t>
      </w:r>
      <w:r w:rsidRPr="00706644">
        <w:rPr>
          <w:rFonts w:cs="Arial"/>
          <w:lang w:val="en-US"/>
        </w:rPr>
        <w:t xml:space="preserve">urnover and </w:t>
      </w:r>
      <w:r>
        <w:rPr>
          <w:rFonts w:cs="Arial"/>
          <w:lang w:val="en-US"/>
        </w:rPr>
        <w:t>tenancy duration</w:t>
      </w:r>
    </w:p>
    <w:tbl>
      <w:tblPr>
        <w:tblW w:w="9747" w:type="dxa"/>
        <w:tblBorders>
          <w:top w:val="single" w:sz="18" w:space="0" w:color="9DAECB"/>
          <w:bottom w:val="single" w:sz="18" w:space="0" w:color="9DAECB"/>
          <w:insideH w:val="single" w:sz="2" w:space="0" w:color="9DAECB"/>
        </w:tblBorders>
        <w:tblLook w:val="04A0" w:firstRow="1" w:lastRow="0" w:firstColumn="1" w:lastColumn="0" w:noHBand="0" w:noVBand="1"/>
      </w:tblPr>
      <w:tblGrid>
        <w:gridCol w:w="2463"/>
        <w:gridCol w:w="3457"/>
        <w:gridCol w:w="1985"/>
        <w:gridCol w:w="1842"/>
      </w:tblGrid>
      <w:tr w:rsidR="0047763C" w:rsidRPr="007D5EA5" w:rsidTr="00DF3BA6">
        <w:trPr>
          <w:trHeight w:hRule="exact" w:val="340"/>
        </w:trPr>
        <w:tc>
          <w:tcPr>
            <w:tcW w:w="2463" w:type="dxa"/>
            <w:tcBorders>
              <w:top w:val="single" w:sz="18" w:space="0" w:color="9DAECB"/>
              <w:bottom w:val="single" w:sz="12" w:space="0" w:color="9DAECB"/>
            </w:tcBorders>
            <w:vAlign w:val="bottom"/>
          </w:tcPr>
          <w:p w:rsidR="0047763C" w:rsidRPr="00C95655" w:rsidRDefault="0047763C" w:rsidP="00B16201">
            <w:pPr>
              <w:rPr>
                <w:rFonts w:cs="Arial"/>
                <w:b/>
                <w:bCs/>
                <w:sz w:val="20"/>
                <w:szCs w:val="20"/>
              </w:rPr>
            </w:pPr>
          </w:p>
        </w:tc>
        <w:tc>
          <w:tcPr>
            <w:tcW w:w="3457" w:type="dxa"/>
            <w:tcBorders>
              <w:top w:val="single" w:sz="18" w:space="0" w:color="9DAECB"/>
              <w:bottom w:val="single" w:sz="12" w:space="0" w:color="9DAECB"/>
            </w:tcBorders>
            <w:shd w:val="clear" w:color="auto" w:fill="DEE4EE"/>
            <w:vAlign w:val="bottom"/>
          </w:tcPr>
          <w:p w:rsidR="0047763C" w:rsidRPr="00C95655" w:rsidRDefault="0047763C" w:rsidP="00B16201">
            <w:pPr>
              <w:rPr>
                <w:rFonts w:cs="Arial"/>
                <w:b/>
                <w:bCs/>
                <w:sz w:val="20"/>
                <w:szCs w:val="20"/>
              </w:rPr>
            </w:pPr>
          </w:p>
        </w:tc>
        <w:tc>
          <w:tcPr>
            <w:tcW w:w="1985" w:type="dxa"/>
            <w:tcBorders>
              <w:top w:val="single" w:sz="18" w:space="0" w:color="9DAECB"/>
              <w:bottom w:val="single" w:sz="12" w:space="0" w:color="9DAECB"/>
            </w:tcBorders>
            <w:vAlign w:val="bottom"/>
          </w:tcPr>
          <w:p w:rsidR="0047763C" w:rsidRPr="00C95655" w:rsidRDefault="00580EEA" w:rsidP="001A3275">
            <w:pPr>
              <w:jc w:val="center"/>
              <w:rPr>
                <w:rFonts w:cs="Arial"/>
                <w:b/>
                <w:bCs/>
                <w:sz w:val="20"/>
                <w:szCs w:val="20"/>
              </w:rPr>
            </w:pPr>
            <w:r>
              <w:rPr>
                <w:rFonts w:cs="Arial"/>
                <w:b/>
                <w:bCs/>
                <w:sz w:val="20"/>
                <w:szCs w:val="20"/>
              </w:rPr>
              <w:t>Dec</w:t>
            </w:r>
            <w:r w:rsidR="00D728F5">
              <w:rPr>
                <w:rFonts w:cs="Arial"/>
                <w:b/>
                <w:bCs/>
                <w:sz w:val="20"/>
                <w:szCs w:val="20"/>
              </w:rPr>
              <w:t>ember</w:t>
            </w:r>
            <w:r w:rsidR="00996D12">
              <w:rPr>
                <w:rFonts w:cs="Arial"/>
                <w:b/>
                <w:bCs/>
                <w:sz w:val="20"/>
                <w:szCs w:val="20"/>
              </w:rPr>
              <w:t xml:space="preserve"> 201</w:t>
            </w:r>
            <w:r w:rsidR="001A3275">
              <w:rPr>
                <w:rFonts w:cs="Arial"/>
                <w:b/>
                <w:bCs/>
                <w:sz w:val="20"/>
                <w:szCs w:val="20"/>
              </w:rPr>
              <w:t>5</w:t>
            </w:r>
          </w:p>
        </w:tc>
        <w:tc>
          <w:tcPr>
            <w:tcW w:w="1842" w:type="dxa"/>
            <w:tcBorders>
              <w:top w:val="single" w:sz="18" w:space="0" w:color="9DAECB"/>
              <w:bottom w:val="single" w:sz="12" w:space="0" w:color="9DAECB"/>
            </w:tcBorders>
            <w:shd w:val="clear" w:color="auto" w:fill="DEE4EE"/>
            <w:vAlign w:val="bottom"/>
          </w:tcPr>
          <w:p w:rsidR="0047763C" w:rsidRPr="00C95655" w:rsidRDefault="00580EEA" w:rsidP="001A3275">
            <w:pPr>
              <w:jc w:val="center"/>
              <w:rPr>
                <w:rFonts w:cs="Arial"/>
                <w:b/>
                <w:bCs/>
                <w:sz w:val="20"/>
                <w:szCs w:val="20"/>
              </w:rPr>
            </w:pPr>
            <w:r>
              <w:rPr>
                <w:rFonts w:cs="Arial"/>
                <w:b/>
                <w:bCs/>
                <w:sz w:val="20"/>
                <w:szCs w:val="20"/>
              </w:rPr>
              <w:t>Dec</w:t>
            </w:r>
            <w:r w:rsidR="00D728F5">
              <w:rPr>
                <w:rFonts w:cs="Arial"/>
                <w:b/>
                <w:bCs/>
                <w:sz w:val="20"/>
                <w:szCs w:val="20"/>
              </w:rPr>
              <w:t>ember</w:t>
            </w:r>
            <w:r w:rsidR="00996D12">
              <w:rPr>
                <w:rFonts w:cs="Arial"/>
                <w:b/>
                <w:bCs/>
                <w:sz w:val="20"/>
                <w:szCs w:val="20"/>
              </w:rPr>
              <w:t xml:space="preserve"> 201</w:t>
            </w:r>
            <w:r w:rsidR="001A3275">
              <w:rPr>
                <w:rFonts w:cs="Arial"/>
                <w:b/>
                <w:bCs/>
                <w:sz w:val="20"/>
                <w:szCs w:val="20"/>
              </w:rPr>
              <w:t>4</w:t>
            </w:r>
          </w:p>
        </w:tc>
      </w:tr>
      <w:tr w:rsidR="00220B78" w:rsidRPr="007D5EA5" w:rsidTr="00750FF1">
        <w:trPr>
          <w:trHeight w:hRule="exact" w:val="340"/>
        </w:trPr>
        <w:tc>
          <w:tcPr>
            <w:tcW w:w="2463" w:type="dxa"/>
            <w:tcBorders>
              <w:top w:val="single" w:sz="12" w:space="0" w:color="9DAECB"/>
            </w:tcBorders>
            <w:vAlign w:val="center"/>
          </w:tcPr>
          <w:p w:rsidR="00220B78" w:rsidRPr="00C95655" w:rsidRDefault="00220B78" w:rsidP="00FC2E69">
            <w:pPr>
              <w:rPr>
                <w:rFonts w:cs="Arial"/>
                <w:b/>
                <w:bCs/>
                <w:sz w:val="20"/>
                <w:szCs w:val="20"/>
              </w:rPr>
            </w:pPr>
            <w:r>
              <w:rPr>
                <w:rFonts w:cs="Arial"/>
                <w:bCs/>
                <w:sz w:val="20"/>
                <w:szCs w:val="20"/>
              </w:rPr>
              <w:t xml:space="preserve">Metropolitan </w:t>
            </w:r>
            <w:r w:rsidRPr="00C95655">
              <w:rPr>
                <w:rFonts w:cs="Arial"/>
                <w:bCs/>
                <w:sz w:val="20"/>
                <w:szCs w:val="20"/>
              </w:rPr>
              <w:t>Melbourne</w:t>
            </w:r>
          </w:p>
        </w:tc>
        <w:tc>
          <w:tcPr>
            <w:tcW w:w="3457" w:type="dxa"/>
            <w:tcBorders>
              <w:top w:val="single" w:sz="12" w:space="0" w:color="9DAECB"/>
            </w:tcBorders>
            <w:shd w:val="clear" w:color="auto" w:fill="DEE4EE"/>
            <w:vAlign w:val="center"/>
          </w:tcPr>
          <w:p w:rsidR="00220B78" w:rsidRPr="00C95655" w:rsidRDefault="00220B78" w:rsidP="00FC2E69">
            <w:pPr>
              <w:rPr>
                <w:rFonts w:cs="Arial"/>
                <w:sz w:val="20"/>
                <w:szCs w:val="20"/>
              </w:rPr>
            </w:pPr>
            <w:r w:rsidRPr="00C95655">
              <w:rPr>
                <w:rFonts w:cs="Arial"/>
                <w:sz w:val="20"/>
                <w:szCs w:val="20"/>
              </w:rPr>
              <w:t>Turnover rate</w:t>
            </w:r>
          </w:p>
        </w:tc>
        <w:tc>
          <w:tcPr>
            <w:tcW w:w="1985" w:type="dxa"/>
            <w:tcBorders>
              <w:top w:val="single" w:sz="12" w:space="0" w:color="9DAECB"/>
            </w:tcBorders>
            <w:vAlign w:val="center"/>
          </w:tcPr>
          <w:p w:rsidR="00220B78" w:rsidRPr="00750FF1" w:rsidRDefault="00220B78" w:rsidP="00750FF1">
            <w:pPr>
              <w:jc w:val="center"/>
              <w:rPr>
                <w:rFonts w:cs="Arial"/>
                <w:sz w:val="20"/>
                <w:szCs w:val="22"/>
              </w:rPr>
            </w:pPr>
            <w:r w:rsidRPr="00750FF1">
              <w:rPr>
                <w:rFonts w:cs="Arial"/>
                <w:sz w:val="20"/>
                <w:szCs w:val="22"/>
              </w:rPr>
              <w:t>8.9%</w:t>
            </w:r>
          </w:p>
        </w:tc>
        <w:tc>
          <w:tcPr>
            <w:tcW w:w="1842" w:type="dxa"/>
            <w:tcBorders>
              <w:top w:val="single" w:sz="12" w:space="0" w:color="9DAECB"/>
            </w:tcBorders>
            <w:shd w:val="clear" w:color="auto" w:fill="DEE4EE"/>
            <w:vAlign w:val="center"/>
          </w:tcPr>
          <w:p w:rsidR="00220B78" w:rsidRPr="00750FF1" w:rsidRDefault="00220B78" w:rsidP="00750FF1">
            <w:pPr>
              <w:jc w:val="center"/>
              <w:rPr>
                <w:rFonts w:cs="Arial"/>
                <w:sz w:val="20"/>
                <w:szCs w:val="22"/>
              </w:rPr>
            </w:pPr>
            <w:r w:rsidRPr="00750FF1">
              <w:rPr>
                <w:rFonts w:cs="Arial"/>
                <w:sz w:val="20"/>
                <w:szCs w:val="22"/>
              </w:rPr>
              <w:t>8.8%</w:t>
            </w:r>
          </w:p>
        </w:tc>
      </w:tr>
      <w:tr w:rsidR="00220B78" w:rsidRPr="007D5EA5" w:rsidTr="00750FF1">
        <w:trPr>
          <w:trHeight w:hRule="exact" w:val="340"/>
        </w:trPr>
        <w:tc>
          <w:tcPr>
            <w:tcW w:w="2463" w:type="dxa"/>
            <w:vAlign w:val="center"/>
          </w:tcPr>
          <w:p w:rsidR="00220B78" w:rsidRPr="00C95655" w:rsidRDefault="00220B78" w:rsidP="00FC2E69">
            <w:pPr>
              <w:rPr>
                <w:rFonts w:cs="Arial"/>
                <w:b/>
                <w:bCs/>
                <w:sz w:val="20"/>
                <w:szCs w:val="20"/>
              </w:rPr>
            </w:pPr>
          </w:p>
        </w:tc>
        <w:tc>
          <w:tcPr>
            <w:tcW w:w="3457" w:type="dxa"/>
            <w:shd w:val="clear" w:color="auto" w:fill="DEE4EE"/>
            <w:vAlign w:val="center"/>
          </w:tcPr>
          <w:p w:rsidR="00220B78" w:rsidRPr="00C95655" w:rsidRDefault="00220B78" w:rsidP="00FC2E69">
            <w:pPr>
              <w:rPr>
                <w:rFonts w:cs="Arial"/>
                <w:sz w:val="20"/>
                <w:szCs w:val="20"/>
              </w:rPr>
            </w:pPr>
            <w:r w:rsidRPr="00C95655">
              <w:rPr>
                <w:rFonts w:cs="Arial"/>
                <w:sz w:val="20"/>
                <w:szCs w:val="20"/>
              </w:rPr>
              <w:t>Median tenancy duration</w:t>
            </w:r>
          </w:p>
        </w:tc>
        <w:tc>
          <w:tcPr>
            <w:tcW w:w="1985" w:type="dxa"/>
            <w:vAlign w:val="center"/>
          </w:tcPr>
          <w:p w:rsidR="00220B78" w:rsidRPr="00750FF1" w:rsidRDefault="00220B78" w:rsidP="00750FF1">
            <w:pPr>
              <w:jc w:val="center"/>
              <w:rPr>
                <w:rFonts w:cs="Arial"/>
                <w:sz w:val="20"/>
                <w:szCs w:val="22"/>
              </w:rPr>
            </w:pPr>
            <w:r w:rsidRPr="00750FF1">
              <w:rPr>
                <w:rFonts w:cs="Arial"/>
                <w:sz w:val="20"/>
                <w:szCs w:val="22"/>
              </w:rPr>
              <w:t>19</w:t>
            </w:r>
          </w:p>
        </w:tc>
        <w:tc>
          <w:tcPr>
            <w:tcW w:w="1842" w:type="dxa"/>
            <w:shd w:val="clear" w:color="auto" w:fill="DEE4EE"/>
            <w:vAlign w:val="center"/>
          </w:tcPr>
          <w:p w:rsidR="00220B78" w:rsidRPr="00750FF1" w:rsidRDefault="00220B78" w:rsidP="00750FF1">
            <w:pPr>
              <w:jc w:val="center"/>
              <w:rPr>
                <w:rFonts w:cs="Arial"/>
                <w:sz w:val="20"/>
                <w:szCs w:val="22"/>
              </w:rPr>
            </w:pPr>
            <w:r w:rsidRPr="00750FF1">
              <w:rPr>
                <w:rFonts w:cs="Arial"/>
                <w:sz w:val="20"/>
                <w:szCs w:val="22"/>
              </w:rPr>
              <w:t>18</w:t>
            </w:r>
          </w:p>
        </w:tc>
      </w:tr>
      <w:tr w:rsidR="00220B78" w:rsidRPr="007D5EA5" w:rsidTr="00750FF1">
        <w:trPr>
          <w:trHeight w:hRule="exact" w:val="340"/>
        </w:trPr>
        <w:tc>
          <w:tcPr>
            <w:tcW w:w="2463" w:type="dxa"/>
            <w:vAlign w:val="center"/>
          </w:tcPr>
          <w:p w:rsidR="00220B78" w:rsidRPr="00C95655" w:rsidRDefault="00220B78" w:rsidP="00FC2E69">
            <w:pPr>
              <w:rPr>
                <w:rFonts w:cs="Arial"/>
                <w:b/>
                <w:bCs/>
                <w:sz w:val="20"/>
                <w:szCs w:val="20"/>
              </w:rPr>
            </w:pPr>
            <w:r w:rsidRPr="00C95655">
              <w:rPr>
                <w:rFonts w:cs="Arial"/>
                <w:bCs/>
                <w:sz w:val="20"/>
                <w:szCs w:val="20"/>
              </w:rPr>
              <w:t>Regional Victoria</w:t>
            </w:r>
          </w:p>
        </w:tc>
        <w:tc>
          <w:tcPr>
            <w:tcW w:w="3457" w:type="dxa"/>
            <w:shd w:val="clear" w:color="auto" w:fill="DEE4EE"/>
            <w:vAlign w:val="center"/>
          </w:tcPr>
          <w:p w:rsidR="00220B78" w:rsidRPr="00C95655" w:rsidRDefault="00220B78" w:rsidP="00FC2E69">
            <w:pPr>
              <w:rPr>
                <w:rFonts w:cs="Arial"/>
                <w:sz w:val="20"/>
                <w:szCs w:val="20"/>
              </w:rPr>
            </w:pPr>
            <w:r w:rsidRPr="00C95655">
              <w:rPr>
                <w:rFonts w:cs="Arial"/>
                <w:sz w:val="20"/>
                <w:szCs w:val="20"/>
              </w:rPr>
              <w:t>Turnover rate</w:t>
            </w:r>
          </w:p>
        </w:tc>
        <w:tc>
          <w:tcPr>
            <w:tcW w:w="1985" w:type="dxa"/>
            <w:vAlign w:val="center"/>
          </w:tcPr>
          <w:p w:rsidR="00220B78" w:rsidRPr="00750FF1" w:rsidRDefault="00220B78" w:rsidP="00750FF1">
            <w:pPr>
              <w:jc w:val="center"/>
              <w:rPr>
                <w:rFonts w:cs="Arial"/>
                <w:sz w:val="20"/>
                <w:szCs w:val="22"/>
              </w:rPr>
            </w:pPr>
            <w:r w:rsidRPr="00750FF1">
              <w:rPr>
                <w:rFonts w:cs="Arial"/>
                <w:sz w:val="20"/>
                <w:szCs w:val="22"/>
              </w:rPr>
              <w:t>10.6%</w:t>
            </w:r>
          </w:p>
        </w:tc>
        <w:tc>
          <w:tcPr>
            <w:tcW w:w="1842" w:type="dxa"/>
            <w:shd w:val="clear" w:color="auto" w:fill="DEE4EE"/>
            <w:vAlign w:val="center"/>
          </w:tcPr>
          <w:p w:rsidR="00220B78" w:rsidRPr="00750FF1" w:rsidRDefault="00220B78" w:rsidP="00750FF1">
            <w:pPr>
              <w:jc w:val="center"/>
              <w:rPr>
                <w:rFonts w:cs="Arial"/>
                <w:sz w:val="20"/>
                <w:szCs w:val="22"/>
              </w:rPr>
            </w:pPr>
            <w:r w:rsidRPr="00750FF1">
              <w:rPr>
                <w:rFonts w:cs="Arial"/>
                <w:sz w:val="20"/>
                <w:szCs w:val="22"/>
              </w:rPr>
              <w:t>9.8%</w:t>
            </w:r>
          </w:p>
        </w:tc>
      </w:tr>
      <w:tr w:rsidR="00220B78" w:rsidRPr="007D5EA5" w:rsidTr="00750FF1">
        <w:trPr>
          <w:trHeight w:hRule="exact" w:val="340"/>
        </w:trPr>
        <w:tc>
          <w:tcPr>
            <w:tcW w:w="2463" w:type="dxa"/>
            <w:vAlign w:val="center"/>
          </w:tcPr>
          <w:p w:rsidR="00220B78" w:rsidRPr="00C95655" w:rsidRDefault="00220B78" w:rsidP="00FC2E69">
            <w:pPr>
              <w:rPr>
                <w:rFonts w:cs="Arial"/>
                <w:b/>
                <w:bCs/>
                <w:sz w:val="20"/>
                <w:szCs w:val="20"/>
              </w:rPr>
            </w:pPr>
          </w:p>
        </w:tc>
        <w:tc>
          <w:tcPr>
            <w:tcW w:w="3457" w:type="dxa"/>
            <w:shd w:val="clear" w:color="auto" w:fill="DEE4EE"/>
            <w:vAlign w:val="center"/>
          </w:tcPr>
          <w:p w:rsidR="00220B78" w:rsidRPr="00C95655" w:rsidRDefault="00220B78" w:rsidP="00FC2E69">
            <w:pPr>
              <w:rPr>
                <w:rFonts w:cs="Arial"/>
                <w:sz w:val="20"/>
                <w:szCs w:val="20"/>
              </w:rPr>
            </w:pPr>
            <w:r w:rsidRPr="00C95655">
              <w:rPr>
                <w:rFonts w:cs="Arial"/>
                <w:sz w:val="20"/>
                <w:szCs w:val="20"/>
              </w:rPr>
              <w:t>Median tenancy duration</w:t>
            </w:r>
          </w:p>
        </w:tc>
        <w:tc>
          <w:tcPr>
            <w:tcW w:w="1985" w:type="dxa"/>
            <w:vAlign w:val="center"/>
          </w:tcPr>
          <w:p w:rsidR="00220B78" w:rsidRPr="00750FF1" w:rsidRDefault="00220B78" w:rsidP="00750FF1">
            <w:pPr>
              <w:jc w:val="center"/>
              <w:rPr>
                <w:rFonts w:cs="Arial"/>
                <w:sz w:val="20"/>
                <w:szCs w:val="22"/>
              </w:rPr>
            </w:pPr>
            <w:r w:rsidRPr="00750FF1">
              <w:rPr>
                <w:rFonts w:cs="Arial"/>
                <w:sz w:val="20"/>
                <w:szCs w:val="22"/>
              </w:rPr>
              <w:t>17</w:t>
            </w:r>
          </w:p>
        </w:tc>
        <w:tc>
          <w:tcPr>
            <w:tcW w:w="1842" w:type="dxa"/>
            <w:shd w:val="clear" w:color="auto" w:fill="DEE4EE"/>
            <w:vAlign w:val="center"/>
          </w:tcPr>
          <w:p w:rsidR="00220B78" w:rsidRPr="00750FF1" w:rsidRDefault="00220B78" w:rsidP="00750FF1">
            <w:pPr>
              <w:jc w:val="center"/>
              <w:rPr>
                <w:rFonts w:cs="Arial"/>
                <w:sz w:val="20"/>
                <w:szCs w:val="22"/>
              </w:rPr>
            </w:pPr>
            <w:r w:rsidRPr="00750FF1">
              <w:rPr>
                <w:rFonts w:cs="Arial"/>
                <w:sz w:val="20"/>
                <w:szCs w:val="22"/>
              </w:rPr>
              <w:t>15</w:t>
            </w:r>
          </w:p>
        </w:tc>
      </w:tr>
    </w:tbl>
    <w:p w:rsidR="0047763C" w:rsidRPr="002418AD" w:rsidRDefault="0047763C" w:rsidP="00154B67">
      <w:pPr>
        <w:pStyle w:val="Footnote"/>
        <w:spacing w:before="0" w:line="240" w:lineRule="auto"/>
        <w:jc w:val="left"/>
        <w:rPr>
          <w:rFonts w:cs="Arial"/>
          <w:color w:val="auto"/>
          <w:sz w:val="16"/>
        </w:rPr>
      </w:pPr>
      <w:r w:rsidRPr="002418AD">
        <w:rPr>
          <w:rFonts w:cs="Arial"/>
          <w:color w:val="auto"/>
          <w:sz w:val="16"/>
        </w:rPr>
        <w:t>Notes:</w:t>
      </w:r>
    </w:p>
    <w:p w:rsidR="004C4DDC" w:rsidRPr="002418AD" w:rsidRDefault="004C4DDC" w:rsidP="004C4DDC">
      <w:pPr>
        <w:pStyle w:val="Footnote"/>
        <w:spacing w:before="0" w:line="240" w:lineRule="auto"/>
        <w:jc w:val="left"/>
        <w:rPr>
          <w:rFonts w:cs="Arial"/>
          <w:color w:val="auto"/>
          <w:sz w:val="16"/>
        </w:rPr>
      </w:pPr>
      <w:r>
        <w:rPr>
          <w:rFonts w:cs="Arial"/>
          <w:color w:val="auto"/>
          <w:sz w:val="16"/>
        </w:rPr>
        <w:t>1</w:t>
      </w:r>
      <w:r w:rsidRPr="002418AD">
        <w:rPr>
          <w:rFonts w:cs="Arial"/>
          <w:color w:val="auto"/>
          <w:sz w:val="16"/>
        </w:rPr>
        <w:t xml:space="preserve">. </w:t>
      </w:r>
      <w:r>
        <w:rPr>
          <w:rFonts w:cs="Arial"/>
          <w:color w:val="auto"/>
          <w:sz w:val="16"/>
        </w:rPr>
        <w:t>Turnover rate is the number of b</w:t>
      </w:r>
      <w:r w:rsidRPr="002418AD">
        <w:rPr>
          <w:rFonts w:cs="Arial"/>
          <w:color w:val="auto"/>
          <w:sz w:val="16"/>
        </w:rPr>
        <w:t>ond refunds (moving annual total) as % of total active bonds</w:t>
      </w:r>
      <w:r>
        <w:rPr>
          <w:rFonts w:cs="Arial"/>
          <w:color w:val="auto"/>
          <w:sz w:val="16"/>
        </w:rPr>
        <w:t>.</w:t>
      </w:r>
    </w:p>
    <w:p w:rsidR="0047763C" w:rsidRPr="002418AD" w:rsidRDefault="004C4DDC" w:rsidP="00154B67">
      <w:pPr>
        <w:pStyle w:val="Footnote"/>
        <w:spacing w:before="0" w:line="240" w:lineRule="auto"/>
        <w:jc w:val="left"/>
        <w:rPr>
          <w:rFonts w:cs="Arial"/>
          <w:color w:val="auto"/>
          <w:sz w:val="16"/>
        </w:rPr>
      </w:pPr>
      <w:r>
        <w:rPr>
          <w:rFonts w:cs="Arial"/>
          <w:color w:val="auto"/>
          <w:sz w:val="16"/>
        </w:rPr>
        <w:t>2. M</w:t>
      </w:r>
      <w:r w:rsidR="0047763C" w:rsidRPr="002418AD">
        <w:rPr>
          <w:rFonts w:cs="Arial"/>
          <w:color w:val="auto"/>
          <w:sz w:val="16"/>
        </w:rPr>
        <w:t xml:space="preserve">edian </w:t>
      </w:r>
      <w:r>
        <w:rPr>
          <w:rFonts w:cs="Arial"/>
          <w:color w:val="auto"/>
          <w:sz w:val="16"/>
        </w:rPr>
        <w:t xml:space="preserve">tenancy </w:t>
      </w:r>
      <w:r w:rsidR="0047763C" w:rsidRPr="002418AD">
        <w:rPr>
          <w:rFonts w:cs="Arial"/>
          <w:color w:val="auto"/>
          <w:sz w:val="16"/>
        </w:rPr>
        <w:t>duration (months)</w:t>
      </w:r>
      <w:r>
        <w:rPr>
          <w:rFonts w:cs="Arial"/>
          <w:color w:val="auto"/>
          <w:sz w:val="16"/>
        </w:rPr>
        <w:t xml:space="preserve"> is the period</w:t>
      </w:r>
      <w:r w:rsidR="0047763C" w:rsidRPr="002418AD">
        <w:rPr>
          <w:rFonts w:cs="Arial"/>
          <w:color w:val="auto"/>
          <w:sz w:val="16"/>
        </w:rPr>
        <w:t xml:space="preserve"> from bond </w:t>
      </w:r>
      <w:r w:rsidRPr="002418AD">
        <w:rPr>
          <w:rFonts w:cs="Arial"/>
          <w:color w:val="auto"/>
          <w:sz w:val="16"/>
        </w:rPr>
        <w:t>lodgment</w:t>
      </w:r>
      <w:r w:rsidR="0047763C" w:rsidRPr="002418AD">
        <w:rPr>
          <w:rFonts w:cs="Arial"/>
          <w:color w:val="auto"/>
          <w:sz w:val="16"/>
        </w:rPr>
        <w:t xml:space="preserve"> date to bond claim date for refunds in that quarter</w:t>
      </w:r>
      <w:r>
        <w:rPr>
          <w:rFonts w:cs="Arial"/>
          <w:color w:val="auto"/>
          <w:sz w:val="16"/>
        </w:rPr>
        <w:t>.</w:t>
      </w:r>
    </w:p>
    <w:p w:rsidR="0047763C" w:rsidRPr="00706644" w:rsidRDefault="0047763C" w:rsidP="001834E3">
      <w:pPr>
        <w:pStyle w:val="DHSheadingD"/>
        <w:rPr>
          <w:rFonts w:cs="Arial"/>
          <w:spacing w:val="-2"/>
          <w:lang w:val="en-US"/>
        </w:rPr>
      </w:pPr>
      <w:r w:rsidRPr="00706644">
        <w:rPr>
          <w:rFonts w:cs="Arial"/>
          <w:lang w:val="en-US"/>
        </w:rPr>
        <w:t xml:space="preserve">Table 8: Median tenancy duration and turnover by dwelling size </w:t>
      </w:r>
    </w:p>
    <w:tbl>
      <w:tblPr>
        <w:tblW w:w="0" w:type="auto"/>
        <w:tblBorders>
          <w:top w:val="single" w:sz="18" w:space="0" w:color="9DAECB"/>
          <w:bottom w:val="single" w:sz="18" w:space="0" w:color="9DAECB"/>
          <w:insideH w:val="single" w:sz="2" w:space="0" w:color="9DAECB"/>
          <w:insideV w:val="single" w:sz="2" w:space="0" w:color="9DAECB"/>
        </w:tblBorders>
        <w:tblLook w:val="0420" w:firstRow="1" w:lastRow="0" w:firstColumn="0" w:lastColumn="0" w:noHBand="0" w:noVBand="1"/>
      </w:tblPr>
      <w:tblGrid>
        <w:gridCol w:w="2018"/>
        <w:gridCol w:w="1929"/>
        <w:gridCol w:w="1980"/>
        <w:gridCol w:w="1908"/>
        <w:gridCol w:w="1911"/>
      </w:tblGrid>
      <w:tr w:rsidR="0047763C" w:rsidRPr="005F5C4F" w:rsidTr="00DF3BA6">
        <w:trPr>
          <w:trHeight w:hRule="exact" w:val="340"/>
        </w:trPr>
        <w:tc>
          <w:tcPr>
            <w:tcW w:w="2018" w:type="dxa"/>
            <w:tcBorders>
              <w:bottom w:val="single" w:sz="2" w:space="0" w:color="9DAECB"/>
            </w:tcBorders>
          </w:tcPr>
          <w:p w:rsidR="0047763C" w:rsidRPr="00C95655" w:rsidRDefault="0047763C" w:rsidP="001A71EF">
            <w:pPr>
              <w:pStyle w:val="DHSbodycopytable"/>
              <w:rPr>
                <w:rFonts w:cs="Arial"/>
                <w:b/>
                <w:bCs/>
                <w:sz w:val="20"/>
              </w:rPr>
            </w:pPr>
          </w:p>
        </w:tc>
        <w:tc>
          <w:tcPr>
            <w:tcW w:w="3909" w:type="dxa"/>
            <w:gridSpan w:val="2"/>
            <w:tcBorders>
              <w:bottom w:val="single" w:sz="2" w:space="0" w:color="9DAECB"/>
            </w:tcBorders>
            <w:shd w:val="clear" w:color="auto" w:fill="auto"/>
            <w:vAlign w:val="center"/>
          </w:tcPr>
          <w:p w:rsidR="0047763C" w:rsidRPr="00C95655" w:rsidRDefault="0047763C" w:rsidP="00C95655">
            <w:pPr>
              <w:pStyle w:val="DHSbodycopytable"/>
              <w:jc w:val="center"/>
              <w:rPr>
                <w:rFonts w:cs="Arial"/>
                <w:b/>
                <w:bCs/>
                <w:sz w:val="20"/>
              </w:rPr>
            </w:pPr>
            <w:r w:rsidRPr="00C95655">
              <w:rPr>
                <w:rFonts w:cs="Arial"/>
                <w:b/>
                <w:sz w:val="20"/>
              </w:rPr>
              <w:t>Metropolitan Melbourne</w:t>
            </w:r>
          </w:p>
        </w:tc>
        <w:tc>
          <w:tcPr>
            <w:tcW w:w="3819" w:type="dxa"/>
            <w:gridSpan w:val="2"/>
            <w:tcBorders>
              <w:bottom w:val="single" w:sz="2" w:space="0" w:color="9DAECB"/>
            </w:tcBorders>
            <w:shd w:val="clear" w:color="auto" w:fill="auto"/>
            <w:vAlign w:val="center"/>
          </w:tcPr>
          <w:p w:rsidR="0047763C" w:rsidRPr="00C95655" w:rsidRDefault="0047763C" w:rsidP="00C95655">
            <w:pPr>
              <w:pStyle w:val="DHSbodycopytable"/>
              <w:jc w:val="center"/>
              <w:rPr>
                <w:rFonts w:cs="Arial"/>
                <w:b/>
                <w:bCs/>
                <w:sz w:val="20"/>
              </w:rPr>
            </w:pPr>
            <w:r w:rsidRPr="00C95655">
              <w:rPr>
                <w:rFonts w:cs="Arial"/>
                <w:b/>
                <w:sz w:val="20"/>
              </w:rPr>
              <w:t>Regional Victoria</w:t>
            </w:r>
          </w:p>
        </w:tc>
      </w:tr>
      <w:tr w:rsidR="0047763C" w:rsidRPr="005F5C4F" w:rsidTr="00DF3BA6">
        <w:trPr>
          <w:trHeight w:val="340"/>
        </w:trPr>
        <w:tc>
          <w:tcPr>
            <w:tcW w:w="2018" w:type="dxa"/>
            <w:tcBorders>
              <w:top w:val="single" w:sz="2" w:space="0" w:color="9DAECB"/>
              <w:bottom w:val="single" w:sz="12" w:space="0" w:color="9DAECB"/>
            </w:tcBorders>
            <w:vAlign w:val="bottom"/>
          </w:tcPr>
          <w:p w:rsidR="0047763C" w:rsidRPr="00C95655" w:rsidRDefault="0047763C" w:rsidP="00C95655">
            <w:pPr>
              <w:pStyle w:val="DHSbodycopytable"/>
              <w:spacing w:after="0" w:line="240" w:lineRule="auto"/>
              <w:jc w:val="center"/>
              <w:rPr>
                <w:rFonts w:cs="Arial"/>
                <w:sz w:val="20"/>
                <w:lang w:val="en-US"/>
              </w:rPr>
            </w:pPr>
          </w:p>
        </w:tc>
        <w:tc>
          <w:tcPr>
            <w:tcW w:w="1929" w:type="dxa"/>
            <w:tcBorders>
              <w:top w:val="single" w:sz="2" w:space="0" w:color="9DAECB"/>
              <w:bottom w:val="single" w:sz="12" w:space="0" w:color="9DAECB"/>
            </w:tcBorders>
            <w:shd w:val="clear" w:color="auto" w:fill="DEE4EE"/>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Duration</w:t>
            </w:r>
            <w:r w:rsidRPr="00C95655">
              <w:rPr>
                <w:rFonts w:cs="Arial"/>
                <w:b/>
                <w:sz w:val="20"/>
              </w:rPr>
              <w:br/>
            </w:r>
            <w:r w:rsidRPr="00C95655">
              <w:rPr>
                <w:rFonts w:cs="Arial"/>
                <w:sz w:val="18"/>
              </w:rPr>
              <w:t>(months)</w:t>
            </w:r>
          </w:p>
        </w:tc>
        <w:tc>
          <w:tcPr>
            <w:tcW w:w="1980" w:type="dxa"/>
            <w:tcBorders>
              <w:top w:val="single" w:sz="2" w:space="0" w:color="9DAECB"/>
              <w:bottom w:val="single" w:sz="12" w:space="0" w:color="9DAECB"/>
            </w:tcBorders>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Turnover</w:t>
            </w:r>
          </w:p>
        </w:tc>
        <w:tc>
          <w:tcPr>
            <w:tcW w:w="1908" w:type="dxa"/>
            <w:tcBorders>
              <w:top w:val="single" w:sz="2" w:space="0" w:color="9DAECB"/>
              <w:bottom w:val="single" w:sz="12" w:space="0" w:color="9DAECB"/>
            </w:tcBorders>
            <w:shd w:val="clear" w:color="auto" w:fill="DEE4EE"/>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Duration</w:t>
            </w:r>
            <w:r w:rsidRPr="00C95655">
              <w:rPr>
                <w:rFonts w:cs="Arial"/>
                <w:b/>
                <w:sz w:val="20"/>
              </w:rPr>
              <w:br/>
            </w:r>
            <w:r w:rsidRPr="00C95655">
              <w:rPr>
                <w:rFonts w:cs="Arial"/>
                <w:sz w:val="18"/>
              </w:rPr>
              <w:t>(months)</w:t>
            </w:r>
          </w:p>
        </w:tc>
        <w:tc>
          <w:tcPr>
            <w:tcW w:w="1911" w:type="dxa"/>
            <w:tcBorders>
              <w:top w:val="single" w:sz="2" w:space="0" w:color="9DAECB"/>
              <w:bottom w:val="single" w:sz="12" w:space="0" w:color="9DAECB"/>
            </w:tcBorders>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Turnover</w:t>
            </w:r>
          </w:p>
        </w:tc>
      </w:tr>
      <w:tr w:rsidR="00220B78" w:rsidRPr="005F5C4F" w:rsidTr="001B69C8">
        <w:trPr>
          <w:trHeight w:hRule="exact" w:val="340"/>
        </w:trPr>
        <w:tc>
          <w:tcPr>
            <w:tcW w:w="2018" w:type="dxa"/>
            <w:tcBorders>
              <w:top w:val="single" w:sz="12" w:space="0" w:color="9DAECB"/>
            </w:tcBorders>
            <w:vAlign w:val="center"/>
          </w:tcPr>
          <w:p w:rsidR="00220B78" w:rsidRPr="00C95655" w:rsidRDefault="00220B78" w:rsidP="001A71EF">
            <w:pPr>
              <w:pStyle w:val="DHSbodycopytable"/>
              <w:rPr>
                <w:rFonts w:cs="Arial"/>
                <w:sz w:val="20"/>
              </w:rPr>
            </w:pPr>
            <w:r w:rsidRPr="00C95655">
              <w:rPr>
                <w:rFonts w:cs="Arial"/>
                <w:sz w:val="20"/>
              </w:rPr>
              <w:t>1 bedroom</w:t>
            </w:r>
          </w:p>
        </w:tc>
        <w:tc>
          <w:tcPr>
            <w:tcW w:w="1929" w:type="dxa"/>
            <w:tcBorders>
              <w:top w:val="single" w:sz="12" w:space="0" w:color="9DAECB"/>
            </w:tcBorders>
            <w:shd w:val="clear" w:color="auto" w:fill="DEE4EE"/>
            <w:vAlign w:val="center"/>
          </w:tcPr>
          <w:p w:rsidR="00220B78" w:rsidRPr="001B69C8" w:rsidRDefault="00220B78" w:rsidP="001B69C8">
            <w:pPr>
              <w:jc w:val="center"/>
              <w:rPr>
                <w:rFonts w:cs="Arial"/>
                <w:sz w:val="20"/>
                <w:szCs w:val="22"/>
              </w:rPr>
            </w:pPr>
            <w:r w:rsidRPr="001B69C8">
              <w:rPr>
                <w:rFonts w:cs="Arial"/>
                <w:sz w:val="20"/>
                <w:szCs w:val="22"/>
              </w:rPr>
              <w:t>14</w:t>
            </w:r>
          </w:p>
        </w:tc>
        <w:tc>
          <w:tcPr>
            <w:tcW w:w="1980" w:type="dxa"/>
            <w:tcBorders>
              <w:top w:val="single" w:sz="12" w:space="0" w:color="9DAECB"/>
            </w:tcBorders>
            <w:vAlign w:val="center"/>
          </w:tcPr>
          <w:p w:rsidR="00220B78" w:rsidRPr="001B69C8" w:rsidRDefault="00220B78" w:rsidP="001B69C8">
            <w:pPr>
              <w:jc w:val="center"/>
              <w:rPr>
                <w:rFonts w:cs="Arial"/>
                <w:sz w:val="20"/>
                <w:szCs w:val="22"/>
              </w:rPr>
            </w:pPr>
            <w:r w:rsidRPr="001B69C8">
              <w:rPr>
                <w:rFonts w:cs="Arial"/>
                <w:sz w:val="20"/>
                <w:szCs w:val="22"/>
              </w:rPr>
              <w:t>10.7%</w:t>
            </w:r>
          </w:p>
        </w:tc>
        <w:tc>
          <w:tcPr>
            <w:tcW w:w="1908" w:type="dxa"/>
            <w:tcBorders>
              <w:top w:val="single" w:sz="12" w:space="0" w:color="9DAECB"/>
            </w:tcBorders>
            <w:shd w:val="clear" w:color="auto" w:fill="DEE4EE"/>
            <w:vAlign w:val="center"/>
          </w:tcPr>
          <w:p w:rsidR="00220B78" w:rsidRPr="001B69C8" w:rsidRDefault="00220B78" w:rsidP="001B69C8">
            <w:pPr>
              <w:jc w:val="center"/>
              <w:rPr>
                <w:rFonts w:cs="Arial"/>
                <w:sz w:val="20"/>
                <w:szCs w:val="22"/>
              </w:rPr>
            </w:pPr>
            <w:r w:rsidRPr="001B69C8">
              <w:rPr>
                <w:rFonts w:cs="Arial"/>
                <w:sz w:val="20"/>
                <w:szCs w:val="22"/>
              </w:rPr>
              <w:t>15</w:t>
            </w:r>
          </w:p>
        </w:tc>
        <w:tc>
          <w:tcPr>
            <w:tcW w:w="1911" w:type="dxa"/>
            <w:tcBorders>
              <w:top w:val="single" w:sz="12" w:space="0" w:color="9DAECB"/>
            </w:tcBorders>
            <w:vAlign w:val="center"/>
          </w:tcPr>
          <w:p w:rsidR="00220B78" w:rsidRPr="001B69C8" w:rsidRDefault="00220B78" w:rsidP="001B69C8">
            <w:pPr>
              <w:jc w:val="center"/>
              <w:rPr>
                <w:rFonts w:cs="Arial"/>
                <w:sz w:val="20"/>
                <w:szCs w:val="22"/>
              </w:rPr>
            </w:pPr>
            <w:r w:rsidRPr="001B69C8">
              <w:rPr>
                <w:rFonts w:cs="Arial"/>
                <w:sz w:val="20"/>
                <w:szCs w:val="22"/>
              </w:rPr>
              <w:t>10.8%</w:t>
            </w:r>
          </w:p>
        </w:tc>
      </w:tr>
      <w:tr w:rsidR="00220B78" w:rsidRPr="005F5C4F" w:rsidTr="001B69C8">
        <w:trPr>
          <w:trHeight w:hRule="exact" w:val="340"/>
        </w:trPr>
        <w:tc>
          <w:tcPr>
            <w:tcW w:w="2018" w:type="dxa"/>
            <w:vAlign w:val="center"/>
          </w:tcPr>
          <w:p w:rsidR="00220B78" w:rsidRPr="00C95655" w:rsidRDefault="00220B78" w:rsidP="001A71EF">
            <w:pPr>
              <w:pStyle w:val="DHSbodycopytable"/>
              <w:rPr>
                <w:rFonts w:cs="Arial"/>
                <w:sz w:val="20"/>
              </w:rPr>
            </w:pPr>
            <w:r w:rsidRPr="00C95655">
              <w:rPr>
                <w:rFonts w:cs="Arial"/>
                <w:sz w:val="20"/>
              </w:rPr>
              <w:t>2 bedrooms</w:t>
            </w:r>
          </w:p>
        </w:tc>
        <w:tc>
          <w:tcPr>
            <w:tcW w:w="1929" w:type="dxa"/>
            <w:shd w:val="clear" w:color="auto" w:fill="DEE4EE"/>
            <w:vAlign w:val="center"/>
          </w:tcPr>
          <w:p w:rsidR="00220B78" w:rsidRPr="001B69C8" w:rsidRDefault="00220B78" w:rsidP="001B69C8">
            <w:pPr>
              <w:jc w:val="center"/>
              <w:rPr>
                <w:rFonts w:cs="Arial"/>
                <w:sz w:val="20"/>
                <w:szCs w:val="22"/>
              </w:rPr>
            </w:pPr>
            <w:r w:rsidRPr="001B69C8">
              <w:rPr>
                <w:rFonts w:cs="Arial"/>
                <w:sz w:val="20"/>
                <w:szCs w:val="22"/>
              </w:rPr>
              <w:t>19</w:t>
            </w:r>
          </w:p>
        </w:tc>
        <w:tc>
          <w:tcPr>
            <w:tcW w:w="1980" w:type="dxa"/>
            <w:vAlign w:val="center"/>
          </w:tcPr>
          <w:p w:rsidR="00220B78" w:rsidRPr="001B69C8" w:rsidRDefault="00220B78" w:rsidP="001B69C8">
            <w:pPr>
              <w:jc w:val="center"/>
              <w:rPr>
                <w:rFonts w:cs="Arial"/>
                <w:sz w:val="20"/>
                <w:szCs w:val="22"/>
              </w:rPr>
            </w:pPr>
            <w:r w:rsidRPr="001B69C8">
              <w:rPr>
                <w:rFonts w:cs="Arial"/>
                <w:sz w:val="20"/>
                <w:szCs w:val="22"/>
              </w:rPr>
              <w:t>8.6%</w:t>
            </w:r>
          </w:p>
        </w:tc>
        <w:tc>
          <w:tcPr>
            <w:tcW w:w="1908" w:type="dxa"/>
            <w:shd w:val="clear" w:color="auto" w:fill="DEE4EE"/>
            <w:vAlign w:val="center"/>
          </w:tcPr>
          <w:p w:rsidR="00220B78" w:rsidRPr="001B69C8" w:rsidRDefault="00220B78" w:rsidP="001B69C8">
            <w:pPr>
              <w:jc w:val="center"/>
              <w:rPr>
                <w:rFonts w:cs="Arial"/>
                <w:sz w:val="20"/>
                <w:szCs w:val="22"/>
              </w:rPr>
            </w:pPr>
            <w:r w:rsidRPr="001B69C8">
              <w:rPr>
                <w:rFonts w:cs="Arial"/>
                <w:sz w:val="20"/>
                <w:szCs w:val="22"/>
              </w:rPr>
              <w:t>18</w:t>
            </w:r>
          </w:p>
        </w:tc>
        <w:tc>
          <w:tcPr>
            <w:tcW w:w="1911" w:type="dxa"/>
            <w:vAlign w:val="center"/>
          </w:tcPr>
          <w:p w:rsidR="00220B78" w:rsidRPr="001B69C8" w:rsidRDefault="00220B78" w:rsidP="001B69C8">
            <w:pPr>
              <w:jc w:val="center"/>
              <w:rPr>
                <w:rFonts w:cs="Arial"/>
                <w:sz w:val="20"/>
                <w:szCs w:val="22"/>
              </w:rPr>
            </w:pPr>
            <w:r w:rsidRPr="001B69C8">
              <w:rPr>
                <w:rFonts w:cs="Arial"/>
                <w:sz w:val="20"/>
                <w:szCs w:val="22"/>
              </w:rPr>
              <w:t>10.2%</w:t>
            </w:r>
          </w:p>
        </w:tc>
      </w:tr>
      <w:tr w:rsidR="00220B78" w:rsidRPr="005F5C4F" w:rsidTr="001B69C8">
        <w:trPr>
          <w:trHeight w:hRule="exact" w:val="340"/>
        </w:trPr>
        <w:tc>
          <w:tcPr>
            <w:tcW w:w="2018" w:type="dxa"/>
            <w:vAlign w:val="center"/>
          </w:tcPr>
          <w:p w:rsidR="00220B78" w:rsidRPr="00C95655" w:rsidRDefault="00220B78" w:rsidP="001A71EF">
            <w:pPr>
              <w:pStyle w:val="DHSbodycopytable"/>
              <w:rPr>
                <w:rFonts w:cs="Arial"/>
                <w:sz w:val="20"/>
              </w:rPr>
            </w:pPr>
            <w:r w:rsidRPr="00C95655">
              <w:rPr>
                <w:rFonts w:cs="Arial"/>
                <w:sz w:val="20"/>
              </w:rPr>
              <w:t>3 bedrooms</w:t>
            </w:r>
          </w:p>
        </w:tc>
        <w:tc>
          <w:tcPr>
            <w:tcW w:w="1929" w:type="dxa"/>
            <w:shd w:val="clear" w:color="auto" w:fill="DEE4EE"/>
            <w:vAlign w:val="center"/>
          </w:tcPr>
          <w:p w:rsidR="00220B78" w:rsidRPr="001B69C8" w:rsidRDefault="00220B78" w:rsidP="001B69C8">
            <w:pPr>
              <w:jc w:val="center"/>
              <w:rPr>
                <w:rFonts w:cs="Arial"/>
                <w:sz w:val="20"/>
                <w:szCs w:val="22"/>
              </w:rPr>
            </w:pPr>
            <w:r w:rsidRPr="001B69C8">
              <w:rPr>
                <w:rFonts w:cs="Arial"/>
                <w:sz w:val="20"/>
                <w:szCs w:val="22"/>
              </w:rPr>
              <w:t>21</w:t>
            </w:r>
          </w:p>
        </w:tc>
        <w:tc>
          <w:tcPr>
            <w:tcW w:w="1980" w:type="dxa"/>
            <w:vAlign w:val="center"/>
          </w:tcPr>
          <w:p w:rsidR="00220B78" w:rsidRPr="001B69C8" w:rsidRDefault="00220B78" w:rsidP="001B69C8">
            <w:pPr>
              <w:jc w:val="center"/>
              <w:rPr>
                <w:rFonts w:cs="Arial"/>
                <w:sz w:val="20"/>
                <w:szCs w:val="22"/>
              </w:rPr>
            </w:pPr>
            <w:r w:rsidRPr="001B69C8">
              <w:rPr>
                <w:rFonts w:cs="Arial"/>
                <w:sz w:val="20"/>
                <w:szCs w:val="22"/>
              </w:rPr>
              <w:t>8.4%</w:t>
            </w:r>
          </w:p>
        </w:tc>
        <w:tc>
          <w:tcPr>
            <w:tcW w:w="1908" w:type="dxa"/>
            <w:shd w:val="clear" w:color="auto" w:fill="DEE4EE"/>
            <w:vAlign w:val="center"/>
          </w:tcPr>
          <w:p w:rsidR="00220B78" w:rsidRPr="001B69C8" w:rsidRDefault="00220B78" w:rsidP="001B69C8">
            <w:pPr>
              <w:jc w:val="center"/>
              <w:rPr>
                <w:rFonts w:cs="Arial"/>
                <w:sz w:val="20"/>
                <w:szCs w:val="22"/>
              </w:rPr>
            </w:pPr>
            <w:r w:rsidRPr="001B69C8">
              <w:rPr>
                <w:rFonts w:cs="Arial"/>
                <w:sz w:val="20"/>
                <w:szCs w:val="22"/>
              </w:rPr>
              <w:t>17</w:t>
            </w:r>
          </w:p>
        </w:tc>
        <w:tc>
          <w:tcPr>
            <w:tcW w:w="1911" w:type="dxa"/>
            <w:vAlign w:val="center"/>
          </w:tcPr>
          <w:p w:rsidR="00220B78" w:rsidRPr="001B69C8" w:rsidRDefault="00220B78" w:rsidP="001B69C8">
            <w:pPr>
              <w:jc w:val="center"/>
              <w:rPr>
                <w:rFonts w:cs="Arial"/>
                <w:sz w:val="20"/>
                <w:szCs w:val="22"/>
              </w:rPr>
            </w:pPr>
            <w:r w:rsidRPr="001B69C8">
              <w:rPr>
                <w:rFonts w:cs="Arial"/>
                <w:sz w:val="20"/>
                <w:szCs w:val="22"/>
              </w:rPr>
              <w:t>10.7%</w:t>
            </w:r>
          </w:p>
        </w:tc>
      </w:tr>
      <w:tr w:rsidR="00220B78" w:rsidRPr="005F5C4F" w:rsidTr="001B69C8">
        <w:trPr>
          <w:trHeight w:hRule="exact" w:val="340"/>
        </w:trPr>
        <w:tc>
          <w:tcPr>
            <w:tcW w:w="2018" w:type="dxa"/>
            <w:vAlign w:val="center"/>
          </w:tcPr>
          <w:p w:rsidR="00220B78" w:rsidRPr="00C95655" w:rsidRDefault="00220B78" w:rsidP="001A71EF">
            <w:pPr>
              <w:pStyle w:val="DHSbodycopytable"/>
              <w:rPr>
                <w:rFonts w:cs="Arial"/>
                <w:sz w:val="20"/>
              </w:rPr>
            </w:pPr>
            <w:r w:rsidRPr="00C95655">
              <w:rPr>
                <w:rFonts w:cs="Arial"/>
                <w:sz w:val="20"/>
              </w:rPr>
              <w:t>4+ bedrooms</w:t>
            </w:r>
          </w:p>
        </w:tc>
        <w:tc>
          <w:tcPr>
            <w:tcW w:w="1929" w:type="dxa"/>
            <w:shd w:val="clear" w:color="auto" w:fill="DEE4EE"/>
            <w:vAlign w:val="center"/>
          </w:tcPr>
          <w:p w:rsidR="00220B78" w:rsidRPr="001B69C8" w:rsidRDefault="00220B78" w:rsidP="001B69C8">
            <w:pPr>
              <w:jc w:val="center"/>
              <w:rPr>
                <w:rFonts w:cs="Arial"/>
                <w:sz w:val="20"/>
                <w:szCs w:val="22"/>
              </w:rPr>
            </w:pPr>
            <w:r w:rsidRPr="001B69C8">
              <w:rPr>
                <w:rFonts w:cs="Arial"/>
                <w:sz w:val="20"/>
                <w:szCs w:val="22"/>
              </w:rPr>
              <w:t>19</w:t>
            </w:r>
          </w:p>
        </w:tc>
        <w:tc>
          <w:tcPr>
            <w:tcW w:w="1980" w:type="dxa"/>
            <w:vAlign w:val="center"/>
          </w:tcPr>
          <w:p w:rsidR="00220B78" w:rsidRPr="001B69C8" w:rsidRDefault="00220B78" w:rsidP="001B69C8">
            <w:pPr>
              <w:jc w:val="center"/>
              <w:rPr>
                <w:rFonts w:cs="Arial"/>
                <w:sz w:val="20"/>
                <w:szCs w:val="22"/>
              </w:rPr>
            </w:pPr>
            <w:r w:rsidRPr="001B69C8">
              <w:rPr>
                <w:rFonts w:cs="Arial"/>
                <w:sz w:val="20"/>
                <w:szCs w:val="22"/>
              </w:rPr>
              <w:t>8.8%</w:t>
            </w:r>
          </w:p>
        </w:tc>
        <w:tc>
          <w:tcPr>
            <w:tcW w:w="1908" w:type="dxa"/>
            <w:shd w:val="clear" w:color="auto" w:fill="DEE4EE"/>
            <w:vAlign w:val="center"/>
          </w:tcPr>
          <w:p w:rsidR="00220B78" w:rsidRPr="001B69C8" w:rsidRDefault="00220B78" w:rsidP="001B69C8">
            <w:pPr>
              <w:jc w:val="center"/>
              <w:rPr>
                <w:rFonts w:cs="Arial"/>
                <w:sz w:val="20"/>
                <w:szCs w:val="22"/>
              </w:rPr>
            </w:pPr>
            <w:r w:rsidRPr="001B69C8">
              <w:rPr>
                <w:rFonts w:cs="Arial"/>
                <w:sz w:val="20"/>
                <w:szCs w:val="22"/>
              </w:rPr>
              <w:t>15</w:t>
            </w:r>
          </w:p>
        </w:tc>
        <w:tc>
          <w:tcPr>
            <w:tcW w:w="1911" w:type="dxa"/>
            <w:vAlign w:val="center"/>
          </w:tcPr>
          <w:p w:rsidR="00220B78" w:rsidRPr="001B69C8" w:rsidRDefault="00220B78" w:rsidP="001B69C8">
            <w:pPr>
              <w:jc w:val="center"/>
              <w:rPr>
                <w:rFonts w:cs="Arial"/>
                <w:sz w:val="20"/>
                <w:szCs w:val="22"/>
              </w:rPr>
            </w:pPr>
            <w:r w:rsidRPr="001B69C8">
              <w:rPr>
                <w:rFonts w:cs="Arial"/>
                <w:sz w:val="20"/>
                <w:szCs w:val="22"/>
              </w:rPr>
              <w:t>11.0%</w:t>
            </w:r>
          </w:p>
        </w:tc>
      </w:tr>
      <w:tr w:rsidR="00220B78" w:rsidRPr="005F5C4F" w:rsidTr="001B69C8">
        <w:trPr>
          <w:trHeight w:hRule="exact" w:val="340"/>
        </w:trPr>
        <w:tc>
          <w:tcPr>
            <w:tcW w:w="2018" w:type="dxa"/>
            <w:vAlign w:val="center"/>
          </w:tcPr>
          <w:p w:rsidR="00220B78" w:rsidRPr="00C95655" w:rsidRDefault="00220B78" w:rsidP="001A71EF">
            <w:pPr>
              <w:pStyle w:val="DHSbodycopytable"/>
              <w:rPr>
                <w:rFonts w:cs="Arial"/>
                <w:sz w:val="20"/>
              </w:rPr>
            </w:pPr>
            <w:r w:rsidRPr="00C95655">
              <w:rPr>
                <w:rFonts w:cs="Arial"/>
                <w:sz w:val="20"/>
              </w:rPr>
              <w:t>All properties</w:t>
            </w:r>
          </w:p>
        </w:tc>
        <w:tc>
          <w:tcPr>
            <w:tcW w:w="1929" w:type="dxa"/>
            <w:shd w:val="clear" w:color="auto" w:fill="DEE4EE"/>
            <w:vAlign w:val="center"/>
          </w:tcPr>
          <w:p w:rsidR="00220B78" w:rsidRPr="001B69C8" w:rsidRDefault="00220B78" w:rsidP="001B69C8">
            <w:pPr>
              <w:jc w:val="center"/>
              <w:rPr>
                <w:rFonts w:cs="Arial"/>
                <w:sz w:val="20"/>
                <w:szCs w:val="22"/>
              </w:rPr>
            </w:pPr>
            <w:r w:rsidRPr="001B69C8">
              <w:rPr>
                <w:rFonts w:cs="Arial"/>
                <w:sz w:val="20"/>
                <w:szCs w:val="22"/>
              </w:rPr>
              <w:t>19</w:t>
            </w:r>
          </w:p>
        </w:tc>
        <w:tc>
          <w:tcPr>
            <w:tcW w:w="1980" w:type="dxa"/>
            <w:vAlign w:val="center"/>
          </w:tcPr>
          <w:p w:rsidR="00220B78" w:rsidRPr="001B69C8" w:rsidRDefault="00220B78" w:rsidP="001B69C8">
            <w:pPr>
              <w:jc w:val="center"/>
              <w:rPr>
                <w:rFonts w:cs="Arial"/>
                <w:sz w:val="20"/>
                <w:szCs w:val="22"/>
              </w:rPr>
            </w:pPr>
            <w:r w:rsidRPr="001B69C8">
              <w:rPr>
                <w:rFonts w:cs="Arial"/>
                <w:sz w:val="20"/>
                <w:szCs w:val="22"/>
              </w:rPr>
              <w:t>8.9%</w:t>
            </w:r>
          </w:p>
        </w:tc>
        <w:tc>
          <w:tcPr>
            <w:tcW w:w="1908" w:type="dxa"/>
            <w:shd w:val="clear" w:color="auto" w:fill="DEE4EE"/>
            <w:vAlign w:val="center"/>
          </w:tcPr>
          <w:p w:rsidR="00220B78" w:rsidRPr="001B69C8" w:rsidRDefault="00220B78" w:rsidP="001B69C8">
            <w:pPr>
              <w:jc w:val="center"/>
              <w:rPr>
                <w:rFonts w:cs="Arial"/>
                <w:sz w:val="20"/>
                <w:szCs w:val="22"/>
              </w:rPr>
            </w:pPr>
            <w:r w:rsidRPr="001B69C8">
              <w:rPr>
                <w:rFonts w:cs="Arial"/>
                <w:sz w:val="20"/>
                <w:szCs w:val="22"/>
              </w:rPr>
              <w:t>17</w:t>
            </w:r>
          </w:p>
        </w:tc>
        <w:tc>
          <w:tcPr>
            <w:tcW w:w="1911" w:type="dxa"/>
            <w:vAlign w:val="center"/>
          </w:tcPr>
          <w:p w:rsidR="00220B78" w:rsidRPr="001B69C8" w:rsidRDefault="00220B78" w:rsidP="001B69C8">
            <w:pPr>
              <w:jc w:val="center"/>
              <w:rPr>
                <w:rFonts w:cs="Arial"/>
                <w:sz w:val="20"/>
                <w:szCs w:val="22"/>
              </w:rPr>
            </w:pPr>
            <w:r w:rsidRPr="001B69C8">
              <w:rPr>
                <w:rFonts w:cs="Arial"/>
                <w:sz w:val="20"/>
                <w:szCs w:val="22"/>
              </w:rPr>
              <w:t>10.6%</w:t>
            </w:r>
          </w:p>
        </w:tc>
      </w:tr>
    </w:tbl>
    <w:p w:rsidR="0047763C" w:rsidRPr="00831AFF" w:rsidRDefault="0047763C" w:rsidP="005A1E70">
      <w:pPr>
        <w:pStyle w:val="DHSheadingB"/>
        <w:rPr>
          <w:rFonts w:cs="Arial"/>
        </w:rPr>
      </w:pPr>
      <w:r w:rsidRPr="00831AFF">
        <w:rPr>
          <w:rFonts w:cs="Arial"/>
        </w:rPr>
        <w:t>Investor finance</w:t>
      </w:r>
    </w:p>
    <w:p w:rsidR="0047763C" w:rsidRDefault="0047763C" w:rsidP="00054C75">
      <w:pPr>
        <w:rPr>
          <w:rFonts w:cs="Arial"/>
          <w:szCs w:val="20"/>
        </w:rPr>
      </w:pPr>
      <w:r w:rsidRPr="000F3B39">
        <w:rPr>
          <w:rFonts w:cs="Arial"/>
          <w:szCs w:val="20"/>
        </w:rPr>
        <w:t xml:space="preserve">Loan approvals for the purchase or construction of dwellings for purposes of investment (not owner-occupation) provide a measure of investor activity levels in the Victorian housing market. </w:t>
      </w:r>
    </w:p>
    <w:p w:rsidR="00EF1C0C" w:rsidRPr="000F3B39" w:rsidRDefault="00EF1C0C" w:rsidP="00054C75">
      <w:pPr>
        <w:rPr>
          <w:rFonts w:cs="Arial"/>
          <w:szCs w:val="20"/>
        </w:rPr>
      </w:pPr>
    </w:p>
    <w:p w:rsidR="00EF1C0C" w:rsidRPr="000F3B39" w:rsidRDefault="00EF1C0C" w:rsidP="00EF1C0C">
      <w:pPr>
        <w:rPr>
          <w:rFonts w:cs="Arial"/>
          <w:szCs w:val="20"/>
        </w:rPr>
      </w:pPr>
      <w:r w:rsidRPr="000F3B39">
        <w:rPr>
          <w:rFonts w:cs="Arial"/>
          <w:szCs w:val="20"/>
        </w:rPr>
        <w:t>Figure 6 presents a summary of lending for housing investment in Victoria over the past five years.</w:t>
      </w:r>
    </w:p>
    <w:p w:rsidR="0047763C" w:rsidRPr="000F3B39" w:rsidRDefault="0047763C" w:rsidP="00054C75">
      <w:pPr>
        <w:rPr>
          <w:rFonts w:cs="Arial"/>
          <w:szCs w:val="20"/>
        </w:rPr>
      </w:pPr>
    </w:p>
    <w:p w:rsidR="0047763C" w:rsidRPr="000F3B39" w:rsidRDefault="0047763C" w:rsidP="000854B6">
      <w:pPr>
        <w:rPr>
          <w:rFonts w:cs="Arial"/>
          <w:szCs w:val="20"/>
        </w:rPr>
      </w:pPr>
      <w:r w:rsidRPr="008978C9">
        <w:rPr>
          <w:rFonts w:cs="Arial"/>
          <w:szCs w:val="20"/>
        </w:rPr>
        <w:t xml:space="preserve">In the </w:t>
      </w:r>
      <w:r w:rsidR="004B57AE">
        <w:rPr>
          <w:rFonts w:cs="Arial"/>
          <w:szCs w:val="20"/>
        </w:rPr>
        <w:t>December</w:t>
      </w:r>
      <w:r w:rsidR="00913D02">
        <w:rPr>
          <w:rFonts w:cs="Arial"/>
          <w:szCs w:val="20"/>
        </w:rPr>
        <w:t xml:space="preserve"> quarter 201</w:t>
      </w:r>
      <w:r w:rsidR="006E653D">
        <w:rPr>
          <w:rFonts w:cs="Arial"/>
          <w:szCs w:val="20"/>
        </w:rPr>
        <w:t>5</w:t>
      </w:r>
      <w:r w:rsidRPr="008978C9">
        <w:rPr>
          <w:rFonts w:cs="Arial"/>
          <w:szCs w:val="20"/>
        </w:rPr>
        <w:t>, the lending to investors in Victoria was $</w:t>
      </w:r>
      <w:r w:rsidR="001B69C8">
        <w:rPr>
          <w:rFonts w:cs="Arial"/>
          <w:szCs w:val="20"/>
        </w:rPr>
        <w:t>9.53 billion which was 27.1</w:t>
      </w:r>
      <w:r w:rsidRPr="008978C9">
        <w:rPr>
          <w:rFonts w:cs="Arial"/>
          <w:szCs w:val="20"/>
        </w:rPr>
        <w:t xml:space="preserve"> per cent of the total lending for the purchase or construction of dwellings</w:t>
      </w:r>
      <w:r w:rsidR="001B69C8">
        <w:rPr>
          <w:rFonts w:cs="Arial"/>
          <w:szCs w:val="20"/>
        </w:rPr>
        <w:t xml:space="preserve"> and the lowest </w:t>
      </w:r>
      <w:r w:rsidR="001B69C8">
        <w:rPr>
          <w:rFonts w:cs="Arial"/>
          <w:szCs w:val="20"/>
        </w:rPr>
        <w:lastRenderedPageBreak/>
        <w:t xml:space="preserve">percentage of total lending since </w:t>
      </w:r>
      <w:r w:rsidR="00360F0B">
        <w:rPr>
          <w:rFonts w:cs="Arial"/>
          <w:szCs w:val="20"/>
        </w:rPr>
        <w:t xml:space="preserve">the </w:t>
      </w:r>
      <w:r w:rsidR="001B69C8">
        <w:rPr>
          <w:rFonts w:cs="Arial"/>
          <w:szCs w:val="20"/>
        </w:rPr>
        <w:t xml:space="preserve">March </w:t>
      </w:r>
      <w:r w:rsidR="00360F0B">
        <w:rPr>
          <w:rFonts w:cs="Arial"/>
          <w:szCs w:val="20"/>
        </w:rPr>
        <w:t xml:space="preserve">quarter </w:t>
      </w:r>
      <w:r w:rsidR="001B69C8">
        <w:rPr>
          <w:rFonts w:cs="Arial"/>
          <w:szCs w:val="20"/>
        </w:rPr>
        <w:t>2007</w:t>
      </w:r>
      <w:r w:rsidRPr="008978C9">
        <w:rPr>
          <w:rFonts w:cs="Arial"/>
          <w:szCs w:val="20"/>
        </w:rPr>
        <w:t xml:space="preserve">. </w:t>
      </w:r>
      <w:r w:rsidR="00F24E3B">
        <w:rPr>
          <w:rFonts w:cs="Arial"/>
          <w:szCs w:val="20"/>
        </w:rPr>
        <w:t>Lending to investors</w:t>
      </w:r>
      <w:r w:rsidRPr="008978C9">
        <w:rPr>
          <w:rFonts w:cs="Arial"/>
          <w:szCs w:val="20"/>
        </w:rPr>
        <w:t xml:space="preserve"> </w:t>
      </w:r>
      <w:r w:rsidR="00913D02">
        <w:rPr>
          <w:rFonts w:cs="Arial"/>
          <w:szCs w:val="20"/>
        </w:rPr>
        <w:t xml:space="preserve">is </w:t>
      </w:r>
      <w:r w:rsidR="001B69C8">
        <w:rPr>
          <w:rFonts w:cs="Arial"/>
          <w:szCs w:val="20"/>
        </w:rPr>
        <w:t>1.7</w:t>
      </w:r>
      <w:r w:rsidRPr="008978C9">
        <w:rPr>
          <w:rFonts w:cs="Arial"/>
          <w:szCs w:val="20"/>
        </w:rPr>
        <w:t xml:space="preserve"> per cent </w:t>
      </w:r>
      <w:r w:rsidR="001B69C8">
        <w:rPr>
          <w:rFonts w:cs="Arial"/>
          <w:szCs w:val="20"/>
        </w:rPr>
        <w:t>lower</w:t>
      </w:r>
      <w:r w:rsidRPr="000F3B39">
        <w:rPr>
          <w:rFonts w:cs="Arial"/>
          <w:szCs w:val="20"/>
        </w:rPr>
        <w:t xml:space="preserve"> than </w:t>
      </w:r>
      <w:r w:rsidR="00360F0B">
        <w:rPr>
          <w:rFonts w:cs="Arial"/>
          <w:szCs w:val="20"/>
        </w:rPr>
        <w:t>that</w:t>
      </w:r>
      <w:r w:rsidRPr="000F3B39">
        <w:rPr>
          <w:rFonts w:cs="Arial"/>
          <w:szCs w:val="20"/>
        </w:rPr>
        <w:t xml:space="preserve"> </w:t>
      </w:r>
      <w:r>
        <w:rPr>
          <w:rFonts w:cs="Arial"/>
          <w:szCs w:val="20"/>
        </w:rPr>
        <w:t xml:space="preserve">in the </w:t>
      </w:r>
      <w:r w:rsidR="00913D02">
        <w:rPr>
          <w:rFonts w:cs="Arial"/>
          <w:szCs w:val="20"/>
        </w:rPr>
        <w:t>same quarter of 201</w:t>
      </w:r>
      <w:r w:rsidR="006E653D">
        <w:rPr>
          <w:rFonts w:cs="Arial"/>
          <w:szCs w:val="20"/>
        </w:rPr>
        <w:t>4</w:t>
      </w:r>
      <w:r w:rsidRPr="000F3B39">
        <w:rPr>
          <w:rFonts w:cs="Arial"/>
          <w:szCs w:val="20"/>
        </w:rPr>
        <w:t xml:space="preserve"> </w:t>
      </w:r>
      <w:r w:rsidR="00C64921">
        <w:rPr>
          <w:rFonts w:cs="Arial"/>
          <w:szCs w:val="20"/>
        </w:rPr>
        <w:t xml:space="preserve">and </w:t>
      </w:r>
      <w:r w:rsidR="001B69C8">
        <w:rPr>
          <w:rFonts w:cs="Arial"/>
          <w:szCs w:val="20"/>
        </w:rPr>
        <w:t>8.1</w:t>
      </w:r>
      <w:r w:rsidRPr="000F3B39">
        <w:rPr>
          <w:rFonts w:cs="Arial"/>
          <w:szCs w:val="20"/>
        </w:rPr>
        <w:t xml:space="preserve"> per cent </w:t>
      </w:r>
      <w:r w:rsidR="00F24E3B">
        <w:rPr>
          <w:rFonts w:cs="Arial"/>
          <w:szCs w:val="20"/>
        </w:rPr>
        <w:t>lower</w:t>
      </w:r>
      <w:r w:rsidRPr="000F3B39">
        <w:rPr>
          <w:rFonts w:cs="Arial"/>
          <w:szCs w:val="20"/>
        </w:rPr>
        <w:t xml:space="preserve"> than </w:t>
      </w:r>
      <w:r>
        <w:rPr>
          <w:rFonts w:cs="Arial"/>
          <w:szCs w:val="20"/>
        </w:rPr>
        <w:t xml:space="preserve">the level in the </w:t>
      </w:r>
      <w:r w:rsidRPr="000F3B39">
        <w:rPr>
          <w:rFonts w:cs="Arial"/>
          <w:szCs w:val="20"/>
        </w:rPr>
        <w:t>last quarter.</w:t>
      </w:r>
    </w:p>
    <w:p w:rsidR="0047763C" w:rsidRPr="00154B67" w:rsidRDefault="0047763C" w:rsidP="00054C75">
      <w:pPr>
        <w:rPr>
          <w:rFonts w:cs="Arial"/>
          <w:b/>
        </w:rPr>
      </w:pPr>
    </w:p>
    <w:p w:rsidR="0047763C" w:rsidRDefault="00360F0B" w:rsidP="00F24E3B">
      <w:pPr>
        <w:pStyle w:val="DHSheadingD"/>
        <w:jc w:val="center"/>
        <w:rPr>
          <w:rFonts w:cs="Arial"/>
          <w:lang w:val="en-US"/>
        </w:rPr>
      </w:pPr>
      <w:r w:rsidRPr="005540A2">
        <w:rPr>
          <w:rFonts w:cs="Arial"/>
          <w:b w:val="0"/>
          <w:noProof/>
          <w:lang w:eastAsia="en-AU"/>
        </w:rPr>
        <w:drawing>
          <wp:anchor distT="0" distB="0" distL="114300" distR="114300" simplePos="0" relativeHeight="251659264" behindDoc="0" locked="1" layoutInCell="1" allowOverlap="1" wp14:anchorId="53A44911" wp14:editId="6093E757">
            <wp:simplePos x="0" y="0"/>
            <wp:positionH relativeFrom="column">
              <wp:align>center</wp:align>
            </wp:positionH>
            <wp:positionV relativeFrom="paragraph">
              <wp:posOffset>360045</wp:posOffset>
            </wp:positionV>
            <wp:extent cx="5288400" cy="3168000"/>
            <wp:effectExtent l="0" t="0" r="7620" b="0"/>
            <wp:wrapSquare wrapText="bothSides"/>
            <wp:docPr id="2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47763C" w:rsidRPr="00706644">
        <w:rPr>
          <w:rFonts w:cs="Arial"/>
          <w:lang w:val="en-US"/>
        </w:rPr>
        <w:t>Figure 6: Lending to investors in residential housing, Victoria</w:t>
      </w:r>
      <w:r w:rsidR="00C64921">
        <w:rPr>
          <w:rFonts w:cs="Arial"/>
          <w:lang w:val="en-US"/>
        </w:rPr>
        <w:t xml:space="preserve"> ($2015)</w:t>
      </w:r>
    </w:p>
    <w:p w:rsidR="0047763C" w:rsidRDefault="0047763C" w:rsidP="00014AA9">
      <w:pPr>
        <w:ind w:left="2160" w:hanging="720"/>
        <w:rPr>
          <w:rFonts w:cs="Arial"/>
          <w:color w:val="000000"/>
          <w:sz w:val="16"/>
          <w:szCs w:val="16"/>
          <w:lang w:eastAsia="en-AU"/>
        </w:rPr>
      </w:pPr>
      <w:r w:rsidRPr="008978C9">
        <w:rPr>
          <w:rFonts w:cs="Arial"/>
          <w:sz w:val="16"/>
          <w:szCs w:val="16"/>
          <w:u w:val="single"/>
        </w:rPr>
        <w:t>Note</w:t>
      </w:r>
      <w:r w:rsidRPr="008978C9">
        <w:rPr>
          <w:rFonts w:cs="Arial"/>
          <w:sz w:val="16"/>
          <w:szCs w:val="16"/>
        </w:rPr>
        <w:t xml:space="preserve">: </w:t>
      </w:r>
      <w:r w:rsidRPr="008978C9">
        <w:rPr>
          <w:rFonts w:cs="Arial"/>
          <w:color w:val="000000"/>
          <w:sz w:val="16"/>
          <w:szCs w:val="16"/>
          <w:lang w:eastAsia="en-AU"/>
        </w:rPr>
        <w:t xml:space="preserve">Lending to investors in December </w:t>
      </w:r>
      <w:r w:rsidR="00014AA9">
        <w:rPr>
          <w:rFonts w:cs="Arial"/>
          <w:color w:val="000000"/>
          <w:sz w:val="16"/>
          <w:szCs w:val="16"/>
          <w:lang w:eastAsia="en-AU"/>
        </w:rPr>
        <w:t xml:space="preserve">quarter </w:t>
      </w:r>
      <w:r w:rsidRPr="008978C9">
        <w:rPr>
          <w:rFonts w:cs="Arial"/>
          <w:color w:val="000000"/>
          <w:sz w:val="16"/>
          <w:szCs w:val="16"/>
          <w:lang w:eastAsia="en-AU"/>
        </w:rPr>
        <w:t>2011</w:t>
      </w:r>
      <w:r w:rsidR="00014AA9">
        <w:rPr>
          <w:rFonts w:cs="Arial"/>
          <w:color w:val="000000"/>
          <w:sz w:val="16"/>
          <w:szCs w:val="16"/>
          <w:lang w:eastAsia="en-AU"/>
        </w:rPr>
        <w:t xml:space="preserve">, </w:t>
      </w:r>
      <w:r w:rsidR="00913D02">
        <w:rPr>
          <w:rFonts w:cs="Arial"/>
          <w:color w:val="000000"/>
          <w:sz w:val="16"/>
          <w:szCs w:val="16"/>
          <w:lang w:eastAsia="en-AU"/>
        </w:rPr>
        <w:t xml:space="preserve">March </w:t>
      </w:r>
      <w:r w:rsidR="00014AA9">
        <w:rPr>
          <w:rFonts w:cs="Arial"/>
          <w:color w:val="000000"/>
          <w:sz w:val="16"/>
          <w:szCs w:val="16"/>
          <w:lang w:eastAsia="en-AU"/>
        </w:rPr>
        <w:t xml:space="preserve">quarter </w:t>
      </w:r>
      <w:r w:rsidR="00913D02">
        <w:rPr>
          <w:rFonts w:cs="Arial"/>
          <w:color w:val="000000"/>
          <w:sz w:val="16"/>
          <w:szCs w:val="16"/>
          <w:lang w:eastAsia="en-AU"/>
        </w:rPr>
        <w:t>2013</w:t>
      </w:r>
      <w:r w:rsidR="00014AA9">
        <w:rPr>
          <w:rFonts w:cs="Arial"/>
          <w:color w:val="000000"/>
          <w:sz w:val="16"/>
          <w:szCs w:val="16"/>
          <w:lang w:eastAsia="en-AU"/>
        </w:rPr>
        <w:t xml:space="preserve"> and</w:t>
      </w:r>
      <w:r w:rsidR="00014AA9">
        <w:rPr>
          <w:rFonts w:cs="Arial"/>
          <w:color w:val="000000"/>
          <w:sz w:val="16"/>
          <w:szCs w:val="16"/>
          <w:lang w:eastAsia="en-AU"/>
        </w:rPr>
        <w:br/>
        <w:t>June quarter 2013</w:t>
      </w:r>
      <w:r w:rsidRPr="008978C9">
        <w:rPr>
          <w:rFonts w:cs="Arial"/>
          <w:color w:val="000000"/>
          <w:sz w:val="16"/>
          <w:szCs w:val="16"/>
          <w:lang w:eastAsia="en-AU"/>
        </w:rPr>
        <w:t xml:space="preserve"> is an estimate - see </w:t>
      </w:r>
      <w:r>
        <w:rPr>
          <w:rFonts w:cs="Arial"/>
          <w:color w:val="000000"/>
          <w:sz w:val="16"/>
          <w:szCs w:val="16"/>
          <w:lang w:eastAsia="en-AU"/>
        </w:rPr>
        <w:t>N</w:t>
      </w:r>
      <w:r w:rsidRPr="008978C9">
        <w:rPr>
          <w:rFonts w:cs="Arial"/>
          <w:color w:val="000000"/>
          <w:sz w:val="16"/>
          <w:szCs w:val="16"/>
          <w:lang w:eastAsia="en-AU"/>
        </w:rPr>
        <w:t xml:space="preserve">ote </w:t>
      </w:r>
      <w:r>
        <w:rPr>
          <w:rFonts w:cs="Arial"/>
          <w:color w:val="000000"/>
          <w:sz w:val="16"/>
          <w:szCs w:val="16"/>
          <w:lang w:eastAsia="en-AU"/>
        </w:rPr>
        <w:t>6</w:t>
      </w:r>
    </w:p>
    <w:p w:rsidR="00741335" w:rsidRPr="00741335" w:rsidRDefault="00741335" w:rsidP="00741335"/>
    <w:p w:rsidR="0047763C" w:rsidRDefault="0047763C">
      <w:pPr>
        <w:rPr>
          <w:rFonts w:cs="Arial"/>
          <w:color w:val="000000"/>
          <w:sz w:val="16"/>
          <w:szCs w:val="16"/>
          <w:lang w:eastAsia="en-AU"/>
        </w:rPr>
      </w:pPr>
      <w:r>
        <w:rPr>
          <w:rFonts w:cs="Arial"/>
          <w:color w:val="000000"/>
          <w:sz w:val="16"/>
          <w:szCs w:val="16"/>
          <w:lang w:eastAsia="en-AU"/>
        </w:rPr>
        <w:br w:type="page"/>
      </w:r>
    </w:p>
    <w:p w:rsidR="0047763C" w:rsidRPr="00831AFF" w:rsidRDefault="0047763C" w:rsidP="005A1E70">
      <w:pPr>
        <w:pStyle w:val="DHSheadingB"/>
        <w:rPr>
          <w:rFonts w:cs="Arial"/>
        </w:rPr>
      </w:pPr>
      <w:r w:rsidRPr="00831AFF">
        <w:rPr>
          <w:rFonts w:cs="Arial"/>
        </w:rPr>
        <w:lastRenderedPageBreak/>
        <w:t>Vacancy Rate</w:t>
      </w:r>
    </w:p>
    <w:p w:rsidR="0047763C" w:rsidRPr="00562B58" w:rsidRDefault="0047763C" w:rsidP="00DE772C">
      <w:r w:rsidRPr="00562B58">
        <w:t xml:space="preserve">Figure 7 shows the trend vacancy rate over the past five years for metropolitan Melbourne and regional Victoria. </w:t>
      </w:r>
    </w:p>
    <w:p w:rsidR="0047763C" w:rsidRPr="000F3B39" w:rsidRDefault="0047763C" w:rsidP="00DE772C">
      <w:pPr>
        <w:rPr>
          <w:rFonts w:cs="Arial"/>
          <w:szCs w:val="20"/>
        </w:rPr>
      </w:pPr>
    </w:p>
    <w:p w:rsidR="0047763C" w:rsidRPr="000F3B39" w:rsidRDefault="0047763C" w:rsidP="00054C75">
      <w:pPr>
        <w:rPr>
          <w:rFonts w:cs="Arial"/>
          <w:szCs w:val="20"/>
        </w:rPr>
      </w:pPr>
      <w:r w:rsidRPr="000F3B39">
        <w:rPr>
          <w:rFonts w:cs="Arial"/>
          <w:szCs w:val="20"/>
        </w:rPr>
        <w:t xml:space="preserve">In </w:t>
      </w:r>
      <w:r w:rsidR="004B57AE">
        <w:rPr>
          <w:rFonts w:cs="Arial"/>
          <w:szCs w:val="20"/>
        </w:rPr>
        <w:t>December</w:t>
      </w:r>
      <w:r w:rsidR="00190052">
        <w:rPr>
          <w:rFonts w:cs="Arial"/>
          <w:szCs w:val="20"/>
        </w:rPr>
        <w:t xml:space="preserve"> 2015</w:t>
      </w:r>
      <w:r w:rsidRPr="000F3B39">
        <w:rPr>
          <w:rFonts w:cs="Arial"/>
          <w:szCs w:val="20"/>
        </w:rPr>
        <w:t>, the trend vacancy rate for metropolitan Melbourne</w:t>
      </w:r>
      <w:r w:rsidR="00C856CB">
        <w:rPr>
          <w:rFonts w:cs="Arial"/>
          <w:szCs w:val="20"/>
        </w:rPr>
        <w:t xml:space="preserve"> was </w:t>
      </w:r>
      <w:r w:rsidR="00B74B36">
        <w:rPr>
          <w:rFonts w:cs="Arial"/>
          <w:szCs w:val="20"/>
        </w:rPr>
        <w:t>3.3</w:t>
      </w:r>
      <w:r w:rsidRPr="000F3B39">
        <w:rPr>
          <w:rFonts w:cs="Arial"/>
          <w:szCs w:val="20"/>
        </w:rPr>
        <w:t xml:space="preserve"> per cent</w:t>
      </w:r>
      <w:r w:rsidR="00B74B36">
        <w:rPr>
          <w:rFonts w:cs="Arial"/>
          <w:szCs w:val="20"/>
        </w:rPr>
        <w:t xml:space="preserve">, compared with a rate of 3.0 per cent in September 2015 and </w:t>
      </w:r>
      <w:r w:rsidR="004B57AE">
        <w:rPr>
          <w:rFonts w:cs="Arial"/>
          <w:szCs w:val="20"/>
        </w:rPr>
        <w:t>December</w:t>
      </w:r>
      <w:r w:rsidR="00C80CEF">
        <w:rPr>
          <w:rFonts w:cs="Arial"/>
          <w:szCs w:val="20"/>
        </w:rPr>
        <w:t xml:space="preserve"> 201</w:t>
      </w:r>
      <w:r w:rsidR="00CC6F1E">
        <w:rPr>
          <w:rFonts w:cs="Arial"/>
          <w:szCs w:val="20"/>
        </w:rPr>
        <w:t>4</w:t>
      </w:r>
      <w:r w:rsidR="00C80CEF">
        <w:rPr>
          <w:rFonts w:cs="Arial"/>
          <w:szCs w:val="20"/>
        </w:rPr>
        <w:t xml:space="preserve">. </w:t>
      </w:r>
      <w:r w:rsidRPr="000F3B39">
        <w:rPr>
          <w:rFonts w:cs="Arial"/>
          <w:szCs w:val="20"/>
        </w:rPr>
        <w:t xml:space="preserve">The average vacancy rate </w:t>
      </w:r>
      <w:r w:rsidR="00BD6D27">
        <w:rPr>
          <w:rFonts w:cs="Arial"/>
          <w:szCs w:val="20"/>
        </w:rPr>
        <w:t>for the four years from</w:t>
      </w:r>
      <w:r w:rsidR="0065449E">
        <w:rPr>
          <w:rFonts w:cs="Arial"/>
          <w:szCs w:val="20"/>
        </w:rPr>
        <w:t xml:space="preserve"> January 2000 to December 2004 was 3.8</w:t>
      </w:r>
      <w:r w:rsidRPr="000F3B39">
        <w:rPr>
          <w:rFonts w:cs="Arial"/>
          <w:szCs w:val="20"/>
        </w:rPr>
        <w:t xml:space="preserve"> per cent</w:t>
      </w:r>
      <w:r w:rsidR="00BD6D27">
        <w:rPr>
          <w:rFonts w:cs="Arial"/>
          <w:szCs w:val="20"/>
        </w:rPr>
        <w:t xml:space="preserve">, for the seven years from </w:t>
      </w:r>
      <w:r w:rsidR="0065449E">
        <w:rPr>
          <w:rFonts w:cs="Arial"/>
          <w:szCs w:val="20"/>
        </w:rPr>
        <w:t>January 2005</w:t>
      </w:r>
      <w:r w:rsidRPr="000F3B39">
        <w:rPr>
          <w:rFonts w:cs="Arial"/>
          <w:szCs w:val="20"/>
        </w:rPr>
        <w:t xml:space="preserve"> to </w:t>
      </w:r>
      <w:r w:rsidR="00BD6D27">
        <w:rPr>
          <w:rFonts w:cs="Arial"/>
          <w:szCs w:val="20"/>
        </w:rPr>
        <w:t>December 2012 was 1.7 per cent and for the last two years (since January 2013)</w:t>
      </w:r>
      <w:r w:rsidR="0065449E">
        <w:rPr>
          <w:rFonts w:cs="Arial"/>
          <w:szCs w:val="20"/>
        </w:rPr>
        <w:t xml:space="preserve"> </w:t>
      </w:r>
      <w:r w:rsidR="00BD6D27">
        <w:rPr>
          <w:rFonts w:cs="Arial"/>
          <w:szCs w:val="20"/>
        </w:rPr>
        <w:t>was</w:t>
      </w:r>
      <w:r w:rsidR="0065449E">
        <w:rPr>
          <w:rFonts w:cs="Arial"/>
          <w:szCs w:val="20"/>
        </w:rPr>
        <w:t xml:space="preserve"> </w:t>
      </w:r>
      <w:r w:rsidR="00B74B36">
        <w:rPr>
          <w:rFonts w:cs="Arial"/>
          <w:szCs w:val="20"/>
        </w:rPr>
        <w:t>3.0</w:t>
      </w:r>
      <w:r w:rsidRPr="000F3B39">
        <w:rPr>
          <w:rFonts w:cs="Arial"/>
          <w:szCs w:val="20"/>
        </w:rPr>
        <w:t xml:space="preserve"> per cent. </w:t>
      </w:r>
      <w:r w:rsidR="00BD6D27" w:rsidRPr="000F3B39">
        <w:rPr>
          <w:rFonts w:cs="Arial"/>
          <w:szCs w:val="20"/>
        </w:rPr>
        <w:t>The trend vacancy rate reached its lowest point</w:t>
      </w:r>
      <w:r w:rsidR="00BD6D27">
        <w:rPr>
          <w:rFonts w:cs="Arial"/>
          <w:szCs w:val="20"/>
        </w:rPr>
        <w:t xml:space="preserve"> of 1.0 per cent</w:t>
      </w:r>
      <w:r w:rsidR="00BD6D27" w:rsidRPr="000F3B39">
        <w:rPr>
          <w:rFonts w:cs="Arial"/>
          <w:szCs w:val="20"/>
        </w:rPr>
        <w:t xml:space="preserve"> in early 2008.</w:t>
      </w:r>
    </w:p>
    <w:p w:rsidR="0047763C" w:rsidRPr="000F3B39" w:rsidRDefault="0047763C" w:rsidP="00054C75">
      <w:pPr>
        <w:rPr>
          <w:rFonts w:cs="Arial"/>
          <w:szCs w:val="20"/>
        </w:rPr>
      </w:pPr>
    </w:p>
    <w:p w:rsidR="0047763C" w:rsidRPr="000F3B39" w:rsidRDefault="0047763C" w:rsidP="00054C75">
      <w:pPr>
        <w:rPr>
          <w:rFonts w:cs="Arial"/>
          <w:szCs w:val="20"/>
        </w:rPr>
      </w:pPr>
      <w:r w:rsidRPr="000F3B39">
        <w:rPr>
          <w:rFonts w:cs="Arial"/>
          <w:szCs w:val="20"/>
        </w:rPr>
        <w:t xml:space="preserve">For regional Victoria the trend vacancy rate </w:t>
      </w:r>
      <w:r w:rsidR="0065449E">
        <w:rPr>
          <w:rFonts w:cs="Arial"/>
          <w:szCs w:val="20"/>
        </w:rPr>
        <w:t xml:space="preserve">was </w:t>
      </w:r>
      <w:r w:rsidR="00CC6F1E">
        <w:rPr>
          <w:rFonts w:cs="Arial"/>
          <w:szCs w:val="20"/>
        </w:rPr>
        <w:t>2.</w:t>
      </w:r>
      <w:r w:rsidR="00B74B36">
        <w:rPr>
          <w:rFonts w:cs="Arial"/>
          <w:szCs w:val="20"/>
        </w:rPr>
        <w:t>4</w:t>
      </w:r>
      <w:r w:rsidRPr="000F3B39">
        <w:rPr>
          <w:rFonts w:cs="Arial"/>
          <w:szCs w:val="20"/>
        </w:rPr>
        <w:t xml:space="preserve"> per cent in </w:t>
      </w:r>
      <w:r w:rsidR="004B57AE">
        <w:rPr>
          <w:rFonts w:cs="Arial"/>
          <w:szCs w:val="20"/>
        </w:rPr>
        <w:t>December</w:t>
      </w:r>
      <w:r w:rsidR="0065449E">
        <w:rPr>
          <w:rFonts w:cs="Arial"/>
          <w:szCs w:val="20"/>
        </w:rPr>
        <w:t xml:space="preserve"> 201</w:t>
      </w:r>
      <w:r w:rsidR="00CC6F1E">
        <w:rPr>
          <w:rFonts w:cs="Arial"/>
          <w:szCs w:val="20"/>
        </w:rPr>
        <w:t>5</w:t>
      </w:r>
      <w:r w:rsidR="00B74B36">
        <w:rPr>
          <w:rFonts w:cs="Arial"/>
          <w:szCs w:val="20"/>
        </w:rPr>
        <w:t>, compared with a rate of 2.3</w:t>
      </w:r>
      <w:r w:rsidR="00B94853">
        <w:rPr>
          <w:rFonts w:cs="Arial"/>
          <w:szCs w:val="20"/>
        </w:rPr>
        <w:t xml:space="preserve"> per cent in</w:t>
      </w:r>
      <w:r w:rsidR="00C80CEF">
        <w:rPr>
          <w:rFonts w:cs="Arial"/>
          <w:szCs w:val="20"/>
        </w:rPr>
        <w:t xml:space="preserve"> </w:t>
      </w:r>
      <w:r w:rsidR="00B74B36">
        <w:rPr>
          <w:rFonts w:cs="Arial"/>
          <w:szCs w:val="20"/>
        </w:rPr>
        <w:t>September</w:t>
      </w:r>
      <w:r w:rsidR="00C42516">
        <w:rPr>
          <w:rFonts w:cs="Arial"/>
          <w:szCs w:val="20"/>
        </w:rPr>
        <w:t xml:space="preserve"> 2015</w:t>
      </w:r>
      <w:r w:rsidR="00C80CEF">
        <w:rPr>
          <w:rFonts w:cs="Arial"/>
          <w:szCs w:val="20"/>
        </w:rPr>
        <w:t xml:space="preserve"> </w:t>
      </w:r>
      <w:r w:rsidR="00B74B36">
        <w:rPr>
          <w:rFonts w:cs="Arial"/>
          <w:szCs w:val="20"/>
        </w:rPr>
        <w:t>and 2.1</w:t>
      </w:r>
      <w:r w:rsidR="00B94853">
        <w:rPr>
          <w:rFonts w:cs="Arial"/>
          <w:szCs w:val="20"/>
        </w:rPr>
        <w:t xml:space="preserve"> per cent </w:t>
      </w:r>
      <w:r w:rsidR="007F327B">
        <w:rPr>
          <w:rFonts w:cs="Arial"/>
          <w:szCs w:val="20"/>
        </w:rPr>
        <w:t xml:space="preserve">in </w:t>
      </w:r>
      <w:r w:rsidR="004B57AE">
        <w:rPr>
          <w:rFonts w:cs="Arial"/>
          <w:szCs w:val="20"/>
        </w:rPr>
        <w:t>December</w:t>
      </w:r>
      <w:r w:rsidR="007F327B">
        <w:rPr>
          <w:rFonts w:cs="Arial"/>
          <w:szCs w:val="20"/>
        </w:rPr>
        <w:t xml:space="preserve"> 2014</w:t>
      </w:r>
      <w:r w:rsidR="00B94853">
        <w:rPr>
          <w:rFonts w:cs="Arial"/>
          <w:szCs w:val="20"/>
        </w:rPr>
        <w:t>.</w:t>
      </w:r>
      <w:r w:rsidR="00C80CEF">
        <w:rPr>
          <w:rFonts w:cs="Arial"/>
          <w:szCs w:val="20"/>
        </w:rPr>
        <w:t xml:space="preserve"> </w:t>
      </w:r>
      <w:r>
        <w:rPr>
          <w:rFonts w:cs="Arial"/>
          <w:szCs w:val="20"/>
        </w:rPr>
        <w:t>F</w:t>
      </w:r>
      <w:r w:rsidR="00CC56C5">
        <w:rPr>
          <w:rFonts w:cs="Arial"/>
          <w:szCs w:val="20"/>
        </w:rPr>
        <w:t xml:space="preserve">rom August </w:t>
      </w:r>
      <w:r>
        <w:rPr>
          <w:rFonts w:cs="Arial"/>
          <w:szCs w:val="20"/>
        </w:rPr>
        <w:t>2009</w:t>
      </w:r>
      <w:r w:rsidR="00CC56C5">
        <w:rPr>
          <w:rFonts w:cs="Arial"/>
          <w:szCs w:val="20"/>
        </w:rPr>
        <w:t xml:space="preserve"> to April 2012</w:t>
      </w:r>
      <w:r>
        <w:rPr>
          <w:rFonts w:cs="Arial"/>
          <w:szCs w:val="20"/>
        </w:rPr>
        <w:t>, t</w:t>
      </w:r>
      <w:r w:rsidRPr="000F3B39">
        <w:rPr>
          <w:rFonts w:cs="Arial"/>
          <w:szCs w:val="20"/>
        </w:rPr>
        <w:t xml:space="preserve">he regional Victorian rate </w:t>
      </w:r>
      <w:r w:rsidR="00CC56C5">
        <w:rPr>
          <w:rFonts w:cs="Arial"/>
          <w:szCs w:val="20"/>
        </w:rPr>
        <w:t>was below</w:t>
      </w:r>
      <w:r w:rsidRPr="000F3B39">
        <w:rPr>
          <w:rFonts w:cs="Arial"/>
          <w:szCs w:val="20"/>
        </w:rPr>
        <w:t xml:space="preserve"> the trend metropolitan rate.</w:t>
      </w:r>
      <w:r w:rsidR="00CC56C5">
        <w:rPr>
          <w:rFonts w:cs="Arial"/>
          <w:szCs w:val="20"/>
        </w:rPr>
        <w:t xml:space="preserve"> </w:t>
      </w:r>
      <w:r w:rsidR="007F327B">
        <w:rPr>
          <w:rFonts w:cs="Arial"/>
          <w:szCs w:val="20"/>
        </w:rPr>
        <w:t>From</w:t>
      </w:r>
      <w:r w:rsidR="00CC56C5">
        <w:rPr>
          <w:rFonts w:cs="Arial"/>
          <w:szCs w:val="20"/>
        </w:rPr>
        <w:t xml:space="preserve"> May 2012</w:t>
      </w:r>
      <w:r w:rsidR="007F327B">
        <w:rPr>
          <w:rFonts w:cs="Arial"/>
          <w:szCs w:val="20"/>
        </w:rPr>
        <w:t xml:space="preserve"> to June 2013</w:t>
      </w:r>
      <w:r w:rsidR="00CC56C5">
        <w:rPr>
          <w:rFonts w:cs="Arial"/>
          <w:szCs w:val="20"/>
        </w:rPr>
        <w:t xml:space="preserve">, </w:t>
      </w:r>
      <w:r w:rsidR="007F327B">
        <w:rPr>
          <w:rFonts w:cs="Arial"/>
          <w:szCs w:val="20"/>
        </w:rPr>
        <w:t>the regional vacancy rates were higher than</w:t>
      </w:r>
      <w:r w:rsidR="00CC56C5">
        <w:rPr>
          <w:rFonts w:cs="Arial"/>
          <w:szCs w:val="20"/>
        </w:rPr>
        <w:t xml:space="preserve"> the metropolitan rate. </w:t>
      </w:r>
      <w:r w:rsidR="007F327B">
        <w:rPr>
          <w:rFonts w:cs="Arial"/>
          <w:szCs w:val="20"/>
        </w:rPr>
        <w:t xml:space="preserve">From August 2013 the </w:t>
      </w:r>
      <w:r w:rsidR="00821F02">
        <w:rPr>
          <w:rFonts w:cs="Arial"/>
          <w:szCs w:val="20"/>
        </w:rPr>
        <w:t>trend vacancy rates of regional Victoria have been below that of Metropolitan Melbourne.</w:t>
      </w:r>
    </w:p>
    <w:p w:rsidR="0047763C" w:rsidRPr="00154B67" w:rsidRDefault="0047763C" w:rsidP="00054C75">
      <w:pPr>
        <w:rPr>
          <w:rFonts w:cs="Arial"/>
        </w:rPr>
      </w:pPr>
    </w:p>
    <w:p w:rsidR="0047763C" w:rsidRPr="003644BF" w:rsidRDefault="0047763C" w:rsidP="001834E3">
      <w:pPr>
        <w:rPr>
          <w:rFonts w:cs="Arial"/>
          <w:b/>
          <w:sz w:val="20"/>
          <w:szCs w:val="20"/>
        </w:rPr>
      </w:pPr>
      <w:r w:rsidRPr="003644BF">
        <w:rPr>
          <w:rFonts w:cs="Arial"/>
          <w:b/>
          <w:sz w:val="20"/>
          <w:szCs w:val="20"/>
        </w:rPr>
        <w:t xml:space="preserve">Figure 7 – Rental vacancy </w:t>
      </w:r>
      <w:r w:rsidR="00841663">
        <w:rPr>
          <w:rFonts w:cs="Arial"/>
          <w:b/>
          <w:sz w:val="20"/>
          <w:szCs w:val="20"/>
        </w:rPr>
        <w:t>rate</w:t>
      </w:r>
    </w:p>
    <w:p w:rsidR="0047763C" w:rsidRPr="00706644" w:rsidRDefault="005540A2" w:rsidP="00D11BF6">
      <w:pPr>
        <w:jc w:val="center"/>
        <w:rPr>
          <w:rFonts w:cs="Arial"/>
        </w:rPr>
      </w:pPr>
      <w:r w:rsidRPr="005540A2">
        <w:rPr>
          <w:rFonts w:cs="Arial"/>
          <w:noProof/>
          <w:lang w:eastAsia="en-AU"/>
        </w:rPr>
        <w:drawing>
          <wp:inline distT="0" distB="0" distL="0" distR="0">
            <wp:extent cx="4933175" cy="3009900"/>
            <wp:effectExtent l="19050" t="0" r="0" b="0"/>
            <wp:docPr id="26"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7763C" w:rsidRDefault="0047763C" w:rsidP="00D11BF6">
      <w:pPr>
        <w:ind w:left="1440"/>
        <w:rPr>
          <w:rFonts w:cs="Arial"/>
          <w:color w:val="000000"/>
          <w:sz w:val="16"/>
          <w:szCs w:val="16"/>
          <w:lang w:eastAsia="en-AU"/>
        </w:rPr>
      </w:pPr>
      <w:r w:rsidRPr="008978C9">
        <w:rPr>
          <w:rFonts w:cs="Arial"/>
          <w:sz w:val="16"/>
          <w:szCs w:val="16"/>
          <w:u w:val="single"/>
        </w:rPr>
        <w:t>Note</w:t>
      </w:r>
      <w:r w:rsidRPr="008978C9">
        <w:rPr>
          <w:rFonts w:cs="Arial"/>
          <w:sz w:val="16"/>
          <w:szCs w:val="16"/>
        </w:rPr>
        <w:t xml:space="preserve">: </w:t>
      </w:r>
      <w:r>
        <w:rPr>
          <w:rFonts w:cs="Arial"/>
          <w:color w:val="000000"/>
          <w:sz w:val="16"/>
          <w:szCs w:val="16"/>
          <w:lang w:eastAsia="en-AU"/>
        </w:rPr>
        <w:t>The Rental Vacancy Rate for January 2012</w:t>
      </w:r>
      <w:r w:rsidRPr="008978C9">
        <w:rPr>
          <w:rFonts w:cs="Arial"/>
          <w:color w:val="000000"/>
          <w:sz w:val="16"/>
          <w:szCs w:val="16"/>
          <w:lang w:eastAsia="en-AU"/>
        </w:rPr>
        <w:t xml:space="preserve"> is an estimate - see </w:t>
      </w:r>
      <w:r>
        <w:rPr>
          <w:rFonts w:cs="Arial"/>
          <w:color w:val="000000"/>
          <w:sz w:val="16"/>
          <w:szCs w:val="16"/>
          <w:lang w:eastAsia="en-AU"/>
        </w:rPr>
        <w:t>N</w:t>
      </w:r>
      <w:r w:rsidRPr="008978C9">
        <w:rPr>
          <w:rFonts w:cs="Arial"/>
          <w:color w:val="000000"/>
          <w:sz w:val="16"/>
          <w:szCs w:val="16"/>
          <w:lang w:eastAsia="en-AU"/>
        </w:rPr>
        <w:t xml:space="preserve">ote </w:t>
      </w:r>
      <w:r>
        <w:rPr>
          <w:rFonts w:cs="Arial"/>
          <w:color w:val="000000"/>
          <w:sz w:val="16"/>
          <w:szCs w:val="16"/>
          <w:lang w:eastAsia="en-AU"/>
        </w:rPr>
        <w:t>7</w:t>
      </w:r>
    </w:p>
    <w:p w:rsidR="0047763C" w:rsidRPr="00180B5B" w:rsidRDefault="0047763C" w:rsidP="00180B5B">
      <w:pPr>
        <w:pStyle w:val="DHSHeadingA"/>
        <w:spacing w:after="240"/>
      </w:pPr>
      <w:r w:rsidRPr="00180B5B">
        <w:br w:type="page"/>
      </w:r>
      <w:r w:rsidRPr="00180B5B">
        <w:lastRenderedPageBreak/>
        <w:t>Rental Market Affordability</w:t>
      </w:r>
    </w:p>
    <w:p w:rsidR="0047763C" w:rsidRPr="000F3B39" w:rsidRDefault="0047763C" w:rsidP="00054C75">
      <w:pPr>
        <w:rPr>
          <w:rFonts w:cs="Arial"/>
          <w:szCs w:val="20"/>
        </w:rPr>
      </w:pPr>
      <w:r w:rsidRPr="000F3B39">
        <w:rPr>
          <w:rFonts w:cs="Arial"/>
          <w:szCs w:val="20"/>
        </w:rPr>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rsidR="0047763C" w:rsidRPr="00831AFF" w:rsidRDefault="0047763C" w:rsidP="005A1E70">
      <w:pPr>
        <w:pStyle w:val="DHSheadingB"/>
        <w:rPr>
          <w:rFonts w:cs="Arial"/>
        </w:rPr>
      </w:pPr>
      <w:r w:rsidRPr="00831AFF">
        <w:rPr>
          <w:rFonts w:cs="Arial"/>
        </w:rPr>
        <w:t>Overall trends</w:t>
      </w:r>
    </w:p>
    <w:p w:rsidR="0047763C" w:rsidRPr="000F3B39" w:rsidRDefault="0047763C" w:rsidP="00554E34">
      <w:pPr>
        <w:rPr>
          <w:rFonts w:cs="Arial"/>
          <w:szCs w:val="20"/>
        </w:rPr>
      </w:pPr>
      <w:r w:rsidRPr="000F3B39">
        <w:rPr>
          <w:rFonts w:cs="Arial"/>
          <w:szCs w:val="20"/>
        </w:rPr>
        <w:t xml:space="preserve">In the </w:t>
      </w:r>
      <w:r w:rsidR="004B57AE">
        <w:rPr>
          <w:rFonts w:cs="Arial"/>
          <w:szCs w:val="20"/>
        </w:rPr>
        <w:t>December</w:t>
      </w:r>
      <w:r w:rsidR="0065449E">
        <w:rPr>
          <w:rFonts w:cs="Arial"/>
          <w:szCs w:val="20"/>
        </w:rPr>
        <w:t xml:space="preserve"> quarter 201</w:t>
      </w:r>
      <w:r w:rsidR="009A723B">
        <w:rPr>
          <w:rFonts w:cs="Arial"/>
          <w:szCs w:val="20"/>
        </w:rPr>
        <w:t>5</w:t>
      </w:r>
      <w:r w:rsidRPr="000F3B39">
        <w:rPr>
          <w:rFonts w:cs="Arial"/>
          <w:szCs w:val="20"/>
        </w:rPr>
        <w:t xml:space="preserve">, </w:t>
      </w:r>
      <w:r w:rsidR="001F352D">
        <w:rPr>
          <w:rFonts w:cs="Arial"/>
          <w:szCs w:val="20"/>
        </w:rPr>
        <w:t>19.0</w:t>
      </w:r>
      <w:r w:rsidRPr="000F3B39">
        <w:rPr>
          <w:rFonts w:cs="Arial"/>
          <w:szCs w:val="20"/>
        </w:rPr>
        <w:t xml:space="preserve"> per cent of all new lettings across the state were affordable to lower income households. Figure 8 shows the trend in these figures over the past five years for Victoria, metropolitan Melbourne and regional Victoria.</w:t>
      </w:r>
    </w:p>
    <w:p w:rsidR="0047763C" w:rsidRPr="000F3B39" w:rsidRDefault="0047763C" w:rsidP="00554E34">
      <w:pPr>
        <w:rPr>
          <w:rFonts w:cs="Arial"/>
          <w:szCs w:val="20"/>
        </w:rPr>
      </w:pPr>
    </w:p>
    <w:p w:rsidR="0047763C" w:rsidRDefault="0047763C" w:rsidP="00554E34">
      <w:pPr>
        <w:rPr>
          <w:rFonts w:cs="Arial"/>
          <w:szCs w:val="20"/>
        </w:rPr>
      </w:pPr>
      <w:r>
        <w:rPr>
          <w:rFonts w:cs="Arial"/>
          <w:szCs w:val="20"/>
        </w:rPr>
        <w:t>T</w:t>
      </w:r>
      <w:r w:rsidRPr="000F3B39">
        <w:rPr>
          <w:rFonts w:cs="Arial"/>
          <w:szCs w:val="20"/>
        </w:rPr>
        <w:t xml:space="preserve">he availability of affordable housing in metropolitan Melbourne </w:t>
      </w:r>
      <w:r>
        <w:rPr>
          <w:rFonts w:cs="Arial"/>
          <w:szCs w:val="20"/>
        </w:rPr>
        <w:t xml:space="preserve">has </w:t>
      </w:r>
      <w:r w:rsidRPr="000F3B39">
        <w:rPr>
          <w:rFonts w:cs="Arial"/>
          <w:szCs w:val="20"/>
        </w:rPr>
        <w:t>generally declined</w:t>
      </w:r>
      <w:r>
        <w:rPr>
          <w:rFonts w:cs="Arial"/>
          <w:szCs w:val="20"/>
        </w:rPr>
        <w:t xml:space="preserve"> f</w:t>
      </w:r>
      <w:r w:rsidRPr="000F3B39">
        <w:rPr>
          <w:rFonts w:cs="Arial"/>
          <w:szCs w:val="20"/>
        </w:rPr>
        <w:t xml:space="preserve">rom a high in the </w:t>
      </w:r>
      <w:r w:rsidR="009831C2">
        <w:rPr>
          <w:rFonts w:cs="Arial"/>
          <w:szCs w:val="20"/>
        </w:rPr>
        <w:t>September</w:t>
      </w:r>
      <w:r w:rsidRPr="000F3B39">
        <w:rPr>
          <w:rFonts w:cs="Arial"/>
          <w:szCs w:val="20"/>
        </w:rPr>
        <w:t xml:space="preserve"> quarter 200</w:t>
      </w:r>
      <w:r w:rsidR="009831C2">
        <w:rPr>
          <w:rFonts w:cs="Arial"/>
          <w:szCs w:val="20"/>
        </w:rPr>
        <w:t>5</w:t>
      </w:r>
      <w:r w:rsidRPr="000F3B39">
        <w:rPr>
          <w:rFonts w:cs="Arial"/>
          <w:szCs w:val="20"/>
        </w:rPr>
        <w:t xml:space="preserve"> (</w:t>
      </w:r>
      <w:r w:rsidR="009831C2">
        <w:rPr>
          <w:rFonts w:cs="Arial"/>
          <w:szCs w:val="20"/>
        </w:rPr>
        <w:t>30.2</w:t>
      </w:r>
      <w:r w:rsidR="008576D6">
        <w:rPr>
          <w:rFonts w:cs="Arial"/>
          <w:szCs w:val="20"/>
        </w:rPr>
        <w:t>%</w:t>
      </w:r>
      <w:r>
        <w:rPr>
          <w:rFonts w:cs="Arial"/>
          <w:szCs w:val="20"/>
        </w:rPr>
        <w:t xml:space="preserve"> of dwellings</w:t>
      </w:r>
      <w:r w:rsidRPr="000F3B39">
        <w:rPr>
          <w:rFonts w:cs="Arial"/>
          <w:szCs w:val="20"/>
        </w:rPr>
        <w:t>) to a low in the March quarter 2011 (7.4</w:t>
      </w:r>
      <w:r w:rsidR="008576D6">
        <w:rPr>
          <w:rFonts w:cs="Arial"/>
          <w:szCs w:val="20"/>
        </w:rPr>
        <w:t>%</w:t>
      </w:r>
      <w:r w:rsidRPr="000F3B39">
        <w:rPr>
          <w:rFonts w:cs="Arial"/>
          <w:szCs w:val="20"/>
        </w:rPr>
        <w:t>)</w:t>
      </w:r>
      <w:r>
        <w:rPr>
          <w:rFonts w:cs="Arial"/>
          <w:szCs w:val="20"/>
        </w:rPr>
        <w:t xml:space="preserve">. In </w:t>
      </w:r>
      <w:r w:rsidR="00CD06D9">
        <w:rPr>
          <w:rFonts w:cs="Arial"/>
          <w:szCs w:val="20"/>
        </w:rPr>
        <w:t xml:space="preserve">the </w:t>
      </w:r>
      <w:r w:rsidR="004B57AE">
        <w:rPr>
          <w:rFonts w:cs="Arial"/>
          <w:szCs w:val="20"/>
        </w:rPr>
        <w:t>December</w:t>
      </w:r>
      <w:r w:rsidR="000828B6">
        <w:rPr>
          <w:rFonts w:cs="Arial"/>
          <w:szCs w:val="20"/>
        </w:rPr>
        <w:t xml:space="preserve"> quarter 201</w:t>
      </w:r>
      <w:r w:rsidR="009831C2">
        <w:rPr>
          <w:rFonts w:cs="Arial"/>
          <w:szCs w:val="20"/>
        </w:rPr>
        <w:t>5</w:t>
      </w:r>
      <w:r w:rsidR="000828B6">
        <w:rPr>
          <w:rFonts w:cs="Arial"/>
          <w:szCs w:val="20"/>
        </w:rPr>
        <w:t xml:space="preserve">, </w:t>
      </w:r>
      <w:r w:rsidR="001F352D">
        <w:rPr>
          <w:rFonts w:cs="Arial"/>
          <w:szCs w:val="20"/>
        </w:rPr>
        <w:t>8.5</w:t>
      </w:r>
      <w:r>
        <w:rPr>
          <w:rFonts w:cs="Arial"/>
          <w:szCs w:val="20"/>
        </w:rPr>
        <w:t xml:space="preserve"> per cent of dwellings were affordable, </w:t>
      </w:r>
      <w:r w:rsidR="004E5441">
        <w:rPr>
          <w:rFonts w:cs="Arial"/>
          <w:szCs w:val="20"/>
        </w:rPr>
        <w:t>below</w:t>
      </w:r>
      <w:r>
        <w:rPr>
          <w:rFonts w:cs="Arial"/>
          <w:szCs w:val="20"/>
        </w:rPr>
        <w:t xml:space="preserve"> that of the </w:t>
      </w:r>
      <w:r w:rsidR="00EF1F40">
        <w:rPr>
          <w:rFonts w:cs="Arial"/>
          <w:szCs w:val="20"/>
        </w:rPr>
        <w:t>previous</w:t>
      </w:r>
      <w:r w:rsidR="009831C2">
        <w:rPr>
          <w:rFonts w:cs="Arial"/>
          <w:szCs w:val="20"/>
        </w:rPr>
        <w:t xml:space="preserve"> qua</w:t>
      </w:r>
      <w:r w:rsidR="001F352D">
        <w:rPr>
          <w:rFonts w:cs="Arial"/>
          <w:szCs w:val="20"/>
        </w:rPr>
        <w:t>rter (8.9</w:t>
      </w:r>
      <w:r w:rsidR="008576D6">
        <w:rPr>
          <w:rFonts w:cs="Arial"/>
          <w:szCs w:val="20"/>
        </w:rPr>
        <w:t>%</w:t>
      </w:r>
      <w:r w:rsidR="00EF1AD8">
        <w:rPr>
          <w:rFonts w:cs="Arial"/>
          <w:szCs w:val="20"/>
        </w:rPr>
        <w:t xml:space="preserve">) </w:t>
      </w:r>
      <w:r w:rsidR="004E5441">
        <w:rPr>
          <w:rFonts w:cs="Arial"/>
          <w:szCs w:val="20"/>
        </w:rPr>
        <w:t>and that of the</w:t>
      </w:r>
      <w:r w:rsidR="00EF1F40">
        <w:rPr>
          <w:rFonts w:cs="Arial"/>
          <w:szCs w:val="20"/>
        </w:rPr>
        <w:t xml:space="preserve"> same quarter in 201</w:t>
      </w:r>
      <w:r w:rsidR="009831C2">
        <w:rPr>
          <w:rFonts w:cs="Arial"/>
          <w:szCs w:val="20"/>
        </w:rPr>
        <w:t>4</w:t>
      </w:r>
      <w:r w:rsidR="00EF1F40">
        <w:rPr>
          <w:rFonts w:cs="Arial"/>
          <w:szCs w:val="20"/>
        </w:rPr>
        <w:t xml:space="preserve"> (</w:t>
      </w:r>
      <w:r w:rsidR="001F352D">
        <w:rPr>
          <w:rFonts w:cs="Arial"/>
          <w:szCs w:val="20"/>
        </w:rPr>
        <w:t>11.1</w:t>
      </w:r>
      <w:r w:rsidR="00EF1F40">
        <w:rPr>
          <w:rFonts w:cs="Arial"/>
          <w:szCs w:val="20"/>
        </w:rPr>
        <w:t>%).</w:t>
      </w:r>
    </w:p>
    <w:p w:rsidR="0047763C" w:rsidRPr="000F3B39" w:rsidRDefault="0047763C" w:rsidP="00554E34">
      <w:pPr>
        <w:rPr>
          <w:rFonts w:cs="Arial"/>
          <w:szCs w:val="20"/>
        </w:rPr>
      </w:pPr>
    </w:p>
    <w:p w:rsidR="0047763C" w:rsidRPr="000F3B39" w:rsidRDefault="0047763C" w:rsidP="00554E34">
      <w:pPr>
        <w:rPr>
          <w:rFonts w:cs="Arial"/>
          <w:szCs w:val="20"/>
        </w:rPr>
      </w:pPr>
      <w:r w:rsidRPr="000F3B39">
        <w:rPr>
          <w:rFonts w:cs="Arial"/>
          <w:szCs w:val="20"/>
        </w:rPr>
        <w:t>Regional Victoria has followed a similar trend, from a high of 8</w:t>
      </w:r>
      <w:r w:rsidR="009831C2">
        <w:rPr>
          <w:rFonts w:cs="Arial"/>
          <w:szCs w:val="20"/>
        </w:rPr>
        <w:t>2.7</w:t>
      </w:r>
      <w:r w:rsidRPr="000F3B39">
        <w:rPr>
          <w:rFonts w:cs="Arial"/>
          <w:szCs w:val="20"/>
        </w:rPr>
        <w:t xml:space="preserve"> per cent in </w:t>
      </w:r>
      <w:r w:rsidR="00CD06D9">
        <w:rPr>
          <w:rFonts w:cs="Arial"/>
          <w:szCs w:val="20"/>
        </w:rPr>
        <w:t xml:space="preserve">the </w:t>
      </w:r>
      <w:r w:rsidR="009831C2">
        <w:rPr>
          <w:rFonts w:cs="Arial"/>
          <w:szCs w:val="20"/>
        </w:rPr>
        <w:t>September</w:t>
      </w:r>
      <w:r w:rsidRPr="000F3B39">
        <w:rPr>
          <w:rFonts w:cs="Arial"/>
          <w:szCs w:val="20"/>
        </w:rPr>
        <w:t xml:space="preserve"> quarter 2002 to a low of </w:t>
      </w:r>
      <w:r w:rsidR="00F1629A">
        <w:rPr>
          <w:rFonts w:cs="Arial"/>
          <w:szCs w:val="20"/>
        </w:rPr>
        <w:t>54.</w:t>
      </w:r>
      <w:r w:rsidR="009831C2">
        <w:rPr>
          <w:rFonts w:cs="Arial"/>
          <w:szCs w:val="20"/>
        </w:rPr>
        <w:t>9</w:t>
      </w:r>
      <w:r w:rsidRPr="000F3B39">
        <w:rPr>
          <w:rFonts w:cs="Arial"/>
          <w:szCs w:val="20"/>
        </w:rPr>
        <w:t xml:space="preserve"> per cent in </w:t>
      </w:r>
      <w:r w:rsidR="00CD06D9">
        <w:rPr>
          <w:rFonts w:cs="Arial"/>
          <w:szCs w:val="20"/>
        </w:rPr>
        <w:t xml:space="preserve">the </w:t>
      </w:r>
      <w:r w:rsidR="00F1629A">
        <w:rPr>
          <w:rFonts w:cs="Arial"/>
          <w:szCs w:val="20"/>
        </w:rPr>
        <w:t>March quarter 2012</w:t>
      </w:r>
      <w:r w:rsidRPr="000F3B39">
        <w:rPr>
          <w:rFonts w:cs="Arial"/>
          <w:szCs w:val="20"/>
        </w:rPr>
        <w:t xml:space="preserve">. In the </w:t>
      </w:r>
      <w:r w:rsidR="004B57AE">
        <w:rPr>
          <w:rFonts w:cs="Arial"/>
          <w:szCs w:val="20"/>
        </w:rPr>
        <w:t>December</w:t>
      </w:r>
      <w:r w:rsidR="000828B6">
        <w:rPr>
          <w:rFonts w:cs="Arial"/>
          <w:szCs w:val="20"/>
        </w:rPr>
        <w:t xml:space="preserve"> quarter 201</w:t>
      </w:r>
      <w:r w:rsidR="009831C2">
        <w:rPr>
          <w:rFonts w:cs="Arial"/>
          <w:szCs w:val="20"/>
        </w:rPr>
        <w:t>5</w:t>
      </w:r>
      <w:r w:rsidRPr="000F3B39">
        <w:rPr>
          <w:rFonts w:cs="Arial"/>
          <w:szCs w:val="20"/>
        </w:rPr>
        <w:t>,</w:t>
      </w:r>
      <w:r w:rsidR="001F352D">
        <w:rPr>
          <w:rFonts w:cs="Arial"/>
          <w:szCs w:val="20"/>
        </w:rPr>
        <w:t xml:space="preserve"> 59.2</w:t>
      </w:r>
      <w:r w:rsidRPr="000F3B39">
        <w:rPr>
          <w:rFonts w:cs="Arial"/>
          <w:szCs w:val="20"/>
        </w:rPr>
        <w:t xml:space="preserve"> per cent of dwellings were affordable, </w:t>
      </w:r>
      <w:r w:rsidR="004E5441">
        <w:rPr>
          <w:rFonts w:cs="Arial"/>
          <w:szCs w:val="20"/>
        </w:rPr>
        <w:t>below</w:t>
      </w:r>
      <w:r w:rsidR="00EF1F40">
        <w:rPr>
          <w:rFonts w:cs="Arial"/>
          <w:szCs w:val="20"/>
        </w:rPr>
        <w:t xml:space="preserve"> that of </w:t>
      </w:r>
      <w:r w:rsidR="00EF1F40" w:rsidRPr="000F3B39">
        <w:rPr>
          <w:rFonts w:cs="Arial"/>
          <w:szCs w:val="20"/>
        </w:rPr>
        <w:t>the pr</w:t>
      </w:r>
      <w:r w:rsidR="00EF1F40">
        <w:rPr>
          <w:rFonts w:cs="Arial"/>
          <w:szCs w:val="20"/>
        </w:rPr>
        <w:t>evious quarter (</w:t>
      </w:r>
      <w:r w:rsidR="001F352D">
        <w:rPr>
          <w:rFonts w:cs="Arial"/>
          <w:szCs w:val="20"/>
        </w:rPr>
        <w:t>60.6</w:t>
      </w:r>
      <w:r w:rsidR="00EF1F40">
        <w:rPr>
          <w:rFonts w:cs="Arial"/>
          <w:szCs w:val="20"/>
        </w:rPr>
        <w:t>%</w:t>
      </w:r>
      <w:r w:rsidR="00EF1F40" w:rsidRPr="000F3B39">
        <w:rPr>
          <w:rFonts w:cs="Arial"/>
          <w:szCs w:val="20"/>
        </w:rPr>
        <w:t>)</w:t>
      </w:r>
      <w:r w:rsidR="00EF1F40">
        <w:rPr>
          <w:rFonts w:cs="Arial"/>
          <w:szCs w:val="20"/>
        </w:rPr>
        <w:t xml:space="preserve"> </w:t>
      </w:r>
      <w:r w:rsidR="00EF1AD8">
        <w:rPr>
          <w:rFonts w:cs="Arial"/>
          <w:szCs w:val="20"/>
        </w:rPr>
        <w:t xml:space="preserve">and </w:t>
      </w:r>
      <w:r w:rsidR="001069ED">
        <w:rPr>
          <w:rFonts w:cs="Arial"/>
          <w:szCs w:val="20"/>
        </w:rPr>
        <w:t xml:space="preserve">that </w:t>
      </w:r>
      <w:r w:rsidRPr="000F3B39">
        <w:rPr>
          <w:rFonts w:cs="Arial"/>
          <w:szCs w:val="20"/>
        </w:rPr>
        <w:t>of the same quarter in 201</w:t>
      </w:r>
      <w:r w:rsidR="001F352D">
        <w:rPr>
          <w:rFonts w:cs="Arial"/>
          <w:szCs w:val="20"/>
        </w:rPr>
        <w:t>4 (62.3</w:t>
      </w:r>
      <w:r w:rsidR="008576D6">
        <w:rPr>
          <w:rFonts w:cs="Arial"/>
          <w:szCs w:val="20"/>
        </w:rPr>
        <w:t>%</w:t>
      </w:r>
      <w:r w:rsidR="00EF1F40">
        <w:rPr>
          <w:rFonts w:cs="Arial"/>
          <w:szCs w:val="20"/>
        </w:rPr>
        <w:t>)</w:t>
      </w:r>
      <w:r w:rsidRPr="000F3B39">
        <w:rPr>
          <w:rFonts w:cs="Arial"/>
          <w:szCs w:val="20"/>
        </w:rPr>
        <w:t xml:space="preserve">. </w:t>
      </w:r>
    </w:p>
    <w:p w:rsidR="0047763C" w:rsidRPr="000F3B39" w:rsidRDefault="0047763C" w:rsidP="00742A6D">
      <w:pPr>
        <w:pStyle w:val="DHSheadingB"/>
        <w:rPr>
          <w:rFonts w:cs="Arial"/>
          <w:szCs w:val="20"/>
        </w:rPr>
      </w:pPr>
      <w:r>
        <w:rPr>
          <w:rFonts w:cs="Arial"/>
        </w:rPr>
        <w:t>T</w:t>
      </w:r>
      <w:r w:rsidRPr="00831AFF">
        <w:rPr>
          <w:rFonts w:cs="Arial"/>
        </w:rPr>
        <w:t>rends</w:t>
      </w:r>
      <w:r>
        <w:rPr>
          <w:rFonts w:cs="Arial"/>
        </w:rPr>
        <w:t xml:space="preserve"> by household type</w:t>
      </w:r>
    </w:p>
    <w:p w:rsidR="0047763C" w:rsidRPr="000F3B39" w:rsidRDefault="0047763C" w:rsidP="00054C75">
      <w:pPr>
        <w:rPr>
          <w:rFonts w:cs="Arial"/>
          <w:szCs w:val="20"/>
        </w:rPr>
      </w:pPr>
      <w:r w:rsidRPr="000F3B39">
        <w:rPr>
          <w:rFonts w:cs="Arial"/>
          <w:szCs w:val="20"/>
        </w:rPr>
        <w:t xml:space="preserve">In metropolitan Melbourne, the availability of affordable rental lettings varies between different types of households. The rental affordability situation for different low income households is summarised in Table 9. </w:t>
      </w:r>
    </w:p>
    <w:p w:rsidR="0047763C" w:rsidRPr="000F3B39" w:rsidRDefault="0047763C" w:rsidP="00054C75">
      <w:pPr>
        <w:rPr>
          <w:rFonts w:cs="Arial"/>
          <w:szCs w:val="20"/>
        </w:rPr>
      </w:pPr>
    </w:p>
    <w:p w:rsidR="0047763C" w:rsidRDefault="0047763C" w:rsidP="00054C75">
      <w:pPr>
        <w:rPr>
          <w:rFonts w:cs="Arial"/>
        </w:rPr>
      </w:pPr>
      <w:r w:rsidRPr="000F3B39">
        <w:rPr>
          <w:rFonts w:cs="Arial"/>
          <w:szCs w:val="20"/>
        </w:rPr>
        <w:t>Due to a l</w:t>
      </w:r>
      <w:r w:rsidR="00C347B6">
        <w:rPr>
          <w:rFonts w:cs="Arial"/>
          <w:szCs w:val="20"/>
        </w:rPr>
        <w:t>imited supply of affordable one-</w:t>
      </w:r>
      <w:r w:rsidRPr="000F3B39">
        <w:rPr>
          <w:rFonts w:cs="Arial"/>
          <w:szCs w:val="20"/>
        </w:rPr>
        <w:t>bedroom dwellings, low income single person households face the most difficulties in accessing affordable rental housing. Across Melbourne, just 0.</w:t>
      </w:r>
      <w:r w:rsidR="001F352D">
        <w:rPr>
          <w:rFonts w:cs="Arial"/>
          <w:szCs w:val="20"/>
        </w:rPr>
        <w:t>3</w:t>
      </w:r>
      <w:r w:rsidR="00C347B6">
        <w:rPr>
          <w:rFonts w:cs="Arial"/>
          <w:szCs w:val="20"/>
        </w:rPr>
        <w:t xml:space="preserve"> per cent of one-</w:t>
      </w:r>
      <w:r w:rsidRPr="000F3B39">
        <w:rPr>
          <w:rFonts w:cs="Arial"/>
          <w:szCs w:val="20"/>
        </w:rPr>
        <w:t xml:space="preserve">bedroom dwellings let in the </w:t>
      </w:r>
      <w:r w:rsidR="004B57AE">
        <w:rPr>
          <w:rFonts w:cs="Arial"/>
          <w:szCs w:val="20"/>
        </w:rPr>
        <w:t>December</w:t>
      </w:r>
      <w:r w:rsidRPr="000F3B39">
        <w:rPr>
          <w:rFonts w:cs="Arial"/>
          <w:szCs w:val="20"/>
        </w:rPr>
        <w:t xml:space="preserve"> quarter were affordable to low income singles. For a single parent with one child on Centrelink income, </w:t>
      </w:r>
      <w:r w:rsidR="001F352D">
        <w:rPr>
          <w:rFonts w:cs="Arial"/>
          <w:szCs w:val="20"/>
        </w:rPr>
        <w:t>2.9</w:t>
      </w:r>
      <w:r w:rsidR="00C347B6">
        <w:rPr>
          <w:rFonts w:cs="Arial"/>
          <w:szCs w:val="20"/>
        </w:rPr>
        <w:t xml:space="preserve"> per cent of two-</w:t>
      </w:r>
      <w:r w:rsidRPr="000F3B39">
        <w:rPr>
          <w:rFonts w:cs="Arial"/>
          <w:szCs w:val="20"/>
        </w:rPr>
        <w:t xml:space="preserve">bedroom dwellings across Melbourne were affordable. </w:t>
      </w:r>
      <w:r w:rsidR="00C347B6" w:rsidRPr="000F3B39">
        <w:rPr>
          <w:rFonts w:cs="Arial"/>
          <w:szCs w:val="20"/>
        </w:rPr>
        <w:t xml:space="preserve">A couple on Newstart with </w:t>
      </w:r>
      <w:r w:rsidR="00C347B6">
        <w:rPr>
          <w:rFonts w:cs="Arial"/>
          <w:szCs w:val="20"/>
        </w:rPr>
        <w:t>two</w:t>
      </w:r>
      <w:r w:rsidR="00C347B6" w:rsidRPr="000F3B39">
        <w:rPr>
          <w:rFonts w:cs="Arial"/>
          <w:szCs w:val="20"/>
        </w:rPr>
        <w:t xml:space="preserve"> dependent children could afford </w:t>
      </w:r>
      <w:r w:rsidR="00BA3715">
        <w:rPr>
          <w:rFonts w:cs="Arial"/>
          <w:szCs w:val="20"/>
        </w:rPr>
        <w:t>1</w:t>
      </w:r>
      <w:r w:rsidR="001F352D">
        <w:rPr>
          <w:rFonts w:cs="Arial"/>
          <w:szCs w:val="20"/>
        </w:rPr>
        <w:t>1</w:t>
      </w:r>
      <w:r w:rsidR="00BA3715">
        <w:rPr>
          <w:rFonts w:cs="Arial"/>
          <w:szCs w:val="20"/>
        </w:rPr>
        <w:t>.2</w:t>
      </w:r>
      <w:r w:rsidR="00C347B6">
        <w:rPr>
          <w:rFonts w:cs="Arial"/>
          <w:szCs w:val="20"/>
        </w:rPr>
        <w:t xml:space="preserve"> per cent of three-</w:t>
      </w:r>
      <w:r w:rsidR="00C347B6" w:rsidRPr="000F3B39">
        <w:rPr>
          <w:rFonts w:cs="Arial"/>
          <w:szCs w:val="20"/>
        </w:rPr>
        <w:t xml:space="preserve">bedroom new lettings in Melbourne in the </w:t>
      </w:r>
      <w:r w:rsidR="004B57AE">
        <w:rPr>
          <w:rFonts w:cs="Arial"/>
          <w:szCs w:val="20"/>
        </w:rPr>
        <w:t>December</w:t>
      </w:r>
      <w:r w:rsidR="00C347B6" w:rsidRPr="000F3B39">
        <w:rPr>
          <w:rFonts w:cs="Arial"/>
          <w:szCs w:val="20"/>
        </w:rPr>
        <w:t xml:space="preserve"> quarter</w:t>
      </w:r>
      <w:r w:rsidR="00C347B6">
        <w:rPr>
          <w:rFonts w:cs="Arial"/>
          <w:szCs w:val="20"/>
        </w:rPr>
        <w:t>.</w:t>
      </w:r>
      <w:r w:rsidR="00C347B6">
        <w:rPr>
          <w:rFonts w:cs="Arial"/>
        </w:rPr>
        <w:t xml:space="preserve"> </w:t>
      </w:r>
      <w:r w:rsidRPr="000F3B39">
        <w:rPr>
          <w:rFonts w:cs="Arial"/>
          <w:szCs w:val="20"/>
        </w:rPr>
        <w:t xml:space="preserve">A couple on Newstart with four dependent children could afford </w:t>
      </w:r>
      <w:r w:rsidR="001F352D">
        <w:rPr>
          <w:rFonts w:cs="Arial"/>
          <w:szCs w:val="20"/>
        </w:rPr>
        <w:t>29</w:t>
      </w:r>
      <w:r w:rsidR="00BA3715">
        <w:rPr>
          <w:rFonts w:cs="Arial"/>
          <w:szCs w:val="20"/>
        </w:rPr>
        <w:t>.4</w:t>
      </w:r>
      <w:r w:rsidR="00C347B6">
        <w:rPr>
          <w:rFonts w:cs="Arial"/>
          <w:szCs w:val="20"/>
        </w:rPr>
        <w:t xml:space="preserve"> per cent of four-</w:t>
      </w:r>
      <w:r w:rsidRPr="000F3B39">
        <w:rPr>
          <w:rFonts w:cs="Arial"/>
          <w:szCs w:val="20"/>
        </w:rPr>
        <w:t xml:space="preserve">bedroom new lettings in Melbourne in the </w:t>
      </w:r>
      <w:r w:rsidR="004B57AE">
        <w:rPr>
          <w:rFonts w:cs="Arial"/>
          <w:szCs w:val="20"/>
        </w:rPr>
        <w:t>December</w:t>
      </w:r>
      <w:r w:rsidRPr="000F3B39">
        <w:rPr>
          <w:rFonts w:cs="Arial"/>
          <w:szCs w:val="20"/>
        </w:rPr>
        <w:t xml:space="preserve"> quarter</w:t>
      </w:r>
      <w:r w:rsidR="004D0BEC">
        <w:rPr>
          <w:rFonts w:cs="Arial"/>
          <w:szCs w:val="20"/>
        </w:rPr>
        <w:t>.</w:t>
      </w:r>
      <w:r w:rsidR="004D0BEC">
        <w:rPr>
          <w:rFonts w:cs="Arial"/>
        </w:rPr>
        <w:t xml:space="preserve"> </w:t>
      </w:r>
      <w:r w:rsidR="00C347B6" w:rsidRPr="000F3B39">
        <w:rPr>
          <w:rFonts w:cs="Arial"/>
          <w:szCs w:val="20"/>
        </w:rPr>
        <w:t>For larger families, the supply of affordable three and fou</w:t>
      </w:r>
      <w:r w:rsidR="00C347B6">
        <w:rPr>
          <w:rFonts w:cs="Arial"/>
          <w:szCs w:val="20"/>
        </w:rPr>
        <w:t>r-</w:t>
      </w:r>
      <w:r w:rsidR="00C347B6" w:rsidRPr="000F3B39">
        <w:rPr>
          <w:rFonts w:cs="Arial"/>
          <w:szCs w:val="20"/>
        </w:rPr>
        <w:t>bedroom dwellings is better and reflects the predominantly outer suburban location of this size of dwelling.</w:t>
      </w:r>
    </w:p>
    <w:p w:rsidR="0094373E" w:rsidRDefault="0094373E">
      <w:pPr>
        <w:rPr>
          <w:rFonts w:cs="Arial"/>
          <w:b/>
          <w:bCs/>
          <w:sz w:val="20"/>
          <w:szCs w:val="20"/>
          <w:lang w:val="en-US"/>
        </w:rPr>
      </w:pPr>
      <w:r>
        <w:rPr>
          <w:rFonts w:cs="Arial"/>
          <w:lang w:val="en-US"/>
        </w:rPr>
        <w:br w:type="page"/>
      </w:r>
    </w:p>
    <w:p w:rsidR="0047763C" w:rsidRDefault="0047763C" w:rsidP="00EF1F40">
      <w:pPr>
        <w:pStyle w:val="DHSheadingD"/>
        <w:rPr>
          <w:rFonts w:cs="Arial"/>
        </w:rPr>
      </w:pPr>
      <w:r w:rsidRPr="00706644">
        <w:rPr>
          <w:rFonts w:cs="Arial"/>
          <w:lang w:val="en-US"/>
        </w:rPr>
        <w:lastRenderedPageBreak/>
        <w:t>Figure 8: Affordable rentals as percent of all rentals</w:t>
      </w:r>
    </w:p>
    <w:p w:rsidR="003A7FDA" w:rsidRDefault="005540A2" w:rsidP="00054C75">
      <w:pPr>
        <w:rPr>
          <w:rFonts w:cs="Arial"/>
        </w:rPr>
      </w:pPr>
      <w:r w:rsidRPr="005540A2">
        <w:rPr>
          <w:rFonts w:cs="Arial"/>
          <w:noProof/>
          <w:lang w:eastAsia="en-AU"/>
        </w:rPr>
        <w:drawing>
          <wp:inline distT="0" distB="0" distL="0" distR="0">
            <wp:extent cx="5693134" cy="3470681"/>
            <wp:effectExtent l="0" t="0" r="0" b="0"/>
            <wp:docPr id="27"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64A1F" w:rsidRPr="00706644" w:rsidRDefault="00C64A1F" w:rsidP="00054C75">
      <w:pPr>
        <w:rPr>
          <w:rFonts w:cs="Arial"/>
        </w:rPr>
      </w:pPr>
    </w:p>
    <w:p w:rsidR="0047763C" w:rsidRPr="00706644" w:rsidRDefault="0047763C" w:rsidP="009C74D4">
      <w:pPr>
        <w:pStyle w:val="DHSheadingD"/>
        <w:rPr>
          <w:rFonts w:cs="Arial"/>
          <w:spacing w:val="-2"/>
          <w:lang w:val="en-US"/>
        </w:rPr>
      </w:pPr>
      <w:r w:rsidRPr="00706644">
        <w:rPr>
          <w:rFonts w:cs="Arial"/>
          <w:lang w:val="en-US"/>
        </w:rPr>
        <w:t xml:space="preserve">Table 9: Rental affordability by indicative households on Centrelink incomes </w:t>
      </w:r>
    </w:p>
    <w:tbl>
      <w:tblPr>
        <w:tblW w:w="10614"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518"/>
        <w:gridCol w:w="1416"/>
        <w:gridCol w:w="1276"/>
        <w:gridCol w:w="1334"/>
        <w:gridCol w:w="1496"/>
        <w:gridCol w:w="1462"/>
        <w:gridCol w:w="1112"/>
      </w:tblGrid>
      <w:tr w:rsidR="0047763C" w:rsidRPr="001A71EF" w:rsidTr="00DF3BA6">
        <w:trPr>
          <w:trHeight w:val="340"/>
        </w:trPr>
        <w:tc>
          <w:tcPr>
            <w:tcW w:w="2518" w:type="dxa"/>
            <w:tcBorders>
              <w:top w:val="single" w:sz="18" w:space="0" w:color="9DAECB"/>
              <w:bottom w:val="single" w:sz="12" w:space="0" w:color="9DAECB"/>
            </w:tcBorders>
            <w:noWrap/>
            <w:vAlign w:val="center"/>
          </w:tcPr>
          <w:p w:rsidR="0047763C" w:rsidRPr="00C95655" w:rsidRDefault="0047763C" w:rsidP="00C95655">
            <w:pPr>
              <w:pStyle w:val="TablecopyHeading"/>
              <w:keepNext/>
              <w:keepLines/>
              <w:spacing w:before="0" w:after="0" w:line="240" w:lineRule="auto"/>
              <w:jc w:val="left"/>
              <w:outlineLvl w:val="7"/>
              <w:rPr>
                <w:rFonts w:ascii="Arial" w:hAnsi="Arial" w:cs="Arial"/>
                <w:b/>
                <w:sz w:val="20"/>
                <w:szCs w:val="20"/>
              </w:rPr>
            </w:pPr>
            <w:r w:rsidRPr="00C95655">
              <w:rPr>
                <w:rFonts w:ascii="Arial" w:hAnsi="Arial" w:cs="Arial"/>
                <w:b/>
                <w:sz w:val="20"/>
                <w:szCs w:val="20"/>
              </w:rPr>
              <w:t>Household type</w:t>
            </w:r>
          </w:p>
        </w:tc>
        <w:tc>
          <w:tcPr>
            <w:tcW w:w="1416" w:type="dxa"/>
            <w:tcBorders>
              <w:top w:val="single" w:sz="18" w:space="0" w:color="9DAECB"/>
              <w:bottom w:val="single" w:sz="12" w:space="0" w:color="9DAECB"/>
            </w:tcBorders>
            <w:noWrap/>
            <w:vAlign w:val="center"/>
          </w:tcPr>
          <w:p w:rsidR="0047763C" w:rsidRPr="00C95655" w:rsidRDefault="0047763C" w:rsidP="00C95655">
            <w:pPr>
              <w:pStyle w:val="NoParagraphStyle"/>
              <w:spacing w:line="240" w:lineRule="auto"/>
              <w:textAlignment w:val="auto"/>
              <w:rPr>
                <w:rFonts w:ascii="Arial" w:hAnsi="Arial" w:cs="Arial"/>
                <w:b/>
                <w:color w:val="auto"/>
                <w:sz w:val="20"/>
                <w:szCs w:val="20"/>
                <w:lang w:val="en-US"/>
              </w:rPr>
            </w:pPr>
          </w:p>
        </w:tc>
        <w:tc>
          <w:tcPr>
            <w:tcW w:w="1276" w:type="dxa"/>
            <w:tcBorders>
              <w:top w:val="single" w:sz="18" w:space="0" w:color="9DAECB"/>
              <w:bottom w:val="single" w:sz="12" w:space="0" w:color="9DAECB"/>
            </w:tcBorders>
            <w:shd w:val="clear" w:color="auto" w:fill="E5EBF0"/>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Singles on Newstart</w:t>
            </w:r>
          </w:p>
        </w:tc>
        <w:tc>
          <w:tcPr>
            <w:tcW w:w="1334" w:type="dxa"/>
            <w:tcBorders>
              <w:top w:val="single" w:sz="18" w:space="0" w:color="9DAECB"/>
              <w:bottom w:val="single" w:sz="12" w:space="0" w:color="9DAECB"/>
            </w:tcBorders>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Single Parent with 1 child</w:t>
            </w:r>
          </w:p>
        </w:tc>
        <w:tc>
          <w:tcPr>
            <w:tcW w:w="1496" w:type="dxa"/>
            <w:tcBorders>
              <w:top w:val="single" w:sz="18" w:space="0" w:color="9DAECB"/>
              <w:bottom w:val="single" w:sz="12" w:space="0" w:color="9DAECB"/>
            </w:tcBorders>
            <w:shd w:val="clear" w:color="auto" w:fill="E5EBF0"/>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 xml:space="preserve">Couple on Newstart with </w:t>
            </w:r>
            <w:r w:rsidRPr="00C95655">
              <w:rPr>
                <w:rFonts w:ascii="Arial" w:hAnsi="Arial" w:cs="Arial"/>
                <w:b/>
                <w:sz w:val="20"/>
                <w:szCs w:val="20"/>
              </w:rPr>
              <w:br/>
              <w:t>2 children</w:t>
            </w:r>
          </w:p>
        </w:tc>
        <w:tc>
          <w:tcPr>
            <w:tcW w:w="1462" w:type="dxa"/>
            <w:tcBorders>
              <w:top w:val="single" w:sz="18" w:space="0" w:color="9DAECB"/>
              <w:bottom w:val="single" w:sz="12" w:space="0" w:color="9DAECB"/>
            </w:tcBorders>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 xml:space="preserve">Couple on Newstart with </w:t>
            </w:r>
            <w:r w:rsidRPr="00C95655">
              <w:rPr>
                <w:rFonts w:ascii="Arial" w:hAnsi="Arial" w:cs="Arial"/>
                <w:b/>
                <w:sz w:val="20"/>
                <w:szCs w:val="20"/>
              </w:rPr>
              <w:br/>
              <w:t>4 children</w:t>
            </w:r>
          </w:p>
        </w:tc>
        <w:tc>
          <w:tcPr>
            <w:tcW w:w="1112" w:type="dxa"/>
            <w:tcBorders>
              <w:top w:val="single" w:sz="18" w:space="0" w:color="9DAECB"/>
              <w:bottom w:val="single" w:sz="12" w:space="0" w:color="9DAECB"/>
            </w:tcBorders>
            <w:shd w:val="clear" w:color="auto" w:fill="E5EBF0"/>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Total</w:t>
            </w:r>
          </w:p>
          <w:p w:rsidR="0047763C" w:rsidRPr="00C95655" w:rsidRDefault="0047763C" w:rsidP="00C95655">
            <w:pPr>
              <w:pStyle w:val="TablecopyHeading"/>
              <w:spacing w:before="0" w:after="0" w:line="240" w:lineRule="auto"/>
              <w:rPr>
                <w:rFonts w:ascii="Arial" w:hAnsi="Arial" w:cs="Arial"/>
                <w:b/>
                <w:sz w:val="20"/>
                <w:szCs w:val="20"/>
              </w:rPr>
            </w:pPr>
          </w:p>
        </w:tc>
      </w:tr>
      <w:tr w:rsidR="0047763C" w:rsidRPr="005F5C4F" w:rsidTr="00164330">
        <w:trPr>
          <w:trHeight w:val="340"/>
        </w:trPr>
        <w:tc>
          <w:tcPr>
            <w:tcW w:w="2518" w:type="dxa"/>
            <w:tcBorders>
              <w:top w:val="single" w:sz="12" w:space="0" w:color="9DAECB"/>
            </w:tcBorders>
            <w:noWrap/>
            <w:vAlign w:val="center"/>
          </w:tcPr>
          <w:p w:rsidR="0047763C" w:rsidRPr="00C95655" w:rsidRDefault="0047763C" w:rsidP="00164330">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Assumed property size</w:t>
            </w:r>
          </w:p>
        </w:tc>
        <w:tc>
          <w:tcPr>
            <w:tcW w:w="1416" w:type="dxa"/>
            <w:tcBorders>
              <w:top w:val="single" w:sz="12" w:space="0" w:color="9DAECB"/>
            </w:tcBorders>
            <w:noWrap/>
            <w:vAlign w:val="center"/>
          </w:tcPr>
          <w:p w:rsidR="0047763C" w:rsidRPr="00C95655" w:rsidRDefault="0047763C" w:rsidP="00164330">
            <w:pPr>
              <w:pStyle w:val="NoParagraphStyle"/>
              <w:spacing w:line="240" w:lineRule="auto"/>
              <w:textAlignment w:val="auto"/>
              <w:rPr>
                <w:rFonts w:ascii="Arial" w:hAnsi="Arial" w:cs="Arial"/>
                <w:color w:val="auto"/>
                <w:sz w:val="20"/>
                <w:szCs w:val="20"/>
                <w:lang w:val="en-US"/>
              </w:rPr>
            </w:pPr>
          </w:p>
        </w:tc>
        <w:tc>
          <w:tcPr>
            <w:tcW w:w="1276" w:type="dxa"/>
            <w:tcBorders>
              <w:top w:val="single" w:sz="12" w:space="0" w:color="9DAECB"/>
            </w:tcBorders>
            <w:shd w:val="clear" w:color="auto" w:fill="E5EBF0"/>
            <w:noWrap/>
            <w:vAlign w:val="center"/>
          </w:tcPr>
          <w:p w:rsidR="0047763C" w:rsidRPr="00DF3BA6" w:rsidRDefault="0047763C" w:rsidP="00164330">
            <w:pPr>
              <w:pStyle w:val="TablecopyHeading"/>
              <w:spacing w:before="0" w:after="0" w:line="240" w:lineRule="auto"/>
              <w:jc w:val="right"/>
              <w:rPr>
                <w:rFonts w:ascii="Arial" w:hAnsi="Arial" w:cs="Arial"/>
                <w:sz w:val="20"/>
                <w:szCs w:val="20"/>
              </w:rPr>
            </w:pPr>
            <w:r w:rsidRPr="00DF3BA6">
              <w:rPr>
                <w:rFonts w:ascii="Arial" w:hAnsi="Arial" w:cs="Arial"/>
                <w:sz w:val="20"/>
                <w:szCs w:val="20"/>
              </w:rPr>
              <w:t>1 bedroom</w:t>
            </w:r>
          </w:p>
        </w:tc>
        <w:tc>
          <w:tcPr>
            <w:tcW w:w="1334" w:type="dxa"/>
            <w:tcBorders>
              <w:top w:val="single" w:sz="12" w:space="0" w:color="9DAECB"/>
            </w:tcBorders>
            <w:noWrap/>
            <w:vAlign w:val="center"/>
          </w:tcPr>
          <w:p w:rsidR="0047763C" w:rsidRPr="00DF3BA6" w:rsidRDefault="0047763C" w:rsidP="00164330">
            <w:pPr>
              <w:pStyle w:val="TablecopyHeading"/>
              <w:spacing w:before="0" w:after="0" w:line="240" w:lineRule="auto"/>
              <w:jc w:val="right"/>
              <w:rPr>
                <w:rFonts w:ascii="Arial" w:hAnsi="Arial" w:cs="Arial"/>
                <w:sz w:val="20"/>
                <w:szCs w:val="20"/>
              </w:rPr>
            </w:pPr>
            <w:r w:rsidRPr="00DF3BA6">
              <w:rPr>
                <w:rFonts w:ascii="Arial" w:hAnsi="Arial" w:cs="Arial"/>
                <w:sz w:val="20"/>
                <w:szCs w:val="20"/>
              </w:rPr>
              <w:t>2 bedroom</w:t>
            </w:r>
          </w:p>
        </w:tc>
        <w:tc>
          <w:tcPr>
            <w:tcW w:w="1496" w:type="dxa"/>
            <w:tcBorders>
              <w:top w:val="single" w:sz="12" w:space="0" w:color="9DAECB"/>
            </w:tcBorders>
            <w:shd w:val="clear" w:color="auto" w:fill="E5EBF0"/>
            <w:noWrap/>
            <w:vAlign w:val="center"/>
          </w:tcPr>
          <w:p w:rsidR="0047763C" w:rsidRPr="00DF3BA6" w:rsidRDefault="0047763C" w:rsidP="00164330">
            <w:pPr>
              <w:pStyle w:val="TablecopyHeading"/>
              <w:spacing w:before="0" w:after="0" w:line="240" w:lineRule="auto"/>
              <w:jc w:val="right"/>
              <w:rPr>
                <w:rFonts w:ascii="Arial" w:hAnsi="Arial" w:cs="Arial"/>
                <w:sz w:val="20"/>
                <w:szCs w:val="20"/>
              </w:rPr>
            </w:pPr>
            <w:r w:rsidRPr="00DF3BA6">
              <w:rPr>
                <w:rFonts w:ascii="Arial" w:hAnsi="Arial" w:cs="Arial"/>
                <w:sz w:val="20"/>
                <w:szCs w:val="20"/>
              </w:rPr>
              <w:t>3 bedroom</w:t>
            </w:r>
          </w:p>
        </w:tc>
        <w:tc>
          <w:tcPr>
            <w:tcW w:w="1462" w:type="dxa"/>
            <w:tcBorders>
              <w:top w:val="single" w:sz="12" w:space="0" w:color="9DAECB"/>
            </w:tcBorders>
            <w:noWrap/>
            <w:vAlign w:val="center"/>
          </w:tcPr>
          <w:p w:rsidR="0047763C" w:rsidRPr="00DF3BA6" w:rsidRDefault="0047763C" w:rsidP="00164330">
            <w:pPr>
              <w:pStyle w:val="TablecopyHeading"/>
              <w:spacing w:before="0" w:after="0" w:line="240" w:lineRule="auto"/>
              <w:jc w:val="right"/>
              <w:rPr>
                <w:rFonts w:ascii="Arial" w:hAnsi="Arial" w:cs="Arial"/>
                <w:sz w:val="20"/>
                <w:szCs w:val="20"/>
              </w:rPr>
            </w:pPr>
            <w:r w:rsidRPr="00DF3BA6">
              <w:rPr>
                <w:rFonts w:ascii="Arial" w:hAnsi="Arial" w:cs="Arial"/>
                <w:sz w:val="20"/>
                <w:szCs w:val="20"/>
              </w:rPr>
              <w:t>4+ bedroom</w:t>
            </w:r>
          </w:p>
        </w:tc>
        <w:tc>
          <w:tcPr>
            <w:tcW w:w="1112" w:type="dxa"/>
            <w:tcBorders>
              <w:top w:val="single" w:sz="12" w:space="0" w:color="9DAECB"/>
            </w:tcBorders>
            <w:shd w:val="clear" w:color="auto" w:fill="E5EBF0"/>
            <w:vAlign w:val="center"/>
          </w:tcPr>
          <w:p w:rsidR="0047763C" w:rsidRPr="00DF3BA6" w:rsidRDefault="0047763C" w:rsidP="00164330">
            <w:pPr>
              <w:pStyle w:val="Tablecopy"/>
              <w:spacing w:before="0" w:after="0" w:line="240" w:lineRule="auto"/>
              <w:jc w:val="right"/>
              <w:rPr>
                <w:rFonts w:cs="Arial"/>
                <w:sz w:val="20"/>
                <w:szCs w:val="20"/>
              </w:rPr>
            </w:pPr>
          </w:p>
        </w:tc>
      </w:tr>
      <w:tr w:rsidR="005540A2" w:rsidRPr="005F5C4F" w:rsidTr="005540A2">
        <w:trPr>
          <w:trHeight w:val="340"/>
        </w:trPr>
        <w:tc>
          <w:tcPr>
            <w:tcW w:w="2518" w:type="dxa"/>
            <w:noWrap/>
            <w:vAlign w:val="center"/>
          </w:tcPr>
          <w:p w:rsidR="005540A2" w:rsidRPr="00C95655" w:rsidRDefault="005540A2" w:rsidP="00164330">
            <w:pPr>
              <w:pStyle w:val="Tablecopy"/>
              <w:spacing w:before="0" w:after="0" w:line="240" w:lineRule="auto"/>
              <w:jc w:val="left"/>
              <w:rPr>
                <w:rFonts w:cs="Arial"/>
                <w:b/>
                <w:sz w:val="20"/>
                <w:szCs w:val="20"/>
              </w:rPr>
            </w:pPr>
            <w:r w:rsidRPr="00C95655">
              <w:rPr>
                <w:rFonts w:cs="Arial"/>
                <w:b/>
                <w:sz w:val="20"/>
                <w:szCs w:val="20"/>
              </w:rPr>
              <w:t xml:space="preserve">Weekly income </w:t>
            </w:r>
            <w:r w:rsidRPr="00C95655">
              <w:rPr>
                <w:rFonts w:cs="Arial"/>
                <w:b/>
                <w:sz w:val="20"/>
                <w:szCs w:val="20"/>
              </w:rPr>
              <w:br/>
              <w:t>(net of RA)</w:t>
            </w:r>
          </w:p>
        </w:tc>
        <w:tc>
          <w:tcPr>
            <w:tcW w:w="1416" w:type="dxa"/>
            <w:noWrap/>
            <w:vAlign w:val="center"/>
          </w:tcPr>
          <w:p w:rsidR="005540A2" w:rsidRPr="00C95655" w:rsidRDefault="005540A2" w:rsidP="00164330">
            <w:pPr>
              <w:pStyle w:val="NoParagraphStyle"/>
              <w:spacing w:line="240" w:lineRule="auto"/>
              <w:textAlignment w:val="auto"/>
              <w:rPr>
                <w:rFonts w:ascii="Arial" w:hAnsi="Arial" w:cs="Arial"/>
                <w:color w:val="auto"/>
                <w:sz w:val="20"/>
                <w:szCs w:val="20"/>
                <w:lang w:val="en-US"/>
              </w:rPr>
            </w:pPr>
          </w:p>
        </w:tc>
        <w:tc>
          <w:tcPr>
            <w:tcW w:w="1276" w:type="dxa"/>
            <w:shd w:val="clear" w:color="auto" w:fill="E5EBF0"/>
            <w:noWrap/>
            <w:vAlign w:val="center"/>
          </w:tcPr>
          <w:p w:rsidR="005540A2" w:rsidRPr="005540A2" w:rsidRDefault="005540A2" w:rsidP="005540A2">
            <w:pPr>
              <w:jc w:val="center"/>
              <w:rPr>
                <w:rFonts w:cs="Arial"/>
                <w:szCs w:val="22"/>
              </w:rPr>
            </w:pPr>
            <w:r w:rsidRPr="005540A2">
              <w:rPr>
                <w:rFonts w:cs="Arial"/>
                <w:szCs w:val="22"/>
              </w:rPr>
              <w:t>$262</w:t>
            </w:r>
          </w:p>
        </w:tc>
        <w:tc>
          <w:tcPr>
            <w:tcW w:w="1334" w:type="dxa"/>
            <w:noWrap/>
            <w:vAlign w:val="center"/>
          </w:tcPr>
          <w:p w:rsidR="005540A2" w:rsidRPr="005540A2" w:rsidRDefault="005540A2" w:rsidP="005540A2">
            <w:pPr>
              <w:jc w:val="center"/>
              <w:rPr>
                <w:rFonts w:cs="Arial"/>
                <w:szCs w:val="22"/>
              </w:rPr>
            </w:pPr>
            <w:r w:rsidRPr="005540A2">
              <w:rPr>
                <w:rFonts w:cs="Arial"/>
                <w:szCs w:val="22"/>
              </w:rPr>
              <w:t>$55</w:t>
            </w:r>
            <w:r w:rsidR="00360F0B">
              <w:rPr>
                <w:rFonts w:cs="Arial"/>
                <w:szCs w:val="22"/>
              </w:rPr>
              <w:t>3</w:t>
            </w:r>
          </w:p>
        </w:tc>
        <w:tc>
          <w:tcPr>
            <w:tcW w:w="1496" w:type="dxa"/>
            <w:shd w:val="clear" w:color="auto" w:fill="E5EBF0"/>
            <w:noWrap/>
            <w:vAlign w:val="center"/>
          </w:tcPr>
          <w:p w:rsidR="005540A2" w:rsidRPr="005540A2" w:rsidRDefault="005540A2" w:rsidP="005540A2">
            <w:pPr>
              <w:jc w:val="center"/>
              <w:rPr>
                <w:rFonts w:cs="Arial"/>
                <w:szCs w:val="22"/>
              </w:rPr>
            </w:pPr>
            <w:r w:rsidRPr="005540A2">
              <w:rPr>
                <w:rFonts w:cs="Arial"/>
                <w:szCs w:val="22"/>
              </w:rPr>
              <w:t>$763</w:t>
            </w:r>
          </w:p>
        </w:tc>
        <w:tc>
          <w:tcPr>
            <w:tcW w:w="1462" w:type="dxa"/>
            <w:noWrap/>
            <w:vAlign w:val="center"/>
          </w:tcPr>
          <w:p w:rsidR="005540A2" w:rsidRPr="005540A2" w:rsidRDefault="005540A2" w:rsidP="005540A2">
            <w:pPr>
              <w:jc w:val="center"/>
              <w:rPr>
                <w:rFonts w:cs="Arial"/>
                <w:szCs w:val="22"/>
              </w:rPr>
            </w:pPr>
            <w:r w:rsidRPr="005540A2">
              <w:rPr>
                <w:rFonts w:cs="Arial"/>
                <w:szCs w:val="22"/>
              </w:rPr>
              <w:t>$983</w:t>
            </w:r>
          </w:p>
        </w:tc>
        <w:tc>
          <w:tcPr>
            <w:tcW w:w="1112" w:type="dxa"/>
            <w:shd w:val="clear" w:color="auto" w:fill="E5EBF0"/>
            <w:vAlign w:val="center"/>
          </w:tcPr>
          <w:p w:rsidR="005540A2" w:rsidRPr="005540A2" w:rsidRDefault="005540A2" w:rsidP="005540A2">
            <w:pPr>
              <w:ind w:right="170"/>
              <w:jc w:val="center"/>
              <w:rPr>
                <w:rFonts w:cs="Arial"/>
                <w:szCs w:val="22"/>
              </w:rPr>
            </w:pPr>
          </w:p>
        </w:tc>
      </w:tr>
      <w:tr w:rsidR="005540A2" w:rsidRPr="005F5C4F" w:rsidTr="005540A2">
        <w:trPr>
          <w:trHeight w:val="340"/>
        </w:trPr>
        <w:tc>
          <w:tcPr>
            <w:tcW w:w="2518" w:type="dxa"/>
            <w:noWrap/>
            <w:vAlign w:val="center"/>
          </w:tcPr>
          <w:p w:rsidR="005540A2" w:rsidRPr="00C95655" w:rsidRDefault="005540A2" w:rsidP="00164330">
            <w:pPr>
              <w:pStyle w:val="Tablecopy"/>
              <w:spacing w:before="0" w:after="0" w:line="240" w:lineRule="auto"/>
              <w:jc w:val="left"/>
              <w:rPr>
                <w:rFonts w:cs="Arial"/>
                <w:b/>
                <w:sz w:val="20"/>
                <w:szCs w:val="20"/>
              </w:rPr>
            </w:pPr>
            <w:r w:rsidRPr="00C95655">
              <w:rPr>
                <w:rFonts w:cs="Arial"/>
                <w:b/>
                <w:sz w:val="20"/>
                <w:szCs w:val="20"/>
              </w:rPr>
              <w:t>Affordable weekly rent</w:t>
            </w:r>
          </w:p>
        </w:tc>
        <w:tc>
          <w:tcPr>
            <w:tcW w:w="1416" w:type="dxa"/>
            <w:noWrap/>
            <w:vAlign w:val="center"/>
          </w:tcPr>
          <w:p w:rsidR="005540A2" w:rsidRPr="00C95655" w:rsidRDefault="005540A2" w:rsidP="00164330">
            <w:pPr>
              <w:pStyle w:val="NoParagraphStyle"/>
              <w:spacing w:line="240" w:lineRule="auto"/>
              <w:textAlignment w:val="auto"/>
              <w:rPr>
                <w:rFonts w:ascii="Arial" w:hAnsi="Arial" w:cs="Arial"/>
                <w:color w:val="auto"/>
                <w:sz w:val="20"/>
                <w:szCs w:val="20"/>
                <w:lang w:val="en-US"/>
              </w:rPr>
            </w:pPr>
          </w:p>
        </w:tc>
        <w:tc>
          <w:tcPr>
            <w:tcW w:w="1276" w:type="dxa"/>
            <w:shd w:val="clear" w:color="auto" w:fill="E5EBF0"/>
            <w:noWrap/>
            <w:vAlign w:val="center"/>
          </w:tcPr>
          <w:p w:rsidR="005540A2" w:rsidRPr="005540A2" w:rsidRDefault="005540A2" w:rsidP="005540A2">
            <w:pPr>
              <w:jc w:val="center"/>
              <w:rPr>
                <w:rFonts w:cs="Arial"/>
                <w:szCs w:val="22"/>
              </w:rPr>
            </w:pPr>
            <w:r w:rsidRPr="005540A2">
              <w:rPr>
                <w:rFonts w:cs="Arial"/>
                <w:szCs w:val="22"/>
              </w:rPr>
              <w:t>$145</w:t>
            </w:r>
          </w:p>
        </w:tc>
        <w:tc>
          <w:tcPr>
            <w:tcW w:w="1334" w:type="dxa"/>
            <w:noWrap/>
            <w:vAlign w:val="center"/>
          </w:tcPr>
          <w:p w:rsidR="005540A2" w:rsidRPr="005540A2" w:rsidRDefault="005540A2" w:rsidP="005540A2">
            <w:pPr>
              <w:jc w:val="center"/>
              <w:rPr>
                <w:rFonts w:cs="Arial"/>
                <w:szCs w:val="22"/>
              </w:rPr>
            </w:pPr>
            <w:r w:rsidRPr="005540A2">
              <w:rPr>
                <w:rFonts w:cs="Arial"/>
                <w:szCs w:val="22"/>
              </w:rPr>
              <w:t>$245</w:t>
            </w:r>
          </w:p>
        </w:tc>
        <w:tc>
          <w:tcPr>
            <w:tcW w:w="1496" w:type="dxa"/>
            <w:shd w:val="clear" w:color="auto" w:fill="E5EBF0"/>
            <w:noWrap/>
            <w:vAlign w:val="center"/>
          </w:tcPr>
          <w:p w:rsidR="005540A2" w:rsidRPr="005540A2" w:rsidRDefault="005540A2" w:rsidP="005540A2">
            <w:pPr>
              <w:jc w:val="center"/>
              <w:rPr>
                <w:rFonts w:cs="Arial"/>
                <w:szCs w:val="22"/>
              </w:rPr>
            </w:pPr>
            <w:r w:rsidRPr="005540A2">
              <w:rPr>
                <w:rFonts w:cs="Arial"/>
                <w:szCs w:val="22"/>
              </w:rPr>
              <w:t>$305</w:t>
            </w:r>
          </w:p>
        </w:tc>
        <w:tc>
          <w:tcPr>
            <w:tcW w:w="1462" w:type="dxa"/>
            <w:noWrap/>
            <w:vAlign w:val="center"/>
          </w:tcPr>
          <w:p w:rsidR="005540A2" w:rsidRPr="005540A2" w:rsidRDefault="005540A2" w:rsidP="005540A2">
            <w:pPr>
              <w:jc w:val="center"/>
              <w:rPr>
                <w:rFonts w:cs="Arial"/>
                <w:szCs w:val="22"/>
              </w:rPr>
            </w:pPr>
            <w:r w:rsidRPr="005540A2">
              <w:rPr>
                <w:rFonts w:cs="Arial"/>
                <w:szCs w:val="22"/>
              </w:rPr>
              <w:t>$385</w:t>
            </w:r>
          </w:p>
        </w:tc>
        <w:tc>
          <w:tcPr>
            <w:tcW w:w="1112" w:type="dxa"/>
            <w:shd w:val="clear" w:color="auto" w:fill="E5EBF0"/>
            <w:vAlign w:val="center"/>
          </w:tcPr>
          <w:p w:rsidR="005540A2" w:rsidRPr="005540A2" w:rsidRDefault="005540A2" w:rsidP="005540A2">
            <w:pPr>
              <w:ind w:right="170"/>
              <w:jc w:val="center"/>
              <w:rPr>
                <w:rFonts w:cs="Arial"/>
                <w:szCs w:val="22"/>
              </w:rPr>
            </w:pPr>
          </w:p>
        </w:tc>
      </w:tr>
      <w:tr w:rsidR="005540A2" w:rsidRPr="005F5C4F" w:rsidTr="005540A2">
        <w:trPr>
          <w:trHeight w:val="340"/>
        </w:trPr>
        <w:tc>
          <w:tcPr>
            <w:tcW w:w="2518" w:type="dxa"/>
            <w:vMerge w:val="restart"/>
            <w:noWrap/>
            <w:vAlign w:val="center"/>
          </w:tcPr>
          <w:p w:rsidR="005540A2" w:rsidRPr="00C95655" w:rsidRDefault="005540A2" w:rsidP="00164330">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Affordable rentals (number)</w:t>
            </w:r>
          </w:p>
        </w:tc>
        <w:tc>
          <w:tcPr>
            <w:tcW w:w="1416" w:type="dxa"/>
            <w:noWrap/>
            <w:vAlign w:val="center"/>
          </w:tcPr>
          <w:p w:rsidR="005540A2" w:rsidRPr="00C95655" w:rsidRDefault="005540A2" w:rsidP="00164330">
            <w:pPr>
              <w:pStyle w:val="Tablecopy"/>
              <w:spacing w:before="0" w:after="0" w:line="240" w:lineRule="auto"/>
              <w:jc w:val="left"/>
              <w:rPr>
                <w:rFonts w:cs="Arial"/>
                <w:b/>
                <w:sz w:val="20"/>
                <w:szCs w:val="20"/>
              </w:rPr>
            </w:pPr>
            <w:r w:rsidRPr="00C95655">
              <w:rPr>
                <w:rFonts w:cs="Arial"/>
                <w:b/>
                <w:sz w:val="20"/>
                <w:szCs w:val="20"/>
              </w:rPr>
              <w:t>Metropolitan</w:t>
            </w:r>
          </w:p>
        </w:tc>
        <w:tc>
          <w:tcPr>
            <w:tcW w:w="1276" w:type="dxa"/>
            <w:shd w:val="clear" w:color="auto" w:fill="E5EBF0"/>
            <w:noWrap/>
            <w:vAlign w:val="center"/>
          </w:tcPr>
          <w:p w:rsidR="005540A2" w:rsidRPr="005540A2" w:rsidRDefault="005540A2" w:rsidP="005540A2">
            <w:pPr>
              <w:jc w:val="center"/>
              <w:rPr>
                <w:rFonts w:cs="Arial"/>
                <w:color w:val="000000"/>
                <w:szCs w:val="22"/>
              </w:rPr>
            </w:pPr>
            <w:r w:rsidRPr="005540A2">
              <w:rPr>
                <w:rFonts w:cs="Arial"/>
                <w:color w:val="000000"/>
                <w:szCs w:val="22"/>
              </w:rPr>
              <w:t>25</w:t>
            </w:r>
          </w:p>
        </w:tc>
        <w:tc>
          <w:tcPr>
            <w:tcW w:w="1334" w:type="dxa"/>
            <w:noWrap/>
            <w:vAlign w:val="center"/>
          </w:tcPr>
          <w:p w:rsidR="005540A2" w:rsidRPr="005540A2" w:rsidRDefault="005540A2" w:rsidP="005540A2">
            <w:pPr>
              <w:jc w:val="center"/>
              <w:rPr>
                <w:rFonts w:cs="Arial"/>
                <w:color w:val="000000"/>
                <w:szCs w:val="22"/>
              </w:rPr>
            </w:pPr>
            <w:r w:rsidRPr="005540A2">
              <w:rPr>
                <w:rFonts w:cs="Arial"/>
                <w:color w:val="000000"/>
                <w:szCs w:val="22"/>
              </w:rPr>
              <w:t>421</w:t>
            </w:r>
          </w:p>
        </w:tc>
        <w:tc>
          <w:tcPr>
            <w:tcW w:w="1496" w:type="dxa"/>
            <w:shd w:val="clear" w:color="auto" w:fill="E5EBF0"/>
            <w:noWrap/>
            <w:vAlign w:val="center"/>
          </w:tcPr>
          <w:p w:rsidR="005540A2" w:rsidRPr="005540A2" w:rsidRDefault="005540A2" w:rsidP="005540A2">
            <w:pPr>
              <w:jc w:val="center"/>
              <w:rPr>
                <w:rFonts w:cs="Arial"/>
                <w:color w:val="000000"/>
                <w:szCs w:val="22"/>
              </w:rPr>
            </w:pPr>
            <w:r w:rsidRPr="005540A2">
              <w:rPr>
                <w:rFonts w:cs="Arial"/>
                <w:color w:val="000000"/>
                <w:szCs w:val="22"/>
              </w:rPr>
              <w:t>1,491</w:t>
            </w:r>
          </w:p>
        </w:tc>
        <w:tc>
          <w:tcPr>
            <w:tcW w:w="1462" w:type="dxa"/>
            <w:noWrap/>
            <w:vAlign w:val="center"/>
          </w:tcPr>
          <w:p w:rsidR="005540A2" w:rsidRPr="005540A2" w:rsidRDefault="005540A2" w:rsidP="005540A2">
            <w:pPr>
              <w:jc w:val="center"/>
              <w:rPr>
                <w:rFonts w:cs="Arial"/>
                <w:color w:val="000000"/>
                <w:szCs w:val="22"/>
              </w:rPr>
            </w:pPr>
            <w:r w:rsidRPr="005540A2">
              <w:rPr>
                <w:rFonts w:cs="Arial"/>
                <w:color w:val="000000"/>
                <w:szCs w:val="22"/>
              </w:rPr>
              <w:t>1,479</w:t>
            </w:r>
          </w:p>
        </w:tc>
        <w:tc>
          <w:tcPr>
            <w:tcW w:w="1112" w:type="dxa"/>
            <w:shd w:val="clear" w:color="auto" w:fill="E5EBF0"/>
            <w:vAlign w:val="center"/>
          </w:tcPr>
          <w:p w:rsidR="005540A2" w:rsidRPr="005540A2" w:rsidRDefault="005540A2" w:rsidP="005540A2">
            <w:pPr>
              <w:jc w:val="center"/>
              <w:rPr>
                <w:rFonts w:cs="Arial"/>
                <w:color w:val="000000"/>
                <w:szCs w:val="22"/>
              </w:rPr>
            </w:pPr>
            <w:r w:rsidRPr="005540A2">
              <w:rPr>
                <w:rFonts w:cs="Arial"/>
                <w:color w:val="000000"/>
                <w:szCs w:val="22"/>
              </w:rPr>
              <w:t>3,416</w:t>
            </w:r>
          </w:p>
        </w:tc>
      </w:tr>
      <w:tr w:rsidR="005540A2" w:rsidRPr="005F5C4F" w:rsidTr="005540A2">
        <w:trPr>
          <w:trHeight w:val="340"/>
        </w:trPr>
        <w:tc>
          <w:tcPr>
            <w:tcW w:w="2518" w:type="dxa"/>
            <w:vMerge/>
            <w:noWrap/>
            <w:vAlign w:val="center"/>
          </w:tcPr>
          <w:p w:rsidR="005540A2" w:rsidRPr="00C95655" w:rsidRDefault="005540A2" w:rsidP="00164330">
            <w:pPr>
              <w:pStyle w:val="Tablecopy"/>
              <w:spacing w:before="0" w:after="0" w:line="240" w:lineRule="auto"/>
              <w:jc w:val="left"/>
              <w:rPr>
                <w:rFonts w:cs="Arial"/>
                <w:b/>
                <w:sz w:val="20"/>
                <w:szCs w:val="20"/>
              </w:rPr>
            </w:pPr>
          </w:p>
        </w:tc>
        <w:tc>
          <w:tcPr>
            <w:tcW w:w="1416" w:type="dxa"/>
            <w:noWrap/>
            <w:vAlign w:val="center"/>
          </w:tcPr>
          <w:p w:rsidR="005540A2" w:rsidRPr="00C95655" w:rsidRDefault="005540A2" w:rsidP="00164330">
            <w:pPr>
              <w:pStyle w:val="Tablecopy"/>
              <w:spacing w:before="0" w:after="0" w:line="240" w:lineRule="auto"/>
              <w:jc w:val="left"/>
              <w:rPr>
                <w:rFonts w:cs="Arial"/>
                <w:b/>
                <w:sz w:val="20"/>
                <w:szCs w:val="20"/>
              </w:rPr>
            </w:pPr>
            <w:r w:rsidRPr="00C95655">
              <w:rPr>
                <w:rFonts w:cs="Arial"/>
                <w:b/>
                <w:sz w:val="20"/>
                <w:szCs w:val="20"/>
              </w:rPr>
              <w:t>Regional</w:t>
            </w:r>
          </w:p>
        </w:tc>
        <w:tc>
          <w:tcPr>
            <w:tcW w:w="1276" w:type="dxa"/>
            <w:shd w:val="clear" w:color="auto" w:fill="E5EBF0"/>
            <w:noWrap/>
            <w:vAlign w:val="center"/>
          </w:tcPr>
          <w:p w:rsidR="005540A2" w:rsidRPr="005540A2" w:rsidRDefault="005540A2" w:rsidP="005540A2">
            <w:pPr>
              <w:jc w:val="center"/>
              <w:rPr>
                <w:rFonts w:cs="Arial"/>
                <w:color w:val="000000"/>
                <w:szCs w:val="22"/>
              </w:rPr>
            </w:pPr>
            <w:r w:rsidRPr="005540A2">
              <w:rPr>
                <w:rFonts w:cs="Arial"/>
                <w:color w:val="000000"/>
                <w:szCs w:val="22"/>
              </w:rPr>
              <w:t>136</w:t>
            </w:r>
          </w:p>
        </w:tc>
        <w:tc>
          <w:tcPr>
            <w:tcW w:w="1334" w:type="dxa"/>
            <w:noWrap/>
            <w:vAlign w:val="center"/>
          </w:tcPr>
          <w:p w:rsidR="005540A2" w:rsidRPr="005540A2" w:rsidRDefault="005540A2" w:rsidP="005540A2">
            <w:pPr>
              <w:jc w:val="center"/>
              <w:rPr>
                <w:rFonts w:cs="Arial"/>
                <w:color w:val="000000"/>
                <w:szCs w:val="22"/>
              </w:rPr>
            </w:pPr>
            <w:r w:rsidRPr="005540A2">
              <w:rPr>
                <w:rFonts w:cs="Arial"/>
                <w:color w:val="000000"/>
                <w:szCs w:val="22"/>
              </w:rPr>
              <w:t>1,668</w:t>
            </w:r>
          </w:p>
        </w:tc>
        <w:tc>
          <w:tcPr>
            <w:tcW w:w="1496" w:type="dxa"/>
            <w:shd w:val="clear" w:color="auto" w:fill="E5EBF0"/>
            <w:noWrap/>
            <w:vAlign w:val="center"/>
          </w:tcPr>
          <w:p w:rsidR="005540A2" w:rsidRPr="005540A2" w:rsidRDefault="005540A2" w:rsidP="005540A2">
            <w:pPr>
              <w:jc w:val="center"/>
              <w:rPr>
                <w:rFonts w:cs="Arial"/>
                <w:color w:val="000000"/>
                <w:szCs w:val="22"/>
              </w:rPr>
            </w:pPr>
            <w:r w:rsidRPr="005540A2">
              <w:rPr>
                <w:rFonts w:cs="Arial"/>
                <w:color w:val="000000"/>
                <w:szCs w:val="22"/>
              </w:rPr>
              <w:t>3,300</w:t>
            </w:r>
          </w:p>
        </w:tc>
        <w:tc>
          <w:tcPr>
            <w:tcW w:w="1462" w:type="dxa"/>
            <w:noWrap/>
            <w:vAlign w:val="center"/>
          </w:tcPr>
          <w:p w:rsidR="005540A2" w:rsidRPr="005540A2" w:rsidRDefault="005540A2" w:rsidP="005540A2">
            <w:pPr>
              <w:jc w:val="center"/>
              <w:rPr>
                <w:rFonts w:cs="Arial"/>
                <w:color w:val="000000"/>
                <w:szCs w:val="22"/>
              </w:rPr>
            </w:pPr>
            <w:r w:rsidRPr="005540A2">
              <w:rPr>
                <w:rFonts w:cs="Arial"/>
                <w:color w:val="000000"/>
                <w:szCs w:val="22"/>
              </w:rPr>
              <w:t>1,154</w:t>
            </w:r>
          </w:p>
        </w:tc>
        <w:tc>
          <w:tcPr>
            <w:tcW w:w="1112" w:type="dxa"/>
            <w:shd w:val="clear" w:color="auto" w:fill="E5EBF0"/>
            <w:vAlign w:val="center"/>
          </w:tcPr>
          <w:p w:rsidR="005540A2" w:rsidRPr="005540A2" w:rsidRDefault="005540A2" w:rsidP="005540A2">
            <w:pPr>
              <w:jc w:val="center"/>
              <w:rPr>
                <w:rFonts w:cs="Arial"/>
                <w:color w:val="000000"/>
                <w:szCs w:val="22"/>
              </w:rPr>
            </w:pPr>
            <w:r w:rsidRPr="005540A2">
              <w:rPr>
                <w:rFonts w:cs="Arial"/>
                <w:color w:val="000000"/>
                <w:szCs w:val="22"/>
              </w:rPr>
              <w:t>6,25</w:t>
            </w:r>
            <w:r w:rsidR="00360F0B">
              <w:rPr>
                <w:rFonts w:cs="Arial"/>
                <w:color w:val="000000"/>
                <w:szCs w:val="22"/>
              </w:rPr>
              <w:t>7</w:t>
            </w:r>
          </w:p>
        </w:tc>
      </w:tr>
      <w:tr w:rsidR="005540A2" w:rsidRPr="005F5C4F" w:rsidTr="005540A2">
        <w:trPr>
          <w:trHeight w:val="340"/>
        </w:trPr>
        <w:tc>
          <w:tcPr>
            <w:tcW w:w="2518" w:type="dxa"/>
            <w:vMerge/>
            <w:noWrap/>
            <w:vAlign w:val="center"/>
          </w:tcPr>
          <w:p w:rsidR="005540A2" w:rsidRPr="00C95655" w:rsidRDefault="005540A2" w:rsidP="00164330">
            <w:pPr>
              <w:pStyle w:val="Tablecopy"/>
              <w:spacing w:before="0" w:after="0" w:line="240" w:lineRule="auto"/>
              <w:jc w:val="left"/>
              <w:rPr>
                <w:rFonts w:cs="Arial"/>
                <w:b/>
                <w:sz w:val="20"/>
                <w:szCs w:val="20"/>
              </w:rPr>
            </w:pPr>
          </w:p>
        </w:tc>
        <w:tc>
          <w:tcPr>
            <w:tcW w:w="1416" w:type="dxa"/>
            <w:noWrap/>
            <w:vAlign w:val="center"/>
          </w:tcPr>
          <w:p w:rsidR="005540A2" w:rsidRPr="00C95655" w:rsidRDefault="005540A2" w:rsidP="00164330">
            <w:pPr>
              <w:pStyle w:val="Tablecopy"/>
              <w:spacing w:before="0" w:after="0" w:line="240" w:lineRule="auto"/>
              <w:jc w:val="left"/>
              <w:rPr>
                <w:rFonts w:cs="Arial"/>
                <w:b/>
                <w:sz w:val="20"/>
                <w:szCs w:val="20"/>
              </w:rPr>
            </w:pPr>
            <w:r w:rsidRPr="00C95655">
              <w:rPr>
                <w:rFonts w:cs="Arial"/>
                <w:b/>
                <w:sz w:val="20"/>
                <w:szCs w:val="20"/>
              </w:rPr>
              <w:t>State total</w:t>
            </w:r>
          </w:p>
        </w:tc>
        <w:tc>
          <w:tcPr>
            <w:tcW w:w="1276" w:type="dxa"/>
            <w:shd w:val="clear" w:color="auto" w:fill="E5EBF0"/>
            <w:noWrap/>
            <w:vAlign w:val="center"/>
          </w:tcPr>
          <w:p w:rsidR="005540A2" w:rsidRPr="005540A2" w:rsidRDefault="005540A2" w:rsidP="005540A2">
            <w:pPr>
              <w:jc w:val="center"/>
              <w:rPr>
                <w:rFonts w:cs="Arial"/>
                <w:color w:val="000000"/>
                <w:szCs w:val="22"/>
              </w:rPr>
            </w:pPr>
            <w:r w:rsidRPr="005540A2">
              <w:rPr>
                <w:rFonts w:cs="Arial"/>
                <w:color w:val="000000"/>
                <w:szCs w:val="22"/>
              </w:rPr>
              <w:t>161</w:t>
            </w:r>
          </w:p>
        </w:tc>
        <w:tc>
          <w:tcPr>
            <w:tcW w:w="1334" w:type="dxa"/>
            <w:noWrap/>
            <w:vAlign w:val="center"/>
          </w:tcPr>
          <w:p w:rsidR="005540A2" w:rsidRPr="005540A2" w:rsidRDefault="005540A2" w:rsidP="005540A2">
            <w:pPr>
              <w:jc w:val="center"/>
              <w:rPr>
                <w:rFonts w:cs="Arial"/>
                <w:color w:val="000000"/>
                <w:szCs w:val="22"/>
              </w:rPr>
            </w:pPr>
            <w:r w:rsidRPr="005540A2">
              <w:rPr>
                <w:rFonts w:cs="Arial"/>
                <w:color w:val="000000"/>
                <w:szCs w:val="22"/>
              </w:rPr>
              <w:t>2,089</w:t>
            </w:r>
          </w:p>
        </w:tc>
        <w:tc>
          <w:tcPr>
            <w:tcW w:w="1496" w:type="dxa"/>
            <w:shd w:val="clear" w:color="auto" w:fill="E5EBF0"/>
            <w:noWrap/>
            <w:vAlign w:val="center"/>
          </w:tcPr>
          <w:p w:rsidR="005540A2" w:rsidRPr="005540A2" w:rsidRDefault="005540A2" w:rsidP="005540A2">
            <w:pPr>
              <w:jc w:val="center"/>
              <w:rPr>
                <w:rFonts w:cs="Arial"/>
                <w:color w:val="000000"/>
                <w:szCs w:val="22"/>
              </w:rPr>
            </w:pPr>
            <w:r w:rsidRPr="005540A2">
              <w:rPr>
                <w:rFonts w:cs="Arial"/>
                <w:color w:val="000000"/>
                <w:szCs w:val="22"/>
              </w:rPr>
              <w:t>4,791</w:t>
            </w:r>
          </w:p>
        </w:tc>
        <w:tc>
          <w:tcPr>
            <w:tcW w:w="1462" w:type="dxa"/>
            <w:noWrap/>
            <w:vAlign w:val="center"/>
          </w:tcPr>
          <w:p w:rsidR="005540A2" w:rsidRPr="005540A2" w:rsidRDefault="005540A2" w:rsidP="005540A2">
            <w:pPr>
              <w:jc w:val="center"/>
              <w:rPr>
                <w:rFonts w:cs="Arial"/>
                <w:color w:val="000000"/>
                <w:szCs w:val="22"/>
              </w:rPr>
            </w:pPr>
            <w:r w:rsidRPr="005540A2">
              <w:rPr>
                <w:rFonts w:cs="Arial"/>
                <w:color w:val="000000"/>
                <w:szCs w:val="22"/>
              </w:rPr>
              <w:t>2,633</w:t>
            </w:r>
          </w:p>
        </w:tc>
        <w:tc>
          <w:tcPr>
            <w:tcW w:w="1112" w:type="dxa"/>
            <w:shd w:val="clear" w:color="auto" w:fill="E5EBF0"/>
            <w:vAlign w:val="center"/>
          </w:tcPr>
          <w:p w:rsidR="005540A2" w:rsidRPr="005540A2" w:rsidRDefault="005540A2" w:rsidP="005540A2">
            <w:pPr>
              <w:jc w:val="center"/>
              <w:rPr>
                <w:rFonts w:cs="Arial"/>
                <w:color w:val="000000"/>
                <w:szCs w:val="22"/>
              </w:rPr>
            </w:pPr>
            <w:r w:rsidRPr="005540A2">
              <w:rPr>
                <w:rFonts w:cs="Arial"/>
                <w:color w:val="000000"/>
                <w:szCs w:val="22"/>
              </w:rPr>
              <w:t>9,67</w:t>
            </w:r>
            <w:r w:rsidR="00360F0B">
              <w:rPr>
                <w:rFonts w:cs="Arial"/>
                <w:color w:val="000000"/>
                <w:szCs w:val="22"/>
              </w:rPr>
              <w:t>3</w:t>
            </w:r>
          </w:p>
        </w:tc>
      </w:tr>
      <w:tr w:rsidR="005540A2" w:rsidRPr="005F5C4F" w:rsidTr="005540A2">
        <w:trPr>
          <w:trHeight w:val="340"/>
        </w:trPr>
        <w:tc>
          <w:tcPr>
            <w:tcW w:w="2518" w:type="dxa"/>
            <w:vMerge w:val="restart"/>
            <w:noWrap/>
            <w:vAlign w:val="center"/>
          </w:tcPr>
          <w:p w:rsidR="005540A2" w:rsidRPr="00C95655" w:rsidRDefault="005540A2" w:rsidP="00164330">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Affordable rentals</w:t>
            </w:r>
            <w:r w:rsidRPr="00C95655">
              <w:rPr>
                <w:rFonts w:ascii="Arial" w:hAnsi="Arial" w:cs="Arial"/>
                <w:b/>
                <w:sz w:val="20"/>
                <w:szCs w:val="20"/>
              </w:rPr>
              <w:br/>
              <w:t>(% of total)</w:t>
            </w:r>
          </w:p>
        </w:tc>
        <w:tc>
          <w:tcPr>
            <w:tcW w:w="1416" w:type="dxa"/>
            <w:noWrap/>
            <w:vAlign w:val="center"/>
          </w:tcPr>
          <w:p w:rsidR="005540A2" w:rsidRPr="00C95655" w:rsidRDefault="005540A2" w:rsidP="00164330">
            <w:pPr>
              <w:pStyle w:val="Tablecopy"/>
              <w:spacing w:before="0" w:after="0" w:line="240" w:lineRule="auto"/>
              <w:jc w:val="left"/>
              <w:rPr>
                <w:rFonts w:cs="Arial"/>
                <w:b/>
                <w:sz w:val="20"/>
                <w:szCs w:val="20"/>
              </w:rPr>
            </w:pPr>
            <w:r w:rsidRPr="00C95655">
              <w:rPr>
                <w:rFonts w:cs="Arial"/>
                <w:b/>
                <w:sz w:val="20"/>
                <w:szCs w:val="20"/>
              </w:rPr>
              <w:t>Metropolitan</w:t>
            </w:r>
          </w:p>
        </w:tc>
        <w:tc>
          <w:tcPr>
            <w:tcW w:w="1276" w:type="dxa"/>
            <w:shd w:val="clear" w:color="auto" w:fill="E5EBF0"/>
            <w:noWrap/>
            <w:vAlign w:val="center"/>
          </w:tcPr>
          <w:p w:rsidR="005540A2" w:rsidRPr="005540A2" w:rsidRDefault="005540A2" w:rsidP="005540A2">
            <w:pPr>
              <w:jc w:val="center"/>
              <w:rPr>
                <w:rFonts w:cs="Arial"/>
                <w:color w:val="000000"/>
                <w:szCs w:val="22"/>
              </w:rPr>
            </w:pPr>
            <w:r w:rsidRPr="005540A2">
              <w:rPr>
                <w:rFonts w:cs="Arial"/>
                <w:color w:val="000000"/>
                <w:szCs w:val="22"/>
              </w:rPr>
              <w:t>0.3%</w:t>
            </w:r>
          </w:p>
        </w:tc>
        <w:tc>
          <w:tcPr>
            <w:tcW w:w="1334" w:type="dxa"/>
            <w:noWrap/>
            <w:vAlign w:val="center"/>
          </w:tcPr>
          <w:p w:rsidR="005540A2" w:rsidRPr="005540A2" w:rsidRDefault="005540A2" w:rsidP="005540A2">
            <w:pPr>
              <w:jc w:val="center"/>
              <w:rPr>
                <w:rFonts w:cs="Arial"/>
                <w:color w:val="000000"/>
                <w:szCs w:val="22"/>
              </w:rPr>
            </w:pPr>
            <w:r w:rsidRPr="005540A2">
              <w:rPr>
                <w:rFonts w:cs="Arial"/>
                <w:color w:val="000000"/>
                <w:szCs w:val="22"/>
              </w:rPr>
              <w:t>2.9%</w:t>
            </w:r>
          </w:p>
        </w:tc>
        <w:tc>
          <w:tcPr>
            <w:tcW w:w="1496" w:type="dxa"/>
            <w:shd w:val="clear" w:color="auto" w:fill="E5EBF0"/>
            <w:noWrap/>
            <w:vAlign w:val="center"/>
          </w:tcPr>
          <w:p w:rsidR="005540A2" w:rsidRPr="005540A2" w:rsidRDefault="005540A2" w:rsidP="005540A2">
            <w:pPr>
              <w:jc w:val="center"/>
              <w:rPr>
                <w:rFonts w:cs="Arial"/>
                <w:color w:val="000000"/>
                <w:szCs w:val="22"/>
              </w:rPr>
            </w:pPr>
            <w:r w:rsidRPr="005540A2">
              <w:rPr>
                <w:rFonts w:cs="Arial"/>
                <w:color w:val="000000"/>
                <w:szCs w:val="22"/>
              </w:rPr>
              <w:t>11.2%</w:t>
            </w:r>
          </w:p>
        </w:tc>
        <w:tc>
          <w:tcPr>
            <w:tcW w:w="1462" w:type="dxa"/>
            <w:noWrap/>
            <w:vAlign w:val="center"/>
          </w:tcPr>
          <w:p w:rsidR="005540A2" w:rsidRPr="005540A2" w:rsidRDefault="005540A2" w:rsidP="005540A2">
            <w:pPr>
              <w:jc w:val="center"/>
              <w:rPr>
                <w:rFonts w:cs="Arial"/>
                <w:color w:val="000000"/>
                <w:szCs w:val="22"/>
              </w:rPr>
            </w:pPr>
            <w:r w:rsidRPr="005540A2">
              <w:rPr>
                <w:rFonts w:cs="Arial"/>
                <w:color w:val="000000"/>
                <w:szCs w:val="22"/>
              </w:rPr>
              <w:t>29.4%</w:t>
            </w:r>
          </w:p>
        </w:tc>
        <w:tc>
          <w:tcPr>
            <w:tcW w:w="1112" w:type="dxa"/>
            <w:shd w:val="clear" w:color="auto" w:fill="E5EBF0"/>
            <w:vAlign w:val="center"/>
          </w:tcPr>
          <w:p w:rsidR="005540A2" w:rsidRPr="005540A2" w:rsidRDefault="005540A2" w:rsidP="005540A2">
            <w:pPr>
              <w:jc w:val="center"/>
              <w:rPr>
                <w:rFonts w:cs="Arial"/>
                <w:color w:val="000000"/>
                <w:szCs w:val="22"/>
              </w:rPr>
            </w:pPr>
            <w:r w:rsidRPr="005540A2">
              <w:rPr>
                <w:rFonts w:cs="Arial"/>
                <w:color w:val="000000"/>
                <w:szCs w:val="22"/>
              </w:rPr>
              <w:t>8.5%</w:t>
            </w:r>
          </w:p>
        </w:tc>
      </w:tr>
      <w:tr w:rsidR="005540A2" w:rsidRPr="005F5C4F" w:rsidTr="005540A2">
        <w:trPr>
          <w:trHeight w:val="340"/>
        </w:trPr>
        <w:tc>
          <w:tcPr>
            <w:tcW w:w="2518" w:type="dxa"/>
            <w:vMerge/>
            <w:noWrap/>
            <w:vAlign w:val="center"/>
          </w:tcPr>
          <w:p w:rsidR="005540A2" w:rsidRPr="00C95655" w:rsidRDefault="005540A2" w:rsidP="00164330">
            <w:pPr>
              <w:pStyle w:val="NoParagraphStyle"/>
              <w:spacing w:line="240" w:lineRule="auto"/>
              <w:textAlignment w:val="auto"/>
              <w:rPr>
                <w:rFonts w:ascii="Arial" w:hAnsi="Arial" w:cs="Arial"/>
                <w:b/>
                <w:color w:val="auto"/>
                <w:sz w:val="20"/>
                <w:szCs w:val="20"/>
                <w:lang w:val="en-US"/>
              </w:rPr>
            </w:pPr>
          </w:p>
        </w:tc>
        <w:tc>
          <w:tcPr>
            <w:tcW w:w="1416" w:type="dxa"/>
            <w:noWrap/>
            <w:vAlign w:val="center"/>
          </w:tcPr>
          <w:p w:rsidR="005540A2" w:rsidRPr="00C95655" w:rsidRDefault="005540A2" w:rsidP="00164330">
            <w:pPr>
              <w:pStyle w:val="Tablecopy"/>
              <w:spacing w:before="0" w:after="0" w:line="240" w:lineRule="auto"/>
              <w:jc w:val="left"/>
              <w:rPr>
                <w:rFonts w:cs="Arial"/>
                <w:b/>
                <w:sz w:val="20"/>
                <w:szCs w:val="20"/>
              </w:rPr>
            </w:pPr>
            <w:r w:rsidRPr="00C95655">
              <w:rPr>
                <w:rFonts w:cs="Arial"/>
                <w:b/>
                <w:sz w:val="20"/>
                <w:szCs w:val="20"/>
              </w:rPr>
              <w:t>Regional</w:t>
            </w:r>
          </w:p>
        </w:tc>
        <w:tc>
          <w:tcPr>
            <w:tcW w:w="1276" w:type="dxa"/>
            <w:shd w:val="clear" w:color="auto" w:fill="E5EBF0"/>
            <w:noWrap/>
            <w:vAlign w:val="center"/>
          </w:tcPr>
          <w:p w:rsidR="005540A2" w:rsidRPr="005540A2" w:rsidRDefault="005540A2" w:rsidP="005540A2">
            <w:pPr>
              <w:jc w:val="center"/>
              <w:rPr>
                <w:rFonts w:cs="Arial"/>
                <w:color w:val="000000"/>
                <w:szCs w:val="22"/>
              </w:rPr>
            </w:pPr>
            <w:r w:rsidRPr="005540A2">
              <w:rPr>
                <w:rFonts w:cs="Arial"/>
                <w:color w:val="000000"/>
                <w:szCs w:val="22"/>
              </w:rPr>
              <w:t>23.4%</w:t>
            </w:r>
          </w:p>
        </w:tc>
        <w:tc>
          <w:tcPr>
            <w:tcW w:w="1334" w:type="dxa"/>
            <w:noWrap/>
            <w:vAlign w:val="center"/>
          </w:tcPr>
          <w:p w:rsidR="005540A2" w:rsidRPr="005540A2" w:rsidRDefault="005540A2" w:rsidP="005540A2">
            <w:pPr>
              <w:jc w:val="center"/>
              <w:rPr>
                <w:rFonts w:cs="Arial"/>
                <w:color w:val="000000"/>
                <w:szCs w:val="22"/>
              </w:rPr>
            </w:pPr>
            <w:r w:rsidRPr="005540A2">
              <w:rPr>
                <w:rFonts w:cs="Arial"/>
                <w:color w:val="000000"/>
                <w:szCs w:val="22"/>
              </w:rPr>
              <w:t>56.7%</w:t>
            </w:r>
          </w:p>
        </w:tc>
        <w:tc>
          <w:tcPr>
            <w:tcW w:w="1496" w:type="dxa"/>
            <w:shd w:val="clear" w:color="auto" w:fill="E5EBF0"/>
            <w:noWrap/>
            <w:vAlign w:val="center"/>
          </w:tcPr>
          <w:p w:rsidR="005540A2" w:rsidRPr="005540A2" w:rsidRDefault="005540A2" w:rsidP="005540A2">
            <w:pPr>
              <w:jc w:val="center"/>
              <w:rPr>
                <w:rFonts w:cs="Arial"/>
                <w:color w:val="000000"/>
                <w:szCs w:val="22"/>
              </w:rPr>
            </w:pPr>
            <w:r w:rsidRPr="005540A2">
              <w:rPr>
                <w:rFonts w:cs="Arial"/>
                <w:color w:val="000000"/>
                <w:szCs w:val="22"/>
              </w:rPr>
              <w:t>62.3%</w:t>
            </w:r>
          </w:p>
        </w:tc>
        <w:tc>
          <w:tcPr>
            <w:tcW w:w="1462" w:type="dxa"/>
            <w:noWrap/>
            <w:vAlign w:val="center"/>
          </w:tcPr>
          <w:p w:rsidR="005540A2" w:rsidRPr="005540A2" w:rsidRDefault="005540A2" w:rsidP="005540A2">
            <w:pPr>
              <w:jc w:val="center"/>
              <w:rPr>
                <w:rFonts w:cs="Arial"/>
                <w:color w:val="000000"/>
                <w:szCs w:val="22"/>
              </w:rPr>
            </w:pPr>
            <w:r w:rsidRPr="005540A2">
              <w:rPr>
                <w:rFonts w:cs="Arial"/>
                <w:color w:val="000000"/>
                <w:szCs w:val="22"/>
              </w:rPr>
              <w:t>65.8%</w:t>
            </w:r>
          </w:p>
        </w:tc>
        <w:tc>
          <w:tcPr>
            <w:tcW w:w="1112" w:type="dxa"/>
            <w:shd w:val="clear" w:color="auto" w:fill="E5EBF0"/>
            <w:vAlign w:val="center"/>
          </w:tcPr>
          <w:p w:rsidR="005540A2" w:rsidRPr="005540A2" w:rsidRDefault="005540A2" w:rsidP="005540A2">
            <w:pPr>
              <w:jc w:val="center"/>
              <w:rPr>
                <w:rFonts w:cs="Arial"/>
                <w:color w:val="000000"/>
                <w:szCs w:val="22"/>
              </w:rPr>
            </w:pPr>
            <w:r w:rsidRPr="005540A2">
              <w:rPr>
                <w:rFonts w:cs="Arial"/>
                <w:color w:val="000000"/>
                <w:szCs w:val="22"/>
              </w:rPr>
              <w:t>59.2%</w:t>
            </w:r>
          </w:p>
        </w:tc>
      </w:tr>
      <w:tr w:rsidR="005540A2" w:rsidRPr="005F5C4F" w:rsidTr="005540A2">
        <w:trPr>
          <w:trHeight w:val="340"/>
        </w:trPr>
        <w:tc>
          <w:tcPr>
            <w:tcW w:w="2518" w:type="dxa"/>
            <w:vMerge/>
            <w:noWrap/>
            <w:vAlign w:val="center"/>
          </w:tcPr>
          <w:p w:rsidR="005540A2" w:rsidRPr="00C95655" w:rsidRDefault="005540A2" w:rsidP="00164330">
            <w:pPr>
              <w:pStyle w:val="NoParagraphStyle"/>
              <w:spacing w:line="240" w:lineRule="auto"/>
              <w:textAlignment w:val="auto"/>
              <w:rPr>
                <w:rFonts w:ascii="Arial" w:hAnsi="Arial" w:cs="Arial"/>
                <w:b/>
                <w:color w:val="auto"/>
                <w:sz w:val="20"/>
                <w:szCs w:val="20"/>
                <w:lang w:val="en-US"/>
              </w:rPr>
            </w:pPr>
          </w:p>
        </w:tc>
        <w:tc>
          <w:tcPr>
            <w:tcW w:w="1416" w:type="dxa"/>
            <w:noWrap/>
            <w:vAlign w:val="center"/>
          </w:tcPr>
          <w:p w:rsidR="005540A2" w:rsidRPr="00C95655" w:rsidRDefault="005540A2" w:rsidP="00164330">
            <w:pPr>
              <w:pStyle w:val="Tablecopy"/>
              <w:spacing w:before="0" w:after="0" w:line="240" w:lineRule="auto"/>
              <w:jc w:val="left"/>
              <w:rPr>
                <w:rFonts w:cs="Arial"/>
                <w:b/>
                <w:sz w:val="20"/>
                <w:szCs w:val="20"/>
              </w:rPr>
            </w:pPr>
            <w:r w:rsidRPr="00C95655">
              <w:rPr>
                <w:rFonts w:cs="Arial"/>
                <w:b/>
                <w:sz w:val="20"/>
                <w:szCs w:val="20"/>
              </w:rPr>
              <w:t>State total</w:t>
            </w:r>
          </w:p>
        </w:tc>
        <w:tc>
          <w:tcPr>
            <w:tcW w:w="1276" w:type="dxa"/>
            <w:shd w:val="clear" w:color="auto" w:fill="E5EBF0"/>
            <w:noWrap/>
            <w:vAlign w:val="center"/>
          </w:tcPr>
          <w:p w:rsidR="005540A2" w:rsidRPr="005540A2" w:rsidRDefault="005540A2" w:rsidP="005540A2">
            <w:pPr>
              <w:jc w:val="center"/>
              <w:rPr>
                <w:rFonts w:cs="Arial"/>
                <w:color w:val="000000"/>
                <w:szCs w:val="22"/>
              </w:rPr>
            </w:pPr>
            <w:r w:rsidRPr="005540A2">
              <w:rPr>
                <w:rFonts w:cs="Arial"/>
                <w:color w:val="000000"/>
                <w:szCs w:val="22"/>
              </w:rPr>
              <w:t>2.0%</w:t>
            </w:r>
          </w:p>
        </w:tc>
        <w:tc>
          <w:tcPr>
            <w:tcW w:w="1334" w:type="dxa"/>
            <w:noWrap/>
            <w:vAlign w:val="center"/>
          </w:tcPr>
          <w:p w:rsidR="005540A2" w:rsidRPr="005540A2" w:rsidRDefault="005540A2" w:rsidP="005540A2">
            <w:pPr>
              <w:jc w:val="center"/>
              <w:rPr>
                <w:rFonts w:cs="Arial"/>
                <w:color w:val="000000"/>
                <w:szCs w:val="22"/>
              </w:rPr>
            </w:pPr>
            <w:r w:rsidRPr="005540A2">
              <w:rPr>
                <w:rFonts w:cs="Arial"/>
                <w:color w:val="000000"/>
                <w:szCs w:val="22"/>
              </w:rPr>
              <w:t>11.9%</w:t>
            </w:r>
          </w:p>
        </w:tc>
        <w:tc>
          <w:tcPr>
            <w:tcW w:w="1496" w:type="dxa"/>
            <w:shd w:val="clear" w:color="auto" w:fill="E5EBF0"/>
            <w:noWrap/>
            <w:vAlign w:val="center"/>
          </w:tcPr>
          <w:p w:rsidR="005540A2" w:rsidRPr="005540A2" w:rsidRDefault="005540A2" w:rsidP="005540A2">
            <w:pPr>
              <w:jc w:val="center"/>
              <w:rPr>
                <w:rFonts w:cs="Arial"/>
                <w:color w:val="000000"/>
                <w:szCs w:val="22"/>
              </w:rPr>
            </w:pPr>
            <w:r w:rsidRPr="005540A2">
              <w:rPr>
                <w:rFonts w:cs="Arial"/>
                <w:color w:val="000000"/>
                <w:szCs w:val="22"/>
              </w:rPr>
              <w:t>25.8%</w:t>
            </w:r>
          </w:p>
        </w:tc>
        <w:tc>
          <w:tcPr>
            <w:tcW w:w="1462" w:type="dxa"/>
            <w:noWrap/>
            <w:vAlign w:val="center"/>
          </w:tcPr>
          <w:p w:rsidR="005540A2" w:rsidRPr="005540A2" w:rsidRDefault="005540A2" w:rsidP="005540A2">
            <w:pPr>
              <w:jc w:val="center"/>
              <w:rPr>
                <w:rFonts w:cs="Arial"/>
                <w:color w:val="000000"/>
                <w:szCs w:val="22"/>
              </w:rPr>
            </w:pPr>
            <w:r w:rsidRPr="005540A2">
              <w:rPr>
                <w:rFonts w:cs="Arial"/>
                <w:color w:val="000000"/>
                <w:szCs w:val="22"/>
              </w:rPr>
              <w:t>38.8%</w:t>
            </w:r>
          </w:p>
        </w:tc>
        <w:tc>
          <w:tcPr>
            <w:tcW w:w="1112" w:type="dxa"/>
            <w:shd w:val="clear" w:color="auto" w:fill="E5EBF0"/>
            <w:vAlign w:val="center"/>
          </w:tcPr>
          <w:p w:rsidR="005540A2" w:rsidRPr="005540A2" w:rsidRDefault="005540A2" w:rsidP="005540A2">
            <w:pPr>
              <w:jc w:val="center"/>
              <w:rPr>
                <w:rFonts w:cs="Arial"/>
                <w:color w:val="000000"/>
                <w:szCs w:val="22"/>
              </w:rPr>
            </w:pPr>
            <w:r w:rsidRPr="005540A2">
              <w:rPr>
                <w:rFonts w:cs="Arial"/>
                <w:color w:val="000000"/>
                <w:szCs w:val="22"/>
              </w:rPr>
              <w:t>19.0%</w:t>
            </w:r>
          </w:p>
        </w:tc>
      </w:tr>
    </w:tbl>
    <w:p w:rsidR="0047763C" w:rsidRPr="00706644" w:rsidRDefault="0047763C" w:rsidP="00054C75">
      <w:pPr>
        <w:rPr>
          <w:rFonts w:cs="Arial"/>
        </w:rPr>
      </w:pPr>
    </w:p>
    <w:p w:rsidR="0047763C" w:rsidRPr="00742A6D" w:rsidRDefault="0047763C" w:rsidP="005A1E70">
      <w:pPr>
        <w:pStyle w:val="DHSheadingB"/>
        <w:rPr>
          <w:rFonts w:cs="Arial"/>
        </w:rPr>
      </w:pPr>
      <w:r w:rsidRPr="00742A6D">
        <w:rPr>
          <w:rFonts w:cs="Arial"/>
        </w:rPr>
        <w:t>Trends by region</w:t>
      </w:r>
    </w:p>
    <w:p w:rsidR="0047763C" w:rsidRPr="000F3B39" w:rsidRDefault="0047763C" w:rsidP="00054C75">
      <w:pPr>
        <w:rPr>
          <w:rFonts w:cs="Arial"/>
          <w:szCs w:val="20"/>
        </w:rPr>
      </w:pPr>
      <w:r w:rsidRPr="000F3B39">
        <w:rPr>
          <w:rFonts w:cs="Arial"/>
          <w:szCs w:val="20"/>
        </w:rPr>
        <w:t xml:space="preserve">Table 10 shows the availability of affordable lettings for each of the statistical regions of Victoria. </w:t>
      </w:r>
      <w:r w:rsidR="00797EC5">
        <w:rPr>
          <w:rFonts w:cs="Arial"/>
          <w:szCs w:val="20"/>
        </w:rPr>
        <w:t xml:space="preserve">In </w:t>
      </w:r>
      <w:r w:rsidR="00797EC5" w:rsidRPr="000F3B39">
        <w:rPr>
          <w:rFonts w:cs="Arial"/>
          <w:szCs w:val="20"/>
        </w:rPr>
        <w:t>metropolitan Melbourne</w:t>
      </w:r>
      <w:r w:rsidR="00797EC5">
        <w:rPr>
          <w:rFonts w:cs="Arial"/>
          <w:szCs w:val="20"/>
        </w:rPr>
        <w:t>,</w:t>
      </w:r>
      <w:r w:rsidR="00797EC5" w:rsidRPr="000F3B39">
        <w:rPr>
          <w:rFonts w:cs="Arial"/>
          <w:szCs w:val="20"/>
        </w:rPr>
        <w:t xml:space="preserve"> </w:t>
      </w:r>
      <w:r w:rsidRPr="000F3B39">
        <w:rPr>
          <w:rFonts w:cs="Arial"/>
          <w:szCs w:val="20"/>
        </w:rPr>
        <w:t>We</w:t>
      </w:r>
      <w:r>
        <w:rPr>
          <w:rFonts w:cs="Arial"/>
          <w:szCs w:val="20"/>
        </w:rPr>
        <w:t xml:space="preserve">stern Melbourne </w:t>
      </w:r>
      <w:r w:rsidR="00C64A1F">
        <w:rPr>
          <w:rFonts w:cs="Arial"/>
          <w:szCs w:val="20"/>
        </w:rPr>
        <w:t>(</w:t>
      </w:r>
      <w:r w:rsidR="001F352D">
        <w:rPr>
          <w:rFonts w:cs="Arial"/>
          <w:szCs w:val="20"/>
        </w:rPr>
        <w:t>27.2</w:t>
      </w:r>
      <w:r w:rsidR="00C64A1F">
        <w:rPr>
          <w:rFonts w:cs="Arial"/>
          <w:szCs w:val="20"/>
        </w:rPr>
        <w:t>%)</w:t>
      </w:r>
      <w:r w:rsidRPr="000F3B39">
        <w:rPr>
          <w:rFonts w:cs="Arial"/>
          <w:szCs w:val="20"/>
        </w:rPr>
        <w:t xml:space="preserve"> has the highest proportion of </w:t>
      </w:r>
      <w:r w:rsidR="00C64A1F">
        <w:rPr>
          <w:rFonts w:cs="Arial"/>
          <w:szCs w:val="20"/>
        </w:rPr>
        <w:t>new</w:t>
      </w:r>
      <w:r w:rsidRPr="000F3B39">
        <w:rPr>
          <w:rFonts w:cs="Arial"/>
          <w:szCs w:val="20"/>
        </w:rPr>
        <w:t xml:space="preserve"> lettings</w:t>
      </w:r>
      <w:r w:rsidR="00C64A1F" w:rsidRPr="00C64A1F">
        <w:rPr>
          <w:rFonts w:cs="Arial"/>
          <w:szCs w:val="20"/>
        </w:rPr>
        <w:t xml:space="preserve"> </w:t>
      </w:r>
      <w:r w:rsidR="00C64A1F" w:rsidRPr="000F3B39">
        <w:rPr>
          <w:rFonts w:cs="Arial"/>
          <w:szCs w:val="20"/>
        </w:rPr>
        <w:t>affordable to lower income households</w:t>
      </w:r>
      <w:r w:rsidR="00C64A1F">
        <w:rPr>
          <w:rFonts w:cs="Arial"/>
          <w:szCs w:val="20"/>
        </w:rPr>
        <w:t>, with</w:t>
      </w:r>
      <w:r w:rsidRPr="000F3B39">
        <w:rPr>
          <w:rFonts w:cs="Arial"/>
          <w:szCs w:val="20"/>
        </w:rPr>
        <w:t xml:space="preserve"> </w:t>
      </w:r>
      <w:r w:rsidR="00BA3715" w:rsidRPr="000F3B39">
        <w:rPr>
          <w:rFonts w:cs="Arial"/>
          <w:szCs w:val="20"/>
        </w:rPr>
        <w:t xml:space="preserve">South Eastern </w:t>
      </w:r>
      <w:r w:rsidR="001F352D">
        <w:rPr>
          <w:rFonts w:cs="Arial"/>
          <w:szCs w:val="20"/>
        </w:rPr>
        <w:t>Melbourne (16.4</w:t>
      </w:r>
      <w:r w:rsidR="00BA3715">
        <w:rPr>
          <w:rFonts w:cs="Arial"/>
          <w:szCs w:val="20"/>
        </w:rPr>
        <w:t>%)</w:t>
      </w:r>
      <w:r w:rsidR="00BA3715" w:rsidRPr="00BA3715">
        <w:rPr>
          <w:rFonts w:cs="Arial"/>
          <w:szCs w:val="20"/>
        </w:rPr>
        <w:t xml:space="preserve"> </w:t>
      </w:r>
      <w:r w:rsidR="00BA3715" w:rsidRPr="000F3B39">
        <w:rPr>
          <w:rFonts w:cs="Arial"/>
          <w:szCs w:val="20"/>
        </w:rPr>
        <w:t xml:space="preserve">and </w:t>
      </w:r>
      <w:r w:rsidR="00EF1AD8" w:rsidRPr="000F3B39">
        <w:rPr>
          <w:rFonts w:cs="Arial"/>
          <w:szCs w:val="20"/>
        </w:rPr>
        <w:t xml:space="preserve">Mornington Peninsula </w:t>
      </w:r>
      <w:r w:rsidR="001F352D">
        <w:rPr>
          <w:rFonts w:cs="Arial"/>
          <w:szCs w:val="20"/>
        </w:rPr>
        <w:t>(15.6</w:t>
      </w:r>
      <w:r w:rsidR="00EF1AD8">
        <w:rPr>
          <w:rFonts w:cs="Arial"/>
          <w:szCs w:val="20"/>
        </w:rPr>
        <w:t xml:space="preserve">%) </w:t>
      </w:r>
      <w:r w:rsidRPr="000F3B39">
        <w:rPr>
          <w:rFonts w:cs="Arial"/>
          <w:szCs w:val="20"/>
        </w:rPr>
        <w:t xml:space="preserve">also </w:t>
      </w:r>
      <w:r w:rsidR="00C64A1F">
        <w:rPr>
          <w:rFonts w:cs="Arial"/>
          <w:szCs w:val="20"/>
        </w:rPr>
        <w:t>having</w:t>
      </w:r>
      <w:r w:rsidRPr="000F3B39">
        <w:rPr>
          <w:rFonts w:cs="Arial"/>
          <w:szCs w:val="20"/>
        </w:rPr>
        <w:t xml:space="preserve"> relatively high proportion</w:t>
      </w:r>
      <w:r w:rsidR="00C64A1F">
        <w:rPr>
          <w:rFonts w:cs="Arial"/>
          <w:szCs w:val="20"/>
        </w:rPr>
        <w:t>s</w:t>
      </w:r>
      <w:r w:rsidRPr="000F3B39">
        <w:rPr>
          <w:rFonts w:cs="Arial"/>
          <w:szCs w:val="20"/>
        </w:rPr>
        <w:t>. Western Melbourne has the highest</w:t>
      </w:r>
      <w:r w:rsidR="00085411">
        <w:rPr>
          <w:rFonts w:cs="Arial"/>
          <w:szCs w:val="20"/>
        </w:rPr>
        <w:t xml:space="preserve"> number and proportion of three-</w:t>
      </w:r>
      <w:r w:rsidRPr="000F3B39">
        <w:rPr>
          <w:rFonts w:cs="Arial"/>
          <w:szCs w:val="20"/>
        </w:rPr>
        <w:t xml:space="preserve">bedroom lettings </w:t>
      </w:r>
      <w:r w:rsidR="000828B6">
        <w:rPr>
          <w:rFonts w:cs="Arial"/>
          <w:szCs w:val="20"/>
        </w:rPr>
        <w:t>(</w:t>
      </w:r>
      <w:r w:rsidR="001F352D">
        <w:rPr>
          <w:rFonts w:cs="Arial"/>
          <w:szCs w:val="20"/>
        </w:rPr>
        <w:t>731</w:t>
      </w:r>
      <w:r w:rsidR="000828B6">
        <w:rPr>
          <w:rFonts w:cs="Arial"/>
          <w:szCs w:val="20"/>
        </w:rPr>
        <w:t xml:space="preserve"> or </w:t>
      </w:r>
      <w:r w:rsidR="001F352D">
        <w:rPr>
          <w:rFonts w:cs="Arial"/>
          <w:szCs w:val="20"/>
        </w:rPr>
        <w:t>27.4</w:t>
      </w:r>
      <w:r w:rsidR="00DF50F4">
        <w:rPr>
          <w:rFonts w:cs="Arial"/>
          <w:szCs w:val="20"/>
        </w:rPr>
        <w:t>%</w:t>
      </w:r>
      <w:r w:rsidR="00085411">
        <w:rPr>
          <w:rFonts w:cs="Arial"/>
          <w:szCs w:val="20"/>
        </w:rPr>
        <w:t>) and four-</w:t>
      </w:r>
      <w:r w:rsidRPr="000F3B39">
        <w:rPr>
          <w:rFonts w:cs="Arial"/>
          <w:szCs w:val="20"/>
        </w:rPr>
        <w:t xml:space="preserve">bedroom lettings </w:t>
      </w:r>
      <w:r w:rsidR="000828B6">
        <w:rPr>
          <w:rFonts w:cs="Arial"/>
          <w:szCs w:val="20"/>
        </w:rPr>
        <w:t>(</w:t>
      </w:r>
      <w:r w:rsidR="00EF1AD8">
        <w:rPr>
          <w:rFonts w:cs="Arial"/>
          <w:szCs w:val="20"/>
        </w:rPr>
        <w:t>6</w:t>
      </w:r>
      <w:r w:rsidR="001F352D">
        <w:rPr>
          <w:rFonts w:cs="Arial"/>
          <w:szCs w:val="20"/>
        </w:rPr>
        <w:t>69 or 54.3</w:t>
      </w:r>
      <w:r w:rsidR="00DF50F4">
        <w:rPr>
          <w:rFonts w:cs="Arial"/>
          <w:szCs w:val="20"/>
        </w:rPr>
        <w:t>%</w:t>
      </w:r>
      <w:r w:rsidRPr="000F3B39">
        <w:rPr>
          <w:rFonts w:cs="Arial"/>
          <w:szCs w:val="20"/>
        </w:rPr>
        <w:t xml:space="preserve">). Western Melbourne </w:t>
      </w:r>
      <w:r w:rsidR="000828B6">
        <w:rPr>
          <w:rFonts w:cs="Arial"/>
          <w:szCs w:val="20"/>
        </w:rPr>
        <w:t xml:space="preserve">also has the highest number </w:t>
      </w:r>
      <w:r w:rsidR="001F352D">
        <w:rPr>
          <w:rFonts w:cs="Arial"/>
          <w:szCs w:val="20"/>
        </w:rPr>
        <w:t>(108</w:t>
      </w:r>
      <w:r w:rsidR="00C347B6" w:rsidRPr="000F3B39">
        <w:rPr>
          <w:rFonts w:cs="Arial"/>
          <w:szCs w:val="20"/>
        </w:rPr>
        <w:t>)</w:t>
      </w:r>
      <w:r w:rsidR="008C646B">
        <w:rPr>
          <w:rFonts w:cs="Arial"/>
          <w:szCs w:val="20"/>
        </w:rPr>
        <w:t xml:space="preserve"> whereas Mornington Peninsula </w:t>
      </w:r>
      <w:r w:rsidR="001F352D">
        <w:rPr>
          <w:rFonts w:cs="Arial"/>
          <w:szCs w:val="20"/>
        </w:rPr>
        <w:t>has the highest proportion (12.1</w:t>
      </w:r>
      <w:r w:rsidR="008C646B">
        <w:rPr>
          <w:rFonts w:cs="Arial"/>
          <w:szCs w:val="20"/>
        </w:rPr>
        <w:t>%)</w:t>
      </w:r>
      <w:r w:rsidR="008C646B" w:rsidRPr="008C646B">
        <w:rPr>
          <w:rFonts w:cs="Arial"/>
          <w:szCs w:val="20"/>
        </w:rPr>
        <w:t xml:space="preserve"> </w:t>
      </w:r>
      <w:r w:rsidR="008C646B" w:rsidRPr="000F3B39">
        <w:rPr>
          <w:rFonts w:cs="Arial"/>
          <w:szCs w:val="20"/>
        </w:rPr>
        <w:t>of afford</w:t>
      </w:r>
      <w:r w:rsidR="008C646B">
        <w:rPr>
          <w:rFonts w:cs="Arial"/>
          <w:szCs w:val="20"/>
        </w:rPr>
        <w:t>able two-bedroom lettings</w:t>
      </w:r>
      <w:r>
        <w:rPr>
          <w:rFonts w:cs="Arial"/>
          <w:szCs w:val="20"/>
        </w:rPr>
        <w:t xml:space="preserve">. </w:t>
      </w:r>
      <w:r w:rsidR="001F352D">
        <w:rPr>
          <w:rFonts w:cs="Arial"/>
          <w:szCs w:val="20"/>
        </w:rPr>
        <w:t>Inner Melbourne (1.1</w:t>
      </w:r>
      <w:r w:rsidR="00C64A1F">
        <w:rPr>
          <w:rFonts w:cs="Arial"/>
          <w:szCs w:val="20"/>
        </w:rPr>
        <w:t>%),</w:t>
      </w:r>
      <w:r w:rsidR="001F352D" w:rsidRPr="001F352D">
        <w:rPr>
          <w:rFonts w:cs="Arial"/>
          <w:szCs w:val="20"/>
        </w:rPr>
        <w:t xml:space="preserve"> </w:t>
      </w:r>
      <w:r w:rsidR="001F352D">
        <w:rPr>
          <w:rFonts w:cs="Arial"/>
          <w:szCs w:val="20"/>
        </w:rPr>
        <w:t>Southern Melbourne (1.2%)</w:t>
      </w:r>
      <w:r w:rsidR="00C64A1F">
        <w:rPr>
          <w:rFonts w:cs="Arial"/>
          <w:szCs w:val="20"/>
        </w:rPr>
        <w:t xml:space="preserve"> </w:t>
      </w:r>
      <w:r w:rsidR="001F352D">
        <w:rPr>
          <w:rFonts w:cs="Arial"/>
          <w:szCs w:val="20"/>
        </w:rPr>
        <w:t>and Inner Eastern Melbourne (1.7</w:t>
      </w:r>
      <w:r w:rsidR="00BA3715">
        <w:rPr>
          <w:rFonts w:cs="Arial"/>
          <w:szCs w:val="20"/>
        </w:rPr>
        <w:t>%)</w:t>
      </w:r>
      <w:r w:rsidR="00BA3715" w:rsidRPr="00BA3715">
        <w:rPr>
          <w:rFonts w:cs="Arial"/>
          <w:szCs w:val="20"/>
        </w:rPr>
        <w:t xml:space="preserve"> </w:t>
      </w:r>
      <w:r w:rsidR="00C64A1F">
        <w:rPr>
          <w:rFonts w:cs="Arial"/>
          <w:szCs w:val="20"/>
        </w:rPr>
        <w:t>have the lowest proportions of affordable new lettings.</w:t>
      </w:r>
    </w:p>
    <w:p w:rsidR="0047763C" w:rsidRPr="000F3B39" w:rsidRDefault="0047763C" w:rsidP="00054C75">
      <w:pPr>
        <w:rPr>
          <w:rFonts w:cs="Arial"/>
          <w:szCs w:val="20"/>
        </w:rPr>
      </w:pPr>
    </w:p>
    <w:p w:rsidR="0047763C" w:rsidRDefault="0047763C" w:rsidP="00054C75">
      <w:pPr>
        <w:rPr>
          <w:rFonts w:cs="Arial"/>
          <w:szCs w:val="20"/>
        </w:rPr>
      </w:pPr>
      <w:r w:rsidRPr="000F3B39">
        <w:rPr>
          <w:rFonts w:cs="Arial"/>
          <w:szCs w:val="20"/>
        </w:rPr>
        <w:lastRenderedPageBreak/>
        <w:t xml:space="preserve">In regional Victoria, </w:t>
      </w:r>
      <w:r w:rsidR="000828B6">
        <w:rPr>
          <w:rFonts w:cs="Arial"/>
          <w:szCs w:val="20"/>
        </w:rPr>
        <w:t>Gippsland</w:t>
      </w:r>
      <w:r>
        <w:rPr>
          <w:rFonts w:cs="Arial"/>
          <w:szCs w:val="20"/>
        </w:rPr>
        <w:t xml:space="preserve"> </w:t>
      </w:r>
      <w:r w:rsidR="000828B6">
        <w:rPr>
          <w:rFonts w:cs="Arial"/>
          <w:szCs w:val="20"/>
        </w:rPr>
        <w:t>(7</w:t>
      </w:r>
      <w:r w:rsidR="001F352D">
        <w:rPr>
          <w:rFonts w:cs="Arial"/>
          <w:szCs w:val="20"/>
        </w:rPr>
        <w:t>2.2</w:t>
      </w:r>
      <w:r w:rsidR="00DF50F4">
        <w:rPr>
          <w:rFonts w:cs="Arial"/>
          <w:szCs w:val="20"/>
        </w:rPr>
        <w:t>%</w:t>
      </w:r>
      <w:r w:rsidR="00C64A1F">
        <w:rPr>
          <w:rFonts w:cs="Arial"/>
          <w:szCs w:val="20"/>
        </w:rPr>
        <w:t xml:space="preserve">) </w:t>
      </w:r>
      <w:r w:rsidR="00BA3715">
        <w:rPr>
          <w:rFonts w:cs="Arial"/>
          <w:szCs w:val="20"/>
        </w:rPr>
        <w:t xml:space="preserve">has </w:t>
      </w:r>
      <w:r w:rsidRPr="000F3B39">
        <w:rPr>
          <w:rFonts w:cs="Arial"/>
          <w:szCs w:val="20"/>
        </w:rPr>
        <w:t xml:space="preserve">the highest </w:t>
      </w:r>
      <w:r w:rsidR="00C64A1F">
        <w:rPr>
          <w:rFonts w:cs="Arial"/>
          <w:szCs w:val="20"/>
        </w:rPr>
        <w:t>proportion</w:t>
      </w:r>
      <w:r w:rsidRPr="000F3B39">
        <w:rPr>
          <w:rFonts w:cs="Arial"/>
          <w:szCs w:val="20"/>
        </w:rPr>
        <w:t xml:space="preserve"> of affordable </w:t>
      </w:r>
      <w:r w:rsidR="00C64A1F">
        <w:rPr>
          <w:rFonts w:cs="Arial"/>
          <w:szCs w:val="20"/>
        </w:rPr>
        <w:t xml:space="preserve">new </w:t>
      </w:r>
      <w:r w:rsidRPr="000F3B39">
        <w:rPr>
          <w:rFonts w:cs="Arial"/>
          <w:szCs w:val="20"/>
        </w:rPr>
        <w:t>lettings</w:t>
      </w:r>
      <w:r>
        <w:rPr>
          <w:rFonts w:cs="Arial"/>
          <w:szCs w:val="20"/>
        </w:rPr>
        <w:t xml:space="preserve"> </w:t>
      </w:r>
      <w:r w:rsidRPr="000F3B39">
        <w:rPr>
          <w:rFonts w:cs="Arial"/>
          <w:szCs w:val="20"/>
        </w:rPr>
        <w:t xml:space="preserve">while Barwon-South West </w:t>
      </w:r>
      <w:r w:rsidR="008C646B">
        <w:rPr>
          <w:rFonts w:cs="Arial"/>
          <w:szCs w:val="20"/>
        </w:rPr>
        <w:t>(</w:t>
      </w:r>
      <w:r w:rsidR="001F352D">
        <w:rPr>
          <w:rFonts w:cs="Arial"/>
          <w:szCs w:val="20"/>
        </w:rPr>
        <w:t>37.1</w:t>
      </w:r>
      <w:r w:rsidR="00DF50F4">
        <w:rPr>
          <w:rFonts w:cs="Arial"/>
          <w:szCs w:val="20"/>
        </w:rPr>
        <w:t>%</w:t>
      </w:r>
      <w:r w:rsidRPr="000F3B39">
        <w:rPr>
          <w:rFonts w:cs="Arial"/>
          <w:szCs w:val="20"/>
        </w:rPr>
        <w:t xml:space="preserve">) has the lowest </w:t>
      </w:r>
      <w:r w:rsidR="00C64A1F">
        <w:rPr>
          <w:rFonts w:cs="Arial"/>
          <w:szCs w:val="20"/>
        </w:rPr>
        <w:t>proportion.</w:t>
      </w:r>
      <w:r w:rsidRPr="000F3B39">
        <w:rPr>
          <w:rFonts w:cs="Arial"/>
          <w:szCs w:val="20"/>
        </w:rPr>
        <w:t xml:space="preserve"> </w:t>
      </w:r>
    </w:p>
    <w:p w:rsidR="00EF1F40" w:rsidRPr="000F3B39" w:rsidRDefault="00EF1F40" w:rsidP="00054C75">
      <w:pPr>
        <w:rPr>
          <w:rFonts w:cs="Arial"/>
          <w:szCs w:val="20"/>
        </w:rPr>
      </w:pPr>
    </w:p>
    <w:p w:rsidR="0047763C" w:rsidRPr="00831AFF" w:rsidRDefault="0047763C" w:rsidP="005A1E70">
      <w:pPr>
        <w:pStyle w:val="DHSheadingB"/>
        <w:rPr>
          <w:rFonts w:cs="Arial"/>
        </w:rPr>
      </w:pPr>
      <w:r>
        <w:rPr>
          <w:rFonts w:cs="Arial"/>
        </w:rPr>
        <w:t>Trends by Local Government Area</w:t>
      </w:r>
    </w:p>
    <w:p w:rsidR="0047763C" w:rsidRPr="000F3B39" w:rsidRDefault="0047763C">
      <w:pPr>
        <w:rPr>
          <w:rFonts w:cs="Arial"/>
          <w:szCs w:val="20"/>
        </w:rPr>
      </w:pPr>
      <w:r w:rsidRPr="000F3B39">
        <w:rPr>
          <w:rFonts w:cs="Arial"/>
          <w:szCs w:val="20"/>
        </w:rPr>
        <w:t>Table 13 provides data on the number of new lettings affordable to households on Centrelink incomes for all Victorian Local Government Areas (LGA).</w:t>
      </w:r>
    </w:p>
    <w:p w:rsidR="0047763C" w:rsidRPr="000F3B39" w:rsidRDefault="0047763C">
      <w:pPr>
        <w:rPr>
          <w:rFonts w:cs="Arial"/>
          <w:szCs w:val="20"/>
        </w:rPr>
      </w:pPr>
    </w:p>
    <w:p w:rsidR="00F03A92" w:rsidRDefault="0047763C" w:rsidP="002869F3">
      <w:pPr>
        <w:rPr>
          <w:rFonts w:cs="Arial"/>
          <w:szCs w:val="20"/>
        </w:rPr>
      </w:pPr>
      <w:r w:rsidRPr="000F3B39">
        <w:rPr>
          <w:rFonts w:cs="Arial"/>
          <w:szCs w:val="20"/>
        </w:rPr>
        <w:t xml:space="preserve">Figures 9a and 9b, drawn from Table 13, show the proportion of affordable dwellings in each local government area (LGA) across metropolitan Melbourne and regional Victoria. </w:t>
      </w:r>
    </w:p>
    <w:p w:rsidR="00F03A92" w:rsidRDefault="00F03A92" w:rsidP="002869F3">
      <w:pPr>
        <w:rPr>
          <w:rFonts w:cs="Arial"/>
          <w:szCs w:val="20"/>
        </w:rPr>
      </w:pPr>
    </w:p>
    <w:p w:rsidR="0047763C" w:rsidRPr="000F3B39" w:rsidRDefault="0047763C" w:rsidP="002869F3">
      <w:pPr>
        <w:rPr>
          <w:rFonts w:cs="Arial"/>
          <w:szCs w:val="20"/>
        </w:rPr>
      </w:pPr>
      <w:r w:rsidRPr="000F3B39">
        <w:rPr>
          <w:rFonts w:cs="Arial"/>
          <w:szCs w:val="20"/>
        </w:rPr>
        <w:t>LGAs with</w:t>
      </w:r>
      <w:r w:rsidR="00F5557F">
        <w:rPr>
          <w:rFonts w:cs="Arial"/>
          <w:szCs w:val="20"/>
        </w:rPr>
        <w:t xml:space="preserve"> the</w:t>
      </w:r>
      <w:r w:rsidRPr="000F3B39">
        <w:rPr>
          <w:rFonts w:cs="Arial"/>
          <w:szCs w:val="20"/>
        </w:rPr>
        <w:t xml:space="preserve"> highest proportion of affordable dwellings in metropolitan Melbourne are </w:t>
      </w:r>
      <w:r w:rsidR="00815906" w:rsidRPr="000F3B39">
        <w:rPr>
          <w:rFonts w:cs="Arial"/>
          <w:szCs w:val="20"/>
        </w:rPr>
        <w:t>Melto</w:t>
      </w:r>
      <w:r w:rsidR="00815906">
        <w:rPr>
          <w:rFonts w:cs="Arial"/>
          <w:szCs w:val="20"/>
        </w:rPr>
        <w:t>n (</w:t>
      </w:r>
      <w:r w:rsidR="001F352D">
        <w:rPr>
          <w:rFonts w:cs="Arial"/>
          <w:szCs w:val="20"/>
        </w:rPr>
        <w:t>46</w:t>
      </w:r>
      <w:r w:rsidR="00762F0C">
        <w:rPr>
          <w:rFonts w:cs="Arial"/>
          <w:szCs w:val="20"/>
        </w:rPr>
        <w:t>.4</w:t>
      </w:r>
      <w:r w:rsidR="00815906">
        <w:rPr>
          <w:rFonts w:cs="Arial"/>
          <w:szCs w:val="20"/>
        </w:rPr>
        <w:t xml:space="preserve">%), </w:t>
      </w:r>
      <w:r w:rsidR="00876B0E">
        <w:rPr>
          <w:rFonts w:cs="Arial"/>
          <w:szCs w:val="20"/>
        </w:rPr>
        <w:t>Wynd</w:t>
      </w:r>
      <w:r w:rsidR="003F77D3">
        <w:rPr>
          <w:rFonts w:cs="Arial"/>
          <w:szCs w:val="20"/>
        </w:rPr>
        <w:t>ham (41.5</w:t>
      </w:r>
      <w:r w:rsidR="00876B0E">
        <w:rPr>
          <w:rFonts w:cs="Arial"/>
          <w:szCs w:val="20"/>
        </w:rPr>
        <w:t>%</w:t>
      </w:r>
      <w:r w:rsidR="00876B0E" w:rsidRPr="000F3B39">
        <w:rPr>
          <w:rFonts w:cs="Arial"/>
          <w:szCs w:val="20"/>
        </w:rPr>
        <w:t>),</w:t>
      </w:r>
      <w:r w:rsidR="00876B0E">
        <w:rPr>
          <w:rFonts w:cs="Arial"/>
          <w:szCs w:val="20"/>
        </w:rPr>
        <w:t xml:space="preserve"> </w:t>
      </w:r>
      <w:r w:rsidRPr="000F3B39">
        <w:rPr>
          <w:rFonts w:cs="Arial"/>
          <w:szCs w:val="20"/>
        </w:rPr>
        <w:t>Cardinia (</w:t>
      </w:r>
      <w:r w:rsidR="003F77D3">
        <w:rPr>
          <w:rFonts w:cs="Arial"/>
          <w:szCs w:val="20"/>
        </w:rPr>
        <w:t>35.7</w:t>
      </w:r>
      <w:r w:rsidR="00DF50F4">
        <w:rPr>
          <w:rFonts w:cs="Arial"/>
          <w:szCs w:val="20"/>
        </w:rPr>
        <w:t>%</w:t>
      </w:r>
      <w:r>
        <w:rPr>
          <w:rFonts w:cs="Arial"/>
          <w:szCs w:val="20"/>
        </w:rPr>
        <w:t>),</w:t>
      </w:r>
      <w:r w:rsidR="003F77D3" w:rsidRPr="003F77D3">
        <w:rPr>
          <w:rFonts w:cs="Arial"/>
          <w:szCs w:val="20"/>
        </w:rPr>
        <w:t xml:space="preserve"> </w:t>
      </w:r>
      <w:r w:rsidR="003F77D3">
        <w:rPr>
          <w:rFonts w:cs="Arial"/>
          <w:szCs w:val="20"/>
        </w:rPr>
        <w:t xml:space="preserve">Brimbank (26.3%), Nillumbik </w:t>
      </w:r>
      <w:r w:rsidR="003F77D3" w:rsidRPr="000F3B39">
        <w:rPr>
          <w:rFonts w:cs="Arial"/>
          <w:szCs w:val="20"/>
        </w:rPr>
        <w:t>(</w:t>
      </w:r>
      <w:r w:rsidR="003F77D3">
        <w:rPr>
          <w:rFonts w:cs="Arial"/>
          <w:szCs w:val="20"/>
        </w:rPr>
        <w:t>24.9%</w:t>
      </w:r>
      <w:r w:rsidR="003F77D3" w:rsidRPr="000F3B39">
        <w:rPr>
          <w:rFonts w:cs="Arial"/>
          <w:szCs w:val="20"/>
        </w:rPr>
        <w:t>)</w:t>
      </w:r>
      <w:r w:rsidR="003F77D3">
        <w:rPr>
          <w:rFonts w:cs="Arial"/>
          <w:szCs w:val="20"/>
        </w:rPr>
        <w:t xml:space="preserve"> and Hume (23.2%)</w:t>
      </w:r>
      <w:r w:rsidRPr="000F3B39">
        <w:rPr>
          <w:rFonts w:cs="Arial"/>
          <w:szCs w:val="20"/>
        </w:rPr>
        <w:t xml:space="preserve">. The LGAs with lowest proportion are </w:t>
      </w:r>
      <w:r w:rsidR="00762F0C">
        <w:rPr>
          <w:rFonts w:cs="Arial"/>
          <w:szCs w:val="20"/>
        </w:rPr>
        <w:t xml:space="preserve">Boroondara, Port Phillip, </w:t>
      </w:r>
      <w:r w:rsidR="00E50348">
        <w:rPr>
          <w:rFonts w:cs="Arial"/>
          <w:szCs w:val="20"/>
        </w:rPr>
        <w:t xml:space="preserve">Stonnington </w:t>
      </w:r>
      <w:r w:rsidR="00876B0E">
        <w:rPr>
          <w:rFonts w:cs="Arial"/>
          <w:szCs w:val="20"/>
        </w:rPr>
        <w:t>and</w:t>
      </w:r>
      <w:r w:rsidRPr="000F3B39">
        <w:rPr>
          <w:rFonts w:cs="Arial"/>
          <w:szCs w:val="20"/>
        </w:rPr>
        <w:t xml:space="preserve"> </w:t>
      </w:r>
      <w:r w:rsidR="004D0BEC">
        <w:rPr>
          <w:rFonts w:cs="Arial"/>
          <w:szCs w:val="20"/>
        </w:rPr>
        <w:t xml:space="preserve">Yarra </w:t>
      </w:r>
      <w:r w:rsidR="00876B0E">
        <w:rPr>
          <w:rFonts w:cs="Arial"/>
          <w:szCs w:val="20"/>
        </w:rPr>
        <w:t>(</w:t>
      </w:r>
      <w:r w:rsidR="00762F0C">
        <w:rPr>
          <w:rFonts w:cs="Arial"/>
          <w:szCs w:val="20"/>
        </w:rPr>
        <w:t>all</w:t>
      </w:r>
      <w:r w:rsidR="00876B0E">
        <w:rPr>
          <w:rFonts w:cs="Arial"/>
          <w:szCs w:val="20"/>
        </w:rPr>
        <w:t xml:space="preserve"> with less than 1.0</w:t>
      </w:r>
      <w:r w:rsidR="00C43276">
        <w:rPr>
          <w:rFonts w:cs="Arial"/>
          <w:szCs w:val="20"/>
        </w:rPr>
        <w:t>%</w:t>
      </w:r>
      <w:r w:rsidRPr="000F3B39">
        <w:rPr>
          <w:rFonts w:cs="Arial"/>
          <w:szCs w:val="20"/>
        </w:rPr>
        <w:t>)</w:t>
      </w:r>
      <w:r>
        <w:rPr>
          <w:rFonts w:cs="Arial"/>
          <w:szCs w:val="20"/>
        </w:rPr>
        <w:t xml:space="preserve"> </w:t>
      </w:r>
      <w:r w:rsidRPr="000F3B39">
        <w:rPr>
          <w:rFonts w:cs="Arial"/>
          <w:szCs w:val="20"/>
        </w:rPr>
        <w:t>and</w:t>
      </w:r>
      <w:r>
        <w:rPr>
          <w:rFonts w:cs="Arial"/>
          <w:szCs w:val="20"/>
        </w:rPr>
        <w:t>,</w:t>
      </w:r>
      <w:r w:rsidR="00E50348">
        <w:rPr>
          <w:rFonts w:cs="Arial"/>
          <w:szCs w:val="20"/>
        </w:rPr>
        <w:t xml:space="preserve"> </w:t>
      </w:r>
      <w:r w:rsidR="008C646B" w:rsidRPr="000F3B39">
        <w:rPr>
          <w:rFonts w:cs="Arial"/>
          <w:szCs w:val="20"/>
        </w:rPr>
        <w:t>Bayside,</w:t>
      </w:r>
      <w:r w:rsidR="008C646B" w:rsidRPr="004D0BEC">
        <w:rPr>
          <w:rFonts w:cs="Arial"/>
          <w:szCs w:val="20"/>
        </w:rPr>
        <w:t xml:space="preserve"> </w:t>
      </w:r>
      <w:r w:rsidR="003F77D3">
        <w:rPr>
          <w:rFonts w:cs="Arial"/>
          <w:szCs w:val="20"/>
        </w:rPr>
        <w:t xml:space="preserve">Glen Eira, Manningham and Melbourne </w:t>
      </w:r>
      <w:r>
        <w:rPr>
          <w:rFonts w:cs="Arial"/>
          <w:szCs w:val="20"/>
        </w:rPr>
        <w:t>(</w:t>
      </w:r>
      <w:r w:rsidR="00C43276">
        <w:rPr>
          <w:rFonts w:cs="Arial"/>
          <w:szCs w:val="20"/>
        </w:rPr>
        <w:t>all</w:t>
      </w:r>
      <w:r w:rsidR="00876B0E">
        <w:rPr>
          <w:rFonts w:cs="Arial"/>
          <w:szCs w:val="20"/>
        </w:rPr>
        <w:t xml:space="preserve"> with less than 2.0</w:t>
      </w:r>
      <w:r w:rsidR="00C43276">
        <w:rPr>
          <w:rFonts w:cs="Arial"/>
          <w:szCs w:val="20"/>
        </w:rPr>
        <w:t>%</w:t>
      </w:r>
      <w:r w:rsidR="00876B0E">
        <w:rPr>
          <w:rFonts w:cs="Arial"/>
          <w:szCs w:val="20"/>
        </w:rPr>
        <w:t xml:space="preserve">). </w:t>
      </w:r>
    </w:p>
    <w:p w:rsidR="0047763C" w:rsidRDefault="0047763C" w:rsidP="002869F3">
      <w:pPr>
        <w:rPr>
          <w:rFonts w:cs="Arial"/>
          <w:szCs w:val="20"/>
        </w:rPr>
      </w:pPr>
    </w:p>
    <w:p w:rsidR="0047763C" w:rsidRPr="000F3B39" w:rsidRDefault="0047763C" w:rsidP="002869F3">
      <w:pPr>
        <w:rPr>
          <w:rFonts w:cs="Arial"/>
          <w:szCs w:val="20"/>
        </w:rPr>
      </w:pPr>
      <w:r w:rsidRPr="000F3B39">
        <w:rPr>
          <w:rFonts w:cs="Arial"/>
          <w:szCs w:val="20"/>
        </w:rPr>
        <w:t>The LGAs with the highest proportion of affordable dwe</w:t>
      </w:r>
      <w:r w:rsidR="001E2251">
        <w:rPr>
          <w:rFonts w:cs="Arial"/>
          <w:szCs w:val="20"/>
        </w:rPr>
        <w:t>llings in regional Victoria are</w:t>
      </w:r>
      <w:r w:rsidRPr="000F3B39">
        <w:rPr>
          <w:rFonts w:cs="Arial"/>
          <w:szCs w:val="20"/>
        </w:rPr>
        <w:t xml:space="preserve"> </w:t>
      </w:r>
      <w:r w:rsidR="003F77D3">
        <w:rPr>
          <w:rFonts w:cs="Arial"/>
          <w:szCs w:val="20"/>
        </w:rPr>
        <w:t xml:space="preserve">Hindmarsh, </w:t>
      </w:r>
      <w:r w:rsidR="00232C23">
        <w:rPr>
          <w:rFonts w:cs="Arial"/>
          <w:szCs w:val="20"/>
        </w:rPr>
        <w:t xml:space="preserve">Loddon, </w:t>
      </w:r>
      <w:r w:rsidR="00C43276">
        <w:rPr>
          <w:rFonts w:cs="Arial"/>
          <w:szCs w:val="20"/>
        </w:rPr>
        <w:t>West Wimmera</w:t>
      </w:r>
      <w:r w:rsidR="00C43276" w:rsidRPr="00C43276">
        <w:rPr>
          <w:rFonts w:cs="Arial"/>
          <w:szCs w:val="20"/>
        </w:rPr>
        <w:t xml:space="preserve"> </w:t>
      </w:r>
      <w:r w:rsidR="00C43276">
        <w:rPr>
          <w:rFonts w:cs="Arial"/>
          <w:szCs w:val="20"/>
        </w:rPr>
        <w:t xml:space="preserve">and </w:t>
      </w:r>
      <w:r w:rsidR="00C43276" w:rsidRPr="000F3B39">
        <w:rPr>
          <w:rFonts w:cs="Arial"/>
          <w:szCs w:val="20"/>
        </w:rPr>
        <w:t>Yarriambiack</w:t>
      </w:r>
      <w:r w:rsidR="00E50348">
        <w:rPr>
          <w:rFonts w:cs="Arial"/>
          <w:szCs w:val="20"/>
        </w:rPr>
        <w:t xml:space="preserve"> </w:t>
      </w:r>
      <w:r w:rsidRPr="000F3B39">
        <w:rPr>
          <w:rFonts w:cs="Arial"/>
          <w:szCs w:val="20"/>
        </w:rPr>
        <w:t>(</w:t>
      </w:r>
      <w:r w:rsidR="00C43276">
        <w:rPr>
          <w:rFonts w:cs="Arial"/>
          <w:szCs w:val="20"/>
        </w:rPr>
        <w:t xml:space="preserve">all with </w:t>
      </w:r>
      <w:r w:rsidRPr="000F3B39">
        <w:rPr>
          <w:rFonts w:cs="Arial"/>
          <w:szCs w:val="20"/>
        </w:rPr>
        <w:t>100</w:t>
      </w:r>
      <w:r w:rsidR="00DF50F4">
        <w:rPr>
          <w:rFonts w:cs="Arial"/>
          <w:szCs w:val="20"/>
        </w:rPr>
        <w:t>%</w:t>
      </w:r>
      <w:r w:rsidRPr="000F3B39">
        <w:rPr>
          <w:rFonts w:cs="Arial"/>
          <w:szCs w:val="20"/>
        </w:rPr>
        <w:t xml:space="preserve">) and, </w:t>
      </w:r>
      <w:r w:rsidR="00815906" w:rsidRPr="000F3B39">
        <w:rPr>
          <w:rFonts w:cs="Arial"/>
          <w:szCs w:val="20"/>
        </w:rPr>
        <w:t>Buloke</w:t>
      </w:r>
      <w:r w:rsidR="00815906">
        <w:rPr>
          <w:rFonts w:cs="Arial"/>
          <w:szCs w:val="20"/>
        </w:rPr>
        <w:t>, Central Goldfields</w:t>
      </w:r>
      <w:r w:rsidR="00C43276">
        <w:rPr>
          <w:rFonts w:cs="Arial"/>
          <w:szCs w:val="20"/>
        </w:rPr>
        <w:t>,</w:t>
      </w:r>
      <w:r w:rsidR="00815906">
        <w:rPr>
          <w:rFonts w:cs="Arial"/>
          <w:szCs w:val="20"/>
        </w:rPr>
        <w:t xml:space="preserve"> </w:t>
      </w:r>
      <w:r w:rsidR="00762F0C">
        <w:rPr>
          <w:rFonts w:cs="Arial"/>
          <w:szCs w:val="20"/>
        </w:rPr>
        <w:t xml:space="preserve">Gannawarra, </w:t>
      </w:r>
      <w:r w:rsidR="00762F0C" w:rsidRPr="00762F0C">
        <w:rPr>
          <w:rFonts w:cs="Arial"/>
          <w:szCs w:val="20"/>
        </w:rPr>
        <w:t>Glenelg</w:t>
      </w:r>
      <w:r w:rsidR="00762F0C">
        <w:rPr>
          <w:rFonts w:cs="Arial"/>
          <w:szCs w:val="20"/>
        </w:rPr>
        <w:t xml:space="preserve">, </w:t>
      </w:r>
      <w:r w:rsidR="003F77D3">
        <w:rPr>
          <w:rFonts w:cs="Arial"/>
          <w:szCs w:val="20"/>
        </w:rPr>
        <w:t>Northern Grampians</w:t>
      </w:r>
      <w:r w:rsidR="003F77D3" w:rsidRPr="003F77D3">
        <w:rPr>
          <w:rFonts w:cs="Arial"/>
          <w:szCs w:val="20"/>
        </w:rPr>
        <w:t xml:space="preserve"> </w:t>
      </w:r>
      <w:r w:rsidR="003F77D3">
        <w:rPr>
          <w:rFonts w:cs="Arial"/>
          <w:szCs w:val="20"/>
        </w:rPr>
        <w:t>and Towong</w:t>
      </w:r>
      <w:r w:rsidR="00762F0C">
        <w:rPr>
          <w:rFonts w:cs="Arial"/>
          <w:szCs w:val="20"/>
        </w:rPr>
        <w:t xml:space="preserve"> </w:t>
      </w:r>
      <w:r w:rsidRPr="000F3B39">
        <w:rPr>
          <w:rFonts w:cs="Arial"/>
          <w:szCs w:val="20"/>
        </w:rPr>
        <w:t>(</w:t>
      </w:r>
      <w:r>
        <w:rPr>
          <w:rFonts w:cs="Arial"/>
          <w:szCs w:val="20"/>
        </w:rPr>
        <w:t>all</w:t>
      </w:r>
      <w:r w:rsidRPr="000F3B39">
        <w:rPr>
          <w:rFonts w:cs="Arial"/>
          <w:szCs w:val="20"/>
        </w:rPr>
        <w:t xml:space="preserve"> above 90</w:t>
      </w:r>
      <w:r w:rsidR="00DF50F4">
        <w:rPr>
          <w:rFonts w:cs="Arial"/>
          <w:szCs w:val="20"/>
        </w:rPr>
        <w:t>%</w:t>
      </w:r>
      <w:r w:rsidRPr="000F3B39">
        <w:rPr>
          <w:rFonts w:cs="Arial"/>
          <w:szCs w:val="20"/>
        </w:rPr>
        <w:t>). The LGAs with the lowest proportion of affordable dwellings are Surf Coast</w:t>
      </w:r>
      <w:r w:rsidR="00C43276">
        <w:rPr>
          <w:rFonts w:cs="Arial"/>
          <w:szCs w:val="20"/>
        </w:rPr>
        <w:t xml:space="preserve"> </w:t>
      </w:r>
      <w:r w:rsidR="003F77D3">
        <w:rPr>
          <w:rFonts w:cs="Arial"/>
          <w:szCs w:val="20"/>
        </w:rPr>
        <w:t>(8.9</w:t>
      </w:r>
      <w:r w:rsidR="00DF50F4">
        <w:rPr>
          <w:rFonts w:cs="Arial"/>
          <w:szCs w:val="20"/>
        </w:rPr>
        <w:t>%</w:t>
      </w:r>
      <w:r w:rsidRPr="000F3B39">
        <w:rPr>
          <w:rFonts w:cs="Arial"/>
          <w:szCs w:val="20"/>
        </w:rPr>
        <w:t>)</w:t>
      </w:r>
      <w:r w:rsidR="00F03A92">
        <w:rPr>
          <w:rFonts w:cs="Arial"/>
          <w:szCs w:val="20"/>
        </w:rPr>
        <w:t>,</w:t>
      </w:r>
      <w:r>
        <w:rPr>
          <w:rFonts w:cs="Arial"/>
          <w:szCs w:val="20"/>
        </w:rPr>
        <w:t xml:space="preserve"> </w:t>
      </w:r>
      <w:r w:rsidRPr="000F3B39">
        <w:rPr>
          <w:rFonts w:cs="Arial"/>
          <w:szCs w:val="20"/>
        </w:rPr>
        <w:t>Macedon Ranges</w:t>
      </w:r>
      <w:r w:rsidR="00507CF4">
        <w:rPr>
          <w:rFonts w:cs="Arial"/>
          <w:szCs w:val="20"/>
        </w:rPr>
        <w:t xml:space="preserve"> (1</w:t>
      </w:r>
      <w:r w:rsidR="003F77D3">
        <w:rPr>
          <w:rFonts w:cs="Arial"/>
          <w:szCs w:val="20"/>
        </w:rPr>
        <w:t>5.1</w:t>
      </w:r>
      <w:r w:rsidRPr="000F3B39">
        <w:rPr>
          <w:rFonts w:cs="Arial"/>
          <w:szCs w:val="20"/>
        </w:rPr>
        <w:t>%)</w:t>
      </w:r>
      <w:r w:rsidR="003F77D3">
        <w:rPr>
          <w:rFonts w:cs="Arial"/>
          <w:szCs w:val="20"/>
        </w:rPr>
        <w:t>, Queenscliffe (16.7%)</w:t>
      </w:r>
      <w:r w:rsidR="00E50348">
        <w:rPr>
          <w:rFonts w:cs="Arial"/>
          <w:szCs w:val="20"/>
        </w:rPr>
        <w:t xml:space="preserve"> and </w:t>
      </w:r>
      <w:r w:rsidR="003F77D3">
        <w:rPr>
          <w:rFonts w:cs="Arial"/>
          <w:szCs w:val="20"/>
        </w:rPr>
        <w:t>Greater Geelong (28</w:t>
      </w:r>
      <w:r w:rsidR="002247E8">
        <w:rPr>
          <w:rFonts w:cs="Arial"/>
          <w:szCs w:val="20"/>
        </w:rPr>
        <w:t>.8</w:t>
      </w:r>
      <w:r w:rsidR="00E50348">
        <w:rPr>
          <w:rFonts w:cs="Arial"/>
          <w:szCs w:val="20"/>
        </w:rPr>
        <w:t>%)</w:t>
      </w:r>
      <w:r>
        <w:rPr>
          <w:rFonts w:cs="Arial"/>
          <w:szCs w:val="20"/>
        </w:rPr>
        <w:t>.</w:t>
      </w:r>
    </w:p>
    <w:p w:rsidR="0047763C" w:rsidRDefault="0047763C" w:rsidP="00A01D19">
      <w:pPr>
        <w:rPr>
          <w:rFonts w:cs="Arial"/>
        </w:rPr>
      </w:pPr>
    </w:p>
    <w:p w:rsidR="00815906" w:rsidRDefault="00815906" w:rsidP="00A01D19">
      <w:pPr>
        <w:rPr>
          <w:rFonts w:cs="Arial"/>
        </w:rPr>
      </w:pPr>
    </w:p>
    <w:p w:rsidR="00815906" w:rsidRDefault="00815906" w:rsidP="00A01D19">
      <w:pPr>
        <w:rPr>
          <w:rFonts w:cs="Arial"/>
        </w:rPr>
      </w:pPr>
    </w:p>
    <w:p w:rsidR="00815906" w:rsidRDefault="00815906" w:rsidP="00A01D19">
      <w:pPr>
        <w:rPr>
          <w:rFonts w:cs="Arial"/>
        </w:rPr>
      </w:pPr>
    </w:p>
    <w:p w:rsidR="00815906" w:rsidRDefault="00815906" w:rsidP="00A01D19">
      <w:pPr>
        <w:rPr>
          <w:rFonts w:cs="Arial"/>
        </w:rPr>
      </w:pPr>
    </w:p>
    <w:p w:rsidR="00815906" w:rsidRDefault="00815906" w:rsidP="00A01D19">
      <w:pPr>
        <w:rPr>
          <w:rFonts w:cs="Arial"/>
        </w:rPr>
      </w:pPr>
    </w:p>
    <w:p w:rsidR="00815906" w:rsidRPr="0088506E" w:rsidRDefault="00815906" w:rsidP="00A01D19">
      <w:pPr>
        <w:rPr>
          <w:rFonts w:cs="Arial"/>
        </w:rPr>
      </w:pPr>
    </w:p>
    <w:p w:rsidR="0047763C" w:rsidRPr="00AB2988" w:rsidRDefault="0047763C" w:rsidP="00AB2988">
      <w:pPr>
        <w:pStyle w:val="DHSheadingD"/>
        <w:rPr>
          <w:rFonts w:cs="Arial"/>
          <w:lang w:val="en-US"/>
        </w:rPr>
      </w:pPr>
      <w:r w:rsidRPr="00706644">
        <w:rPr>
          <w:rFonts w:cs="Arial"/>
          <w:lang w:val="en-US"/>
        </w:rPr>
        <w:br w:type="page"/>
      </w:r>
      <w:r w:rsidRPr="00706644">
        <w:rPr>
          <w:rFonts w:cs="Arial"/>
          <w:lang w:val="en-US"/>
        </w:rPr>
        <w:lastRenderedPageBreak/>
        <w:t xml:space="preserve">Figure 9a: Affordable dwellings in metropolitan Melbourne </w:t>
      </w:r>
    </w:p>
    <w:p w:rsidR="0047763C" w:rsidRDefault="0047763C" w:rsidP="005E060A">
      <w:pPr>
        <w:jc w:val="center"/>
        <w:rPr>
          <w:rFonts w:cs="Arial"/>
          <w:noProof/>
          <w:lang w:eastAsia="en-AU"/>
        </w:rPr>
      </w:pPr>
    </w:p>
    <w:p w:rsidR="00164330" w:rsidRDefault="005540A2" w:rsidP="005E060A">
      <w:pPr>
        <w:jc w:val="center"/>
        <w:rPr>
          <w:rFonts w:cs="Arial"/>
          <w:noProof/>
          <w:lang w:eastAsia="en-AU"/>
        </w:rPr>
      </w:pPr>
      <w:r>
        <w:rPr>
          <w:rFonts w:cs="Arial"/>
          <w:noProof/>
          <w:lang w:eastAsia="en-AU"/>
        </w:rPr>
        <w:drawing>
          <wp:inline distT="0" distB="0" distL="0" distR="0">
            <wp:extent cx="2819565" cy="2878367"/>
            <wp:effectExtent l="19050" t="0" r="0" b="0"/>
            <wp:docPr id="28" name="Picture 27" descr="20154MelbAff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4MelbAfford.jpg"/>
                    <pic:cNvPicPr/>
                  </pic:nvPicPr>
                  <pic:blipFill>
                    <a:blip r:embed="rId20" cstate="print"/>
                    <a:stretch>
                      <a:fillRect/>
                    </a:stretch>
                  </pic:blipFill>
                  <pic:spPr>
                    <a:xfrm>
                      <a:off x="0" y="0"/>
                      <a:ext cx="2819921" cy="2878731"/>
                    </a:xfrm>
                    <a:prstGeom prst="rect">
                      <a:avLst/>
                    </a:prstGeom>
                  </pic:spPr>
                </pic:pic>
              </a:graphicData>
            </a:graphic>
          </wp:inline>
        </w:drawing>
      </w:r>
    </w:p>
    <w:p w:rsidR="00164330" w:rsidRPr="00706644" w:rsidRDefault="00164330" w:rsidP="005E060A">
      <w:pPr>
        <w:jc w:val="center"/>
        <w:rPr>
          <w:rFonts w:cs="Arial"/>
        </w:rPr>
      </w:pPr>
    </w:p>
    <w:p w:rsidR="0047763C" w:rsidRDefault="0047763C" w:rsidP="008B7A8C">
      <w:pPr>
        <w:pStyle w:val="DHSheadingD"/>
        <w:rPr>
          <w:rFonts w:cs="Arial"/>
          <w:lang w:val="en-US"/>
        </w:rPr>
      </w:pPr>
      <w:r w:rsidRPr="00706644">
        <w:rPr>
          <w:rFonts w:cs="Arial"/>
          <w:lang w:val="en-US"/>
        </w:rPr>
        <w:t xml:space="preserve">Figure 9b: Affordable dwellings in regional Victoria </w:t>
      </w:r>
    </w:p>
    <w:p w:rsidR="00164330" w:rsidRPr="00164330" w:rsidRDefault="00164330" w:rsidP="00164330">
      <w:pPr>
        <w:jc w:val="center"/>
        <w:rPr>
          <w:rFonts w:cs="Arial"/>
          <w:noProof/>
          <w:lang w:eastAsia="en-AU"/>
        </w:rPr>
      </w:pPr>
    </w:p>
    <w:p w:rsidR="003A7FDA" w:rsidRDefault="005540A2" w:rsidP="005E060A">
      <w:pPr>
        <w:jc w:val="center"/>
        <w:rPr>
          <w:rFonts w:cs="Arial"/>
        </w:rPr>
      </w:pPr>
      <w:r>
        <w:rPr>
          <w:rFonts w:cs="Arial"/>
          <w:noProof/>
          <w:lang w:eastAsia="en-AU"/>
        </w:rPr>
        <w:drawing>
          <wp:inline distT="0" distB="0" distL="0" distR="0">
            <wp:extent cx="4044066" cy="2885981"/>
            <wp:effectExtent l="19050" t="0" r="0" b="0"/>
            <wp:docPr id="29" name="Picture 28" descr="20154RegA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4RegAff.jpg"/>
                    <pic:cNvPicPr/>
                  </pic:nvPicPr>
                  <pic:blipFill>
                    <a:blip r:embed="rId21" cstate="print"/>
                    <a:stretch>
                      <a:fillRect/>
                    </a:stretch>
                  </pic:blipFill>
                  <pic:spPr>
                    <a:xfrm>
                      <a:off x="0" y="0"/>
                      <a:ext cx="4046163" cy="2887478"/>
                    </a:xfrm>
                    <a:prstGeom prst="rect">
                      <a:avLst/>
                    </a:prstGeom>
                  </pic:spPr>
                </pic:pic>
              </a:graphicData>
            </a:graphic>
          </wp:inline>
        </w:drawing>
      </w:r>
    </w:p>
    <w:p w:rsidR="00164330" w:rsidRDefault="00164330" w:rsidP="005E060A">
      <w:pPr>
        <w:jc w:val="center"/>
        <w:rPr>
          <w:rFonts w:cs="Arial"/>
        </w:rPr>
      </w:pPr>
    </w:p>
    <w:p w:rsidR="00170E13" w:rsidRDefault="00170E13">
      <w:pPr>
        <w:rPr>
          <w:rFonts w:cs="Arial"/>
        </w:rPr>
      </w:pPr>
      <w:r>
        <w:rPr>
          <w:rFonts w:cs="Arial"/>
        </w:rPr>
        <w:br w:type="page"/>
      </w:r>
    </w:p>
    <w:p w:rsidR="003A7FDA" w:rsidRDefault="003A7FDA">
      <w:pPr>
        <w:rPr>
          <w:rFonts w:cs="Arial"/>
        </w:rPr>
      </w:pPr>
    </w:p>
    <w:p w:rsidR="0047763C" w:rsidRPr="00706644" w:rsidRDefault="0047763C" w:rsidP="008B7A8C">
      <w:pPr>
        <w:pStyle w:val="DHSheadingD"/>
        <w:spacing w:after="0"/>
        <w:rPr>
          <w:rFonts w:cs="Arial"/>
          <w:color w:val="231F20"/>
          <w:lang w:val="en-US"/>
        </w:rPr>
      </w:pPr>
      <w:r w:rsidRPr="00706644">
        <w:rPr>
          <w:rFonts w:cs="Arial"/>
        </w:rPr>
        <w:t xml:space="preserve">Table 10: </w:t>
      </w:r>
      <w:r>
        <w:rPr>
          <w:rFonts w:ascii="HelveticaNeueLTStd-Md" w:hAnsi="HelveticaNeueLTStd-Md" w:cs="HelveticaNeueLTStd-Md"/>
          <w:lang w:eastAsia="en-AU"/>
        </w:rPr>
        <w:t>Affordable lettings for indicative households (see table 9) on Centrelink incomes</w:t>
      </w:r>
    </w:p>
    <w:tbl>
      <w:tblPr>
        <w:tblW w:w="9979"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2495"/>
        <w:gridCol w:w="732"/>
        <w:gridCol w:w="742"/>
        <w:gridCol w:w="737"/>
        <w:gridCol w:w="737"/>
        <w:gridCol w:w="737"/>
        <w:gridCol w:w="737"/>
        <w:gridCol w:w="737"/>
        <w:gridCol w:w="737"/>
        <w:gridCol w:w="794"/>
        <w:gridCol w:w="794"/>
      </w:tblGrid>
      <w:tr w:rsidR="0047763C" w:rsidRPr="00EE32E4" w:rsidTr="00B0105F">
        <w:trPr>
          <w:trHeight w:val="340"/>
        </w:trPr>
        <w:tc>
          <w:tcPr>
            <w:tcW w:w="2495" w:type="dxa"/>
            <w:vMerge w:val="restart"/>
            <w:tcBorders>
              <w:top w:val="single" w:sz="18" w:space="0" w:color="9DAECB"/>
              <w:bottom w:val="single" w:sz="2" w:space="0" w:color="9DAECB"/>
            </w:tcBorders>
            <w:vAlign w:val="center"/>
          </w:tcPr>
          <w:p w:rsidR="0047763C" w:rsidRPr="00C95655" w:rsidRDefault="0047763C" w:rsidP="00CB2D98">
            <w:pPr>
              <w:rPr>
                <w:rFonts w:cs="Arial"/>
                <w:b/>
                <w:sz w:val="18"/>
                <w:szCs w:val="18"/>
              </w:rPr>
            </w:pPr>
            <w:r w:rsidRPr="00C95655">
              <w:rPr>
                <w:rFonts w:cs="Arial"/>
                <w:b/>
                <w:sz w:val="18"/>
                <w:szCs w:val="18"/>
              </w:rPr>
              <w:t>Region</w:t>
            </w:r>
          </w:p>
        </w:tc>
        <w:tc>
          <w:tcPr>
            <w:tcW w:w="1474" w:type="dxa"/>
            <w:gridSpan w:val="2"/>
            <w:tcBorders>
              <w:top w:val="single" w:sz="18" w:space="0" w:color="9DAECB"/>
              <w:bottom w:val="single" w:sz="2" w:space="0" w:color="9DAECB"/>
            </w:tcBorders>
            <w:shd w:val="clear" w:color="auto" w:fill="E5EBF0"/>
            <w:vAlign w:val="center"/>
          </w:tcPr>
          <w:p w:rsidR="0047763C" w:rsidRPr="00C95655" w:rsidRDefault="0047763C" w:rsidP="00C95655">
            <w:pPr>
              <w:pStyle w:val="TablecopyHeading"/>
              <w:spacing w:before="60" w:after="60"/>
              <w:rPr>
                <w:rFonts w:ascii="Arial" w:hAnsi="Arial" w:cs="Arial"/>
                <w:b/>
                <w:sz w:val="18"/>
                <w:szCs w:val="18"/>
              </w:rPr>
            </w:pPr>
            <w:r w:rsidRPr="00C95655">
              <w:rPr>
                <w:rFonts w:ascii="Arial" w:hAnsi="Arial" w:cs="Arial"/>
                <w:b/>
                <w:sz w:val="18"/>
                <w:szCs w:val="18"/>
              </w:rPr>
              <w:t>1 Bedroom</w:t>
            </w:r>
          </w:p>
        </w:tc>
        <w:tc>
          <w:tcPr>
            <w:tcW w:w="1474" w:type="dxa"/>
            <w:gridSpan w:val="2"/>
            <w:tcBorders>
              <w:top w:val="single" w:sz="18" w:space="0" w:color="9DAECB"/>
              <w:bottom w:val="single" w:sz="2" w:space="0" w:color="9DAECB"/>
            </w:tcBorders>
            <w:vAlign w:val="center"/>
          </w:tcPr>
          <w:p w:rsidR="0047763C" w:rsidRPr="00C95655" w:rsidRDefault="0047763C" w:rsidP="00C95655">
            <w:pPr>
              <w:pStyle w:val="TablecopyHeading"/>
              <w:spacing w:before="60" w:after="60"/>
              <w:rPr>
                <w:rFonts w:ascii="Arial" w:hAnsi="Arial" w:cs="Arial"/>
                <w:b/>
                <w:sz w:val="18"/>
                <w:szCs w:val="18"/>
              </w:rPr>
            </w:pPr>
            <w:r w:rsidRPr="00C95655">
              <w:rPr>
                <w:rFonts w:ascii="Arial" w:hAnsi="Arial" w:cs="Arial"/>
                <w:b/>
                <w:sz w:val="18"/>
                <w:szCs w:val="18"/>
              </w:rPr>
              <w:t>2 Bedroom</w:t>
            </w:r>
          </w:p>
        </w:tc>
        <w:tc>
          <w:tcPr>
            <w:tcW w:w="1474" w:type="dxa"/>
            <w:gridSpan w:val="2"/>
            <w:tcBorders>
              <w:top w:val="single" w:sz="18" w:space="0" w:color="9DAECB"/>
              <w:bottom w:val="single" w:sz="2" w:space="0" w:color="9DAECB"/>
            </w:tcBorders>
            <w:shd w:val="clear" w:color="auto" w:fill="E5EBF0"/>
            <w:vAlign w:val="center"/>
          </w:tcPr>
          <w:p w:rsidR="0047763C" w:rsidRPr="00C95655" w:rsidRDefault="0047763C" w:rsidP="00C95655">
            <w:pPr>
              <w:pStyle w:val="TablecopyHeading"/>
              <w:spacing w:before="60" w:after="60"/>
              <w:rPr>
                <w:rFonts w:ascii="Arial" w:hAnsi="Arial" w:cs="Arial"/>
                <w:b/>
                <w:sz w:val="18"/>
                <w:szCs w:val="18"/>
              </w:rPr>
            </w:pPr>
            <w:r w:rsidRPr="00C95655">
              <w:rPr>
                <w:rFonts w:ascii="Arial" w:hAnsi="Arial" w:cs="Arial"/>
                <w:b/>
                <w:sz w:val="18"/>
                <w:szCs w:val="18"/>
              </w:rPr>
              <w:t>3 Bedroom</w:t>
            </w:r>
          </w:p>
        </w:tc>
        <w:tc>
          <w:tcPr>
            <w:tcW w:w="1474" w:type="dxa"/>
            <w:gridSpan w:val="2"/>
            <w:tcBorders>
              <w:top w:val="single" w:sz="18" w:space="0" w:color="9DAECB"/>
              <w:bottom w:val="single" w:sz="2" w:space="0" w:color="9DAECB"/>
            </w:tcBorders>
            <w:vAlign w:val="center"/>
          </w:tcPr>
          <w:p w:rsidR="0047763C" w:rsidRPr="00C95655" w:rsidRDefault="0047763C" w:rsidP="00C95655">
            <w:pPr>
              <w:pStyle w:val="Bodycopytables7pt"/>
              <w:framePr w:hSpace="0" w:wrap="auto" w:vAnchor="margin" w:hAnchor="text" w:xAlign="left" w:yAlign="inline"/>
              <w:rPr>
                <w:rFonts w:cs="Arial"/>
                <w:b/>
                <w:sz w:val="18"/>
                <w:szCs w:val="18"/>
              </w:rPr>
            </w:pPr>
            <w:r w:rsidRPr="00C95655">
              <w:rPr>
                <w:rFonts w:cs="Arial"/>
                <w:b/>
                <w:sz w:val="18"/>
                <w:szCs w:val="18"/>
              </w:rPr>
              <w:t>4+ Bedroom</w:t>
            </w:r>
          </w:p>
        </w:tc>
        <w:tc>
          <w:tcPr>
            <w:tcW w:w="1588" w:type="dxa"/>
            <w:gridSpan w:val="2"/>
            <w:tcBorders>
              <w:top w:val="single" w:sz="18" w:space="0" w:color="9DAECB"/>
              <w:bottom w:val="single" w:sz="2" w:space="0" w:color="9DAECB"/>
            </w:tcBorders>
            <w:shd w:val="clear" w:color="auto" w:fill="E5EBF0"/>
            <w:vAlign w:val="center"/>
          </w:tcPr>
          <w:p w:rsidR="0047763C" w:rsidRPr="00C95655" w:rsidRDefault="0047763C" w:rsidP="00C95655">
            <w:pPr>
              <w:pStyle w:val="Bodycopytables7pt"/>
              <w:framePr w:hSpace="0" w:wrap="auto" w:vAnchor="margin" w:hAnchor="text" w:xAlign="left" w:yAlign="inline"/>
              <w:rPr>
                <w:rFonts w:cs="Arial"/>
                <w:b/>
                <w:sz w:val="18"/>
                <w:szCs w:val="18"/>
              </w:rPr>
            </w:pPr>
            <w:r w:rsidRPr="00C95655">
              <w:rPr>
                <w:rFonts w:cs="Arial"/>
                <w:b/>
                <w:sz w:val="18"/>
                <w:szCs w:val="18"/>
              </w:rPr>
              <w:t>Total</w:t>
            </w:r>
          </w:p>
        </w:tc>
      </w:tr>
      <w:tr w:rsidR="005275FF" w:rsidRPr="005F5C4F" w:rsidTr="00432FDD">
        <w:trPr>
          <w:trHeight w:val="340"/>
        </w:trPr>
        <w:tc>
          <w:tcPr>
            <w:tcW w:w="2495" w:type="dxa"/>
            <w:vMerge/>
            <w:tcBorders>
              <w:top w:val="single" w:sz="2" w:space="0" w:color="9DAECB"/>
              <w:bottom w:val="single" w:sz="12" w:space="0" w:color="9DAECB"/>
            </w:tcBorders>
            <w:vAlign w:val="center"/>
          </w:tcPr>
          <w:p w:rsidR="005275FF" w:rsidRPr="00C95655" w:rsidRDefault="005275FF" w:rsidP="00CB2D98">
            <w:pPr>
              <w:rPr>
                <w:rFonts w:cs="Arial"/>
                <w:b/>
                <w:sz w:val="18"/>
                <w:szCs w:val="18"/>
              </w:rPr>
            </w:pPr>
          </w:p>
        </w:tc>
        <w:tc>
          <w:tcPr>
            <w:tcW w:w="732" w:type="dxa"/>
            <w:tcBorders>
              <w:top w:val="single" w:sz="2" w:space="0" w:color="9DAECB"/>
              <w:bottom w:val="single" w:sz="12" w:space="0" w:color="9DAECB"/>
            </w:tcBorders>
            <w:shd w:val="clear" w:color="auto" w:fill="E5EBF0"/>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42" w:type="dxa"/>
            <w:tcBorders>
              <w:top w:val="single" w:sz="2" w:space="0" w:color="9DAECB"/>
              <w:bottom w:val="single" w:sz="12" w:space="0" w:color="9DAECB"/>
            </w:tcBorders>
            <w:shd w:val="clear" w:color="auto" w:fill="E5EBF0"/>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r>
      <w:tr w:rsidR="005540A2" w:rsidRPr="005F5C4F" w:rsidTr="005E5C54">
        <w:trPr>
          <w:trHeight w:val="340"/>
        </w:trPr>
        <w:tc>
          <w:tcPr>
            <w:tcW w:w="2495" w:type="dxa"/>
            <w:tcBorders>
              <w:top w:val="single" w:sz="12" w:space="0" w:color="9DAECB"/>
            </w:tcBorders>
            <w:vAlign w:val="center"/>
          </w:tcPr>
          <w:p w:rsidR="005540A2" w:rsidRPr="00C95655" w:rsidRDefault="005540A2"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Inner Melbourne</w:t>
            </w:r>
          </w:p>
        </w:tc>
        <w:tc>
          <w:tcPr>
            <w:tcW w:w="732" w:type="dxa"/>
            <w:tcBorders>
              <w:top w:val="single" w:sz="12" w:space="0" w:color="9DAECB"/>
            </w:tcBorders>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6</w:t>
            </w:r>
          </w:p>
        </w:tc>
        <w:tc>
          <w:tcPr>
            <w:tcW w:w="742" w:type="dxa"/>
            <w:tcBorders>
              <w:top w:val="single" w:sz="12" w:space="0" w:color="9DAECB"/>
            </w:tcBorders>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0.1%</w:t>
            </w:r>
          </w:p>
        </w:tc>
        <w:tc>
          <w:tcPr>
            <w:tcW w:w="737" w:type="dxa"/>
            <w:tcBorders>
              <w:top w:val="single" w:sz="12" w:space="0" w:color="9DAECB"/>
            </w:tcBorders>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60</w:t>
            </w:r>
          </w:p>
        </w:tc>
        <w:tc>
          <w:tcPr>
            <w:tcW w:w="737" w:type="dxa"/>
            <w:tcBorders>
              <w:top w:val="single" w:sz="12" w:space="0" w:color="9DAECB"/>
            </w:tcBorders>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1.2%</w:t>
            </w:r>
          </w:p>
        </w:tc>
        <w:tc>
          <w:tcPr>
            <w:tcW w:w="737" w:type="dxa"/>
            <w:tcBorders>
              <w:top w:val="single" w:sz="12" w:space="0" w:color="9DAECB"/>
            </w:tcBorders>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25</w:t>
            </w:r>
          </w:p>
        </w:tc>
        <w:tc>
          <w:tcPr>
            <w:tcW w:w="737" w:type="dxa"/>
            <w:tcBorders>
              <w:top w:val="single" w:sz="12" w:space="0" w:color="9DAECB"/>
            </w:tcBorders>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2.5%</w:t>
            </w:r>
          </w:p>
        </w:tc>
        <w:tc>
          <w:tcPr>
            <w:tcW w:w="737" w:type="dxa"/>
            <w:tcBorders>
              <w:top w:val="single" w:sz="12" w:space="0" w:color="9DAECB"/>
            </w:tcBorders>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21</w:t>
            </w:r>
          </w:p>
        </w:tc>
        <w:tc>
          <w:tcPr>
            <w:tcW w:w="737" w:type="dxa"/>
            <w:tcBorders>
              <w:top w:val="single" w:sz="12" w:space="0" w:color="9DAECB"/>
            </w:tcBorders>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13.0%</w:t>
            </w:r>
          </w:p>
        </w:tc>
        <w:tc>
          <w:tcPr>
            <w:tcW w:w="794" w:type="dxa"/>
            <w:tcBorders>
              <w:top w:val="single" w:sz="12" w:space="0" w:color="9DAECB"/>
            </w:tcBorders>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112</w:t>
            </w:r>
          </w:p>
        </w:tc>
        <w:tc>
          <w:tcPr>
            <w:tcW w:w="794" w:type="dxa"/>
            <w:tcBorders>
              <w:top w:val="single" w:sz="12" w:space="0" w:color="9DAECB"/>
            </w:tcBorders>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1.1%</w:t>
            </w:r>
          </w:p>
        </w:tc>
      </w:tr>
      <w:tr w:rsidR="005540A2" w:rsidRPr="005F5C4F" w:rsidTr="005E5C54">
        <w:trPr>
          <w:trHeight w:val="340"/>
        </w:trPr>
        <w:tc>
          <w:tcPr>
            <w:tcW w:w="2495" w:type="dxa"/>
            <w:vAlign w:val="center"/>
          </w:tcPr>
          <w:p w:rsidR="005540A2" w:rsidRPr="00C95655" w:rsidRDefault="005540A2"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Inner Eastern Melbourne</w:t>
            </w:r>
          </w:p>
        </w:tc>
        <w:tc>
          <w:tcPr>
            <w:tcW w:w="73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w:t>
            </w:r>
          </w:p>
        </w:tc>
        <w:tc>
          <w:tcPr>
            <w:tcW w:w="74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0.0%</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21</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1.2%</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29</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1.6%</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38</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4.4%</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88</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1.7%</w:t>
            </w:r>
          </w:p>
        </w:tc>
      </w:tr>
      <w:tr w:rsidR="005540A2" w:rsidRPr="005F5C4F" w:rsidTr="005E5C54">
        <w:trPr>
          <w:trHeight w:val="340"/>
        </w:trPr>
        <w:tc>
          <w:tcPr>
            <w:tcW w:w="2495" w:type="dxa"/>
            <w:vAlign w:val="center"/>
          </w:tcPr>
          <w:p w:rsidR="005540A2" w:rsidRPr="00C95655" w:rsidRDefault="005540A2"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Southern Melbourne</w:t>
            </w:r>
          </w:p>
        </w:tc>
        <w:tc>
          <w:tcPr>
            <w:tcW w:w="73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w:t>
            </w:r>
          </w:p>
        </w:tc>
        <w:tc>
          <w:tcPr>
            <w:tcW w:w="74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0.2%</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24</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1.6%</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11</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1.1%</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7</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1.8%</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43</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1.2%</w:t>
            </w:r>
          </w:p>
        </w:tc>
      </w:tr>
      <w:tr w:rsidR="005540A2" w:rsidRPr="005F5C4F" w:rsidTr="005E5C54">
        <w:trPr>
          <w:trHeight w:val="340"/>
        </w:trPr>
        <w:tc>
          <w:tcPr>
            <w:tcW w:w="2495" w:type="dxa"/>
            <w:vAlign w:val="center"/>
          </w:tcPr>
          <w:p w:rsidR="005540A2" w:rsidRPr="00C95655" w:rsidRDefault="005540A2"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Western Melbourne</w:t>
            </w:r>
          </w:p>
        </w:tc>
        <w:tc>
          <w:tcPr>
            <w:tcW w:w="73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3</w:t>
            </w:r>
          </w:p>
        </w:tc>
        <w:tc>
          <w:tcPr>
            <w:tcW w:w="74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0.9%</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108</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8.1%</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731</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27.4%</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669</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54.3%</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1,511</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27.2%</w:t>
            </w:r>
          </w:p>
        </w:tc>
      </w:tr>
      <w:tr w:rsidR="005540A2" w:rsidRPr="005F5C4F" w:rsidTr="005E5C54">
        <w:trPr>
          <w:trHeight w:val="340"/>
        </w:trPr>
        <w:tc>
          <w:tcPr>
            <w:tcW w:w="2495" w:type="dxa"/>
            <w:vAlign w:val="center"/>
          </w:tcPr>
          <w:p w:rsidR="005540A2" w:rsidRPr="00C95655" w:rsidRDefault="005540A2"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North Western Melbourne</w:t>
            </w:r>
          </w:p>
        </w:tc>
        <w:tc>
          <w:tcPr>
            <w:tcW w:w="73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6</w:t>
            </w:r>
          </w:p>
        </w:tc>
        <w:tc>
          <w:tcPr>
            <w:tcW w:w="74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1.1%</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35</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2.1%</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149</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10.3%</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146</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35.6%</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336</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8.3%</w:t>
            </w:r>
          </w:p>
        </w:tc>
      </w:tr>
      <w:tr w:rsidR="005540A2" w:rsidRPr="005F5C4F" w:rsidTr="005E5C54">
        <w:trPr>
          <w:trHeight w:val="340"/>
        </w:trPr>
        <w:tc>
          <w:tcPr>
            <w:tcW w:w="2495" w:type="dxa"/>
            <w:vAlign w:val="center"/>
          </w:tcPr>
          <w:p w:rsidR="005540A2" w:rsidRPr="00C95655" w:rsidRDefault="005540A2"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North Eastern Melbourne</w:t>
            </w:r>
          </w:p>
        </w:tc>
        <w:tc>
          <w:tcPr>
            <w:tcW w:w="73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w:t>
            </w:r>
          </w:p>
        </w:tc>
        <w:tc>
          <w:tcPr>
            <w:tcW w:w="74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0.4%</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25</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1.7%</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100</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6.3%</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229</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44.7%</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356</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8.7%</w:t>
            </w:r>
          </w:p>
        </w:tc>
      </w:tr>
      <w:tr w:rsidR="005540A2" w:rsidRPr="005F5C4F" w:rsidTr="005E5C54">
        <w:trPr>
          <w:trHeight w:val="340"/>
        </w:trPr>
        <w:tc>
          <w:tcPr>
            <w:tcW w:w="2495" w:type="dxa"/>
            <w:vAlign w:val="center"/>
          </w:tcPr>
          <w:p w:rsidR="005540A2" w:rsidRPr="00C95655" w:rsidRDefault="005540A2"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Outer Eastern Melbourne</w:t>
            </w:r>
          </w:p>
        </w:tc>
        <w:tc>
          <w:tcPr>
            <w:tcW w:w="73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w:t>
            </w:r>
          </w:p>
        </w:tc>
        <w:tc>
          <w:tcPr>
            <w:tcW w:w="74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1.8%</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22</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3.6%</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32</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3.2%</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23</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7.2%</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79</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3.9%</w:t>
            </w:r>
          </w:p>
        </w:tc>
      </w:tr>
      <w:tr w:rsidR="005540A2" w:rsidRPr="005F5C4F" w:rsidTr="005E5C54">
        <w:trPr>
          <w:trHeight w:val="340"/>
        </w:trPr>
        <w:tc>
          <w:tcPr>
            <w:tcW w:w="2495" w:type="dxa"/>
            <w:vAlign w:val="center"/>
          </w:tcPr>
          <w:p w:rsidR="005540A2" w:rsidRPr="00C95655" w:rsidRDefault="005540A2"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South Eastern Melbourne</w:t>
            </w:r>
          </w:p>
        </w:tc>
        <w:tc>
          <w:tcPr>
            <w:tcW w:w="73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3</w:t>
            </w:r>
          </w:p>
        </w:tc>
        <w:tc>
          <w:tcPr>
            <w:tcW w:w="74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1.9%</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63</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7.5%</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227</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13.1%</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286</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35.9%</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579</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16.4%</w:t>
            </w:r>
          </w:p>
        </w:tc>
      </w:tr>
      <w:tr w:rsidR="005540A2" w:rsidRPr="005F5C4F" w:rsidTr="005E5C54">
        <w:trPr>
          <w:trHeight w:val="340"/>
        </w:trPr>
        <w:tc>
          <w:tcPr>
            <w:tcW w:w="2495" w:type="dxa"/>
            <w:vAlign w:val="center"/>
          </w:tcPr>
          <w:p w:rsidR="005540A2" w:rsidRPr="00C95655" w:rsidRDefault="005540A2"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Mornington Peninsula</w:t>
            </w:r>
          </w:p>
        </w:tc>
        <w:tc>
          <w:tcPr>
            <w:tcW w:w="73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w:t>
            </w:r>
          </w:p>
        </w:tc>
        <w:tc>
          <w:tcPr>
            <w:tcW w:w="74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2.1%</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63</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12.1%</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187</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18.0%</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60</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17.1%</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312</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15.6%</w:t>
            </w:r>
          </w:p>
        </w:tc>
      </w:tr>
      <w:tr w:rsidR="005540A2" w:rsidRPr="00542469" w:rsidTr="005E5C54">
        <w:trPr>
          <w:trHeight w:hRule="exact" w:val="454"/>
        </w:trPr>
        <w:tc>
          <w:tcPr>
            <w:tcW w:w="2495" w:type="dxa"/>
            <w:vAlign w:val="center"/>
          </w:tcPr>
          <w:p w:rsidR="005540A2" w:rsidRPr="00542469" w:rsidRDefault="005540A2" w:rsidP="003F4B94">
            <w:pPr>
              <w:pStyle w:val="bodycopytable6pt"/>
              <w:framePr w:hSpace="0" w:wrap="auto" w:vAnchor="margin" w:hAnchor="text" w:xAlign="left" w:yAlign="inline"/>
              <w:spacing w:before="0" w:after="0" w:line="240" w:lineRule="auto"/>
              <w:jc w:val="right"/>
              <w:rPr>
                <w:rFonts w:cs="Arial"/>
                <w:b/>
                <w:i/>
                <w:sz w:val="18"/>
                <w:szCs w:val="18"/>
              </w:rPr>
            </w:pPr>
            <w:r w:rsidRPr="00542469">
              <w:rPr>
                <w:rFonts w:cs="Arial"/>
                <w:b/>
                <w:i/>
                <w:iCs/>
                <w:sz w:val="18"/>
                <w:szCs w:val="18"/>
              </w:rPr>
              <w:t>Metropolitan Melbourne</w:t>
            </w:r>
          </w:p>
        </w:tc>
        <w:tc>
          <w:tcPr>
            <w:tcW w:w="732" w:type="dxa"/>
            <w:shd w:val="clear" w:color="auto" w:fill="E5EBF0"/>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25</w:t>
            </w:r>
          </w:p>
        </w:tc>
        <w:tc>
          <w:tcPr>
            <w:tcW w:w="742" w:type="dxa"/>
            <w:shd w:val="clear" w:color="auto" w:fill="E5EBF0"/>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0.3%</w:t>
            </w:r>
          </w:p>
        </w:tc>
        <w:tc>
          <w:tcPr>
            <w:tcW w:w="737" w:type="dxa"/>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421</w:t>
            </w:r>
          </w:p>
        </w:tc>
        <w:tc>
          <w:tcPr>
            <w:tcW w:w="737" w:type="dxa"/>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2.9%</w:t>
            </w:r>
          </w:p>
        </w:tc>
        <w:tc>
          <w:tcPr>
            <w:tcW w:w="737" w:type="dxa"/>
            <w:shd w:val="clear" w:color="auto" w:fill="E5EBF0"/>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1,491</w:t>
            </w:r>
          </w:p>
        </w:tc>
        <w:tc>
          <w:tcPr>
            <w:tcW w:w="737" w:type="dxa"/>
            <w:shd w:val="clear" w:color="auto" w:fill="E5EBF0"/>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11.2%</w:t>
            </w:r>
          </w:p>
        </w:tc>
        <w:tc>
          <w:tcPr>
            <w:tcW w:w="737" w:type="dxa"/>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1,479</w:t>
            </w:r>
          </w:p>
        </w:tc>
        <w:tc>
          <w:tcPr>
            <w:tcW w:w="737" w:type="dxa"/>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29.4%</w:t>
            </w:r>
          </w:p>
        </w:tc>
        <w:tc>
          <w:tcPr>
            <w:tcW w:w="794" w:type="dxa"/>
            <w:shd w:val="clear" w:color="auto" w:fill="E5EBF0"/>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3,416</w:t>
            </w:r>
          </w:p>
        </w:tc>
        <w:tc>
          <w:tcPr>
            <w:tcW w:w="794" w:type="dxa"/>
            <w:shd w:val="clear" w:color="auto" w:fill="E5EBF0"/>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8.5%</w:t>
            </w:r>
          </w:p>
        </w:tc>
      </w:tr>
      <w:tr w:rsidR="005540A2" w:rsidRPr="005F5C4F" w:rsidTr="005E5C54">
        <w:trPr>
          <w:trHeight w:val="340"/>
        </w:trPr>
        <w:tc>
          <w:tcPr>
            <w:tcW w:w="2495" w:type="dxa"/>
            <w:vAlign w:val="center"/>
          </w:tcPr>
          <w:p w:rsidR="005540A2" w:rsidRPr="00C95655" w:rsidRDefault="005540A2"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Barwon-South West</w:t>
            </w:r>
          </w:p>
        </w:tc>
        <w:tc>
          <w:tcPr>
            <w:tcW w:w="73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19</w:t>
            </w:r>
          </w:p>
        </w:tc>
        <w:tc>
          <w:tcPr>
            <w:tcW w:w="74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8.8%</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278</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33.0%</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631</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41.8%</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206</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42.0%</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1,134</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37.1%</w:t>
            </w:r>
          </w:p>
        </w:tc>
      </w:tr>
      <w:tr w:rsidR="005540A2" w:rsidRPr="005F5C4F" w:rsidTr="005E5C54">
        <w:trPr>
          <w:trHeight w:val="340"/>
        </w:trPr>
        <w:tc>
          <w:tcPr>
            <w:tcW w:w="2495" w:type="dxa"/>
            <w:vAlign w:val="center"/>
          </w:tcPr>
          <w:p w:rsidR="005540A2" w:rsidRPr="00C95655" w:rsidRDefault="005540A2"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Gippsland</w:t>
            </w:r>
          </w:p>
        </w:tc>
        <w:tc>
          <w:tcPr>
            <w:tcW w:w="73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34</w:t>
            </w:r>
          </w:p>
        </w:tc>
        <w:tc>
          <w:tcPr>
            <w:tcW w:w="74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32.1%</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378</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68.1%</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72</w:t>
            </w:r>
            <w:r w:rsidR="00405904">
              <w:rPr>
                <w:rFonts w:cs="Arial"/>
                <w:color w:val="000000"/>
                <w:sz w:val="18"/>
                <w:szCs w:val="18"/>
                <w:lang w:eastAsia="en-AU"/>
              </w:rPr>
              <w:t>0</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75.8%</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250</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82.5%</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1,38</w:t>
            </w:r>
            <w:r w:rsidR="00405904">
              <w:rPr>
                <w:rFonts w:cs="Arial"/>
                <w:color w:val="000000"/>
                <w:sz w:val="18"/>
                <w:szCs w:val="18"/>
                <w:lang w:eastAsia="en-AU"/>
              </w:rPr>
              <w:t>2</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72.2%</w:t>
            </w:r>
          </w:p>
        </w:tc>
      </w:tr>
      <w:tr w:rsidR="005540A2" w:rsidRPr="005F5C4F" w:rsidTr="005E5C54">
        <w:trPr>
          <w:trHeight w:val="340"/>
        </w:trPr>
        <w:tc>
          <w:tcPr>
            <w:tcW w:w="2495" w:type="dxa"/>
            <w:vAlign w:val="center"/>
          </w:tcPr>
          <w:p w:rsidR="005540A2" w:rsidRPr="00C95655" w:rsidRDefault="005540A2"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Goulburn-Ovens-Murray</w:t>
            </w:r>
          </w:p>
        </w:tc>
        <w:tc>
          <w:tcPr>
            <w:tcW w:w="73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32</w:t>
            </w:r>
          </w:p>
        </w:tc>
        <w:tc>
          <w:tcPr>
            <w:tcW w:w="74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39.5%</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418</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73.2%</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711</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69.1%</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259</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73.2%</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1,420</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69.8%</w:t>
            </w:r>
          </w:p>
        </w:tc>
      </w:tr>
      <w:tr w:rsidR="005540A2" w:rsidRPr="005F5C4F" w:rsidTr="005E5C54">
        <w:trPr>
          <w:trHeight w:val="340"/>
        </w:trPr>
        <w:tc>
          <w:tcPr>
            <w:tcW w:w="2495" w:type="dxa"/>
            <w:vAlign w:val="center"/>
          </w:tcPr>
          <w:p w:rsidR="005540A2" w:rsidRPr="00C95655" w:rsidRDefault="005540A2"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Loddon-Mallee</w:t>
            </w:r>
          </w:p>
        </w:tc>
        <w:tc>
          <w:tcPr>
            <w:tcW w:w="73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22</w:t>
            </w:r>
          </w:p>
        </w:tc>
        <w:tc>
          <w:tcPr>
            <w:tcW w:w="74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26.8%</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304</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58.7%</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656</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66.4%</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235</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71.6%</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1,217</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63.5%</w:t>
            </w:r>
          </w:p>
        </w:tc>
      </w:tr>
      <w:tr w:rsidR="005540A2" w:rsidRPr="005F5C4F" w:rsidTr="005E5C54">
        <w:trPr>
          <w:trHeight w:val="340"/>
        </w:trPr>
        <w:tc>
          <w:tcPr>
            <w:tcW w:w="2495" w:type="dxa"/>
            <w:vAlign w:val="center"/>
          </w:tcPr>
          <w:p w:rsidR="005540A2" w:rsidRPr="00C95655" w:rsidRDefault="005540A2"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Central Highlands-Wimmera</w:t>
            </w:r>
          </w:p>
        </w:tc>
        <w:tc>
          <w:tcPr>
            <w:tcW w:w="73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29</w:t>
            </w:r>
          </w:p>
        </w:tc>
        <w:tc>
          <w:tcPr>
            <w:tcW w:w="742"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30.5%</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290</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63.7%</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581</w:t>
            </w:r>
          </w:p>
        </w:tc>
        <w:tc>
          <w:tcPr>
            <w:tcW w:w="737"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70.9%</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204</w:t>
            </w:r>
          </w:p>
        </w:tc>
        <w:tc>
          <w:tcPr>
            <w:tcW w:w="737" w:type="dxa"/>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73.1%</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1,104</w:t>
            </w:r>
          </w:p>
        </w:tc>
        <w:tc>
          <w:tcPr>
            <w:tcW w:w="794" w:type="dxa"/>
            <w:shd w:val="clear" w:color="auto" w:fill="E5EBF0"/>
            <w:tcMar>
              <w:right w:w="113" w:type="dxa"/>
            </w:tcMar>
            <w:vAlign w:val="center"/>
          </w:tcPr>
          <w:p w:rsidR="005540A2" w:rsidRPr="005540A2" w:rsidRDefault="005540A2" w:rsidP="005E5C54">
            <w:pPr>
              <w:autoSpaceDE w:val="0"/>
              <w:autoSpaceDN w:val="0"/>
              <w:adjustRightInd w:val="0"/>
              <w:jc w:val="center"/>
              <w:rPr>
                <w:rFonts w:cs="Arial"/>
                <w:color w:val="000000"/>
                <w:sz w:val="18"/>
                <w:szCs w:val="18"/>
                <w:lang w:eastAsia="en-AU"/>
              </w:rPr>
            </w:pPr>
            <w:r w:rsidRPr="005540A2">
              <w:rPr>
                <w:rFonts w:cs="Arial"/>
                <w:color w:val="000000"/>
                <w:sz w:val="18"/>
                <w:szCs w:val="18"/>
                <w:lang w:eastAsia="en-AU"/>
              </w:rPr>
              <w:t>67.0%</w:t>
            </w:r>
          </w:p>
        </w:tc>
      </w:tr>
      <w:tr w:rsidR="005540A2" w:rsidRPr="00542469" w:rsidTr="005E5C54">
        <w:trPr>
          <w:trHeight w:hRule="exact" w:val="454"/>
        </w:trPr>
        <w:tc>
          <w:tcPr>
            <w:tcW w:w="2495" w:type="dxa"/>
            <w:vAlign w:val="center"/>
          </w:tcPr>
          <w:p w:rsidR="005540A2" w:rsidRPr="00542469" w:rsidRDefault="005540A2" w:rsidP="003F4B94">
            <w:pPr>
              <w:jc w:val="right"/>
              <w:rPr>
                <w:rFonts w:cs="Arial"/>
                <w:b/>
                <w:i/>
                <w:iCs/>
                <w:sz w:val="18"/>
                <w:szCs w:val="18"/>
              </w:rPr>
            </w:pPr>
            <w:r w:rsidRPr="00542469">
              <w:rPr>
                <w:rFonts w:cs="Arial"/>
                <w:b/>
                <w:i/>
                <w:iCs/>
                <w:sz w:val="18"/>
                <w:szCs w:val="18"/>
              </w:rPr>
              <w:t>Regional Victoria</w:t>
            </w:r>
          </w:p>
        </w:tc>
        <w:tc>
          <w:tcPr>
            <w:tcW w:w="732" w:type="dxa"/>
            <w:shd w:val="clear" w:color="auto" w:fill="E5EBF0"/>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136</w:t>
            </w:r>
          </w:p>
        </w:tc>
        <w:tc>
          <w:tcPr>
            <w:tcW w:w="742" w:type="dxa"/>
            <w:shd w:val="clear" w:color="auto" w:fill="E5EBF0"/>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23.4%</w:t>
            </w:r>
          </w:p>
        </w:tc>
        <w:tc>
          <w:tcPr>
            <w:tcW w:w="737" w:type="dxa"/>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1,668</w:t>
            </w:r>
          </w:p>
        </w:tc>
        <w:tc>
          <w:tcPr>
            <w:tcW w:w="737" w:type="dxa"/>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56.7%</w:t>
            </w:r>
          </w:p>
        </w:tc>
        <w:tc>
          <w:tcPr>
            <w:tcW w:w="737" w:type="dxa"/>
            <w:shd w:val="clear" w:color="auto" w:fill="E5EBF0"/>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3,</w:t>
            </w:r>
            <w:r w:rsidR="00405904">
              <w:rPr>
                <w:rFonts w:cs="Arial"/>
                <w:b/>
                <w:i/>
                <w:color w:val="000000"/>
                <w:sz w:val="18"/>
                <w:szCs w:val="18"/>
                <w:lang w:eastAsia="en-AU"/>
              </w:rPr>
              <w:t>299</w:t>
            </w:r>
          </w:p>
        </w:tc>
        <w:tc>
          <w:tcPr>
            <w:tcW w:w="737" w:type="dxa"/>
            <w:shd w:val="clear" w:color="auto" w:fill="E5EBF0"/>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62.3%</w:t>
            </w:r>
          </w:p>
        </w:tc>
        <w:tc>
          <w:tcPr>
            <w:tcW w:w="737" w:type="dxa"/>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1,154</w:t>
            </w:r>
          </w:p>
        </w:tc>
        <w:tc>
          <w:tcPr>
            <w:tcW w:w="737" w:type="dxa"/>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65.8%</w:t>
            </w:r>
          </w:p>
        </w:tc>
        <w:tc>
          <w:tcPr>
            <w:tcW w:w="794" w:type="dxa"/>
            <w:shd w:val="clear" w:color="auto" w:fill="E5EBF0"/>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6,258</w:t>
            </w:r>
          </w:p>
        </w:tc>
        <w:tc>
          <w:tcPr>
            <w:tcW w:w="794" w:type="dxa"/>
            <w:shd w:val="clear" w:color="auto" w:fill="E5EBF0"/>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59.2%</w:t>
            </w:r>
          </w:p>
        </w:tc>
      </w:tr>
      <w:tr w:rsidR="005540A2" w:rsidRPr="00542469" w:rsidTr="005E5C54">
        <w:trPr>
          <w:trHeight w:hRule="exact" w:val="454"/>
        </w:trPr>
        <w:tc>
          <w:tcPr>
            <w:tcW w:w="2495" w:type="dxa"/>
            <w:vAlign w:val="center"/>
          </w:tcPr>
          <w:p w:rsidR="005540A2" w:rsidRPr="00542469" w:rsidRDefault="005540A2" w:rsidP="003F4B94">
            <w:pPr>
              <w:jc w:val="right"/>
              <w:rPr>
                <w:rFonts w:cs="Arial"/>
                <w:b/>
                <w:i/>
                <w:iCs/>
                <w:sz w:val="18"/>
                <w:szCs w:val="18"/>
              </w:rPr>
            </w:pPr>
            <w:r w:rsidRPr="00542469">
              <w:rPr>
                <w:rFonts w:cs="Arial"/>
                <w:b/>
                <w:i/>
                <w:iCs/>
                <w:sz w:val="18"/>
                <w:szCs w:val="18"/>
              </w:rPr>
              <w:t>Victoria</w:t>
            </w:r>
          </w:p>
        </w:tc>
        <w:tc>
          <w:tcPr>
            <w:tcW w:w="732" w:type="dxa"/>
            <w:shd w:val="clear" w:color="auto" w:fill="E5EBF0"/>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161</w:t>
            </w:r>
          </w:p>
        </w:tc>
        <w:tc>
          <w:tcPr>
            <w:tcW w:w="742" w:type="dxa"/>
            <w:shd w:val="clear" w:color="auto" w:fill="E5EBF0"/>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2.0%</w:t>
            </w:r>
          </w:p>
        </w:tc>
        <w:tc>
          <w:tcPr>
            <w:tcW w:w="737" w:type="dxa"/>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2,089</w:t>
            </w:r>
          </w:p>
        </w:tc>
        <w:tc>
          <w:tcPr>
            <w:tcW w:w="737" w:type="dxa"/>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11.9%</w:t>
            </w:r>
          </w:p>
        </w:tc>
        <w:tc>
          <w:tcPr>
            <w:tcW w:w="737" w:type="dxa"/>
            <w:shd w:val="clear" w:color="auto" w:fill="E5EBF0"/>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4,791</w:t>
            </w:r>
          </w:p>
        </w:tc>
        <w:tc>
          <w:tcPr>
            <w:tcW w:w="737" w:type="dxa"/>
            <w:shd w:val="clear" w:color="auto" w:fill="E5EBF0"/>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25.8%</w:t>
            </w:r>
          </w:p>
        </w:tc>
        <w:tc>
          <w:tcPr>
            <w:tcW w:w="737" w:type="dxa"/>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2,633</w:t>
            </w:r>
          </w:p>
        </w:tc>
        <w:tc>
          <w:tcPr>
            <w:tcW w:w="737" w:type="dxa"/>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38.8%</w:t>
            </w:r>
          </w:p>
        </w:tc>
        <w:tc>
          <w:tcPr>
            <w:tcW w:w="794" w:type="dxa"/>
            <w:shd w:val="clear" w:color="auto" w:fill="E5EBF0"/>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9,67</w:t>
            </w:r>
            <w:r w:rsidR="00405904">
              <w:rPr>
                <w:rFonts w:cs="Arial"/>
                <w:b/>
                <w:i/>
                <w:color w:val="000000"/>
                <w:sz w:val="18"/>
                <w:szCs w:val="18"/>
                <w:lang w:eastAsia="en-AU"/>
              </w:rPr>
              <w:t>3</w:t>
            </w:r>
          </w:p>
        </w:tc>
        <w:tc>
          <w:tcPr>
            <w:tcW w:w="794" w:type="dxa"/>
            <w:shd w:val="clear" w:color="auto" w:fill="E5EBF0"/>
            <w:tcMar>
              <w:right w:w="113" w:type="dxa"/>
            </w:tcMar>
            <w:vAlign w:val="center"/>
          </w:tcPr>
          <w:p w:rsidR="005540A2" w:rsidRPr="00542469" w:rsidRDefault="005540A2" w:rsidP="005E5C54">
            <w:pPr>
              <w:autoSpaceDE w:val="0"/>
              <w:autoSpaceDN w:val="0"/>
              <w:adjustRightInd w:val="0"/>
              <w:jc w:val="center"/>
              <w:rPr>
                <w:rFonts w:cs="Arial"/>
                <w:b/>
                <w:i/>
                <w:color w:val="000000"/>
                <w:sz w:val="18"/>
                <w:szCs w:val="18"/>
                <w:lang w:eastAsia="en-AU"/>
              </w:rPr>
            </w:pPr>
            <w:r w:rsidRPr="00542469">
              <w:rPr>
                <w:rFonts w:cs="Arial"/>
                <w:b/>
                <w:i/>
                <w:color w:val="000000"/>
                <w:sz w:val="18"/>
                <w:szCs w:val="18"/>
                <w:lang w:eastAsia="en-AU"/>
              </w:rPr>
              <w:t>19.0%</w:t>
            </w:r>
          </w:p>
        </w:tc>
      </w:tr>
    </w:tbl>
    <w:p w:rsidR="0047763C" w:rsidRPr="005623AB" w:rsidRDefault="0047763C" w:rsidP="008B7A8C">
      <w:pPr>
        <w:shd w:val="clear" w:color="auto" w:fill="FFFFFF"/>
        <w:rPr>
          <w:rFonts w:cs="Arial"/>
        </w:rPr>
      </w:pPr>
    </w:p>
    <w:p w:rsidR="005623AB" w:rsidRPr="005623AB" w:rsidRDefault="005623AB" w:rsidP="008B7A8C">
      <w:pPr>
        <w:shd w:val="clear" w:color="auto" w:fill="FFFFFF"/>
        <w:rPr>
          <w:rFonts w:cs="Arial"/>
        </w:rPr>
      </w:pPr>
    </w:p>
    <w:p w:rsidR="005623AB" w:rsidRPr="005623AB" w:rsidRDefault="005623AB" w:rsidP="008B7A8C">
      <w:pPr>
        <w:shd w:val="clear" w:color="auto" w:fill="FFFFFF"/>
        <w:rPr>
          <w:rFonts w:cs="Arial"/>
        </w:rPr>
      </w:pPr>
    </w:p>
    <w:p w:rsidR="005623AB" w:rsidRPr="005623AB" w:rsidRDefault="005623AB">
      <w:pPr>
        <w:rPr>
          <w:rFonts w:cs="Arial"/>
        </w:rPr>
        <w:sectPr w:rsidR="005623AB" w:rsidRPr="005623AB" w:rsidSect="008F5EF7">
          <w:footerReference w:type="default" r:id="rId22"/>
          <w:pgSz w:w="11906" w:h="16838"/>
          <w:pgMar w:top="1134" w:right="1134" w:bottom="1134" w:left="1134" w:header="709" w:footer="709" w:gutter="0"/>
          <w:cols w:space="708"/>
          <w:docGrid w:linePitch="360"/>
        </w:sectPr>
      </w:pPr>
    </w:p>
    <w:p w:rsidR="0047763C" w:rsidRPr="000375B1" w:rsidRDefault="0047763C" w:rsidP="00E3415F">
      <w:pPr>
        <w:rPr>
          <w:rFonts w:cs="Arial"/>
          <w:b/>
          <w:sz w:val="20"/>
          <w:szCs w:val="20"/>
        </w:rPr>
      </w:pPr>
      <w:r w:rsidRPr="000375B1">
        <w:rPr>
          <w:rFonts w:cs="Arial"/>
          <w:b/>
          <w:sz w:val="20"/>
          <w:szCs w:val="20"/>
        </w:rPr>
        <w:lastRenderedPageBreak/>
        <w:t>Table 11 – Moving annual median rents for suburbs/town</w:t>
      </w:r>
      <w:r>
        <w:rPr>
          <w:rFonts w:cs="Arial"/>
          <w:b/>
          <w:sz w:val="20"/>
          <w:szCs w:val="20"/>
        </w:rPr>
        <w:t xml:space="preserve"> by major property type</w:t>
      </w:r>
    </w:p>
    <w:tbl>
      <w:tblPr>
        <w:tblW w:w="15276"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686"/>
        <w:gridCol w:w="964"/>
        <w:gridCol w:w="964"/>
        <w:gridCol w:w="964"/>
        <w:gridCol w:w="964"/>
        <w:gridCol w:w="964"/>
        <w:gridCol w:w="964"/>
        <w:gridCol w:w="964"/>
        <w:gridCol w:w="964"/>
        <w:gridCol w:w="964"/>
        <w:gridCol w:w="964"/>
        <w:gridCol w:w="964"/>
        <w:gridCol w:w="986"/>
      </w:tblGrid>
      <w:tr w:rsidR="005623AB" w:rsidRPr="005623AB" w:rsidTr="006B16D8">
        <w:trPr>
          <w:tblHeader/>
        </w:trPr>
        <w:tc>
          <w:tcPr>
            <w:tcW w:w="3686" w:type="dxa"/>
            <w:vMerge w:val="restart"/>
            <w:tcBorders>
              <w:top w:val="single" w:sz="18" w:space="0" w:color="9DAECB"/>
              <w:bottom w:val="single" w:sz="2" w:space="0" w:color="9DAECB"/>
            </w:tcBorders>
            <w:noWrap/>
            <w:vAlign w:val="center"/>
          </w:tcPr>
          <w:p w:rsidR="0047763C" w:rsidRPr="005D1721" w:rsidRDefault="0047763C" w:rsidP="00E3415F">
            <w:pPr>
              <w:rPr>
                <w:rFonts w:cs="Arial"/>
                <w:b/>
                <w:sz w:val="20"/>
                <w:szCs w:val="20"/>
                <w:lang w:eastAsia="en-AU"/>
              </w:rPr>
            </w:pPr>
            <w:r w:rsidRPr="005D1721">
              <w:rPr>
                <w:rFonts w:cs="Arial"/>
                <w:b/>
                <w:sz w:val="20"/>
                <w:szCs w:val="20"/>
                <w:lang w:eastAsia="en-AU"/>
              </w:rPr>
              <w:t>Suburb/town</w:t>
            </w:r>
          </w:p>
        </w:tc>
        <w:tc>
          <w:tcPr>
            <w:tcW w:w="2892" w:type="dxa"/>
            <w:gridSpan w:val="3"/>
            <w:tcBorders>
              <w:top w:val="single" w:sz="18" w:space="0" w:color="9DAECB"/>
              <w:bottom w:val="single" w:sz="2" w:space="0" w:color="9DAECB"/>
            </w:tcBorders>
            <w:shd w:val="clear" w:color="auto" w:fill="DEE4EE"/>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1 Bed Flat</w:t>
            </w:r>
          </w:p>
        </w:tc>
        <w:tc>
          <w:tcPr>
            <w:tcW w:w="2892" w:type="dxa"/>
            <w:gridSpan w:val="3"/>
            <w:tcBorders>
              <w:top w:val="single" w:sz="18" w:space="0" w:color="9DAECB"/>
              <w:bottom w:val="single" w:sz="2" w:space="0" w:color="9DAECB"/>
            </w:tcBorders>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2 Bed Flat</w:t>
            </w:r>
          </w:p>
        </w:tc>
        <w:tc>
          <w:tcPr>
            <w:tcW w:w="2892" w:type="dxa"/>
            <w:gridSpan w:val="3"/>
            <w:tcBorders>
              <w:top w:val="single" w:sz="18" w:space="0" w:color="9DAECB"/>
              <w:bottom w:val="single" w:sz="2" w:space="0" w:color="9DAECB"/>
            </w:tcBorders>
            <w:shd w:val="clear" w:color="auto" w:fill="DEE4EE"/>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2 Bed House</w:t>
            </w:r>
          </w:p>
        </w:tc>
        <w:tc>
          <w:tcPr>
            <w:tcW w:w="2914" w:type="dxa"/>
            <w:gridSpan w:val="3"/>
            <w:tcBorders>
              <w:top w:val="single" w:sz="18" w:space="0" w:color="9DAECB"/>
              <w:bottom w:val="single" w:sz="2" w:space="0" w:color="9DAECB"/>
            </w:tcBorders>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3 Bed House</w:t>
            </w:r>
          </w:p>
        </w:tc>
      </w:tr>
      <w:tr w:rsidR="005623AB" w:rsidRPr="005623AB" w:rsidTr="006B16D8">
        <w:trPr>
          <w:tblHeader/>
        </w:trPr>
        <w:tc>
          <w:tcPr>
            <w:tcW w:w="3686" w:type="dxa"/>
            <w:vMerge/>
            <w:tcBorders>
              <w:top w:val="single" w:sz="2" w:space="0" w:color="9DAECB"/>
              <w:bottom w:val="single" w:sz="12" w:space="0" w:color="9DAECB"/>
            </w:tcBorders>
            <w:noWrap/>
            <w:vAlign w:val="center"/>
          </w:tcPr>
          <w:p w:rsidR="0047763C" w:rsidRPr="005623AB" w:rsidRDefault="0047763C" w:rsidP="00E3415F">
            <w:pPr>
              <w:rPr>
                <w:rFonts w:cs="Arial"/>
                <w:sz w:val="20"/>
                <w:szCs w:val="20"/>
                <w:lang w:eastAsia="en-AU"/>
              </w:rPr>
            </w:pP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D561CD">
            <w:pPr>
              <w:jc w:val="right"/>
              <w:rPr>
                <w:rFonts w:cs="Arial"/>
                <w:sz w:val="16"/>
                <w:szCs w:val="20"/>
                <w:lang w:eastAsia="en-AU"/>
              </w:rPr>
            </w:pPr>
            <w:r w:rsidRPr="005D1721">
              <w:rPr>
                <w:rFonts w:cs="Arial"/>
                <w:sz w:val="16"/>
                <w:szCs w:val="20"/>
                <w:lang w:eastAsia="en-AU"/>
              </w:rPr>
              <w:t>Ann</w:t>
            </w:r>
            <w:r w:rsidR="005D1721" w:rsidRPr="005D1721">
              <w:rPr>
                <w:rFonts w:cs="Arial"/>
                <w:sz w:val="16"/>
                <w:szCs w:val="20"/>
                <w:lang w:eastAsia="en-AU"/>
              </w:rPr>
              <w:t>ual</w:t>
            </w:r>
            <w:r w:rsidR="00D561CD">
              <w:rPr>
                <w:rFonts w:cs="Arial"/>
                <w:sz w:val="16"/>
                <w:szCs w:val="20"/>
                <w:lang w:eastAsia="en-AU"/>
              </w:rPr>
              <w:br/>
            </w:r>
            <w:r w:rsidRPr="005D1721">
              <w:rPr>
                <w:rFonts w:cs="Arial"/>
                <w:sz w:val="16"/>
                <w:szCs w:val="20"/>
                <w:lang w:eastAsia="en-AU"/>
              </w:rPr>
              <w:t>% Ch</w:t>
            </w:r>
            <w:r w:rsidR="005D1721" w:rsidRPr="005D1721">
              <w:rPr>
                <w:rFonts w:cs="Arial"/>
                <w:sz w:val="16"/>
                <w:szCs w:val="20"/>
                <w:lang w:eastAsia="en-AU"/>
              </w:rPr>
              <w:t>ange</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64" w:type="dxa"/>
            <w:tcBorders>
              <w:top w:val="single" w:sz="2" w:space="0" w:color="9DAECB"/>
              <w:bottom w:val="single" w:sz="12" w:space="0" w:color="9DAECB"/>
            </w:tcBorders>
            <w:noWrap/>
            <w:vAlign w:val="bottom"/>
          </w:tcPr>
          <w:p w:rsidR="0047763C" w:rsidRPr="005D1721" w:rsidRDefault="005D1721" w:rsidP="00D561CD">
            <w:pPr>
              <w:jc w:val="right"/>
              <w:rPr>
                <w:rFonts w:cs="Arial"/>
                <w:sz w:val="16"/>
                <w:szCs w:val="20"/>
                <w:lang w:eastAsia="en-AU"/>
              </w:rPr>
            </w:pPr>
            <w:r w:rsidRPr="005D1721">
              <w:rPr>
                <w:rFonts w:cs="Arial"/>
                <w:sz w:val="16"/>
                <w:szCs w:val="20"/>
                <w:lang w:eastAsia="en-AU"/>
              </w:rPr>
              <w:t>Annual</w:t>
            </w:r>
            <w:r w:rsidR="00D561CD">
              <w:rPr>
                <w:rFonts w:cs="Arial"/>
                <w:sz w:val="16"/>
                <w:szCs w:val="20"/>
                <w:lang w:eastAsia="en-AU"/>
              </w:rPr>
              <w:br/>
            </w:r>
            <w:r w:rsidRPr="005D1721">
              <w:rPr>
                <w:rFonts w:cs="Arial"/>
                <w:sz w:val="16"/>
                <w:szCs w:val="20"/>
                <w:lang w:eastAsia="en-AU"/>
              </w:rPr>
              <w:t>% Change</w:t>
            </w:r>
          </w:p>
        </w:tc>
        <w:tc>
          <w:tcPr>
            <w:tcW w:w="964" w:type="dxa"/>
            <w:tcBorders>
              <w:top w:val="single" w:sz="2" w:space="0" w:color="9DAECB"/>
              <w:bottom w:val="single" w:sz="12" w:space="0" w:color="9DAECB"/>
            </w:tcBorders>
            <w:shd w:val="clear" w:color="auto" w:fill="E5EBF0"/>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64" w:type="dxa"/>
            <w:tcBorders>
              <w:top w:val="single" w:sz="2" w:space="0" w:color="9DAECB"/>
              <w:bottom w:val="single" w:sz="12" w:space="0" w:color="9DAECB"/>
            </w:tcBorders>
            <w:shd w:val="clear" w:color="auto" w:fill="DEE4EE"/>
            <w:noWrap/>
            <w:vAlign w:val="bottom"/>
          </w:tcPr>
          <w:p w:rsidR="0047763C" w:rsidRPr="005D1721" w:rsidRDefault="005D1721" w:rsidP="00D561CD">
            <w:pPr>
              <w:jc w:val="right"/>
              <w:rPr>
                <w:rFonts w:cs="Arial"/>
                <w:sz w:val="16"/>
                <w:szCs w:val="20"/>
                <w:lang w:eastAsia="en-AU"/>
              </w:rPr>
            </w:pPr>
            <w:r w:rsidRPr="005D1721">
              <w:rPr>
                <w:rFonts w:cs="Arial"/>
                <w:sz w:val="16"/>
                <w:szCs w:val="20"/>
                <w:lang w:eastAsia="en-AU"/>
              </w:rPr>
              <w:t>Annual</w:t>
            </w:r>
            <w:r w:rsidR="00D561CD">
              <w:rPr>
                <w:rFonts w:cs="Arial"/>
                <w:sz w:val="16"/>
                <w:szCs w:val="20"/>
                <w:lang w:eastAsia="en-AU"/>
              </w:rPr>
              <w:br/>
            </w:r>
            <w:r w:rsidRPr="005D1721">
              <w:rPr>
                <w:rFonts w:cs="Arial"/>
                <w:sz w:val="16"/>
                <w:szCs w:val="20"/>
                <w:lang w:eastAsia="en-AU"/>
              </w:rPr>
              <w:t>% Change</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86" w:type="dxa"/>
            <w:tcBorders>
              <w:top w:val="single" w:sz="2" w:space="0" w:color="9DAECB"/>
              <w:bottom w:val="single" w:sz="12" w:space="0" w:color="9DAECB"/>
            </w:tcBorders>
            <w:noWrap/>
            <w:vAlign w:val="bottom"/>
          </w:tcPr>
          <w:p w:rsidR="0047763C" w:rsidRPr="005D1721" w:rsidRDefault="005D1721" w:rsidP="00D561CD">
            <w:pPr>
              <w:jc w:val="right"/>
              <w:rPr>
                <w:rFonts w:cs="Arial"/>
                <w:sz w:val="16"/>
                <w:szCs w:val="20"/>
                <w:lang w:eastAsia="en-AU"/>
              </w:rPr>
            </w:pPr>
            <w:r w:rsidRPr="005D1721">
              <w:rPr>
                <w:rFonts w:cs="Arial"/>
                <w:sz w:val="16"/>
                <w:szCs w:val="20"/>
                <w:lang w:eastAsia="en-AU"/>
              </w:rPr>
              <w:t>Annual</w:t>
            </w:r>
            <w:r w:rsidR="00D561CD">
              <w:rPr>
                <w:rFonts w:cs="Arial"/>
                <w:sz w:val="16"/>
                <w:szCs w:val="20"/>
                <w:lang w:eastAsia="en-AU"/>
              </w:rPr>
              <w:br/>
            </w:r>
            <w:r w:rsidRPr="005D1721">
              <w:rPr>
                <w:rFonts w:cs="Arial"/>
                <w:sz w:val="16"/>
                <w:szCs w:val="20"/>
                <w:lang w:eastAsia="en-AU"/>
              </w:rPr>
              <w:t>% Change</w:t>
            </w:r>
          </w:p>
        </w:tc>
      </w:tr>
      <w:tr w:rsidR="005623AB" w:rsidRPr="005623AB" w:rsidTr="006B16D8">
        <w:tc>
          <w:tcPr>
            <w:tcW w:w="15276" w:type="dxa"/>
            <w:gridSpan w:val="13"/>
            <w:tcBorders>
              <w:top w:val="single" w:sz="12" w:space="0" w:color="9DAECB"/>
            </w:tcBorders>
            <w:shd w:val="clear" w:color="auto" w:fill="FFFFFF"/>
            <w:noWrap/>
            <w:vAlign w:val="center"/>
          </w:tcPr>
          <w:p w:rsidR="0047763C" w:rsidRPr="005623AB" w:rsidRDefault="0047763C" w:rsidP="005D1721">
            <w:pPr>
              <w:spacing w:before="240" w:after="20"/>
              <w:rPr>
                <w:rFonts w:cs="Arial"/>
                <w:sz w:val="20"/>
                <w:szCs w:val="20"/>
                <w:lang w:eastAsia="en-AU"/>
              </w:rPr>
            </w:pPr>
            <w:r w:rsidRPr="005623AB">
              <w:rPr>
                <w:rFonts w:cs="Arial"/>
                <w:b/>
                <w:bCs/>
                <w:sz w:val="20"/>
                <w:szCs w:val="20"/>
                <w:lang w:eastAsia="en-AU"/>
              </w:rPr>
              <w:t>Inner Melbourne</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Albert Park-Middle Park-West St Kilda</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277</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$320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225</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$450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124</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$640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9.4%</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128</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$878</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10.4%</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Armadale</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156</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$310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317</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$395</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1.3%</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42</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$600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9.1%</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48</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$825</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-2.9%</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Carlton North</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67</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$330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3.1%</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110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$425</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-0.7%</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111</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$530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66</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$673</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0.4%</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Carlton-Parkville</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3,016</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$330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0.3%</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1,515</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$480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4.3%</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47</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$550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12.2%</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53</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$700</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CBD-St Kilda Rd</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5,165</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$380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4,271</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$530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1.9%</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Collingwood-Abbotsford</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708</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$370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2.8%</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690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$495</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3.1%</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121</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$530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1.9%</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72</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$675</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3.8%</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Docklands</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585</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$430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3.9%</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853</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$550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3.8%</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East Melbourne</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206</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$370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2.8%</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193</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$510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12</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$619</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-9.6%</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17</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$1,000</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15.9%</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East St Kilda</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551</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$300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3.4%</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856</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$390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2.6%</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67</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$570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3.6%</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68</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$695</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3.0%</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Elwood</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569</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$310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3.3%</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943</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$425</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3.7%</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23</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$600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4.3%</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68</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$793</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-0.9%</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Fitzroy</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203</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$360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5.9%</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208</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$540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3.8%</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59</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$590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3.9%</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53</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$750</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4.2%</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Fitzroy North-Clifton Hill</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242</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$313</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-2.2%</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286</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$453</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3.4%</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159</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$540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3.8%</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131</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$699</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2.8%</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Flemington-Kensington</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306</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$320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3.2%</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630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$380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212</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$465</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4.5%</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175</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$575</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6.5%</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North Melbourne-West Melbourne</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1,120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$311</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3.7%</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760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$445</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-1.1%</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85</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$490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0.4%</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74</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$625</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0.6%</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Port Melbourne</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343</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$420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2.4%</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586</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$570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3.6%</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123</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$530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127</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$800</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3.2%</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Prahran-Windsor</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1,204</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$320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5.3%</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797</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$450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2.3%</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204</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$560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1.8%</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166</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$705</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4.4%</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Richmond-Burnley</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887</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$360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848</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360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$560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1.8%</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232</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$700</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1.4%</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South Melbourne</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366</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$390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425</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$515</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95</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$550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58</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$800</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6.7%</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South Yarra</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1,800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$360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2.9%</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1,552</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110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$600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0.8%</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99</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$850</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6.3%</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Southbank</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965</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$425</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2.4%</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1,470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$550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1.9%</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St Kilda</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1,400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$330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1,200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$430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1.2%</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51</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$595</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12.3%</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49</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$670</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1.5%</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Toorak</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184</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$310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3.3%</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320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$450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13</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$510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-6.4%</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44</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$898</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-5.5%</w:t>
            </w:r>
          </w:p>
        </w:tc>
      </w:tr>
      <w:tr w:rsidR="005540A2" w:rsidRPr="003F4B94" w:rsidTr="003F4B94">
        <w:trPr>
          <w:trHeight w:val="567"/>
        </w:trPr>
        <w:tc>
          <w:tcPr>
            <w:tcW w:w="3686" w:type="dxa"/>
            <w:noWrap/>
            <w:vAlign w:val="center"/>
          </w:tcPr>
          <w:p w:rsidR="005540A2" w:rsidRPr="003F4B94" w:rsidRDefault="005540A2" w:rsidP="003F4B94">
            <w:pPr>
              <w:spacing w:beforeLines="20" w:before="48" w:afterLines="20" w:after="48"/>
              <w:jc w:val="right"/>
              <w:rPr>
                <w:rFonts w:cs="Arial"/>
                <w:b/>
                <w:i/>
                <w:sz w:val="20"/>
                <w:szCs w:val="20"/>
                <w:lang w:eastAsia="en-AU"/>
              </w:rPr>
            </w:pPr>
            <w:r w:rsidRPr="003F4B94">
              <w:rPr>
                <w:rFonts w:cs="Arial"/>
                <w:b/>
                <w:bCs/>
                <w:i/>
                <w:sz w:val="20"/>
                <w:szCs w:val="20"/>
                <w:lang w:eastAsia="en-AU"/>
              </w:rPr>
              <w:t>Inner Melbourne - Total</w:t>
            </w:r>
          </w:p>
        </w:tc>
        <w:tc>
          <w:tcPr>
            <w:tcW w:w="964" w:type="dxa"/>
            <w:shd w:val="clear" w:color="auto" w:fill="DEE4EE"/>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20,320</w:t>
            </w:r>
          </w:p>
        </w:tc>
        <w:tc>
          <w:tcPr>
            <w:tcW w:w="964" w:type="dxa"/>
            <w:shd w:val="clear" w:color="auto" w:fill="DEE4EE"/>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$355</w:t>
            </w:r>
          </w:p>
        </w:tc>
        <w:tc>
          <w:tcPr>
            <w:tcW w:w="964" w:type="dxa"/>
            <w:shd w:val="clear" w:color="auto" w:fill="DEE4EE"/>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1.4%</w:t>
            </w:r>
          </w:p>
        </w:tc>
        <w:tc>
          <w:tcPr>
            <w:tcW w:w="964" w:type="dxa"/>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19,055</w:t>
            </w:r>
          </w:p>
        </w:tc>
        <w:tc>
          <w:tcPr>
            <w:tcW w:w="964" w:type="dxa"/>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$495</w:t>
            </w:r>
          </w:p>
        </w:tc>
        <w:tc>
          <w:tcPr>
            <w:tcW w:w="964" w:type="dxa"/>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3.1%</w:t>
            </w:r>
          </w:p>
        </w:tc>
        <w:tc>
          <w:tcPr>
            <w:tcW w:w="964" w:type="dxa"/>
            <w:shd w:val="clear" w:color="auto" w:fill="DEE4EE"/>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2,034</w:t>
            </w:r>
          </w:p>
        </w:tc>
        <w:tc>
          <w:tcPr>
            <w:tcW w:w="964" w:type="dxa"/>
            <w:shd w:val="clear" w:color="auto" w:fill="DEE4EE"/>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$550</w:t>
            </w:r>
          </w:p>
        </w:tc>
        <w:tc>
          <w:tcPr>
            <w:tcW w:w="964" w:type="dxa"/>
            <w:shd w:val="clear" w:color="auto" w:fill="DEE4EE"/>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2.8%</w:t>
            </w:r>
          </w:p>
        </w:tc>
        <w:tc>
          <w:tcPr>
            <w:tcW w:w="964" w:type="dxa"/>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1,737</w:t>
            </w:r>
          </w:p>
        </w:tc>
        <w:tc>
          <w:tcPr>
            <w:tcW w:w="964" w:type="dxa"/>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$700</w:t>
            </w:r>
          </w:p>
        </w:tc>
        <w:tc>
          <w:tcPr>
            <w:tcW w:w="986" w:type="dxa"/>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0.0%</w:t>
            </w:r>
          </w:p>
        </w:tc>
      </w:tr>
      <w:tr w:rsidR="005D1721" w:rsidRPr="005E5C54" w:rsidTr="005E5C54">
        <w:tc>
          <w:tcPr>
            <w:tcW w:w="3686" w:type="dxa"/>
            <w:shd w:val="clear" w:color="auto" w:fill="auto"/>
            <w:noWrap/>
            <w:vAlign w:val="center"/>
          </w:tcPr>
          <w:p w:rsidR="005D1721" w:rsidRPr="005623AB" w:rsidRDefault="005D1721" w:rsidP="004B57AE">
            <w:pPr>
              <w:spacing w:beforeLines="20" w:before="48" w:afterLines="20" w:after="48"/>
              <w:rPr>
                <w:rFonts w:cs="Arial"/>
                <w:bCs/>
                <w:sz w:val="20"/>
                <w:szCs w:val="20"/>
                <w:lang w:eastAsia="en-AU"/>
              </w:rPr>
            </w:pPr>
          </w:p>
        </w:tc>
        <w:tc>
          <w:tcPr>
            <w:tcW w:w="964" w:type="dxa"/>
            <w:shd w:val="clear" w:color="auto" w:fill="auto"/>
            <w:noWrap/>
            <w:vAlign w:val="center"/>
          </w:tcPr>
          <w:p w:rsidR="005D1721" w:rsidRPr="005E5C54" w:rsidRDefault="005D1721" w:rsidP="005E5C54">
            <w:pPr>
              <w:spacing w:beforeLines="20" w:before="48" w:afterLines="20" w:after="48"/>
              <w:jc w:val="right"/>
              <w:rPr>
                <w:rFonts w:cs="Arial"/>
                <w:sz w:val="20"/>
                <w:szCs w:val="20"/>
              </w:rPr>
            </w:pPr>
          </w:p>
        </w:tc>
        <w:tc>
          <w:tcPr>
            <w:tcW w:w="964" w:type="dxa"/>
            <w:shd w:val="clear" w:color="auto" w:fill="auto"/>
            <w:noWrap/>
            <w:vAlign w:val="center"/>
          </w:tcPr>
          <w:p w:rsidR="005D1721" w:rsidRPr="005E5C54" w:rsidRDefault="005D1721" w:rsidP="005E5C54">
            <w:pPr>
              <w:spacing w:beforeLines="20" w:before="48" w:afterLines="20" w:after="48"/>
              <w:jc w:val="right"/>
              <w:rPr>
                <w:rFonts w:cs="Arial"/>
                <w:sz w:val="20"/>
                <w:szCs w:val="20"/>
              </w:rPr>
            </w:pPr>
          </w:p>
        </w:tc>
        <w:tc>
          <w:tcPr>
            <w:tcW w:w="964" w:type="dxa"/>
            <w:shd w:val="clear" w:color="auto" w:fill="auto"/>
            <w:noWrap/>
            <w:vAlign w:val="center"/>
          </w:tcPr>
          <w:p w:rsidR="005D1721" w:rsidRPr="005E5C54" w:rsidRDefault="005D1721" w:rsidP="005E5C54">
            <w:pPr>
              <w:spacing w:beforeLines="20" w:before="48" w:afterLines="20" w:after="48"/>
              <w:jc w:val="right"/>
              <w:rPr>
                <w:rFonts w:cs="Arial"/>
                <w:sz w:val="20"/>
                <w:szCs w:val="20"/>
              </w:rPr>
            </w:pPr>
          </w:p>
        </w:tc>
        <w:tc>
          <w:tcPr>
            <w:tcW w:w="964" w:type="dxa"/>
            <w:shd w:val="clear" w:color="auto" w:fill="auto"/>
            <w:noWrap/>
            <w:vAlign w:val="center"/>
          </w:tcPr>
          <w:p w:rsidR="005D1721" w:rsidRPr="005E5C54" w:rsidRDefault="005D1721" w:rsidP="005E5C54">
            <w:pPr>
              <w:spacing w:beforeLines="20" w:before="48" w:afterLines="20" w:after="48"/>
              <w:jc w:val="right"/>
              <w:rPr>
                <w:rFonts w:cs="Arial"/>
                <w:sz w:val="20"/>
                <w:szCs w:val="20"/>
              </w:rPr>
            </w:pPr>
          </w:p>
        </w:tc>
        <w:tc>
          <w:tcPr>
            <w:tcW w:w="964" w:type="dxa"/>
            <w:shd w:val="clear" w:color="auto" w:fill="auto"/>
            <w:noWrap/>
            <w:vAlign w:val="center"/>
          </w:tcPr>
          <w:p w:rsidR="005D1721" w:rsidRPr="005E5C54" w:rsidRDefault="005D1721" w:rsidP="005E5C54">
            <w:pPr>
              <w:spacing w:beforeLines="20" w:before="48" w:afterLines="20" w:after="48"/>
              <w:jc w:val="right"/>
              <w:rPr>
                <w:rFonts w:cs="Arial"/>
                <w:sz w:val="20"/>
                <w:szCs w:val="20"/>
              </w:rPr>
            </w:pPr>
          </w:p>
        </w:tc>
        <w:tc>
          <w:tcPr>
            <w:tcW w:w="964" w:type="dxa"/>
            <w:shd w:val="clear" w:color="auto" w:fill="auto"/>
            <w:noWrap/>
            <w:vAlign w:val="center"/>
          </w:tcPr>
          <w:p w:rsidR="005D1721" w:rsidRPr="005E5C54" w:rsidRDefault="005D1721" w:rsidP="005E5C54">
            <w:pPr>
              <w:spacing w:beforeLines="20" w:before="48" w:afterLines="20" w:after="48"/>
              <w:jc w:val="right"/>
              <w:rPr>
                <w:rFonts w:cs="Arial"/>
                <w:sz w:val="20"/>
                <w:szCs w:val="20"/>
              </w:rPr>
            </w:pPr>
          </w:p>
        </w:tc>
        <w:tc>
          <w:tcPr>
            <w:tcW w:w="964" w:type="dxa"/>
            <w:shd w:val="clear" w:color="auto" w:fill="auto"/>
            <w:noWrap/>
            <w:vAlign w:val="center"/>
          </w:tcPr>
          <w:p w:rsidR="005D1721" w:rsidRPr="005E5C54" w:rsidRDefault="005D1721" w:rsidP="005E5C54">
            <w:pPr>
              <w:spacing w:beforeLines="20" w:before="48" w:afterLines="20" w:after="48"/>
              <w:jc w:val="right"/>
              <w:rPr>
                <w:rFonts w:cs="Arial"/>
                <w:sz w:val="20"/>
                <w:szCs w:val="20"/>
              </w:rPr>
            </w:pPr>
          </w:p>
        </w:tc>
        <w:tc>
          <w:tcPr>
            <w:tcW w:w="964" w:type="dxa"/>
            <w:shd w:val="clear" w:color="auto" w:fill="auto"/>
            <w:noWrap/>
            <w:vAlign w:val="center"/>
          </w:tcPr>
          <w:p w:rsidR="005D1721" w:rsidRPr="005E5C54" w:rsidRDefault="005D1721" w:rsidP="005E5C54">
            <w:pPr>
              <w:spacing w:beforeLines="20" w:before="48" w:afterLines="20" w:after="48"/>
              <w:jc w:val="right"/>
              <w:rPr>
                <w:rFonts w:cs="Arial"/>
                <w:sz w:val="20"/>
                <w:szCs w:val="20"/>
              </w:rPr>
            </w:pPr>
          </w:p>
        </w:tc>
        <w:tc>
          <w:tcPr>
            <w:tcW w:w="964" w:type="dxa"/>
            <w:shd w:val="clear" w:color="auto" w:fill="auto"/>
            <w:noWrap/>
            <w:vAlign w:val="center"/>
          </w:tcPr>
          <w:p w:rsidR="005D1721" w:rsidRPr="005E5C54" w:rsidRDefault="005D1721" w:rsidP="005E5C54">
            <w:pPr>
              <w:spacing w:beforeLines="20" w:before="48" w:afterLines="20" w:after="48"/>
              <w:jc w:val="right"/>
              <w:rPr>
                <w:rFonts w:cs="Arial"/>
                <w:sz w:val="20"/>
                <w:szCs w:val="20"/>
              </w:rPr>
            </w:pPr>
          </w:p>
        </w:tc>
        <w:tc>
          <w:tcPr>
            <w:tcW w:w="964" w:type="dxa"/>
            <w:shd w:val="clear" w:color="auto" w:fill="auto"/>
            <w:noWrap/>
            <w:vAlign w:val="center"/>
          </w:tcPr>
          <w:p w:rsidR="005D1721" w:rsidRPr="005E5C54" w:rsidRDefault="005D1721" w:rsidP="005E5C54">
            <w:pPr>
              <w:spacing w:beforeLines="20" w:before="48" w:afterLines="20" w:after="48"/>
              <w:jc w:val="right"/>
              <w:rPr>
                <w:rFonts w:cs="Arial"/>
                <w:sz w:val="20"/>
                <w:szCs w:val="20"/>
              </w:rPr>
            </w:pPr>
          </w:p>
        </w:tc>
        <w:tc>
          <w:tcPr>
            <w:tcW w:w="964" w:type="dxa"/>
            <w:shd w:val="clear" w:color="auto" w:fill="auto"/>
            <w:noWrap/>
            <w:vAlign w:val="center"/>
          </w:tcPr>
          <w:p w:rsidR="005D1721" w:rsidRPr="005E5C54" w:rsidRDefault="005D1721" w:rsidP="005E5C54">
            <w:pPr>
              <w:spacing w:beforeLines="20" w:before="48" w:afterLines="20" w:after="48"/>
              <w:jc w:val="right"/>
              <w:rPr>
                <w:rFonts w:cs="Arial"/>
                <w:sz w:val="20"/>
                <w:szCs w:val="20"/>
              </w:rPr>
            </w:pPr>
          </w:p>
        </w:tc>
        <w:tc>
          <w:tcPr>
            <w:tcW w:w="986" w:type="dxa"/>
            <w:shd w:val="clear" w:color="auto" w:fill="auto"/>
            <w:noWrap/>
            <w:vAlign w:val="center"/>
          </w:tcPr>
          <w:p w:rsidR="005D1721" w:rsidRPr="005E5C54" w:rsidRDefault="005D1721" w:rsidP="005E5C54">
            <w:pPr>
              <w:spacing w:beforeLines="20" w:before="48" w:afterLines="20" w:after="48"/>
              <w:jc w:val="right"/>
              <w:rPr>
                <w:rFonts w:cs="Arial"/>
                <w:sz w:val="20"/>
                <w:szCs w:val="20"/>
              </w:rPr>
            </w:pPr>
          </w:p>
        </w:tc>
      </w:tr>
      <w:tr w:rsidR="005623AB" w:rsidRPr="005E5C54" w:rsidTr="005E5C54">
        <w:tc>
          <w:tcPr>
            <w:tcW w:w="15276" w:type="dxa"/>
            <w:gridSpan w:val="13"/>
            <w:shd w:val="clear" w:color="auto" w:fill="FFFFFF"/>
            <w:noWrap/>
            <w:vAlign w:val="center"/>
          </w:tcPr>
          <w:p w:rsidR="0047763C" w:rsidRPr="005E5C54" w:rsidRDefault="0047763C" w:rsidP="005E5C54">
            <w:pPr>
              <w:spacing w:before="240" w:after="20"/>
              <w:rPr>
                <w:rFonts w:cs="Arial"/>
                <w:sz w:val="20"/>
                <w:szCs w:val="20"/>
                <w:lang w:eastAsia="en-AU"/>
              </w:rPr>
            </w:pPr>
            <w:r w:rsidRPr="005E5C54">
              <w:rPr>
                <w:rFonts w:cs="Arial"/>
                <w:b/>
                <w:bCs/>
                <w:sz w:val="20"/>
                <w:szCs w:val="20"/>
                <w:lang w:eastAsia="en-AU"/>
              </w:rPr>
              <w:lastRenderedPageBreak/>
              <w:t>Inner Eastern Melbourne</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Balwyn</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38</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$350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16.7%</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276</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$390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2.6%</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34</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$400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3.1%</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233</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$520</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4.0%</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Blackburn</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92</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$313</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198</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$370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27</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$350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-2.8%</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269</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$400</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0.5%</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Box Hill</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432</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$230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679</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$370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4.2%</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$375</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4.2%</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284</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$440</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5.0%</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Bulleen-Templestowe-Doncaster</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111</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$350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337</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2.6%</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23</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$350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407</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$430</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2.4%</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Burwood-Ashburton</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248</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$220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196</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$398</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0.8%</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$383</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-3.8%</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276</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$440</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Camberwell-Glen Iris</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320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$325</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8.3%</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794</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1.3%</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63</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$460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-0.6%</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227</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$645</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6.6%</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Canterbury-Surrey Hills-Mont Albert</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25</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$370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328</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$395</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1.3%</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38</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$420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-5.6%</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120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$600</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4.3%</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Chadstone-Oakleigh</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95</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$335</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15.5%</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293</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$360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2.9%</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54</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$383</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6.4%</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258</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$425</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6.3%</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Clayton</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398</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$265</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10.4%</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706</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$350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$375</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8.7%</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250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$398</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4.7%</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Doncaster East-Donvale</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27</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$360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2.9%</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202</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$393</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9.2%</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17</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$380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8.6%</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259</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$430</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2.4%</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East Hawthorn</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347</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$330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455</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$410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5.1%</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$520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82</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$675</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3.8%</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Glen Waverley-Mulgrave</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78</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$365</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-1.4%</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198</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$388</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3.5%</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23</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$350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-4.1%</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679</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$420</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5.0%</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Hawthorn</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1,078</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$290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850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48</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$523</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-3.7%</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92</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$710</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9.2%</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Kew</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74</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$355</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1.4%</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503</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$400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5.3%</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53</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$520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146</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$623</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4.7%</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Mount Waverley</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19</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$295</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22.9%</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136</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$380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5.6%</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23</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$380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2.7%</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323</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$430</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2.4%</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Nunawading-Mitcham</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95</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$310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0.3%</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303</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$350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2.9%</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$370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4.2%</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245</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$395</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1.3%</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Vermont-Forest Hill-Burwood East</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127</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$350</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1.4%</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37</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$370</w:t>
            </w:r>
          </w:p>
        </w:tc>
        <w:tc>
          <w:tcPr>
            <w:tcW w:w="964" w:type="dxa"/>
            <w:shd w:val="clear" w:color="auto" w:fill="DEE4EE"/>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5.7%</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376</w:t>
            </w:r>
          </w:p>
        </w:tc>
        <w:tc>
          <w:tcPr>
            <w:tcW w:w="964"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$400</w:t>
            </w:r>
          </w:p>
        </w:tc>
        <w:tc>
          <w:tcPr>
            <w:tcW w:w="986" w:type="dxa"/>
            <w:noWrap/>
            <w:tcMar>
              <w:left w:w="0" w:type="dxa"/>
            </w:tcMar>
            <w:vAlign w:val="center"/>
          </w:tcPr>
          <w:p w:rsidR="005540A2" w:rsidRPr="005E5C54" w:rsidRDefault="005540A2" w:rsidP="005E5C54">
            <w:pPr>
              <w:jc w:val="right"/>
              <w:rPr>
                <w:rFonts w:cs="Arial"/>
                <w:sz w:val="20"/>
                <w:szCs w:val="20"/>
              </w:rPr>
            </w:pPr>
            <w:r w:rsidRPr="005E5C54">
              <w:rPr>
                <w:rFonts w:cs="Arial"/>
                <w:sz w:val="20"/>
                <w:szCs w:val="20"/>
              </w:rPr>
              <w:t>1.3%</w:t>
            </w:r>
          </w:p>
        </w:tc>
      </w:tr>
      <w:tr w:rsidR="005540A2" w:rsidRPr="003F4B94" w:rsidTr="003F4B94">
        <w:trPr>
          <w:trHeight w:val="567"/>
        </w:trPr>
        <w:tc>
          <w:tcPr>
            <w:tcW w:w="3686" w:type="dxa"/>
            <w:noWrap/>
            <w:vAlign w:val="center"/>
          </w:tcPr>
          <w:p w:rsidR="005540A2" w:rsidRPr="003F4B94" w:rsidRDefault="005540A2" w:rsidP="003F4B94">
            <w:pPr>
              <w:spacing w:beforeLines="20" w:before="48" w:afterLines="20" w:after="48"/>
              <w:jc w:val="right"/>
              <w:rPr>
                <w:rFonts w:cs="Arial"/>
                <w:b/>
                <w:i/>
                <w:sz w:val="20"/>
                <w:szCs w:val="20"/>
                <w:lang w:eastAsia="en-AU"/>
              </w:rPr>
            </w:pPr>
            <w:r w:rsidRPr="003F4B94">
              <w:rPr>
                <w:rFonts w:cs="Arial"/>
                <w:b/>
                <w:bCs/>
                <w:i/>
                <w:sz w:val="20"/>
                <w:szCs w:val="20"/>
                <w:lang w:eastAsia="en-AU"/>
              </w:rPr>
              <w:t>Inner Eastern Melbourne - Total</w:t>
            </w:r>
          </w:p>
        </w:tc>
        <w:tc>
          <w:tcPr>
            <w:tcW w:w="964" w:type="dxa"/>
            <w:shd w:val="clear" w:color="auto" w:fill="DEE4EE"/>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3,487</w:t>
            </w:r>
          </w:p>
        </w:tc>
        <w:tc>
          <w:tcPr>
            <w:tcW w:w="964" w:type="dxa"/>
            <w:shd w:val="clear" w:color="auto" w:fill="DEE4EE"/>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$295</w:t>
            </w:r>
          </w:p>
        </w:tc>
        <w:tc>
          <w:tcPr>
            <w:tcW w:w="964" w:type="dxa"/>
            <w:shd w:val="clear" w:color="auto" w:fill="DEE4EE"/>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5.4%</w:t>
            </w:r>
          </w:p>
        </w:tc>
        <w:tc>
          <w:tcPr>
            <w:tcW w:w="964" w:type="dxa"/>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6,581</w:t>
            </w:r>
          </w:p>
        </w:tc>
        <w:tc>
          <w:tcPr>
            <w:tcW w:w="964" w:type="dxa"/>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$380</w:t>
            </w:r>
          </w:p>
        </w:tc>
        <w:tc>
          <w:tcPr>
            <w:tcW w:w="964" w:type="dxa"/>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2.7%</w:t>
            </w:r>
          </w:p>
        </w:tc>
        <w:tc>
          <w:tcPr>
            <w:tcW w:w="964" w:type="dxa"/>
            <w:shd w:val="clear" w:color="auto" w:fill="DEE4EE"/>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710</w:t>
            </w:r>
          </w:p>
        </w:tc>
        <w:tc>
          <w:tcPr>
            <w:tcW w:w="964" w:type="dxa"/>
            <w:shd w:val="clear" w:color="auto" w:fill="DEE4EE"/>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$395</w:t>
            </w:r>
          </w:p>
        </w:tc>
        <w:tc>
          <w:tcPr>
            <w:tcW w:w="964" w:type="dxa"/>
            <w:shd w:val="clear" w:color="auto" w:fill="DEE4EE"/>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0.0%</w:t>
            </w:r>
          </w:p>
        </w:tc>
        <w:tc>
          <w:tcPr>
            <w:tcW w:w="964" w:type="dxa"/>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4,526</w:t>
            </w:r>
          </w:p>
        </w:tc>
        <w:tc>
          <w:tcPr>
            <w:tcW w:w="964" w:type="dxa"/>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$440</w:t>
            </w:r>
          </w:p>
        </w:tc>
        <w:tc>
          <w:tcPr>
            <w:tcW w:w="986" w:type="dxa"/>
            <w:noWrap/>
            <w:tcMar>
              <w:left w:w="0" w:type="dxa"/>
            </w:tcMar>
            <w:vAlign w:val="center"/>
          </w:tcPr>
          <w:p w:rsidR="005540A2" w:rsidRPr="003F4B94" w:rsidRDefault="005540A2" w:rsidP="005E5C54">
            <w:pPr>
              <w:jc w:val="right"/>
              <w:rPr>
                <w:rFonts w:cs="Arial"/>
                <w:b/>
                <w:i/>
                <w:sz w:val="20"/>
                <w:szCs w:val="20"/>
              </w:rPr>
            </w:pPr>
            <w:r w:rsidRPr="003F4B94">
              <w:rPr>
                <w:rFonts w:cs="Arial"/>
                <w:b/>
                <w:i/>
                <w:sz w:val="20"/>
                <w:szCs w:val="20"/>
              </w:rPr>
              <w:t>4.8%</w:t>
            </w:r>
          </w:p>
        </w:tc>
      </w:tr>
      <w:tr w:rsidR="00420985" w:rsidRPr="005E5C54" w:rsidTr="005E5C54">
        <w:tc>
          <w:tcPr>
            <w:tcW w:w="3686" w:type="dxa"/>
            <w:shd w:val="clear" w:color="auto" w:fill="auto"/>
            <w:noWrap/>
            <w:vAlign w:val="center"/>
          </w:tcPr>
          <w:p w:rsidR="00420985" w:rsidRPr="00420985" w:rsidRDefault="00420985" w:rsidP="004B57AE">
            <w:pPr>
              <w:spacing w:beforeLines="20" w:before="48" w:afterLines="20" w:after="48"/>
              <w:rPr>
                <w:rFonts w:cs="Arial"/>
                <w:bCs/>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420985" w:rsidRDefault="00420985" w:rsidP="004B57AE">
            <w:pPr>
              <w:spacing w:beforeLines="20" w:before="48" w:afterLines="20" w:after="48"/>
              <w:rPr>
                <w:rFonts w:cs="Arial"/>
                <w:bCs/>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420985" w:rsidRDefault="00420985" w:rsidP="004B57AE">
            <w:pPr>
              <w:spacing w:beforeLines="20" w:before="48" w:afterLines="20" w:after="48"/>
              <w:rPr>
                <w:rFonts w:cs="Arial"/>
                <w:bCs/>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420985" w:rsidRDefault="00420985" w:rsidP="004B57AE">
            <w:pPr>
              <w:spacing w:beforeLines="20" w:before="48" w:afterLines="20" w:after="48"/>
              <w:rPr>
                <w:rFonts w:cs="Arial"/>
                <w:bCs/>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420985" w:rsidRDefault="00420985" w:rsidP="004B57AE">
            <w:pPr>
              <w:spacing w:beforeLines="20" w:before="48" w:afterLines="20" w:after="48"/>
              <w:rPr>
                <w:rFonts w:cs="Arial"/>
                <w:bCs/>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420985" w:rsidRDefault="00420985" w:rsidP="004B57AE">
            <w:pPr>
              <w:spacing w:beforeLines="20" w:before="48" w:afterLines="20" w:after="48"/>
              <w:rPr>
                <w:rFonts w:cs="Arial"/>
                <w:bCs/>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5623AB" w:rsidRPr="005E5C54" w:rsidTr="005E5C54">
        <w:tc>
          <w:tcPr>
            <w:tcW w:w="15276" w:type="dxa"/>
            <w:gridSpan w:val="13"/>
            <w:shd w:val="clear" w:color="auto" w:fill="FFFFFF"/>
            <w:noWrap/>
            <w:vAlign w:val="center"/>
          </w:tcPr>
          <w:p w:rsidR="0047763C" w:rsidRPr="005E5C54" w:rsidRDefault="0047763C" w:rsidP="005E5C54">
            <w:pPr>
              <w:spacing w:before="240" w:after="20"/>
              <w:rPr>
                <w:rFonts w:cs="Arial"/>
                <w:sz w:val="20"/>
                <w:szCs w:val="20"/>
                <w:lang w:eastAsia="en-AU"/>
              </w:rPr>
            </w:pPr>
            <w:r w:rsidRPr="005E5C54">
              <w:rPr>
                <w:rFonts w:cs="Arial"/>
                <w:b/>
                <w:bCs/>
                <w:sz w:val="20"/>
                <w:szCs w:val="20"/>
                <w:lang w:eastAsia="en-AU"/>
              </w:rPr>
              <w:lastRenderedPageBreak/>
              <w:t>Southern Melbourne</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Aspendale-Chelsea-Carrum</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71</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$275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555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$340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72</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$350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2.9%</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321</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$420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2.4%</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Bentleigh</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175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$265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1.9%</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584</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$370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2.8%</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116</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$400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544</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$490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3.2%</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Brighton</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51</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$340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305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38</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$490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-7.2%</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116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$813</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1.6%</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Brighton East</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67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$420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2.4%</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28</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$500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11.1%</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105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$650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3.2%</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Carnegie</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370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$270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512</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$385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4.1%</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38</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$443</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11.6%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81</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$495</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-1.8%</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Caulfield</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483</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$270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775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2.6%</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71</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$450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2.3%</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175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$635</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5.8%</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Cheltenham</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113</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$320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8.5%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604</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$360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2.9%</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79</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$400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1.3%</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394</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$480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4.3%</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Elsternwick</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193</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$295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310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14</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$535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12.6%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$625</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-2.3%</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Hampton-Beaumaris</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192</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$310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444</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$425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2.9%</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48</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$463</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0.7%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206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$695</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6.9%</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Malvern</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109</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$330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3.1%</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186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$428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7.0%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24</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$580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52</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$770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11.9%</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Malvern East</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362</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$265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1.9%</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326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$395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3.9%</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$468</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5.2%</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140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$575</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6.5%</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Mentone-Parkdale-Mordialloc</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277</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$275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625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$360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2.9%</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$420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7.7%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202</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$500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0.6%</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Murrumbeena-Hughesdale</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261</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$270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329</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$395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6.8%</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36</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$415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6.4%</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97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$465</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3.3%</w:t>
            </w:r>
          </w:p>
        </w:tc>
      </w:tr>
      <w:tr w:rsidR="005540A2" w:rsidRPr="003F4B94" w:rsidTr="003F4B94">
        <w:trPr>
          <w:trHeight w:val="567"/>
        </w:trPr>
        <w:tc>
          <w:tcPr>
            <w:tcW w:w="3686" w:type="dxa"/>
            <w:noWrap/>
            <w:vAlign w:val="center"/>
          </w:tcPr>
          <w:p w:rsidR="005540A2" w:rsidRPr="003F4B94" w:rsidRDefault="005540A2" w:rsidP="003F4B94">
            <w:pPr>
              <w:spacing w:beforeLines="20" w:before="48" w:afterLines="20" w:after="48"/>
              <w:jc w:val="right"/>
              <w:rPr>
                <w:rFonts w:cs="Arial"/>
                <w:b/>
                <w:bCs/>
                <w:i/>
                <w:sz w:val="20"/>
                <w:szCs w:val="20"/>
                <w:lang w:eastAsia="en-AU"/>
              </w:rPr>
            </w:pPr>
            <w:r w:rsidRPr="003F4B94">
              <w:rPr>
                <w:rFonts w:cs="Arial"/>
                <w:b/>
                <w:bCs/>
                <w:i/>
                <w:sz w:val="20"/>
                <w:szCs w:val="20"/>
                <w:lang w:eastAsia="en-AU"/>
              </w:rPr>
              <w:t>Southern Melbourne - Total</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2,667</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$280</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3.7%</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5,622</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$380</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2.7%</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639</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$430</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0.0%</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2,489</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$520</w:t>
            </w:r>
          </w:p>
        </w:tc>
        <w:tc>
          <w:tcPr>
            <w:tcW w:w="986" w:type="dxa"/>
            <w:noWrap/>
            <w:vAlign w:val="center"/>
          </w:tcPr>
          <w:p w:rsidR="005540A2" w:rsidRPr="003F4B94" w:rsidRDefault="005540A2" w:rsidP="005E5C54">
            <w:pPr>
              <w:jc w:val="right"/>
              <w:rPr>
                <w:rFonts w:cs="Arial"/>
                <w:b/>
                <w:i/>
                <w:sz w:val="20"/>
                <w:szCs w:val="20"/>
              </w:rPr>
            </w:pPr>
            <w:r w:rsidRPr="003F4B94">
              <w:rPr>
                <w:rFonts w:cs="Arial"/>
                <w:b/>
                <w:i/>
                <w:sz w:val="20"/>
                <w:szCs w:val="20"/>
              </w:rPr>
              <w:t>4.0%</w:t>
            </w: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5623AB" w:rsidRPr="005E5C54" w:rsidTr="005E5C54">
        <w:tc>
          <w:tcPr>
            <w:tcW w:w="15276" w:type="dxa"/>
            <w:gridSpan w:val="13"/>
            <w:noWrap/>
            <w:vAlign w:val="center"/>
          </w:tcPr>
          <w:p w:rsidR="0047763C" w:rsidRPr="005E5C54" w:rsidRDefault="0047763C" w:rsidP="005E5C54">
            <w:pPr>
              <w:spacing w:before="240" w:after="20"/>
              <w:rPr>
                <w:rFonts w:cs="Arial"/>
                <w:sz w:val="20"/>
                <w:szCs w:val="20"/>
                <w:lang w:eastAsia="en-AU"/>
              </w:rPr>
            </w:pPr>
            <w:r w:rsidRPr="005E5C54">
              <w:rPr>
                <w:rFonts w:cs="Arial"/>
                <w:b/>
                <w:bCs/>
                <w:sz w:val="20"/>
                <w:szCs w:val="20"/>
                <w:lang w:eastAsia="en-AU"/>
              </w:rPr>
              <w:t>Outer Western Melbourne</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Altona</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81</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$250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4.2%</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621</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$305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140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$320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4.9%</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1,400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$350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2.9%</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Footscray</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422</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$240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4.3%</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474</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$340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4.9%</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130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$380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146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$420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5.5%</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Keilor East-Avondale Heights</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124</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$300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4.2%</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355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$360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2.9%</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51</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$360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4.3%</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408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$385</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4.1%</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Melton</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38</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$314</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4.3%</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117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$240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2.1%</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24</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$268</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9.4%</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906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$280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3.7%</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Newport-Spotswood</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73</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$260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8.3%</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140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$335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93</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$415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6.4%</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223</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$485</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7.1%</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St Albans-Deer Park</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$200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351</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$270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63</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$280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959</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$320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6.7%</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Sunshine</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160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$210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332</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$278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6.9%</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76</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$288</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2.9%</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602</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$320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3.2%</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Sydenham</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178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$330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3.1%</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44</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$330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3.1%</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936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$358</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2.3%</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Werribee-Hoppers Crossing</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46</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$255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10.9%</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535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$265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1.9%</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112</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$280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2,006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$310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3.3%</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West Footscray</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217</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$250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447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$328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128</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$340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325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$370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4.5%</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Williamstown</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53</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$280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142</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$350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6.1%</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65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$460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145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$580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5.5%</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Yarraville-Seddon</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152</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$250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0.8%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311</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$330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207</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$440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2.3%</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358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$485</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7.8%</w:t>
            </w:r>
          </w:p>
        </w:tc>
      </w:tr>
      <w:tr w:rsidR="005540A2" w:rsidRPr="003F4B94" w:rsidTr="003F4B94">
        <w:trPr>
          <w:trHeight w:val="567"/>
        </w:trPr>
        <w:tc>
          <w:tcPr>
            <w:tcW w:w="3686" w:type="dxa"/>
            <w:noWrap/>
            <w:vAlign w:val="center"/>
          </w:tcPr>
          <w:p w:rsidR="005540A2" w:rsidRPr="003F4B94" w:rsidRDefault="005540A2" w:rsidP="003F4B94">
            <w:pPr>
              <w:spacing w:beforeLines="20" w:before="48" w:afterLines="20" w:after="48"/>
              <w:jc w:val="right"/>
              <w:rPr>
                <w:rFonts w:cs="Arial"/>
                <w:b/>
                <w:bCs/>
                <w:i/>
                <w:sz w:val="20"/>
                <w:szCs w:val="20"/>
                <w:lang w:eastAsia="en-AU"/>
              </w:rPr>
            </w:pPr>
            <w:r w:rsidRPr="003F4B94">
              <w:rPr>
                <w:rFonts w:cs="Arial"/>
                <w:b/>
                <w:bCs/>
                <w:i/>
                <w:sz w:val="20"/>
                <w:szCs w:val="20"/>
                <w:lang w:eastAsia="en-AU"/>
              </w:rPr>
              <w:t>Outer Western Melbourne - Total</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1,426</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$250</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4.2%</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4,003</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$300</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0.0%</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1,133</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$350</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6.1%</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8,414</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$330</w:t>
            </w:r>
          </w:p>
        </w:tc>
        <w:tc>
          <w:tcPr>
            <w:tcW w:w="986" w:type="dxa"/>
            <w:noWrap/>
            <w:vAlign w:val="center"/>
          </w:tcPr>
          <w:p w:rsidR="005540A2" w:rsidRPr="003F4B94" w:rsidRDefault="005540A2" w:rsidP="005E5C54">
            <w:pPr>
              <w:jc w:val="right"/>
              <w:rPr>
                <w:rFonts w:cs="Arial"/>
                <w:b/>
                <w:i/>
                <w:sz w:val="20"/>
                <w:szCs w:val="20"/>
              </w:rPr>
            </w:pPr>
            <w:r w:rsidRPr="003F4B94">
              <w:rPr>
                <w:rFonts w:cs="Arial"/>
                <w:b/>
                <w:i/>
                <w:sz w:val="20"/>
                <w:szCs w:val="20"/>
              </w:rPr>
              <w:t>3.1%</w:t>
            </w:r>
          </w:p>
        </w:tc>
      </w:tr>
      <w:tr w:rsidR="005623AB" w:rsidRPr="005E5C54" w:rsidTr="005E5C54">
        <w:tc>
          <w:tcPr>
            <w:tcW w:w="3686" w:type="dxa"/>
            <w:noWrap/>
            <w:vAlign w:val="center"/>
          </w:tcPr>
          <w:p w:rsidR="0047763C" w:rsidRPr="005623AB" w:rsidRDefault="0047763C" w:rsidP="004B57AE">
            <w:pPr>
              <w:spacing w:beforeLines="20" w:before="48" w:afterLines="20" w:after="48"/>
              <w:rPr>
                <w:rFonts w:cs="Arial"/>
                <w:b/>
                <w:bCs/>
                <w:i/>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86" w:type="dxa"/>
            <w:noWrap/>
            <w:vAlign w:val="center"/>
          </w:tcPr>
          <w:p w:rsidR="0047763C" w:rsidRPr="005E5C54" w:rsidRDefault="0047763C" w:rsidP="005E5C54">
            <w:pPr>
              <w:spacing w:beforeLines="20" w:before="48" w:afterLines="20" w:after="48"/>
              <w:jc w:val="right"/>
              <w:rPr>
                <w:rFonts w:cs="Arial"/>
                <w:sz w:val="20"/>
                <w:szCs w:val="20"/>
                <w:lang w:eastAsia="en-AU"/>
              </w:rPr>
            </w:pPr>
          </w:p>
        </w:tc>
      </w:tr>
      <w:tr w:rsidR="005623AB" w:rsidRPr="005E5C54" w:rsidTr="005E5C54">
        <w:tc>
          <w:tcPr>
            <w:tcW w:w="3686" w:type="dxa"/>
            <w:noWrap/>
            <w:vAlign w:val="center"/>
          </w:tcPr>
          <w:p w:rsidR="0047763C" w:rsidRPr="005623AB" w:rsidRDefault="0047763C" w:rsidP="004B57AE">
            <w:pPr>
              <w:spacing w:beforeLines="20" w:before="48" w:afterLines="20" w:after="48"/>
              <w:rPr>
                <w:rFonts w:cs="Arial"/>
                <w:b/>
                <w:bCs/>
                <w:i/>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86" w:type="dxa"/>
            <w:noWrap/>
            <w:vAlign w:val="center"/>
          </w:tcPr>
          <w:p w:rsidR="0047763C" w:rsidRPr="005E5C54" w:rsidRDefault="0047763C" w:rsidP="005E5C54">
            <w:pPr>
              <w:spacing w:beforeLines="20" w:before="48" w:afterLines="20" w:after="48"/>
              <w:jc w:val="right"/>
              <w:rPr>
                <w:rFonts w:cs="Arial"/>
                <w:sz w:val="20"/>
                <w:szCs w:val="20"/>
                <w:lang w:eastAsia="en-AU"/>
              </w:rPr>
            </w:pPr>
          </w:p>
        </w:tc>
      </w:tr>
      <w:tr w:rsidR="005623AB" w:rsidRPr="005E5C54" w:rsidTr="005E5C54">
        <w:tc>
          <w:tcPr>
            <w:tcW w:w="3686" w:type="dxa"/>
            <w:noWrap/>
            <w:vAlign w:val="center"/>
          </w:tcPr>
          <w:p w:rsidR="0047763C" w:rsidRPr="005623AB" w:rsidRDefault="0047763C" w:rsidP="004B57AE">
            <w:pPr>
              <w:spacing w:beforeLines="20" w:before="48" w:afterLines="20" w:after="48"/>
              <w:rPr>
                <w:rFonts w:cs="Arial"/>
                <w:b/>
                <w:bCs/>
                <w:i/>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86" w:type="dxa"/>
            <w:noWrap/>
            <w:vAlign w:val="center"/>
          </w:tcPr>
          <w:p w:rsidR="0047763C" w:rsidRPr="005E5C54" w:rsidRDefault="0047763C" w:rsidP="005E5C54">
            <w:pPr>
              <w:spacing w:beforeLines="20" w:before="48" w:afterLines="20" w:after="48"/>
              <w:jc w:val="right"/>
              <w:rPr>
                <w:rFonts w:cs="Arial"/>
                <w:sz w:val="20"/>
                <w:szCs w:val="20"/>
                <w:lang w:eastAsia="en-AU"/>
              </w:rPr>
            </w:pPr>
          </w:p>
        </w:tc>
      </w:tr>
      <w:tr w:rsidR="00420985" w:rsidRPr="005E5C54" w:rsidTr="005E5C54">
        <w:tc>
          <w:tcPr>
            <w:tcW w:w="3686" w:type="dxa"/>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86" w:type="dxa"/>
            <w:noWrap/>
            <w:vAlign w:val="center"/>
          </w:tcPr>
          <w:p w:rsidR="00420985" w:rsidRPr="005E5C54" w:rsidRDefault="00420985" w:rsidP="005E5C54">
            <w:pPr>
              <w:spacing w:beforeLines="20" w:before="48" w:afterLines="20" w:after="48"/>
              <w:jc w:val="right"/>
              <w:rPr>
                <w:rFonts w:cs="Arial"/>
                <w:sz w:val="20"/>
                <w:szCs w:val="20"/>
                <w:lang w:eastAsia="en-AU"/>
              </w:rPr>
            </w:pPr>
          </w:p>
        </w:tc>
      </w:tr>
      <w:tr w:rsidR="00420985" w:rsidRPr="005E5C54" w:rsidTr="005E5C54">
        <w:tc>
          <w:tcPr>
            <w:tcW w:w="3686" w:type="dxa"/>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86" w:type="dxa"/>
            <w:noWrap/>
            <w:vAlign w:val="center"/>
          </w:tcPr>
          <w:p w:rsidR="00420985" w:rsidRPr="005E5C54" w:rsidRDefault="00420985" w:rsidP="005E5C54">
            <w:pPr>
              <w:spacing w:beforeLines="20" w:before="48" w:afterLines="20" w:after="48"/>
              <w:jc w:val="right"/>
              <w:rPr>
                <w:rFonts w:cs="Arial"/>
                <w:sz w:val="20"/>
                <w:szCs w:val="20"/>
                <w:lang w:eastAsia="en-AU"/>
              </w:rPr>
            </w:pPr>
          </w:p>
        </w:tc>
      </w:tr>
      <w:tr w:rsidR="00420985" w:rsidRPr="005E5C54" w:rsidTr="005E5C54">
        <w:tc>
          <w:tcPr>
            <w:tcW w:w="3686" w:type="dxa"/>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86" w:type="dxa"/>
            <w:noWrap/>
            <w:vAlign w:val="center"/>
          </w:tcPr>
          <w:p w:rsidR="00420985" w:rsidRPr="005E5C54" w:rsidRDefault="00420985" w:rsidP="005E5C54">
            <w:pPr>
              <w:spacing w:beforeLines="20" w:before="48" w:afterLines="20" w:after="48"/>
              <w:jc w:val="right"/>
              <w:rPr>
                <w:rFonts w:cs="Arial"/>
                <w:sz w:val="20"/>
                <w:szCs w:val="20"/>
                <w:lang w:eastAsia="en-AU"/>
              </w:rPr>
            </w:pPr>
          </w:p>
        </w:tc>
      </w:tr>
      <w:tr w:rsidR="00420985" w:rsidRPr="005E5C54" w:rsidTr="005E5C54">
        <w:tc>
          <w:tcPr>
            <w:tcW w:w="3686" w:type="dxa"/>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86" w:type="dxa"/>
            <w:noWrap/>
            <w:vAlign w:val="center"/>
          </w:tcPr>
          <w:p w:rsidR="00420985" w:rsidRPr="005E5C54" w:rsidRDefault="00420985" w:rsidP="005E5C54">
            <w:pPr>
              <w:spacing w:beforeLines="20" w:before="48" w:afterLines="20" w:after="48"/>
              <w:jc w:val="right"/>
              <w:rPr>
                <w:rFonts w:cs="Arial"/>
                <w:sz w:val="20"/>
                <w:szCs w:val="20"/>
                <w:lang w:eastAsia="en-AU"/>
              </w:rPr>
            </w:pPr>
          </w:p>
        </w:tc>
      </w:tr>
      <w:tr w:rsidR="00420985" w:rsidRPr="005E5C54" w:rsidTr="005E5C54">
        <w:tc>
          <w:tcPr>
            <w:tcW w:w="3686" w:type="dxa"/>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86" w:type="dxa"/>
            <w:noWrap/>
            <w:vAlign w:val="center"/>
          </w:tcPr>
          <w:p w:rsidR="00420985" w:rsidRPr="005E5C54" w:rsidRDefault="00420985" w:rsidP="005E5C54">
            <w:pPr>
              <w:spacing w:beforeLines="20" w:before="48" w:afterLines="20" w:after="48"/>
              <w:jc w:val="right"/>
              <w:rPr>
                <w:rFonts w:cs="Arial"/>
                <w:sz w:val="20"/>
                <w:szCs w:val="20"/>
                <w:lang w:eastAsia="en-AU"/>
              </w:rPr>
            </w:pPr>
          </w:p>
        </w:tc>
      </w:tr>
      <w:tr w:rsidR="00420985" w:rsidRPr="005E5C54" w:rsidTr="005E5C54">
        <w:tc>
          <w:tcPr>
            <w:tcW w:w="3686" w:type="dxa"/>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5E5C54">
            <w:pPr>
              <w:spacing w:beforeLines="20" w:before="48" w:afterLines="20" w:after="48"/>
              <w:jc w:val="right"/>
              <w:rPr>
                <w:rFonts w:cs="Arial"/>
                <w:sz w:val="20"/>
                <w:szCs w:val="20"/>
                <w:lang w:eastAsia="en-AU"/>
              </w:rPr>
            </w:pPr>
          </w:p>
        </w:tc>
        <w:tc>
          <w:tcPr>
            <w:tcW w:w="986" w:type="dxa"/>
            <w:noWrap/>
            <w:vAlign w:val="center"/>
          </w:tcPr>
          <w:p w:rsidR="00420985" w:rsidRPr="005E5C54" w:rsidRDefault="00420985" w:rsidP="005E5C54">
            <w:pPr>
              <w:spacing w:beforeLines="20" w:before="48" w:afterLines="20" w:after="48"/>
              <w:jc w:val="right"/>
              <w:rPr>
                <w:rFonts w:cs="Arial"/>
                <w:sz w:val="20"/>
                <w:szCs w:val="20"/>
                <w:lang w:eastAsia="en-AU"/>
              </w:rPr>
            </w:pPr>
          </w:p>
        </w:tc>
      </w:tr>
      <w:tr w:rsidR="005623AB" w:rsidRPr="005E5C54" w:rsidTr="005E5C54">
        <w:tc>
          <w:tcPr>
            <w:tcW w:w="3686" w:type="dxa"/>
            <w:noWrap/>
            <w:vAlign w:val="center"/>
          </w:tcPr>
          <w:p w:rsidR="0047763C" w:rsidRPr="005623AB" w:rsidRDefault="0047763C" w:rsidP="004B57AE">
            <w:pPr>
              <w:spacing w:beforeLines="20" w:before="48" w:afterLines="20" w:after="48"/>
              <w:rPr>
                <w:rFonts w:cs="Arial"/>
                <w:b/>
                <w:bCs/>
                <w:i/>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5E5C54">
            <w:pPr>
              <w:spacing w:beforeLines="20" w:before="48" w:afterLines="20" w:after="48"/>
              <w:jc w:val="right"/>
              <w:rPr>
                <w:rFonts w:cs="Arial"/>
                <w:sz w:val="20"/>
                <w:szCs w:val="20"/>
                <w:lang w:eastAsia="en-AU"/>
              </w:rPr>
            </w:pPr>
          </w:p>
        </w:tc>
        <w:tc>
          <w:tcPr>
            <w:tcW w:w="986" w:type="dxa"/>
            <w:noWrap/>
            <w:vAlign w:val="center"/>
          </w:tcPr>
          <w:p w:rsidR="0047763C" w:rsidRPr="005E5C54" w:rsidRDefault="0047763C" w:rsidP="005E5C54">
            <w:pPr>
              <w:spacing w:beforeLines="20" w:before="48" w:afterLines="20" w:after="48"/>
              <w:jc w:val="right"/>
              <w:rPr>
                <w:rFonts w:cs="Arial"/>
                <w:sz w:val="20"/>
                <w:szCs w:val="20"/>
                <w:lang w:eastAsia="en-AU"/>
              </w:rPr>
            </w:pPr>
          </w:p>
        </w:tc>
      </w:tr>
      <w:tr w:rsidR="005623AB" w:rsidRPr="005E5C54" w:rsidTr="005E5C54">
        <w:tc>
          <w:tcPr>
            <w:tcW w:w="15276" w:type="dxa"/>
            <w:gridSpan w:val="13"/>
            <w:shd w:val="clear" w:color="auto" w:fill="FFFFFF"/>
            <w:noWrap/>
            <w:vAlign w:val="center"/>
          </w:tcPr>
          <w:p w:rsidR="0047763C" w:rsidRPr="005E5C54" w:rsidRDefault="0047763C" w:rsidP="005E5C54">
            <w:pPr>
              <w:spacing w:before="240" w:after="20"/>
              <w:rPr>
                <w:rFonts w:cs="Arial"/>
                <w:sz w:val="20"/>
                <w:szCs w:val="20"/>
                <w:lang w:eastAsia="en-AU"/>
              </w:rPr>
            </w:pPr>
            <w:r w:rsidRPr="005E5C54">
              <w:rPr>
                <w:rFonts w:cs="Arial"/>
                <w:b/>
                <w:bCs/>
                <w:sz w:val="20"/>
                <w:szCs w:val="20"/>
                <w:lang w:eastAsia="en-AU"/>
              </w:rPr>
              <w:lastRenderedPageBreak/>
              <w:t>North Western Melbourne</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Broadmeadows-Roxburgh Park</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$220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160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$303</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$290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700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$324</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1.3%</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Brunswick</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511</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$320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6.7%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746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$410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5.1%</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198</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$480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4.3%</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175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$595</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2.1%</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Coburg-Pascoe Vale South</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183</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$295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351</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$360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2.9%</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155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$400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315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$470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4.4%</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Craigieburn</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11</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$285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14.0%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163</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84</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$305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673</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$330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0.0%</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East Brunswick</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292</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$330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431</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$430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7.5%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53</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$500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76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$605</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0.8%</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Essendon</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405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$295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6.9%</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812</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$350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4.2%</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77</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$365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-3.9%</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371</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$420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5.0%</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Gladstone Park-Tullamarine</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$263</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9.6%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161</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12</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$343</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12.5%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267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$340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3.0%</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Keilor</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22</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$368</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-0.5%</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Moonee Ponds-Ascot Vale</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268</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$275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478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$365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4.3%</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169</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$435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6.1%</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257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$520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4.0%</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Oak Park-Glenroy-Fawkner</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70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$253</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7.7%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618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$330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6.5%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109</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$330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460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$356</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1.7%</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Pascoe Vale-Coburg North</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77</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$220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7.3%</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467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$340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87</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$350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196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$400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5.3%</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Sunbury</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14</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$210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124</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$295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5.4%</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22</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$300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5.3%</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386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$320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0.0%</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West Brunswick</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329</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$260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409</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$345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47</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$430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78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$550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10.0%</w:t>
            </w:r>
          </w:p>
        </w:tc>
      </w:tr>
      <w:tr w:rsidR="005540A2" w:rsidRPr="003F4B94" w:rsidTr="003F4B94">
        <w:trPr>
          <w:trHeight w:val="567"/>
        </w:trPr>
        <w:tc>
          <w:tcPr>
            <w:tcW w:w="3686" w:type="dxa"/>
            <w:noWrap/>
            <w:vAlign w:val="center"/>
          </w:tcPr>
          <w:p w:rsidR="005540A2" w:rsidRPr="003F4B94" w:rsidRDefault="005540A2" w:rsidP="003F4B94">
            <w:pPr>
              <w:spacing w:beforeLines="20" w:before="48" w:afterLines="20" w:after="48"/>
              <w:jc w:val="right"/>
              <w:rPr>
                <w:rFonts w:cs="Arial"/>
                <w:b/>
                <w:i/>
                <w:sz w:val="20"/>
                <w:szCs w:val="20"/>
                <w:lang w:eastAsia="en-AU"/>
              </w:rPr>
            </w:pPr>
            <w:r w:rsidRPr="003F4B94">
              <w:rPr>
                <w:rFonts w:cs="Arial"/>
                <w:b/>
                <w:bCs/>
                <w:i/>
                <w:sz w:val="20"/>
                <w:szCs w:val="20"/>
                <w:lang w:eastAsia="en-AU"/>
              </w:rPr>
              <w:t>North Western Melbourne - Total</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2,220</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$285</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1.8%</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4,923</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$350</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2.9%</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1,073</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$395</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3.9%</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3,976</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$350</w:t>
            </w:r>
          </w:p>
        </w:tc>
        <w:tc>
          <w:tcPr>
            <w:tcW w:w="986" w:type="dxa"/>
            <w:noWrap/>
            <w:vAlign w:val="center"/>
          </w:tcPr>
          <w:p w:rsidR="005540A2" w:rsidRPr="003F4B94" w:rsidRDefault="005540A2" w:rsidP="005E5C54">
            <w:pPr>
              <w:jc w:val="right"/>
              <w:rPr>
                <w:rFonts w:cs="Arial"/>
                <w:b/>
                <w:i/>
                <w:sz w:val="20"/>
                <w:szCs w:val="20"/>
              </w:rPr>
            </w:pPr>
            <w:r w:rsidRPr="003F4B94">
              <w:rPr>
                <w:rFonts w:cs="Arial"/>
                <w:b/>
                <w:i/>
                <w:sz w:val="20"/>
                <w:szCs w:val="20"/>
              </w:rPr>
              <w:t>0.0%</w:t>
            </w: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5623AB" w:rsidRPr="005E5C54" w:rsidTr="005E5C54">
        <w:tc>
          <w:tcPr>
            <w:tcW w:w="15276" w:type="dxa"/>
            <w:gridSpan w:val="13"/>
            <w:shd w:val="clear" w:color="auto" w:fill="FFFFFF"/>
            <w:noWrap/>
            <w:vAlign w:val="center"/>
          </w:tcPr>
          <w:p w:rsidR="0047763C" w:rsidRPr="005E5C54" w:rsidRDefault="0047763C" w:rsidP="005E5C54">
            <w:pPr>
              <w:spacing w:before="240" w:after="20"/>
              <w:rPr>
                <w:rFonts w:cs="Arial"/>
                <w:sz w:val="20"/>
                <w:szCs w:val="20"/>
                <w:lang w:eastAsia="en-AU"/>
              </w:rPr>
            </w:pPr>
            <w:r w:rsidRPr="005E5C54">
              <w:rPr>
                <w:rFonts w:cs="Arial"/>
                <w:b/>
                <w:bCs/>
                <w:sz w:val="20"/>
                <w:szCs w:val="20"/>
                <w:lang w:eastAsia="en-AU"/>
              </w:rPr>
              <w:lastRenderedPageBreak/>
              <w:t>North Eastern Melbourne</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Bundoora-Greensborough-Hurstbridge</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315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$232</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601</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$330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3.1%</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122</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$330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3.1%</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928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$370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5.7%</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Eltham-Research-Montmorency</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28</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$285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26.7%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142</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$340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33</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$355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1.4%</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230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$420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5.0%</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Fairfield-Alphington</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237</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$280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223</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$350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18</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$485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7.8%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74</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$580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8.4%</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Heidelberg-Heidelberg West</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68</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$295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5.4%</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418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$350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2.9%</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140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$330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298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$370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-3.9%</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Ivanhoe-Ivanhoe East</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46</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$288</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-0.7%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217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$370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5.7%</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$420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96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$528</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5.6%</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Mill Park-Epping</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78</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$270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272</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87</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$310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3.3%</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900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$340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0.0%</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Northcote</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361</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$300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7.1%</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368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$430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2.4%</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155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$530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7.1%</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190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$615</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6.0%</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Preston</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258</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$280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515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$360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2.9%</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162</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$390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316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$430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4.9%</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Reservoir</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229</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$280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756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$320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3.2%</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165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$320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3.2%</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444</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$350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0.0%</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Thomastown-Lalor</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$270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256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3.4%</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51</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$310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3.3%</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494</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$330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3.1%</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Thornbury</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386</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$270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$360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2.9%</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86</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$463</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5.2%</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150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$543</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8.6%</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Whittlesea</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81</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$280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52</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$295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346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$340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3.0%</w:t>
            </w:r>
          </w:p>
        </w:tc>
      </w:tr>
      <w:tr w:rsidR="005540A2" w:rsidRPr="003F4B94" w:rsidTr="003F4B94">
        <w:trPr>
          <w:trHeight w:val="567"/>
        </w:trPr>
        <w:tc>
          <w:tcPr>
            <w:tcW w:w="3686" w:type="dxa"/>
            <w:noWrap/>
            <w:vAlign w:val="center"/>
          </w:tcPr>
          <w:p w:rsidR="005540A2" w:rsidRPr="003F4B94" w:rsidRDefault="005540A2" w:rsidP="003F4B94">
            <w:pPr>
              <w:spacing w:beforeLines="20" w:before="48" w:afterLines="20" w:after="48"/>
              <w:jc w:val="right"/>
              <w:rPr>
                <w:rFonts w:cs="Arial"/>
                <w:b/>
                <w:i/>
                <w:sz w:val="20"/>
                <w:szCs w:val="20"/>
                <w:lang w:eastAsia="en-AU"/>
              </w:rPr>
            </w:pPr>
            <w:r w:rsidRPr="003F4B94">
              <w:rPr>
                <w:rFonts w:cs="Arial"/>
                <w:b/>
                <w:bCs/>
                <w:i/>
                <w:sz w:val="20"/>
                <w:szCs w:val="20"/>
                <w:lang w:eastAsia="en-AU"/>
              </w:rPr>
              <w:t>North Eastern Melbourne - Total</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2,055</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$280</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3.7%</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4,249</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$340</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3.0%</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1,106</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$350</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0.0%</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4,466</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$360</w:t>
            </w:r>
          </w:p>
        </w:tc>
        <w:tc>
          <w:tcPr>
            <w:tcW w:w="986" w:type="dxa"/>
            <w:noWrap/>
            <w:vAlign w:val="center"/>
          </w:tcPr>
          <w:p w:rsidR="005540A2" w:rsidRPr="003F4B94" w:rsidRDefault="005540A2" w:rsidP="005E5C54">
            <w:pPr>
              <w:jc w:val="right"/>
              <w:rPr>
                <w:rFonts w:cs="Arial"/>
                <w:b/>
                <w:i/>
                <w:sz w:val="20"/>
                <w:szCs w:val="20"/>
              </w:rPr>
            </w:pPr>
            <w:r w:rsidRPr="003F4B94">
              <w:rPr>
                <w:rFonts w:cs="Arial"/>
                <w:b/>
                <w:i/>
                <w:sz w:val="20"/>
                <w:szCs w:val="20"/>
              </w:rPr>
              <w:t>2.9%</w:t>
            </w:r>
          </w:p>
        </w:tc>
      </w:tr>
      <w:tr w:rsidR="005623AB" w:rsidRPr="005E5C54" w:rsidTr="005E5C54">
        <w:tc>
          <w:tcPr>
            <w:tcW w:w="15276" w:type="dxa"/>
            <w:gridSpan w:val="13"/>
            <w:shd w:val="clear" w:color="auto" w:fill="FFFFFF"/>
            <w:noWrap/>
            <w:vAlign w:val="center"/>
          </w:tcPr>
          <w:p w:rsidR="0047763C" w:rsidRPr="005E5C54" w:rsidRDefault="0047763C" w:rsidP="005E5C54">
            <w:pPr>
              <w:spacing w:before="240" w:after="20"/>
              <w:rPr>
                <w:rFonts w:cs="Arial"/>
                <w:sz w:val="20"/>
                <w:szCs w:val="20"/>
                <w:lang w:eastAsia="en-AU"/>
              </w:rPr>
            </w:pPr>
            <w:r w:rsidRPr="005E5C54">
              <w:rPr>
                <w:rFonts w:cs="Arial"/>
                <w:b/>
                <w:bCs/>
                <w:sz w:val="20"/>
                <w:szCs w:val="20"/>
                <w:lang w:eastAsia="en-AU"/>
              </w:rPr>
              <w:t>Outer Eastern Melbourne</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Bayswater</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$260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23.8%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241</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$320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3.2%</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163</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$360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2.9%</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Boronia</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36</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$288</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34.0%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220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$325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1.6%</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31</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$320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3.2%</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234</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$360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2.9%</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Croydon-Lilydale</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83</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$240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6.7%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612</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$320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1.6%</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102</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$332</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3.8%</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766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$380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4.1%</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Ferntree Gully</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19</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$220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2.3%</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110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$320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6.7%</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16</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$335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4.7%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217</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$380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5.6%</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Ringwood</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54</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$268</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7.2%</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540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$330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3.1%</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72</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$335</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1.5%</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396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$390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2.6%</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Rowville</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$373</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13.0%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246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$395</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3.9%</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Wantirna-Scoresby</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51</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$310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-3.1%</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89</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$360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5.9%</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13</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$360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436</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$380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2.7%</w:t>
            </w:r>
          </w:p>
        </w:tc>
      </w:tr>
      <w:tr w:rsidR="005540A2" w:rsidRPr="005E5C54" w:rsidTr="005E5C54">
        <w:tc>
          <w:tcPr>
            <w:tcW w:w="3686" w:type="dxa"/>
            <w:noWrap/>
            <w:vAlign w:val="center"/>
          </w:tcPr>
          <w:p w:rsidR="005540A2" w:rsidRPr="005623AB" w:rsidRDefault="005540A2" w:rsidP="004B57AE">
            <w:pPr>
              <w:spacing w:beforeLines="20" w:before="48" w:afterLines="20" w:after="48"/>
              <w:rPr>
                <w:rFonts w:cs="Arial"/>
                <w:sz w:val="20"/>
                <w:szCs w:val="20"/>
                <w:lang w:eastAsia="en-AU"/>
              </w:rPr>
            </w:pPr>
            <w:r w:rsidRPr="005623AB">
              <w:rPr>
                <w:rFonts w:cs="Arial"/>
                <w:sz w:val="20"/>
                <w:szCs w:val="20"/>
                <w:lang w:eastAsia="en-AU"/>
              </w:rPr>
              <w:t>Yarra Ranges</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58</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$220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-8.3%</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94</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$290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3.6%</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122</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$300</w:t>
            </w:r>
          </w:p>
        </w:tc>
        <w:tc>
          <w:tcPr>
            <w:tcW w:w="964" w:type="dxa"/>
            <w:shd w:val="clear" w:color="auto" w:fill="DEE4EE"/>
            <w:noWrap/>
            <w:vAlign w:val="center"/>
          </w:tcPr>
          <w:p w:rsidR="005540A2" w:rsidRPr="005E5C54" w:rsidRDefault="005540A2" w:rsidP="005E5C54">
            <w:pPr>
              <w:jc w:val="right"/>
              <w:rPr>
                <w:rFonts w:cs="Arial"/>
                <w:sz w:val="20"/>
                <w:szCs w:val="20"/>
              </w:rPr>
            </w:pPr>
            <w:r w:rsidRPr="005E5C54">
              <w:rPr>
                <w:rFonts w:cs="Arial"/>
                <w:sz w:val="20"/>
                <w:szCs w:val="20"/>
              </w:rPr>
              <w:t>0.0%</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492</w:t>
            </w:r>
          </w:p>
        </w:tc>
        <w:tc>
          <w:tcPr>
            <w:tcW w:w="964" w:type="dxa"/>
            <w:noWrap/>
            <w:vAlign w:val="center"/>
          </w:tcPr>
          <w:p w:rsidR="005540A2" w:rsidRPr="005E5C54" w:rsidRDefault="005540A2" w:rsidP="005E5C54">
            <w:pPr>
              <w:jc w:val="right"/>
              <w:rPr>
                <w:rFonts w:cs="Arial"/>
                <w:sz w:val="20"/>
                <w:szCs w:val="20"/>
              </w:rPr>
            </w:pPr>
            <w:r w:rsidRPr="005E5C54">
              <w:rPr>
                <w:rFonts w:cs="Arial"/>
                <w:sz w:val="20"/>
                <w:szCs w:val="20"/>
              </w:rPr>
              <w:t>$360</w:t>
            </w:r>
          </w:p>
        </w:tc>
        <w:tc>
          <w:tcPr>
            <w:tcW w:w="986" w:type="dxa"/>
            <w:noWrap/>
            <w:vAlign w:val="center"/>
          </w:tcPr>
          <w:p w:rsidR="005540A2" w:rsidRPr="005E5C54" w:rsidRDefault="005540A2" w:rsidP="005E5C54">
            <w:pPr>
              <w:jc w:val="right"/>
              <w:rPr>
                <w:rFonts w:cs="Arial"/>
                <w:sz w:val="20"/>
                <w:szCs w:val="20"/>
              </w:rPr>
            </w:pPr>
            <w:r w:rsidRPr="005E5C54">
              <w:rPr>
                <w:rFonts w:cs="Arial"/>
                <w:sz w:val="20"/>
                <w:szCs w:val="20"/>
              </w:rPr>
              <w:t>2.9%</w:t>
            </w:r>
          </w:p>
        </w:tc>
      </w:tr>
      <w:tr w:rsidR="005540A2" w:rsidRPr="003F4B94" w:rsidTr="003F4B94">
        <w:trPr>
          <w:trHeight w:val="567"/>
        </w:trPr>
        <w:tc>
          <w:tcPr>
            <w:tcW w:w="3686" w:type="dxa"/>
            <w:noWrap/>
            <w:vAlign w:val="center"/>
          </w:tcPr>
          <w:p w:rsidR="005540A2" w:rsidRPr="003F4B94" w:rsidRDefault="005540A2" w:rsidP="003F4B94">
            <w:pPr>
              <w:spacing w:beforeLines="20" w:before="48" w:afterLines="20" w:after="48"/>
              <w:jc w:val="right"/>
              <w:rPr>
                <w:rFonts w:cs="Arial"/>
                <w:b/>
                <w:i/>
                <w:sz w:val="20"/>
                <w:szCs w:val="20"/>
                <w:lang w:eastAsia="en-AU"/>
              </w:rPr>
            </w:pPr>
            <w:r w:rsidRPr="003F4B94">
              <w:rPr>
                <w:rFonts w:cs="Arial"/>
                <w:b/>
                <w:bCs/>
                <w:i/>
                <w:sz w:val="20"/>
                <w:szCs w:val="20"/>
                <w:lang w:eastAsia="en-AU"/>
              </w:rPr>
              <w:t>Outer Eastern Melbourne - Total</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320</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$260</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13.0%</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1,952</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$330</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4.8%</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370</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$327</w:t>
            </w:r>
          </w:p>
        </w:tc>
        <w:tc>
          <w:tcPr>
            <w:tcW w:w="964" w:type="dxa"/>
            <w:shd w:val="clear" w:color="auto" w:fill="DEE4EE"/>
            <w:noWrap/>
            <w:vAlign w:val="center"/>
          </w:tcPr>
          <w:p w:rsidR="005540A2" w:rsidRPr="003F4B94" w:rsidRDefault="005540A2" w:rsidP="005E5C54">
            <w:pPr>
              <w:jc w:val="right"/>
              <w:rPr>
                <w:rFonts w:cs="Arial"/>
                <w:b/>
                <w:i/>
                <w:sz w:val="20"/>
                <w:szCs w:val="20"/>
              </w:rPr>
            </w:pPr>
            <w:r w:rsidRPr="003F4B94">
              <w:rPr>
                <w:rFonts w:cs="Arial"/>
                <w:b/>
                <w:i/>
                <w:sz w:val="20"/>
                <w:szCs w:val="20"/>
              </w:rPr>
              <w:t>2.8%</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2,950</w:t>
            </w:r>
          </w:p>
        </w:tc>
        <w:tc>
          <w:tcPr>
            <w:tcW w:w="964" w:type="dxa"/>
            <w:noWrap/>
            <w:vAlign w:val="center"/>
          </w:tcPr>
          <w:p w:rsidR="005540A2" w:rsidRPr="003F4B94" w:rsidRDefault="005540A2" w:rsidP="005E5C54">
            <w:pPr>
              <w:jc w:val="right"/>
              <w:rPr>
                <w:rFonts w:cs="Arial"/>
                <w:b/>
                <w:i/>
                <w:sz w:val="20"/>
                <w:szCs w:val="20"/>
              </w:rPr>
            </w:pPr>
            <w:r w:rsidRPr="003F4B94">
              <w:rPr>
                <w:rFonts w:cs="Arial"/>
                <w:b/>
                <w:i/>
                <w:sz w:val="20"/>
                <w:szCs w:val="20"/>
              </w:rPr>
              <w:t>$380</w:t>
            </w:r>
          </w:p>
        </w:tc>
        <w:tc>
          <w:tcPr>
            <w:tcW w:w="986" w:type="dxa"/>
            <w:noWrap/>
            <w:vAlign w:val="center"/>
          </w:tcPr>
          <w:p w:rsidR="005540A2" w:rsidRPr="003F4B94" w:rsidRDefault="005540A2" w:rsidP="005E5C54">
            <w:pPr>
              <w:jc w:val="right"/>
              <w:rPr>
                <w:rFonts w:cs="Arial"/>
                <w:b/>
                <w:i/>
                <w:sz w:val="20"/>
                <w:szCs w:val="20"/>
              </w:rPr>
            </w:pPr>
            <w:r w:rsidRPr="003F4B94">
              <w:rPr>
                <w:rFonts w:cs="Arial"/>
                <w:b/>
                <w:i/>
                <w:sz w:val="20"/>
                <w:szCs w:val="20"/>
              </w:rPr>
              <w:t>5.6%</w:t>
            </w:r>
          </w:p>
        </w:tc>
      </w:tr>
      <w:tr w:rsidR="005623AB" w:rsidRPr="005E5C54" w:rsidTr="005E5C54">
        <w:tc>
          <w:tcPr>
            <w:tcW w:w="15276" w:type="dxa"/>
            <w:gridSpan w:val="13"/>
            <w:noWrap/>
            <w:vAlign w:val="center"/>
          </w:tcPr>
          <w:p w:rsidR="0047763C" w:rsidRPr="005E5C54" w:rsidRDefault="0047763C" w:rsidP="005E5C54">
            <w:pPr>
              <w:spacing w:before="240" w:after="20"/>
              <w:rPr>
                <w:rFonts w:cs="Arial"/>
                <w:sz w:val="20"/>
                <w:szCs w:val="20"/>
                <w:lang w:eastAsia="en-AU"/>
              </w:rPr>
            </w:pPr>
            <w:r w:rsidRPr="005E5C54">
              <w:rPr>
                <w:rFonts w:cs="Arial"/>
                <w:b/>
                <w:bCs/>
                <w:sz w:val="20"/>
                <w:szCs w:val="20"/>
                <w:lang w:eastAsia="en-AU"/>
              </w:rPr>
              <w:lastRenderedPageBreak/>
              <w:t>South Eastern Melbourne</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Berwick</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89</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$310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3.3%</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37</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$320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2.2%</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673</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$355</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4.4%</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Cranbourne</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31</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$240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161</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$280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3.7%</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45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$290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5.5%</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1,078</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$340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3.0%</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Dandenong</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223</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$240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7.6%</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968</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$280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3.7%</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63</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$320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6.7%</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461</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$350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0.0%</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Dandenong North-Endeavour Hills</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54</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$258</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12.2%</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196</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$295</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3.9%</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48</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$290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648</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$330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3.1%</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Narre Warren-Hampton Park</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$248</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18.1%</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211</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3.4%</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50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$310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5.1%</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1,090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$340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3.0%</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Noble Park</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188</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$215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2.4%</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585</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3.4%</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33</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$320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10.3%</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325</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$340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3.0%</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Pakenham</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214</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$270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3.8%</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56</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$298</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6.4%</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964</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$320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3.2%</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Springvale</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112</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$240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487</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$320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6.7%</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49</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$305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1.7%</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477</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$360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5.9%</w:t>
            </w:r>
          </w:p>
        </w:tc>
      </w:tr>
      <w:tr w:rsidR="002D40CD" w:rsidRPr="003F4B94" w:rsidTr="003F4B94">
        <w:trPr>
          <w:trHeight w:val="567"/>
        </w:trPr>
        <w:tc>
          <w:tcPr>
            <w:tcW w:w="3686" w:type="dxa"/>
            <w:noWrap/>
            <w:vAlign w:val="center"/>
          </w:tcPr>
          <w:p w:rsidR="002D40CD" w:rsidRPr="003F4B94" w:rsidRDefault="002D40CD" w:rsidP="003F4B94">
            <w:pPr>
              <w:spacing w:beforeLines="20" w:before="48" w:afterLines="20" w:after="48"/>
              <w:jc w:val="right"/>
              <w:rPr>
                <w:rFonts w:cs="Arial"/>
                <w:b/>
                <w:i/>
                <w:sz w:val="20"/>
                <w:szCs w:val="20"/>
                <w:lang w:eastAsia="en-AU"/>
              </w:rPr>
            </w:pPr>
            <w:r w:rsidRPr="003F4B94">
              <w:rPr>
                <w:rFonts w:cs="Arial"/>
                <w:b/>
                <w:bCs/>
                <w:i/>
                <w:sz w:val="20"/>
                <w:szCs w:val="20"/>
                <w:lang w:eastAsia="en-AU"/>
              </w:rPr>
              <w:t>South Eastern Melbourne - Total</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652</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$230</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4.5%</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2,911</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$290</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3.6%</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381</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$300</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3.4%</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5,716</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$340</w:t>
            </w:r>
          </w:p>
        </w:tc>
        <w:tc>
          <w:tcPr>
            <w:tcW w:w="986" w:type="dxa"/>
            <w:noWrap/>
            <w:vAlign w:val="center"/>
          </w:tcPr>
          <w:p w:rsidR="002D40CD" w:rsidRPr="003F4B94" w:rsidRDefault="002D40CD" w:rsidP="005E5C54">
            <w:pPr>
              <w:jc w:val="right"/>
              <w:rPr>
                <w:rFonts w:cs="Arial"/>
                <w:b/>
                <w:i/>
                <w:sz w:val="20"/>
                <w:szCs w:val="20"/>
              </w:rPr>
            </w:pPr>
            <w:r w:rsidRPr="003F4B94">
              <w:rPr>
                <w:rFonts w:cs="Arial"/>
                <w:b/>
                <w:i/>
                <w:sz w:val="20"/>
                <w:szCs w:val="20"/>
              </w:rPr>
              <w:t>3.0%</w:t>
            </w:r>
          </w:p>
        </w:tc>
      </w:tr>
      <w:tr w:rsidR="005623AB" w:rsidRPr="005E5C54" w:rsidTr="005E5C54">
        <w:tc>
          <w:tcPr>
            <w:tcW w:w="15276" w:type="dxa"/>
            <w:gridSpan w:val="13"/>
            <w:shd w:val="clear" w:color="auto" w:fill="FFFFFF"/>
            <w:noWrap/>
            <w:vAlign w:val="center"/>
          </w:tcPr>
          <w:p w:rsidR="0047763C" w:rsidRPr="005E5C54" w:rsidRDefault="0047763C" w:rsidP="005E5C54">
            <w:pPr>
              <w:spacing w:before="240" w:after="20"/>
              <w:rPr>
                <w:rFonts w:cs="Arial"/>
                <w:sz w:val="20"/>
                <w:szCs w:val="20"/>
                <w:lang w:eastAsia="en-AU"/>
              </w:rPr>
            </w:pPr>
            <w:r w:rsidRPr="005E5C54">
              <w:rPr>
                <w:rFonts w:cs="Arial"/>
                <w:b/>
                <w:bCs/>
                <w:sz w:val="20"/>
                <w:szCs w:val="20"/>
                <w:lang w:eastAsia="en-AU"/>
              </w:rPr>
              <w:t>Mornington Peninsula</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Dromana-Portsea</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26</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$215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-4.4%</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194</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$280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7.7%</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218</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$280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3.7%</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931</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$330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3.1%</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Frankston</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283</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$220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715</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$280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3.7%</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115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$295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5.4%</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924</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$340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4.6%</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Hastings-Flinders</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24</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$254</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48.5%</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206</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$270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64</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$300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7.1%</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420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$340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4.6%</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Mt Eliza-Mornington-Mt Martha</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31</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$240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11.6%</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207</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$325</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4.8%</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43</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$350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6.1%</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481</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$425</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7.6%</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Seaford-Carrum Downs</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47</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$220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267</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$290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1.8%</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53</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$300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1.7%</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693</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$335</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4.7%</w:t>
            </w:r>
          </w:p>
        </w:tc>
      </w:tr>
      <w:tr w:rsidR="002D40CD" w:rsidRPr="003F4B94" w:rsidTr="003F4B94">
        <w:trPr>
          <w:trHeight w:val="567"/>
        </w:trPr>
        <w:tc>
          <w:tcPr>
            <w:tcW w:w="3686" w:type="dxa"/>
            <w:noWrap/>
            <w:vAlign w:val="center"/>
          </w:tcPr>
          <w:p w:rsidR="002D40CD" w:rsidRPr="003F4B94" w:rsidRDefault="002D40CD" w:rsidP="003F4B94">
            <w:pPr>
              <w:spacing w:beforeLines="20" w:before="48" w:afterLines="20" w:after="48"/>
              <w:jc w:val="right"/>
              <w:rPr>
                <w:rFonts w:cs="Arial"/>
                <w:b/>
                <w:i/>
                <w:sz w:val="20"/>
                <w:szCs w:val="20"/>
                <w:lang w:eastAsia="en-AU"/>
              </w:rPr>
            </w:pPr>
            <w:r w:rsidRPr="003F4B94">
              <w:rPr>
                <w:rFonts w:cs="Arial"/>
                <w:b/>
                <w:bCs/>
                <w:i/>
                <w:sz w:val="20"/>
                <w:szCs w:val="20"/>
                <w:lang w:eastAsia="en-AU"/>
              </w:rPr>
              <w:t>Mornington Peninsula - Total</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411</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$225</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2.3%</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1,589</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$280</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1.8%</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493</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$290</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3.6%</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3,449</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$345</w:t>
            </w:r>
          </w:p>
        </w:tc>
        <w:tc>
          <w:tcPr>
            <w:tcW w:w="986" w:type="dxa"/>
            <w:noWrap/>
            <w:vAlign w:val="center"/>
          </w:tcPr>
          <w:p w:rsidR="002D40CD" w:rsidRPr="003F4B94" w:rsidRDefault="002D40CD" w:rsidP="005E5C54">
            <w:pPr>
              <w:jc w:val="right"/>
              <w:rPr>
                <w:rFonts w:cs="Arial"/>
                <w:b/>
                <w:i/>
                <w:sz w:val="20"/>
                <w:szCs w:val="20"/>
              </w:rPr>
            </w:pPr>
            <w:r w:rsidRPr="003F4B94">
              <w:rPr>
                <w:rFonts w:cs="Arial"/>
                <w:b/>
                <w:i/>
                <w:sz w:val="20"/>
                <w:szCs w:val="20"/>
              </w:rPr>
              <w:t>4.5%</w:t>
            </w: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5623AB" w:rsidRPr="005E5C54" w:rsidTr="005E5C54">
        <w:tc>
          <w:tcPr>
            <w:tcW w:w="15276" w:type="dxa"/>
            <w:gridSpan w:val="13"/>
            <w:shd w:val="clear" w:color="auto" w:fill="FFFFFF"/>
            <w:noWrap/>
            <w:vAlign w:val="center"/>
          </w:tcPr>
          <w:p w:rsidR="0047763C" w:rsidRPr="005E5C54" w:rsidRDefault="0047763C" w:rsidP="005E5C54">
            <w:pPr>
              <w:spacing w:before="240" w:after="20"/>
              <w:rPr>
                <w:rFonts w:cs="Arial"/>
                <w:sz w:val="20"/>
                <w:szCs w:val="20"/>
                <w:lang w:eastAsia="en-AU"/>
              </w:rPr>
            </w:pPr>
            <w:r w:rsidRPr="005E5C54">
              <w:rPr>
                <w:rFonts w:cs="Arial"/>
                <w:b/>
                <w:bCs/>
                <w:sz w:val="20"/>
                <w:szCs w:val="20"/>
                <w:lang w:eastAsia="en-AU"/>
              </w:rPr>
              <w:lastRenderedPageBreak/>
              <w:t>Geelong</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Belmont-Grovedale</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139</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$230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4.5%</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397</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$280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101</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$295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-1.7%</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713</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$350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1.4%</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Corio</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43</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$185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2.8%</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89</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$245</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136</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$225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-2.2%</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466</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$250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0.0%</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Geelong-Newcomb</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145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$240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-5.9%</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342</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$290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152</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$290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442</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$310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0.0%</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Herne Hill-Geelong West</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154</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$195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212</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$270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3.8%</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94</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$300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286</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$338</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-0.6%</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Lara</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72</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$260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2.8%</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13</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$280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170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$330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0.0%</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Newtown</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50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$197</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-1.5%</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124</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$285</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1.8%</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46</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$323</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5.9%</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146</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$360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3.4%</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North Geelong</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73</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$195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5.4%</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102</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$280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1.8%</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76</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$280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2.6%</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314</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$320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3.2%</w:t>
            </w:r>
          </w:p>
        </w:tc>
      </w:tr>
      <w:tr w:rsidR="002D40CD" w:rsidRPr="003F4B94" w:rsidTr="003F4B94">
        <w:trPr>
          <w:trHeight w:val="567"/>
        </w:trPr>
        <w:tc>
          <w:tcPr>
            <w:tcW w:w="3686" w:type="dxa"/>
            <w:noWrap/>
            <w:vAlign w:val="center"/>
          </w:tcPr>
          <w:p w:rsidR="002D40CD" w:rsidRPr="003F4B94" w:rsidRDefault="002D40CD" w:rsidP="003F4B94">
            <w:pPr>
              <w:spacing w:beforeLines="20" w:before="48" w:afterLines="20" w:after="48"/>
              <w:jc w:val="right"/>
              <w:rPr>
                <w:rFonts w:cs="Arial"/>
                <w:b/>
                <w:i/>
                <w:sz w:val="20"/>
                <w:szCs w:val="20"/>
                <w:lang w:eastAsia="en-AU"/>
              </w:rPr>
            </w:pPr>
            <w:r w:rsidRPr="003F4B94">
              <w:rPr>
                <w:rFonts w:cs="Arial"/>
                <w:b/>
                <w:bCs/>
                <w:i/>
                <w:sz w:val="20"/>
                <w:szCs w:val="20"/>
                <w:lang w:eastAsia="en-AU"/>
              </w:rPr>
              <w:t>Geelong - Total</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613</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$205</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2.5%</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1,338</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$280</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1.8%</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618</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$280</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0.0%</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2,537</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$320</w:t>
            </w:r>
          </w:p>
        </w:tc>
        <w:tc>
          <w:tcPr>
            <w:tcW w:w="986" w:type="dxa"/>
            <w:noWrap/>
            <w:vAlign w:val="center"/>
          </w:tcPr>
          <w:p w:rsidR="002D40CD" w:rsidRPr="003F4B94" w:rsidRDefault="002D40CD" w:rsidP="005E5C54">
            <w:pPr>
              <w:jc w:val="right"/>
              <w:rPr>
                <w:rFonts w:cs="Arial"/>
                <w:b/>
                <w:i/>
                <w:sz w:val="20"/>
                <w:szCs w:val="20"/>
              </w:rPr>
            </w:pPr>
            <w:r w:rsidRPr="003F4B94">
              <w:rPr>
                <w:rFonts w:cs="Arial"/>
                <w:b/>
                <w:i/>
                <w:sz w:val="20"/>
                <w:szCs w:val="20"/>
              </w:rPr>
              <w:t>0.0%</w:t>
            </w:r>
          </w:p>
        </w:tc>
      </w:tr>
      <w:tr w:rsidR="005623AB" w:rsidRPr="005E5C54" w:rsidTr="005E5C54">
        <w:tc>
          <w:tcPr>
            <w:tcW w:w="15276" w:type="dxa"/>
            <w:gridSpan w:val="13"/>
            <w:noWrap/>
            <w:vAlign w:val="center"/>
          </w:tcPr>
          <w:p w:rsidR="0047763C" w:rsidRPr="005E5C54" w:rsidRDefault="0047763C" w:rsidP="005E5C54">
            <w:pPr>
              <w:spacing w:before="240" w:after="20"/>
              <w:rPr>
                <w:rFonts w:cs="Arial"/>
                <w:sz w:val="20"/>
                <w:szCs w:val="20"/>
                <w:lang w:eastAsia="en-AU"/>
              </w:rPr>
            </w:pPr>
            <w:r w:rsidRPr="005E5C54">
              <w:rPr>
                <w:rFonts w:cs="Arial"/>
                <w:b/>
                <w:bCs/>
                <w:sz w:val="20"/>
                <w:szCs w:val="20"/>
                <w:lang w:eastAsia="en-AU"/>
              </w:rPr>
              <w:t>Ballarat</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Ballarat</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99</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$170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295</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$240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290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$245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806</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$275</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0.0%</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Mount Clear-Buninyong</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41</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$230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$240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-4.0%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116</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$300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0.0%</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Sebastopol-Delacombe</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69</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$170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-38.0%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206</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$230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4.5%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88</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$235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-2.1%</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408</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$270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1.9%</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Wendouree-Alfredton</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113</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$155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3.3%</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143</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$220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4.8%</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110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$253</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-2.7%</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500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$290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3.6%</w:t>
            </w:r>
          </w:p>
        </w:tc>
      </w:tr>
      <w:tr w:rsidR="002D40CD" w:rsidRPr="003F4B94" w:rsidTr="003F4B94">
        <w:trPr>
          <w:trHeight w:val="567"/>
        </w:trPr>
        <w:tc>
          <w:tcPr>
            <w:tcW w:w="3686" w:type="dxa"/>
            <w:noWrap/>
            <w:vAlign w:val="center"/>
          </w:tcPr>
          <w:p w:rsidR="002D40CD" w:rsidRPr="003F4B94" w:rsidRDefault="002D40CD" w:rsidP="003F4B94">
            <w:pPr>
              <w:spacing w:beforeLines="20" w:before="48" w:afterLines="20" w:after="48"/>
              <w:jc w:val="right"/>
              <w:rPr>
                <w:rFonts w:cs="Arial"/>
                <w:b/>
                <w:i/>
                <w:sz w:val="20"/>
                <w:szCs w:val="20"/>
                <w:lang w:eastAsia="en-AU"/>
              </w:rPr>
            </w:pPr>
            <w:r w:rsidRPr="003F4B94">
              <w:rPr>
                <w:rFonts w:cs="Arial"/>
                <w:b/>
                <w:bCs/>
                <w:i/>
                <w:sz w:val="20"/>
                <w:szCs w:val="20"/>
                <w:lang w:eastAsia="en-AU"/>
              </w:rPr>
              <w:t>Ballarat - Total</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291</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$165</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3.1%</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685</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$230</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0.0%</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503</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$245</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-2.0%</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1,830</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$280</w:t>
            </w:r>
          </w:p>
        </w:tc>
        <w:tc>
          <w:tcPr>
            <w:tcW w:w="986" w:type="dxa"/>
            <w:noWrap/>
            <w:vAlign w:val="center"/>
          </w:tcPr>
          <w:p w:rsidR="002D40CD" w:rsidRPr="003F4B94" w:rsidRDefault="002D40CD" w:rsidP="005E5C54">
            <w:pPr>
              <w:jc w:val="right"/>
              <w:rPr>
                <w:rFonts w:cs="Arial"/>
                <w:b/>
                <w:i/>
                <w:sz w:val="20"/>
                <w:szCs w:val="20"/>
              </w:rPr>
            </w:pPr>
            <w:r w:rsidRPr="003F4B94">
              <w:rPr>
                <w:rFonts w:cs="Arial"/>
                <w:b/>
                <w:i/>
                <w:sz w:val="20"/>
                <w:szCs w:val="20"/>
              </w:rPr>
              <w:t>1.8%</w:t>
            </w:r>
          </w:p>
        </w:tc>
      </w:tr>
      <w:tr w:rsidR="005623AB" w:rsidRPr="005E5C54" w:rsidTr="005E5C54">
        <w:tc>
          <w:tcPr>
            <w:tcW w:w="15276" w:type="dxa"/>
            <w:gridSpan w:val="13"/>
            <w:shd w:val="clear" w:color="auto" w:fill="FFFFFF"/>
            <w:noWrap/>
            <w:vAlign w:val="center"/>
          </w:tcPr>
          <w:p w:rsidR="0047763C" w:rsidRPr="005E5C54" w:rsidRDefault="0047763C" w:rsidP="005E5C54">
            <w:pPr>
              <w:spacing w:before="240" w:after="20"/>
              <w:rPr>
                <w:rFonts w:cs="Arial"/>
                <w:sz w:val="20"/>
                <w:szCs w:val="20"/>
                <w:lang w:eastAsia="en-AU"/>
              </w:rPr>
            </w:pPr>
            <w:r w:rsidRPr="005E5C54">
              <w:rPr>
                <w:rFonts w:cs="Arial"/>
                <w:b/>
                <w:bCs/>
                <w:sz w:val="20"/>
                <w:szCs w:val="20"/>
                <w:lang w:eastAsia="en-AU"/>
              </w:rPr>
              <w:t>Bendigo</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Bendigo</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$160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-5.9%</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116</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$230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-2.1%</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91</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$260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207</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$295</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5.4%</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Flora Hill-Bendigo East</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47</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$170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319</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$240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107</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$260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507</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$290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-3.3%</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Golden Square-Kangaroo Flat</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24</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$163</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1.9%</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122</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$250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4.2%</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56</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$240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-3.2%</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411</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$285</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-1.7%</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North Bendigo</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$178</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11.3%</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155</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$230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-4.2%</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110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$240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567</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$280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0.0%</w:t>
            </w:r>
          </w:p>
        </w:tc>
      </w:tr>
      <w:tr w:rsidR="002D40CD" w:rsidRPr="003F4B94" w:rsidTr="003F4B94">
        <w:trPr>
          <w:trHeight w:val="567"/>
        </w:trPr>
        <w:tc>
          <w:tcPr>
            <w:tcW w:w="3686" w:type="dxa"/>
            <w:noWrap/>
            <w:vAlign w:val="center"/>
          </w:tcPr>
          <w:p w:rsidR="002D40CD" w:rsidRPr="003F4B94" w:rsidRDefault="002D40CD" w:rsidP="003F4B94">
            <w:pPr>
              <w:spacing w:beforeLines="20" w:before="48" w:afterLines="20" w:after="48"/>
              <w:jc w:val="right"/>
              <w:rPr>
                <w:rFonts w:cs="Arial"/>
                <w:b/>
                <w:i/>
                <w:sz w:val="20"/>
                <w:szCs w:val="20"/>
                <w:lang w:eastAsia="en-AU"/>
              </w:rPr>
            </w:pPr>
            <w:r w:rsidRPr="003F4B94">
              <w:rPr>
                <w:rFonts w:cs="Arial"/>
                <w:b/>
                <w:bCs/>
                <w:i/>
                <w:sz w:val="20"/>
                <w:szCs w:val="20"/>
                <w:lang w:eastAsia="en-AU"/>
              </w:rPr>
              <w:t>Bendigo</w:t>
            </w:r>
            <w:r w:rsidRPr="003F4B94">
              <w:rPr>
                <w:rFonts w:cs="Arial"/>
                <w:b/>
                <w:i/>
                <w:sz w:val="20"/>
                <w:szCs w:val="20"/>
                <w:lang w:eastAsia="en-AU"/>
              </w:rPr>
              <w:t xml:space="preserve"> - Total</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116</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$170</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3.0%</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712</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$240</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0.0%</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364</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$250</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0.0%</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1,692</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$285</w:t>
            </w:r>
          </w:p>
        </w:tc>
        <w:tc>
          <w:tcPr>
            <w:tcW w:w="986" w:type="dxa"/>
            <w:noWrap/>
            <w:vAlign w:val="center"/>
          </w:tcPr>
          <w:p w:rsidR="002D40CD" w:rsidRPr="003F4B94" w:rsidRDefault="002D40CD" w:rsidP="005E5C54">
            <w:pPr>
              <w:jc w:val="right"/>
              <w:rPr>
                <w:rFonts w:cs="Arial"/>
                <w:b/>
                <w:i/>
                <w:sz w:val="20"/>
                <w:szCs w:val="20"/>
              </w:rPr>
            </w:pPr>
            <w:r w:rsidRPr="003F4B94">
              <w:rPr>
                <w:rFonts w:cs="Arial"/>
                <w:b/>
                <w:i/>
                <w:sz w:val="20"/>
                <w:szCs w:val="20"/>
              </w:rPr>
              <w:t>-1.7%</w:t>
            </w: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4B57AE">
            <w:pPr>
              <w:spacing w:beforeLines="20" w:before="48" w:afterLines="20" w:after="48"/>
              <w:rPr>
                <w:rFonts w:cs="Arial"/>
                <w:b/>
                <w:bCs/>
                <w:sz w:val="20"/>
                <w:szCs w:val="20"/>
                <w:lang w:eastAsia="en-AU"/>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5E5C54">
            <w:pPr>
              <w:spacing w:beforeLines="20" w:before="48" w:afterLines="20" w:after="48"/>
              <w:jc w:val="right"/>
              <w:rPr>
                <w:rFonts w:cs="Arial"/>
                <w:sz w:val="20"/>
                <w:szCs w:val="20"/>
              </w:rPr>
            </w:pPr>
          </w:p>
        </w:tc>
      </w:tr>
      <w:tr w:rsidR="005623AB" w:rsidRPr="005E5C54" w:rsidTr="005E5C54">
        <w:tc>
          <w:tcPr>
            <w:tcW w:w="15276" w:type="dxa"/>
            <w:gridSpan w:val="13"/>
            <w:shd w:val="clear" w:color="auto" w:fill="FFFFFF"/>
            <w:noWrap/>
            <w:vAlign w:val="center"/>
          </w:tcPr>
          <w:p w:rsidR="0047763C" w:rsidRPr="005E5C54" w:rsidRDefault="0047763C" w:rsidP="005E5C54">
            <w:pPr>
              <w:spacing w:before="240" w:after="20"/>
              <w:rPr>
                <w:rFonts w:cs="Arial"/>
                <w:sz w:val="20"/>
                <w:szCs w:val="20"/>
                <w:lang w:eastAsia="en-AU"/>
              </w:rPr>
            </w:pPr>
            <w:r w:rsidRPr="005E5C54">
              <w:rPr>
                <w:rFonts w:cs="Arial"/>
                <w:b/>
                <w:bCs/>
                <w:i/>
                <w:sz w:val="20"/>
                <w:szCs w:val="20"/>
                <w:lang w:eastAsia="en-AU"/>
              </w:rPr>
              <w:lastRenderedPageBreak/>
              <w:t>Other Regional Centres</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Bairnsdale</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18</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$170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6.3%</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113</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$230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4.5%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43</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$240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239</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$290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3.6%</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Benalla</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36</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$150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103</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$180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-2.7%</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$210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7.7%</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158</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$253</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1.2%</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Castlemaine</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39</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$270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2.7%</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66</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$290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2.5%</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127</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$315</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-1.6%</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Echuca</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32</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$170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21.4%</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122</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$240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4.3%</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27</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$265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6.0%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184</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$310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6.9%</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Hamilton</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27</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$140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59</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$190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-9.5%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44</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$200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170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$240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-4.0%</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Horsham</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39</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$200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8.1%</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187</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$215</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11.4%</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46</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$200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-4.8%</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256</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$265</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1.9%</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Mildura</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88</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$180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17.6%</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307</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5.3%</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96</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$240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9.1%</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581</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$280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5.7%</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Moe-Newborough</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86</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$120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4.3%</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119</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$160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6.7%</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74</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$185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2.8%</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225</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$240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9.1%</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Morwell</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33</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$130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8.3%</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132</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$170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84</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$185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8.8%</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320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$210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2.4%</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Ocean Grove-Barwon Heads</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71</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$280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-3.4%</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32</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$318</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6.0%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244</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$360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0.0%</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Portland</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$155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3.3%</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73</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$170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-2.9%</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32</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$205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-2.4%</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191</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$230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-2.1%</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Sale-Maffra</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85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$169</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12.7%</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157</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$240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9.1%</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71</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$230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7.0%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392</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$280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7.7%</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Seymour</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14</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$155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3.3%</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34</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11.1%</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12</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$225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2.3%</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79</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$250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0.0%</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Shepparton</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111</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$165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6.5%</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406</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$210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120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$238</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3.5%</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720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$279</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3.3%</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Swan Hill</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59</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$135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106</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$215</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7.5%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31</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$220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4.8%</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150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$260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0.0%</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Torquay</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13</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$240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55</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$330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8.2%</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32</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$330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1.5%</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224</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$420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5.0%</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Traralgon</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85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$175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18.2%</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181</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$220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5.8%</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73</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$240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-4.0%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488</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$280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0.0%</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Wangaratta</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51</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$150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7.1%</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160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$197</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52</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$235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304</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$275</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0.0%</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Warragul</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93</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$230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42</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$250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4.2%</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199</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$290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7.4%</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Warrnambool</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79</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$200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9.3%</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369</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$230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93</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$260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-3.7%</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494</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$318</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6.0%</w:t>
            </w:r>
          </w:p>
        </w:tc>
      </w:tr>
      <w:tr w:rsidR="002D40CD" w:rsidRPr="005E5C54" w:rsidTr="005E5C54">
        <w:tc>
          <w:tcPr>
            <w:tcW w:w="3686" w:type="dxa"/>
            <w:noWrap/>
            <w:vAlign w:val="center"/>
          </w:tcPr>
          <w:p w:rsidR="002D40CD" w:rsidRPr="005623AB" w:rsidRDefault="002D40CD" w:rsidP="004B57AE">
            <w:pPr>
              <w:spacing w:beforeLines="20" w:before="48" w:afterLines="20" w:after="48"/>
              <w:rPr>
                <w:rFonts w:cs="Arial"/>
                <w:sz w:val="20"/>
                <w:szCs w:val="20"/>
                <w:lang w:eastAsia="en-AU"/>
              </w:rPr>
            </w:pPr>
            <w:r w:rsidRPr="005623AB">
              <w:rPr>
                <w:rFonts w:cs="Arial"/>
                <w:sz w:val="20"/>
                <w:szCs w:val="20"/>
                <w:lang w:eastAsia="en-AU"/>
              </w:rPr>
              <w:t>Wodonga</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52</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$175</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0.0%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326</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$220</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2.3%</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59</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$250</w:t>
            </w:r>
          </w:p>
        </w:tc>
        <w:tc>
          <w:tcPr>
            <w:tcW w:w="964" w:type="dxa"/>
            <w:shd w:val="clear" w:color="auto" w:fill="DEE4EE"/>
            <w:noWrap/>
            <w:vAlign w:val="center"/>
          </w:tcPr>
          <w:p w:rsidR="002D40CD" w:rsidRPr="005E5C54" w:rsidRDefault="002D40CD" w:rsidP="005E5C54">
            <w:pPr>
              <w:jc w:val="right"/>
              <w:rPr>
                <w:rFonts w:cs="Arial"/>
                <w:sz w:val="20"/>
                <w:szCs w:val="20"/>
              </w:rPr>
            </w:pPr>
            <w:r w:rsidRPr="005E5C54">
              <w:rPr>
                <w:rFonts w:cs="Arial"/>
                <w:sz w:val="20"/>
                <w:szCs w:val="20"/>
              </w:rPr>
              <w:t>-3.8%</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591</w:t>
            </w:r>
          </w:p>
        </w:tc>
        <w:tc>
          <w:tcPr>
            <w:tcW w:w="964" w:type="dxa"/>
            <w:noWrap/>
            <w:vAlign w:val="center"/>
          </w:tcPr>
          <w:p w:rsidR="002D40CD" w:rsidRPr="005E5C54" w:rsidRDefault="002D40CD" w:rsidP="005E5C54">
            <w:pPr>
              <w:jc w:val="right"/>
              <w:rPr>
                <w:rFonts w:cs="Arial"/>
                <w:sz w:val="20"/>
                <w:szCs w:val="20"/>
              </w:rPr>
            </w:pPr>
            <w:r w:rsidRPr="005E5C54">
              <w:rPr>
                <w:rFonts w:cs="Arial"/>
                <w:sz w:val="20"/>
                <w:szCs w:val="20"/>
              </w:rPr>
              <w:t>$300</w:t>
            </w:r>
          </w:p>
        </w:tc>
        <w:tc>
          <w:tcPr>
            <w:tcW w:w="986" w:type="dxa"/>
            <w:noWrap/>
            <w:vAlign w:val="center"/>
          </w:tcPr>
          <w:p w:rsidR="002D40CD" w:rsidRPr="005E5C54" w:rsidRDefault="002D40CD" w:rsidP="005E5C54">
            <w:pPr>
              <w:jc w:val="right"/>
              <w:rPr>
                <w:rFonts w:cs="Arial"/>
                <w:sz w:val="20"/>
                <w:szCs w:val="20"/>
              </w:rPr>
            </w:pPr>
            <w:r w:rsidRPr="005E5C54">
              <w:rPr>
                <w:rFonts w:cs="Arial"/>
                <w:sz w:val="20"/>
                <w:szCs w:val="20"/>
              </w:rPr>
              <w:t>3.4%</w:t>
            </w:r>
          </w:p>
        </w:tc>
      </w:tr>
      <w:tr w:rsidR="002D40CD" w:rsidRPr="003F4B94" w:rsidTr="003F4B94">
        <w:trPr>
          <w:trHeight w:val="567"/>
        </w:trPr>
        <w:tc>
          <w:tcPr>
            <w:tcW w:w="3686" w:type="dxa"/>
            <w:noWrap/>
            <w:vAlign w:val="center"/>
          </w:tcPr>
          <w:p w:rsidR="002D40CD" w:rsidRPr="003F4B94" w:rsidRDefault="002D40CD" w:rsidP="003F4B94">
            <w:pPr>
              <w:spacing w:beforeLines="20" w:before="48" w:afterLines="20" w:after="48"/>
              <w:jc w:val="right"/>
              <w:rPr>
                <w:rFonts w:cs="Arial"/>
                <w:b/>
                <w:i/>
                <w:sz w:val="20"/>
                <w:szCs w:val="20"/>
                <w:lang w:eastAsia="en-AU"/>
              </w:rPr>
            </w:pPr>
            <w:r w:rsidRPr="003F4B94">
              <w:rPr>
                <w:rFonts w:cs="Arial"/>
                <w:b/>
                <w:bCs/>
                <w:i/>
                <w:sz w:val="20"/>
                <w:szCs w:val="20"/>
                <w:lang w:eastAsia="en-AU"/>
              </w:rPr>
              <w:t>Other Regional Centres</w:t>
            </w:r>
            <w:r w:rsidRPr="003F4B94">
              <w:rPr>
                <w:rFonts w:cs="Arial"/>
                <w:b/>
                <w:i/>
                <w:sz w:val="20"/>
                <w:szCs w:val="20"/>
                <w:lang w:eastAsia="en-AU"/>
              </w:rPr>
              <w:t xml:space="preserve"> Total</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951</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$160</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6.7%</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3,212</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$215</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2.4%</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1,164</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$235</w:t>
            </w:r>
          </w:p>
        </w:tc>
        <w:tc>
          <w:tcPr>
            <w:tcW w:w="964" w:type="dxa"/>
            <w:shd w:val="clear" w:color="auto" w:fill="DEE4EE"/>
            <w:noWrap/>
            <w:vAlign w:val="center"/>
          </w:tcPr>
          <w:p w:rsidR="002D40CD" w:rsidRPr="003F4B94" w:rsidRDefault="002D40CD" w:rsidP="005E5C54">
            <w:pPr>
              <w:jc w:val="right"/>
              <w:rPr>
                <w:rFonts w:cs="Arial"/>
                <w:b/>
                <w:i/>
                <w:sz w:val="20"/>
                <w:szCs w:val="20"/>
              </w:rPr>
            </w:pPr>
            <w:r w:rsidRPr="003F4B94">
              <w:rPr>
                <w:rFonts w:cs="Arial"/>
                <w:b/>
                <w:i/>
                <w:sz w:val="20"/>
                <w:szCs w:val="20"/>
              </w:rPr>
              <w:t>2.2%</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6,336</w:t>
            </w:r>
          </w:p>
        </w:tc>
        <w:tc>
          <w:tcPr>
            <w:tcW w:w="964" w:type="dxa"/>
            <w:noWrap/>
            <w:vAlign w:val="center"/>
          </w:tcPr>
          <w:p w:rsidR="002D40CD" w:rsidRPr="003F4B94" w:rsidRDefault="002D40CD" w:rsidP="005E5C54">
            <w:pPr>
              <w:jc w:val="right"/>
              <w:rPr>
                <w:rFonts w:cs="Arial"/>
                <w:b/>
                <w:i/>
                <w:sz w:val="20"/>
                <w:szCs w:val="20"/>
              </w:rPr>
            </w:pPr>
            <w:r w:rsidRPr="003F4B94">
              <w:rPr>
                <w:rFonts w:cs="Arial"/>
                <w:b/>
                <w:i/>
                <w:sz w:val="20"/>
                <w:szCs w:val="20"/>
              </w:rPr>
              <w:t>$280</w:t>
            </w:r>
          </w:p>
        </w:tc>
        <w:tc>
          <w:tcPr>
            <w:tcW w:w="986" w:type="dxa"/>
            <w:noWrap/>
            <w:vAlign w:val="center"/>
          </w:tcPr>
          <w:p w:rsidR="002D40CD" w:rsidRPr="003F4B94" w:rsidRDefault="002D40CD" w:rsidP="005E5C54">
            <w:pPr>
              <w:jc w:val="right"/>
              <w:rPr>
                <w:rFonts w:cs="Arial"/>
                <w:b/>
                <w:i/>
                <w:sz w:val="20"/>
                <w:szCs w:val="20"/>
              </w:rPr>
            </w:pPr>
            <w:r w:rsidRPr="003F4B94">
              <w:rPr>
                <w:rFonts w:cs="Arial"/>
                <w:b/>
                <w:i/>
                <w:sz w:val="20"/>
                <w:szCs w:val="20"/>
              </w:rPr>
              <w:t>1.8%</w:t>
            </w:r>
          </w:p>
        </w:tc>
      </w:tr>
    </w:tbl>
    <w:p w:rsidR="0047763C" w:rsidRDefault="0047763C">
      <w:pPr>
        <w:rPr>
          <w:rFonts w:cs="Arial"/>
        </w:rPr>
      </w:pPr>
    </w:p>
    <w:p w:rsidR="0047763C" w:rsidRPr="003961F0" w:rsidRDefault="001903E1" w:rsidP="003961F0">
      <w:pPr>
        <w:rPr>
          <w:rFonts w:cs="Arial"/>
          <w:b/>
          <w:sz w:val="20"/>
          <w:szCs w:val="20"/>
        </w:rPr>
      </w:pPr>
      <w:r>
        <w:rPr>
          <w:rFonts w:cs="Arial"/>
        </w:rPr>
        <w:br w:type="page"/>
      </w:r>
      <w:r w:rsidR="0047763C" w:rsidRPr="003961F0">
        <w:rPr>
          <w:rFonts w:cs="Arial"/>
          <w:b/>
          <w:sz w:val="20"/>
          <w:szCs w:val="20"/>
        </w:rPr>
        <w:lastRenderedPageBreak/>
        <w:t>Table 12 –Median rents for local government area</w:t>
      </w:r>
      <w:r w:rsidR="0047763C">
        <w:rPr>
          <w:rFonts w:cs="Arial"/>
          <w:b/>
          <w:sz w:val="20"/>
          <w:szCs w:val="20"/>
        </w:rPr>
        <w:t>s by DHS region, by major property type</w:t>
      </w:r>
    </w:p>
    <w:tbl>
      <w:tblPr>
        <w:tblW w:w="15254"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686"/>
        <w:gridCol w:w="964"/>
        <w:gridCol w:w="964"/>
        <w:gridCol w:w="964"/>
        <w:gridCol w:w="964"/>
        <w:gridCol w:w="964"/>
        <w:gridCol w:w="964"/>
        <w:gridCol w:w="964"/>
        <w:gridCol w:w="964"/>
        <w:gridCol w:w="964"/>
        <w:gridCol w:w="964"/>
        <w:gridCol w:w="964"/>
        <w:gridCol w:w="964"/>
      </w:tblGrid>
      <w:tr w:rsidR="0047763C" w:rsidRPr="001903E1" w:rsidTr="00B0105F">
        <w:trPr>
          <w:trHeight w:val="170"/>
          <w:tblHeader/>
        </w:trPr>
        <w:tc>
          <w:tcPr>
            <w:tcW w:w="3686" w:type="dxa"/>
            <w:vMerge w:val="restart"/>
            <w:tcBorders>
              <w:top w:val="single" w:sz="18" w:space="0" w:color="9DAECB"/>
              <w:bottom w:val="single" w:sz="2" w:space="0" w:color="9DAECB"/>
            </w:tcBorders>
            <w:noWrap/>
            <w:vAlign w:val="center"/>
          </w:tcPr>
          <w:p w:rsidR="0047763C" w:rsidRPr="001903E1" w:rsidRDefault="0047763C" w:rsidP="00D01B90">
            <w:pPr>
              <w:rPr>
                <w:rFonts w:cs="Arial"/>
                <w:b/>
                <w:sz w:val="20"/>
                <w:szCs w:val="20"/>
                <w:lang w:eastAsia="en-AU"/>
              </w:rPr>
            </w:pPr>
            <w:r w:rsidRPr="001903E1">
              <w:rPr>
                <w:rFonts w:cs="Arial"/>
                <w:b/>
                <w:sz w:val="20"/>
                <w:szCs w:val="20"/>
                <w:lang w:eastAsia="en-AU"/>
              </w:rPr>
              <w:t>LGA</w:t>
            </w:r>
          </w:p>
        </w:tc>
        <w:tc>
          <w:tcPr>
            <w:tcW w:w="2892" w:type="dxa"/>
            <w:gridSpan w:val="3"/>
            <w:tcBorders>
              <w:top w:val="single" w:sz="18" w:space="0" w:color="9DAECB"/>
              <w:bottom w:val="single" w:sz="2" w:space="0" w:color="9DAECB"/>
            </w:tcBorders>
            <w:shd w:val="clear" w:color="auto" w:fill="DEE4EE"/>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1 Bed Flat</w:t>
            </w:r>
          </w:p>
        </w:tc>
        <w:tc>
          <w:tcPr>
            <w:tcW w:w="2892" w:type="dxa"/>
            <w:gridSpan w:val="3"/>
            <w:tcBorders>
              <w:top w:val="single" w:sz="18" w:space="0" w:color="9DAECB"/>
              <w:bottom w:val="single" w:sz="2" w:space="0" w:color="9DAECB"/>
            </w:tcBorders>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2 Bed Flat</w:t>
            </w:r>
          </w:p>
        </w:tc>
        <w:tc>
          <w:tcPr>
            <w:tcW w:w="2892" w:type="dxa"/>
            <w:gridSpan w:val="3"/>
            <w:tcBorders>
              <w:top w:val="single" w:sz="18" w:space="0" w:color="9DAECB"/>
              <w:bottom w:val="single" w:sz="2" w:space="0" w:color="9DAECB"/>
            </w:tcBorders>
            <w:shd w:val="clear" w:color="auto" w:fill="DEE4EE"/>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2 Bed House</w:t>
            </w:r>
          </w:p>
        </w:tc>
        <w:tc>
          <w:tcPr>
            <w:tcW w:w="2892" w:type="dxa"/>
            <w:gridSpan w:val="3"/>
            <w:tcBorders>
              <w:top w:val="single" w:sz="18" w:space="0" w:color="9DAECB"/>
              <w:bottom w:val="single" w:sz="2" w:space="0" w:color="9DAECB"/>
            </w:tcBorders>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3 Bed House</w:t>
            </w:r>
          </w:p>
        </w:tc>
      </w:tr>
      <w:tr w:rsidR="001903E1" w:rsidRPr="001903E1" w:rsidTr="00B0105F">
        <w:trPr>
          <w:trHeight w:val="170"/>
          <w:tblHeader/>
        </w:trPr>
        <w:tc>
          <w:tcPr>
            <w:tcW w:w="3686" w:type="dxa"/>
            <w:vMerge/>
            <w:tcBorders>
              <w:top w:val="single" w:sz="2" w:space="0" w:color="9DAECB"/>
              <w:bottom w:val="single" w:sz="12" w:space="0" w:color="9DAECB"/>
            </w:tcBorders>
            <w:noWrap/>
            <w:vAlign w:val="center"/>
          </w:tcPr>
          <w:p w:rsidR="001903E1" w:rsidRPr="001903E1" w:rsidRDefault="001903E1" w:rsidP="00D01B90">
            <w:pPr>
              <w:rPr>
                <w:rFonts w:cs="Arial"/>
                <w:b/>
                <w:bCs/>
                <w:sz w:val="20"/>
                <w:szCs w:val="20"/>
                <w:lang w:eastAsia="en-AU"/>
              </w:rPr>
            </w:pP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r>
      <w:tr w:rsidR="002D40CD" w:rsidRPr="009734B0" w:rsidTr="009734B0">
        <w:trPr>
          <w:trHeight w:val="170"/>
        </w:trPr>
        <w:tc>
          <w:tcPr>
            <w:tcW w:w="3686" w:type="dxa"/>
            <w:tcBorders>
              <w:top w:val="single" w:sz="12" w:space="0" w:color="9DAECB"/>
            </w:tcBorders>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Colac-Otway</w:t>
            </w:r>
          </w:p>
        </w:tc>
        <w:tc>
          <w:tcPr>
            <w:tcW w:w="964" w:type="dxa"/>
            <w:tcBorders>
              <w:top w:val="single" w:sz="1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17</w:t>
            </w:r>
          </w:p>
        </w:tc>
        <w:tc>
          <w:tcPr>
            <w:tcW w:w="964" w:type="dxa"/>
            <w:tcBorders>
              <w:top w:val="single" w:sz="1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$185</w:t>
            </w:r>
          </w:p>
        </w:tc>
        <w:tc>
          <w:tcPr>
            <w:tcW w:w="964" w:type="dxa"/>
            <w:tcBorders>
              <w:top w:val="single" w:sz="1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-2.6%</w:t>
            </w:r>
          </w:p>
        </w:tc>
        <w:tc>
          <w:tcPr>
            <w:tcW w:w="964" w:type="dxa"/>
            <w:tcBorders>
              <w:top w:val="single" w:sz="1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19</w:t>
            </w:r>
          </w:p>
        </w:tc>
        <w:tc>
          <w:tcPr>
            <w:tcW w:w="964" w:type="dxa"/>
            <w:tcBorders>
              <w:top w:val="single" w:sz="1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$225</w:t>
            </w:r>
          </w:p>
        </w:tc>
        <w:tc>
          <w:tcPr>
            <w:tcW w:w="964" w:type="dxa"/>
            <w:tcBorders>
              <w:top w:val="single" w:sz="1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0.0%</w:t>
            </w:r>
          </w:p>
        </w:tc>
        <w:tc>
          <w:tcPr>
            <w:tcW w:w="964" w:type="dxa"/>
            <w:tcBorders>
              <w:top w:val="single" w:sz="1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top w:val="single" w:sz="1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top w:val="single" w:sz="1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top w:val="single" w:sz="1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15</w:t>
            </w:r>
          </w:p>
        </w:tc>
        <w:tc>
          <w:tcPr>
            <w:tcW w:w="964" w:type="dxa"/>
            <w:tcBorders>
              <w:top w:val="single" w:sz="1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$230</w:t>
            </w:r>
          </w:p>
        </w:tc>
        <w:tc>
          <w:tcPr>
            <w:tcW w:w="964" w:type="dxa"/>
            <w:tcBorders>
              <w:top w:val="single" w:sz="1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-2.1%</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Corangamite</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$228</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12.3%</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Glenelg</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7</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$155</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-35.7%</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14</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$170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6.3%</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7</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$250</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7.3%</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$210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-4.5%</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Greater</w:t>
            </w:r>
            <w:r>
              <w:rPr>
                <w:rFonts w:cs="Arial"/>
                <w:sz w:val="20"/>
                <w:szCs w:val="20"/>
                <w:lang w:eastAsia="en-AU"/>
              </w:rPr>
              <w:t xml:space="preserve"> </w:t>
            </w:r>
            <w:r w:rsidRPr="001903E1">
              <w:rPr>
                <w:rFonts w:cs="Arial"/>
                <w:sz w:val="20"/>
                <w:szCs w:val="20"/>
                <w:lang w:eastAsia="en-AU"/>
              </w:rPr>
              <w:t>Geelong</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150</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$208</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4.0%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363</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$280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3.7%</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107</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$340</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3.0%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207</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$290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3.6%</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Moyne</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8</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$260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2.0%</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5</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$280</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6</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$285</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3.6%</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Queenscliffe</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Southern</w:t>
            </w:r>
            <w:r>
              <w:rPr>
                <w:rFonts w:cs="Arial"/>
                <w:sz w:val="20"/>
                <w:szCs w:val="20"/>
                <w:lang w:eastAsia="en-AU"/>
              </w:rPr>
              <w:t xml:space="preserve"> </w:t>
            </w:r>
            <w:r w:rsidRPr="001903E1">
              <w:rPr>
                <w:rFonts w:cs="Arial"/>
                <w:sz w:val="20"/>
                <w:szCs w:val="20"/>
                <w:lang w:eastAsia="en-AU"/>
              </w:rPr>
              <w:t>Grampians</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7</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$133</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-1.5%</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12</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$198</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13.1%</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8</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$200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0.0%</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Surf</w:t>
            </w:r>
            <w:r>
              <w:rPr>
                <w:rFonts w:cs="Arial"/>
                <w:sz w:val="20"/>
                <w:szCs w:val="20"/>
                <w:lang w:eastAsia="en-AU"/>
              </w:rPr>
              <w:t xml:space="preserve"> </w:t>
            </w:r>
            <w:r w:rsidRPr="001903E1">
              <w:rPr>
                <w:rFonts w:cs="Arial"/>
                <w:sz w:val="20"/>
                <w:szCs w:val="20"/>
                <w:lang w:eastAsia="en-AU"/>
              </w:rPr>
              <w:t>Coast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5</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$225</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17</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$325</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8.3%</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18</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$397</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-0.8%</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7</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$270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-14.3%</w:t>
            </w:r>
          </w:p>
        </w:tc>
      </w:tr>
      <w:tr w:rsidR="002D40CD" w:rsidRPr="009734B0" w:rsidTr="009734B0">
        <w:trPr>
          <w:trHeight w:val="170"/>
        </w:trPr>
        <w:tc>
          <w:tcPr>
            <w:tcW w:w="3686" w:type="dxa"/>
            <w:tcBorders>
              <w:bottom w:val="single" w:sz="2" w:space="0" w:color="9DAECB"/>
            </w:tcBorders>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Warrnambool</w:t>
            </w:r>
          </w:p>
        </w:tc>
        <w:tc>
          <w:tcPr>
            <w:tcW w:w="964" w:type="dxa"/>
            <w:tcBorders>
              <w:bottom w:val="single" w:sz="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19</w:t>
            </w:r>
          </w:p>
        </w:tc>
        <w:tc>
          <w:tcPr>
            <w:tcW w:w="964" w:type="dxa"/>
            <w:tcBorders>
              <w:bottom w:val="single" w:sz="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$220</w:t>
            </w:r>
          </w:p>
        </w:tc>
        <w:tc>
          <w:tcPr>
            <w:tcW w:w="964" w:type="dxa"/>
            <w:tcBorders>
              <w:bottom w:val="single" w:sz="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10.0%</w:t>
            </w:r>
          </w:p>
        </w:tc>
        <w:tc>
          <w:tcPr>
            <w:tcW w:w="964" w:type="dxa"/>
            <w:tcBorders>
              <w:bottom w:val="single" w:sz="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95</w:t>
            </w:r>
          </w:p>
        </w:tc>
        <w:tc>
          <w:tcPr>
            <w:tcW w:w="964" w:type="dxa"/>
            <w:tcBorders>
              <w:bottom w:val="single" w:sz="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$235</w:t>
            </w:r>
          </w:p>
        </w:tc>
        <w:tc>
          <w:tcPr>
            <w:tcW w:w="964" w:type="dxa"/>
            <w:tcBorders>
              <w:bottom w:val="single" w:sz="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2.2%</w:t>
            </w:r>
          </w:p>
        </w:tc>
        <w:tc>
          <w:tcPr>
            <w:tcW w:w="964" w:type="dxa"/>
            <w:tcBorders>
              <w:bottom w:val="single" w:sz="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10</w:t>
            </w:r>
          </w:p>
        </w:tc>
        <w:tc>
          <w:tcPr>
            <w:tcW w:w="964" w:type="dxa"/>
            <w:tcBorders>
              <w:bottom w:val="single" w:sz="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$303</w:t>
            </w:r>
          </w:p>
        </w:tc>
        <w:tc>
          <w:tcPr>
            <w:tcW w:w="964" w:type="dxa"/>
            <w:tcBorders>
              <w:bottom w:val="single" w:sz="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-5.3%</w:t>
            </w:r>
          </w:p>
        </w:tc>
        <w:tc>
          <w:tcPr>
            <w:tcW w:w="964" w:type="dxa"/>
            <w:tcBorders>
              <w:bottom w:val="single" w:sz="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22</w:t>
            </w:r>
          </w:p>
        </w:tc>
        <w:tc>
          <w:tcPr>
            <w:tcW w:w="964" w:type="dxa"/>
            <w:tcBorders>
              <w:bottom w:val="single" w:sz="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$260</w:t>
            </w:r>
          </w:p>
        </w:tc>
        <w:tc>
          <w:tcPr>
            <w:tcW w:w="964" w:type="dxa"/>
            <w:tcBorders>
              <w:bottom w:val="single" w:sz="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-3.7%</w:t>
            </w:r>
          </w:p>
        </w:tc>
      </w:tr>
      <w:tr w:rsidR="002D40CD" w:rsidRPr="003F4B94" w:rsidTr="003F4B94">
        <w:trPr>
          <w:trHeight w:val="454"/>
        </w:trPr>
        <w:tc>
          <w:tcPr>
            <w:tcW w:w="3686" w:type="dxa"/>
            <w:tcBorders>
              <w:top w:val="single" w:sz="2" w:space="0" w:color="9DAECB"/>
              <w:bottom w:val="single" w:sz="12" w:space="0" w:color="9DAECB"/>
            </w:tcBorders>
            <w:noWrap/>
            <w:vAlign w:val="center"/>
          </w:tcPr>
          <w:p w:rsidR="002D40CD" w:rsidRPr="003F4B94" w:rsidRDefault="002D40CD" w:rsidP="003F4B94">
            <w:pPr>
              <w:spacing w:before="60" w:after="60"/>
              <w:jc w:val="right"/>
              <w:rPr>
                <w:rFonts w:cs="Arial"/>
                <w:b/>
                <w:bCs/>
                <w:i/>
                <w:sz w:val="20"/>
                <w:szCs w:val="20"/>
                <w:lang w:eastAsia="en-AU"/>
              </w:rPr>
            </w:pPr>
            <w:r w:rsidRPr="003F4B94">
              <w:rPr>
                <w:rFonts w:cs="Arial"/>
                <w:b/>
                <w:bCs/>
                <w:i/>
                <w:sz w:val="20"/>
                <w:szCs w:val="20"/>
                <w:lang w:eastAsia="en-AU"/>
              </w:rPr>
              <w:t>Barwon-South West</w:t>
            </w:r>
          </w:p>
        </w:tc>
        <w:tc>
          <w:tcPr>
            <w:tcW w:w="964" w:type="dxa"/>
            <w:tcBorders>
              <w:top w:val="single" w:sz="2" w:space="0" w:color="9DAECB"/>
              <w:bottom w:val="single" w:sz="12" w:space="0" w:color="9DAECB"/>
            </w:tcBorders>
            <w:shd w:val="clear" w:color="auto" w:fill="DEE4EE"/>
            <w:noWrap/>
            <w:vAlign w:val="center"/>
          </w:tcPr>
          <w:p w:rsidR="002D40CD" w:rsidRPr="003F4B94" w:rsidRDefault="002D40CD" w:rsidP="009734B0">
            <w:pPr>
              <w:jc w:val="right"/>
              <w:rPr>
                <w:rFonts w:cs="Arial"/>
                <w:b/>
                <w:i/>
                <w:sz w:val="20"/>
                <w:szCs w:val="20"/>
              </w:rPr>
            </w:pPr>
            <w:r w:rsidRPr="003F4B94">
              <w:rPr>
                <w:rFonts w:cs="Arial"/>
                <w:b/>
                <w:i/>
                <w:sz w:val="20"/>
                <w:szCs w:val="20"/>
              </w:rPr>
              <w:t>209</w:t>
            </w:r>
          </w:p>
        </w:tc>
        <w:tc>
          <w:tcPr>
            <w:tcW w:w="964" w:type="dxa"/>
            <w:tcBorders>
              <w:top w:val="single" w:sz="2" w:space="0" w:color="9DAECB"/>
              <w:bottom w:val="single" w:sz="12" w:space="0" w:color="9DAECB"/>
            </w:tcBorders>
            <w:shd w:val="clear" w:color="auto" w:fill="DEE4EE"/>
            <w:noWrap/>
            <w:vAlign w:val="center"/>
          </w:tcPr>
          <w:p w:rsidR="002D40CD" w:rsidRPr="003F4B94" w:rsidRDefault="002D40CD" w:rsidP="009734B0">
            <w:pPr>
              <w:jc w:val="right"/>
              <w:rPr>
                <w:rFonts w:cs="Arial"/>
                <w:b/>
                <w:i/>
                <w:sz w:val="20"/>
                <w:szCs w:val="20"/>
              </w:rPr>
            </w:pPr>
            <w:r w:rsidRPr="003F4B94">
              <w:rPr>
                <w:rFonts w:cs="Arial"/>
                <w:b/>
                <w:i/>
                <w:sz w:val="20"/>
                <w:szCs w:val="20"/>
              </w:rPr>
              <w:t>$200</w:t>
            </w:r>
          </w:p>
        </w:tc>
        <w:tc>
          <w:tcPr>
            <w:tcW w:w="964" w:type="dxa"/>
            <w:tcBorders>
              <w:top w:val="single" w:sz="2" w:space="0" w:color="9DAECB"/>
              <w:bottom w:val="single" w:sz="12" w:space="0" w:color="9DAECB"/>
            </w:tcBorders>
            <w:shd w:val="clear" w:color="auto" w:fill="DEE4EE"/>
            <w:noWrap/>
            <w:vAlign w:val="center"/>
          </w:tcPr>
          <w:p w:rsidR="002D40CD" w:rsidRPr="003F4B94" w:rsidRDefault="002D40CD" w:rsidP="009734B0">
            <w:pPr>
              <w:jc w:val="right"/>
              <w:rPr>
                <w:rFonts w:cs="Arial"/>
                <w:b/>
                <w:i/>
                <w:sz w:val="20"/>
                <w:szCs w:val="20"/>
              </w:rPr>
            </w:pPr>
            <w:r w:rsidRPr="003F4B94">
              <w:rPr>
                <w:rFonts w:cs="Arial"/>
                <w:b/>
                <w:i/>
                <w:sz w:val="20"/>
                <w:szCs w:val="20"/>
              </w:rPr>
              <w:t>0.0%</w:t>
            </w:r>
          </w:p>
        </w:tc>
        <w:tc>
          <w:tcPr>
            <w:tcW w:w="964" w:type="dxa"/>
            <w:tcBorders>
              <w:top w:val="single" w:sz="2" w:space="0" w:color="9DAECB"/>
              <w:bottom w:val="single" w:sz="12" w:space="0" w:color="9DAECB"/>
            </w:tcBorders>
            <w:noWrap/>
            <w:vAlign w:val="center"/>
          </w:tcPr>
          <w:p w:rsidR="002D40CD" w:rsidRPr="003F4B94" w:rsidRDefault="002D40CD" w:rsidP="009734B0">
            <w:pPr>
              <w:jc w:val="right"/>
              <w:rPr>
                <w:rFonts w:cs="Arial"/>
                <w:b/>
                <w:i/>
                <w:sz w:val="20"/>
                <w:szCs w:val="20"/>
              </w:rPr>
            </w:pPr>
            <w:r w:rsidRPr="003F4B94">
              <w:rPr>
                <w:rFonts w:cs="Arial"/>
                <w:b/>
                <w:i/>
                <w:sz w:val="20"/>
                <w:szCs w:val="20"/>
              </w:rPr>
              <w:t>535</w:t>
            </w:r>
          </w:p>
        </w:tc>
        <w:tc>
          <w:tcPr>
            <w:tcW w:w="964" w:type="dxa"/>
            <w:tcBorders>
              <w:top w:val="single" w:sz="2" w:space="0" w:color="9DAECB"/>
              <w:bottom w:val="single" w:sz="12" w:space="0" w:color="9DAECB"/>
            </w:tcBorders>
            <w:noWrap/>
            <w:vAlign w:val="center"/>
          </w:tcPr>
          <w:p w:rsidR="002D40CD" w:rsidRPr="003F4B94" w:rsidRDefault="002D40CD" w:rsidP="009734B0">
            <w:pPr>
              <w:jc w:val="right"/>
              <w:rPr>
                <w:rFonts w:cs="Arial"/>
                <w:b/>
                <w:i/>
                <w:sz w:val="20"/>
                <w:szCs w:val="20"/>
              </w:rPr>
            </w:pPr>
            <w:r w:rsidRPr="003F4B94">
              <w:rPr>
                <w:rFonts w:cs="Arial"/>
                <w:b/>
                <w:i/>
                <w:sz w:val="20"/>
                <w:szCs w:val="20"/>
              </w:rPr>
              <w:t>$265</w:t>
            </w:r>
          </w:p>
        </w:tc>
        <w:tc>
          <w:tcPr>
            <w:tcW w:w="964" w:type="dxa"/>
            <w:tcBorders>
              <w:top w:val="single" w:sz="2" w:space="0" w:color="9DAECB"/>
              <w:bottom w:val="single" w:sz="12" w:space="0" w:color="9DAECB"/>
            </w:tcBorders>
            <w:noWrap/>
            <w:vAlign w:val="center"/>
          </w:tcPr>
          <w:p w:rsidR="002D40CD" w:rsidRPr="003F4B94" w:rsidRDefault="002D40CD" w:rsidP="009734B0">
            <w:pPr>
              <w:jc w:val="right"/>
              <w:rPr>
                <w:rFonts w:cs="Arial"/>
                <w:b/>
                <w:i/>
                <w:sz w:val="20"/>
                <w:szCs w:val="20"/>
              </w:rPr>
            </w:pPr>
            <w:r w:rsidRPr="003F4B94">
              <w:rPr>
                <w:rFonts w:cs="Arial"/>
                <w:b/>
                <w:i/>
                <w:sz w:val="20"/>
                <w:szCs w:val="20"/>
              </w:rPr>
              <w:t>1.9%</w:t>
            </w:r>
          </w:p>
        </w:tc>
        <w:tc>
          <w:tcPr>
            <w:tcW w:w="964" w:type="dxa"/>
            <w:tcBorders>
              <w:top w:val="single" w:sz="2" w:space="0" w:color="9DAECB"/>
              <w:bottom w:val="single" w:sz="12" w:space="0" w:color="9DAECB"/>
            </w:tcBorders>
            <w:shd w:val="clear" w:color="auto" w:fill="DEE4EE"/>
            <w:noWrap/>
            <w:vAlign w:val="center"/>
          </w:tcPr>
          <w:p w:rsidR="002D40CD" w:rsidRPr="003F4B94" w:rsidRDefault="002D40CD" w:rsidP="009734B0">
            <w:pPr>
              <w:jc w:val="right"/>
              <w:rPr>
                <w:rFonts w:cs="Arial"/>
                <w:b/>
                <w:i/>
                <w:sz w:val="20"/>
                <w:szCs w:val="20"/>
              </w:rPr>
            </w:pPr>
            <w:r w:rsidRPr="003F4B94">
              <w:rPr>
                <w:rFonts w:cs="Arial"/>
                <w:b/>
                <w:i/>
                <w:sz w:val="20"/>
                <w:szCs w:val="20"/>
              </w:rPr>
              <w:t>155</w:t>
            </w:r>
          </w:p>
        </w:tc>
        <w:tc>
          <w:tcPr>
            <w:tcW w:w="964" w:type="dxa"/>
            <w:tcBorders>
              <w:top w:val="single" w:sz="2" w:space="0" w:color="9DAECB"/>
              <w:bottom w:val="single" w:sz="12" w:space="0" w:color="9DAECB"/>
            </w:tcBorders>
            <w:shd w:val="clear" w:color="auto" w:fill="DEE4EE"/>
            <w:noWrap/>
            <w:vAlign w:val="center"/>
          </w:tcPr>
          <w:p w:rsidR="002D40CD" w:rsidRPr="003F4B94" w:rsidRDefault="002D40CD" w:rsidP="009734B0">
            <w:pPr>
              <w:jc w:val="right"/>
              <w:rPr>
                <w:rFonts w:cs="Arial"/>
                <w:b/>
                <w:i/>
                <w:sz w:val="20"/>
                <w:szCs w:val="20"/>
              </w:rPr>
            </w:pPr>
            <w:r w:rsidRPr="003F4B94">
              <w:rPr>
                <w:rFonts w:cs="Arial"/>
                <w:b/>
                <w:i/>
                <w:sz w:val="20"/>
                <w:szCs w:val="20"/>
              </w:rPr>
              <w:t>$340</w:t>
            </w:r>
          </w:p>
        </w:tc>
        <w:tc>
          <w:tcPr>
            <w:tcW w:w="964" w:type="dxa"/>
            <w:tcBorders>
              <w:top w:val="single" w:sz="2" w:space="0" w:color="9DAECB"/>
              <w:bottom w:val="single" w:sz="12" w:space="0" w:color="9DAECB"/>
            </w:tcBorders>
            <w:shd w:val="clear" w:color="auto" w:fill="DEE4EE"/>
            <w:noWrap/>
            <w:vAlign w:val="center"/>
          </w:tcPr>
          <w:p w:rsidR="002D40CD" w:rsidRPr="003F4B94" w:rsidRDefault="002D40CD" w:rsidP="009734B0">
            <w:pPr>
              <w:jc w:val="right"/>
              <w:rPr>
                <w:rFonts w:cs="Arial"/>
                <w:b/>
                <w:i/>
                <w:sz w:val="20"/>
                <w:szCs w:val="20"/>
              </w:rPr>
            </w:pPr>
            <w:r w:rsidRPr="003F4B94">
              <w:rPr>
                <w:rFonts w:cs="Arial"/>
                <w:b/>
                <w:i/>
                <w:sz w:val="20"/>
                <w:szCs w:val="20"/>
              </w:rPr>
              <w:t>3.0%</w:t>
            </w:r>
          </w:p>
        </w:tc>
        <w:tc>
          <w:tcPr>
            <w:tcW w:w="964" w:type="dxa"/>
            <w:tcBorders>
              <w:top w:val="single" w:sz="2" w:space="0" w:color="9DAECB"/>
              <w:bottom w:val="single" w:sz="12" w:space="0" w:color="9DAECB"/>
            </w:tcBorders>
            <w:noWrap/>
            <w:vAlign w:val="center"/>
          </w:tcPr>
          <w:p w:rsidR="002D40CD" w:rsidRPr="003F4B94" w:rsidRDefault="002D40CD" w:rsidP="009734B0">
            <w:pPr>
              <w:jc w:val="right"/>
              <w:rPr>
                <w:rFonts w:cs="Arial"/>
                <w:b/>
                <w:i/>
                <w:sz w:val="20"/>
                <w:szCs w:val="20"/>
              </w:rPr>
            </w:pPr>
            <w:r w:rsidRPr="003F4B94">
              <w:rPr>
                <w:rFonts w:cs="Arial"/>
                <w:b/>
                <w:i/>
                <w:sz w:val="20"/>
                <w:szCs w:val="20"/>
              </w:rPr>
              <w:t>285</w:t>
            </w:r>
          </w:p>
        </w:tc>
        <w:tc>
          <w:tcPr>
            <w:tcW w:w="964" w:type="dxa"/>
            <w:tcBorders>
              <w:top w:val="single" w:sz="2" w:space="0" w:color="9DAECB"/>
              <w:bottom w:val="single" w:sz="12" w:space="0" w:color="9DAECB"/>
            </w:tcBorders>
            <w:noWrap/>
            <w:vAlign w:val="center"/>
          </w:tcPr>
          <w:p w:rsidR="002D40CD" w:rsidRPr="003F4B94" w:rsidRDefault="002D40CD" w:rsidP="009734B0">
            <w:pPr>
              <w:jc w:val="right"/>
              <w:rPr>
                <w:rFonts w:cs="Arial"/>
                <w:b/>
                <w:i/>
                <w:sz w:val="20"/>
                <w:szCs w:val="20"/>
              </w:rPr>
            </w:pPr>
            <w:r w:rsidRPr="003F4B94">
              <w:rPr>
                <w:rFonts w:cs="Arial"/>
                <w:b/>
                <w:i/>
                <w:sz w:val="20"/>
                <w:szCs w:val="20"/>
              </w:rPr>
              <w:t>$275</w:t>
            </w:r>
          </w:p>
        </w:tc>
        <w:tc>
          <w:tcPr>
            <w:tcW w:w="964" w:type="dxa"/>
            <w:tcBorders>
              <w:top w:val="single" w:sz="2" w:space="0" w:color="9DAECB"/>
              <w:bottom w:val="single" w:sz="12" w:space="0" w:color="9DAECB"/>
            </w:tcBorders>
            <w:noWrap/>
            <w:vAlign w:val="center"/>
          </w:tcPr>
          <w:p w:rsidR="002D40CD" w:rsidRPr="003F4B94" w:rsidRDefault="002D40CD" w:rsidP="009734B0">
            <w:pPr>
              <w:jc w:val="right"/>
              <w:rPr>
                <w:rFonts w:cs="Arial"/>
                <w:b/>
                <w:i/>
                <w:sz w:val="20"/>
                <w:szCs w:val="20"/>
              </w:rPr>
            </w:pPr>
            <w:r w:rsidRPr="003F4B94">
              <w:rPr>
                <w:rFonts w:cs="Arial"/>
                <w:b/>
                <w:i/>
                <w:sz w:val="20"/>
                <w:szCs w:val="20"/>
              </w:rPr>
              <w:t>1.9%</w:t>
            </w:r>
          </w:p>
        </w:tc>
      </w:tr>
      <w:tr w:rsidR="002D40CD" w:rsidRPr="009734B0" w:rsidTr="009734B0">
        <w:trPr>
          <w:trHeight w:val="170"/>
        </w:trPr>
        <w:tc>
          <w:tcPr>
            <w:tcW w:w="3686" w:type="dxa"/>
            <w:tcBorders>
              <w:top w:val="single" w:sz="12" w:space="0" w:color="9DAECB"/>
            </w:tcBorders>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Ararat</w:t>
            </w:r>
          </w:p>
        </w:tc>
        <w:tc>
          <w:tcPr>
            <w:tcW w:w="964" w:type="dxa"/>
            <w:tcBorders>
              <w:top w:val="single" w:sz="1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top w:val="single" w:sz="1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top w:val="single" w:sz="1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top w:val="single" w:sz="1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16</w:t>
            </w:r>
          </w:p>
        </w:tc>
        <w:tc>
          <w:tcPr>
            <w:tcW w:w="964" w:type="dxa"/>
            <w:tcBorders>
              <w:top w:val="single" w:sz="1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$228</w:t>
            </w:r>
          </w:p>
        </w:tc>
        <w:tc>
          <w:tcPr>
            <w:tcW w:w="964" w:type="dxa"/>
            <w:tcBorders>
              <w:top w:val="single" w:sz="1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3.6%</w:t>
            </w:r>
          </w:p>
        </w:tc>
        <w:tc>
          <w:tcPr>
            <w:tcW w:w="964" w:type="dxa"/>
            <w:tcBorders>
              <w:top w:val="single" w:sz="1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top w:val="single" w:sz="1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top w:val="single" w:sz="1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top w:val="single" w:sz="1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10</w:t>
            </w:r>
          </w:p>
        </w:tc>
        <w:tc>
          <w:tcPr>
            <w:tcW w:w="964" w:type="dxa"/>
            <w:tcBorders>
              <w:top w:val="single" w:sz="1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$215</w:t>
            </w:r>
          </w:p>
        </w:tc>
        <w:tc>
          <w:tcPr>
            <w:tcW w:w="964" w:type="dxa"/>
            <w:tcBorders>
              <w:top w:val="single" w:sz="1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-2.3%</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Ballarat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59</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$170</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6.3%</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153</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$230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-2.1%</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52</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$280</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0.7%</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131</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$240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-1.2%</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Golden Plains</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Hepburn</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$260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0.0%</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18</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$305</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5.2%</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Hindmarsh</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Horsham</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11</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$135</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-38.6%</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48</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$215</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2.4%</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11</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$310</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14.8%</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8</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$185</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-19.6%</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Moorabool</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11</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$260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13.0%</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9</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$320</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6.7%</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Northern Grampians</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10</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$123</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-7.5%</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11</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$155</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-3.1%</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8</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$200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0.0%</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Pyrenees</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6</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$210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-2.3%</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West Wimmera</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r>
      <w:tr w:rsidR="002D40CD" w:rsidRPr="009734B0" w:rsidTr="009734B0">
        <w:trPr>
          <w:trHeight w:val="170"/>
        </w:trPr>
        <w:tc>
          <w:tcPr>
            <w:tcW w:w="3686" w:type="dxa"/>
            <w:tcBorders>
              <w:bottom w:val="single" w:sz="2" w:space="0" w:color="9DAECB"/>
            </w:tcBorders>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Yarriambiack</w:t>
            </w:r>
          </w:p>
        </w:tc>
        <w:tc>
          <w:tcPr>
            <w:tcW w:w="964" w:type="dxa"/>
            <w:tcBorders>
              <w:bottom w:val="single" w:sz="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bottom w:val="single" w:sz="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bottom w:val="single" w:sz="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bottom w:val="single" w:sz="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bottom w:val="single" w:sz="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bottom w:val="single" w:sz="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bottom w:val="single" w:sz="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bottom w:val="single" w:sz="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bottom w:val="single" w:sz="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bottom w:val="single" w:sz="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6</w:t>
            </w:r>
          </w:p>
        </w:tc>
        <w:tc>
          <w:tcPr>
            <w:tcW w:w="964" w:type="dxa"/>
            <w:tcBorders>
              <w:bottom w:val="single" w:sz="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$140</w:t>
            </w:r>
          </w:p>
        </w:tc>
        <w:tc>
          <w:tcPr>
            <w:tcW w:w="964" w:type="dxa"/>
            <w:tcBorders>
              <w:bottom w:val="single" w:sz="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w:t>
            </w:r>
          </w:p>
        </w:tc>
      </w:tr>
      <w:tr w:rsidR="002D40CD" w:rsidRPr="003F4B94" w:rsidTr="003F4B94">
        <w:trPr>
          <w:trHeight w:val="454"/>
        </w:trPr>
        <w:tc>
          <w:tcPr>
            <w:tcW w:w="3686" w:type="dxa"/>
            <w:tcBorders>
              <w:top w:val="single" w:sz="2" w:space="0" w:color="9DAECB"/>
              <w:bottom w:val="single" w:sz="12" w:space="0" w:color="9DAECB"/>
            </w:tcBorders>
            <w:noWrap/>
            <w:vAlign w:val="center"/>
          </w:tcPr>
          <w:p w:rsidR="002D40CD" w:rsidRPr="003F4B94" w:rsidRDefault="002D40CD" w:rsidP="003F4B94">
            <w:pPr>
              <w:spacing w:before="60" w:after="60"/>
              <w:jc w:val="right"/>
              <w:rPr>
                <w:rFonts w:cs="Arial"/>
                <w:b/>
                <w:bCs/>
                <w:i/>
                <w:sz w:val="20"/>
                <w:szCs w:val="20"/>
                <w:lang w:eastAsia="en-AU"/>
              </w:rPr>
            </w:pPr>
            <w:r w:rsidRPr="003F4B94">
              <w:rPr>
                <w:rFonts w:cs="Arial"/>
                <w:b/>
                <w:bCs/>
                <w:i/>
                <w:sz w:val="20"/>
                <w:szCs w:val="20"/>
                <w:lang w:eastAsia="en-AU"/>
              </w:rPr>
              <w:t>Grampians</w:t>
            </w:r>
          </w:p>
        </w:tc>
        <w:tc>
          <w:tcPr>
            <w:tcW w:w="964" w:type="dxa"/>
            <w:tcBorders>
              <w:top w:val="single" w:sz="2" w:space="0" w:color="9DAECB"/>
              <w:bottom w:val="single" w:sz="12" w:space="0" w:color="9DAECB"/>
            </w:tcBorders>
            <w:shd w:val="clear" w:color="auto" w:fill="DEE4EE"/>
            <w:noWrap/>
            <w:vAlign w:val="center"/>
          </w:tcPr>
          <w:p w:rsidR="002D40CD" w:rsidRPr="003F4B94" w:rsidRDefault="002D40CD" w:rsidP="009734B0">
            <w:pPr>
              <w:jc w:val="right"/>
              <w:rPr>
                <w:rFonts w:cs="Arial"/>
                <w:b/>
                <w:i/>
                <w:sz w:val="20"/>
                <w:szCs w:val="20"/>
              </w:rPr>
            </w:pPr>
            <w:r w:rsidRPr="003F4B94">
              <w:rPr>
                <w:rFonts w:cs="Arial"/>
                <w:b/>
                <w:i/>
                <w:sz w:val="20"/>
                <w:szCs w:val="20"/>
              </w:rPr>
              <w:t>93</w:t>
            </w:r>
          </w:p>
        </w:tc>
        <w:tc>
          <w:tcPr>
            <w:tcW w:w="964" w:type="dxa"/>
            <w:tcBorders>
              <w:top w:val="single" w:sz="2" w:space="0" w:color="9DAECB"/>
              <w:bottom w:val="single" w:sz="12" w:space="0" w:color="9DAECB"/>
            </w:tcBorders>
            <w:shd w:val="clear" w:color="auto" w:fill="DEE4EE"/>
            <w:noWrap/>
            <w:vAlign w:val="center"/>
          </w:tcPr>
          <w:p w:rsidR="002D40CD" w:rsidRPr="003F4B94" w:rsidRDefault="002D40CD" w:rsidP="009734B0">
            <w:pPr>
              <w:jc w:val="right"/>
              <w:rPr>
                <w:rFonts w:cs="Arial"/>
                <w:b/>
                <w:i/>
                <w:sz w:val="20"/>
                <w:szCs w:val="20"/>
              </w:rPr>
            </w:pPr>
            <w:r w:rsidRPr="003F4B94">
              <w:rPr>
                <w:rFonts w:cs="Arial"/>
                <w:b/>
                <w:i/>
                <w:sz w:val="20"/>
                <w:szCs w:val="20"/>
              </w:rPr>
              <w:t>$165</w:t>
            </w:r>
          </w:p>
        </w:tc>
        <w:tc>
          <w:tcPr>
            <w:tcW w:w="964" w:type="dxa"/>
            <w:tcBorders>
              <w:top w:val="single" w:sz="2" w:space="0" w:color="9DAECB"/>
              <w:bottom w:val="single" w:sz="12" w:space="0" w:color="9DAECB"/>
            </w:tcBorders>
            <w:shd w:val="clear" w:color="auto" w:fill="DEE4EE"/>
            <w:noWrap/>
            <w:vAlign w:val="center"/>
          </w:tcPr>
          <w:p w:rsidR="002D40CD" w:rsidRPr="003F4B94" w:rsidRDefault="002D40CD" w:rsidP="009734B0">
            <w:pPr>
              <w:jc w:val="right"/>
              <w:rPr>
                <w:rFonts w:cs="Arial"/>
                <w:b/>
                <w:i/>
                <w:sz w:val="20"/>
                <w:szCs w:val="20"/>
              </w:rPr>
            </w:pPr>
            <w:r w:rsidRPr="003F4B94">
              <w:rPr>
                <w:rFonts w:cs="Arial"/>
                <w:b/>
                <w:i/>
                <w:sz w:val="20"/>
                <w:szCs w:val="20"/>
              </w:rPr>
              <w:t>6.5%</w:t>
            </w:r>
          </w:p>
        </w:tc>
        <w:tc>
          <w:tcPr>
            <w:tcW w:w="964" w:type="dxa"/>
            <w:tcBorders>
              <w:top w:val="single" w:sz="2" w:space="0" w:color="9DAECB"/>
              <w:bottom w:val="single" w:sz="12" w:space="0" w:color="9DAECB"/>
            </w:tcBorders>
            <w:noWrap/>
            <w:vAlign w:val="center"/>
          </w:tcPr>
          <w:p w:rsidR="002D40CD" w:rsidRPr="003F4B94" w:rsidRDefault="002D40CD" w:rsidP="009734B0">
            <w:pPr>
              <w:jc w:val="right"/>
              <w:rPr>
                <w:rFonts w:cs="Arial"/>
                <w:b/>
                <w:i/>
                <w:sz w:val="20"/>
                <w:szCs w:val="20"/>
              </w:rPr>
            </w:pPr>
            <w:r w:rsidRPr="003F4B94">
              <w:rPr>
                <w:rFonts w:cs="Arial"/>
                <w:b/>
                <w:i/>
                <w:sz w:val="20"/>
                <w:szCs w:val="20"/>
              </w:rPr>
              <w:t>255</w:t>
            </w:r>
          </w:p>
        </w:tc>
        <w:tc>
          <w:tcPr>
            <w:tcW w:w="964" w:type="dxa"/>
            <w:tcBorders>
              <w:top w:val="single" w:sz="2" w:space="0" w:color="9DAECB"/>
              <w:bottom w:val="single" w:sz="12" w:space="0" w:color="9DAECB"/>
            </w:tcBorders>
            <w:noWrap/>
            <w:vAlign w:val="center"/>
          </w:tcPr>
          <w:p w:rsidR="002D40CD" w:rsidRPr="003F4B94" w:rsidRDefault="002D40CD" w:rsidP="009734B0">
            <w:pPr>
              <w:jc w:val="right"/>
              <w:rPr>
                <w:rFonts w:cs="Arial"/>
                <w:b/>
                <w:i/>
                <w:sz w:val="20"/>
                <w:szCs w:val="20"/>
              </w:rPr>
            </w:pPr>
            <w:r w:rsidRPr="003F4B94">
              <w:rPr>
                <w:rFonts w:cs="Arial"/>
                <w:b/>
                <w:i/>
                <w:sz w:val="20"/>
                <w:szCs w:val="20"/>
              </w:rPr>
              <w:t>$230</w:t>
            </w:r>
          </w:p>
        </w:tc>
        <w:tc>
          <w:tcPr>
            <w:tcW w:w="964" w:type="dxa"/>
            <w:tcBorders>
              <w:top w:val="single" w:sz="2" w:space="0" w:color="9DAECB"/>
              <w:bottom w:val="single" w:sz="12" w:space="0" w:color="9DAECB"/>
            </w:tcBorders>
            <w:noWrap/>
            <w:vAlign w:val="center"/>
          </w:tcPr>
          <w:p w:rsidR="002D40CD" w:rsidRPr="003F4B94" w:rsidRDefault="002D40CD" w:rsidP="009734B0">
            <w:pPr>
              <w:jc w:val="right"/>
              <w:rPr>
                <w:rFonts w:cs="Arial"/>
                <w:b/>
                <w:i/>
                <w:sz w:val="20"/>
                <w:szCs w:val="20"/>
              </w:rPr>
            </w:pPr>
            <w:r w:rsidRPr="003F4B94">
              <w:rPr>
                <w:rFonts w:cs="Arial"/>
                <w:b/>
                <w:i/>
                <w:sz w:val="20"/>
                <w:szCs w:val="20"/>
              </w:rPr>
              <w:t>0.0%</w:t>
            </w:r>
          </w:p>
        </w:tc>
        <w:tc>
          <w:tcPr>
            <w:tcW w:w="964" w:type="dxa"/>
            <w:tcBorders>
              <w:top w:val="single" w:sz="2" w:space="0" w:color="9DAECB"/>
              <w:bottom w:val="single" w:sz="12" w:space="0" w:color="9DAECB"/>
            </w:tcBorders>
            <w:shd w:val="clear" w:color="auto" w:fill="DEE4EE"/>
            <w:noWrap/>
            <w:vAlign w:val="center"/>
          </w:tcPr>
          <w:p w:rsidR="002D40CD" w:rsidRPr="003F4B94" w:rsidRDefault="002D40CD" w:rsidP="009734B0">
            <w:pPr>
              <w:jc w:val="right"/>
              <w:rPr>
                <w:rFonts w:cs="Arial"/>
                <w:b/>
                <w:i/>
                <w:sz w:val="20"/>
                <w:szCs w:val="20"/>
              </w:rPr>
            </w:pPr>
            <w:r w:rsidRPr="003F4B94">
              <w:rPr>
                <w:rFonts w:cs="Arial"/>
                <w:b/>
                <w:i/>
                <w:sz w:val="20"/>
                <w:szCs w:val="20"/>
              </w:rPr>
              <w:t>78</w:t>
            </w:r>
          </w:p>
        </w:tc>
        <w:tc>
          <w:tcPr>
            <w:tcW w:w="964" w:type="dxa"/>
            <w:tcBorders>
              <w:top w:val="single" w:sz="2" w:space="0" w:color="9DAECB"/>
              <w:bottom w:val="single" w:sz="12" w:space="0" w:color="9DAECB"/>
            </w:tcBorders>
            <w:shd w:val="clear" w:color="auto" w:fill="DEE4EE"/>
            <w:noWrap/>
            <w:vAlign w:val="center"/>
          </w:tcPr>
          <w:p w:rsidR="002D40CD" w:rsidRPr="003F4B94" w:rsidRDefault="002D40CD" w:rsidP="009734B0">
            <w:pPr>
              <w:jc w:val="right"/>
              <w:rPr>
                <w:rFonts w:cs="Arial"/>
                <w:b/>
                <w:i/>
                <w:sz w:val="20"/>
                <w:szCs w:val="20"/>
              </w:rPr>
            </w:pPr>
            <w:r w:rsidRPr="003F4B94">
              <w:rPr>
                <w:rFonts w:cs="Arial"/>
                <w:b/>
                <w:i/>
                <w:sz w:val="20"/>
                <w:szCs w:val="20"/>
              </w:rPr>
              <w:t>$288</w:t>
            </w:r>
          </w:p>
        </w:tc>
        <w:tc>
          <w:tcPr>
            <w:tcW w:w="964" w:type="dxa"/>
            <w:tcBorders>
              <w:top w:val="single" w:sz="2" w:space="0" w:color="9DAECB"/>
              <w:bottom w:val="single" w:sz="12" w:space="0" w:color="9DAECB"/>
            </w:tcBorders>
            <w:shd w:val="clear" w:color="auto" w:fill="DEE4EE"/>
            <w:noWrap/>
            <w:vAlign w:val="center"/>
          </w:tcPr>
          <w:p w:rsidR="002D40CD" w:rsidRPr="003F4B94" w:rsidRDefault="002D40CD" w:rsidP="009734B0">
            <w:pPr>
              <w:jc w:val="right"/>
              <w:rPr>
                <w:rFonts w:cs="Arial"/>
                <w:b/>
                <w:i/>
                <w:sz w:val="20"/>
                <w:szCs w:val="20"/>
              </w:rPr>
            </w:pPr>
            <w:r w:rsidRPr="003F4B94">
              <w:rPr>
                <w:rFonts w:cs="Arial"/>
                <w:b/>
                <w:i/>
                <w:sz w:val="20"/>
                <w:szCs w:val="20"/>
              </w:rPr>
              <w:t>2.9%</w:t>
            </w:r>
          </w:p>
        </w:tc>
        <w:tc>
          <w:tcPr>
            <w:tcW w:w="964" w:type="dxa"/>
            <w:tcBorders>
              <w:top w:val="single" w:sz="2" w:space="0" w:color="9DAECB"/>
              <w:bottom w:val="single" w:sz="12" w:space="0" w:color="9DAECB"/>
            </w:tcBorders>
            <w:noWrap/>
            <w:vAlign w:val="center"/>
          </w:tcPr>
          <w:p w:rsidR="002D40CD" w:rsidRPr="003F4B94" w:rsidRDefault="002D40CD" w:rsidP="009734B0">
            <w:pPr>
              <w:jc w:val="right"/>
              <w:rPr>
                <w:rFonts w:cs="Arial"/>
                <w:b/>
                <w:i/>
                <w:sz w:val="20"/>
                <w:szCs w:val="20"/>
              </w:rPr>
            </w:pPr>
            <w:r w:rsidRPr="003F4B94">
              <w:rPr>
                <w:rFonts w:cs="Arial"/>
                <w:b/>
                <w:i/>
                <w:sz w:val="20"/>
                <w:szCs w:val="20"/>
              </w:rPr>
              <w:t>198</w:t>
            </w:r>
          </w:p>
        </w:tc>
        <w:tc>
          <w:tcPr>
            <w:tcW w:w="964" w:type="dxa"/>
            <w:tcBorders>
              <w:top w:val="single" w:sz="2" w:space="0" w:color="9DAECB"/>
              <w:bottom w:val="single" w:sz="12" w:space="0" w:color="9DAECB"/>
            </w:tcBorders>
            <w:noWrap/>
            <w:vAlign w:val="center"/>
          </w:tcPr>
          <w:p w:rsidR="002D40CD" w:rsidRPr="003F4B94" w:rsidRDefault="002D40CD" w:rsidP="009734B0">
            <w:pPr>
              <w:jc w:val="right"/>
              <w:rPr>
                <w:rFonts w:cs="Arial"/>
                <w:b/>
                <w:i/>
                <w:sz w:val="20"/>
                <w:szCs w:val="20"/>
              </w:rPr>
            </w:pPr>
            <w:r w:rsidRPr="003F4B94">
              <w:rPr>
                <w:rFonts w:cs="Arial"/>
                <w:b/>
                <w:i/>
                <w:sz w:val="20"/>
                <w:szCs w:val="20"/>
              </w:rPr>
              <w:t>$235</w:t>
            </w:r>
          </w:p>
        </w:tc>
        <w:tc>
          <w:tcPr>
            <w:tcW w:w="964" w:type="dxa"/>
            <w:tcBorders>
              <w:top w:val="single" w:sz="2" w:space="0" w:color="9DAECB"/>
              <w:bottom w:val="single" w:sz="12" w:space="0" w:color="9DAECB"/>
            </w:tcBorders>
            <w:noWrap/>
            <w:vAlign w:val="center"/>
          </w:tcPr>
          <w:p w:rsidR="002D40CD" w:rsidRPr="003F4B94" w:rsidRDefault="002D40CD" w:rsidP="009734B0">
            <w:pPr>
              <w:jc w:val="right"/>
              <w:rPr>
                <w:rFonts w:cs="Arial"/>
                <w:b/>
                <w:i/>
                <w:sz w:val="20"/>
                <w:szCs w:val="20"/>
              </w:rPr>
            </w:pPr>
            <w:r w:rsidRPr="003F4B94">
              <w:rPr>
                <w:rFonts w:cs="Arial"/>
                <w:b/>
                <w:i/>
                <w:sz w:val="20"/>
                <w:szCs w:val="20"/>
              </w:rPr>
              <w:t>-2.1%</w:t>
            </w:r>
          </w:p>
        </w:tc>
      </w:tr>
      <w:tr w:rsidR="002D40CD" w:rsidRPr="009734B0" w:rsidTr="009734B0">
        <w:trPr>
          <w:trHeight w:val="170"/>
        </w:trPr>
        <w:tc>
          <w:tcPr>
            <w:tcW w:w="3686" w:type="dxa"/>
            <w:tcBorders>
              <w:top w:val="single" w:sz="12" w:space="0" w:color="9DAECB"/>
            </w:tcBorders>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Buloke</w:t>
            </w:r>
          </w:p>
        </w:tc>
        <w:tc>
          <w:tcPr>
            <w:tcW w:w="964" w:type="dxa"/>
            <w:tcBorders>
              <w:top w:val="single" w:sz="1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top w:val="single" w:sz="1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top w:val="single" w:sz="1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top w:val="single" w:sz="1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top w:val="single" w:sz="1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top w:val="single" w:sz="1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top w:val="single" w:sz="1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top w:val="single" w:sz="1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top w:val="single" w:sz="12" w:space="0" w:color="9DAECB"/>
            </w:tcBorders>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top w:val="single" w:sz="1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top w:val="single" w:sz="1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tcBorders>
              <w:top w:val="single" w:sz="12" w:space="0" w:color="9DAECB"/>
            </w:tcBorders>
            <w:noWrap/>
            <w:vAlign w:val="center"/>
          </w:tcPr>
          <w:p w:rsidR="002D40CD" w:rsidRPr="009734B0" w:rsidRDefault="002D40CD" w:rsidP="009734B0">
            <w:pPr>
              <w:jc w:val="right"/>
              <w:rPr>
                <w:rFonts w:cs="Arial"/>
                <w:sz w:val="20"/>
                <w:szCs w:val="20"/>
              </w:rPr>
            </w:pPr>
            <w:r w:rsidRPr="009734B0">
              <w:rPr>
                <w:rFonts w:cs="Arial"/>
                <w:sz w:val="20"/>
                <w:szCs w:val="20"/>
              </w:rPr>
              <w:t>-</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Campaspe</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12</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$145</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16.0%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46</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$225</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2.3%</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11</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$300</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7.1%</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19</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$200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-7.0%</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Central Goldfields</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9</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$215</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22.9%</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8</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$195</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-11.4%</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Gannawarra</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Greater Bendigo</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22</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$163</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-4.1%</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164</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$240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4.3%</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39</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$270</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-3.6%</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107</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$250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0.0%</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Loddon</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Macedon Ranges</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5</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$170</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-11.9%</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22</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$295</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9.3%</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14</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$333</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-0.6%</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$300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-1.6%</w:t>
            </w:r>
          </w:p>
        </w:tc>
      </w:tr>
      <w:tr w:rsidR="002D40CD" w:rsidRPr="009734B0" w:rsidTr="009734B0">
        <w:trPr>
          <w:trHeight w:val="170"/>
        </w:trPr>
        <w:tc>
          <w:tcPr>
            <w:tcW w:w="3686" w:type="dxa"/>
            <w:noWrap/>
            <w:vAlign w:val="center"/>
          </w:tcPr>
          <w:p w:rsidR="002D40CD" w:rsidRPr="001903E1" w:rsidRDefault="002D40CD" w:rsidP="004C589C">
            <w:pPr>
              <w:spacing w:before="20" w:after="20"/>
              <w:rPr>
                <w:rFonts w:cs="Arial"/>
                <w:sz w:val="20"/>
                <w:szCs w:val="20"/>
                <w:lang w:eastAsia="en-AU"/>
              </w:rPr>
            </w:pPr>
            <w:r w:rsidRPr="001903E1">
              <w:rPr>
                <w:rFonts w:cs="Arial"/>
                <w:sz w:val="20"/>
                <w:szCs w:val="20"/>
                <w:lang w:eastAsia="en-AU"/>
              </w:rPr>
              <w:t>Mildura</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30</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$160</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-11.1%</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86</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$193</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1.6%</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17</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$250</w:t>
            </w:r>
          </w:p>
        </w:tc>
        <w:tc>
          <w:tcPr>
            <w:tcW w:w="964" w:type="dxa"/>
            <w:shd w:val="clear" w:color="auto" w:fill="DEE4EE"/>
            <w:noWrap/>
            <w:vAlign w:val="center"/>
          </w:tcPr>
          <w:p w:rsidR="002D40CD" w:rsidRPr="009734B0" w:rsidRDefault="002D40CD" w:rsidP="009734B0">
            <w:pPr>
              <w:jc w:val="right"/>
              <w:rPr>
                <w:rFonts w:cs="Arial"/>
                <w:sz w:val="20"/>
                <w:szCs w:val="20"/>
              </w:rPr>
            </w:pPr>
            <w:r w:rsidRPr="009734B0">
              <w:rPr>
                <w:rFonts w:cs="Arial"/>
                <w:sz w:val="20"/>
                <w:szCs w:val="20"/>
              </w:rPr>
              <w:t>2.0%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$230</w:t>
            </w:r>
          </w:p>
        </w:tc>
        <w:tc>
          <w:tcPr>
            <w:tcW w:w="964" w:type="dxa"/>
            <w:noWrap/>
            <w:vAlign w:val="center"/>
          </w:tcPr>
          <w:p w:rsidR="002D40CD" w:rsidRPr="009734B0" w:rsidRDefault="002D40CD" w:rsidP="009734B0">
            <w:pPr>
              <w:jc w:val="right"/>
              <w:rPr>
                <w:rFonts w:cs="Arial"/>
                <w:sz w:val="20"/>
                <w:szCs w:val="20"/>
              </w:rPr>
            </w:pPr>
            <w:r w:rsidRPr="009734B0">
              <w:rPr>
                <w:rFonts w:cs="Arial"/>
                <w:sz w:val="20"/>
                <w:szCs w:val="20"/>
              </w:rPr>
              <w:t>3.1%</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lastRenderedPageBreak/>
              <w:t>Mount Alexander</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$280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4.5%</w:t>
            </w:r>
          </w:p>
        </w:tc>
      </w:tr>
      <w:tr w:rsidR="0010143A" w:rsidRPr="009734B0" w:rsidTr="009734B0">
        <w:trPr>
          <w:trHeight w:val="170"/>
        </w:trPr>
        <w:tc>
          <w:tcPr>
            <w:tcW w:w="3686" w:type="dxa"/>
            <w:tcBorders>
              <w:bottom w:val="single" w:sz="2" w:space="0" w:color="9DAECB"/>
            </w:tcBorders>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Swan Hill</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10</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$138</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6.2%</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26</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$210</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-4.5%</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11</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$210</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-4.5%</w:t>
            </w:r>
          </w:p>
        </w:tc>
      </w:tr>
      <w:tr w:rsidR="0010143A" w:rsidRPr="003F4B94" w:rsidTr="003F4B94">
        <w:trPr>
          <w:trHeight w:val="454"/>
        </w:trPr>
        <w:tc>
          <w:tcPr>
            <w:tcW w:w="3686" w:type="dxa"/>
            <w:tcBorders>
              <w:top w:val="single" w:sz="2" w:space="0" w:color="9DAECB"/>
              <w:bottom w:val="single" w:sz="12" w:space="0" w:color="9DAECB"/>
            </w:tcBorders>
            <w:noWrap/>
            <w:vAlign w:val="center"/>
          </w:tcPr>
          <w:p w:rsidR="0010143A" w:rsidRPr="003F4B94" w:rsidRDefault="0010143A" w:rsidP="003F4B94">
            <w:pPr>
              <w:spacing w:before="60" w:after="60"/>
              <w:jc w:val="right"/>
              <w:rPr>
                <w:rFonts w:cs="Arial"/>
                <w:b/>
                <w:bCs/>
                <w:i/>
                <w:sz w:val="20"/>
                <w:szCs w:val="20"/>
                <w:lang w:eastAsia="en-AU"/>
              </w:rPr>
            </w:pPr>
            <w:r w:rsidRPr="003F4B94">
              <w:rPr>
                <w:rFonts w:cs="Arial"/>
                <w:b/>
                <w:bCs/>
                <w:i/>
                <w:sz w:val="20"/>
                <w:szCs w:val="20"/>
                <w:lang w:eastAsia="en-AU"/>
              </w:rPr>
              <w:t>Loddon Mallee</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i/>
                <w:sz w:val="20"/>
                <w:szCs w:val="20"/>
              </w:rPr>
            </w:pPr>
            <w:r w:rsidRPr="003F4B94">
              <w:rPr>
                <w:rFonts w:cs="Arial"/>
                <w:b/>
                <w:i/>
                <w:sz w:val="20"/>
                <w:szCs w:val="20"/>
              </w:rPr>
              <w:t>91</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i/>
                <w:sz w:val="20"/>
                <w:szCs w:val="20"/>
              </w:rPr>
            </w:pPr>
            <w:r w:rsidRPr="003F4B94">
              <w:rPr>
                <w:rFonts w:cs="Arial"/>
                <w:b/>
                <w:i/>
                <w:sz w:val="20"/>
                <w:szCs w:val="20"/>
              </w:rPr>
              <w:t>$160</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i/>
                <w:sz w:val="20"/>
                <w:szCs w:val="20"/>
              </w:rPr>
            </w:pPr>
            <w:r w:rsidRPr="003F4B94">
              <w:rPr>
                <w:rFonts w:cs="Arial"/>
                <w:b/>
                <w:i/>
                <w:sz w:val="20"/>
                <w:szCs w:val="20"/>
              </w:rPr>
              <w:t>0.0%</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i/>
                <w:sz w:val="20"/>
                <w:szCs w:val="20"/>
              </w:rPr>
            </w:pPr>
            <w:r w:rsidRPr="003F4B94">
              <w:rPr>
                <w:rFonts w:cs="Arial"/>
                <w:b/>
                <w:i/>
                <w:sz w:val="20"/>
                <w:szCs w:val="20"/>
              </w:rPr>
              <w:t>363</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i/>
                <w:sz w:val="20"/>
                <w:szCs w:val="20"/>
              </w:rPr>
            </w:pPr>
            <w:r w:rsidRPr="003F4B94">
              <w:rPr>
                <w:rFonts w:cs="Arial"/>
                <w:b/>
                <w:i/>
                <w:sz w:val="20"/>
                <w:szCs w:val="20"/>
              </w:rPr>
              <w:t>$225</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i/>
                <w:sz w:val="20"/>
                <w:szCs w:val="20"/>
              </w:rPr>
            </w:pPr>
            <w:r w:rsidRPr="003F4B94">
              <w:rPr>
                <w:rFonts w:cs="Arial"/>
                <w:b/>
                <w:i/>
                <w:sz w:val="20"/>
                <w:szCs w:val="20"/>
              </w:rPr>
              <w:t>2.3%</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i/>
                <w:sz w:val="20"/>
                <w:szCs w:val="20"/>
              </w:rPr>
            </w:pPr>
            <w:r w:rsidRPr="003F4B94">
              <w:rPr>
                <w:rFonts w:cs="Arial"/>
                <w:b/>
                <w:i/>
                <w:sz w:val="20"/>
                <w:szCs w:val="20"/>
              </w:rPr>
              <w:t>90</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i/>
                <w:sz w:val="20"/>
                <w:szCs w:val="20"/>
              </w:rPr>
            </w:pPr>
            <w:r w:rsidRPr="003F4B94">
              <w:rPr>
                <w:rFonts w:cs="Arial"/>
                <w:b/>
                <w:i/>
                <w:sz w:val="20"/>
                <w:szCs w:val="20"/>
              </w:rPr>
              <w:t>$280</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i/>
                <w:sz w:val="20"/>
                <w:szCs w:val="20"/>
              </w:rPr>
            </w:pPr>
            <w:r w:rsidRPr="003F4B94">
              <w:rPr>
                <w:rFonts w:cs="Arial"/>
                <w:b/>
                <w:i/>
                <w:sz w:val="20"/>
                <w:szCs w:val="20"/>
              </w:rPr>
              <w:t>0.0%</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i/>
                <w:sz w:val="20"/>
                <w:szCs w:val="20"/>
              </w:rPr>
            </w:pPr>
            <w:r w:rsidRPr="003F4B94">
              <w:rPr>
                <w:rFonts w:cs="Arial"/>
                <w:b/>
                <w:i/>
                <w:sz w:val="20"/>
                <w:szCs w:val="20"/>
              </w:rPr>
              <w:t>206</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i/>
                <w:sz w:val="20"/>
                <w:szCs w:val="20"/>
              </w:rPr>
            </w:pPr>
            <w:r w:rsidRPr="003F4B94">
              <w:rPr>
                <w:rFonts w:cs="Arial"/>
                <w:b/>
                <w:i/>
                <w:sz w:val="20"/>
                <w:szCs w:val="20"/>
              </w:rPr>
              <w:t>$245</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i/>
                <w:sz w:val="20"/>
                <w:szCs w:val="20"/>
              </w:rPr>
            </w:pPr>
            <w:r w:rsidRPr="003F4B94">
              <w:rPr>
                <w:rFonts w:cs="Arial"/>
                <w:b/>
                <w:i/>
                <w:sz w:val="20"/>
                <w:szCs w:val="20"/>
              </w:rPr>
              <w:t>2.1%</w:t>
            </w:r>
          </w:p>
        </w:tc>
      </w:tr>
      <w:tr w:rsidR="0010143A" w:rsidRPr="009734B0" w:rsidTr="009734B0">
        <w:trPr>
          <w:trHeight w:val="170"/>
        </w:trPr>
        <w:tc>
          <w:tcPr>
            <w:tcW w:w="3686" w:type="dxa"/>
            <w:tcBorders>
              <w:top w:val="single" w:sz="12" w:space="0" w:color="9DAECB"/>
            </w:tcBorders>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Alpine</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21</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$200</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5.3%</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13</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$240</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14.3%</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Benalla</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$140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-6.7%</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28</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$185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0.0%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7</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$200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-2.4%</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Greater Shepparton</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$165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13.8%</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95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$215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2.4%</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18</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$300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5.3%</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$240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20.0%</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Indigo</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$145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8</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$190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-13.6%</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Mansfield</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13</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$210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-14.3%</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Mitchell</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$260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13.0%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18</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$295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5.4%</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11</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$250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-3.8%</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Moira</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9</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$135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9.8%</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50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$200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3.6%</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11</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$220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-31.3%</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14</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$195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5.4%</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Murrindindi</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11</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$255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2.0%</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Strathbogie</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7</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$200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Towong</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Wangaratta</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$165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0.0%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36</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$193</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$225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-2.2%</w:t>
            </w:r>
          </w:p>
        </w:tc>
      </w:tr>
      <w:tr w:rsidR="0010143A" w:rsidRPr="009734B0" w:rsidTr="009734B0">
        <w:trPr>
          <w:trHeight w:val="170"/>
        </w:trPr>
        <w:tc>
          <w:tcPr>
            <w:tcW w:w="3686" w:type="dxa"/>
            <w:tcBorders>
              <w:bottom w:val="single" w:sz="2" w:space="0" w:color="9DAECB"/>
            </w:tcBorders>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Wodonga</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7</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$180</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4.0%</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72</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$210</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-4.5%</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19</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$270</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-6.9%</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15</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$250</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7.3%</w:t>
            </w:r>
          </w:p>
        </w:tc>
      </w:tr>
      <w:tr w:rsidR="0010143A" w:rsidRPr="003F4B94" w:rsidTr="003F4B94">
        <w:trPr>
          <w:trHeight w:val="454"/>
        </w:trPr>
        <w:tc>
          <w:tcPr>
            <w:tcW w:w="3686" w:type="dxa"/>
            <w:tcBorders>
              <w:top w:val="single" w:sz="2" w:space="0" w:color="9DAECB"/>
              <w:bottom w:val="single" w:sz="12" w:space="0" w:color="9DAECB"/>
            </w:tcBorders>
            <w:noWrap/>
            <w:vAlign w:val="center"/>
          </w:tcPr>
          <w:p w:rsidR="0010143A" w:rsidRPr="003F4B94" w:rsidRDefault="0010143A" w:rsidP="003F4B94">
            <w:pPr>
              <w:spacing w:before="60" w:after="60"/>
              <w:jc w:val="right"/>
              <w:rPr>
                <w:rFonts w:cs="Arial"/>
                <w:b/>
                <w:bCs/>
                <w:i/>
                <w:sz w:val="20"/>
                <w:szCs w:val="20"/>
                <w:lang w:eastAsia="en-AU"/>
              </w:rPr>
            </w:pPr>
            <w:r w:rsidRPr="003F4B94">
              <w:rPr>
                <w:rFonts w:cs="Arial"/>
                <w:b/>
                <w:bCs/>
                <w:i/>
                <w:sz w:val="20"/>
                <w:szCs w:val="20"/>
                <w:lang w:eastAsia="en-AU"/>
              </w:rPr>
              <w:t>Hume</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i/>
                <w:sz w:val="20"/>
                <w:szCs w:val="20"/>
              </w:rPr>
            </w:pPr>
            <w:r w:rsidRPr="003F4B94">
              <w:rPr>
                <w:rFonts w:cs="Arial"/>
                <w:b/>
                <w:i/>
                <w:sz w:val="20"/>
                <w:szCs w:val="20"/>
              </w:rPr>
              <w:t>66</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i/>
                <w:sz w:val="20"/>
                <w:szCs w:val="20"/>
              </w:rPr>
            </w:pPr>
            <w:r w:rsidRPr="003F4B94">
              <w:rPr>
                <w:rFonts w:cs="Arial"/>
                <w:b/>
                <w:i/>
                <w:sz w:val="20"/>
                <w:szCs w:val="20"/>
              </w:rPr>
              <w:t>$160</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i/>
                <w:sz w:val="20"/>
                <w:szCs w:val="20"/>
              </w:rPr>
            </w:pPr>
            <w:r w:rsidRPr="003F4B94">
              <w:rPr>
                <w:rFonts w:cs="Arial"/>
                <w:b/>
                <w:i/>
                <w:sz w:val="20"/>
                <w:szCs w:val="20"/>
              </w:rPr>
              <w:t>0.0%</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i/>
                <w:sz w:val="20"/>
                <w:szCs w:val="20"/>
              </w:rPr>
            </w:pPr>
            <w:r w:rsidRPr="003F4B94">
              <w:rPr>
                <w:rFonts w:cs="Arial"/>
                <w:b/>
                <w:i/>
                <w:sz w:val="20"/>
                <w:szCs w:val="20"/>
              </w:rPr>
              <w:t>355</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i/>
                <w:sz w:val="20"/>
                <w:szCs w:val="20"/>
              </w:rPr>
            </w:pPr>
            <w:r w:rsidRPr="003F4B94">
              <w:rPr>
                <w:rFonts w:cs="Arial"/>
                <w:b/>
                <w:i/>
                <w:sz w:val="20"/>
                <w:szCs w:val="20"/>
              </w:rPr>
              <w:t>$210</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i/>
                <w:sz w:val="20"/>
                <w:szCs w:val="20"/>
              </w:rPr>
            </w:pPr>
            <w:r w:rsidRPr="003F4B94">
              <w:rPr>
                <w:rFonts w:cs="Arial"/>
                <w:b/>
                <w:i/>
                <w:sz w:val="20"/>
                <w:szCs w:val="20"/>
              </w:rPr>
              <w:t>0.0%</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i/>
                <w:sz w:val="20"/>
                <w:szCs w:val="20"/>
              </w:rPr>
            </w:pPr>
            <w:r w:rsidRPr="003F4B94">
              <w:rPr>
                <w:rFonts w:cs="Arial"/>
                <w:b/>
                <w:i/>
                <w:sz w:val="20"/>
                <w:szCs w:val="20"/>
              </w:rPr>
              <w:t>81</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i/>
                <w:sz w:val="20"/>
                <w:szCs w:val="20"/>
              </w:rPr>
            </w:pPr>
            <w:r w:rsidRPr="003F4B94">
              <w:rPr>
                <w:rFonts w:cs="Arial"/>
                <w:b/>
                <w:i/>
                <w:sz w:val="20"/>
                <w:szCs w:val="20"/>
              </w:rPr>
              <w:t>$280</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i/>
                <w:sz w:val="20"/>
                <w:szCs w:val="20"/>
              </w:rPr>
            </w:pPr>
            <w:r w:rsidRPr="003F4B94">
              <w:rPr>
                <w:rFonts w:cs="Arial"/>
                <w:b/>
                <w:i/>
                <w:sz w:val="20"/>
                <w:szCs w:val="20"/>
              </w:rPr>
              <w:t>0.0%</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i/>
                <w:sz w:val="20"/>
                <w:szCs w:val="20"/>
              </w:rPr>
            </w:pPr>
            <w:r w:rsidRPr="003F4B94">
              <w:rPr>
                <w:rFonts w:cs="Arial"/>
                <w:b/>
                <w:i/>
                <w:sz w:val="20"/>
                <w:szCs w:val="20"/>
              </w:rPr>
              <w:t>136</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i/>
                <w:sz w:val="20"/>
                <w:szCs w:val="20"/>
              </w:rPr>
            </w:pPr>
            <w:r w:rsidRPr="003F4B94">
              <w:rPr>
                <w:rFonts w:cs="Arial"/>
                <w:b/>
                <w:i/>
                <w:sz w:val="20"/>
                <w:szCs w:val="20"/>
              </w:rPr>
              <w:t>$240</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i/>
                <w:sz w:val="20"/>
                <w:szCs w:val="20"/>
              </w:rPr>
            </w:pPr>
            <w:r w:rsidRPr="003F4B94">
              <w:rPr>
                <w:rFonts w:cs="Arial"/>
                <w:b/>
                <w:i/>
                <w:sz w:val="20"/>
                <w:szCs w:val="20"/>
              </w:rPr>
              <w:t>6.7%</w:t>
            </w:r>
          </w:p>
        </w:tc>
      </w:tr>
      <w:tr w:rsidR="0010143A" w:rsidRPr="009734B0" w:rsidTr="009734B0">
        <w:trPr>
          <w:trHeight w:val="170"/>
        </w:trPr>
        <w:tc>
          <w:tcPr>
            <w:tcW w:w="3686" w:type="dxa"/>
            <w:tcBorders>
              <w:top w:val="single" w:sz="12" w:space="0" w:color="9DAECB"/>
            </w:tcBorders>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Bass Coast</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7</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$215</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0.9%</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32</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$230</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-8.0%</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12</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$295</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6.9%</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33</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$225</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2.3%</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 xml:space="preserve">Baw </w:t>
            </w:r>
            <w:proofErr w:type="spellStart"/>
            <w:r w:rsidRPr="001903E1">
              <w:rPr>
                <w:rFonts w:cs="Arial"/>
                <w:sz w:val="20"/>
                <w:szCs w:val="20"/>
                <w:lang w:eastAsia="en-AU"/>
              </w:rPr>
              <w:t>Baw</w:t>
            </w:r>
            <w:proofErr w:type="spellEnd"/>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8</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$165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10.0%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58</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$250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4.2%</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11</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$290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1.8%</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$250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0.0%</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East Gippsland</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11</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$157</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1.3%</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54</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$225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2.3%</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$280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-5.1%</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37</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$235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3.1%</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Latrobe</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53</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$145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13.3%</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110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$193</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5.5%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11</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$260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70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$190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0.0%</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South Gippsland</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7</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$160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32</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$240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4.3%</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17</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$200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-1.5%</w:t>
            </w:r>
          </w:p>
        </w:tc>
      </w:tr>
      <w:tr w:rsidR="0010143A" w:rsidRPr="009734B0" w:rsidTr="009734B0">
        <w:trPr>
          <w:trHeight w:val="170"/>
        </w:trPr>
        <w:tc>
          <w:tcPr>
            <w:tcW w:w="3686" w:type="dxa"/>
            <w:tcBorders>
              <w:bottom w:val="single" w:sz="2" w:space="0" w:color="9DAECB"/>
            </w:tcBorders>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Wellington</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16</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$170</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6.3%</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32</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$220</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4.8%</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8</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$300</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1.7%</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26</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$230</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2.2%</w:t>
            </w:r>
          </w:p>
        </w:tc>
      </w:tr>
      <w:tr w:rsidR="0010143A" w:rsidRPr="003F4B94" w:rsidTr="003F4B94">
        <w:trPr>
          <w:trHeight w:val="454"/>
        </w:trPr>
        <w:tc>
          <w:tcPr>
            <w:tcW w:w="3686" w:type="dxa"/>
            <w:tcBorders>
              <w:top w:val="single" w:sz="2" w:space="0" w:color="9DAECB"/>
              <w:bottom w:val="single" w:sz="12" w:space="0" w:color="9DAECB"/>
            </w:tcBorders>
            <w:noWrap/>
            <w:vAlign w:val="center"/>
          </w:tcPr>
          <w:p w:rsidR="0010143A" w:rsidRPr="003F4B94" w:rsidRDefault="0010143A" w:rsidP="003F4B94">
            <w:pPr>
              <w:spacing w:before="60" w:after="60"/>
              <w:jc w:val="right"/>
              <w:rPr>
                <w:rFonts w:cs="Arial"/>
                <w:b/>
                <w:bCs/>
                <w:i/>
                <w:sz w:val="20"/>
                <w:szCs w:val="20"/>
                <w:lang w:eastAsia="en-AU"/>
              </w:rPr>
            </w:pPr>
            <w:r w:rsidRPr="003F4B94">
              <w:rPr>
                <w:rFonts w:cs="Arial"/>
                <w:b/>
                <w:bCs/>
                <w:i/>
                <w:sz w:val="20"/>
                <w:szCs w:val="20"/>
                <w:lang w:eastAsia="en-AU"/>
              </w:rPr>
              <w:t>Gippsland</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i/>
                <w:sz w:val="20"/>
                <w:szCs w:val="20"/>
              </w:rPr>
            </w:pPr>
            <w:r w:rsidRPr="003F4B94">
              <w:rPr>
                <w:rFonts w:cs="Arial"/>
                <w:b/>
                <w:i/>
                <w:sz w:val="20"/>
                <w:szCs w:val="20"/>
              </w:rPr>
              <w:t>102</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i/>
                <w:sz w:val="20"/>
                <w:szCs w:val="20"/>
              </w:rPr>
            </w:pPr>
            <w:r w:rsidRPr="003F4B94">
              <w:rPr>
                <w:rFonts w:cs="Arial"/>
                <w:b/>
                <w:i/>
                <w:sz w:val="20"/>
                <w:szCs w:val="20"/>
              </w:rPr>
              <w:t>$160</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i/>
                <w:sz w:val="20"/>
                <w:szCs w:val="20"/>
              </w:rPr>
            </w:pPr>
            <w:r w:rsidRPr="003F4B94">
              <w:rPr>
                <w:rFonts w:cs="Arial"/>
                <w:b/>
                <w:i/>
                <w:sz w:val="20"/>
                <w:szCs w:val="20"/>
              </w:rPr>
              <w:t>6.7%</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i/>
                <w:sz w:val="20"/>
                <w:szCs w:val="20"/>
              </w:rPr>
            </w:pPr>
            <w:r w:rsidRPr="003F4B94">
              <w:rPr>
                <w:rFonts w:cs="Arial"/>
                <w:b/>
                <w:i/>
                <w:sz w:val="20"/>
                <w:szCs w:val="20"/>
              </w:rPr>
              <w:t>318</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i/>
                <w:sz w:val="20"/>
                <w:szCs w:val="20"/>
              </w:rPr>
            </w:pPr>
            <w:r w:rsidRPr="003F4B94">
              <w:rPr>
                <w:rFonts w:cs="Arial"/>
                <w:b/>
                <w:i/>
                <w:sz w:val="20"/>
                <w:szCs w:val="20"/>
              </w:rPr>
              <w:t>$220</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i/>
                <w:sz w:val="20"/>
                <w:szCs w:val="20"/>
              </w:rPr>
            </w:pPr>
            <w:r w:rsidRPr="003F4B94">
              <w:rPr>
                <w:rFonts w:cs="Arial"/>
                <w:b/>
                <w:i/>
                <w:sz w:val="20"/>
                <w:szCs w:val="20"/>
              </w:rPr>
              <w:t>2.3%</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i/>
                <w:sz w:val="20"/>
                <w:szCs w:val="20"/>
              </w:rPr>
            </w:pPr>
            <w:r w:rsidRPr="003F4B94">
              <w:rPr>
                <w:rFonts w:cs="Arial"/>
                <w:b/>
                <w:i/>
                <w:sz w:val="20"/>
                <w:szCs w:val="20"/>
              </w:rPr>
              <w:t>61</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i/>
                <w:sz w:val="20"/>
                <w:szCs w:val="20"/>
              </w:rPr>
            </w:pPr>
            <w:r w:rsidRPr="003F4B94">
              <w:rPr>
                <w:rFonts w:cs="Arial"/>
                <w:b/>
                <w:i/>
                <w:sz w:val="20"/>
                <w:szCs w:val="20"/>
              </w:rPr>
              <w:t>$280</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i/>
                <w:sz w:val="20"/>
                <w:szCs w:val="20"/>
              </w:rPr>
            </w:pPr>
            <w:r w:rsidRPr="003F4B94">
              <w:rPr>
                <w:rFonts w:cs="Arial"/>
                <w:b/>
                <w:i/>
                <w:sz w:val="20"/>
                <w:szCs w:val="20"/>
              </w:rPr>
              <w:t>0.7%</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i/>
                <w:sz w:val="20"/>
                <w:szCs w:val="20"/>
              </w:rPr>
            </w:pPr>
            <w:r w:rsidRPr="003F4B94">
              <w:rPr>
                <w:rFonts w:cs="Arial"/>
                <w:b/>
                <w:i/>
                <w:sz w:val="20"/>
                <w:szCs w:val="20"/>
              </w:rPr>
              <w:t>208</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i/>
                <w:sz w:val="20"/>
                <w:szCs w:val="20"/>
              </w:rPr>
            </w:pPr>
            <w:r w:rsidRPr="003F4B94">
              <w:rPr>
                <w:rFonts w:cs="Arial"/>
                <w:b/>
                <w:i/>
                <w:sz w:val="20"/>
                <w:szCs w:val="20"/>
              </w:rPr>
              <w:t>$220</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i/>
                <w:sz w:val="20"/>
                <w:szCs w:val="20"/>
              </w:rPr>
            </w:pPr>
            <w:r w:rsidRPr="003F4B94">
              <w:rPr>
                <w:rFonts w:cs="Arial"/>
                <w:b/>
                <w:i/>
                <w:sz w:val="20"/>
                <w:szCs w:val="20"/>
              </w:rPr>
              <w:t>4.8%</w:t>
            </w:r>
          </w:p>
        </w:tc>
      </w:tr>
      <w:tr w:rsidR="0010143A" w:rsidRPr="009734B0" w:rsidTr="009734B0">
        <w:trPr>
          <w:trHeight w:val="170"/>
        </w:trPr>
        <w:tc>
          <w:tcPr>
            <w:tcW w:w="3686" w:type="dxa"/>
            <w:tcBorders>
              <w:top w:val="single" w:sz="12" w:space="0" w:color="9DAECB"/>
            </w:tcBorders>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Banyule</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69</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$290</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3.6%</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284</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$330</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-2.9%</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110</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$410</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-1.2%</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77</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$330</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-4.3%</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Brimbank</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53</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$210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197</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$290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3.6%</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137</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$330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0.6%</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51</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$300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3.4%</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Darebin</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300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$280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0.0%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566</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$350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2.9%</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102</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$400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5.3%</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183</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$400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0.0%</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Hobsons Bay</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36</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$260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0.0%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178</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$320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3.2%</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62</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$440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2.3%</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71</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$390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-2.5%</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Hume</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$230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2.2%</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115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$300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0.0%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79</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$330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0.0%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$308</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2.7%</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Maribyrnong</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208</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$250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-0.8%</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360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$340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58</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$430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1.7%</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117</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$400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0.0%</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Melbourne</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2,120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$370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-2.6%</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1,854</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$513</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2.6%</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196</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$725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3.6%</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119</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$495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3.1%</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lastRenderedPageBreak/>
              <w:t>Melton</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$313</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55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$270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-3.6%</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74</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$320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8.5%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22</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$320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24.0%</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Moonee Valley</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214</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$285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6.3%</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422</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$365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1.4%</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66</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$450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2.3%</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95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$440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4.8%</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Moreland</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327</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$295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1.7%</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782</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$360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2.9%</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134</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$420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5.5%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166</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$410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0.0%</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Nillumbik</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$325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-4.4%</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22</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$400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-4.8%</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12</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$340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3.0%</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Whittlesea</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22</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$278</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6.9%</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161</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$300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1.7%</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54</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$325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1.6%</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58</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$310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3.3%</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Wyndham</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$265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10.9%</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145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$280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3.7%</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103</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$310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3.3%</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39</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$290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3.6%</w:t>
            </w:r>
          </w:p>
        </w:tc>
      </w:tr>
      <w:tr w:rsidR="0010143A" w:rsidRPr="009734B0" w:rsidTr="009734B0">
        <w:trPr>
          <w:trHeight w:val="170"/>
        </w:trPr>
        <w:tc>
          <w:tcPr>
            <w:tcW w:w="3686" w:type="dxa"/>
            <w:tcBorders>
              <w:bottom w:val="single" w:sz="2" w:space="0" w:color="9DAECB"/>
            </w:tcBorders>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Yarra</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503</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$360</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2.9%</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544</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$490</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2.1%</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46</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$755</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8.9%</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184</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$550</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0.0%</w:t>
            </w:r>
          </w:p>
        </w:tc>
      </w:tr>
      <w:tr w:rsidR="0010143A" w:rsidRPr="003F4B94" w:rsidTr="003F4B94">
        <w:trPr>
          <w:trHeight w:val="454"/>
        </w:trPr>
        <w:tc>
          <w:tcPr>
            <w:tcW w:w="3686" w:type="dxa"/>
            <w:tcBorders>
              <w:top w:val="single" w:sz="2" w:space="0" w:color="9DAECB"/>
              <w:bottom w:val="single" w:sz="12" w:space="0" w:color="9DAECB"/>
            </w:tcBorders>
            <w:noWrap/>
            <w:vAlign w:val="center"/>
          </w:tcPr>
          <w:p w:rsidR="0010143A" w:rsidRPr="003F4B94" w:rsidRDefault="0010143A" w:rsidP="003F4B94">
            <w:pPr>
              <w:spacing w:before="60" w:after="60"/>
              <w:jc w:val="right"/>
              <w:rPr>
                <w:rFonts w:cs="Arial"/>
                <w:b/>
                <w:bCs/>
                <w:i/>
                <w:sz w:val="20"/>
                <w:szCs w:val="20"/>
                <w:lang w:eastAsia="en-AU"/>
              </w:rPr>
            </w:pPr>
            <w:r w:rsidRPr="003F4B94">
              <w:rPr>
                <w:rFonts w:cs="Arial"/>
                <w:b/>
                <w:bCs/>
                <w:i/>
                <w:sz w:val="20"/>
                <w:szCs w:val="20"/>
                <w:lang w:eastAsia="en-AU"/>
              </w:rPr>
              <w:t>North and West Metro</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bCs/>
                <w:i/>
                <w:sz w:val="20"/>
                <w:szCs w:val="20"/>
              </w:rPr>
            </w:pPr>
            <w:r w:rsidRPr="003F4B94">
              <w:rPr>
                <w:rFonts w:cs="Arial"/>
                <w:b/>
                <w:bCs/>
                <w:i/>
                <w:sz w:val="20"/>
                <w:szCs w:val="20"/>
              </w:rPr>
              <w:t>3,911</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bCs/>
                <w:i/>
                <w:sz w:val="20"/>
                <w:szCs w:val="20"/>
              </w:rPr>
            </w:pPr>
            <w:r w:rsidRPr="003F4B94">
              <w:rPr>
                <w:rFonts w:cs="Arial"/>
                <w:b/>
                <w:bCs/>
                <w:i/>
                <w:sz w:val="20"/>
                <w:szCs w:val="20"/>
              </w:rPr>
              <w:t>$335</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bCs/>
                <w:i/>
                <w:sz w:val="20"/>
                <w:szCs w:val="20"/>
              </w:rPr>
            </w:pPr>
            <w:r w:rsidRPr="003F4B94">
              <w:rPr>
                <w:rFonts w:cs="Arial"/>
                <w:b/>
                <w:bCs/>
                <w:i/>
                <w:sz w:val="20"/>
                <w:szCs w:val="20"/>
              </w:rPr>
              <w:t>1.2%</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bCs/>
                <w:i/>
                <w:sz w:val="20"/>
                <w:szCs w:val="20"/>
              </w:rPr>
            </w:pPr>
            <w:r w:rsidRPr="003F4B94">
              <w:rPr>
                <w:rFonts w:cs="Arial"/>
                <w:b/>
                <w:bCs/>
                <w:i/>
                <w:sz w:val="20"/>
                <w:szCs w:val="20"/>
              </w:rPr>
              <w:t>5,678</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bCs/>
                <w:i/>
                <w:sz w:val="20"/>
                <w:szCs w:val="20"/>
              </w:rPr>
            </w:pPr>
            <w:r w:rsidRPr="003F4B94">
              <w:rPr>
                <w:rFonts w:cs="Arial"/>
                <w:b/>
                <w:bCs/>
                <w:i/>
                <w:sz w:val="20"/>
                <w:szCs w:val="20"/>
              </w:rPr>
              <w:t>$390</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bCs/>
                <w:i/>
                <w:sz w:val="20"/>
                <w:szCs w:val="20"/>
              </w:rPr>
            </w:pPr>
            <w:r w:rsidRPr="003F4B94">
              <w:rPr>
                <w:rFonts w:cs="Arial"/>
                <w:b/>
                <w:bCs/>
                <w:i/>
                <w:sz w:val="20"/>
                <w:szCs w:val="20"/>
              </w:rPr>
              <w:t>2.6%</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bCs/>
                <w:i/>
                <w:sz w:val="20"/>
                <w:szCs w:val="20"/>
              </w:rPr>
            </w:pPr>
            <w:r w:rsidRPr="003F4B94">
              <w:rPr>
                <w:rFonts w:cs="Arial"/>
                <w:b/>
                <w:bCs/>
                <w:i/>
                <w:sz w:val="20"/>
                <w:szCs w:val="20"/>
              </w:rPr>
              <w:t>1,243</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bCs/>
                <w:i/>
                <w:sz w:val="20"/>
                <w:szCs w:val="20"/>
              </w:rPr>
            </w:pPr>
            <w:r w:rsidRPr="003F4B94">
              <w:rPr>
                <w:rFonts w:cs="Arial"/>
                <w:b/>
                <w:bCs/>
                <w:i/>
                <w:sz w:val="20"/>
                <w:szCs w:val="20"/>
              </w:rPr>
              <w:t>$390</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bCs/>
                <w:i/>
                <w:sz w:val="20"/>
                <w:szCs w:val="20"/>
              </w:rPr>
            </w:pPr>
            <w:r w:rsidRPr="003F4B94">
              <w:rPr>
                <w:rFonts w:cs="Arial"/>
                <w:b/>
                <w:bCs/>
                <w:i/>
                <w:sz w:val="20"/>
                <w:szCs w:val="20"/>
              </w:rPr>
              <w:t>2.6%</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bCs/>
                <w:i/>
                <w:sz w:val="20"/>
                <w:szCs w:val="20"/>
              </w:rPr>
            </w:pPr>
            <w:r w:rsidRPr="003F4B94">
              <w:rPr>
                <w:rFonts w:cs="Arial"/>
                <w:b/>
                <w:bCs/>
                <w:i/>
                <w:sz w:val="20"/>
                <w:szCs w:val="20"/>
              </w:rPr>
              <w:t>1,234</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bCs/>
                <w:i/>
                <w:sz w:val="20"/>
                <w:szCs w:val="20"/>
              </w:rPr>
            </w:pPr>
            <w:r w:rsidRPr="003F4B94">
              <w:rPr>
                <w:rFonts w:cs="Arial"/>
                <w:b/>
                <w:bCs/>
                <w:i/>
                <w:sz w:val="20"/>
                <w:szCs w:val="20"/>
              </w:rPr>
              <w:t>$400</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bCs/>
                <w:i/>
                <w:sz w:val="20"/>
                <w:szCs w:val="20"/>
              </w:rPr>
            </w:pPr>
            <w:r w:rsidRPr="003F4B94">
              <w:rPr>
                <w:rFonts w:cs="Arial"/>
                <w:b/>
                <w:bCs/>
                <w:i/>
                <w:sz w:val="20"/>
                <w:szCs w:val="20"/>
              </w:rPr>
              <w:t>0.0%</w:t>
            </w:r>
          </w:p>
        </w:tc>
      </w:tr>
      <w:tr w:rsidR="0010143A" w:rsidRPr="009734B0" w:rsidTr="009734B0">
        <w:trPr>
          <w:trHeight w:val="170"/>
        </w:trPr>
        <w:tc>
          <w:tcPr>
            <w:tcW w:w="3686" w:type="dxa"/>
            <w:tcBorders>
              <w:top w:val="single" w:sz="12" w:space="0" w:color="9DAECB"/>
            </w:tcBorders>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Boroondara</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434</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$340</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15.3%</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687</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$405</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5.2%</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130</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$550</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5.2%</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71</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$460</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2.2%</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Knox</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54</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$298</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162</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$330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0.0%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100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$380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0.0%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22</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$330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4.8%</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Manningham</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24</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$360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2.9%</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150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$400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6.7%</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85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$470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6.8%</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9</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$380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1.3%</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Maroondah</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22</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$288</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22.6%</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245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$330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3.1%</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103</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$400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1.3%</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34</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$350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9.4%</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Monash</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109</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$310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10.7%</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347</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$370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2.8%</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231</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$460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46</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$370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7.2%</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Whitehorse</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158</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$270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14.9%</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412</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$380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2.7%</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117</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$470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4.4%</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60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$380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4.7%</w:t>
            </w:r>
          </w:p>
        </w:tc>
      </w:tr>
      <w:tr w:rsidR="0010143A" w:rsidRPr="009734B0" w:rsidTr="009734B0">
        <w:trPr>
          <w:trHeight w:val="170"/>
        </w:trPr>
        <w:tc>
          <w:tcPr>
            <w:tcW w:w="3686" w:type="dxa"/>
            <w:tcBorders>
              <w:bottom w:val="single" w:sz="2" w:space="0" w:color="9DAECB"/>
            </w:tcBorders>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Yarra Ranges</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30</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$210</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-9.9%</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98</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$310</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-3.1%</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46</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$380</w:t>
            </w:r>
          </w:p>
        </w:tc>
        <w:tc>
          <w:tcPr>
            <w:tcW w:w="964" w:type="dxa"/>
            <w:tcBorders>
              <w:bottom w:val="single" w:sz="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1.3%</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38</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$323</w:t>
            </w:r>
          </w:p>
        </w:tc>
        <w:tc>
          <w:tcPr>
            <w:tcW w:w="964" w:type="dxa"/>
            <w:tcBorders>
              <w:bottom w:val="single" w:sz="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-1.5%</w:t>
            </w:r>
          </w:p>
        </w:tc>
      </w:tr>
      <w:tr w:rsidR="0010143A" w:rsidRPr="003F4B94" w:rsidTr="003F4B94">
        <w:trPr>
          <w:trHeight w:val="454"/>
        </w:trPr>
        <w:tc>
          <w:tcPr>
            <w:tcW w:w="3686" w:type="dxa"/>
            <w:tcBorders>
              <w:top w:val="single" w:sz="2" w:space="0" w:color="9DAECB"/>
              <w:bottom w:val="single" w:sz="12" w:space="0" w:color="9DAECB"/>
            </w:tcBorders>
            <w:noWrap/>
            <w:vAlign w:val="center"/>
          </w:tcPr>
          <w:p w:rsidR="0010143A" w:rsidRPr="003F4B94" w:rsidRDefault="0010143A" w:rsidP="003F4B94">
            <w:pPr>
              <w:spacing w:before="60" w:after="60"/>
              <w:jc w:val="right"/>
              <w:rPr>
                <w:rFonts w:cs="Arial"/>
                <w:b/>
                <w:bCs/>
                <w:i/>
                <w:sz w:val="20"/>
                <w:szCs w:val="20"/>
                <w:lang w:eastAsia="en-AU"/>
              </w:rPr>
            </w:pPr>
            <w:r w:rsidRPr="003F4B94">
              <w:rPr>
                <w:rFonts w:cs="Arial"/>
                <w:b/>
                <w:bCs/>
                <w:i/>
                <w:sz w:val="20"/>
                <w:szCs w:val="20"/>
                <w:lang w:eastAsia="en-AU"/>
              </w:rPr>
              <w:t>Eastern Metro</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bCs/>
                <w:i/>
                <w:sz w:val="20"/>
                <w:szCs w:val="20"/>
              </w:rPr>
            </w:pPr>
            <w:r w:rsidRPr="003F4B94">
              <w:rPr>
                <w:rFonts w:cs="Arial"/>
                <w:b/>
                <w:bCs/>
                <w:i/>
                <w:sz w:val="20"/>
                <w:szCs w:val="20"/>
              </w:rPr>
              <w:t>831</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bCs/>
                <w:i/>
                <w:sz w:val="20"/>
                <w:szCs w:val="20"/>
              </w:rPr>
            </w:pPr>
            <w:r w:rsidRPr="003F4B94">
              <w:rPr>
                <w:rFonts w:cs="Arial"/>
                <w:b/>
                <w:bCs/>
                <w:i/>
                <w:sz w:val="20"/>
                <w:szCs w:val="20"/>
              </w:rPr>
              <w:t>$315</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bCs/>
                <w:i/>
                <w:sz w:val="20"/>
                <w:szCs w:val="20"/>
              </w:rPr>
            </w:pPr>
            <w:r w:rsidRPr="003F4B94">
              <w:rPr>
                <w:rFonts w:cs="Arial"/>
                <w:b/>
                <w:bCs/>
                <w:i/>
                <w:sz w:val="20"/>
                <w:szCs w:val="20"/>
              </w:rPr>
              <w:t>12.5%</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bCs/>
                <w:i/>
                <w:sz w:val="20"/>
                <w:szCs w:val="20"/>
              </w:rPr>
            </w:pPr>
            <w:r w:rsidRPr="003F4B94">
              <w:rPr>
                <w:rFonts w:cs="Arial"/>
                <w:b/>
                <w:bCs/>
                <w:i/>
                <w:sz w:val="20"/>
                <w:szCs w:val="20"/>
              </w:rPr>
              <w:t>2,101</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bCs/>
                <w:i/>
                <w:sz w:val="20"/>
                <w:szCs w:val="20"/>
              </w:rPr>
            </w:pPr>
            <w:r w:rsidRPr="003F4B94">
              <w:rPr>
                <w:rFonts w:cs="Arial"/>
                <w:b/>
                <w:bCs/>
                <w:i/>
                <w:sz w:val="20"/>
                <w:szCs w:val="20"/>
              </w:rPr>
              <w:t>$370</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bCs/>
                <w:i/>
                <w:sz w:val="20"/>
                <w:szCs w:val="20"/>
              </w:rPr>
            </w:pPr>
            <w:r w:rsidRPr="003F4B94">
              <w:rPr>
                <w:rFonts w:cs="Arial"/>
                <w:b/>
                <w:bCs/>
                <w:i/>
                <w:sz w:val="20"/>
                <w:szCs w:val="20"/>
              </w:rPr>
              <w:t>2.8%</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bCs/>
                <w:i/>
                <w:sz w:val="20"/>
                <w:szCs w:val="20"/>
              </w:rPr>
            </w:pPr>
            <w:r w:rsidRPr="003F4B94">
              <w:rPr>
                <w:rFonts w:cs="Arial"/>
                <w:b/>
                <w:bCs/>
                <w:i/>
                <w:sz w:val="20"/>
                <w:szCs w:val="20"/>
              </w:rPr>
              <w:t>812</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bCs/>
                <w:i/>
                <w:sz w:val="20"/>
                <w:szCs w:val="20"/>
              </w:rPr>
            </w:pPr>
            <w:r w:rsidRPr="003F4B94">
              <w:rPr>
                <w:rFonts w:cs="Arial"/>
                <w:b/>
                <w:bCs/>
                <w:i/>
                <w:sz w:val="20"/>
                <w:szCs w:val="20"/>
              </w:rPr>
              <w:t>$440</w:t>
            </w:r>
          </w:p>
        </w:tc>
        <w:tc>
          <w:tcPr>
            <w:tcW w:w="964" w:type="dxa"/>
            <w:tcBorders>
              <w:top w:val="single" w:sz="2" w:space="0" w:color="9DAECB"/>
              <w:bottom w:val="single" w:sz="12" w:space="0" w:color="9DAECB"/>
            </w:tcBorders>
            <w:shd w:val="clear" w:color="auto" w:fill="DEE4EE"/>
            <w:noWrap/>
            <w:vAlign w:val="center"/>
          </w:tcPr>
          <w:p w:rsidR="0010143A" w:rsidRPr="003F4B94" w:rsidRDefault="0010143A" w:rsidP="009734B0">
            <w:pPr>
              <w:jc w:val="right"/>
              <w:rPr>
                <w:rFonts w:cs="Arial"/>
                <w:b/>
                <w:bCs/>
                <w:i/>
                <w:sz w:val="20"/>
                <w:szCs w:val="20"/>
              </w:rPr>
            </w:pPr>
            <w:r w:rsidRPr="003F4B94">
              <w:rPr>
                <w:rFonts w:cs="Arial"/>
                <w:b/>
                <w:bCs/>
                <w:i/>
                <w:sz w:val="20"/>
                <w:szCs w:val="20"/>
              </w:rPr>
              <w:t>3.5%</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bCs/>
                <w:i/>
                <w:sz w:val="20"/>
                <w:szCs w:val="20"/>
              </w:rPr>
            </w:pPr>
            <w:r w:rsidRPr="003F4B94">
              <w:rPr>
                <w:rFonts w:cs="Arial"/>
                <w:b/>
                <w:bCs/>
                <w:i/>
                <w:sz w:val="20"/>
                <w:szCs w:val="20"/>
              </w:rPr>
              <w:t>280</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bCs/>
                <w:i/>
                <w:sz w:val="20"/>
                <w:szCs w:val="20"/>
              </w:rPr>
            </w:pPr>
            <w:r w:rsidRPr="003F4B94">
              <w:rPr>
                <w:rFonts w:cs="Arial"/>
                <w:b/>
                <w:bCs/>
                <w:i/>
                <w:sz w:val="20"/>
                <w:szCs w:val="20"/>
              </w:rPr>
              <w:t>$370</w:t>
            </w:r>
          </w:p>
        </w:tc>
        <w:tc>
          <w:tcPr>
            <w:tcW w:w="964" w:type="dxa"/>
            <w:tcBorders>
              <w:top w:val="single" w:sz="2" w:space="0" w:color="9DAECB"/>
              <w:bottom w:val="single" w:sz="12" w:space="0" w:color="9DAECB"/>
            </w:tcBorders>
            <w:noWrap/>
            <w:vAlign w:val="center"/>
          </w:tcPr>
          <w:p w:rsidR="0010143A" w:rsidRPr="003F4B94" w:rsidRDefault="0010143A" w:rsidP="009734B0">
            <w:pPr>
              <w:jc w:val="right"/>
              <w:rPr>
                <w:rFonts w:cs="Arial"/>
                <w:b/>
                <w:bCs/>
                <w:i/>
                <w:sz w:val="20"/>
                <w:szCs w:val="20"/>
              </w:rPr>
            </w:pPr>
            <w:r w:rsidRPr="003F4B94">
              <w:rPr>
                <w:rFonts w:cs="Arial"/>
                <w:b/>
                <w:bCs/>
                <w:i/>
                <w:sz w:val="20"/>
                <w:szCs w:val="20"/>
              </w:rPr>
              <w:t>5.7%</w:t>
            </w:r>
          </w:p>
        </w:tc>
      </w:tr>
      <w:tr w:rsidR="0010143A" w:rsidRPr="009734B0" w:rsidTr="009734B0">
        <w:trPr>
          <w:trHeight w:val="170"/>
        </w:trPr>
        <w:tc>
          <w:tcPr>
            <w:tcW w:w="3686" w:type="dxa"/>
            <w:tcBorders>
              <w:top w:val="single" w:sz="12" w:space="0" w:color="9DAECB"/>
            </w:tcBorders>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Bayside</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74</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$330</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6.5%</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242</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$435</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3.6%</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65</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$625</w:t>
            </w:r>
          </w:p>
        </w:tc>
        <w:tc>
          <w:tcPr>
            <w:tcW w:w="964" w:type="dxa"/>
            <w:tcBorders>
              <w:top w:val="single" w:sz="12" w:space="0" w:color="9DAECB"/>
            </w:tcBorders>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-3.8%</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35</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$450</w:t>
            </w:r>
          </w:p>
        </w:tc>
        <w:tc>
          <w:tcPr>
            <w:tcW w:w="964" w:type="dxa"/>
            <w:tcBorders>
              <w:top w:val="single" w:sz="12" w:space="0" w:color="9DAECB"/>
            </w:tcBorders>
            <w:noWrap/>
            <w:vAlign w:val="center"/>
          </w:tcPr>
          <w:p w:rsidR="0010143A" w:rsidRPr="009734B0" w:rsidRDefault="0010143A" w:rsidP="009734B0">
            <w:pPr>
              <w:jc w:val="right"/>
              <w:rPr>
                <w:rFonts w:cs="Arial"/>
                <w:sz w:val="20"/>
                <w:szCs w:val="20"/>
              </w:rPr>
            </w:pPr>
            <w:r w:rsidRPr="009734B0">
              <w:rPr>
                <w:rFonts w:cs="Arial"/>
                <w:sz w:val="20"/>
                <w:szCs w:val="20"/>
              </w:rPr>
              <w:t>-2.8%</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Cardinia</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42</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$270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3.8%</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42</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$310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6.9%</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16</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$290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11.5%</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Casey</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24</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$243</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1.3%</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132</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$300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3.4%</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83</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$345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6.2%</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39</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$310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6.9%</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Frankston</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71</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$210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-2.3%</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229</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$290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3.6%</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109</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$350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6.1%</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49</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$300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0.7%</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Glen Eira</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414</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$275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1.9%</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697</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$390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2.6%</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126</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$523</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82</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$450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-2.2%</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Greater Dandenong</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123</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$230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477</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$300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7.1%</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138</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$360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4.3%</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36</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$318</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4.3%</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Kingston</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120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$280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3.7%</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421</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$360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5.9%</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101</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$420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0.0%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51</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$380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2.7%</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Pr>
                <w:rFonts w:cs="Arial"/>
                <w:sz w:val="20"/>
                <w:szCs w:val="20"/>
                <w:lang w:eastAsia="en-AU"/>
              </w:rPr>
              <w:t>Mornington Peninsula</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$245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2.1%</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142</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$290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3.6%</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75</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$370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5.7%</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82</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$300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7.1%</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Port Phillip</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742</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$350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2.9%</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797</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$465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3.3%</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102</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$680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3.8%</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123</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$575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4.5%</w:t>
            </w:r>
          </w:p>
        </w:tc>
      </w:tr>
      <w:tr w:rsidR="0010143A" w:rsidRPr="009734B0" w:rsidTr="009734B0">
        <w:trPr>
          <w:trHeight w:val="170"/>
        </w:trPr>
        <w:tc>
          <w:tcPr>
            <w:tcW w:w="3686" w:type="dxa"/>
            <w:noWrap/>
            <w:vAlign w:val="center"/>
          </w:tcPr>
          <w:p w:rsidR="0010143A" w:rsidRPr="001903E1" w:rsidRDefault="0010143A" w:rsidP="004C589C">
            <w:pPr>
              <w:spacing w:before="20" w:after="20"/>
              <w:rPr>
                <w:rFonts w:cs="Arial"/>
                <w:sz w:val="20"/>
                <w:szCs w:val="20"/>
                <w:lang w:eastAsia="en-AU"/>
              </w:rPr>
            </w:pPr>
            <w:r w:rsidRPr="001903E1">
              <w:rPr>
                <w:rFonts w:cs="Arial"/>
                <w:sz w:val="20"/>
                <w:szCs w:val="20"/>
                <w:lang w:eastAsia="en-AU"/>
              </w:rPr>
              <w:t>Stonnington</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833</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$350</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4.5%</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821</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$460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2.2%</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88</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$598</w:t>
            </w:r>
          </w:p>
        </w:tc>
        <w:tc>
          <w:tcPr>
            <w:tcW w:w="964" w:type="dxa"/>
            <w:shd w:val="clear" w:color="auto" w:fill="DEE4EE"/>
            <w:noWrap/>
            <w:vAlign w:val="center"/>
          </w:tcPr>
          <w:p w:rsidR="0010143A" w:rsidRPr="009734B0" w:rsidRDefault="0010143A" w:rsidP="009734B0">
            <w:pPr>
              <w:jc w:val="right"/>
              <w:rPr>
                <w:rFonts w:cs="Arial"/>
                <w:sz w:val="20"/>
                <w:szCs w:val="20"/>
              </w:rPr>
            </w:pPr>
            <w:r w:rsidRPr="009734B0">
              <w:rPr>
                <w:rFonts w:cs="Arial"/>
                <w:sz w:val="20"/>
                <w:szCs w:val="20"/>
              </w:rPr>
              <w:t>0.0%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113</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$550</w:t>
            </w:r>
          </w:p>
        </w:tc>
        <w:tc>
          <w:tcPr>
            <w:tcW w:w="964" w:type="dxa"/>
            <w:noWrap/>
            <w:vAlign w:val="center"/>
          </w:tcPr>
          <w:p w:rsidR="0010143A" w:rsidRPr="009734B0" w:rsidRDefault="0010143A" w:rsidP="009734B0">
            <w:pPr>
              <w:jc w:val="right"/>
              <w:rPr>
                <w:rFonts w:cs="Arial"/>
                <w:sz w:val="20"/>
                <w:szCs w:val="20"/>
              </w:rPr>
            </w:pPr>
            <w:r w:rsidRPr="009734B0">
              <w:rPr>
                <w:rFonts w:cs="Arial"/>
                <w:sz w:val="20"/>
                <w:szCs w:val="20"/>
              </w:rPr>
              <w:t>0.0%</w:t>
            </w:r>
          </w:p>
        </w:tc>
      </w:tr>
      <w:tr w:rsidR="0010143A" w:rsidRPr="003F4B94" w:rsidTr="003F4B94">
        <w:trPr>
          <w:trHeight w:val="454"/>
        </w:trPr>
        <w:tc>
          <w:tcPr>
            <w:tcW w:w="3686" w:type="dxa"/>
            <w:noWrap/>
            <w:vAlign w:val="center"/>
          </w:tcPr>
          <w:p w:rsidR="0010143A" w:rsidRPr="003F4B94" w:rsidRDefault="0010143A" w:rsidP="003F4B94">
            <w:pPr>
              <w:spacing w:before="60" w:after="60"/>
              <w:jc w:val="right"/>
              <w:rPr>
                <w:rFonts w:cs="Arial"/>
                <w:b/>
                <w:bCs/>
                <w:i/>
                <w:sz w:val="20"/>
                <w:szCs w:val="20"/>
                <w:lang w:eastAsia="en-AU"/>
              </w:rPr>
            </w:pPr>
            <w:r w:rsidRPr="003F4B94">
              <w:rPr>
                <w:rFonts w:cs="Arial"/>
                <w:b/>
                <w:bCs/>
                <w:i/>
                <w:sz w:val="20"/>
                <w:szCs w:val="20"/>
                <w:lang w:eastAsia="en-AU"/>
              </w:rPr>
              <w:t>Southern Metro</w:t>
            </w:r>
          </w:p>
        </w:tc>
        <w:tc>
          <w:tcPr>
            <w:tcW w:w="964" w:type="dxa"/>
            <w:shd w:val="clear" w:color="auto" w:fill="DEE4EE"/>
            <w:noWrap/>
            <w:vAlign w:val="center"/>
          </w:tcPr>
          <w:p w:rsidR="0010143A" w:rsidRPr="003F4B94" w:rsidRDefault="0010143A" w:rsidP="009734B0">
            <w:pPr>
              <w:jc w:val="right"/>
              <w:rPr>
                <w:rFonts w:cs="Arial"/>
                <w:b/>
                <w:bCs/>
                <w:i/>
                <w:sz w:val="20"/>
                <w:szCs w:val="20"/>
              </w:rPr>
            </w:pPr>
            <w:r w:rsidRPr="003F4B94">
              <w:rPr>
                <w:rFonts w:cs="Arial"/>
                <w:b/>
                <w:bCs/>
                <w:i/>
                <w:sz w:val="20"/>
                <w:szCs w:val="20"/>
              </w:rPr>
              <w:t>2,423</w:t>
            </w:r>
          </w:p>
        </w:tc>
        <w:tc>
          <w:tcPr>
            <w:tcW w:w="964" w:type="dxa"/>
            <w:shd w:val="clear" w:color="auto" w:fill="DEE4EE"/>
            <w:noWrap/>
            <w:vAlign w:val="center"/>
          </w:tcPr>
          <w:p w:rsidR="0010143A" w:rsidRPr="003F4B94" w:rsidRDefault="0010143A" w:rsidP="009734B0">
            <w:pPr>
              <w:jc w:val="right"/>
              <w:rPr>
                <w:rFonts w:cs="Arial"/>
                <w:b/>
                <w:bCs/>
                <w:i/>
                <w:sz w:val="20"/>
                <w:szCs w:val="20"/>
              </w:rPr>
            </w:pPr>
            <w:r w:rsidRPr="003F4B94">
              <w:rPr>
                <w:rFonts w:cs="Arial"/>
                <w:b/>
                <w:bCs/>
                <w:i/>
                <w:sz w:val="20"/>
                <w:szCs w:val="20"/>
              </w:rPr>
              <w:t>$320</w:t>
            </w:r>
          </w:p>
        </w:tc>
        <w:tc>
          <w:tcPr>
            <w:tcW w:w="964" w:type="dxa"/>
            <w:shd w:val="clear" w:color="auto" w:fill="DEE4EE"/>
            <w:noWrap/>
            <w:vAlign w:val="center"/>
          </w:tcPr>
          <w:p w:rsidR="0010143A" w:rsidRPr="003F4B94" w:rsidRDefault="0010143A" w:rsidP="009734B0">
            <w:pPr>
              <w:jc w:val="right"/>
              <w:rPr>
                <w:rFonts w:cs="Arial"/>
                <w:b/>
                <w:bCs/>
                <w:i/>
                <w:sz w:val="20"/>
                <w:szCs w:val="20"/>
              </w:rPr>
            </w:pPr>
            <w:r w:rsidRPr="003F4B94">
              <w:rPr>
                <w:rFonts w:cs="Arial"/>
                <w:b/>
                <w:bCs/>
                <w:i/>
                <w:sz w:val="20"/>
                <w:szCs w:val="20"/>
              </w:rPr>
              <w:t>3.2%</w:t>
            </w:r>
          </w:p>
        </w:tc>
        <w:tc>
          <w:tcPr>
            <w:tcW w:w="964" w:type="dxa"/>
            <w:noWrap/>
            <w:vAlign w:val="center"/>
          </w:tcPr>
          <w:p w:rsidR="0010143A" w:rsidRPr="003F4B94" w:rsidRDefault="0010143A" w:rsidP="009734B0">
            <w:pPr>
              <w:jc w:val="right"/>
              <w:rPr>
                <w:rFonts w:cs="Arial"/>
                <w:b/>
                <w:bCs/>
                <w:i/>
                <w:sz w:val="20"/>
                <w:szCs w:val="20"/>
              </w:rPr>
            </w:pPr>
            <w:r w:rsidRPr="003F4B94">
              <w:rPr>
                <w:rFonts w:cs="Arial"/>
                <w:b/>
                <w:bCs/>
                <w:i/>
                <w:sz w:val="20"/>
                <w:szCs w:val="20"/>
              </w:rPr>
              <w:t>4,000</w:t>
            </w:r>
          </w:p>
        </w:tc>
        <w:tc>
          <w:tcPr>
            <w:tcW w:w="964" w:type="dxa"/>
            <w:noWrap/>
            <w:vAlign w:val="center"/>
          </w:tcPr>
          <w:p w:rsidR="0010143A" w:rsidRPr="003F4B94" w:rsidRDefault="0010143A" w:rsidP="009734B0">
            <w:pPr>
              <w:jc w:val="right"/>
              <w:rPr>
                <w:rFonts w:cs="Arial"/>
                <w:b/>
                <w:bCs/>
                <w:i/>
                <w:sz w:val="20"/>
                <w:szCs w:val="20"/>
              </w:rPr>
            </w:pPr>
            <w:r w:rsidRPr="003F4B94">
              <w:rPr>
                <w:rFonts w:cs="Arial"/>
                <w:b/>
                <w:bCs/>
                <w:i/>
                <w:sz w:val="20"/>
                <w:szCs w:val="20"/>
              </w:rPr>
              <w:t>$381</w:t>
            </w:r>
          </w:p>
        </w:tc>
        <w:tc>
          <w:tcPr>
            <w:tcW w:w="964" w:type="dxa"/>
            <w:noWrap/>
            <w:vAlign w:val="center"/>
          </w:tcPr>
          <w:p w:rsidR="0010143A" w:rsidRPr="003F4B94" w:rsidRDefault="0010143A" w:rsidP="009734B0">
            <w:pPr>
              <w:jc w:val="right"/>
              <w:rPr>
                <w:rFonts w:cs="Arial"/>
                <w:b/>
                <w:bCs/>
                <w:i/>
                <w:sz w:val="20"/>
                <w:szCs w:val="20"/>
              </w:rPr>
            </w:pPr>
            <w:r w:rsidRPr="003F4B94">
              <w:rPr>
                <w:rFonts w:cs="Arial"/>
                <w:b/>
                <w:bCs/>
                <w:i/>
                <w:sz w:val="20"/>
                <w:szCs w:val="20"/>
              </w:rPr>
              <w:t>1.6%</w:t>
            </w:r>
          </w:p>
        </w:tc>
        <w:tc>
          <w:tcPr>
            <w:tcW w:w="964" w:type="dxa"/>
            <w:shd w:val="clear" w:color="auto" w:fill="DEE4EE"/>
            <w:noWrap/>
            <w:vAlign w:val="center"/>
          </w:tcPr>
          <w:p w:rsidR="0010143A" w:rsidRPr="003F4B94" w:rsidRDefault="0010143A" w:rsidP="009734B0">
            <w:pPr>
              <w:jc w:val="right"/>
              <w:rPr>
                <w:rFonts w:cs="Arial"/>
                <w:b/>
                <w:bCs/>
                <w:i/>
                <w:sz w:val="20"/>
                <w:szCs w:val="20"/>
              </w:rPr>
            </w:pPr>
            <w:r w:rsidRPr="003F4B94">
              <w:rPr>
                <w:rFonts w:cs="Arial"/>
                <w:b/>
                <w:bCs/>
                <w:i/>
                <w:sz w:val="20"/>
                <w:szCs w:val="20"/>
              </w:rPr>
              <w:t>929</w:t>
            </w:r>
          </w:p>
        </w:tc>
        <w:tc>
          <w:tcPr>
            <w:tcW w:w="964" w:type="dxa"/>
            <w:shd w:val="clear" w:color="auto" w:fill="DEE4EE"/>
            <w:noWrap/>
            <w:vAlign w:val="center"/>
          </w:tcPr>
          <w:p w:rsidR="0010143A" w:rsidRPr="003F4B94" w:rsidRDefault="0010143A" w:rsidP="009734B0">
            <w:pPr>
              <w:jc w:val="right"/>
              <w:rPr>
                <w:rFonts w:cs="Arial"/>
                <w:b/>
                <w:bCs/>
                <w:i/>
                <w:sz w:val="20"/>
                <w:szCs w:val="20"/>
              </w:rPr>
            </w:pPr>
            <w:r w:rsidRPr="003F4B94">
              <w:rPr>
                <w:rFonts w:cs="Arial"/>
                <w:b/>
                <w:bCs/>
                <w:i/>
                <w:sz w:val="20"/>
                <w:szCs w:val="20"/>
              </w:rPr>
              <w:t>$400</w:t>
            </w:r>
          </w:p>
        </w:tc>
        <w:tc>
          <w:tcPr>
            <w:tcW w:w="964" w:type="dxa"/>
            <w:shd w:val="clear" w:color="auto" w:fill="DEE4EE"/>
            <w:noWrap/>
            <w:vAlign w:val="center"/>
          </w:tcPr>
          <w:p w:rsidR="0010143A" w:rsidRPr="003F4B94" w:rsidRDefault="0010143A" w:rsidP="009734B0">
            <w:pPr>
              <w:jc w:val="right"/>
              <w:rPr>
                <w:rFonts w:cs="Arial"/>
                <w:b/>
                <w:bCs/>
                <w:i/>
                <w:sz w:val="20"/>
                <w:szCs w:val="20"/>
              </w:rPr>
            </w:pPr>
            <w:r w:rsidRPr="003F4B94">
              <w:rPr>
                <w:rFonts w:cs="Arial"/>
                <w:b/>
                <w:bCs/>
                <w:i/>
                <w:sz w:val="20"/>
                <w:szCs w:val="20"/>
              </w:rPr>
              <w:t>0.0%</w:t>
            </w:r>
          </w:p>
        </w:tc>
        <w:tc>
          <w:tcPr>
            <w:tcW w:w="964" w:type="dxa"/>
            <w:noWrap/>
            <w:vAlign w:val="center"/>
          </w:tcPr>
          <w:p w:rsidR="0010143A" w:rsidRPr="003F4B94" w:rsidRDefault="0010143A" w:rsidP="009734B0">
            <w:pPr>
              <w:jc w:val="right"/>
              <w:rPr>
                <w:rFonts w:cs="Arial"/>
                <w:b/>
                <w:bCs/>
                <w:i/>
                <w:sz w:val="20"/>
                <w:szCs w:val="20"/>
              </w:rPr>
            </w:pPr>
            <w:r w:rsidRPr="003F4B94">
              <w:rPr>
                <w:rFonts w:cs="Arial"/>
                <w:b/>
                <w:bCs/>
                <w:i/>
                <w:sz w:val="20"/>
                <w:szCs w:val="20"/>
              </w:rPr>
              <w:t>626</w:t>
            </w:r>
          </w:p>
        </w:tc>
        <w:tc>
          <w:tcPr>
            <w:tcW w:w="964" w:type="dxa"/>
            <w:noWrap/>
            <w:vAlign w:val="center"/>
          </w:tcPr>
          <w:p w:rsidR="0010143A" w:rsidRPr="003F4B94" w:rsidRDefault="0010143A" w:rsidP="009734B0">
            <w:pPr>
              <w:jc w:val="right"/>
              <w:rPr>
                <w:rFonts w:cs="Arial"/>
                <w:b/>
                <w:bCs/>
                <w:i/>
                <w:sz w:val="20"/>
                <w:szCs w:val="20"/>
              </w:rPr>
            </w:pPr>
            <w:r w:rsidRPr="003F4B94">
              <w:rPr>
                <w:rFonts w:cs="Arial"/>
                <w:b/>
                <w:bCs/>
                <w:i/>
                <w:sz w:val="20"/>
                <w:szCs w:val="20"/>
              </w:rPr>
              <w:t>$420</w:t>
            </w:r>
          </w:p>
        </w:tc>
        <w:tc>
          <w:tcPr>
            <w:tcW w:w="964" w:type="dxa"/>
            <w:noWrap/>
            <w:vAlign w:val="center"/>
          </w:tcPr>
          <w:p w:rsidR="0010143A" w:rsidRPr="003F4B94" w:rsidRDefault="0010143A" w:rsidP="009734B0">
            <w:pPr>
              <w:jc w:val="right"/>
              <w:rPr>
                <w:rFonts w:cs="Arial"/>
                <w:b/>
                <w:bCs/>
                <w:i/>
                <w:sz w:val="20"/>
                <w:szCs w:val="20"/>
              </w:rPr>
            </w:pPr>
            <w:r w:rsidRPr="003F4B94">
              <w:rPr>
                <w:rFonts w:cs="Arial"/>
                <w:b/>
                <w:bCs/>
                <w:i/>
                <w:sz w:val="20"/>
                <w:szCs w:val="20"/>
              </w:rPr>
              <w:t>-1.2%</w:t>
            </w:r>
          </w:p>
        </w:tc>
      </w:tr>
    </w:tbl>
    <w:p w:rsidR="0047763C" w:rsidRPr="00706644" w:rsidRDefault="0047763C" w:rsidP="00423BC0">
      <w:pPr>
        <w:widowControl w:val="0"/>
        <w:autoSpaceDE w:val="0"/>
        <w:autoSpaceDN w:val="0"/>
        <w:adjustRightInd w:val="0"/>
        <w:spacing w:after="240"/>
        <w:rPr>
          <w:rFonts w:cs="Arial"/>
        </w:rPr>
      </w:pPr>
    </w:p>
    <w:p w:rsidR="0047763C" w:rsidRDefault="0047763C">
      <w:pPr>
        <w:rPr>
          <w:rFonts w:cs="Arial"/>
          <w:b/>
          <w:sz w:val="20"/>
          <w:szCs w:val="20"/>
        </w:rPr>
      </w:pPr>
      <w:r>
        <w:rPr>
          <w:rFonts w:cs="Arial"/>
          <w:b/>
          <w:sz w:val="20"/>
          <w:szCs w:val="20"/>
        </w:rPr>
        <w:br w:type="page"/>
      </w:r>
    </w:p>
    <w:p w:rsidR="0047763C" w:rsidRPr="00562B58" w:rsidRDefault="0047763C" w:rsidP="000375B1">
      <w:pPr>
        <w:rPr>
          <w:rFonts w:cs="Arial"/>
          <w:sz w:val="18"/>
          <w:szCs w:val="20"/>
        </w:rPr>
      </w:pPr>
      <w:r w:rsidRPr="000375B1">
        <w:rPr>
          <w:rFonts w:cs="Arial"/>
          <w:b/>
          <w:sz w:val="20"/>
          <w:szCs w:val="20"/>
        </w:rPr>
        <w:lastRenderedPageBreak/>
        <w:t>Table 13 –Affordable let</w:t>
      </w:r>
      <w:r>
        <w:rPr>
          <w:rFonts w:cs="Arial"/>
          <w:b/>
          <w:sz w:val="20"/>
          <w:szCs w:val="20"/>
        </w:rPr>
        <w:t xml:space="preserve">tings for </w:t>
      </w:r>
      <w:r w:rsidR="002268B1">
        <w:rPr>
          <w:rFonts w:cs="Arial"/>
          <w:b/>
          <w:sz w:val="20"/>
          <w:szCs w:val="20"/>
        </w:rPr>
        <w:t>L</w:t>
      </w:r>
      <w:r>
        <w:rPr>
          <w:rFonts w:cs="Arial"/>
          <w:b/>
          <w:sz w:val="20"/>
          <w:szCs w:val="20"/>
        </w:rPr>
        <w:t xml:space="preserve">ocal </w:t>
      </w:r>
      <w:r w:rsidR="002268B1">
        <w:rPr>
          <w:rFonts w:cs="Arial"/>
          <w:b/>
          <w:sz w:val="20"/>
          <w:szCs w:val="20"/>
        </w:rPr>
        <w:t>G</w:t>
      </w:r>
      <w:r>
        <w:rPr>
          <w:rFonts w:cs="Arial"/>
          <w:b/>
          <w:sz w:val="20"/>
          <w:szCs w:val="20"/>
        </w:rPr>
        <w:t xml:space="preserve">overnment </w:t>
      </w:r>
      <w:proofErr w:type="gramStart"/>
      <w:r w:rsidR="002268B1">
        <w:rPr>
          <w:rFonts w:cs="Arial"/>
          <w:b/>
          <w:sz w:val="20"/>
          <w:szCs w:val="20"/>
        </w:rPr>
        <w:t>A</w:t>
      </w:r>
      <w:r>
        <w:rPr>
          <w:rFonts w:cs="Arial"/>
          <w:b/>
          <w:sz w:val="20"/>
          <w:szCs w:val="20"/>
        </w:rPr>
        <w:t>reas</w:t>
      </w:r>
      <w:proofErr w:type="gramEnd"/>
      <w:r>
        <w:rPr>
          <w:rFonts w:cs="Arial"/>
          <w:b/>
          <w:sz w:val="20"/>
          <w:szCs w:val="20"/>
        </w:rPr>
        <w:br/>
      </w:r>
      <w:r w:rsidRPr="00562B58">
        <w:rPr>
          <w:rFonts w:cs="Arial"/>
          <w:sz w:val="18"/>
          <w:szCs w:val="20"/>
        </w:rPr>
        <w:t>(See Note 8 on method)</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47763C" w:rsidRPr="006A34E2" w:rsidTr="00B0105F">
        <w:trPr>
          <w:trHeight w:val="270"/>
          <w:tblHeader/>
        </w:trPr>
        <w:tc>
          <w:tcPr>
            <w:tcW w:w="2552" w:type="dxa"/>
            <w:vMerge w:val="restart"/>
            <w:tcBorders>
              <w:top w:val="single" w:sz="18" w:space="0" w:color="9DAECB"/>
              <w:bottom w:val="single" w:sz="2" w:space="0" w:color="9DAECB"/>
            </w:tcBorders>
            <w:noWrap/>
            <w:vAlign w:val="center"/>
          </w:tcPr>
          <w:p w:rsidR="0047763C" w:rsidRPr="006A34E2" w:rsidRDefault="0047763C" w:rsidP="00D01B90">
            <w:pPr>
              <w:rPr>
                <w:rFonts w:cs="Arial"/>
                <w:b/>
                <w:bCs/>
                <w:sz w:val="20"/>
                <w:szCs w:val="20"/>
                <w:lang w:eastAsia="en-AU"/>
              </w:rPr>
            </w:pPr>
            <w:r w:rsidRPr="006A34E2">
              <w:rPr>
                <w:rFonts w:cs="Arial"/>
                <w:b/>
                <w:bCs/>
                <w:sz w:val="20"/>
                <w:szCs w:val="20"/>
                <w:lang w:eastAsia="en-AU"/>
              </w:rPr>
              <w:t>LGA</w:t>
            </w:r>
          </w:p>
        </w:tc>
        <w:tc>
          <w:tcPr>
            <w:tcW w:w="2042" w:type="dxa"/>
            <w:gridSpan w:val="2"/>
            <w:tcBorders>
              <w:top w:val="single" w:sz="18" w:space="0" w:color="9DAECB"/>
              <w:bottom w:val="single" w:sz="2" w:space="0" w:color="9DAECB"/>
            </w:tcBorders>
            <w:shd w:val="clear" w:color="auto" w:fill="DEE4EE"/>
            <w:noWrap/>
            <w:vAlign w:val="center"/>
          </w:tcPr>
          <w:p w:rsidR="0047763C" w:rsidRPr="006A34E2" w:rsidRDefault="0047763C" w:rsidP="00C95655">
            <w:pPr>
              <w:jc w:val="center"/>
              <w:rPr>
                <w:rFonts w:cs="Arial"/>
                <w:b/>
                <w:bCs/>
                <w:sz w:val="20"/>
                <w:szCs w:val="20"/>
                <w:lang w:eastAsia="en-AU"/>
              </w:rPr>
            </w:pPr>
            <w:r w:rsidRPr="006A34E2">
              <w:rPr>
                <w:rFonts w:cs="Arial"/>
                <w:b/>
                <w:sz w:val="20"/>
                <w:szCs w:val="20"/>
                <w:lang w:eastAsia="en-AU"/>
              </w:rPr>
              <w:t>1 Bedroom</w:t>
            </w:r>
          </w:p>
        </w:tc>
        <w:tc>
          <w:tcPr>
            <w:tcW w:w="2042" w:type="dxa"/>
            <w:gridSpan w:val="2"/>
            <w:tcBorders>
              <w:top w:val="single" w:sz="18" w:space="0" w:color="9DAECB"/>
              <w:bottom w:val="single" w:sz="2" w:space="0" w:color="9DAECB"/>
            </w:tcBorders>
            <w:noWrap/>
            <w:vAlign w:val="center"/>
          </w:tcPr>
          <w:p w:rsidR="0047763C" w:rsidRPr="006A34E2" w:rsidRDefault="0047763C" w:rsidP="00C95655">
            <w:pPr>
              <w:jc w:val="center"/>
              <w:rPr>
                <w:rFonts w:cs="Arial"/>
                <w:b/>
                <w:bCs/>
                <w:sz w:val="20"/>
                <w:szCs w:val="20"/>
                <w:lang w:eastAsia="en-AU"/>
              </w:rPr>
            </w:pPr>
            <w:r w:rsidRPr="006A34E2">
              <w:rPr>
                <w:rFonts w:cs="Arial"/>
                <w:b/>
                <w:sz w:val="20"/>
                <w:szCs w:val="20"/>
                <w:lang w:eastAsia="en-AU"/>
              </w:rPr>
              <w:t>2 Bedrooms</w:t>
            </w:r>
          </w:p>
        </w:tc>
        <w:tc>
          <w:tcPr>
            <w:tcW w:w="2042" w:type="dxa"/>
            <w:gridSpan w:val="2"/>
            <w:tcBorders>
              <w:top w:val="single" w:sz="18" w:space="0" w:color="9DAECB"/>
              <w:bottom w:val="single" w:sz="2" w:space="0" w:color="9DAECB"/>
            </w:tcBorders>
            <w:shd w:val="clear" w:color="auto" w:fill="DEE4EE"/>
            <w:noWrap/>
            <w:vAlign w:val="center"/>
          </w:tcPr>
          <w:p w:rsidR="0047763C" w:rsidRPr="006A34E2" w:rsidRDefault="0047763C" w:rsidP="00C95655">
            <w:pPr>
              <w:jc w:val="center"/>
              <w:rPr>
                <w:rFonts w:cs="Arial"/>
                <w:b/>
                <w:bCs/>
                <w:sz w:val="20"/>
                <w:szCs w:val="20"/>
                <w:lang w:eastAsia="en-AU"/>
              </w:rPr>
            </w:pPr>
            <w:r w:rsidRPr="006A34E2">
              <w:rPr>
                <w:rFonts w:cs="Arial"/>
                <w:b/>
                <w:sz w:val="20"/>
                <w:szCs w:val="20"/>
                <w:lang w:eastAsia="en-AU"/>
              </w:rPr>
              <w:t>3 Bedrooms</w:t>
            </w:r>
          </w:p>
        </w:tc>
        <w:tc>
          <w:tcPr>
            <w:tcW w:w="2042" w:type="dxa"/>
            <w:gridSpan w:val="2"/>
            <w:tcBorders>
              <w:top w:val="single" w:sz="18" w:space="0" w:color="9DAECB"/>
              <w:bottom w:val="single" w:sz="2" w:space="0" w:color="9DAECB"/>
            </w:tcBorders>
            <w:noWrap/>
            <w:vAlign w:val="center"/>
          </w:tcPr>
          <w:p w:rsidR="0047763C" w:rsidRPr="006A34E2" w:rsidRDefault="0047763C" w:rsidP="00C95655">
            <w:pPr>
              <w:jc w:val="center"/>
              <w:rPr>
                <w:rFonts w:cs="Arial"/>
                <w:b/>
                <w:bCs/>
                <w:sz w:val="20"/>
                <w:szCs w:val="20"/>
                <w:lang w:eastAsia="en-AU"/>
              </w:rPr>
            </w:pPr>
            <w:r w:rsidRPr="006A34E2">
              <w:rPr>
                <w:rFonts w:cs="Arial"/>
                <w:b/>
                <w:sz w:val="20"/>
                <w:szCs w:val="20"/>
                <w:lang w:eastAsia="en-AU"/>
              </w:rPr>
              <w:t>4+ Bedrooms</w:t>
            </w:r>
          </w:p>
        </w:tc>
        <w:tc>
          <w:tcPr>
            <w:tcW w:w="2042" w:type="dxa"/>
            <w:gridSpan w:val="2"/>
            <w:tcBorders>
              <w:top w:val="single" w:sz="18" w:space="0" w:color="9DAECB"/>
              <w:bottom w:val="single" w:sz="2" w:space="0" w:color="9DAECB"/>
            </w:tcBorders>
            <w:shd w:val="clear" w:color="auto" w:fill="DEE4EE"/>
            <w:noWrap/>
            <w:vAlign w:val="center"/>
          </w:tcPr>
          <w:p w:rsidR="0047763C" w:rsidRPr="006A34E2" w:rsidRDefault="0047763C" w:rsidP="00C95655">
            <w:pPr>
              <w:jc w:val="center"/>
              <w:rPr>
                <w:rFonts w:cs="Arial"/>
                <w:b/>
                <w:bCs/>
                <w:sz w:val="20"/>
                <w:szCs w:val="20"/>
                <w:lang w:eastAsia="en-AU"/>
              </w:rPr>
            </w:pPr>
            <w:r w:rsidRPr="006A34E2">
              <w:rPr>
                <w:rFonts w:cs="Arial"/>
                <w:b/>
                <w:sz w:val="20"/>
                <w:szCs w:val="20"/>
                <w:lang w:eastAsia="en-AU"/>
              </w:rPr>
              <w:t>Total</w:t>
            </w:r>
          </w:p>
        </w:tc>
      </w:tr>
      <w:tr w:rsidR="00D561CD" w:rsidRPr="006A34E2" w:rsidTr="00B0105F">
        <w:trPr>
          <w:trHeight w:val="255"/>
          <w:tblHeader/>
        </w:trPr>
        <w:tc>
          <w:tcPr>
            <w:tcW w:w="2552" w:type="dxa"/>
            <w:vMerge/>
            <w:tcBorders>
              <w:top w:val="single" w:sz="2" w:space="0" w:color="9DAECB"/>
              <w:bottom w:val="single" w:sz="12" w:space="0" w:color="9DAECB"/>
            </w:tcBorders>
            <w:noWrap/>
            <w:vAlign w:val="center"/>
          </w:tcPr>
          <w:p w:rsidR="00D561CD" w:rsidRPr="006A34E2" w:rsidRDefault="00D561CD" w:rsidP="00D01B90">
            <w:pPr>
              <w:rPr>
                <w:rFonts w:cs="Arial"/>
                <w:b/>
                <w:bCs/>
                <w:sz w:val="20"/>
                <w:szCs w:val="20"/>
                <w:lang w:eastAsia="en-AU"/>
              </w:rPr>
            </w:pP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7D2335">
            <w:pPr>
              <w:jc w:val="center"/>
              <w:rPr>
                <w:rFonts w:cs="Arial"/>
                <w:b/>
                <w:bCs/>
                <w:sz w:val="20"/>
                <w:szCs w:val="20"/>
                <w:lang w:eastAsia="en-AU"/>
              </w:rPr>
            </w:pPr>
            <w:r>
              <w:rPr>
                <w:rFonts w:cs="Arial"/>
                <w:b/>
                <w:sz w:val="20"/>
                <w:szCs w:val="20"/>
                <w:lang w:eastAsia="en-AU"/>
              </w:rPr>
              <w:t>%</w:t>
            </w:r>
          </w:p>
        </w:tc>
      </w:tr>
      <w:tr w:rsidR="009D015F" w:rsidRPr="006A34E2" w:rsidTr="009734B0">
        <w:trPr>
          <w:trHeight w:val="255"/>
        </w:trPr>
        <w:tc>
          <w:tcPr>
            <w:tcW w:w="2552" w:type="dxa"/>
            <w:tcBorders>
              <w:top w:val="single" w:sz="12" w:space="0" w:color="9DAECB"/>
            </w:tcBorders>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Alpine</w:t>
            </w:r>
          </w:p>
        </w:tc>
        <w:tc>
          <w:tcPr>
            <w:tcW w:w="1021" w:type="dxa"/>
            <w:tcBorders>
              <w:top w:val="single" w:sz="12" w:space="0" w:color="9DAECB"/>
            </w:tcBorders>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tcBorders>
              <w:top w:val="single" w:sz="12" w:space="0" w:color="9DAECB"/>
            </w:tcBorders>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50.0%</w:t>
            </w:r>
          </w:p>
        </w:tc>
        <w:tc>
          <w:tcPr>
            <w:tcW w:w="1021" w:type="dxa"/>
            <w:tcBorders>
              <w:top w:val="single" w:sz="12" w:space="0" w:color="9DAECB"/>
            </w:tcBorders>
            <w:noWrap/>
            <w:vAlign w:val="center"/>
          </w:tcPr>
          <w:p w:rsidR="009D015F" w:rsidRPr="009734B0" w:rsidRDefault="009D015F" w:rsidP="009734B0">
            <w:pPr>
              <w:jc w:val="right"/>
              <w:rPr>
                <w:rFonts w:cs="Arial"/>
                <w:sz w:val="20"/>
                <w:szCs w:val="20"/>
              </w:rPr>
            </w:pPr>
            <w:r w:rsidRPr="009734B0">
              <w:rPr>
                <w:rFonts w:cs="Arial"/>
                <w:sz w:val="20"/>
                <w:szCs w:val="20"/>
              </w:rPr>
              <w:t>28</w:t>
            </w:r>
          </w:p>
        </w:tc>
        <w:tc>
          <w:tcPr>
            <w:tcW w:w="1021" w:type="dxa"/>
            <w:tcBorders>
              <w:top w:val="single" w:sz="12" w:space="0" w:color="9DAECB"/>
            </w:tcBorders>
            <w:noWrap/>
            <w:vAlign w:val="center"/>
          </w:tcPr>
          <w:p w:rsidR="009D015F" w:rsidRPr="009734B0" w:rsidRDefault="009D015F" w:rsidP="009734B0">
            <w:pPr>
              <w:jc w:val="right"/>
              <w:rPr>
                <w:rFonts w:cs="Arial"/>
                <w:sz w:val="20"/>
                <w:szCs w:val="20"/>
              </w:rPr>
            </w:pPr>
            <w:r w:rsidRPr="009734B0">
              <w:rPr>
                <w:rFonts w:cs="Arial"/>
                <w:sz w:val="20"/>
                <w:szCs w:val="20"/>
              </w:rPr>
              <w:t>82.4%</w:t>
            </w:r>
          </w:p>
        </w:tc>
        <w:tc>
          <w:tcPr>
            <w:tcW w:w="1021" w:type="dxa"/>
            <w:tcBorders>
              <w:top w:val="single" w:sz="12" w:space="0" w:color="9DAECB"/>
            </w:tcBorders>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36</w:t>
            </w:r>
          </w:p>
        </w:tc>
        <w:tc>
          <w:tcPr>
            <w:tcW w:w="1021" w:type="dxa"/>
            <w:tcBorders>
              <w:top w:val="single" w:sz="12" w:space="0" w:color="9DAECB"/>
            </w:tcBorders>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85.7%</w:t>
            </w:r>
          </w:p>
        </w:tc>
        <w:tc>
          <w:tcPr>
            <w:tcW w:w="1021" w:type="dxa"/>
            <w:tcBorders>
              <w:top w:val="single" w:sz="12" w:space="0" w:color="9DAECB"/>
            </w:tcBorders>
            <w:noWrap/>
            <w:vAlign w:val="center"/>
          </w:tcPr>
          <w:p w:rsidR="009D015F" w:rsidRPr="009734B0" w:rsidRDefault="009D015F" w:rsidP="009734B0">
            <w:pPr>
              <w:jc w:val="right"/>
              <w:rPr>
                <w:rFonts w:cs="Arial"/>
                <w:sz w:val="20"/>
                <w:szCs w:val="20"/>
              </w:rPr>
            </w:pPr>
            <w:r w:rsidRPr="009734B0">
              <w:rPr>
                <w:rFonts w:cs="Arial"/>
                <w:sz w:val="20"/>
                <w:szCs w:val="20"/>
              </w:rPr>
              <w:t>8</w:t>
            </w:r>
          </w:p>
        </w:tc>
        <w:tc>
          <w:tcPr>
            <w:tcW w:w="1021" w:type="dxa"/>
            <w:tcBorders>
              <w:top w:val="single" w:sz="12" w:space="0" w:color="9DAECB"/>
            </w:tcBorders>
            <w:noWrap/>
            <w:vAlign w:val="center"/>
          </w:tcPr>
          <w:p w:rsidR="009D015F" w:rsidRPr="009734B0" w:rsidRDefault="009D015F" w:rsidP="009734B0">
            <w:pPr>
              <w:jc w:val="right"/>
              <w:rPr>
                <w:rFonts w:cs="Arial"/>
                <w:sz w:val="20"/>
                <w:szCs w:val="20"/>
              </w:rPr>
            </w:pPr>
            <w:r w:rsidRPr="009734B0">
              <w:rPr>
                <w:rFonts w:cs="Arial"/>
                <w:sz w:val="20"/>
                <w:szCs w:val="20"/>
              </w:rPr>
              <w:t>80.0%</w:t>
            </w:r>
          </w:p>
        </w:tc>
        <w:tc>
          <w:tcPr>
            <w:tcW w:w="1021" w:type="dxa"/>
            <w:tcBorders>
              <w:top w:val="single" w:sz="12" w:space="0" w:color="9DAECB"/>
            </w:tcBorders>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73</w:t>
            </w:r>
          </w:p>
        </w:tc>
        <w:tc>
          <w:tcPr>
            <w:tcW w:w="1021" w:type="dxa"/>
            <w:tcBorders>
              <w:top w:val="single" w:sz="12" w:space="0" w:color="9DAECB"/>
            </w:tcBorders>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83.0%</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Ararat</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76.9%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72.9%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76.9%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74.2%</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Ballarat</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13.3%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185</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63.6%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363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70.6%</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138</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70.8%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694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65.5%</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Banyule</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9.8%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3.2%</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Bass Coast</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52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59.1%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117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71.3%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83.9%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216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68.1%</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 xml:space="preserve">Baw </w:t>
            </w:r>
            <w:proofErr w:type="spellStart"/>
            <w:r w:rsidRPr="006A34E2">
              <w:rPr>
                <w:rFonts w:cs="Arial"/>
                <w:sz w:val="20"/>
                <w:szCs w:val="20"/>
                <w:lang w:eastAsia="en-AU"/>
              </w:rPr>
              <w:t>Baw</w:t>
            </w:r>
            <w:proofErr w:type="spellEnd"/>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25.0%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44.6%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59.2%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80.2%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187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60.9%</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Bayside</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Benalla</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85.7%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88.9%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85.9%</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Boroondara</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5</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0.6%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0.8%</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0.6%</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Brimbank</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15.4%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188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26.1%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51.8%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316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26.3%</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Buloke</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66.7%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90.9%</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Campaspe</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58.3%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46</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68.7%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61.9%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60.6%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133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63.6%</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Cardinia</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21.0%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134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68.0%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35.7%</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Casey</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11.9%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131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27.8%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243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16.1%</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Central Goldfields</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15</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88.2%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97.9%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93.2%</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Colac-Otway</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67.6%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76.1%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68.8%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63.2%</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Corangamite</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87.5%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89.2%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85.1%</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Darebin</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2.9%</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East Gippsland</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36.4%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68.8%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72.2%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88.6%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216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72.2%</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Frankston</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11.8%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96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18.6%</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19.4%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162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15.6%</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Gannawarra</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96.7%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95.5%</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Glen Eira</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5</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Glenelg</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42.9%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87.5%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91.7%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96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92.3%</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Golden Plains</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28.6%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45.0%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83.3%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55.0%</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Greater Bendigo</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138</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49.8%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343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70.6%</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150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74.3%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632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63.9%</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Greater Dandenong</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48</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9.0%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11.4%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15.6%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129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9.9%</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Greater Geelong</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128</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22.1%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324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33.3%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123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40.6%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578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28.8%</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Greater Shepparton</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26.9%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64.6%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160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71.4%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35</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66.0%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284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66.0%</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Hepburn</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27.6%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46.2%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42.9%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37.7%</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Hindmarsh</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100.0%</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Hobsons Bay</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17.2%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6.2%</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lastRenderedPageBreak/>
              <w:t>Horsham</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54.5%</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71.9%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74.0%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84.6%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112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72.7%</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Hume</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5.1%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120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18.6%</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128</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47.9%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260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23.2%</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Indigo</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76.9%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72.7%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90.0%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75.0%</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Kingston</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2.2%</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Knox</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3.0%</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Latrobe</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49.1%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148</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80.4%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243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80.5%</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85.1%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458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77.9%</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Loddon</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100.0%</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Macedon Ranges</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11.8%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13.9%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23.7%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15.1%</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Manningham</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1.5%</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1.4%</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Mansfield</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68.8%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63.6%</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83.3%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66.0%</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Maribyrnong</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25</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13.5%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4.7%</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Maroondah</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2.6%</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3.2%</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Melbourne</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15</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24.2%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1.7%</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Melton</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19.8%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218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41.1%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204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63.2%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439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46.4%</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Mildura</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32.3%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94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87.0%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134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68.7%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83.9%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285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73.1%</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Mitchell</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38.9%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65.7%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88.9%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147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68.4%</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Moira</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77.8%</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59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89.4%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75.8%</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75.0%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147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80.8%</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Monash</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16</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5.4%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2.5%</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Moonee Valley</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0.5%</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15</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5</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3.2%</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Moorabool</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52.2%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76.9%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54.4%</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Moreland</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0.6%</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15.4%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2.3%</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Pr>
                <w:rFonts w:cs="Arial"/>
                <w:sz w:val="20"/>
                <w:szCs w:val="20"/>
                <w:lang w:eastAsia="en-AU"/>
              </w:rPr>
              <w:t>Mornington Peninsula</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4.8%</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12.4%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91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17.4%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15.2%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150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15.5%</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Mount Alexander</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5</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16.1%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46.9%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66.7%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35.6%</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Moyne</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28.6%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64.1%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57.1%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54.1%</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Murrindindi</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50.0%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74.1%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75.0%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66.0%</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Nillumbik</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59.5%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24.9%</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Northern Grampians</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89.5%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97.6%</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5</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93.3%</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Port Phillip</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0.3%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0.6%</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Pyrenees</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75.0%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90.0%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84.2%</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Queenscliffe</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16.7%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33.3%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16.7%</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South Gippsland</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14.3%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75.5%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88.7%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16</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117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81.8%</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Southern Grampians</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71.4%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18</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90.0%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91.8%</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81.3%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92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88.5%</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lastRenderedPageBreak/>
              <w:t>Stonnington</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0.7%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0.8%</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0.5%</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Strathbogie</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57.1%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85.7%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66.7%</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Surf Coast</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11.5%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8.8%</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8.9%</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Swan Hill</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35</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92.1%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86.8%</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91.7%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99</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87.6%</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Towong</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66.7%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96.0%</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Wangaratta</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52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91.2%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77.7%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28</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87.5%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162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82.2%</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Warrnambool</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21.1%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53.8%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47.2%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46.3%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147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48.0%</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Wellington</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69.0%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117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82.4%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70.5%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188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72.3%</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West Wimmera</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100.0%</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Whitehorse</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16</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9.0%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33</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2.5%</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Whittlesea</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5</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9.6%</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146</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60.6%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206</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18.5%</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Wodonga</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12.5%</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74.2%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114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55.9%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46</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53.5%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230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58.8%</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Wyndham</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9.5%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275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37.3%</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361</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58.0%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655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41.5%</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Yarra</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0.2%</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0.5%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11.8%</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0.9%</w:t>
            </w:r>
          </w:p>
        </w:tc>
      </w:tr>
      <w:tr w:rsidR="009D015F" w:rsidRPr="006A34E2" w:rsidTr="009734B0">
        <w:trPr>
          <w:trHeight w:val="225"/>
        </w:trPr>
        <w:tc>
          <w:tcPr>
            <w:tcW w:w="2552" w:type="dxa"/>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Yarra Ranges</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0.0%</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6.4%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14</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5.4%</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9</w:t>
            </w:r>
          </w:p>
        </w:tc>
        <w:tc>
          <w:tcPr>
            <w:tcW w:w="1021" w:type="dxa"/>
            <w:noWrap/>
            <w:vAlign w:val="center"/>
          </w:tcPr>
          <w:p w:rsidR="009D015F" w:rsidRPr="009734B0" w:rsidRDefault="009D015F" w:rsidP="009734B0">
            <w:pPr>
              <w:jc w:val="right"/>
              <w:rPr>
                <w:rFonts w:cs="Arial"/>
                <w:sz w:val="20"/>
                <w:szCs w:val="20"/>
              </w:rPr>
            </w:pPr>
            <w:r w:rsidRPr="009734B0">
              <w:rPr>
                <w:rFonts w:cs="Arial"/>
                <w:sz w:val="20"/>
                <w:szCs w:val="20"/>
              </w:rPr>
              <w:t>11.7%</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32</w:t>
            </w:r>
          </w:p>
        </w:tc>
        <w:tc>
          <w:tcPr>
            <w:tcW w:w="1021" w:type="dxa"/>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6.3%</w:t>
            </w:r>
          </w:p>
        </w:tc>
      </w:tr>
      <w:tr w:rsidR="009D015F" w:rsidRPr="006A34E2" w:rsidTr="009734B0">
        <w:trPr>
          <w:trHeight w:val="225"/>
        </w:trPr>
        <w:tc>
          <w:tcPr>
            <w:tcW w:w="2552" w:type="dxa"/>
            <w:tcBorders>
              <w:bottom w:val="single" w:sz="12" w:space="0" w:color="9DAECB"/>
            </w:tcBorders>
            <w:noWrap/>
            <w:vAlign w:val="center"/>
          </w:tcPr>
          <w:p w:rsidR="009D015F" w:rsidRPr="006A34E2" w:rsidRDefault="009D015F" w:rsidP="002268B1">
            <w:pPr>
              <w:spacing w:before="20" w:after="20"/>
              <w:rPr>
                <w:rFonts w:cs="Arial"/>
                <w:sz w:val="20"/>
                <w:szCs w:val="20"/>
                <w:lang w:eastAsia="en-AU"/>
              </w:rPr>
            </w:pPr>
            <w:r w:rsidRPr="006A34E2">
              <w:rPr>
                <w:rFonts w:cs="Arial"/>
                <w:sz w:val="20"/>
                <w:szCs w:val="20"/>
                <w:lang w:eastAsia="en-AU"/>
              </w:rPr>
              <w:t>Yarriambiack</w:t>
            </w:r>
          </w:p>
        </w:tc>
        <w:tc>
          <w:tcPr>
            <w:tcW w:w="1021" w:type="dxa"/>
            <w:tcBorders>
              <w:bottom w:val="single" w:sz="12" w:space="0" w:color="9DAECB"/>
            </w:tcBorders>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w:t>
            </w:r>
          </w:p>
        </w:tc>
        <w:tc>
          <w:tcPr>
            <w:tcW w:w="1021" w:type="dxa"/>
            <w:tcBorders>
              <w:bottom w:val="single" w:sz="12" w:space="0" w:color="9DAECB"/>
            </w:tcBorders>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tcBorders>
              <w:bottom w:val="single" w:sz="12" w:space="0" w:color="9DAECB"/>
            </w:tcBorders>
            <w:noWrap/>
            <w:vAlign w:val="center"/>
          </w:tcPr>
          <w:p w:rsidR="009D015F" w:rsidRPr="009734B0" w:rsidRDefault="009D015F" w:rsidP="009734B0">
            <w:pPr>
              <w:jc w:val="right"/>
              <w:rPr>
                <w:rFonts w:cs="Arial"/>
                <w:sz w:val="20"/>
                <w:szCs w:val="20"/>
              </w:rPr>
            </w:pPr>
            <w:r w:rsidRPr="009734B0">
              <w:rPr>
                <w:rFonts w:cs="Arial"/>
                <w:sz w:val="20"/>
                <w:szCs w:val="20"/>
              </w:rPr>
              <w:t>6</w:t>
            </w:r>
          </w:p>
        </w:tc>
        <w:tc>
          <w:tcPr>
            <w:tcW w:w="1021" w:type="dxa"/>
            <w:tcBorders>
              <w:bottom w:val="single" w:sz="12" w:space="0" w:color="9DAECB"/>
            </w:tcBorders>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tcBorders>
              <w:bottom w:val="single" w:sz="12" w:space="0" w:color="9DAECB"/>
            </w:tcBorders>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11</w:t>
            </w:r>
          </w:p>
        </w:tc>
        <w:tc>
          <w:tcPr>
            <w:tcW w:w="1021" w:type="dxa"/>
            <w:tcBorders>
              <w:bottom w:val="single" w:sz="12" w:space="0" w:color="9DAECB"/>
            </w:tcBorders>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tcBorders>
              <w:bottom w:val="single" w:sz="12" w:space="0" w:color="9DAECB"/>
            </w:tcBorders>
            <w:noWrap/>
            <w:vAlign w:val="center"/>
          </w:tcPr>
          <w:p w:rsidR="009D015F" w:rsidRPr="009734B0" w:rsidRDefault="009D015F" w:rsidP="009734B0">
            <w:pPr>
              <w:jc w:val="right"/>
              <w:rPr>
                <w:rFonts w:cs="Arial"/>
                <w:sz w:val="20"/>
                <w:szCs w:val="20"/>
              </w:rPr>
            </w:pPr>
            <w:r w:rsidRPr="009734B0">
              <w:rPr>
                <w:rFonts w:cs="Arial"/>
                <w:sz w:val="20"/>
                <w:szCs w:val="20"/>
              </w:rPr>
              <w:t>4</w:t>
            </w:r>
          </w:p>
        </w:tc>
        <w:tc>
          <w:tcPr>
            <w:tcW w:w="1021" w:type="dxa"/>
            <w:tcBorders>
              <w:bottom w:val="single" w:sz="12" w:space="0" w:color="9DAECB"/>
            </w:tcBorders>
            <w:noWrap/>
            <w:vAlign w:val="center"/>
          </w:tcPr>
          <w:p w:rsidR="009D015F" w:rsidRPr="009734B0" w:rsidRDefault="009D015F" w:rsidP="009734B0">
            <w:pPr>
              <w:jc w:val="right"/>
              <w:rPr>
                <w:rFonts w:cs="Arial"/>
                <w:sz w:val="20"/>
                <w:szCs w:val="20"/>
              </w:rPr>
            </w:pPr>
            <w:r w:rsidRPr="009734B0">
              <w:rPr>
                <w:rFonts w:cs="Arial"/>
                <w:sz w:val="20"/>
                <w:szCs w:val="20"/>
              </w:rPr>
              <w:t>100.0%</w:t>
            </w:r>
          </w:p>
        </w:tc>
        <w:tc>
          <w:tcPr>
            <w:tcW w:w="1021" w:type="dxa"/>
            <w:tcBorders>
              <w:bottom w:val="single" w:sz="12" w:space="0" w:color="9DAECB"/>
            </w:tcBorders>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22</w:t>
            </w:r>
          </w:p>
        </w:tc>
        <w:tc>
          <w:tcPr>
            <w:tcW w:w="1021" w:type="dxa"/>
            <w:tcBorders>
              <w:bottom w:val="single" w:sz="12" w:space="0" w:color="9DAECB"/>
            </w:tcBorders>
            <w:shd w:val="clear" w:color="auto" w:fill="DEE4EE"/>
            <w:noWrap/>
            <w:vAlign w:val="center"/>
          </w:tcPr>
          <w:p w:rsidR="009D015F" w:rsidRPr="009734B0" w:rsidRDefault="009D015F" w:rsidP="009734B0">
            <w:pPr>
              <w:jc w:val="right"/>
              <w:rPr>
                <w:rFonts w:cs="Arial"/>
                <w:sz w:val="20"/>
                <w:szCs w:val="20"/>
              </w:rPr>
            </w:pPr>
            <w:r w:rsidRPr="009734B0">
              <w:rPr>
                <w:rFonts w:cs="Arial"/>
                <w:sz w:val="20"/>
                <w:szCs w:val="20"/>
              </w:rPr>
              <w:t>100.0%</w:t>
            </w:r>
          </w:p>
        </w:tc>
      </w:tr>
      <w:tr w:rsidR="009D015F" w:rsidRPr="003F4B94" w:rsidTr="003F4B94">
        <w:trPr>
          <w:trHeight w:val="567"/>
        </w:trPr>
        <w:tc>
          <w:tcPr>
            <w:tcW w:w="2552" w:type="dxa"/>
            <w:tcBorders>
              <w:top w:val="single" w:sz="12" w:space="0" w:color="9DAECB"/>
              <w:bottom w:val="single" w:sz="18" w:space="0" w:color="9DAECB"/>
            </w:tcBorders>
            <w:noWrap/>
            <w:vAlign w:val="center"/>
          </w:tcPr>
          <w:p w:rsidR="009D015F" w:rsidRPr="003F4B94" w:rsidRDefault="009D015F" w:rsidP="003F4B94">
            <w:pPr>
              <w:spacing w:before="60" w:after="60"/>
              <w:jc w:val="right"/>
              <w:rPr>
                <w:rFonts w:cs="Arial"/>
                <w:b/>
                <w:i/>
                <w:sz w:val="20"/>
                <w:szCs w:val="20"/>
                <w:lang w:eastAsia="en-AU"/>
              </w:rPr>
            </w:pPr>
            <w:r w:rsidRPr="003F4B94">
              <w:rPr>
                <w:rFonts w:cs="Arial"/>
                <w:b/>
                <w:i/>
                <w:sz w:val="20"/>
                <w:szCs w:val="20"/>
                <w:lang w:eastAsia="en-AU"/>
              </w:rPr>
              <w:t>Total</w:t>
            </w:r>
          </w:p>
        </w:tc>
        <w:tc>
          <w:tcPr>
            <w:tcW w:w="1021" w:type="dxa"/>
            <w:tcBorders>
              <w:top w:val="single" w:sz="12" w:space="0" w:color="9DAECB"/>
              <w:bottom w:val="single" w:sz="18" w:space="0" w:color="9DAECB"/>
            </w:tcBorders>
            <w:shd w:val="clear" w:color="auto" w:fill="DEE4EE"/>
            <w:noWrap/>
            <w:vAlign w:val="center"/>
          </w:tcPr>
          <w:p w:rsidR="009D015F" w:rsidRPr="003F4B94" w:rsidRDefault="009D015F" w:rsidP="009734B0">
            <w:pPr>
              <w:jc w:val="right"/>
              <w:rPr>
                <w:rFonts w:cs="Arial"/>
                <w:b/>
                <w:i/>
                <w:sz w:val="20"/>
                <w:szCs w:val="20"/>
              </w:rPr>
            </w:pPr>
            <w:r w:rsidRPr="003F4B94">
              <w:rPr>
                <w:rFonts w:cs="Arial"/>
                <w:b/>
                <w:i/>
                <w:sz w:val="20"/>
                <w:szCs w:val="20"/>
              </w:rPr>
              <w:t>161</w:t>
            </w:r>
          </w:p>
        </w:tc>
        <w:tc>
          <w:tcPr>
            <w:tcW w:w="1021" w:type="dxa"/>
            <w:tcBorders>
              <w:top w:val="single" w:sz="12" w:space="0" w:color="9DAECB"/>
              <w:bottom w:val="single" w:sz="18" w:space="0" w:color="9DAECB"/>
            </w:tcBorders>
            <w:shd w:val="clear" w:color="auto" w:fill="DEE4EE"/>
            <w:noWrap/>
            <w:vAlign w:val="center"/>
          </w:tcPr>
          <w:p w:rsidR="009D015F" w:rsidRPr="003F4B94" w:rsidRDefault="009D015F" w:rsidP="009734B0">
            <w:pPr>
              <w:jc w:val="right"/>
              <w:rPr>
                <w:rFonts w:cs="Arial"/>
                <w:b/>
                <w:i/>
                <w:sz w:val="20"/>
                <w:szCs w:val="20"/>
              </w:rPr>
            </w:pPr>
            <w:r w:rsidRPr="003F4B94">
              <w:rPr>
                <w:rFonts w:cs="Arial"/>
                <w:b/>
                <w:i/>
                <w:sz w:val="20"/>
                <w:szCs w:val="20"/>
              </w:rPr>
              <w:t>2.0%</w:t>
            </w:r>
          </w:p>
        </w:tc>
        <w:tc>
          <w:tcPr>
            <w:tcW w:w="1021" w:type="dxa"/>
            <w:tcBorders>
              <w:top w:val="single" w:sz="12" w:space="0" w:color="9DAECB"/>
              <w:bottom w:val="single" w:sz="18" w:space="0" w:color="9DAECB"/>
            </w:tcBorders>
            <w:noWrap/>
            <w:vAlign w:val="center"/>
          </w:tcPr>
          <w:p w:rsidR="009D015F" w:rsidRPr="003F4B94" w:rsidRDefault="009D015F" w:rsidP="009734B0">
            <w:pPr>
              <w:jc w:val="right"/>
              <w:rPr>
                <w:rFonts w:cs="Arial"/>
                <w:b/>
                <w:i/>
                <w:sz w:val="20"/>
                <w:szCs w:val="20"/>
              </w:rPr>
            </w:pPr>
            <w:r w:rsidRPr="003F4B94">
              <w:rPr>
                <w:rFonts w:cs="Arial"/>
                <w:b/>
                <w:i/>
                <w:sz w:val="20"/>
                <w:szCs w:val="20"/>
              </w:rPr>
              <w:t>2,089</w:t>
            </w:r>
          </w:p>
        </w:tc>
        <w:tc>
          <w:tcPr>
            <w:tcW w:w="1021" w:type="dxa"/>
            <w:tcBorders>
              <w:top w:val="single" w:sz="12" w:space="0" w:color="9DAECB"/>
              <w:bottom w:val="single" w:sz="18" w:space="0" w:color="9DAECB"/>
            </w:tcBorders>
            <w:noWrap/>
            <w:vAlign w:val="center"/>
          </w:tcPr>
          <w:p w:rsidR="009D015F" w:rsidRPr="003F4B94" w:rsidRDefault="009D015F" w:rsidP="009734B0">
            <w:pPr>
              <w:jc w:val="right"/>
              <w:rPr>
                <w:rFonts w:cs="Arial"/>
                <w:b/>
                <w:i/>
                <w:sz w:val="20"/>
                <w:szCs w:val="20"/>
              </w:rPr>
            </w:pPr>
            <w:r w:rsidRPr="003F4B94">
              <w:rPr>
                <w:rFonts w:cs="Arial"/>
                <w:b/>
                <w:i/>
                <w:sz w:val="20"/>
                <w:szCs w:val="20"/>
              </w:rPr>
              <w:t>11.9%</w:t>
            </w:r>
          </w:p>
        </w:tc>
        <w:tc>
          <w:tcPr>
            <w:tcW w:w="1021" w:type="dxa"/>
            <w:tcBorders>
              <w:top w:val="single" w:sz="12" w:space="0" w:color="9DAECB"/>
              <w:bottom w:val="single" w:sz="18" w:space="0" w:color="9DAECB"/>
            </w:tcBorders>
            <w:shd w:val="clear" w:color="auto" w:fill="DEE4EE"/>
            <w:noWrap/>
            <w:vAlign w:val="center"/>
          </w:tcPr>
          <w:p w:rsidR="009D015F" w:rsidRPr="003F4B94" w:rsidRDefault="009D015F" w:rsidP="009734B0">
            <w:pPr>
              <w:jc w:val="right"/>
              <w:rPr>
                <w:rFonts w:cs="Arial"/>
                <w:b/>
                <w:i/>
                <w:sz w:val="20"/>
                <w:szCs w:val="20"/>
              </w:rPr>
            </w:pPr>
            <w:r w:rsidRPr="003F4B94">
              <w:rPr>
                <w:rFonts w:cs="Arial"/>
                <w:b/>
                <w:i/>
                <w:sz w:val="20"/>
                <w:szCs w:val="20"/>
              </w:rPr>
              <w:t>4,790</w:t>
            </w:r>
          </w:p>
        </w:tc>
        <w:tc>
          <w:tcPr>
            <w:tcW w:w="1021" w:type="dxa"/>
            <w:tcBorders>
              <w:top w:val="single" w:sz="12" w:space="0" w:color="9DAECB"/>
              <w:bottom w:val="single" w:sz="18" w:space="0" w:color="9DAECB"/>
            </w:tcBorders>
            <w:shd w:val="clear" w:color="auto" w:fill="DEE4EE"/>
            <w:noWrap/>
            <w:vAlign w:val="center"/>
          </w:tcPr>
          <w:p w:rsidR="009D015F" w:rsidRPr="003F4B94" w:rsidRDefault="009D015F" w:rsidP="009734B0">
            <w:pPr>
              <w:jc w:val="right"/>
              <w:rPr>
                <w:rFonts w:cs="Arial"/>
                <w:b/>
                <w:i/>
                <w:sz w:val="20"/>
                <w:szCs w:val="20"/>
              </w:rPr>
            </w:pPr>
            <w:r w:rsidRPr="003F4B94">
              <w:rPr>
                <w:rFonts w:cs="Arial"/>
                <w:b/>
                <w:i/>
                <w:sz w:val="20"/>
                <w:szCs w:val="20"/>
              </w:rPr>
              <w:t>25.8%</w:t>
            </w:r>
          </w:p>
        </w:tc>
        <w:tc>
          <w:tcPr>
            <w:tcW w:w="1021" w:type="dxa"/>
            <w:tcBorders>
              <w:top w:val="single" w:sz="12" w:space="0" w:color="9DAECB"/>
              <w:bottom w:val="single" w:sz="18" w:space="0" w:color="9DAECB"/>
            </w:tcBorders>
            <w:noWrap/>
            <w:vAlign w:val="center"/>
          </w:tcPr>
          <w:p w:rsidR="009D015F" w:rsidRPr="003F4B94" w:rsidRDefault="009D015F" w:rsidP="009734B0">
            <w:pPr>
              <w:jc w:val="right"/>
              <w:rPr>
                <w:rFonts w:cs="Arial"/>
                <w:b/>
                <w:i/>
                <w:sz w:val="20"/>
                <w:szCs w:val="20"/>
              </w:rPr>
            </w:pPr>
            <w:r w:rsidRPr="003F4B94">
              <w:rPr>
                <w:rFonts w:cs="Arial"/>
                <w:b/>
                <w:i/>
                <w:sz w:val="20"/>
                <w:szCs w:val="20"/>
              </w:rPr>
              <w:t>2,633</w:t>
            </w:r>
          </w:p>
        </w:tc>
        <w:tc>
          <w:tcPr>
            <w:tcW w:w="1021" w:type="dxa"/>
            <w:tcBorders>
              <w:top w:val="single" w:sz="12" w:space="0" w:color="9DAECB"/>
              <w:bottom w:val="single" w:sz="18" w:space="0" w:color="9DAECB"/>
            </w:tcBorders>
            <w:noWrap/>
            <w:vAlign w:val="center"/>
          </w:tcPr>
          <w:p w:rsidR="009D015F" w:rsidRPr="003F4B94" w:rsidRDefault="009D015F" w:rsidP="009734B0">
            <w:pPr>
              <w:jc w:val="right"/>
              <w:rPr>
                <w:rFonts w:cs="Arial"/>
                <w:b/>
                <w:i/>
                <w:sz w:val="20"/>
                <w:szCs w:val="20"/>
              </w:rPr>
            </w:pPr>
            <w:r w:rsidRPr="003F4B94">
              <w:rPr>
                <w:rFonts w:cs="Arial"/>
                <w:b/>
                <w:i/>
                <w:sz w:val="20"/>
                <w:szCs w:val="20"/>
              </w:rPr>
              <w:t>38.8%</w:t>
            </w:r>
          </w:p>
        </w:tc>
        <w:tc>
          <w:tcPr>
            <w:tcW w:w="1021" w:type="dxa"/>
            <w:tcBorders>
              <w:top w:val="single" w:sz="12" w:space="0" w:color="9DAECB"/>
              <w:bottom w:val="single" w:sz="18" w:space="0" w:color="9DAECB"/>
            </w:tcBorders>
            <w:shd w:val="clear" w:color="auto" w:fill="DEE4EE"/>
            <w:noWrap/>
            <w:vAlign w:val="center"/>
          </w:tcPr>
          <w:p w:rsidR="009D015F" w:rsidRPr="003F4B94" w:rsidRDefault="009D015F" w:rsidP="009734B0">
            <w:pPr>
              <w:jc w:val="right"/>
              <w:rPr>
                <w:rFonts w:cs="Arial"/>
                <w:b/>
                <w:i/>
                <w:sz w:val="20"/>
                <w:szCs w:val="20"/>
              </w:rPr>
            </w:pPr>
            <w:r w:rsidRPr="003F4B94">
              <w:rPr>
                <w:rFonts w:cs="Arial"/>
                <w:b/>
                <w:i/>
                <w:sz w:val="20"/>
                <w:szCs w:val="20"/>
              </w:rPr>
              <w:t>9,674</w:t>
            </w:r>
          </w:p>
        </w:tc>
        <w:tc>
          <w:tcPr>
            <w:tcW w:w="1021" w:type="dxa"/>
            <w:tcBorders>
              <w:top w:val="single" w:sz="12" w:space="0" w:color="9DAECB"/>
              <w:bottom w:val="single" w:sz="18" w:space="0" w:color="9DAECB"/>
            </w:tcBorders>
            <w:shd w:val="clear" w:color="auto" w:fill="DEE4EE"/>
            <w:noWrap/>
            <w:vAlign w:val="center"/>
          </w:tcPr>
          <w:p w:rsidR="009D015F" w:rsidRPr="003F4B94" w:rsidRDefault="009D015F" w:rsidP="009734B0">
            <w:pPr>
              <w:jc w:val="right"/>
              <w:rPr>
                <w:rFonts w:cs="Arial"/>
                <w:b/>
                <w:i/>
                <w:sz w:val="20"/>
                <w:szCs w:val="20"/>
              </w:rPr>
            </w:pPr>
            <w:r w:rsidRPr="003F4B94">
              <w:rPr>
                <w:rFonts w:cs="Arial"/>
                <w:b/>
                <w:i/>
                <w:sz w:val="20"/>
                <w:szCs w:val="20"/>
              </w:rPr>
              <w:t>19.0%</w:t>
            </w:r>
          </w:p>
        </w:tc>
      </w:tr>
    </w:tbl>
    <w:p w:rsidR="0047763C" w:rsidRDefault="0047763C" w:rsidP="00423BC0">
      <w:pPr>
        <w:widowControl w:val="0"/>
        <w:autoSpaceDE w:val="0"/>
        <w:autoSpaceDN w:val="0"/>
        <w:adjustRightInd w:val="0"/>
        <w:spacing w:after="240"/>
        <w:rPr>
          <w:rFonts w:cs="Arial"/>
        </w:rPr>
      </w:pPr>
    </w:p>
    <w:p w:rsidR="001903E1" w:rsidRDefault="001903E1" w:rsidP="00423BC0">
      <w:pPr>
        <w:widowControl w:val="0"/>
        <w:autoSpaceDE w:val="0"/>
        <w:autoSpaceDN w:val="0"/>
        <w:adjustRightInd w:val="0"/>
        <w:spacing w:after="240"/>
        <w:rPr>
          <w:rFonts w:cs="Arial"/>
        </w:rPr>
      </w:pPr>
    </w:p>
    <w:p w:rsidR="001903E1" w:rsidRDefault="001903E1" w:rsidP="00423BC0">
      <w:pPr>
        <w:widowControl w:val="0"/>
        <w:autoSpaceDE w:val="0"/>
        <w:autoSpaceDN w:val="0"/>
        <w:adjustRightInd w:val="0"/>
        <w:spacing w:after="240"/>
        <w:rPr>
          <w:rFonts w:cs="Arial"/>
        </w:rPr>
        <w:sectPr w:rsidR="001903E1" w:rsidSect="001903E1">
          <w:pgSz w:w="16838" w:h="11906" w:orient="landscape"/>
          <w:pgMar w:top="1134" w:right="1134" w:bottom="1134" w:left="1134" w:header="709" w:footer="709" w:gutter="0"/>
          <w:cols w:space="708"/>
          <w:docGrid w:linePitch="360"/>
        </w:sectPr>
      </w:pPr>
    </w:p>
    <w:p w:rsidR="0047763C" w:rsidRPr="00706644" w:rsidRDefault="0047763C" w:rsidP="00A530BB">
      <w:pPr>
        <w:widowControl w:val="0"/>
        <w:autoSpaceDE w:val="0"/>
        <w:autoSpaceDN w:val="0"/>
        <w:adjustRightInd w:val="0"/>
        <w:spacing w:after="120"/>
        <w:rPr>
          <w:rFonts w:cs="Arial"/>
        </w:rPr>
      </w:pPr>
      <w:r w:rsidRPr="000375B1">
        <w:rPr>
          <w:rFonts w:cs="Arial"/>
          <w:b/>
          <w:sz w:val="20"/>
          <w:szCs w:val="20"/>
        </w:rPr>
        <w:lastRenderedPageBreak/>
        <w:t xml:space="preserve">Table </w:t>
      </w:r>
      <w:r>
        <w:rPr>
          <w:rFonts w:cs="Arial"/>
          <w:b/>
          <w:sz w:val="20"/>
          <w:szCs w:val="20"/>
        </w:rPr>
        <w:t>14</w:t>
      </w:r>
      <w:r w:rsidRPr="000375B1">
        <w:rPr>
          <w:rFonts w:cs="Arial"/>
          <w:b/>
          <w:sz w:val="20"/>
          <w:szCs w:val="20"/>
        </w:rPr>
        <w:t xml:space="preserve"> –A</w:t>
      </w:r>
      <w:r>
        <w:rPr>
          <w:rFonts w:cs="Arial"/>
          <w:b/>
          <w:sz w:val="20"/>
          <w:szCs w:val="20"/>
        </w:rPr>
        <w:t xml:space="preserve">ctive bonds by local </w:t>
      </w:r>
      <w:r w:rsidRPr="000375B1">
        <w:rPr>
          <w:rFonts w:cs="Arial"/>
          <w:b/>
          <w:sz w:val="20"/>
          <w:szCs w:val="20"/>
        </w:rPr>
        <w:t>government area</w:t>
      </w:r>
    </w:p>
    <w:tbl>
      <w:tblPr>
        <w:tblW w:w="10039"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1985"/>
        <w:gridCol w:w="851"/>
        <w:gridCol w:w="851"/>
        <w:gridCol w:w="964"/>
        <w:gridCol w:w="284"/>
        <w:gridCol w:w="2155"/>
        <w:gridCol w:w="1021"/>
        <w:gridCol w:w="964"/>
        <w:gridCol w:w="964"/>
      </w:tblGrid>
      <w:tr w:rsidR="005C3C04" w:rsidRPr="005C0ADF" w:rsidTr="005C0ADF">
        <w:trPr>
          <w:trHeight w:val="211"/>
          <w:tblHeader/>
        </w:trPr>
        <w:tc>
          <w:tcPr>
            <w:tcW w:w="1985" w:type="dxa"/>
            <w:vMerge w:val="restart"/>
            <w:tcBorders>
              <w:top w:val="single" w:sz="18" w:space="0" w:color="9DAECB"/>
              <w:bottom w:val="single" w:sz="2" w:space="0" w:color="9DAECB"/>
            </w:tcBorders>
            <w:noWrap/>
            <w:vAlign w:val="bottom"/>
          </w:tcPr>
          <w:p w:rsidR="005C3C04" w:rsidRPr="005C0ADF" w:rsidRDefault="005C3C04" w:rsidP="000D75DF">
            <w:pPr>
              <w:rPr>
                <w:rFonts w:cs="Arial"/>
                <w:b/>
                <w:color w:val="000000"/>
                <w:sz w:val="20"/>
                <w:szCs w:val="20"/>
                <w:lang w:eastAsia="en-AU"/>
              </w:rPr>
            </w:pPr>
            <w:r w:rsidRPr="005C0ADF">
              <w:rPr>
                <w:rFonts w:cs="Arial"/>
                <w:b/>
                <w:color w:val="000000"/>
                <w:sz w:val="20"/>
                <w:szCs w:val="20"/>
                <w:lang w:eastAsia="en-AU"/>
              </w:rPr>
              <w:t>LGA</w:t>
            </w:r>
          </w:p>
        </w:tc>
        <w:tc>
          <w:tcPr>
            <w:tcW w:w="851" w:type="dxa"/>
            <w:vMerge w:val="restart"/>
            <w:tcBorders>
              <w:top w:val="single" w:sz="18" w:space="0" w:color="9DAECB"/>
              <w:bottom w:val="single" w:sz="2" w:space="0" w:color="9DAECB"/>
            </w:tcBorders>
            <w:noWrap/>
            <w:vAlign w:val="bottom"/>
          </w:tcPr>
          <w:p w:rsidR="005C3C04" w:rsidRPr="005C0ADF" w:rsidRDefault="00580EEA" w:rsidP="00580EEA">
            <w:pPr>
              <w:jc w:val="right"/>
              <w:rPr>
                <w:rFonts w:cs="Arial"/>
                <w:b/>
                <w:color w:val="000000"/>
                <w:sz w:val="20"/>
                <w:szCs w:val="20"/>
                <w:lang w:eastAsia="en-AU"/>
              </w:rPr>
            </w:pPr>
            <w:r>
              <w:rPr>
                <w:rFonts w:cs="Arial"/>
                <w:b/>
                <w:color w:val="000000"/>
                <w:sz w:val="20"/>
                <w:szCs w:val="20"/>
                <w:lang w:eastAsia="en-AU"/>
              </w:rPr>
              <w:t>Dec</w:t>
            </w:r>
            <w:r w:rsidR="005C3C04" w:rsidRPr="005C0ADF">
              <w:rPr>
                <w:rFonts w:cs="Arial"/>
                <w:b/>
                <w:color w:val="000000"/>
                <w:sz w:val="20"/>
                <w:szCs w:val="20"/>
                <w:lang w:eastAsia="en-AU"/>
              </w:rPr>
              <w:br/>
              <w:t>201</w:t>
            </w:r>
            <w:r w:rsidR="003D65FF" w:rsidRPr="005C0ADF">
              <w:rPr>
                <w:rFonts w:cs="Arial"/>
                <w:b/>
                <w:color w:val="000000"/>
                <w:sz w:val="20"/>
                <w:szCs w:val="20"/>
                <w:lang w:eastAsia="en-AU"/>
              </w:rPr>
              <w:t>5</w:t>
            </w:r>
          </w:p>
        </w:tc>
        <w:tc>
          <w:tcPr>
            <w:tcW w:w="1815" w:type="dxa"/>
            <w:gridSpan w:val="2"/>
            <w:tcBorders>
              <w:top w:val="single" w:sz="18" w:space="0" w:color="9DAECB"/>
              <w:bottom w:val="single" w:sz="2" w:space="0" w:color="9DAECB"/>
            </w:tcBorders>
            <w:shd w:val="clear" w:color="auto" w:fill="DEE4EE"/>
            <w:noWrap/>
            <w:vAlign w:val="bottom"/>
          </w:tcPr>
          <w:p w:rsidR="005C3C04" w:rsidRPr="005C0ADF" w:rsidRDefault="005C3C04" w:rsidP="005C3C04">
            <w:pPr>
              <w:jc w:val="center"/>
              <w:rPr>
                <w:rFonts w:cs="Arial"/>
                <w:b/>
                <w:color w:val="000000"/>
                <w:sz w:val="20"/>
                <w:szCs w:val="20"/>
                <w:lang w:eastAsia="en-AU"/>
              </w:rPr>
            </w:pPr>
            <w:r w:rsidRPr="005C0ADF">
              <w:rPr>
                <w:rFonts w:cs="Arial"/>
                <w:b/>
                <w:color w:val="000000"/>
                <w:sz w:val="20"/>
                <w:szCs w:val="20"/>
                <w:lang w:eastAsia="en-AU"/>
              </w:rPr>
              <w:t>% change</w:t>
            </w:r>
          </w:p>
        </w:tc>
        <w:tc>
          <w:tcPr>
            <w:tcW w:w="284" w:type="dxa"/>
            <w:vMerge w:val="restart"/>
            <w:tcBorders>
              <w:top w:val="single" w:sz="18" w:space="0" w:color="9DAECB"/>
              <w:bottom w:val="single" w:sz="2" w:space="0" w:color="9DAECB"/>
            </w:tcBorders>
          </w:tcPr>
          <w:p w:rsidR="005C3C04" w:rsidRPr="005C0ADF" w:rsidRDefault="005C3C04" w:rsidP="00A343D0">
            <w:pPr>
              <w:rPr>
                <w:rFonts w:cs="Arial"/>
                <w:b/>
                <w:color w:val="000000"/>
                <w:sz w:val="20"/>
                <w:szCs w:val="20"/>
                <w:lang w:eastAsia="en-AU"/>
              </w:rPr>
            </w:pPr>
          </w:p>
        </w:tc>
        <w:tc>
          <w:tcPr>
            <w:tcW w:w="2155" w:type="dxa"/>
            <w:vMerge w:val="restart"/>
            <w:tcBorders>
              <w:top w:val="single" w:sz="18" w:space="0" w:color="9DAECB"/>
              <w:bottom w:val="single" w:sz="2" w:space="0" w:color="9DAECB"/>
            </w:tcBorders>
            <w:vAlign w:val="bottom"/>
          </w:tcPr>
          <w:p w:rsidR="005C3C04" w:rsidRPr="005C0ADF" w:rsidRDefault="005C3C04" w:rsidP="00A343D0">
            <w:pPr>
              <w:rPr>
                <w:rFonts w:cs="Arial"/>
                <w:b/>
                <w:color w:val="000000"/>
                <w:sz w:val="20"/>
                <w:szCs w:val="20"/>
                <w:lang w:eastAsia="en-AU"/>
              </w:rPr>
            </w:pPr>
            <w:r w:rsidRPr="005C0ADF">
              <w:rPr>
                <w:rFonts w:cs="Arial"/>
                <w:b/>
                <w:color w:val="000000"/>
                <w:sz w:val="20"/>
                <w:szCs w:val="20"/>
                <w:lang w:eastAsia="en-AU"/>
              </w:rPr>
              <w:t>LGA</w:t>
            </w:r>
          </w:p>
        </w:tc>
        <w:tc>
          <w:tcPr>
            <w:tcW w:w="1021" w:type="dxa"/>
            <w:vMerge w:val="restart"/>
            <w:tcBorders>
              <w:top w:val="single" w:sz="18" w:space="0" w:color="9DAECB"/>
              <w:bottom w:val="single" w:sz="2" w:space="0" w:color="9DAECB"/>
            </w:tcBorders>
            <w:vAlign w:val="bottom"/>
          </w:tcPr>
          <w:p w:rsidR="005C3C04" w:rsidRPr="005C0ADF" w:rsidRDefault="00580EEA" w:rsidP="003D65FF">
            <w:pPr>
              <w:jc w:val="right"/>
              <w:rPr>
                <w:rFonts w:cs="Arial"/>
                <w:b/>
                <w:color w:val="000000"/>
                <w:sz w:val="20"/>
                <w:szCs w:val="20"/>
                <w:lang w:eastAsia="en-AU"/>
              </w:rPr>
            </w:pPr>
            <w:r>
              <w:rPr>
                <w:rFonts w:cs="Arial"/>
                <w:b/>
                <w:color w:val="000000"/>
                <w:sz w:val="20"/>
                <w:szCs w:val="20"/>
                <w:lang w:eastAsia="en-AU"/>
              </w:rPr>
              <w:t>Dec</w:t>
            </w:r>
            <w:r w:rsidR="005C3C04" w:rsidRPr="005C0ADF">
              <w:rPr>
                <w:rFonts w:cs="Arial"/>
                <w:b/>
                <w:color w:val="000000"/>
                <w:sz w:val="20"/>
                <w:szCs w:val="20"/>
                <w:lang w:eastAsia="en-AU"/>
              </w:rPr>
              <w:br/>
              <w:t>201</w:t>
            </w:r>
            <w:r w:rsidR="003D65FF" w:rsidRPr="005C0ADF">
              <w:rPr>
                <w:rFonts w:cs="Arial"/>
                <w:b/>
                <w:color w:val="000000"/>
                <w:sz w:val="20"/>
                <w:szCs w:val="20"/>
                <w:lang w:eastAsia="en-AU"/>
              </w:rPr>
              <w:t>5</w:t>
            </w:r>
          </w:p>
        </w:tc>
        <w:tc>
          <w:tcPr>
            <w:tcW w:w="1928" w:type="dxa"/>
            <w:gridSpan w:val="2"/>
            <w:tcBorders>
              <w:top w:val="single" w:sz="18" w:space="0" w:color="9DAECB"/>
              <w:bottom w:val="single" w:sz="2" w:space="0" w:color="9DAECB"/>
            </w:tcBorders>
            <w:shd w:val="clear" w:color="auto" w:fill="DEE4EE"/>
            <w:vAlign w:val="bottom"/>
          </w:tcPr>
          <w:p w:rsidR="005C3C04" w:rsidRPr="005C0ADF" w:rsidRDefault="005C3C04" w:rsidP="005C3C04">
            <w:pPr>
              <w:jc w:val="center"/>
              <w:rPr>
                <w:rFonts w:cs="Arial"/>
                <w:b/>
                <w:color w:val="000000"/>
                <w:sz w:val="20"/>
                <w:szCs w:val="20"/>
                <w:lang w:eastAsia="en-AU"/>
              </w:rPr>
            </w:pPr>
            <w:r w:rsidRPr="005C0ADF">
              <w:rPr>
                <w:rFonts w:cs="Arial"/>
                <w:b/>
                <w:color w:val="000000"/>
                <w:sz w:val="20"/>
                <w:szCs w:val="20"/>
                <w:lang w:eastAsia="en-AU"/>
              </w:rPr>
              <w:t>% change</w:t>
            </w:r>
          </w:p>
        </w:tc>
      </w:tr>
      <w:tr w:rsidR="005C3C04" w:rsidRPr="005C0ADF" w:rsidTr="005C0ADF">
        <w:trPr>
          <w:trHeight w:val="210"/>
          <w:tblHeader/>
        </w:trPr>
        <w:tc>
          <w:tcPr>
            <w:tcW w:w="1985" w:type="dxa"/>
            <w:vMerge/>
            <w:tcBorders>
              <w:top w:val="single" w:sz="2" w:space="0" w:color="9DAECB"/>
              <w:bottom w:val="single" w:sz="12" w:space="0" w:color="9DAECB"/>
            </w:tcBorders>
            <w:noWrap/>
            <w:vAlign w:val="bottom"/>
          </w:tcPr>
          <w:p w:rsidR="005C3C04" w:rsidRPr="005C0ADF" w:rsidRDefault="005C3C04" w:rsidP="000D75DF">
            <w:pPr>
              <w:rPr>
                <w:rFonts w:cs="Arial"/>
                <w:b/>
                <w:color w:val="000000"/>
                <w:sz w:val="20"/>
                <w:szCs w:val="20"/>
                <w:lang w:eastAsia="en-AU"/>
              </w:rPr>
            </w:pPr>
          </w:p>
        </w:tc>
        <w:tc>
          <w:tcPr>
            <w:tcW w:w="851" w:type="dxa"/>
            <w:vMerge/>
            <w:tcBorders>
              <w:top w:val="single" w:sz="2" w:space="0" w:color="9DAECB"/>
              <w:bottom w:val="single" w:sz="12" w:space="0" w:color="9DAECB"/>
            </w:tcBorders>
            <w:noWrap/>
            <w:vAlign w:val="bottom"/>
          </w:tcPr>
          <w:p w:rsidR="005C3C04" w:rsidRPr="005C0ADF" w:rsidRDefault="005C3C04" w:rsidP="00A343D0">
            <w:pPr>
              <w:jc w:val="right"/>
              <w:rPr>
                <w:rFonts w:cs="Arial"/>
                <w:b/>
                <w:color w:val="000000"/>
                <w:sz w:val="20"/>
                <w:szCs w:val="20"/>
                <w:lang w:eastAsia="en-AU"/>
              </w:rPr>
            </w:pPr>
          </w:p>
        </w:tc>
        <w:tc>
          <w:tcPr>
            <w:tcW w:w="851" w:type="dxa"/>
            <w:tcBorders>
              <w:top w:val="single" w:sz="2" w:space="0" w:color="9DAECB"/>
              <w:bottom w:val="single" w:sz="12" w:space="0" w:color="9DAECB"/>
            </w:tcBorders>
            <w:shd w:val="clear" w:color="auto" w:fill="DEE4EE"/>
            <w:noWrap/>
            <w:vAlign w:val="bottom"/>
          </w:tcPr>
          <w:p w:rsidR="005C3C04" w:rsidRPr="005C0ADF" w:rsidRDefault="005C3C04" w:rsidP="00A343D0">
            <w:pPr>
              <w:jc w:val="right"/>
              <w:rPr>
                <w:rFonts w:cs="Arial"/>
                <w:b/>
                <w:color w:val="000000"/>
                <w:sz w:val="20"/>
                <w:szCs w:val="20"/>
                <w:lang w:eastAsia="en-AU"/>
              </w:rPr>
            </w:pPr>
            <w:r w:rsidRPr="005C0ADF">
              <w:rPr>
                <w:rFonts w:cs="Arial"/>
                <w:b/>
                <w:color w:val="000000"/>
                <w:sz w:val="20"/>
                <w:szCs w:val="20"/>
                <w:lang w:eastAsia="en-AU"/>
              </w:rPr>
              <w:t>1 year</w:t>
            </w:r>
          </w:p>
        </w:tc>
        <w:tc>
          <w:tcPr>
            <w:tcW w:w="964" w:type="dxa"/>
            <w:tcBorders>
              <w:top w:val="single" w:sz="2" w:space="0" w:color="9DAECB"/>
              <w:bottom w:val="single" w:sz="12" w:space="0" w:color="9DAECB"/>
            </w:tcBorders>
            <w:shd w:val="clear" w:color="auto" w:fill="DEE4EE"/>
            <w:noWrap/>
            <w:vAlign w:val="bottom"/>
          </w:tcPr>
          <w:p w:rsidR="005C3C04" w:rsidRPr="005C0ADF" w:rsidRDefault="005C3C04" w:rsidP="00A343D0">
            <w:pPr>
              <w:jc w:val="right"/>
              <w:rPr>
                <w:rFonts w:cs="Arial"/>
                <w:b/>
                <w:color w:val="000000"/>
                <w:sz w:val="20"/>
                <w:szCs w:val="20"/>
                <w:lang w:eastAsia="en-AU"/>
              </w:rPr>
            </w:pPr>
            <w:r w:rsidRPr="005C0ADF">
              <w:rPr>
                <w:rFonts w:cs="Arial"/>
                <w:b/>
                <w:color w:val="000000"/>
                <w:sz w:val="20"/>
                <w:szCs w:val="20"/>
                <w:lang w:eastAsia="en-AU"/>
              </w:rPr>
              <w:t>5 years</w:t>
            </w:r>
          </w:p>
        </w:tc>
        <w:tc>
          <w:tcPr>
            <w:tcW w:w="284" w:type="dxa"/>
            <w:vMerge/>
            <w:tcBorders>
              <w:top w:val="single" w:sz="2" w:space="0" w:color="9DAECB"/>
              <w:bottom w:val="single" w:sz="12" w:space="0" w:color="9DAECB"/>
            </w:tcBorders>
          </w:tcPr>
          <w:p w:rsidR="005C3C04" w:rsidRPr="005C0ADF" w:rsidRDefault="005C3C04" w:rsidP="00A343D0">
            <w:pPr>
              <w:rPr>
                <w:rFonts w:cs="Arial"/>
                <w:b/>
                <w:color w:val="000000"/>
                <w:sz w:val="20"/>
                <w:szCs w:val="20"/>
                <w:lang w:eastAsia="en-AU"/>
              </w:rPr>
            </w:pPr>
          </w:p>
        </w:tc>
        <w:tc>
          <w:tcPr>
            <w:tcW w:w="2155" w:type="dxa"/>
            <w:vMerge/>
            <w:tcBorders>
              <w:top w:val="single" w:sz="2" w:space="0" w:color="9DAECB"/>
              <w:bottom w:val="single" w:sz="12" w:space="0" w:color="9DAECB"/>
            </w:tcBorders>
            <w:vAlign w:val="bottom"/>
          </w:tcPr>
          <w:p w:rsidR="005C3C04" w:rsidRPr="005C0ADF" w:rsidRDefault="005C3C04" w:rsidP="00A343D0">
            <w:pPr>
              <w:rPr>
                <w:rFonts w:cs="Arial"/>
                <w:b/>
                <w:color w:val="000000"/>
                <w:sz w:val="20"/>
                <w:szCs w:val="20"/>
                <w:lang w:eastAsia="en-AU"/>
              </w:rPr>
            </w:pPr>
          </w:p>
        </w:tc>
        <w:tc>
          <w:tcPr>
            <w:tcW w:w="1021" w:type="dxa"/>
            <w:vMerge/>
            <w:tcBorders>
              <w:top w:val="single" w:sz="2" w:space="0" w:color="9DAECB"/>
              <w:bottom w:val="single" w:sz="12" w:space="0" w:color="9DAECB"/>
            </w:tcBorders>
            <w:vAlign w:val="bottom"/>
          </w:tcPr>
          <w:p w:rsidR="005C3C04" w:rsidRPr="005C0ADF" w:rsidRDefault="005C3C04" w:rsidP="00A343D0">
            <w:pPr>
              <w:jc w:val="right"/>
              <w:rPr>
                <w:rFonts w:cs="Arial"/>
                <w:b/>
                <w:color w:val="000000"/>
                <w:sz w:val="20"/>
                <w:szCs w:val="20"/>
                <w:lang w:eastAsia="en-AU"/>
              </w:rPr>
            </w:pPr>
          </w:p>
        </w:tc>
        <w:tc>
          <w:tcPr>
            <w:tcW w:w="964" w:type="dxa"/>
            <w:tcBorders>
              <w:top w:val="single" w:sz="2" w:space="0" w:color="9DAECB"/>
              <w:bottom w:val="single" w:sz="12" w:space="0" w:color="9DAECB"/>
            </w:tcBorders>
            <w:shd w:val="clear" w:color="auto" w:fill="DEE4EE"/>
            <w:vAlign w:val="bottom"/>
          </w:tcPr>
          <w:p w:rsidR="005C3C04" w:rsidRPr="005C0ADF" w:rsidRDefault="005C3C04" w:rsidP="00031F01">
            <w:pPr>
              <w:jc w:val="right"/>
              <w:rPr>
                <w:rFonts w:cs="Arial"/>
                <w:b/>
                <w:color w:val="000000"/>
                <w:sz w:val="20"/>
                <w:szCs w:val="20"/>
                <w:lang w:eastAsia="en-AU"/>
              </w:rPr>
            </w:pPr>
            <w:r w:rsidRPr="005C0ADF">
              <w:rPr>
                <w:rFonts w:cs="Arial"/>
                <w:b/>
                <w:color w:val="000000"/>
                <w:sz w:val="20"/>
                <w:szCs w:val="20"/>
                <w:lang w:eastAsia="en-AU"/>
              </w:rPr>
              <w:t>1 year</w:t>
            </w:r>
          </w:p>
        </w:tc>
        <w:tc>
          <w:tcPr>
            <w:tcW w:w="964" w:type="dxa"/>
            <w:tcBorders>
              <w:top w:val="single" w:sz="2" w:space="0" w:color="9DAECB"/>
              <w:bottom w:val="single" w:sz="12" w:space="0" w:color="9DAECB"/>
            </w:tcBorders>
            <w:shd w:val="clear" w:color="auto" w:fill="DEE4EE"/>
            <w:vAlign w:val="bottom"/>
          </w:tcPr>
          <w:p w:rsidR="005C3C04" w:rsidRPr="005C0ADF" w:rsidRDefault="005C3C04" w:rsidP="00031F01">
            <w:pPr>
              <w:jc w:val="right"/>
              <w:rPr>
                <w:rFonts w:cs="Arial"/>
                <w:b/>
                <w:color w:val="000000"/>
                <w:sz w:val="20"/>
                <w:szCs w:val="20"/>
                <w:lang w:eastAsia="en-AU"/>
              </w:rPr>
            </w:pPr>
            <w:r w:rsidRPr="005C0ADF">
              <w:rPr>
                <w:rFonts w:cs="Arial"/>
                <w:b/>
                <w:color w:val="000000"/>
                <w:sz w:val="20"/>
                <w:szCs w:val="20"/>
                <w:lang w:eastAsia="en-AU"/>
              </w:rPr>
              <w:t>5 years</w:t>
            </w:r>
          </w:p>
        </w:tc>
      </w:tr>
      <w:tr w:rsidR="00CB1B3B" w:rsidRPr="005C0ADF" w:rsidTr="00CB1B3B">
        <w:trPr>
          <w:trHeight w:hRule="exact" w:val="335"/>
        </w:trPr>
        <w:tc>
          <w:tcPr>
            <w:tcW w:w="1985" w:type="dxa"/>
            <w:tcBorders>
              <w:top w:val="single" w:sz="12" w:space="0" w:color="9DAECB"/>
            </w:tcBorders>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Alpine</w:t>
            </w:r>
          </w:p>
        </w:tc>
        <w:tc>
          <w:tcPr>
            <w:tcW w:w="851" w:type="dxa"/>
            <w:tcBorders>
              <w:top w:val="single" w:sz="12" w:space="0" w:color="9DAECB"/>
            </w:tcBorders>
            <w:noWrap/>
            <w:vAlign w:val="center"/>
          </w:tcPr>
          <w:p w:rsidR="00CB1B3B" w:rsidRPr="00CB1B3B" w:rsidRDefault="00CB1B3B" w:rsidP="00CB1B3B">
            <w:pPr>
              <w:jc w:val="right"/>
              <w:rPr>
                <w:rFonts w:cs="Arial"/>
                <w:sz w:val="20"/>
                <w:szCs w:val="20"/>
              </w:rPr>
            </w:pPr>
            <w:r w:rsidRPr="00CB1B3B">
              <w:rPr>
                <w:rFonts w:cs="Arial"/>
                <w:sz w:val="20"/>
                <w:szCs w:val="20"/>
              </w:rPr>
              <w:t>765</w:t>
            </w:r>
          </w:p>
        </w:tc>
        <w:tc>
          <w:tcPr>
            <w:tcW w:w="851" w:type="dxa"/>
            <w:tcBorders>
              <w:top w:val="single" w:sz="12" w:space="0" w:color="9DAECB"/>
            </w:tcBorders>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-0.4%</w:t>
            </w:r>
          </w:p>
        </w:tc>
        <w:tc>
          <w:tcPr>
            <w:tcW w:w="964" w:type="dxa"/>
            <w:tcBorders>
              <w:top w:val="single" w:sz="12" w:space="0" w:color="9DAECB"/>
            </w:tcBorders>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15.6%</w:t>
            </w:r>
          </w:p>
        </w:tc>
        <w:tc>
          <w:tcPr>
            <w:tcW w:w="284" w:type="dxa"/>
            <w:tcBorders>
              <w:top w:val="single" w:sz="12" w:space="0" w:color="9DAECB"/>
            </w:tcBorders>
          </w:tcPr>
          <w:p w:rsidR="00CB1B3B" w:rsidRPr="005C0ADF" w:rsidRDefault="00CB1B3B" w:rsidP="008054C0">
            <w:pPr>
              <w:rPr>
                <w:rFonts w:cs="Arial"/>
                <w:color w:val="000000"/>
                <w:sz w:val="20"/>
                <w:szCs w:val="20"/>
                <w:lang w:eastAsia="en-AU"/>
              </w:rPr>
            </w:pPr>
          </w:p>
        </w:tc>
        <w:tc>
          <w:tcPr>
            <w:tcW w:w="2155" w:type="dxa"/>
            <w:tcBorders>
              <w:top w:val="single" w:sz="12" w:space="0" w:color="9DAECB"/>
            </w:tcBorders>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Mansfield</w:t>
            </w:r>
          </w:p>
        </w:tc>
        <w:tc>
          <w:tcPr>
            <w:tcW w:w="1021" w:type="dxa"/>
            <w:tcBorders>
              <w:top w:val="single" w:sz="12" w:space="0" w:color="9DAECB"/>
            </w:tcBorders>
            <w:vAlign w:val="center"/>
          </w:tcPr>
          <w:p w:rsidR="00CB1B3B" w:rsidRPr="00CB1B3B" w:rsidRDefault="00CB1B3B" w:rsidP="00CB1B3B">
            <w:pPr>
              <w:jc w:val="right"/>
              <w:rPr>
                <w:rFonts w:cs="Arial"/>
                <w:sz w:val="20"/>
                <w:szCs w:val="20"/>
              </w:rPr>
            </w:pPr>
            <w:r w:rsidRPr="00CB1B3B">
              <w:rPr>
                <w:rFonts w:cs="Arial"/>
                <w:sz w:val="20"/>
                <w:szCs w:val="20"/>
              </w:rPr>
              <w:t>358</w:t>
            </w:r>
          </w:p>
        </w:tc>
        <w:tc>
          <w:tcPr>
            <w:tcW w:w="964" w:type="dxa"/>
            <w:tcBorders>
              <w:top w:val="single" w:sz="12" w:space="0" w:color="9DAECB"/>
            </w:tcBorders>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2.0%</w:t>
            </w:r>
          </w:p>
        </w:tc>
        <w:tc>
          <w:tcPr>
            <w:tcW w:w="964" w:type="dxa"/>
            <w:tcBorders>
              <w:top w:val="single" w:sz="12" w:space="0" w:color="9DAECB"/>
            </w:tcBorders>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20.1%</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Ararat</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683</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1.5%</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29.4%</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Maribyrnong</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11,383</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3.2%</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40.5%</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Ballarat</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10,134</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1.7%</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31.1%</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Maroondah</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8,019</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3.8%</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26.6%</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Banyule</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10,448</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3.6%</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27.5%</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Melbourne</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40,203</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7.5%</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55.5%</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Bass Coast</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2,847</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2.0%</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6.1%</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Melton</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9,807</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4.5%</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61.5%</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 xml:space="preserve">Baw </w:t>
            </w:r>
            <w:proofErr w:type="spellStart"/>
            <w:r w:rsidRPr="005C0ADF">
              <w:rPr>
                <w:rFonts w:cs="Arial"/>
                <w:color w:val="000000"/>
                <w:sz w:val="20"/>
                <w:szCs w:val="20"/>
                <w:lang w:eastAsia="en-AU"/>
              </w:rPr>
              <w:t>Baw</w:t>
            </w:r>
            <w:proofErr w:type="spellEnd"/>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2,784</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4.8%</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41.0%</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Mildura</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4,603</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-1.2%</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14.0%</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Bayside</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7,296</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3.4%</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26.1%</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Mitchell</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2,307</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5.8%</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48.2%</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Benalla</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1,002</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-3.7%</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13.9%</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Moira</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1,779</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-0.1%</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13.1%</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Boroondara</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18,367</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3.1%</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23.1%</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Monash</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15,083</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2.7%</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21.7%</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Brimbank</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13,943</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1.9%</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31.5%</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Moonee Valley</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11,261</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5.4%</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27.2%</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Buloke</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154</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8.5%</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26.2%</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Moorabool</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1,508</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2.1%</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53.3%</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Campaspe</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2,148</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-0.5%</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3.8%</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Moreland</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20,848</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2.8%</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36.6%</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Cardinia</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6,377</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5.6%</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58.5%</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Mornington Peninsula</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10,611</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0.2%</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21.4%</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Casey</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16,117</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5.7%</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40.6%</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Mount Alexander</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904</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0.7%</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9.6%</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Central Goldfields</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750</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2.5%</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24.0%</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Moyne</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622</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-1.3%</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19.8%</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Colac-Otway</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1,209</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1.3%</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14.3%</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Murrindindi</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635</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0.2%</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21.2%</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Corangamite</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644</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1.9%</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5.2%</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Nillumbik</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2,837</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5.8%</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80.8%</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Darebin</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17,098</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3.1%</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24.0%</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Northern Grampians</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649</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-2.4%</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2.7%</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East Gippsland</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2,823</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-1.8%</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19.2%</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Port Phillip</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20,746</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-0.1%</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9.5%</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Frankston</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12,691</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0.5%</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22.5%</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Pyrenees</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198</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-2.0%</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41.4%</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Gannawarra</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494</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-0.8%</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10.3%</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Queenscliffe</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106</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-5.4%</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-8.6%</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Glen Eira</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19,141</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1.9%</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22.2%</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South Gippsland</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1,344</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0.1%</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22.1%</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Glenelg</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1,168</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-0.9%</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18.6%</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Southern Grampians</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901</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1.2%</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18.9%</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Golden Plains</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394</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5.9%</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36.8%</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Stonnington</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20,947</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3.4%</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30.4%</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Greater Bendigo</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9,540</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2.7%</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31.3%</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Strathbogie</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496</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-4.6%</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18.9%</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Greater Dandenong</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14,277</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5.0%</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30.0%</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Surf Coast</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2,021</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2.5%</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28.2%</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Greater Geelong</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19,851</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3.5%</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32.5%</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Swan Hill</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1,295</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-0.8%</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7.7%</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Greater Shepparton</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5,028</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0.1%</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17.8%</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Towong</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248</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-4.2%</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18.7%</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Hepburn</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753</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-1.7%</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13.1%</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Wangaratta</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1,879</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3.2%</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24.4%</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Hindmarsh</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263</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0.8%</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13.9%</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Warrnambool</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3,115</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-1.9%</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18.4%</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Hobsons Bay</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7,601</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0.1%</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19.8%</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Wellington</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2,723</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0.8%</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21.1%</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Horsham</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1,483</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-2.6%</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12.4%</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West Wimmera</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73</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-7.6%</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-3.9%</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Hume</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11,390</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6.6%</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61.7%</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Whitehorse</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13,884</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2.5%</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29.6%</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Indigo</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724</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-1.0%</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7.1%</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Whittlesea</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10,937</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7.1%</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61.2%</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Kingston</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12,778</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2.4%</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25.3%</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Wodonga</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3,804</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-0.6%</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26.8%</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Knox</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8,816</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5.4%</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29.4%</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Wyndham</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16,980</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4.3%</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59.2%</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Latrobe</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5,859</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0.3%</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12.8%</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Yarra</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15,658</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4.6%</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36.0%</w:t>
            </w:r>
          </w:p>
        </w:tc>
      </w:tr>
      <w:tr w:rsidR="00CB1B3B" w:rsidRPr="005C0ADF" w:rsidTr="00CB1B3B">
        <w:trPr>
          <w:trHeight w:hRule="exact" w:val="335"/>
        </w:trPr>
        <w:tc>
          <w:tcPr>
            <w:tcW w:w="1985" w:type="dxa"/>
            <w:noWrap/>
            <w:vAlign w:val="center"/>
          </w:tcPr>
          <w:p w:rsidR="00CB1B3B" w:rsidRPr="005C0ADF" w:rsidRDefault="00CB1B3B" w:rsidP="00007BB2">
            <w:pPr>
              <w:rPr>
                <w:rFonts w:cs="Arial"/>
                <w:color w:val="000000"/>
                <w:sz w:val="20"/>
                <w:szCs w:val="20"/>
                <w:lang w:eastAsia="en-AU"/>
              </w:rPr>
            </w:pPr>
            <w:r w:rsidRPr="005C0ADF">
              <w:rPr>
                <w:rFonts w:cs="Arial"/>
                <w:color w:val="000000"/>
                <w:sz w:val="20"/>
                <w:szCs w:val="20"/>
                <w:lang w:eastAsia="en-AU"/>
              </w:rPr>
              <w:t>Loddon</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176</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4.1%</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18.9%</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Yarra Ranges</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6,274</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1.5%</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15.4%</w:t>
            </w:r>
          </w:p>
        </w:tc>
      </w:tr>
      <w:tr w:rsidR="00CB1B3B" w:rsidRPr="005C0ADF" w:rsidTr="00CB1B3B">
        <w:trPr>
          <w:trHeight w:hRule="exact" w:val="335"/>
        </w:trPr>
        <w:tc>
          <w:tcPr>
            <w:tcW w:w="1985" w:type="dxa"/>
            <w:noWrap/>
            <w:vAlign w:val="center"/>
          </w:tcPr>
          <w:p w:rsidR="00CB1B3B" w:rsidRPr="005C0ADF" w:rsidRDefault="00CB1B3B" w:rsidP="008054C0">
            <w:pPr>
              <w:rPr>
                <w:rFonts w:cs="Arial"/>
                <w:color w:val="000000"/>
                <w:sz w:val="20"/>
                <w:szCs w:val="20"/>
                <w:lang w:eastAsia="en-AU"/>
              </w:rPr>
            </w:pPr>
            <w:r w:rsidRPr="005C0ADF">
              <w:rPr>
                <w:rFonts w:cs="Arial"/>
                <w:color w:val="000000"/>
                <w:sz w:val="20"/>
                <w:szCs w:val="20"/>
                <w:lang w:eastAsia="en-AU"/>
              </w:rPr>
              <w:t>Macedon Ranges</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1,810</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0.3%</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21.0%</w:t>
            </w:r>
          </w:p>
        </w:tc>
        <w:tc>
          <w:tcPr>
            <w:tcW w:w="284" w:type="dxa"/>
          </w:tcPr>
          <w:p w:rsidR="00CB1B3B" w:rsidRPr="005C0ADF" w:rsidRDefault="00CB1B3B" w:rsidP="008054C0">
            <w:pPr>
              <w:rPr>
                <w:rFonts w:cs="Arial"/>
                <w:color w:val="000000"/>
                <w:sz w:val="20"/>
                <w:szCs w:val="20"/>
                <w:lang w:eastAsia="en-AU"/>
              </w:rPr>
            </w:pPr>
          </w:p>
        </w:tc>
        <w:tc>
          <w:tcPr>
            <w:tcW w:w="2155" w:type="dxa"/>
            <w:vAlign w:val="center"/>
          </w:tcPr>
          <w:p w:rsidR="00CB1B3B" w:rsidRPr="005C0ADF" w:rsidRDefault="00CB1B3B" w:rsidP="00C93B48">
            <w:pPr>
              <w:rPr>
                <w:rFonts w:cs="Arial"/>
                <w:color w:val="000000"/>
                <w:sz w:val="20"/>
                <w:szCs w:val="20"/>
                <w:lang w:eastAsia="en-AU"/>
              </w:rPr>
            </w:pPr>
            <w:r w:rsidRPr="005C0ADF">
              <w:rPr>
                <w:rFonts w:cs="Arial"/>
                <w:color w:val="000000"/>
                <w:sz w:val="20"/>
                <w:szCs w:val="20"/>
                <w:lang w:eastAsia="en-AU"/>
              </w:rPr>
              <w:t>Yarriambiack</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235</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0.9%</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9.3%</w:t>
            </w:r>
          </w:p>
        </w:tc>
      </w:tr>
      <w:tr w:rsidR="00CB1B3B" w:rsidRPr="005C0ADF" w:rsidTr="00CB1B3B">
        <w:trPr>
          <w:trHeight w:hRule="exact" w:val="335"/>
        </w:trPr>
        <w:tc>
          <w:tcPr>
            <w:tcW w:w="1985" w:type="dxa"/>
            <w:noWrap/>
            <w:vAlign w:val="center"/>
          </w:tcPr>
          <w:p w:rsidR="00CB1B3B" w:rsidRPr="005C0ADF" w:rsidRDefault="00CB1B3B" w:rsidP="008054C0">
            <w:pPr>
              <w:rPr>
                <w:rFonts w:cs="Arial"/>
                <w:color w:val="000000"/>
                <w:sz w:val="20"/>
                <w:szCs w:val="20"/>
                <w:lang w:eastAsia="en-AU"/>
              </w:rPr>
            </w:pPr>
            <w:r w:rsidRPr="005C0ADF">
              <w:rPr>
                <w:rFonts w:cs="Arial"/>
                <w:color w:val="000000"/>
                <w:sz w:val="20"/>
                <w:szCs w:val="20"/>
                <w:lang w:eastAsia="en-AU"/>
              </w:rPr>
              <w:t>Manningham</w:t>
            </w:r>
          </w:p>
        </w:tc>
        <w:tc>
          <w:tcPr>
            <w:tcW w:w="851" w:type="dxa"/>
            <w:noWrap/>
            <w:vAlign w:val="center"/>
          </w:tcPr>
          <w:p w:rsidR="00CB1B3B" w:rsidRPr="00CB1B3B" w:rsidRDefault="00CB1B3B" w:rsidP="00CB1B3B">
            <w:pPr>
              <w:jc w:val="right"/>
              <w:rPr>
                <w:rFonts w:cs="Arial"/>
                <w:sz w:val="20"/>
                <w:szCs w:val="20"/>
              </w:rPr>
            </w:pPr>
            <w:r w:rsidRPr="00CB1B3B">
              <w:rPr>
                <w:rFonts w:cs="Arial"/>
                <w:sz w:val="20"/>
                <w:szCs w:val="20"/>
              </w:rPr>
              <w:t>6,501</w:t>
            </w:r>
          </w:p>
        </w:tc>
        <w:tc>
          <w:tcPr>
            <w:tcW w:w="851"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4.5%</w:t>
            </w:r>
          </w:p>
        </w:tc>
        <w:tc>
          <w:tcPr>
            <w:tcW w:w="964" w:type="dxa"/>
            <w:shd w:val="clear" w:color="auto" w:fill="DEE4EE"/>
            <w:noWrap/>
            <w:vAlign w:val="center"/>
          </w:tcPr>
          <w:p w:rsidR="00CB1B3B" w:rsidRPr="00CB1B3B" w:rsidRDefault="00CB1B3B" w:rsidP="00CB1B3B">
            <w:pPr>
              <w:jc w:val="right"/>
              <w:rPr>
                <w:rFonts w:cs="Arial"/>
                <w:sz w:val="20"/>
                <w:szCs w:val="20"/>
              </w:rPr>
            </w:pPr>
            <w:r w:rsidRPr="00CB1B3B">
              <w:rPr>
                <w:rFonts w:cs="Arial"/>
                <w:sz w:val="20"/>
                <w:szCs w:val="20"/>
              </w:rPr>
              <w:t>28.7%</w:t>
            </w:r>
          </w:p>
        </w:tc>
        <w:tc>
          <w:tcPr>
            <w:tcW w:w="284" w:type="dxa"/>
          </w:tcPr>
          <w:p w:rsidR="00CB1B3B" w:rsidRPr="005C0ADF" w:rsidRDefault="00CB1B3B" w:rsidP="00A851FA">
            <w:pPr>
              <w:rPr>
                <w:rFonts w:cs="Arial"/>
                <w:b/>
                <w:color w:val="000000"/>
                <w:sz w:val="20"/>
                <w:szCs w:val="20"/>
                <w:lang w:eastAsia="en-AU"/>
              </w:rPr>
            </w:pPr>
          </w:p>
        </w:tc>
        <w:tc>
          <w:tcPr>
            <w:tcW w:w="2155" w:type="dxa"/>
            <w:vAlign w:val="center"/>
          </w:tcPr>
          <w:p w:rsidR="00CB1B3B" w:rsidRPr="005C0ADF" w:rsidRDefault="00CB1B3B" w:rsidP="00106D5A">
            <w:pPr>
              <w:jc w:val="right"/>
              <w:rPr>
                <w:rFonts w:cs="Arial"/>
                <w:b/>
                <w:color w:val="000000"/>
                <w:sz w:val="20"/>
                <w:szCs w:val="20"/>
                <w:lang w:eastAsia="en-AU"/>
              </w:rPr>
            </w:pPr>
            <w:r w:rsidRPr="005C0ADF">
              <w:rPr>
                <w:rFonts w:cs="Arial"/>
                <w:b/>
                <w:color w:val="000000"/>
                <w:sz w:val="20"/>
                <w:szCs w:val="20"/>
                <w:lang w:eastAsia="en-AU"/>
              </w:rPr>
              <w:t>Total</w:t>
            </w:r>
          </w:p>
        </w:tc>
        <w:tc>
          <w:tcPr>
            <w:tcW w:w="1021" w:type="dxa"/>
            <w:vAlign w:val="center"/>
          </w:tcPr>
          <w:p w:rsidR="00CB1B3B" w:rsidRPr="00CB1B3B" w:rsidRDefault="00CB1B3B" w:rsidP="00CB1B3B">
            <w:pPr>
              <w:jc w:val="right"/>
              <w:rPr>
                <w:rFonts w:cs="Arial"/>
                <w:sz w:val="20"/>
                <w:szCs w:val="20"/>
              </w:rPr>
            </w:pPr>
            <w:r w:rsidRPr="00CB1B3B">
              <w:rPr>
                <w:rFonts w:cs="Arial"/>
                <w:sz w:val="20"/>
                <w:szCs w:val="20"/>
              </w:rPr>
              <w:t>523,608</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3.2%</w:t>
            </w:r>
          </w:p>
        </w:tc>
        <w:tc>
          <w:tcPr>
            <w:tcW w:w="964" w:type="dxa"/>
            <w:shd w:val="clear" w:color="auto" w:fill="DEE4EE"/>
            <w:vAlign w:val="center"/>
          </w:tcPr>
          <w:p w:rsidR="00CB1B3B" w:rsidRPr="00CB1B3B" w:rsidRDefault="00CB1B3B" w:rsidP="00CB1B3B">
            <w:pPr>
              <w:jc w:val="right"/>
              <w:rPr>
                <w:rFonts w:cs="Arial"/>
                <w:sz w:val="20"/>
                <w:szCs w:val="20"/>
              </w:rPr>
            </w:pPr>
            <w:r w:rsidRPr="00CB1B3B">
              <w:rPr>
                <w:rFonts w:cs="Arial"/>
                <w:sz w:val="20"/>
                <w:szCs w:val="20"/>
              </w:rPr>
              <w:t>30.9%</w:t>
            </w:r>
          </w:p>
        </w:tc>
      </w:tr>
    </w:tbl>
    <w:p w:rsidR="0047763C" w:rsidRPr="00180B5B" w:rsidRDefault="0047763C" w:rsidP="005A1E70">
      <w:pPr>
        <w:pStyle w:val="DHSHeadingA"/>
      </w:pPr>
      <w:r w:rsidRPr="005A1E70">
        <w:br w:type="page"/>
      </w:r>
      <w:r w:rsidRPr="00180B5B">
        <w:lastRenderedPageBreak/>
        <w:t>Notes</w:t>
      </w:r>
    </w:p>
    <w:p w:rsidR="0047763C" w:rsidRPr="00706644" w:rsidRDefault="0047763C" w:rsidP="00A8446B">
      <w:pPr>
        <w:rPr>
          <w:rFonts w:cs="Arial"/>
          <w:b/>
          <w:bCs/>
          <w:sz w:val="20"/>
          <w:szCs w:val="20"/>
        </w:rPr>
      </w:pPr>
      <w:r w:rsidRPr="00706644">
        <w:rPr>
          <w:rFonts w:cs="Arial"/>
          <w:b/>
          <w:bCs/>
          <w:sz w:val="20"/>
          <w:szCs w:val="20"/>
        </w:rPr>
        <w:t>1. Major data source</w:t>
      </w:r>
    </w:p>
    <w:p w:rsidR="0047763C" w:rsidRPr="00706644" w:rsidRDefault="0047763C" w:rsidP="00A8446B">
      <w:pPr>
        <w:rPr>
          <w:rFonts w:cs="Arial"/>
          <w:sz w:val="20"/>
          <w:szCs w:val="20"/>
        </w:rPr>
      </w:pPr>
      <w:r w:rsidRPr="00706644">
        <w:rPr>
          <w:rFonts w:cs="Arial"/>
          <w:sz w:val="20"/>
          <w:szCs w:val="20"/>
        </w:rPr>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rsidR="0047763C" w:rsidRPr="00706644" w:rsidRDefault="0047763C" w:rsidP="00A8446B">
      <w:pPr>
        <w:rPr>
          <w:rFonts w:cs="Arial"/>
          <w:sz w:val="20"/>
          <w:szCs w:val="20"/>
        </w:rPr>
      </w:pPr>
    </w:p>
    <w:p w:rsidR="0047763C" w:rsidRPr="00706644" w:rsidRDefault="0047763C" w:rsidP="00A8446B">
      <w:pPr>
        <w:rPr>
          <w:rFonts w:cs="Arial"/>
          <w:sz w:val="20"/>
          <w:szCs w:val="20"/>
        </w:rPr>
      </w:pPr>
    </w:p>
    <w:p w:rsidR="0047763C" w:rsidRPr="00706644" w:rsidRDefault="0047763C" w:rsidP="00A8446B">
      <w:pPr>
        <w:rPr>
          <w:rFonts w:cs="Arial"/>
          <w:b/>
          <w:bCs/>
          <w:sz w:val="20"/>
          <w:szCs w:val="20"/>
        </w:rPr>
      </w:pPr>
      <w:r w:rsidRPr="00706644">
        <w:rPr>
          <w:rFonts w:cs="Arial"/>
          <w:b/>
          <w:bCs/>
          <w:sz w:val="20"/>
          <w:szCs w:val="20"/>
        </w:rPr>
        <w:t xml:space="preserve">2. Rent indices methodology </w:t>
      </w:r>
    </w:p>
    <w:p w:rsidR="0047763C" w:rsidRPr="00706644" w:rsidRDefault="0047763C" w:rsidP="00A8446B">
      <w:pPr>
        <w:rPr>
          <w:rFonts w:cs="Arial"/>
          <w:sz w:val="20"/>
          <w:szCs w:val="20"/>
        </w:rPr>
      </w:pPr>
      <w:r w:rsidRPr="00706644">
        <w:rPr>
          <w:rFonts w:cs="Arial"/>
          <w:sz w:val="20"/>
          <w:szCs w:val="20"/>
        </w:rPr>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 xml:space="preserve">The method used to calculate the Rent Indices used in this report is based on the methodology proposed by </w:t>
      </w:r>
      <w:proofErr w:type="spellStart"/>
      <w:r w:rsidRPr="00706644">
        <w:rPr>
          <w:rFonts w:cs="Arial"/>
          <w:sz w:val="20"/>
          <w:szCs w:val="20"/>
        </w:rPr>
        <w:t>Nalini</w:t>
      </w:r>
      <w:proofErr w:type="spellEnd"/>
      <w:r w:rsidRPr="00706644">
        <w:rPr>
          <w:rFonts w:cs="Arial"/>
          <w:sz w:val="20"/>
          <w:szCs w:val="20"/>
        </w:rPr>
        <w:t xml:space="preserve"> Prasad and Anthony Richards in their paper ‘Measuring housing price growth — using stratification to improve median based measures’, Research Discussion Paper 2006–4, Reserve Bank of Australia.</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 xml:space="preserve">For each of the major property types, metropolitan suburbs were ranked by median weekly rent for the five year period 2002/03 to 2006/07. From this ranking 6 median rent based strata were derived for each property type, from least expensive to most expensive. The size of each </w:t>
      </w:r>
      <w:proofErr w:type="gramStart"/>
      <w:r w:rsidRPr="00706644">
        <w:rPr>
          <w:rFonts w:cs="Arial"/>
          <w:sz w:val="20"/>
          <w:szCs w:val="20"/>
        </w:rPr>
        <w:t>strata</w:t>
      </w:r>
      <w:proofErr w:type="gramEnd"/>
      <w:r w:rsidRPr="00706644">
        <w:rPr>
          <w:rFonts w:cs="Arial"/>
          <w:sz w:val="20"/>
          <w:szCs w:val="20"/>
        </w:rPr>
        <w:t xml:space="preserve">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A detailed methodology paper is available on request.</w:t>
      </w:r>
    </w:p>
    <w:p w:rsidR="0047763C" w:rsidRPr="00706644" w:rsidRDefault="0047763C" w:rsidP="00A8446B">
      <w:pPr>
        <w:rPr>
          <w:rFonts w:cs="Arial"/>
          <w:sz w:val="20"/>
          <w:szCs w:val="20"/>
        </w:rPr>
      </w:pPr>
    </w:p>
    <w:p w:rsidR="0047763C" w:rsidRPr="00706644" w:rsidRDefault="0047763C" w:rsidP="00A8446B">
      <w:pPr>
        <w:rPr>
          <w:rFonts w:cs="Arial"/>
          <w:bCs/>
          <w:i/>
          <w:sz w:val="20"/>
          <w:szCs w:val="20"/>
        </w:rPr>
      </w:pPr>
      <w:r w:rsidRPr="00706644">
        <w:rPr>
          <w:rFonts w:cs="Arial"/>
          <w:bCs/>
          <w:i/>
          <w:sz w:val="20"/>
          <w:szCs w:val="20"/>
        </w:rPr>
        <w:t>Reviewing the strata for the Metropolitan Rent Index</w:t>
      </w:r>
    </w:p>
    <w:p w:rsidR="0047763C" w:rsidRPr="00706644" w:rsidRDefault="0047763C" w:rsidP="00691823">
      <w:pPr>
        <w:rPr>
          <w:rFonts w:cs="Arial"/>
          <w:sz w:val="20"/>
          <w:szCs w:val="20"/>
        </w:rPr>
      </w:pPr>
      <w:r>
        <w:rPr>
          <w:rFonts w:cs="Arial"/>
          <w:sz w:val="20"/>
          <w:szCs w:val="20"/>
        </w:rPr>
        <w:t>In the March 2009</w:t>
      </w:r>
      <w:r w:rsidRPr="00706644">
        <w:rPr>
          <w:rFonts w:cs="Arial"/>
          <w:sz w:val="20"/>
          <w:szCs w:val="20"/>
        </w:rPr>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To re-reference the Metropolitan Rent Index (MRI) from the June quarter 1999 to the March quarter 2009 the index for the March quarter was divided by 100 (176.8/100 = 1.768) and all index numbers were subsequently adjusted by this figure. To then link the two index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rsidR="0047763C" w:rsidRPr="00706644" w:rsidRDefault="0047763C" w:rsidP="00A8446B">
      <w:pPr>
        <w:rPr>
          <w:rFonts w:cs="Arial"/>
          <w:bCs/>
          <w:sz w:val="20"/>
          <w:szCs w:val="20"/>
        </w:rPr>
      </w:pPr>
    </w:p>
    <w:p w:rsidR="0047763C" w:rsidRPr="00706644" w:rsidRDefault="0047763C" w:rsidP="00A8446B">
      <w:pPr>
        <w:rPr>
          <w:rFonts w:cs="Arial"/>
          <w:bCs/>
          <w:sz w:val="20"/>
          <w:szCs w:val="20"/>
        </w:rPr>
      </w:pPr>
    </w:p>
    <w:p w:rsidR="0047763C" w:rsidRPr="00706644" w:rsidRDefault="0047763C" w:rsidP="00A8446B">
      <w:pPr>
        <w:rPr>
          <w:rFonts w:cs="Arial"/>
          <w:b/>
          <w:bCs/>
          <w:sz w:val="20"/>
          <w:szCs w:val="20"/>
        </w:rPr>
      </w:pPr>
      <w:r w:rsidRPr="00706644">
        <w:rPr>
          <w:rFonts w:cs="Arial"/>
          <w:b/>
          <w:bCs/>
          <w:sz w:val="20"/>
          <w:szCs w:val="20"/>
        </w:rPr>
        <w:t>3. Median rents</w:t>
      </w:r>
    </w:p>
    <w:p w:rsidR="0047763C" w:rsidRPr="00706644" w:rsidRDefault="0047763C" w:rsidP="00A8446B">
      <w:pPr>
        <w:rPr>
          <w:rFonts w:cs="Arial"/>
          <w:sz w:val="20"/>
          <w:szCs w:val="20"/>
        </w:rPr>
      </w:pPr>
      <w:r w:rsidRPr="00706644">
        <w:rPr>
          <w:rFonts w:cs="Arial"/>
          <w:sz w:val="20"/>
          <w:szCs w:val="20"/>
        </w:rPr>
        <w:t xml:space="preserve">The rent figures included in the Rental Report are weekly median rents. Median rents represent the </w:t>
      </w:r>
      <w:proofErr w:type="spellStart"/>
      <w:r w:rsidRPr="00706644">
        <w:rPr>
          <w:rFonts w:cs="Arial"/>
          <w:sz w:val="20"/>
          <w:szCs w:val="20"/>
        </w:rPr>
        <w:t>mid point</w:t>
      </w:r>
      <w:proofErr w:type="spellEnd"/>
      <w:r w:rsidRPr="00706644">
        <w:rPr>
          <w:rFonts w:cs="Arial"/>
          <w:sz w:val="20"/>
          <w:szCs w:val="20"/>
        </w:rPr>
        <w:t xml:space="preserve"> in the distribution of all rents. Fifty per cent of rents are higher than the median and fifty per cent are below the median.</w:t>
      </w:r>
    </w:p>
    <w:p w:rsidR="0047763C" w:rsidRDefault="0047763C" w:rsidP="00A8446B">
      <w:pPr>
        <w:rPr>
          <w:rFonts w:cs="Arial"/>
          <w:sz w:val="20"/>
          <w:szCs w:val="20"/>
        </w:rPr>
      </w:pPr>
    </w:p>
    <w:p w:rsidR="0047763C" w:rsidRPr="00706644" w:rsidRDefault="0047763C" w:rsidP="00A8446B">
      <w:pPr>
        <w:rPr>
          <w:rFonts w:cs="Arial"/>
          <w:b/>
          <w:bCs/>
          <w:sz w:val="20"/>
          <w:szCs w:val="20"/>
        </w:rPr>
      </w:pPr>
      <w:r w:rsidRPr="00706644">
        <w:rPr>
          <w:rFonts w:cs="Arial"/>
          <w:b/>
          <w:bCs/>
          <w:sz w:val="20"/>
          <w:szCs w:val="20"/>
        </w:rPr>
        <w:lastRenderedPageBreak/>
        <w:t>4. Rental report geography</w:t>
      </w:r>
    </w:p>
    <w:p w:rsidR="0047763C" w:rsidRPr="00706644" w:rsidRDefault="0047763C" w:rsidP="00A8446B">
      <w:pPr>
        <w:rPr>
          <w:rFonts w:cs="Arial"/>
          <w:sz w:val="20"/>
          <w:szCs w:val="20"/>
        </w:rPr>
      </w:pPr>
      <w:r w:rsidRPr="00706644">
        <w:rPr>
          <w:rFonts w:cs="Arial"/>
          <w:sz w:val="20"/>
          <w:szCs w:val="20"/>
        </w:rPr>
        <w:t xml:space="preserve">The Rental Report presents statistics at four main geographic levels: </w:t>
      </w:r>
    </w:p>
    <w:p w:rsidR="0047763C" w:rsidRPr="00706644" w:rsidRDefault="0047763C" w:rsidP="00A8446B">
      <w:pPr>
        <w:rPr>
          <w:rFonts w:cs="Arial"/>
          <w:sz w:val="20"/>
          <w:szCs w:val="20"/>
        </w:rPr>
      </w:pPr>
      <w:r w:rsidRPr="00706644">
        <w:rPr>
          <w:rFonts w:cs="Arial"/>
          <w:sz w:val="20"/>
          <w:szCs w:val="20"/>
        </w:rPr>
        <w:tab/>
        <w:t>Metropolitan Melbourne and Regional Victoria</w:t>
      </w:r>
    </w:p>
    <w:p w:rsidR="0047763C" w:rsidRPr="00706644" w:rsidRDefault="0047763C" w:rsidP="00A8446B">
      <w:pPr>
        <w:rPr>
          <w:rFonts w:cs="Arial"/>
          <w:sz w:val="20"/>
          <w:szCs w:val="20"/>
        </w:rPr>
      </w:pPr>
      <w:r w:rsidRPr="00706644">
        <w:rPr>
          <w:rFonts w:cs="Arial"/>
          <w:sz w:val="20"/>
          <w:szCs w:val="20"/>
        </w:rPr>
        <w:tab/>
        <w:t>Regions</w:t>
      </w:r>
    </w:p>
    <w:p w:rsidR="0047763C" w:rsidRPr="00706644" w:rsidRDefault="0047763C" w:rsidP="00A8446B">
      <w:pPr>
        <w:rPr>
          <w:rFonts w:cs="Arial"/>
          <w:sz w:val="20"/>
          <w:szCs w:val="20"/>
        </w:rPr>
      </w:pPr>
      <w:r w:rsidRPr="00706644">
        <w:rPr>
          <w:rFonts w:cs="Arial"/>
          <w:sz w:val="20"/>
          <w:szCs w:val="20"/>
        </w:rPr>
        <w:tab/>
        <w:t>Local Government Areas, and</w:t>
      </w:r>
    </w:p>
    <w:p w:rsidR="0047763C" w:rsidRPr="00706644" w:rsidRDefault="0047763C" w:rsidP="00A8446B">
      <w:pPr>
        <w:rPr>
          <w:rFonts w:cs="Arial"/>
          <w:sz w:val="20"/>
          <w:szCs w:val="20"/>
        </w:rPr>
      </w:pPr>
      <w:r w:rsidRPr="00706644">
        <w:rPr>
          <w:rFonts w:cs="Arial"/>
          <w:sz w:val="20"/>
          <w:szCs w:val="20"/>
        </w:rPr>
        <w:tab/>
        <w:t>Suburbs and towns</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The Regions used for the Rental Report are derived from the Australian Bureau of Statistics (ABS) Australian Standard Geographical Classification (ASGC) Statistical Regions (ABS Ref 1216.0). There are fourteen statistical regions in</w:t>
      </w:r>
      <w:r>
        <w:rPr>
          <w:rFonts w:cs="Arial"/>
          <w:sz w:val="20"/>
          <w:szCs w:val="20"/>
        </w:rPr>
        <w:t xml:space="preserve"> Victoria (9 metropolitan</w:t>
      </w:r>
      <w:r w:rsidRPr="00706644">
        <w:rPr>
          <w:rFonts w:cs="Arial"/>
          <w:sz w:val="20"/>
          <w:szCs w:val="20"/>
        </w:rPr>
        <w:t xml:space="preserve"> and 5 regional). The Mornington Peninsula is a metropolitan region.</w:t>
      </w:r>
    </w:p>
    <w:p w:rsidR="0047763C" w:rsidRPr="00706644" w:rsidRDefault="0047763C" w:rsidP="00A8446B">
      <w:pPr>
        <w:rPr>
          <w:rFonts w:cs="Arial"/>
          <w:sz w:val="20"/>
          <w:szCs w:val="20"/>
        </w:rPr>
      </w:pPr>
    </w:p>
    <w:p w:rsidR="0047763C" w:rsidRPr="00706644" w:rsidRDefault="0047763C" w:rsidP="00AC788E">
      <w:pPr>
        <w:rPr>
          <w:rFonts w:cs="Arial"/>
          <w:sz w:val="20"/>
          <w:szCs w:val="20"/>
        </w:rPr>
      </w:pPr>
      <w:r w:rsidRPr="00706644">
        <w:rPr>
          <w:rFonts w:cs="Arial"/>
          <w:sz w:val="20"/>
          <w:szCs w:val="20"/>
        </w:rPr>
        <w:t>Local Government Areas have been included because there are many administrative uses for housing market statistics, particularly in local government housing strategies (Tables 12 &amp; 13).</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The suburbs and towns are derived from the Victorian Gazetted localities. Suburbs have been combined into synthetic suburbs where the distribution of rental properties is insufficient for regular statistical reporting o</w:t>
      </w:r>
      <w:r w:rsidR="00085411">
        <w:rPr>
          <w:rFonts w:cs="Arial"/>
          <w:sz w:val="20"/>
          <w:szCs w:val="20"/>
        </w:rPr>
        <w:t>f median rents for at least two-bedroom flats or three-</w:t>
      </w:r>
      <w:r w:rsidRPr="00706644">
        <w:rPr>
          <w:rFonts w:cs="Arial"/>
          <w:sz w:val="20"/>
          <w:szCs w:val="20"/>
        </w:rPr>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p>
    <w:p w:rsidR="0047763C" w:rsidRPr="00706644" w:rsidRDefault="0047763C" w:rsidP="00156677">
      <w:pPr>
        <w:rPr>
          <w:rFonts w:cs="Arial"/>
          <w:b/>
          <w:bCs/>
          <w:sz w:val="20"/>
          <w:szCs w:val="20"/>
        </w:rPr>
      </w:pPr>
      <w:r>
        <w:rPr>
          <w:rFonts w:cs="Arial"/>
          <w:b/>
          <w:bCs/>
          <w:sz w:val="20"/>
          <w:szCs w:val="20"/>
        </w:rPr>
        <w:t>5</w:t>
      </w:r>
      <w:r w:rsidRPr="00706644">
        <w:rPr>
          <w:rFonts w:cs="Arial"/>
          <w:b/>
          <w:bCs/>
          <w:sz w:val="20"/>
          <w:szCs w:val="20"/>
        </w:rPr>
        <w:t>. Tenancy duration and turnover</w:t>
      </w:r>
    </w:p>
    <w:p w:rsidR="0047763C" w:rsidRPr="00706644" w:rsidRDefault="0047763C" w:rsidP="00156677">
      <w:pPr>
        <w:rPr>
          <w:rFonts w:cs="Arial"/>
          <w:sz w:val="20"/>
          <w:szCs w:val="20"/>
        </w:rPr>
      </w:pPr>
      <w:r w:rsidRPr="00706644">
        <w:rPr>
          <w:rFonts w:cs="Arial"/>
          <w:sz w:val="20"/>
          <w:szCs w:val="20"/>
        </w:rPr>
        <w:t>Tenancy duration is measured (in months) from bond lodgement date to bond claim date for refunds made in the current quarter. The turnover rate is calculated based on bond refunds (</w:t>
      </w:r>
      <w:r w:rsidR="006056FE">
        <w:rPr>
          <w:rFonts w:cs="Arial"/>
          <w:sz w:val="20"/>
          <w:szCs w:val="20"/>
        </w:rPr>
        <w:t xml:space="preserve">moving </w:t>
      </w:r>
      <w:r w:rsidRPr="00706644">
        <w:rPr>
          <w:rFonts w:cs="Arial"/>
          <w:sz w:val="20"/>
          <w:szCs w:val="20"/>
        </w:rPr>
        <w:t>annual total) as a perc</w:t>
      </w:r>
      <w:r w:rsidR="001A3275">
        <w:rPr>
          <w:rFonts w:cs="Arial"/>
          <w:sz w:val="20"/>
          <w:szCs w:val="20"/>
        </w:rPr>
        <w:t>entage of total active bonds.</w:t>
      </w:r>
      <w:r w:rsidR="00376B90">
        <w:rPr>
          <w:rFonts w:cs="Arial"/>
          <w:sz w:val="20"/>
          <w:szCs w:val="20"/>
        </w:rPr>
        <w:t xml:space="preserve"> </w:t>
      </w:r>
      <w:r w:rsidRPr="00706644">
        <w:rPr>
          <w:rFonts w:cs="Arial"/>
          <w:sz w:val="20"/>
          <w:szCs w:val="20"/>
        </w:rPr>
        <w:t>Median tena</w:t>
      </w:r>
      <w:r w:rsidR="003056ED">
        <w:rPr>
          <w:rFonts w:cs="Arial"/>
          <w:sz w:val="20"/>
          <w:szCs w:val="20"/>
        </w:rPr>
        <w:t>ncy duration represents the mid</w:t>
      </w:r>
      <w:r w:rsidRPr="00706644">
        <w:rPr>
          <w:rFonts w:cs="Arial"/>
          <w:sz w:val="20"/>
          <w:szCs w:val="20"/>
        </w:rPr>
        <w:t>point in the distribution of all tenancies terminated in the quarter - fifty per cent of tenancies were longer than the median and fifty per cent shorter than the median.</w:t>
      </w:r>
    </w:p>
    <w:p w:rsidR="0047763C" w:rsidRPr="00706644" w:rsidRDefault="0047763C" w:rsidP="00156677">
      <w:pPr>
        <w:rPr>
          <w:rFonts w:cs="Arial"/>
          <w:sz w:val="20"/>
          <w:szCs w:val="20"/>
        </w:rPr>
      </w:pPr>
    </w:p>
    <w:p w:rsidR="0047763C" w:rsidRPr="00706644" w:rsidRDefault="0047763C" w:rsidP="00AE3633">
      <w:pPr>
        <w:rPr>
          <w:rFonts w:cs="Arial"/>
          <w:sz w:val="20"/>
          <w:szCs w:val="20"/>
        </w:rPr>
      </w:pPr>
    </w:p>
    <w:p w:rsidR="0047763C" w:rsidRPr="00706644" w:rsidRDefault="0047763C" w:rsidP="00AE3633">
      <w:pPr>
        <w:rPr>
          <w:rFonts w:cs="Arial"/>
          <w:b/>
          <w:bCs/>
          <w:sz w:val="20"/>
          <w:szCs w:val="20"/>
        </w:rPr>
      </w:pPr>
      <w:r>
        <w:rPr>
          <w:rFonts w:cs="Arial"/>
          <w:b/>
          <w:bCs/>
          <w:sz w:val="20"/>
          <w:szCs w:val="20"/>
        </w:rPr>
        <w:t>6</w:t>
      </w:r>
      <w:r w:rsidRPr="00706644">
        <w:rPr>
          <w:rFonts w:cs="Arial"/>
          <w:b/>
          <w:bCs/>
          <w:sz w:val="20"/>
          <w:szCs w:val="20"/>
        </w:rPr>
        <w:t>. Investor finance</w:t>
      </w:r>
    </w:p>
    <w:p w:rsidR="0047763C" w:rsidRPr="00706644" w:rsidRDefault="0047763C" w:rsidP="00AE3633">
      <w:pPr>
        <w:rPr>
          <w:rFonts w:cs="Arial"/>
          <w:sz w:val="20"/>
          <w:szCs w:val="20"/>
        </w:rPr>
      </w:pPr>
      <w:r w:rsidRPr="00706644">
        <w:rPr>
          <w:rFonts w:cs="Arial"/>
          <w:sz w:val="20"/>
          <w:szCs w:val="20"/>
        </w:rPr>
        <w:t>Figure 6 on lending to investors in residential housing in Victoria is constructed from data produced by the ABS. Lending to investors is derived from ‘Lending Finance, Australia (Cat. No. 5671.0), Table 20, Commercial Finance Commitments, Fixed Loans &amp; Revolving Credit: State (Vic), Original’. Finance for owner-occupied housing is derived from ‘Housing Finance, Australia (Cat. No. 5609.0), Table 10b, Housing Finance Commitments (Owner Occupation), by Purpose: State, Original’. The monthly values are smoothed to dampen random fluctuations using the Henderson 13 term moving average.</w:t>
      </w:r>
      <w:r>
        <w:rPr>
          <w:rFonts w:cs="Arial"/>
          <w:sz w:val="20"/>
          <w:szCs w:val="20"/>
        </w:rPr>
        <w:t xml:space="preserve"> </w:t>
      </w:r>
      <w:r w:rsidRPr="008978C9">
        <w:rPr>
          <w:rFonts w:cs="Arial"/>
          <w:sz w:val="20"/>
          <w:szCs w:val="20"/>
        </w:rPr>
        <w:t>These values are converted in current dollars using the Consumer Price Index.</w:t>
      </w:r>
    </w:p>
    <w:p w:rsidR="0047763C" w:rsidRPr="00706644" w:rsidRDefault="0047763C" w:rsidP="00AE3633">
      <w:pPr>
        <w:rPr>
          <w:rFonts w:cs="Arial"/>
          <w:sz w:val="20"/>
          <w:szCs w:val="20"/>
        </w:rPr>
      </w:pPr>
    </w:p>
    <w:p w:rsidR="000F534E" w:rsidRDefault="0047763C" w:rsidP="00AE3633">
      <w:pPr>
        <w:rPr>
          <w:rFonts w:cs="Arial"/>
          <w:sz w:val="20"/>
        </w:rPr>
      </w:pPr>
      <w:r w:rsidRPr="00706644">
        <w:rPr>
          <w:rFonts w:cs="Arial"/>
          <w:sz w:val="20"/>
        </w:rPr>
        <w:t>In December 2011</w:t>
      </w:r>
      <w:r w:rsidR="00014AA9">
        <w:rPr>
          <w:rFonts w:cs="Arial"/>
          <w:sz w:val="20"/>
        </w:rPr>
        <w:t xml:space="preserve">, </w:t>
      </w:r>
      <w:r w:rsidR="00787164">
        <w:rPr>
          <w:rFonts w:cs="Arial"/>
          <w:sz w:val="20"/>
        </w:rPr>
        <w:t>February 2013</w:t>
      </w:r>
      <w:r w:rsidR="00014AA9">
        <w:rPr>
          <w:rFonts w:cs="Arial"/>
          <w:sz w:val="20"/>
        </w:rPr>
        <w:t xml:space="preserve"> and June 2013</w:t>
      </w:r>
      <w:r w:rsidR="00787164">
        <w:rPr>
          <w:rFonts w:cs="Arial"/>
          <w:sz w:val="20"/>
        </w:rPr>
        <w:t xml:space="preserve">, </w:t>
      </w:r>
      <w:r w:rsidRPr="00706644">
        <w:rPr>
          <w:rFonts w:cs="Arial"/>
          <w:sz w:val="20"/>
        </w:rPr>
        <w:t xml:space="preserve">the Australian Bureau of Statistics (ABS) did not provide data for one </w:t>
      </w:r>
      <w:r w:rsidR="00787164">
        <w:rPr>
          <w:rFonts w:cs="Arial"/>
          <w:sz w:val="20"/>
        </w:rPr>
        <w:t xml:space="preserve">of the </w:t>
      </w:r>
      <w:r w:rsidRPr="00706644">
        <w:rPr>
          <w:rFonts w:cs="Arial"/>
          <w:sz w:val="20"/>
        </w:rPr>
        <w:t>component</w:t>
      </w:r>
      <w:r w:rsidR="00787164">
        <w:rPr>
          <w:rFonts w:cs="Arial"/>
          <w:sz w:val="20"/>
        </w:rPr>
        <w:t>s</w:t>
      </w:r>
      <w:r w:rsidRPr="00706644">
        <w:rPr>
          <w:rFonts w:cs="Arial"/>
          <w:sz w:val="20"/>
        </w:rPr>
        <w:t xml:space="preserve"> of investor finance</w:t>
      </w:r>
      <w:r w:rsidR="00787164">
        <w:rPr>
          <w:rFonts w:cs="Arial"/>
          <w:sz w:val="20"/>
        </w:rPr>
        <w:t xml:space="preserve">. </w:t>
      </w:r>
      <w:r w:rsidR="00014AA9">
        <w:rPr>
          <w:rFonts w:cs="Arial"/>
          <w:sz w:val="20"/>
        </w:rPr>
        <w:t>Since this ABS</w:t>
      </w:r>
      <w:r w:rsidR="00014AA9" w:rsidRPr="00706644">
        <w:rPr>
          <w:rFonts w:cs="Arial"/>
          <w:sz w:val="20"/>
        </w:rPr>
        <w:t xml:space="preserve"> series began in January 1985</w:t>
      </w:r>
      <w:r w:rsidR="00014AA9">
        <w:rPr>
          <w:rFonts w:cs="Arial"/>
          <w:sz w:val="20"/>
        </w:rPr>
        <w:t>, it is rare that</w:t>
      </w:r>
      <w:r w:rsidRPr="00706644">
        <w:rPr>
          <w:rFonts w:cs="Arial"/>
          <w:sz w:val="20"/>
        </w:rPr>
        <w:t xml:space="preserve"> data </w:t>
      </w:r>
      <w:r w:rsidR="00787164">
        <w:rPr>
          <w:rFonts w:cs="Arial"/>
          <w:sz w:val="20"/>
        </w:rPr>
        <w:t>for a compon</w:t>
      </w:r>
      <w:r w:rsidR="001E2251">
        <w:rPr>
          <w:rFonts w:cs="Arial"/>
          <w:sz w:val="20"/>
        </w:rPr>
        <w:t xml:space="preserve">ent </w:t>
      </w:r>
      <w:r w:rsidR="00014AA9">
        <w:rPr>
          <w:rFonts w:cs="Arial"/>
          <w:sz w:val="20"/>
        </w:rPr>
        <w:t>is</w:t>
      </w:r>
      <w:r w:rsidR="00787164">
        <w:rPr>
          <w:rFonts w:cs="Arial"/>
          <w:sz w:val="20"/>
        </w:rPr>
        <w:t xml:space="preserve"> </w:t>
      </w:r>
      <w:r w:rsidR="003A0A23">
        <w:rPr>
          <w:rFonts w:cs="Arial"/>
          <w:sz w:val="20"/>
        </w:rPr>
        <w:t>not provided</w:t>
      </w:r>
      <w:r w:rsidRPr="00706644">
        <w:rPr>
          <w:rFonts w:cs="Arial"/>
          <w:sz w:val="20"/>
        </w:rPr>
        <w:t xml:space="preserve">. In </w:t>
      </w:r>
      <w:r w:rsidR="00014AA9">
        <w:rPr>
          <w:rFonts w:cs="Arial"/>
          <w:sz w:val="20"/>
        </w:rPr>
        <w:t>these</w:t>
      </w:r>
      <w:r w:rsidRPr="00706644">
        <w:rPr>
          <w:rFonts w:cs="Arial"/>
          <w:sz w:val="20"/>
        </w:rPr>
        <w:t xml:space="preserve"> month</w:t>
      </w:r>
      <w:r w:rsidR="00787164">
        <w:rPr>
          <w:rFonts w:cs="Arial"/>
          <w:sz w:val="20"/>
        </w:rPr>
        <w:t>s</w:t>
      </w:r>
      <w:r w:rsidRPr="00706644">
        <w:rPr>
          <w:rFonts w:cs="Arial"/>
          <w:sz w:val="20"/>
        </w:rPr>
        <w:t>, the ABS provided data for Australia as a whole but not for three States/Territories (Victoria, Northern Territory and the Australian Capital Territory). Data for Northern Territory and the Australian Capital Territory is regularly not provided</w:t>
      </w:r>
      <w:r w:rsidR="00787164">
        <w:rPr>
          <w:rFonts w:cs="Arial"/>
          <w:sz w:val="20"/>
        </w:rPr>
        <w:t xml:space="preserve"> and the amount attributed to these Territories can be calculated. To derive an estimate</w:t>
      </w:r>
      <w:r w:rsidR="00014AA9">
        <w:rPr>
          <w:rFonts w:cs="Arial"/>
          <w:sz w:val="20"/>
        </w:rPr>
        <w:t xml:space="preserve"> for Victoria for December 2011, </w:t>
      </w:r>
      <w:r w:rsidR="00787164">
        <w:rPr>
          <w:rFonts w:cs="Arial"/>
          <w:sz w:val="20"/>
        </w:rPr>
        <w:t>February 2013</w:t>
      </w:r>
      <w:r w:rsidR="00014AA9">
        <w:rPr>
          <w:rFonts w:cs="Arial"/>
          <w:sz w:val="20"/>
        </w:rPr>
        <w:t xml:space="preserve"> and June 2013</w:t>
      </w:r>
      <w:r w:rsidR="00787164">
        <w:rPr>
          <w:rFonts w:cs="Arial"/>
          <w:sz w:val="20"/>
        </w:rPr>
        <w:t xml:space="preserve">, the </w:t>
      </w:r>
      <w:r w:rsidR="001005A0">
        <w:rPr>
          <w:rFonts w:cs="Arial"/>
          <w:sz w:val="20"/>
        </w:rPr>
        <w:t>median</w:t>
      </w:r>
      <w:r w:rsidR="00787164">
        <w:rPr>
          <w:rFonts w:cs="Arial"/>
          <w:sz w:val="20"/>
        </w:rPr>
        <w:t xml:space="preserve"> proportion of the Australian total attributed to the two Territories</w:t>
      </w:r>
      <w:r w:rsidR="000F534E">
        <w:rPr>
          <w:rFonts w:cs="Arial"/>
          <w:sz w:val="20"/>
        </w:rPr>
        <w:t xml:space="preserve"> was deducted </w:t>
      </w:r>
      <w:r w:rsidR="000F534E" w:rsidRPr="006056FE">
        <w:rPr>
          <w:rFonts w:cs="Arial"/>
          <w:sz w:val="20"/>
        </w:rPr>
        <w:t xml:space="preserve">from the Australian total and the difference attributed to Victoria. </w:t>
      </w:r>
      <w:r w:rsidR="006C3896" w:rsidRPr="006056FE">
        <w:rPr>
          <w:rFonts w:cs="Arial"/>
          <w:sz w:val="20"/>
        </w:rPr>
        <w:t>T</w:t>
      </w:r>
      <w:r w:rsidR="000F534E" w:rsidRPr="006056FE">
        <w:rPr>
          <w:rFonts w:cs="Arial"/>
          <w:sz w:val="20"/>
        </w:rPr>
        <w:t xml:space="preserve">he financial commitment to the construction of dwellings for rent/resale attributed to the two Territories </w:t>
      </w:r>
      <w:r w:rsidR="00377B0B" w:rsidRPr="006056FE">
        <w:rPr>
          <w:rFonts w:cs="Arial"/>
          <w:sz w:val="20"/>
        </w:rPr>
        <w:t xml:space="preserve">has been </w:t>
      </w:r>
      <w:r w:rsidR="000F534E" w:rsidRPr="006056FE">
        <w:rPr>
          <w:rFonts w:cs="Arial"/>
          <w:sz w:val="20"/>
        </w:rPr>
        <w:t xml:space="preserve">approximately 5% </w:t>
      </w:r>
      <w:r w:rsidR="003A0A23" w:rsidRPr="006056FE">
        <w:rPr>
          <w:rFonts w:cs="Arial"/>
          <w:sz w:val="20"/>
        </w:rPr>
        <w:t>of the Australian total</w:t>
      </w:r>
      <w:r w:rsidR="001005A0">
        <w:rPr>
          <w:rFonts w:cs="Arial"/>
          <w:sz w:val="20"/>
        </w:rPr>
        <w:t>.</w:t>
      </w:r>
      <w:r w:rsidR="00377B0B" w:rsidRPr="006056FE">
        <w:rPr>
          <w:rFonts w:cs="Arial"/>
          <w:sz w:val="20"/>
        </w:rPr>
        <w:t xml:space="preserve"> T</w:t>
      </w:r>
      <w:r w:rsidR="000F534E" w:rsidRPr="006056FE">
        <w:rPr>
          <w:rFonts w:cs="Arial"/>
          <w:sz w:val="20"/>
        </w:rPr>
        <w:t xml:space="preserve">he </w:t>
      </w:r>
      <w:r w:rsidR="003A0A23" w:rsidRPr="006056FE">
        <w:rPr>
          <w:rFonts w:cs="Arial"/>
          <w:sz w:val="20"/>
        </w:rPr>
        <w:t xml:space="preserve">resulting </w:t>
      </w:r>
      <w:r w:rsidR="000F534E" w:rsidRPr="006056FE">
        <w:rPr>
          <w:rFonts w:cs="Arial"/>
          <w:sz w:val="20"/>
        </w:rPr>
        <w:t xml:space="preserve">amount attributed to Victoria </w:t>
      </w:r>
      <w:r w:rsidR="003A0A23" w:rsidRPr="006056FE">
        <w:rPr>
          <w:rFonts w:cs="Arial"/>
          <w:sz w:val="20"/>
        </w:rPr>
        <w:t>is estimated at</w:t>
      </w:r>
      <w:r w:rsidR="000F534E" w:rsidRPr="006056FE">
        <w:rPr>
          <w:rFonts w:cs="Arial"/>
          <w:sz w:val="20"/>
        </w:rPr>
        <w:t xml:space="preserve"> $225m</w:t>
      </w:r>
      <w:r w:rsidR="006056FE" w:rsidRPr="006056FE">
        <w:rPr>
          <w:rFonts w:cs="Arial"/>
          <w:sz w:val="20"/>
        </w:rPr>
        <w:t xml:space="preserve"> for December 2011 and $157</w:t>
      </w:r>
      <w:r w:rsidR="00377B0B" w:rsidRPr="006056FE">
        <w:rPr>
          <w:rFonts w:cs="Arial"/>
          <w:sz w:val="20"/>
        </w:rPr>
        <w:t xml:space="preserve"> for June 2013</w:t>
      </w:r>
      <w:r w:rsidR="000F534E" w:rsidRPr="006056FE">
        <w:rPr>
          <w:rFonts w:cs="Arial"/>
          <w:sz w:val="20"/>
        </w:rPr>
        <w:t xml:space="preserve">. </w:t>
      </w:r>
      <w:r w:rsidR="006C3896" w:rsidRPr="006056FE">
        <w:rPr>
          <w:rFonts w:cs="Arial"/>
          <w:sz w:val="20"/>
        </w:rPr>
        <w:t>T</w:t>
      </w:r>
      <w:r w:rsidR="003A0A23" w:rsidRPr="006056FE">
        <w:rPr>
          <w:rFonts w:cs="Arial"/>
          <w:sz w:val="20"/>
        </w:rPr>
        <w:t xml:space="preserve">he financial commitment to </w:t>
      </w:r>
      <w:r w:rsidR="000F534E" w:rsidRPr="006056FE">
        <w:rPr>
          <w:rFonts w:cs="Arial"/>
          <w:sz w:val="20"/>
        </w:rPr>
        <w:t xml:space="preserve">the purchase of dwellings for rent/resale (by other) attributed to the two Territories </w:t>
      </w:r>
      <w:r w:rsidR="006C3896" w:rsidRPr="006056FE">
        <w:rPr>
          <w:rFonts w:cs="Arial"/>
          <w:sz w:val="20"/>
        </w:rPr>
        <w:t>has been</w:t>
      </w:r>
      <w:r w:rsidR="000F534E" w:rsidRPr="006056FE">
        <w:rPr>
          <w:rFonts w:cs="Arial"/>
          <w:sz w:val="20"/>
        </w:rPr>
        <w:t xml:space="preserve"> approximately </w:t>
      </w:r>
      <w:r w:rsidR="001005A0">
        <w:rPr>
          <w:rFonts w:cs="Arial"/>
          <w:sz w:val="20"/>
        </w:rPr>
        <w:t xml:space="preserve">1.6% </w:t>
      </w:r>
      <w:r w:rsidR="003A0A23" w:rsidRPr="006056FE">
        <w:rPr>
          <w:rFonts w:cs="Arial"/>
          <w:sz w:val="20"/>
        </w:rPr>
        <w:t xml:space="preserve">of the Australian total </w:t>
      </w:r>
      <w:r w:rsidR="000F534E" w:rsidRPr="006056FE">
        <w:rPr>
          <w:rFonts w:cs="Arial"/>
          <w:sz w:val="20"/>
        </w:rPr>
        <w:t xml:space="preserve">and the </w:t>
      </w:r>
      <w:r w:rsidR="006C3896" w:rsidRPr="006056FE">
        <w:rPr>
          <w:rFonts w:cs="Arial"/>
          <w:sz w:val="20"/>
        </w:rPr>
        <w:t xml:space="preserve">resulting </w:t>
      </w:r>
      <w:r w:rsidR="000F534E" w:rsidRPr="006056FE">
        <w:rPr>
          <w:rFonts w:cs="Arial"/>
          <w:sz w:val="20"/>
        </w:rPr>
        <w:t xml:space="preserve">amount attributed to Victoria </w:t>
      </w:r>
      <w:r w:rsidR="003A0A23" w:rsidRPr="006056FE">
        <w:rPr>
          <w:rFonts w:cs="Arial"/>
          <w:sz w:val="20"/>
        </w:rPr>
        <w:t>in February 2013 is estimated at</w:t>
      </w:r>
      <w:r w:rsidR="00377B0B" w:rsidRPr="006056FE">
        <w:rPr>
          <w:rFonts w:cs="Arial"/>
          <w:sz w:val="20"/>
        </w:rPr>
        <w:t xml:space="preserve"> $307</w:t>
      </w:r>
      <w:r w:rsidR="000F534E" w:rsidRPr="006056FE">
        <w:rPr>
          <w:rFonts w:cs="Arial"/>
          <w:sz w:val="20"/>
        </w:rPr>
        <w:t>m.</w:t>
      </w:r>
    </w:p>
    <w:p w:rsidR="0047763C" w:rsidRDefault="0047763C" w:rsidP="00A8446B">
      <w:pPr>
        <w:rPr>
          <w:rFonts w:cs="Arial"/>
          <w:sz w:val="20"/>
          <w:szCs w:val="20"/>
        </w:rPr>
      </w:pPr>
    </w:p>
    <w:p w:rsidR="000F534E" w:rsidRPr="00706644" w:rsidRDefault="000F534E" w:rsidP="00A8446B">
      <w:pPr>
        <w:rPr>
          <w:rFonts w:cs="Arial"/>
          <w:sz w:val="20"/>
          <w:szCs w:val="20"/>
        </w:rPr>
      </w:pPr>
    </w:p>
    <w:p w:rsidR="0047763C" w:rsidRPr="00706644" w:rsidRDefault="0047763C" w:rsidP="00A8446B">
      <w:pPr>
        <w:rPr>
          <w:rFonts w:cs="Arial"/>
          <w:b/>
          <w:bCs/>
          <w:sz w:val="20"/>
          <w:szCs w:val="20"/>
        </w:rPr>
      </w:pPr>
      <w:r>
        <w:rPr>
          <w:rFonts w:cs="Arial"/>
          <w:b/>
          <w:bCs/>
          <w:sz w:val="20"/>
          <w:szCs w:val="20"/>
        </w:rPr>
        <w:t>7</w:t>
      </w:r>
      <w:r w:rsidRPr="00706644">
        <w:rPr>
          <w:rFonts w:cs="Arial"/>
          <w:b/>
          <w:bCs/>
          <w:sz w:val="20"/>
          <w:szCs w:val="20"/>
        </w:rPr>
        <w:t>. Vacancy rate</w:t>
      </w:r>
    </w:p>
    <w:p w:rsidR="0047763C" w:rsidRDefault="0047763C" w:rsidP="00853656">
      <w:pPr>
        <w:rPr>
          <w:rFonts w:cs="Arial"/>
          <w:sz w:val="20"/>
          <w:szCs w:val="20"/>
        </w:rPr>
      </w:pPr>
      <w:r w:rsidRPr="00706644">
        <w:rPr>
          <w:rFonts w:cs="Arial"/>
          <w:sz w:val="20"/>
          <w:szCs w:val="20"/>
        </w:rPr>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rsidR="0047763C" w:rsidRDefault="0047763C" w:rsidP="00853656">
      <w:pPr>
        <w:rPr>
          <w:rFonts w:cs="Arial"/>
          <w:sz w:val="20"/>
          <w:szCs w:val="20"/>
        </w:rPr>
      </w:pPr>
    </w:p>
    <w:p w:rsidR="0047763C" w:rsidRPr="00706644" w:rsidRDefault="0047763C" w:rsidP="00CE3481">
      <w:pPr>
        <w:rPr>
          <w:rFonts w:cs="Arial"/>
          <w:sz w:val="20"/>
          <w:szCs w:val="20"/>
        </w:rPr>
      </w:pPr>
      <w:r>
        <w:rPr>
          <w:rFonts w:cs="Arial"/>
          <w:sz w:val="20"/>
          <w:szCs w:val="20"/>
        </w:rPr>
        <w:lastRenderedPageBreak/>
        <w:t xml:space="preserve">The Real Estate Institute of Australia did not collect data on vacancy rates for January 2012. For the purposes of calculating the Henderson 13 term moving average, an average of December 2011 and February 2012 was used. </w:t>
      </w:r>
    </w:p>
    <w:p w:rsidR="0047763C" w:rsidRPr="00706644" w:rsidRDefault="0047763C" w:rsidP="00A8446B">
      <w:pPr>
        <w:rPr>
          <w:rFonts w:cs="Arial"/>
          <w:sz w:val="20"/>
          <w:szCs w:val="20"/>
        </w:rPr>
      </w:pPr>
    </w:p>
    <w:p w:rsidR="0047763C" w:rsidRDefault="0047763C" w:rsidP="00A8446B">
      <w:pPr>
        <w:rPr>
          <w:rFonts w:cs="Arial"/>
          <w:sz w:val="20"/>
          <w:szCs w:val="20"/>
        </w:rPr>
      </w:pPr>
    </w:p>
    <w:p w:rsidR="0047763C" w:rsidRPr="00706644" w:rsidRDefault="0047763C" w:rsidP="006852C7">
      <w:pPr>
        <w:rPr>
          <w:rFonts w:cs="Arial"/>
          <w:b/>
          <w:sz w:val="20"/>
          <w:szCs w:val="20"/>
        </w:rPr>
      </w:pPr>
      <w:r>
        <w:rPr>
          <w:rFonts w:cs="Arial"/>
          <w:b/>
          <w:bCs/>
          <w:sz w:val="20"/>
          <w:szCs w:val="20"/>
        </w:rPr>
        <w:t>8</w:t>
      </w:r>
      <w:r w:rsidRPr="00706644">
        <w:rPr>
          <w:rFonts w:cs="Arial"/>
          <w:b/>
          <w:bCs/>
          <w:sz w:val="20"/>
          <w:szCs w:val="20"/>
        </w:rPr>
        <w:t>. Rental market affordability - m</w:t>
      </w:r>
      <w:r w:rsidRPr="00706644">
        <w:rPr>
          <w:rFonts w:cs="Arial"/>
          <w:b/>
          <w:sz w:val="20"/>
          <w:szCs w:val="20"/>
        </w:rPr>
        <w:t>ethods used</w:t>
      </w:r>
    </w:p>
    <w:p w:rsidR="0047763C" w:rsidRPr="00706644" w:rsidRDefault="0047763C" w:rsidP="00691823">
      <w:pPr>
        <w:widowControl w:val="0"/>
        <w:autoSpaceDE w:val="0"/>
        <w:autoSpaceDN w:val="0"/>
        <w:adjustRightInd w:val="0"/>
        <w:rPr>
          <w:rFonts w:cs="Arial"/>
          <w:i/>
          <w:sz w:val="20"/>
          <w:szCs w:val="20"/>
        </w:rPr>
      </w:pPr>
      <w:r w:rsidRPr="00706644">
        <w:rPr>
          <w:rFonts w:cs="Arial"/>
          <w:i/>
          <w:sz w:val="20"/>
          <w:szCs w:val="20"/>
        </w:rPr>
        <w:t>Fitting statutory income households to dwellings by bedroom number</w:t>
      </w:r>
    </w:p>
    <w:p w:rsidR="0047763C" w:rsidRPr="00706644" w:rsidRDefault="0047763C" w:rsidP="00691823">
      <w:pPr>
        <w:widowControl w:val="0"/>
        <w:autoSpaceDE w:val="0"/>
        <w:autoSpaceDN w:val="0"/>
        <w:adjustRightInd w:val="0"/>
        <w:spacing w:after="120"/>
        <w:rPr>
          <w:rFonts w:cs="Arial"/>
          <w:sz w:val="20"/>
          <w:szCs w:val="20"/>
        </w:rPr>
      </w:pPr>
      <w:r w:rsidRPr="00706644">
        <w:rPr>
          <w:rFonts w:cs="Arial"/>
          <w:sz w:val="20"/>
          <w:szCs w:val="20"/>
        </w:rPr>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rsidR="00085411">
        <w:rPr>
          <w:rFonts w:cs="Arial"/>
          <w:sz w:val="20"/>
          <w:szCs w:val="20"/>
        </w:rPr>
        <w:t>r example, if there are 100 one-</w:t>
      </w:r>
      <w:r w:rsidRPr="00706644">
        <w:rPr>
          <w:rFonts w:cs="Arial"/>
          <w:sz w:val="20"/>
          <w:szCs w:val="20"/>
        </w:rPr>
        <w:t xml:space="preserve">bedroom properties deemed to be affordable in Port </w:t>
      </w:r>
      <w:r w:rsidR="00085411">
        <w:rPr>
          <w:rFonts w:cs="Arial"/>
          <w:sz w:val="20"/>
          <w:szCs w:val="20"/>
        </w:rPr>
        <w:t>Phillip, and there are 1000 one-</w:t>
      </w:r>
      <w:r w:rsidRPr="00706644">
        <w:rPr>
          <w:rFonts w:cs="Arial"/>
          <w:sz w:val="20"/>
          <w:szCs w:val="20"/>
        </w:rPr>
        <w:t>bedroom properties leased during that quarter, then t</w:t>
      </w:r>
      <w:r w:rsidR="00085411">
        <w:rPr>
          <w:rFonts w:cs="Arial"/>
          <w:sz w:val="20"/>
          <w:szCs w:val="20"/>
        </w:rPr>
        <w:t>he percentage of affordable one-</w:t>
      </w:r>
      <w:r w:rsidRPr="00706644">
        <w:rPr>
          <w:rFonts w:cs="Arial"/>
          <w:sz w:val="20"/>
          <w:szCs w:val="20"/>
        </w:rPr>
        <w:t xml:space="preserve">bedroom properties in Port Phillip during the quarter will be 10.0 per cent. </w:t>
      </w:r>
    </w:p>
    <w:p w:rsidR="0047763C" w:rsidRPr="00706644" w:rsidRDefault="0047763C" w:rsidP="006852C7">
      <w:pPr>
        <w:rPr>
          <w:rFonts w:cs="Arial"/>
          <w:sz w:val="20"/>
          <w:szCs w:val="20"/>
        </w:rPr>
      </w:pPr>
    </w:p>
    <w:p w:rsidR="0047763C" w:rsidRPr="00706644" w:rsidRDefault="0047763C" w:rsidP="006852C7">
      <w:pPr>
        <w:rPr>
          <w:rFonts w:cs="Arial"/>
          <w:i/>
          <w:sz w:val="20"/>
          <w:szCs w:val="20"/>
        </w:rPr>
      </w:pPr>
      <w:r w:rsidRPr="00706644">
        <w:rPr>
          <w:rFonts w:cs="Arial"/>
          <w:i/>
          <w:sz w:val="20"/>
          <w:szCs w:val="20"/>
        </w:rPr>
        <w:t>Calculating affordability – net rent method</w:t>
      </w:r>
    </w:p>
    <w:p w:rsidR="0047763C" w:rsidRPr="00706644" w:rsidRDefault="0047763C" w:rsidP="006852C7">
      <w:pPr>
        <w:rPr>
          <w:rFonts w:cs="Arial"/>
          <w:sz w:val="20"/>
          <w:szCs w:val="20"/>
        </w:rPr>
      </w:pPr>
      <w:r w:rsidRPr="00706644">
        <w:rPr>
          <w:rFonts w:cs="Arial"/>
          <w:sz w:val="20"/>
          <w:szCs w:val="20"/>
        </w:rPr>
        <w:t>The assessment of affordable supply is based on the number of suitably-sized properties that are within 30 per cent of gross income for low income households. The rental thresholds are taken from the household incomes for whom that number of bedrooms is a minimum and may have been rounded up to th</w:t>
      </w:r>
      <w:r w:rsidR="00085411">
        <w:rPr>
          <w:rFonts w:cs="Arial"/>
          <w:sz w:val="20"/>
          <w:szCs w:val="20"/>
        </w:rPr>
        <w:t>e nearest $5 increment. For one-</w:t>
      </w:r>
      <w:r w:rsidRPr="00706644">
        <w:rPr>
          <w:rFonts w:cs="Arial"/>
          <w:sz w:val="20"/>
          <w:szCs w:val="20"/>
        </w:rPr>
        <w:t>bedroom properties, we have taken the income of singles on Newstart allowance; for two</w:t>
      </w:r>
      <w:r w:rsidR="00085411">
        <w:rPr>
          <w:rFonts w:cs="Arial"/>
          <w:sz w:val="20"/>
          <w:szCs w:val="20"/>
        </w:rPr>
        <w:t>-</w:t>
      </w:r>
      <w:r w:rsidRPr="00706644">
        <w:rPr>
          <w:rFonts w:cs="Arial"/>
          <w:sz w:val="20"/>
          <w:szCs w:val="20"/>
        </w:rPr>
        <w:t>bedroom properties, we have taken a single parent pensioner with on</w:t>
      </w:r>
      <w:r w:rsidR="00085411">
        <w:rPr>
          <w:rFonts w:cs="Arial"/>
          <w:sz w:val="20"/>
          <w:szCs w:val="20"/>
        </w:rPr>
        <w:t>e child aged under 5; for three-</w:t>
      </w:r>
      <w:r w:rsidRPr="00706644">
        <w:rPr>
          <w:rFonts w:cs="Arial"/>
          <w:sz w:val="20"/>
          <w:szCs w:val="20"/>
        </w:rPr>
        <w:t xml:space="preserve">bedroom properties we have taken a couple on Newstart </w:t>
      </w:r>
      <w:r w:rsidR="00085411">
        <w:rPr>
          <w:rFonts w:cs="Arial"/>
          <w:sz w:val="20"/>
          <w:szCs w:val="20"/>
        </w:rPr>
        <w:t>with two children; and for four-</w:t>
      </w:r>
      <w:r w:rsidRPr="00706644">
        <w:rPr>
          <w:rFonts w:cs="Arial"/>
          <w:sz w:val="20"/>
          <w:szCs w:val="20"/>
        </w:rPr>
        <w:t>bedroom properties, we have taken a couple on Newstart with four children.</w:t>
      </w:r>
    </w:p>
    <w:p w:rsidR="0047763C" w:rsidRPr="00706644" w:rsidRDefault="0047763C" w:rsidP="006852C7">
      <w:pPr>
        <w:rPr>
          <w:rFonts w:cs="Arial"/>
          <w:sz w:val="20"/>
          <w:szCs w:val="20"/>
        </w:rPr>
      </w:pPr>
    </w:p>
    <w:p w:rsidR="0047763C" w:rsidRDefault="0047763C" w:rsidP="00AB5EEF">
      <w:pPr>
        <w:rPr>
          <w:rFonts w:cs="Arial"/>
          <w:sz w:val="20"/>
          <w:szCs w:val="20"/>
        </w:rPr>
      </w:pPr>
      <w:r w:rsidRPr="00706644">
        <w:rPr>
          <w:rFonts w:cs="Arial"/>
          <w:sz w:val="20"/>
          <w:szCs w:val="20"/>
        </w:rPr>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rsidR="00AB5EEF" w:rsidRPr="00706644" w:rsidRDefault="00AB5EEF" w:rsidP="00AB5EEF">
      <w:pPr>
        <w:rPr>
          <w:rFonts w:cs="Arial"/>
          <w:sz w:val="20"/>
          <w:szCs w:val="20"/>
        </w:rPr>
      </w:pPr>
    </w:p>
    <w:p w:rsidR="0047763C" w:rsidRPr="00706644" w:rsidRDefault="0047763C" w:rsidP="00A8446B">
      <w:pPr>
        <w:rPr>
          <w:rFonts w:cs="Arial"/>
          <w:sz w:val="20"/>
          <w:szCs w:val="20"/>
        </w:rPr>
      </w:pPr>
    </w:p>
    <w:p w:rsidR="0047763C" w:rsidRPr="00706644" w:rsidRDefault="0047763C" w:rsidP="00A8446B">
      <w:pPr>
        <w:rPr>
          <w:rFonts w:cs="Arial"/>
          <w:b/>
          <w:bCs/>
          <w:sz w:val="20"/>
          <w:szCs w:val="20"/>
        </w:rPr>
      </w:pPr>
      <w:r>
        <w:rPr>
          <w:rFonts w:cs="Arial"/>
          <w:b/>
          <w:bCs/>
          <w:sz w:val="20"/>
          <w:szCs w:val="20"/>
        </w:rPr>
        <w:t>9</w:t>
      </w:r>
      <w:r w:rsidRPr="00706644">
        <w:rPr>
          <w:rFonts w:cs="Arial"/>
          <w:b/>
          <w:bCs/>
          <w:sz w:val="20"/>
          <w:szCs w:val="20"/>
        </w:rPr>
        <w:t xml:space="preserve">. Cells with no data </w:t>
      </w:r>
    </w:p>
    <w:p w:rsidR="0047763C" w:rsidRPr="00706644" w:rsidRDefault="0047763C" w:rsidP="00A8446B">
      <w:pPr>
        <w:rPr>
          <w:rFonts w:cs="Arial"/>
          <w:sz w:val="20"/>
          <w:szCs w:val="20"/>
        </w:rPr>
      </w:pPr>
      <w:r w:rsidRPr="00706644">
        <w:rPr>
          <w:rFonts w:cs="Arial"/>
          <w:sz w:val="20"/>
          <w:szCs w:val="20"/>
        </w:rPr>
        <w:t>Where tables have cells with no data (particularly Table 11</w:t>
      </w:r>
      <w:r>
        <w:rPr>
          <w:rFonts w:cs="Arial"/>
          <w:sz w:val="20"/>
          <w:szCs w:val="20"/>
        </w:rPr>
        <w:t xml:space="preserve"> and Table 12</w:t>
      </w:r>
      <w:r w:rsidRPr="00706644">
        <w:rPr>
          <w:rFonts w:cs="Arial"/>
          <w:sz w:val="20"/>
          <w:szCs w:val="20"/>
        </w:rPr>
        <w:t>), this is because we have limited the reporting of median rents to cells with at least 10 cases to report. A blank cell, therefore, means there may have been no lettings, or fewer than 10 for th</w:t>
      </w:r>
      <w:r>
        <w:rPr>
          <w:rFonts w:cs="Arial"/>
          <w:sz w:val="20"/>
          <w:szCs w:val="20"/>
        </w:rPr>
        <w:t xml:space="preserve">e year to that quarter (Table 11) or that </w:t>
      </w:r>
      <w:r w:rsidRPr="00706644">
        <w:rPr>
          <w:rFonts w:cs="Arial"/>
          <w:sz w:val="20"/>
          <w:szCs w:val="20"/>
        </w:rPr>
        <w:t>quarter</w:t>
      </w:r>
      <w:r>
        <w:rPr>
          <w:rFonts w:cs="Arial"/>
          <w:sz w:val="20"/>
          <w:szCs w:val="20"/>
        </w:rPr>
        <w:t xml:space="preserve"> (Table 12)</w:t>
      </w:r>
      <w:r w:rsidRPr="00706644">
        <w:rPr>
          <w:rFonts w:cs="Arial"/>
          <w:sz w:val="20"/>
          <w:szCs w:val="20"/>
        </w:rPr>
        <w:t>.</w:t>
      </w:r>
    </w:p>
    <w:p w:rsidR="0047763C" w:rsidRPr="00706644" w:rsidRDefault="0047763C" w:rsidP="00A8446B">
      <w:pPr>
        <w:rPr>
          <w:rFonts w:cs="Arial"/>
          <w:sz w:val="20"/>
          <w:szCs w:val="20"/>
        </w:rPr>
      </w:pPr>
    </w:p>
    <w:p w:rsidR="0047763C" w:rsidRPr="00706644" w:rsidRDefault="0047763C" w:rsidP="00A8446B">
      <w:pPr>
        <w:rPr>
          <w:rFonts w:cs="Arial"/>
          <w:sz w:val="20"/>
          <w:szCs w:val="20"/>
        </w:rPr>
      </w:pPr>
    </w:p>
    <w:p w:rsidR="0047763C" w:rsidRPr="00706644" w:rsidRDefault="0047763C" w:rsidP="00A8446B">
      <w:pPr>
        <w:rPr>
          <w:rFonts w:cs="Arial"/>
          <w:b/>
          <w:bCs/>
          <w:sz w:val="20"/>
          <w:szCs w:val="20"/>
        </w:rPr>
      </w:pPr>
      <w:r>
        <w:rPr>
          <w:rFonts w:cs="Arial"/>
          <w:b/>
          <w:bCs/>
          <w:sz w:val="20"/>
          <w:szCs w:val="20"/>
        </w:rPr>
        <w:t>10</w:t>
      </w:r>
      <w:r w:rsidRPr="00706644">
        <w:rPr>
          <w:rFonts w:cs="Arial"/>
          <w:b/>
          <w:bCs/>
          <w:sz w:val="20"/>
          <w:szCs w:val="20"/>
        </w:rPr>
        <w:t xml:space="preserve">. Spreadsheets </w:t>
      </w:r>
    </w:p>
    <w:p w:rsidR="0047763C" w:rsidRPr="00706644" w:rsidRDefault="0047763C" w:rsidP="00A8446B">
      <w:pPr>
        <w:rPr>
          <w:rFonts w:cs="Arial"/>
          <w:sz w:val="20"/>
          <w:szCs w:val="20"/>
        </w:rPr>
      </w:pPr>
      <w:r>
        <w:rPr>
          <w:rFonts w:cs="Arial"/>
          <w:sz w:val="20"/>
          <w:szCs w:val="20"/>
        </w:rPr>
        <w:t>Tables 1–14</w:t>
      </w:r>
      <w:r w:rsidRPr="00706644">
        <w:rPr>
          <w:rFonts w:cs="Arial"/>
          <w:sz w:val="20"/>
          <w:szCs w:val="20"/>
        </w:rPr>
        <w:t xml:space="preserve"> are available for download in Excel format from the Department of </w:t>
      </w:r>
      <w:r w:rsidR="00106D5A">
        <w:rPr>
          <w:rFonts w:cs="Arial"/>
          <w:sz w:val="20"/>
          <w:szCs w:val="20"/>
        </w:rPr>
        <w:t xml:space="preserve">Health and </w:t>
      </w:r>
      <w:r w:rsidRPr="00706644">
        <w:rPr>
          <w:rFonts w:cs="Arial"/>
          <w:sz w:val="20"/>
          <w:szCs w:val="20"/>
        </w:rPr>
        <w:t xml:space="preserve">Human Services website </w:t>
      </w:r>
      <w:hyperlink r:id="rId23" w:history="1">
        <w:r w:rsidR="003F4B94" w:rsidRPr="00A7207A">
          <w:rPr>
            <w:rStyle w:val="Hyperlink"/>
            <w:sz w:val="20"/>
            <w:szCs w:val="20"/>
          </w:rPr>
          <w:t>www.dhs.vic.gov.au/about-the-department/documents-and-resources/research,-data-and-statistics/current-rental-report</w:t>
        </w:r>
      </w:hyperlink>
    </w:p>
    <w:p w:rsidR="0047763C" w:rsidRDefault="0047763C" w:rsidP="00A8446B">
      <w:pPr>
        <w:rPr>
          <w:rFonts w:cs="Arial"/>
          <w:sz w:val="20"/>
          <w:szCs w:val="20"/>
        </w:rPr>
      </w:pPr>
    </w:p>
    <w:p w:rsidR="0047763C" w:rsidRDefault="0047763C" w:rsidP="00F324DD">
      <w:pPr>
        <w:pStyle w:val="DHSbody"/>
        <w:rPr>
          <w:rFonts w:cs="Arial"/>
        </w:rPr>
      </w:pPr>
      <w:r w:rsidRPr="00706644">
        <w:rPr>
          <w:rFonts w:cs="Arial"/>
        </w:rPr>
        <w:t xml:space="preserve">Published by the Department of </w:t>
      </w:r>
      <w:r w:rsidR="00EB10F0">
        <w:rPr>
          <w:rFonts w:cs="Arial"/>
        </w:rPr>
        <w:t xml:space="preserve">Health and </w:t>
      </w:r>
      <w:r w:rsidRPr="00706644">
        <w:rPr>
          <w:rFonts w:cs="Arial"/>
        </w:rPr>
        <w:t xml:space="preserve">Human Services, Victorian Government, </w:t>
      </w:r>
      <w:proofErr w:type="gramStart"/>
      <w:r w:rsidRPr="00706644">
        <w:rPr>
          <w:rFonts w:cs="Arial"/>
        </w:rPr>
        <w:t>Australia</w:t>
      </w:r>
      <w:proofErr w:type="gramEnd"/>
      <w:r w:rsidRPr="00706644">
        <w:rPr>
          <w:rFonts w:cs="Arial"/>
        </w:rPr>
        <w:t>.</w:t>
      </w:r>
      <w:r w:rsidR="00EB10F0">
        <w:rPr>
          <w:rFonts w:cs="Arial"/>
        </w:rPr>
        <w:br/>
      </w:r>
      <w:r w:rsidR="00580EEA">
        <w:rPr>
          <w:rFonts w:cs="Arial"/>
        </w:rPr>
        <w:t>December</w:t>
      </w:r>
      <w:r w:rsidR="00EB10F0">
        <w:rPr>
          <w:rFonts w:cs="Arial"/>
        </w:rPr>
        <w:t xml:space="preserve"> 2015</w:t>
      </w:r>
    </w:p>
    <w:p w:rsidR="0047763C" w:rsidRPr="00706644" w:rsidRDefault="0047763C" w:rsidP="00F324DD">
      <w:pPr>
        <w:pStyle w:val="DHSbody"/>
        <w:rPr>
          <w:rFonts w:cs="Arial"/>
        </w:rPr>
      </w:pPr>
      <w:r w:rsidRPr="00706644">
        <w:rPr>
          <w:rFonts w:cs="Arial"/>
        </w:rPr>
        <w:t xml:space="preserve">© </w:t>
      </w:r>
      <w:r w:rsidR="00014AA9">
        <w:rPr>
          <w:rFonts w:cs="Arial"/>
        </w:rPr>
        <w:t>Copyright State of Victoria 2015</w:t>
      </w:r>
    </w:p>
    <w:p w:rsidR="0047763C" w:rsidRDefault="0047763C" w:rsidP="008D0D3D">
      <w:pPr>
        <w:pStyle w:val="DHSbody"/>
        <w:spacing w:after="0"/>
        <w:rPr>
          <w:rFonts w:cs="Arial"/>
        </w:rPr>
      </w:pPr>
      <w:r w:rsidRPr="00706644">
        <w:rPr>
          <w:rFonts w:cs="Arial"/>
        </w:rPr>
        <w:t xml:space="preserve">This publication is copyright, no part may be reproduced by any process except in accordance with the provisions of the Copyright Act 1968. </w:t>
      </w:r>
    </w:p>
    <w:p w:rsidR="00EB10F0" w:rsidRPr="00706644" w:rsidRDefault="00EB10F0" w:rsidP="008D0D3D">
      <w:pPr>
        <w:pStyle w:val="DHSbody"/>
        <w:spacing w:after="0"/>
        <w:rPr>
          <w:rFonts w:cs="Arial"/>
        </w:rPr>
      </w:pPr>
      <w:r w:rsidRPr="00EB10F0">
        <w:rPr>
          <w:rFonts w:cs="Arial"/>
        </w:rPr>
        <w:t>ISBN 978-0-7311-6446-2</w:t>
      </w:r>
    </w:p>
    <w:p w:rsidR="0047763C" w:rsidRPr="00706644" w:rsidRDefault="0047763C" w:rsidP="008D0D3D">
      <w:pPr>
        <w:pStyle w:val="DHSbody"/>
        <w:spacing w:after="0"/>
        <w:rPr>
          <w:rFonts w:cs="Arial"/>
        </w:rPr>
      </w:pPr>
      <w:proofErr w:type="gramStart"/>
      <w:r w:rsidRPr="00706644">
        <w:rPr>
          <w:rFonts w:cs="Arial"/>
        </w:rPr>
        <w:t>Authorised by the State Government of Victoria, 50 Lonsdale Street, Melbourne.</w:t>
      </w:r>
      <w:proofErr w:type="gramEnd"/>
    </w:p>
    <w:p w:rsidR="00EB10F0" w:rsidRPr="00EB10F0" w:rsidRDefault="00EB10F0" w:rsidP="00EB10F0">
      <w:pPr>
        <w:pStyle w:val="DHSbody"/>
        <w:spacing w:after="0"/>
        <w:rPr>
          <w:rFonts w:cs="Arial"/>
        </w:rPr>
      </w:pPr>
      <w:r w:rsidRPr="00EB10F0">
        <w:rPr>
          <w:rFonts w:cs="Arial"/>
        </w:rPr>
        <w:t>For further information about the</w:t>
      </w:r>
      <w:r>
        <w:rPr>
          <w:rFonts w:cs="Arial"/>
        </w:rPr>
        <w:t xml:space="preserve"> </w:t>
      </w:r>
      <w:r w:rsidRPr="00EB10F0">
        <w:rPr>
          <w:rFonts w:cs="Arial"/>
        </w:rPr>
        <w:t>Rental Report contact the Centre for</w:t>
      </w:r>
      <w:r>
        <w:rPr>
          <w:rFonts w:cs="Arial"/>
        </w:rPr>
        <w:t xml:space="preserve"> </w:t>
      </w:r>
      <w:r w:rsidRPr="00EB10F0">
        <w:rPr>
          <w:rFonts w:cs="Arial"/>
        </w:rPr>
        <w:t>Human Services Research and Evaluation.</w:t>
      </w:r>
      <w:r>
        <w:rPr>
          <w:rFonts w:cs="Arial"/>
        </w:rPr>
        <w:t xml:space="preserve"> </w:t>
      </w:r>
    </w:p>
    <w:p w:rsidR="00EB10F0" w:rsidRPr="00EB10F0" w:rsidRDefault="00EB10F0" w:rsidP="00EB10F0">
      <w:pPr>
        <w:pStyle w:val="DHSbody"/>
        <w:spacing w:after="0"/>
        <w:rPr>
          <w:rFonts w:cs="Arial"/>
        </w:rPr>
      </w:pPr>
      <w:r w:rsidRPr="00EB10F0">
        <w:rPr>
          <w:rFonts w:cs="Arial"/>
        </w:rPr>
        <w:t xml:space="preserve">Email </w:t>
      </w:r>
      <w:hyperlink r:id="rId24" w:history="1">
        <w:r w:rsidR="00F70E86" w:rsidRPr="003A14B4">
          <w:rPr>
            <w:rStyle w:val="Hyperlink"/>
            <w:rFonts w:cs="Arial"/>
          </w:rPr>
          <w:t>chsre@dhhs.vic.gov.au</w:t>
        </w:r>
      </w:hyperlink>
      <w:r w:rsidR="00F70E86">
        <w:rPr>
          <w:rFonts w:cs="Arial"/>
        </w:rPr>
        <w:t xml:space="preserve"> </w:t>
      </w:r>
    </w:p>
    <w:p w:rsidR="00EB10F0" w:rsidRDefault="00EB10F0" w:rsidP="00EB10F0">
      <w:pPr>
        <w:pStyle w:val="DHSbody"/>
        <w:spacing w:after="0"/>
        <w:rPr>
          <w:rFonts w:cs="Arial"/>
        </w:rPr>
      </w:pPr>
      <w:r w:rsidRPr="00EB10F0">
        <w:rPr>
          <w:rFonts w:cs="Arial"/>
        </w:rPr>
        <w:t>Telephone enquiries: 03 9096 7045</w:t>
      </w:r>
    </w:p>
    <w:p w:rsidR="0047763C" w:rsidRPr="00706644" w:rsidRDefault="00E4154A" w:rsidP="00F324DD">
      <w:pPr>
        <w:pStyle w:val="DHSbody"/>
        <w:rPr>
          <w:rFonts w:cs="Arial"/>
        </w:rPr>
      </w:pPr>
      <w:r>
        <w:rPr>
          <w:noProof/>
          <w:lang w:eastAsia="en-AU"/>
        </w:rPr>
        <mc:AlternateContent>
          <mc:Choice Requires="wps">
            <w:drawing>
              <wp:anchor distT="0" distB="0" distL="114300" distR="114300" simplePos="0" relativeHeight="251652608" behindDoc="0" locked="0" layoutInCell="1" allowOverlap="1">
                <wp:simplePos x="0" y="0"/>
                <wp:positionH relativeFrom="column">
                  <wp:align>center</wp:align>
                </wp:positionH>
                <wp:positionV relativeFrom="paragraph">
                  <wp:posOffset>71755</wp:posOffset>
                </wp:positionV>
                <wp:extent cx="4097020" cy="1360805"/>
                <wp:effectExtent l="0" t="0" r="17780" b="1079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7020" cy="1360805"/>
                        </a:xfrm>
                        <a:prstGeom prst="roundRect">
                          <a:avLst>
                            <a:gd name="adj" fmla="val 16667"/>
                          </a:avLst>
                        </a:prstGeom>
                        <a:solidFill>
                          <a:srgbClr val="FFFFFF"/>
                        </a:solidFill>
                        <a:ln w="9525">
                          <a:solidFill>
                            <a:srgbClr val="6687A4"/>
                          </a:solidFill>
                          <a:round/>
                          <a:headEnd/>
                          <a:tailEnd/>
                        </a:ln>
                      </wps:spPr>
                      <wps:txbx>
                        <w:txbxContent>
                          <w:p w:rsidR="00360F0B" w:rsidRPr="00A530FF" w:rsidRDefault="00360F0B" w:rsidP="00F324DD">
                            <w:r w:rsidRPr="00A530FF">
                              <w:t xml:space="preserve">If you would like to receive this publication in an accessible format, please phone </w:t>
                            </w:r>
                            <w:r w:rsidRPr="00A530FF">
                              <w:rPr>
                                <w:b/>
                              </w:rPr>
                              <w:t>1300 650 172</w:t>
                            </w:r>
                            <w:r w:rsidRPr="00A530FF">
                              <w:t xml:space="preserve"> using the National Relay Service </w:t>
                            </w:r>
                            <w:r w:rsidRPr="00A530FF">
                              <w:rPr>
                                <w:b/>
                              </w:rPr>
                              <w:t>13 36 77</w:t>
                            </w:r>
                            <w:r w:rsidRPr="00A530FF">
                              <w:t xml:space="preserve"> if required.</w:t>
                            </w:r>
                          </w:p>
                          <w:p w:rsidR="00360F0B" w:rsidRDefault="00360F0B" w:rsidP="00F324DD">
                            <w:r w:rsidRPr="00A530FF">
                              <w:t>This document is also available i</w:t>
                            </w:r>
                            <w:r>
                              <w:t>n PDF format on the Internet at</w:t>
                            </w:r>
                            <w:r>
                              <w:rPr>
                                <w:sz w:val="20"/>
                                <w:szCs w:val="20"/>
                              </w:rPr>
                              <w:t>:</w:t>
                            </w:r>
                            <w:r w:rsidRPr="00BD61FF">
                              <w:rPr>
                                <w:sz w:val="20"/>
                                <w:szCs w:val="20"/>
                              </w:rPr>
                              <w:t xml:space="preserve"> </w:t>
                            </w:r>
                            <w:hyperlink r:id="rId25" w:history="1">
                              <w:r w:rsidRPr="00A7207A">
                                <w:rPr>
                                  <w:rStyle w:val="Hyperlink"/>
                                  <w:sz w:val="20"/>
                                  <w:szCs w:val="20"/>
                                </w:rPr>
                                <w:t>www.dhs.vic.gov.au/about-the-department/documents-and-resources/research,-data-and-statistics/current-rental-report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4" o:spid="_x0000_s1027" style="position:absolute;margin-left:0;margin-top:5.65pt;width:322.6pt;height:107.15pt;z-index:2516526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COPQIAAHMEAAAOAAAAZHJzL2Uyb0RvYy54bWysVFFv0zAQfkfiP1h+Z0m6Nm2jpdO0UYQ0&#10;YGLwA1zbaQyObc5u0/HrOTtpaeEN0QfrLnf+7u77zr25PXSa7CV4ZU1Ni6ucEmm4Fcpsa/r1y/rN&#10;ghIfmBFMWyNr+iI9vV29fnXTu0pObGu1kEAQxPiqdzVtQ3BVlnneyo75K+ukwWBjoWMBXdhmAliP&#10;6J3OJnleZr0F4cBy6T1+fRiCdJXwm0by8KlpvAxE1xR7C+mEdG7ima1uWLUF5lrFxzbYP3TRMWWw&#10;6AnqgQVGdqD+guoUB+ttE6647TLbNIrLNANOU+R/TPPcMifTLEiOdyea/P+D5R/3T0CUqOk1JYZ1&#10;KNHdLthUmUwjPb3zFWY9uyeIA3r3aPl3T4y9b5nZyjsA27eSCWyqiPnZxYXoeLxKNv0HKxCdIXpi&#10;6tBAFwGRA3JIgrycBJGHQDh+nObLeT5B3TjGiusyX+SzVINVx+sOfHgnbUeiUVOwOyM+o+ypBts/&#10;+pBkEeNwTHyjpOk0irxnmhRlWc5HxDE5Y9URM81rtRJrpXVyYLu510Dwak3X6Tde9udp2pC+psvZ&#10;ZJa6uIj5c4iyXMzvEstY9SItzZGWM3L71ohkB6b0YGO+NiPZkd9Bp3DYHJKYSYnI/caKF2Qf7LD5&#10;+FLRaC38pKTHra+p/7FjICnR7w0quCym0/hMkjOdzSP3cB7ZnEeY4QhV00DJYN6H4WntHKhti5WK&#10;RICxcacaFY7rMXQ1to+bjdbF0zn3U9bv/4rVLwAAAP//AwBQSwMEFAAGAAgAAAAhAKB1XhXcAAAA&#10;BwEAAA8AAABkcnMvZG93bnJldi54bWxMj8FOwzAQRO9I/IO1SFwQdWqoVUKcClEh9VgaPsCJl8TC&#10;Xkex24S/x5zguDOjmbfVbvGOXXCKNpCC9aoAhtQFY6lX8NG83W+BxaTJaBcIFXxjhF19fVXp0oSZ&#10;3vFySj3LJRRLrWBIaSw5j92AXsdVGJGy9xkmr1M+p56bSc+53DsuikJyry3lhUGP+Dpg93U6ewXb&#10;uTnY451sj97J/ZOd9wcxNkrd3iwvz8ASLukvDL/4GR3qzNSGM5nInIL8SMrq+gFYduXjRgBrFQix&#10;kcDriv/nr38AAAD//wMAUEsBAi0AFAAGAAgAAAAhALaDOJL+AAAA4QEAABMAAAAAAAAAAAAAAAAA&#10;AAAAAFtDb250ZW50X1R5cGVzXS54bWxQSwECLQAUAAYACAAAACEAOP0h/9YAAACUAQAACwAAAAAA&#10;AAAAAAAAAAAvAQAAX3JlbHMvLnJlbHNQSwECLQAUAAYACAAAACEAh4nQjj0CAABzBAAADgAAAAAA&#10;AAAAAAAAAAAuAgAAZHJzL2Uyb0RvYy54bWxQSwECLQAUAAYACAAAACEAoHVeFdwAAAAHAQAADwAA&#10;AAAAAAAAAAAAAACXBAAAZHJzL2Rvd25yZXYueG1sUEsFBgAAAAAEAAQA8wAAAKAFAAAAAA==&#10;" strokecolor="#6687a4">
                <v:textbox>
                  <w:txbxContent>
                    <w:p w:rsidR="00360F0B" w:rsidRPr="00A530FF" w:rsidRDefault="00360F0B" w:rsidP="00F324DD">
                      <w:r w:rsidRPr="00A530FF">
                        <w:t xml:space="preserve">If you would like to receive this publication in an accessible format, please phone </w:t>
                      </w:r>
                      <w:r w:rsidRPr="00A530FF">
                        <w:rPr>
                          <w:b/>
                        </w:rPr>
                        <w:t>1300 650 172</w:t>
                      </w:r>
                      <w:r w:rsidRPr="00A530FF">
                        <w:t xml:space="preserve"> using the National Relay Service </w:t>
                      </w:r>
                      <w:r w:rsidRPr="00A530FF">
                        <w:rPr>
                          <w:b/>
                        </w:rPr>
                        <w:t>13 36 77</w:t>
                      </w:r>
                      <w:r w:rsidRPr="00A530FF">
                        <w:t xml:space="preserve"> if required.</w:t>
                      </w:r>
                    </w:p>
                    <w:p w:rsidR="00360F0B" w:rsidRDefault="00360F0B" w:rsidP="00F324DD">
                      <w:r w:rsidRPr="00A530FF">
                        <w:t>This document is also available i</w:t>
                      </w:r>
                      <w:r>
                        <w:t>n PDF format on the Internet at</w:t>
                      </w:r>
                      <w:r>
                        <w:rPr>
                          <w:sz w:val="20"/>
                          <w:szCs w:val="20"/>
                        </w:rPr>
                        <w:t>:</w:t>
                      </w:r>
                      <w:r w:rsidRPr="00BD61FF">
                        <w:rPr>
                          <w:sz w:val="20"/>
                          <w:szCs w:val="20"/>
                        </w:rPr>
                        <w:t xml:space="preserve"> </w:t>
                      </w:r>
                      <w:hyperlink r:id="rId26" w:history="1">
                        <w:r w:rsidRPr="00A7207A">
                          <w:rPr>
                            <w:rStyle w:val="Hyperlink"/>
                            <w:sz w:val="20"/>
                            <w:szCs w:val="20"/>
                          </w:rPr>
                          <w:t>www.dhs.vic.gov.au/about-the-department/documents-and-resources/research,-data-and-statistics/current-rental-report</w:t>
                        </w:r>
                      </w:hyperlink>
                    </w:p>
                  </w:txbxContent>
                </v:textbox>
              </v:roundrect>
            </w:pict>
          </mc:Fallback>
        </mc:AlternateContent>
      </w:r>
    </w:p>
    <w:p w:rsidR="0047763C" w:rsidRPr="00706644" w:rsidRDefault="0047763C" w:rsidP="00F324DD">
      <w:pPr>
        <w:pStyle w:val="DHSBody12"/>
        <w:rPr>
          <w:rFonts w:cs="Arial"/>
        </w:rPr>
      </w:pPr>
    </w:p>
    <w:p w:rsidR="0047763C" w:rsidRPr="00706644" w:rsidRDefault="0047763C" w:rsidP="008F5EF7">
      <w:pPr>
        <w:rPr>
          <w:rFonts w:cs="Arial"/>
        </w:rPr>
      </w:pPr>
    </w:p>
    <w:sectPr w:rsidR="0047763C" w:rsidRPr="00706644" w:rsidSect="008F5EF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30C" w:rsidRDefault="0086630C" w:rsidP="008F5EF7">
      <w:r>
        <w:separator/>
      </w:r>
    </w:p>
  </w:endnote>
  <w:endnote w:type="continuationSeparator" w:id="0">
    <w:p w:rsidR="0086630C" w:rsidRDefault="0086630C" w:rsidP="008F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rateSBQ-Light">
    <w:panose1 w:val="00000000000000000000"/>
    <w:charset w:val="00"/>
    <w:family w:val="auto"/>
    <w:notTrueType/>
    <w:pitch w:val="default"/>
    <w:sig w:usb0="00000003" w:usb1="00000000" w:usb2="00000000" w:usb3="00000000" w:csb0="00000001" w:csb1="00000000"/>
  </w:font>
  <w:font w:name="HelveticaNeueLT Std Lt">
    <w:panose1 w:val="00000000000000000000"/>
    <w:charset w:val="00"/>
    <w:family w:val="swiss"/>
    <w:notTrueType/>
    <w:pitch w:val="variable"/>
    <w:sig w:usb0="800000AF" w:usb1="4000204A" w:usb2="00000000" w:usb3="00000000" w:csb0="00000001" w:csb1="00000000"/>
  </w:font>
  <w:font w:name="HelveticaNeueLTStd-Lt">
    <w:panose1 w:val="00000000000000000000"/>
    <w:charset w:val="00"/>
    <w:family w:val="swiss"/>
    <w:notTrueType/>
    <w:pitch w:val="default"/>
    <w:sig w:usb0="00000003" w:usb1="00000000" w:usb2="00000000" w:usb3="00000000" w:csb0="00000001"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HelveticaNeueLTStd-Bd">
    <w:altName w:val="HelveticaNeueLT Std"/>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F0B" w:rsidRDefault="00360F0B" w:rsidP="008F5EF7">
    <w:pPr>
      <w:pStyle w:val="Footer"/>
      <w:jc w:val="center"/>
    </w:pPr>
    <w:r>
      <w:fldChar w:fldCharType="begin"/>
    </w:r>
    <w:r>
      <w:instrText xml:space="preserve"> PAGE   \* MERGEFORMAT </w:instrText>
    </w:r>
    <w:r>
      <w:fldChar w:fldCharType="separate"/>
    </w:r>
    <w:r w:rsidR="00A01B99">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30C" w:rsidRDefault="0086630C" w:rsidP="008F5EF7">
      <w:r>
        <w:separator/>
      </w:r>
    </w:p>
  </w:footnote>
  <w:footnote w:type="continuationSeparator" w:id="0">
    <w:p w:rsidR="0086630C" w:rsidRDefault="0086630C" w:rsidP="008F5E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80B"/>
    <w:rsid w:val="0000002E"/>
    <w:rsid w:val="00000681"/>
    <w:rsid w:val="0000242C"/>
    <w:rsid w:val="000036A4"/>
    <w:rsid w:val="000051C5"/>
    <w:rsid w:val="000070F3"/>
    <w:rsid w:val="00007A51"/>
    <w:rsid w:val="00007BB2"/>
    <w:rsid w:val="00010CC3"/>
    <w:rsid w:val="00011C6A"/>
    <w:rsid w:val="000124D2"/>
    <w:rsid w:val="000126E4"/>
    <w:rsid w:val="00012B5C"/>
    <w:rsid w:val="0001442B"/>
    <w:rsid w:val="00014AA9"/>
    <w:rsid w:val="00015784"/>
    <w:rsid w:val="000216DD"/>
    <w:rsid w:val="00021886"/>
    <w:rsid w:val="00021C74"/>
    <w:rsid w:val="00021E36"/>
    <w:rsid w:val="00022176"/>
    <w:rsid w:val="00023AD6"/>
    <w:rsid w:val="00024548"/>
    <w:rsid w:val="00025957"/>
    <w:rsid w:val="00027FDB"/>
    <w:rsid w:val="00031F01"/>
    <w:rsid w:val="0003709A"/>
    <w:rsid w:val="000375B1"/>
    <w:rsid w:val="0004011E"/>
    <w:rsid w:val="00040911"/>
    <w:rsid w:val="0004158D"/>
    <w:rsid w:val="000424AD"/>
    <w:rsid w:val="00042553"/>
    <w:rsid w:val="000428B9"/>
    <w:rsid w:val="000431BF"/>
    <w:rsid w:val="00043469"/>
    <w:rsid w:val="000439D6"/>
    <w:rsid w:val="00044819"/>
    <w:rsid w:val="000449F1"/>
    <w:rsid w:val="000455DE"/>
    <w:rsid w:val="00046423"/>
    <w:rsid w:val="00047679"/>
    <w:rsid w:val="00047A04"/>
    <w:rsid w:val="0005036A"/>
    <w:rsid w:val="00051B44"/>
    <w:rsid w:val="00052803"/>
    <w:rsid w:val="00053449"/>
    <w:rsid w:val="0005440F"/>
    <w:rsid w:val="00054C75"/>
    <w:rsid w:val="0005531A"/>
    <w:rsid w:val="00057C76"/>
    <w:rsid w:val="00057D9B"/>
    <w:rsid w:val="000656E7"/>
    <w:rsid w:val="00066EEC"/>
    <w:rsid w:val="000679E0"/>
    <w:rsid w:val="000710E6"/>
    <w:rsid w:val="0007248C"/>
    <w:rsid w:val="000731AB"/>
    <w:rsid w:val="000743B2"/>
    <w:rsid w:val="00074992"/>
    <w:rsid w:val="00074E3E"/>
    <w:rsid w:val="00074FDA"/>
    <w:rsid w:val="000757AB"/>
    <w:rsid w:val="000763DF"/>
    <w:rsid w:val="00076814"/>
    <w:rsid w:val="00080603"/>
    <w:rsid w:val="00081281"/>
    <w:rsid w:val="00081B00"/>
    <w:rsid w:val="000828B6"/>
    <w:rsid w:val="00082B5C"/>
    <w:rsid w:val="00083261"/>
    <w:rsid w:val="00083DFF"/>
    <w:rsid w:val="00084A20"/>
    <w:rsid w:val="00085411"/>
    <w:rsid w:val="000854B6"/>
    <w:rsid w:val="000876AF"/>
    <w:rsid w:val="00087934"/>
    <w:rsid w:val="000902BD"/>
    <w:rsid w:val="00090EF8"/>
    <w:rsid w:val="00091C5F"/>
    <w:rsid w:val="000937DE"/>
    <w:rsid w:val="000938D3"/>
    <w:rsid w:val="00093BD6"/>
    <w:rsid w:val="00094546"/>
    <w:rsid w:val="00096819"/>
    <w:rsid w:val="000A11FD"/>
    <w:rsid w:val="000A13FD"/>
    <w:rsid w:val="000A2A61"/>
    <w:rsid w:val="000A2FC7"/>
    <w:rsid w:val="000A44C4"/>
    <w:rsid w:val="000A4BA0"/>
    <w:rsid w:val="000A4CCC"/>
    <w:rsid w:val="000A6A01"/>
    <w:rsid w:val="000A7E5A"/>
    <w:rsid w:val="000B12D1"/>
    <w:rsid w:val="000B193E"/>
    <w:rsid w:val="000B245D"/>
    <w:rsid w:val="000B458D"/>
    <w:rsid w:val="000B7A56"/>
    <w:rsid w:val="000B7E92"/>
    <w:rsid w:val="000C0529"/>
    <w:rsid w:val="000C3FAB"/>
    <w:rsid w:val="000C7516"/>
    <w:rsid w:val="000C7BBD"/>
    <w:rsid w:val="000D0140"/>
    <w:rsid w:val="000D31C2"/>
    <w:rsid w:val="000D6147"/>
    <w:rsid w:val="000D75DF"/>
    <w:rsid w:val="000E2133"/>
    <w:rsid w:val="000E6C52"/>
    <w:rsid w:val="000E7CB4"/>
    <w:rsid w:val="000F138E"/>
    <w:rsid w:val="000F29A4"/>
    <w:rsid w:val="000F3B39"/>
    <w:rsid w:val="000F433B"/>
    <w:rsid w:val="000F4527"/>
    <w:rsid w:val="000F4E83"/>
    <w:rsid w:val="000F534E"/>
    <w:rsid w:val="000F6981"/>
    <w:rsid w:val="000F7122"/>
    <w:rsid w:val="000F7569"/>
    <w:rsid w:val="001005A0"/>
    <w:rsid w:val="00101354"/>
    <w:rsid w:val="0010143A"/>
    <w:rsid w:val="00101505"/>
    <w:rsid w:val="00102CD1"/>
    <w:rsid w:val="00104217"/>
    <w:rsid w:val="00104702"/>
    <w:rsid w:val="00104CDA"/>
    <w:rsid w:val="001069ED"/>
    <w:rsid w:val="00106D5A"/>
    <w:rsid w:val="00111C98"/>
    <w:rsid w:val="00112227"/>
    <w:rsid w:val="001151D3"/>
    <w:rsid w:val="0011555A"/>
    <w:rsid w:val="001158A8"/>
    <w:rsid w:val="0011627E"/>
    <w:rsid w:val="00117367"/>
    <w:rsid w:val="001215C2"/>
    <w:rsid w:val="00121A80"/>
    <w:rsid w:val="00123277"/>
    <w:rsid w:val="0012407C"/>
    <w:rsid w:val="001301D3"/>
    <w:rsid w:val="00131C1B"/>
    <w:rsid w:val="00131ED8"/>
    <w:rsid w:val="00132E9E"/>
    <w:rsid w:val="00133DBA"/>
    <w:rsid w:val="00134529"/>
    <w:rsid w:val="00134A98"/>
    <w:rsid w:val="00135873"/>
    <w:rsid w:val="001458F3"/>
    <w:rsid w:val="00145F65"/>
    <w:rsid w:val="00146CCF"/>
    <w:rsid w:val="00146F9B"/>
    <w:rsid w:val="001501D2"/>
    <w:rsid w:val="001503BB"/>
    <w:rsid w:val="00154B67"/>
    <w:rsid w:val="00155BD8"/>
    <w:rsid w:val="00156406"/>
    <w:rsid w:val="00156677"/>
    <w:rsid w:val="001567D1"/>
    <w:rsid w:val="00156B20"/>
    <w:rsid w:val="00160513"/>
    <w:rsid w:val="001622AB"/>
    <w:rsid w:val="00162D7E"/>
    <w:rsid w:val="001635FD"/>
    <w:rsid w:val="00164330"/>
    <w:rsid w:val="00165600"/>
    <w:rsid w:val="001664A7"/>
    <w:rsid w:val="00166D00"/>
    <w:rsid w:val="0016798A"/>
    <w:rsid w:val="00167D0D"/>
    <w:rsid w:val="00170ACD"/>
    <w:rsid w:val="00170E13"/>
    <w:rsid w:val="0017130B"/>
    <w:rsid w:val="00171A5A"/>
    <w:rsid w:val="00172123"/>
    <w:rsid w:val="001749F8"/>
    <w:rsid w:val="0017707F"/>
    <w:rsid w:val="00177521"/>
    <w:rsid w:val="001800EE"/>
    <w:rsid w:val="00180B5B"/>
    <w:rsid w:val="001812BC"/>
    <w:rsid w:val="001820BB"/>
    <w:rsid w:val="001834E3"/>
    <w:rsid w:val="001836E5"/>
    <w:rsid w:val="0018463E"/>
    <w:rsid w:val="001847CE"/>
    <w:rsid w:val="001868BF"/>
    <w:rsid w:val="0018717B"/>
    <w:rsid w:val="00190052"/>
    <w:rsid w:val="001903E1"/>
    <w:rsid w:val="00191AF9"/>
    <w:rsid w:val="00191B3E"/>
    <w:rsid w:val="00191EC1"/>
    <w:rsid w:val="00193A2C"/>
    <w:rsid w:val="001962CF"/>
    <w:rsid w:val="00196CF3"/>
    <w:rsid w:val="001A1186"/>
    <w:rsid w:val="001A17C6"/>
    <w:rsid w:val="001A310A"/>
    <w:rsid w:val="001A3275"/>
    <w:rsid w:val="001A4635"/>
    <w:rsid w:val="001A4B35"/>
    <w:rsid w:val="001A51E7"/>
    <w:rsid w:val="001A5639"/>
    <w:rsid w:val="001A5645"/>
    <w:rsid w:val="001A5F4E"/>
    <w:rsid w:val="001A6B4A"/>
    <w:rsid w:val="001A71EF"/>
    <w:rsid w:val="001A7C97"/>
    <w:rsid w:val="001B015D"/>
    <w:rsid w:val="001B0737"/>
    <w:rsid w:val="001B2749"/>
    <w:rsid w:val="001B31BA"/>
    <w:rsid w:val="001B3CE9"/>
    <w:rsid w:val="001B3F0A"/>
    <w:rsid w:val="001B5F14"/>
    <w:rsid w:val="001B69C8"/>
    <w:rsid w:val="001B710F"/>
    <w:rsid w:val="001B7502"/>
    <w:rsid w:val="001C0590"/>
    <w:rsid w:val="001C1D9E"/>
    <w:rsid w:val="001C41EF"/>
    <w:rsid w:val="001C455B"/>
    <w:rsid w:val="001C5BCA"/>
    <w:rsid w:val="001C76B9"/>
    <w:rsid w:val="001C7CF7"/>
    <w:rsid w:val="001D2374"/>
    <w:rsid w:val="001D2EE7"/>
    <w:rsid w:val="001D5427"/>
    <w:rsid w:val="001D6AB6"/>
    <w:rsid w:val="001D74B2"/>
    <w:rsid w:val="001D78CA"/>
    <w:rsid w:val="001E0276"/>
    <w:rsid w:val="001E0A21"/>
    <w:rsid w:val="001E2251"/>
    <w:rsid w:val="001E28F5"/>
    <w:rsid w:val="001E2F17"/>
    <w:rsid w:val="001E528C"/>
    <w:rsid w:val="001E52E0"/>
    <w:rsid w:val="001F1002"/>
    <w:rsid w:val="001F15BF"/>
    <w:rsid w:val="001F328F"/>
    <w:rsid w:val="001F352D"/>
    <w:rsid w:val="001F4C47"/>
    <w:rsid w:val="001F5EB2"/>
    <w:rsid w:val="001F69EE"/>
    <w:rsid w:val="001F7649"/>
    <w:rsid w:val="001F768E"/>
    <w:rsid w:val="001F7830"/>
    <w:rsid w:val="002007DB"/>
    <w:rsid w:val="00204D67"/>
    <w:rsid w:val="002050E7"/>
    <w:rsid w:val="00205DB9"/>
    <w:rsid w:val="002064FD"/>
    <w:rsid w:val="002076B3"/>
    <w:rsid w:val="002100D6"/>
    <w:rsid w:val="00210EB8"/>
    <w:rsid w:val="00211899"/>
    <w:rsid w:val="00212CE4"/>
    <w:rsid w:val="00214589"/>
    <w:rsid w:val="00216C85"/>
    <w:rsid w:val="002171E3"/>
    <w:rsid w:val="002178EB"/>
    <w:rsid w:val="00217FD5"/>
    <w:rsid w:val="0022065E"/>
    <w:rsid w:val="00220B78"/>
    <w:rsid w:val="002213B7"/>
    <w:rsid w:val="0022148A"/>
    <w:rsid w:val="00221C46"/>
    <w:rsid w:val="002247E8"/>
    <w:rsid w:val="002249FC"/>
    <w:rsid w:val="00224BCB"/>
    <w:rsid w:val="002255ED"/>
    <w:rsid w:val="0022561C"/>
    <w:rsid w:val="00225658"/>
    <w:rsid w:val="0022565A"/>
    <w:rsid w:val="002268B1"/>
    <w:rsid w:val="00227228"/>
    <w:rsid w:val="00227746"/>
    <w:rsid w:val="00231155"/>
    <w:rsid w:val="00231C96"/>
    <w:rsid w:val="00232C23"/>
    <w:rsid w:val="002335E5"/>
    <w:rsid w:val="00234288"/>
    <w:rsid w:val="00235714"/>
    <w:rsid w:val="0023594C"/>
    <w:rsid w:val="00236D79"/>
    <w:rsid w:val="0024183C"/>
    <w:rsid w:val="002418AD"/>
    <w:rsid w:val="002421AF"/>
    <w:rsid w:val="00242424"/>
    <w:rsid w:val="00242726"/>
    <w:rsid w:val="00242D34"/>
    <w:rsid w:val="00246F19"/>
    <w:rsid w:val="0025089C"/>
    <w:rsid w:val="00251786"/>
    <w:rsid w:val="00252290"/>
    <w:rsid w:val="0025243B"/>
    <w:rsid w:val="00253088"/>
    <w:rsid w:val="00253930"/>
    <w:rsid w:val="00254B8F"/>
    <w:rsid w:val="00255D61"/>
    <w:rsid w:val="00255EEC"/>
    <w:rsid w:val="0025618D"/>
    <w:rsid w:val="002571C4"/>
    <w:rsid w:val="00257AF0"/>
    <w:rsid w:val="00257BF2"/>
    <w:rsid w:val="00260AAC"/>
    <w:rsid w:val="00261A04"/>
    <w:rsid w:val="00262C44"/>
    <w:rsid w:val="0026314A"/>
    <w:rsid w:val="0026431E"/>
    <w:rsid w:val="00266B84"/>
    <w:rsid w:val="00266C2D"/>
    <w:rsid w:val="00267D1A"/>
    <w:rsid w:val="00270299"/>
    <w:rsid w:val="0027082E"/>
    <w:rsid w:val="002722D5"/>
    <w:rsid w:val="00273E9C"/>
    <w:rsid w:val="00276F9E"/>
    <w:rsid w:val="00277E18"/>
    <w:rsid w:val="00280B16"/>
    <w:rsid w:val="002835BF"/>
    <w:rsid w:val="00283611"/>
    <w:rsid w:val="00283DAB"/>
    <w:rsid w:val="00284260"/>
    <w:rsid w:val="00285E5B"/>
    <w:rsid w:val="002869F3"/>
    <w:rsid w:val="0029069D"/>
    <w:rsid w:val="00292851"/>
    <w:rsid w:val="00295D24"/>
    <w:rsid w:val="00295E1D"/>
    <w:rsid w:val="00296BDD"/>
    <w:rsid w:val="00297A13"/>
    <w:rsid w:val="002A19C3"/>
    <w:rsid w:val="002A29E3"/>
    <w:rsid w:val="002A44F9"/>
    <w:rsid w:val="002B5C67"/>
    <w:rsid w:val="002B5DE5"/>
    <w:rsid w:val="002C04FA"/>
    <w:rsid w:val="002C4406"/>
    <w:rsid w:val="002C5987"/>
    <w:rsid w:val="002C646C"/>
    <w:rsid w:val="002C64D6"/>
    <w:rsid w:val="002C77DD"/>
    <w:rsid w:val="002C7C58"/>
    <w:rsid w:val="002D01B3"/>
    <w:rsid w:val="002D1078"/>
    <w:rsid w:val="002D40C3"/>
    <w:rsid w:val="002D40CD"/>
    <w:rsid w:val="002D40E5"/>
    <w:rsid w:val="002D4C84"/>
    <w:rsid w:val="002D52FD"/>
    <w:rsid w:val="002D55B7"/>
    <w:rsid w:val="002D55C1"/>
    <w:rsid w:val="002D67F5"/>
    <w:rsid w:val="002D716F"/>
    <w:rsid w:val="002D7B91"/>
    <w:rsid w:val="002D7F55"/>
    <w:rsid w:val="002E047A"/>
    <w:rsid w:val="002E0823"/>
    <w:rsid w:val="002E0A8B"/>
    <w:rsid w:val="002E1555"/>
    <w:rsid w:val="002E2B95"/>
    <w:rsid w:val="002E4BA6"/>
    <w:rsid w:val="002E6081"/>
    <w:rsid w:val="002F44E4"/>
    <w:rsid w:val="002F5356"/>
    <w:rsid w:val="002F7A7D"/>
    <w:rsid w:val="003017D9"/>
    <w:rsid w:val="0030296A"/>
    <w:rsid w:val="003037B6"/>
    <w:rsid w:val="00304203"/>
    <w:rsid w:val="003056ED"/>
    <w:rsid w:val="00305989"/>
    <w:rsid w:val="0030610A"/>
    <w:rsid w:val="0030690E"/>
    <w:rsid w:val="00306D1F"/>
    <w:rsid w:val="00307756"/>
    <w:rsid w:val="0031027E"/>
    <w:rsid w:val="00311485"/>
    <w:rsid w:val="003127D7"/>
    <w:rsid w:val="00317F34"/>
    <w:rsid w:val="00321DB6"/>
    <w:rsid w:val="00322038"/>
    <w:rsid w:val="00325CF2"/>
    <w:rsid w:val="003274EB"/>
    <w:rsid w:val="00330278"/>
    <w:rsid w:val="00330BE0"/>
    <w:rsid w:val="00333E27"/>
    <w:rsid w:val="00334161"/>
    <w:rsid w:val="00335B45"/>
    <w:rsid w:val="003414A7"/>
    <w:rsid w:val="00343A89"/>
    <w:rsid w:val="00343F26"/>
    <w:rsid w:val="00344376"/>
    <w:rsid w:val="00344E46"/>
    <w:rsid w:val="00345728"/>
    <w:rsid w:val="00345EB3"/>
    <w:rsid w:val="003466AD"/>
    <w:rsid w:val="00346991"/>
    <w:rsid w:val="003501DC"/>
    <w:rsid w:val="00350B26"/>
    <w:rsid w:val="00353ED9"/>
    <w:rsid w:val="00353F72"/>
    <w:rsid w:val="0035450B"/>
    <w:rsid w:val="00354D85"/>
    <w:rsid w:val="00356E79"/>
    <w:rsid w:val="00357C9F"/>
    <w:rsid w:val="00360DEE"/>
    <w:rsid w:val="00360F0B"/>
    <w:rsid w:val="003610F1"/>
    <w:rsid w:val="00363535"/>
    <w:rsid w:val="0036384D"/>
    <w:rsid w:val="00363909"/>
    <w:rsid w:val="003644BF"/>
    <w:rsid w:val="00364701"/>
    <w:rsid w:val="00364724"/>
    <w:rsid w:val="00367435"/>
    <w:rsid w:val="003675F9"/>
    <w:rsid w:val="00370EFE"/>
    <w:rsid w:val="00375C91"/>
    <w:rsid w:val="00376B90"/>
    <w:rsid w:val="00377B0B"/>
    <w:rsid w:val="003822AC"/>
    <w:rsid w:val="00384136"/>
    <w:rsid w:val="003841D7"/>
    <w:rsid w:val="003859FB"/>
    <w:rsid w:val="00387ADD"/>
    <w:rsid w:val="0039115E"/>
    <w:rsid w:val="003917B0"/>
    <w:rsid w:val="003925C5"/>
    <w:rsid w:val="00392D00"/>
    <w:rsid w:val="003933E6"/>
    <w:rsid w:val="00393540"/>
    <w:rsid w:val="003961F0"/>
    <w:rsid w:val="00397411"/>
    <w:rsid w:val="00397E60"/>
    <w:rsid w:val="003A00A1"/>
    <w:rsid w:val="003A0505"/>
    <w:rsid w:val="003A0A23"/>
    <w:rsid w:val="003A1C07"/>
    <w:rsid w:val="003A1F9F"/>
    <w:rsid w:val="003A2129"/>
    <w:rsid w:val="003A2969"/>
    <w:rsid w:val="003A32E9"/>
    <w:rsid w:val="003A4193"/>
    <w:rsid w:val="003A42E2"/>
    <w:rsid w:val="003A5190"/>
    <w:rsid w:val="003A55A4"/>
    <w:rsid w:val="003A77EB"/>
    <w:rsid w:val="003A7FDA"/>
    <w:rsid w:val="003B0E44"/>
    <w:rsid w:val="003B176C"/>
    <w:rsid w:val="003B18D6"/>
    <w:rsid w:val="003B3185"/>
    <w:rsid w:val="003B398B"/>
    <w:rsid w:val="003B5A75"/>
    <w:rsid w:val="003B5BD9"/>
    <w:rsid w:val="003B7464"/>
    <w:rsid w:val="003C1220"/>
    <w:rsid w:val="003C18C0"/>
    <w:rsid w:val="003C31D9"/>
    <w:rsid w:val="003C390A"/>
    <w:rsid w:val="003C6CCC"/>
    <w:rsid w:val="003C6E12"/>
    <w:rsid w:val="003D4DC1"/>
    <w:rsid w:val="003D6391"/>
    <w:rsid w:val="003D65FF"/>
    <w:rsid w:val="003E1B15"/>
    <w:rsid w:val="003E2D7E"/>
    <w:rsid w:val="003E6F4B"/>
    <w:rsid w:val="003F1952"/>
    <w:rsid w:val="003F1D40"/>
    <w:rsid w:val="003F4A6C"/>
    <w:rsid w:val="003F4B94"/>
    <w:rsid w:val="003F4B99"/>
    <w:rsid w:val="003F77D3"/>
    <w:rsid w:val="003F7882"/>
    <w:rsid w:val="00405904"/>
    <w:rsid w:val="00405B10"/>
    <w:rsid w:val="0041029A"/>
    <w:rsid w:val="004102DD"/>
    <w:rsid w:val="00410328"/>
    <w:rsid w:val="00410D82"/>
    <w:rsid w:val="00412D16"/>
    <w:rsid w:val="00413E32"/>
    <w:rsid w:val="00415071"/>
    <w:rsid w:val="004150F7"/>
    <w:rsid w:val="00415429"/>
    <w:rsid w:val="0042048E"/>
    <w:rsid w:val="004208ED"/>
    <w:rsid w:val="00420985"/>
    <w:rsid w:val="00420FF0"/>
    <w:rsid w:val="00423BC0"/>
    <w:rsid w:val="00423FB7"/>
    <w:rsid w:val="0043041C"/>
    <w:rsid w:val="00432FDD"/>
    <w:rsid w:val="00433D0B"/>
    <w:rsid w:val="00433E68"/>
    <w:rsid w:val="00434F22"/>
    <w:rsid w:val="004372EF"/>
    <w:rsid w:val="00437F7E"/>
    <w:rsid w:val="004404D2"/>
    <w:rsid w:val="0044051C"/>
    <w:rsid w:val="00440FDA"/>
    <w:rsid w:val="00442D7F"/>
    <w:rsid w:val="00443EBD"/>
    <w:rsid w:val="0044767A"/>
    <w:rsid w:val="00450B1C"/>
    <w:rsid w:val="00450FF4"/>
    <w:rsid w:val="00451319"/>
    <w:rsid w:val="00454807"/>
    <w:rsid w:val="0045683A"/>
    <w:rsid w:val="00456B0C"/>
    <w:rsid w:val="004603BD"/>
    <w:rsid w:val="00461328"/>
    <w:rsid w:val="004735B9"/>
    <w:rsid w:val="004741B3"/>
    <w:rsid w:val="004748E9"/>
    <w:rsid w:val="00474C66"/>
    <w:rsid w:val="0047763C"/>
    <w:rsid w:val="0048003C"/>
    <w:rsid w:val="004829F4"/>
    <w:rsid w:val="004837EA"/>
    <w:rsid w:val="00484E57"/>
    <w:rsid w:val="004869B6"/>
    <w:rsid w:val="004923B4"/>
    <w:rsid w:val="00493A1B"/>
    <w:rsid w:val="004954B8"/>
    <w:rsid w:val="00495848"/>
    <w:rsid w:val="00495C05"/>
    <w:rsid w:val="00496312"/>
    <w:rsid w:val="00497563"/>
    <w:rsid w:val="004A04BA"/>
    <w:rsid w:val="004A0564"/>
    <w:rsid w:val="004A0901"/>
    <w:rsid w:val="004A104D"/>
    <w:rsid w:val="004A17D0"/>
    <w:rsid w:val="004A3161"/>
    <w:rsid w:val="004A35DA"/>
    <w:rsid w:val="004A606B"/>
    <w:rsid w:val="004B0F16"/>
    <w:rsid w:val="004B3712"/>
    <w:rsid w:val="004B53CB"/>
    <w:rsid w:val="004B57AE"/>
    <w:rsid w:val="004B7BC6"/>
    <w:rsid w:val="004C4DDC"/>
    <w:rsid w:val="004C589C"/>
    <w:rsid w:val="004D0BEC"/>
    <w:rsid w:val="004D1033"/>
    <w:rsid w:val="004D28BA"/>
    <w:rsid w:val="004D3D9E"/>
    <w:rsid w:val="004D527E"/>
    <w:rsid w:val="004D53D5"/>
    <w:rsid w:val="004D612B"/>
    <w:rsid w:val="004E0934"/>
    <w:rsid w:val="004E0EAF"/>
    <w:rsid w:val="004E1197"/>
    <w:rsid w:val="004E1D4D"/>
    <w:rsid w:val="004E5189"/>
    <w:rsid w:val="004E5441"/>
    <w:rsid w:val="004E55BD"/>
    <w:rsid w:val="004E5EE1"/>
    <w:rsid w:val="004E6A7A"/>
    <w:rsid w:val="004F05FF"/>
    <w:rsid w:val="004F44D7"/>
    <w:rsid w:val="004F4FCA"/>
    <w:rsid w:val="004F586E"/>
    <w:rsid w:val="004F7CE7"/>
    <w:rsid w:val="0050094B"/>
    <w:rsid w:val="005018C5"/>
    <w:rsid w:val="00502A52"/>
    <w:rsid w:val="00503AD2"/>
    <w:rsid w:val="0050606D"/>
    <w:rsid w:val="0050645C"/>
    <w:rsid w:val="00507CF4"/>
    <w:rsid w:val="005103CB"/>
    <w:rsid w:val="0051230C"/>
    <w:rsid w:val="0051249A"/>
    <w:rsid w:val="00513787"/>
    <w:rsid w:val="00514CEE"/>
    <w:rsid w:val="005167A2"/>
    <w:rsid w:val="00517BD7"/>
    <w:rsid w:val="00517EB0"/>
    <w:rsid w:val="005212AA"/>
    <w:rsid w:val="00522E09"/>
    <w:rsid w:val="00526911"/>
    <w:rsid w:val="005275FF"/>
    <w:rsid w:val="00530B3D"/>
    <w:rsid w:val="005348F8"/>
    <w:rsid w:val="0053497C"/>
    <w:rsid w:val="00534FE7"/>
    <w:rsid w:val="005361C5"/>
    <w:rsid w:val="005367D8"/>
    <w:rsid w:val="0054064E"/>
    <w:rsid w:val="005409D1"/>
    <w:rsid w:val="005415B5"/>
    <w:rsid w:val="0054177B"/>
    <w:rsid w:val="00542469"/>
    <w:rsid w:val="00542B6A"/>
    <w:rsid w:val="00542CCE"/>
    <w:rsid w:val="00542E8A"/>
    <w:rsid w:val="005432F6"/>
    <w:rsid w:val="00543F46"/>
    <w:rsid w:val="00544079"/>
    <w:rsid w:val="00544915"/>
    <w:rsid w:val="00544952"/>
    <w:rsid w:val="0054646D"/>
    <w:rsid w:val="005470EC"/>
    <w:rsid w:val="00547EE9"/>
    <w:rsid w:val="0055349C"/>
    <w:rsid w:val="00553B7A"/>
    <w:rsid w:val="005540A2"/>
    <w:rsid w:val="0055463E"/>
    <w:rsid w:val="00554E34"/>
    <w:rsid w:val="00555BCE"/>
    <w:rsid w:val="0055664B"/>
    <w:rsid w:val="00557922"/>
    <w:rsid w:val="00560CD3"/>
    <w:rsid w:val="005615F4"/>
    <w:rsid w:val="00561A18"/>
    <w:rsid w:val="005623AB"/>
    <w:rsid w:val="00562B58"/>
    <w:rsid w:val="00564E1F"/>
    <w:rsid w:val="005651C8"/>
    <w:rsid w:val="00565AD2"/>
    <w:rsid w:val="00566CCE"/>
    <w:rsid w:val="0057046C"/>
    <w:rsid w:val="00570CAE"/>
    <w:rsid w:val="00571FBA"/>
    <w:rsid w:val="00572675"/>
    <w:rsid w:val="005766C5"/>
    <w:rsid w:val="005766E8"/>
    <w:rsid w:val="005771B7"/>
    <w:rsid w:val="00580EEA"/>
    <w:rsid w:val="005823FC"/>
    <w:rsid w:val="00583488"/>
    <w:rsid w:val="00586071"/>
    <w:rsid w:val="005903F9"/>
    <w:rsid w:val="0059106A"/>
    <w:rsid w:val="00593DBA"/>
    <w:rsid w:val="00593F79"/>
    <w:rsid w:val="00594FD7"/>
    <w:rsid w:val="00596130"/>
    <w:rsid w:val="005A049B"/>
    <w:rsid w:val="005A1A7E"/>
    <w:rsid w:val="005A1E70"/>
    <w:rsid w:val="005A3796"/>
    <w:rsid w:val="005A4A7F"/>
    <w:rsid w:val="005A65A5"/>
    <w:rsid w:val="005A6FCC"/>
    <w:rsid w:val="005B17A9"/>
    <w:rsid w:val="005B2E4C"/>
    <w:rsid w:val="005B2F70"/>
    <w:rsid w:val="005B37C8"/>
    <w:rsid w:val="005B793E"/>
    <w:rsid w:val="005B7C55"/>
    <w:rsid w:val="005C0750"/>
    <w:rsid w:val="005C0A8B"/>
    <w:rsid w:val="005C0ADF"/>
    <w:rsid w:val="005C23FE"/>
    <w:rsid w:val="005C3C04"/>
    <w:rsid w:val="005C4604"/>
    <w:rsid w:val="005C5FF9"/>
    <w:rsid w:val="005C604B"/>
    <w:rsid w:val="005D1721"/>
    <w:rsid w:val="005D2815"/>
    <w:rsid w:val="005D31B7"/>
    <w:rsid w:val="005D3A10"/>
    <w:rsid w:val="005D3CDE"/>
    <w:rsid w:val="005D78C3"/>
    <w:rsid w:val="005E060A"/>
    <w:rsid w:val="005E41BC"/>
    <w:rsid w:val="005E5052"/>
    <w:rsid w:val="005E5C54"/>
    <w:rsid w:val="005E5EEB"/>
    <w:rsid w:val="005E609F"/>
    <w:rsid w:val="005E674F"/>
    <w:rsid w:val="005E751F"/>
    <w:rsid w:val="005E796A"/>
    <w:rsid w:val="005F0D91"/>
    <w:rsid w:val="005F5C4F"/>
    <w:rsid w:val="005F61BA"/>
    <w:rsid w:val="005F65B5"/>
    <w:rsid w:val="005F729E"/>
    <w:rsid w:val="005F77AB"/>
    <w:rsid w:val="006006AA"/>
    <w:rsid w:val="006027ED"/>
    <w:rsid w:val="006029DB"/>
    <w:rsid w:val="006029E4"/>
    <w:rsid w:val="006048F4"/>
    <w:rsid w:val="006056FE"/>
    <w:rsid w:val="00606497"/>
    <w:rsid w:val="00606FA3"/>
    <w:rsid w:val="006115AB"/>
    <w:rsid w:val="00611DBA"/>
    <w:rsid w:val="006150CC"/>
    <w:rsid w:val="006156E9"/>
    <w:rsid w:val="006157C3"/>
    <w:rsid w:val="0061673F"/>
    <w:rsid w:val="00616DF4"/>
    <w:rsid w:val="006204E3"/>
    <w:rsid w:val="00621BC4"/>
    <w:rsid w:val="006222FF"/>
    <w:rsid w:val="006227B6"/>
    <w:rsid w:val="006275B8"/>
    <w:rsid w:val="006307B7"/>
    <w:rsid w:val="006312B9"/>
    <w:rsid w:val="00635627"/>
    <w:rsid w:val="00636BA0"/>
    <w:rsid w:val="00637491"/>
    <w:rsid w:val="0063785C"/>
    <w:rsid w:val="0064062A"/>
    <w:rsid w:val="00641105"/>
    <w:rsid w:val="0064137F"/>
    <w:rsid w:val="00641950"/>
    <w:rsid w:val="006426B2"/>
    <w:rsid w:val="006448CA"/>
    <w:rsid w:val="00645172"/>
    <w:rsid w:val="0064734C"/>
    <w:rsid w:val="00651C90"/>
    <w:rsid w:val="006528BE"/>
    <w:rsid w:val="00652E93"/>
    <w:rsid w:val="006531E6"/>
    <w:rsid w:val="0065449E"/>
    <w:rsid w:val="0065497E"/>
    <w:rsid w:val="00654BE1"/>
    <w:rsid w:val="00656684"/>
    <w:rsid w:val="00656C86"/>
    <w:rsid w:val="006573CE"/>
    <w:rsid w:val="00662CB5"/>
    <w:rsid w:val="0066302C"/>
    <w:rsid w:val="006630BD"/>
    <w:rsid w:val="006634F5"/>
    <w:rsid w:val="00664098"/>
    <w:rsid w:val="00665E07"/>
    <w:rsid w:val="00666E4F"/>
    <w:rsid w:val="00667361"/>
    <w:rsid w:val="0067013A"/>
    <w:rsid w:val="0067115B"/>
    <w:rsid w:val="00673CED"/>
    <w:rsid w:val="00673DFD"/>
    <w:rsid w:val="0067463B"/>
    <w:rsid w:val="00675E34"/>
    <w:rsid w:val="006763A1"/>
    <w:rsid w:val="00681498"/>
    <w:rsid w:val="0068299B"/>
    <w:rsid w:val="00682FCC"/>
    <w:rsid w:val="006839CE"/>
    <w:rsid w:val="006852C7"/>
    <w:rsid w:val="006865AF"/>
    <w:rsid w:val="00691823"/>
    <w:rsid w:val="00692E97"/>
    <w:rsid w:val="00693C2B"/>
    <w:rsid w:val="00694EA1"/>
    <w:rsid w:val="00695041"/>
    <w:rsid w:val="00695E52"/>
    <w:rsid w:val="00697D65"/>
    <w:rsid w:val="00697DD3"/>
    <w:rsid w:val="006A0ADC"/>
    <w:rsid w:val="006A259B"/>
    <w:rsid w:val="006A2718"/>
    <w:rsid w:val="006A34E2"/>
    <w:rsid w:val="006A4B4D"/>
    <w:rsid w:val="006B05C8"/>
    <w:rsid w:val="006B16D8"/>
    <w:rsid w:val="006B19BF"/>
    <w:rsid w:val="006B20FC"/>
    <w:rsid w:val="006B3508"/>
    <w:rsid w:val="006B7AF7"/>
    <w:rsid w:val="006C0B37"/>
    <w:rsid w:val="006C15B6"/>
    <w:rsid w:val="006C165F"/>
    <w:rsid w:val="006C192A"/>
    <w:rsid w:val="006C1CEB"/>
    <w:rsid w:val="006C3896"/>
    <w:rsid w:val="006C60EB"/>
    <w:rsid w:val="006D0908"/>
    <w:rsid w:val="006D0FD4"/>
    <w:rsid w:val="006D2C8E"/>
    <w:rsid w:val="006D2FDA"/>
    <w:rsid w:val="006D383F"/>
    <w:rsid w:val="006D3B04"/>
    <w:rsid w:val="006D7785"/>
    <w:rsid w:val="006D79E9"/>
    <w:rsid w:val="006E0704"/>
    <w:rsid w:val="006E14C6"/>
    <w:rsid w:val="006E1F79"/>
    <w:rsid w:val="006E4337"/>
    <w:rsid w:val="006E484F"/>
    <w:rsid w:val="006E4F28"/>
    <w:rsid w:val="006E549E"/>
    <w:rsid w:val="006E653D"/>
    <w:rsid w:val="006E7936"/>
    <w:rsid w:val="006E7CDB"/>
    <w:rsid w:val="006F5125"/>
    <w:rsid w:val="006F6537"/>
    <w:rsid w:val="006F6673"/>
    <w:rsid w:val="006F7615"/>
    <w:rsid w:val="00701BAC"/>
    <w:rsid w:val="00701C81"/>
    <w:rsid w:val="00702A68"/>
    <w:rsid w:val="00705245"/>
    <w:rsid w:val="00705C47"/>
    <w:rsid w:val="00706644"/>
    <w:rsid w:val="00706BC9"/>
    <w:rsid w:val="00706F80"/>
    <w:rsid w:val="00710128"/>
    <w:rsid w:val="00713A09"/>
    <w:rsid w:val="007140DF"/>
    <w:rsid w:val="007140F7"/>
    <w:rsid w:val="007225F7"/>
    <w:rsid w:val="00725AFE"/>
    <w:rsid w:val="007275EB"/>
    <w:rsid w:val="00727867"/>
    <w:rsid w:val="00731508"/>
    <w:rsid w:val="00734E06"/>
    <w:rsid w:val="00736202"/>
    <w:rsid w:val="00737AB7"/>
    <w:rsid w:val="00740190"/>
    <w:rsid w:val="007404D0"/>
    <w:rsid w:val="00740C7D"/>
    <w:rsid w:val="00741335"/>
    <w:rsid w:val="007427B0"/>
    <w:rsid w:val="00742A6D"/>
    <w:rsid w:val="00742ACF"/>
    <w:rsid w:val="0074364C"/>
    <w:rsid w:val="00743F0A"/>
    <w:rsid w:val="00744A78"/>
    <w:rsid w:val="007458DC"/>
    <w:rsid w:val="0074659E"/>
    <w:rsid w:val="00746D4E"/>
    <w:rsid w:val="00750565"/>
    <w:rsid w:val="00750FF1"/>
    <w:rsid w:val="00757CC4"/>
    <w:rsid w:val="00762F0C"/>
    <w:rsid w:val="007646E6"/>
    <w:rsid w:val="00765AA3"/>
    <w:rsid w:val="00766573"/>
    <w:rsid w:val="00767C9B"/>
    <w:rsid w:val="00770E49"/>
    <w:rsid w:val="007716D0"/>
    <w:rsid w:val="00772A02"/>
    <w:rsid w:val="0077320A"/>
    <w:rsid w:val="00773542"/>
    <w:rsid w:val="00773669"/>
    <w:rsid w:val="00773DC7"/>
    <w:rsid w:val="00774D23"/>
    <w:rsid w:val="007823A0"/>
    <w:rsid w:val="0078320A"/>
    <w:rsid w:val="007843C3"/>
    <w:rsid w:val="00786A0A"/>
    <w:rsid w:val="00786FF3"/>
    <w:rsid w:val="00787164"/>
    <w:rsid w:val="00787DA5"/>
    <w:rsid w:val="00791A2D"/>
    <w:rsid w:val="007925AD"/>
    <w:rsid w:val="00792A73"/>
    <w:rsid w:val="00793469"/>
    <w:rsid w:val="00795941"/>
    <w:rsid w:val="00796B67"/>
    <w:rsid w:val="00796C79"/>
    <w:rsid w:val="007978BE"/>
    <w:rsid w:val="00797EC5"/>
    <w:rsid w:val="007A3E66"/>
    <w:rsid w:val="007A49DE"/>
    <w:rsid w:val="007A53CB"/>
    <w:rsid w:val="007A59DE"/>
    <w:rsid w:val="007A6232"/>
    <w:rsid w:val="007A6530"/>
    <w:rsid w:val="007A73F1"/>
    <w:rsid w:val="007A7E45"/>
    <w:rsid w:val="007B1D99"/>
    <w:rsid w:val="007B4936"/>
    <w:rsid w:val="007B60A8"/>
    <w:rsid w:val="007B670D"/>
    <w:rsid w:val="007B6A59"/>
    <w:rsid w:val="007B72E7"/>
    <w:rsid w:val="007B7528"/>
    <w:rsid w:val="007B77FE"/>
    <w:rsid w:val="007B7B7B"/>
    <w:rsid w:val="007B7D89"/>
    <w:rsid w:val="007C014F"/>
    <w:rsid w:val="007C0B74"/>
    <w:rsid w:val="007C2D04"/>
    <w:rsid w:val="007C3726"/>
    <w:rsid w:val="007C5CB6"/>
    <w:rsid w:val="007C67B8"/>
    <w:rsid w:val="007D03A1"/>
    <w:rsid w:val="007D03FE"/>
    <w:rsid w:val="007D122F"/>
    <w:rsid w:val="007D1350"/>
    <w:rsid w:val="007D2335"/>
    <w:rsid w:val="007D241F"/>
    <w:rsid w:val="007D3C07"/>
    <w:rsid w:val="007D438F"/>
    <w:rsid w:val="007D55DC"/>
    <w:rsid w:val="007D5EA5"/>
    <w:rsid w:val="007E091F"/>
    <w:rsid w:val="007E0932"/>
    <w:rsid w:val="007E180A"/>
    <w:rsid w:val="007E19A1"/>
    <w:rsid w:val="007E202D"/>
    <w:rsid w:val="007E2476"/>
    <w:rsid w:val="007E2855"/>
    <w:rsid w:val="007E2E36"/>
    <w:rsid w:val="007E34B8"/>
    <w:rsid w:val="007E7E63"/>
    <w:rsid w:val="007E7F12"/>
    <w:rsid w:val="007F327B"/>
    <w:rsid w:val="007F3666"/>
    <w:rsid w:val="007F628C"/>
    <w:rsid w:val="007F6307"/>
    <w:rsid w:val="007F657C"/>
    <w:rsid w:val="007F6C60"/>
    <w:rsid w:val="007F7554"/>
    <w:rsid w:val="008005E7"/>
    <w:rsid w:val="0080108F"/>
    <w:rsid w:val="008011F3"/>
    <w:rsid w:val="00802C69"/>
    <w:rsid w:val="00804DA8"/>
    <w:rsid w:val="008054C0"/>
    <w:rsid w:val="008056A3"/>
    <w:rsid w:val="008101B5"/>
    <w:rsid w:val="00815132"/>
    <w:rsid w:val="00815906"/>
    <w:rsid w:val="00817638"/>
    <w:rsid w:val="00821B15"/>
    <w:rsid w:val="00821CBF"/>
    <w:rsid w:val="00821F02"/>
    <w:rsid w:val="00823231"/>
    <w:rsid w:val="0082480D"/>
    <w:rsid w:val="00824C3E"/>
    <w:rsid w:val="0082689D"/>
    <w:rsid w:val="00827494"/>
    <w:rsid w:val="008312D3"/>
    <w:rsid w:val="00831AFF"/>
    <w:rsid w:val="00834604"/>
    <w:rsid w:val="0083767A"/>
    <w:rsid w:val="0084022C"/>
    <w:rsid w:val="008415C1"/>
    <w:rsid w:val="00841663"/>
    <w:rsid w:val="00846B6A"/>
    <w:rsid w:val="00846C99"/>
    <w:rsid w:val="00850445"/>
    <w:rsid w:val="00850573"/>
    <w:rsid w:val="00850941"/>
    <w:rsid w:val="0085099B"/>
    <w:rsid w:val="00851785"/>
    <w:rsid w:val="00853656"/>
    <w:rsid w:val="008556E2"/>
    <w:rsid w:val="00855A48"/>
    <w:rsid w:val="008576D6"/>
    <w:rsid w:val="0086034E"/>
    <w:rsid w:val="008613C5"/>
    <w:rsid w:val="0086299C"/>
    <w:rsid w:val="0086630C"/>
    <w:rsid w:val="0086682F"/>
    <w:rsid w:val="008674D1"/>
    <w:rsid w:val="008707C3"/>
    <w:rsid w:val="008714D2"/>
    <w:rsid w:val="00874531"/>
    <w:rsid w:val="00876B0E"/>
    <w:rsid w:val="00876B66"/>
    <w:rsid w:val="00877905"/>
    <w:rsid w:val="008803BF"/>
    <w:rsid w:val="008820C4"/>
    <w:rsid w:val="00882F58"/>
    <w:rsid w:val="0088506E"/>
    <w:rsid w:val="00885F91"/>
    <w:rsid w:val="0088658C"/>
    <w:rsid w:val="0088693C"/>
    <w:rsid w:val="00887570"/>
    <w:rsid w:val="0089081A"/>
    <w:rsid w:val="00890ED1"/>
    <w:rsid w:val="00891CC8"/>
    <w:rsid w:val="00895E61"/>
    <w:rsid w:val="008968D3"/>
    <w:rsid w:val="008978C9"/>
    <w:rsid w:val="008A0723"/>
    <w:rsid w:val="008A2DA6"/>
    <w:rsid w:val="008A383A"/>
    <w:rsid w:val="008A55AF"/>
    <w:rsid w:val="008B13E0"/>
    <w:rsid w:val="008B1837"/>
    <w:rsid w:val="008B3881"/>
    <w:rsid w:val="008B5736"/>
    <w:rsid w:val="008B7A8C"/>
    <w:rsid w:val="008C1834"/>
    <w:rsid w:val="008C1D3D"/>
    <w:rsid w:val="008C3610"/>
    <w:rsid w:val="008C3F44"/>
    <w:rsid w:val="008C44FD"/>
    <w:rsid w:val="008C51DD"/>
    <w:rsid w:val="008C646B"/>
    <w:rsid w:val="008D09BC"/>
    <w:rsid w:val="008D0D3D"/>
    <w:rsid w:val="008D3E97"/>
    <w:rsid w:val="008D4408"/>
    <w:rsid w:val="008D45DC"/>
    <w:rsid w:val="008D539B"/>
    <w:rsid w:val="008D5EB3"/>
    <w:rsid w:val="008D6863"/>
    <w:rsid w:val="008E2297"/>
    <w:rsid w:val="008E2F05"/>
    <w:rsid w:val="008E6D90"/>
    <w:rsid w:val="008E7EA6"/>
    <w:rsid w:val="008F1ADD"/>
    <w:rsid w:val="008F24C8"/>
    <w:rsid w:val="008F4550"/>
    <w:rsid w:val="008F4937"/>
    <w:rsid w:val="008F49F2"/>
    <w:rsid w:val="008F5148"/>
    <w:rsid w:val="008F5EF7"/>
    <w:rsid w:val="008F6641"/>
    <w:rsid w:val="008F6E44"/>
    <w:rsid w:val="0090063C"/>
    <w:rsid w:val="009009CE"/>
    <w:rsid w:val="00900FB0"/>
    <w:rsid w:val="00902ECA"/>
    <w:rsid w:val="00904268"/>
    <w:rsid w:val="00905B19"/>
    <w:rsid w:val="0090658E"/>
    <w:rsid w:val="00907B34"/>
    <w:rsid w:val="009112AD"/>
    <w:rsid w:val="00912264"/>
    <w:rsid w:val="00912B25"/>
    <w:rsid w:val="00913A51"/>
    <w:rsid w:val="00913D02"/>
    <w:rsid w:val="00914424"/>
    <w:rsid w:val="00920394"/>
    <w:rsid w:val="00921554"/>
    <w:rsid w:val="009219C8"/>
    <w:rsid w:val="00922362"/>
    <w:rsid w:val="00922705"/>
    <w:rsid w:val="00924D4A"/>
    <w:rsid w:val="00925A68"/>
    <w:rsid w:val="00926D08"/>
    <w:rsid w:val="009279A8"/>
    <w:rsid w:val="00932A0F"/>
    <w:rsid w:val="00933211"/>
    <w:rsid w:val="009342A4"/>
    <w:rsid w:val="00935216"/>
    <w:rsid w:val="009376B9"/>
    <w:rsid w:val="00942A1D"/>
    <w:rsid w:val="0094373E"/>
    <w:rsid w:val="009459A9"/>
    <w:rsid w:val="0094679D"/>
    <w:rsid w:val="00947C65"/>
    <w:rsid w:val="00950522"/>
    <w:rsid w:val="009508C9"/>
    <w:rsid w:val="0095109B"/>
    <w:rsid w:val="00953AD0"/>
    <w:rsid w:val="009547C9"/>
    <w:rsid w:val="00956F11"/>
    <w:rsid w:val="009574D4"/>
    <w:rsid w:val="00957D02"/>
    <w:rsid w:val="00960DA7"/>
    <w:rsid w:val="0096162F"/>
    <w:rsid w:val="00963264"/>
    <w:rsid w:val="00964952"/>
    <w:rsid w:val="0096559D"/>
    <w:rsid w:val="00971A08"/>
    <w:rsid w:val="009734B0"/>
    <w:rsid w:val="009745EA"/>
    <w:rsid w:val="00975D6F"/>
    <w:rsid w:val="009766E1"/>
    <w:rsid w:val="00980AF2"/>
    <w:rsid w:val="00982F31"/>
    <w:rsid w:val="009831C2"/>
    <w:rsid w:val="00983F88"/>
    <w:rsid w:val="009859E5"/>
    <w:rsid w:val="00985D58"/>
    <w:rsid w:val="00986171"/>
    <w:rsid w:val="0098644F"/>
    <w:rsid w:val="0098733C"/>
    <w:rsid w:val="00987A80"/>
    <w:rsid w:val="00987C12"/>
    <w:rsid w:val="00990374"/>
    <w:rsid w:val="009905ED"/>
    <w:rsid w:val="0099180B"/>
    <w:rsid w:val="00991E2A"/>
    <w:rsid w:val="0099321F"/>
    <w:rsid w:val="00993A54"/>
    <w:rsid w:val="00996D12"/>
    <w:rsid w:val="009976C4"/>
    <w:rsid w:val="009A031A"/>
    <w:rsid w:val="009A0AC7"/>
    <w:rsid w:val="009A0FF5"/>
    <w:rsid w:val="009A25F2"/>
    <w:rsid w:val="009A31DC"/>
    <w:rsid w:val="009A368B"/>
    <w:rsid w:val="009A3EFE"/>
    <w:rsid w:val="009A407B"/>
    <w:rsid w:val="009A4D62"/>
    <w:rsid w:val="009A4F07"/>
    <w:rsid w:val="009A5548"/>
    <w:rsid w:val="009A60A4"/>
    <w:rsid w:val="009A641B"/>
    <w:rsid w:val="009A723B"/>
    <w:rsid w:val="009A749D"/>
    <w:rsid w:val="009B11FC"/>
    <w:rsid w:val="009B1520"/>
    <w:rsid w:val="009B543A"/>
    <w:rsid w:val="009C0470"/>
    <w:rsid w:val="009C0BC6"/>
    <w:rsid w:val="009C1FC8"/>
    <w:rsid w:val="009C4E73"/>
    <w:rsid w:val="009C52FF"/>
    <w:rsid w:val="009C74D4"/>
    <w:rsid w:val="009D015F"/>
    <w:rsid w:val="009D0812"/>
    <w:rsid w:val="009D1B9F"/>
    <w:rsid w:val="009D2CAB"/>
    <w:rsid w:val="009D2FC8"/>
    <w:rsid w:val="009D353E"/>
    <w:rsid w:val="009D36C8"/>
    <w:rsid w:val="009D4360"/>
    <w:rsid w:val="009D4C35"/>
    <w:rsid w:val="009E18EA"/>
    <w:rsid w:val="009E2317"/>
    <w:rsid w:val="009E46D2"/>
    <w:rsid w:val="009E781D"/>
    <w:rsid w:val="009E7B4E"/>
    <w:rsid w:val="009F51B7"/>
    <w:rsid w:val="009F56AF"/>
    <w:rsid w:val="009F657E"/>
    <w:rsid w:val="009F6674"/>
    <w:rsid w:val="009F7934"/>
    <w:rsid w:val="00A01B99"/>
    <w:rsid w:val="00A01D19"/>
    <w:rsid w:val="00A02624"/>
    <w:rsid w:val="00A03B97"/>
    <w:rsid w:val="00A067DC"/>
    <w:rsid w:val="00A07FF7"/>
    <w:rsid w:val="00A1403C"/>
    <w:rsid w:val="00A156D1"/>
    <w:rsid w:val="00A165B3"/>
    <w:rsid w:val="00A20616"/>
    <w:rsid w:val="00A2206E"/>
    <w:rsid w:val="00A22F46"/>
    <w:rsid w:val="00A232D5"/>
    <w:rsid w:val="00A235B3"/>
    <w:rsid w:val="00A237ED"/>
    <w:rsid w:val="00A2525F"/>
    <w:rsid w:val="00A25899"/>
    <w:rsid w:val="00A272CD"/>
    <w:rsid w:val="00A30B18"/>
    <w:rsid w:val="00A343D0"/>
    <w:rsid w:val="00A36A1C"/>
    <w:rsid w:val="00A377E7"/>
    <w:rsid w:val="00A40110"/>
    <w:rsid w:val="00A40912"/>
    <w:rsid w:val="00A43C23"/>
    <w:rsid w:val="00A45AC4"/>
    <w:rsid w:val="00A5152A"/>
    <w:rsid w:val="00A52BA6"/>
    <w:rsid w:val="00A530BB"/>
    <w:rsid w:val="00A530FF"/>
    <w:rsid w:val="00A546AA"/>
    <w:rsid w:val="00A573D5"/>
    <w:rsid w:val="00A60C67"/>
    <w:rsid w:val="00A620FA"/>
    <w:rsid w:val="00A6293D"/>
    <w:rsid w:val="00A638CC"/>
    <w:rsid w:val="00A64961"/>
    <w:rsid w:val="00A64B74"/>
    <w:rsid w:val="00A65633"/>
    <w:rsid w:val="00A65D00"/>
    <w:rsid w:val="00A65D8F"/>
    <w:rsid w:val="00A66CA5"/>
    <w:rsid w:val="00A6725B"/>
    <w:rsid w:val="00A708B7"/>
    <w:rsid w:val="00A716EF"/>
    <w:rsid w:val="00A7207A"/>
    <w:rsid w:val="00A74152"/>
    <w:rsid w:val="00A74E44"/>
    <w:rsid w:val="00A7733C"/>
    <w:rsid w:val="00A77C11"/>
    <w:rsid w:val="00A80BBD"/>
    <w:rsid w:val="00A83F9F"/>
    <w:rsid w:val="00A8414A"/>
    <w:rsid w:val="00A841AB"/>
    <w:rsid w:val="00A8446B"/>
    <w:rsid w:val="00A84558"/>
    <w:rsid w:val="00A851FA"/>
    <w:rsid w:val="00A8679A"/>
    <w:rsid w:val="00A86D92"/>
    <w:rsid w:val="00A86E3B"/>
    <w:rsid w:val="00A9225D"/>
    <w:rsid w:val="00A92C1F"/>
    <w:rsid w:val="00A94DAC"/>
    <w:rsid w:val="00A97692"/>
    <w:rsid w:val="00AA362D"/>
    <w:rsid w:val="00AA41EE"/>
    <w:rsid w:val="00AA5AE2"/>
    <w:rsid w:val="00AA7365"/>
    <w:rsid w:val="00AB0D80"/>
    <w:rsid w:val="00AB21F6"/>
    <w:rsid w:val="00AB2988"/>
    <w:rsid w:val="00AB5A0A"/>
    <w:rsid w:val="00AB5A47"/>
    <w:rsid w:val="00AB5EEF"/>
    <w:rsid w:val="00AB6435"/>
    <w:rsid w:val="00AB6F80"/>
    <w:rsid w:val="00AB704E"/>
    <w:rsid w:val="00AC018A"/>
    <w:rsid w:val="00AC025C"/>
    <w:rsid w:val="00AC0776"/>
    <w:rsid w:val="00AC0921"/>
    <w:rsid w:val="00AC36E6"/>
    <w:rsid w:val="00AC40ED"/>
    <w:rsid w:val="00AC5A30"/>
    <w:rsid w:val="00AC75C4"/>
    <w:rsid w:val="00AC788E"/>
    <w:rsid w:val="00AC7CBE"/>
    <w:rsid w:val="00AD41CC"/>
    <w:rsid w:val="00AD4229"/>
    <w:rsid w:val="00AD4E72"/>
    <w:rsid w:val="00AD5E77"/>
    <w:rsid w:val="00AD704F"/>
    <w:rsid w:val="00AD75D4"/>
    <w:rsid w:val="00AD7C4A"/>
    <w:rsid w:val="00AE07F6"/>
    <w:rsid w:val="00AE18B6"/>
    <w:rsid w:val="00AE259E"/>
    <w:rsid w:val="00AE3633"/>
    <w:rsid w:val="00AE53E0"/>
    <w:rsid w:val="00AE54AE"/>
    <w:rsid w:val="00AE5C17"/>
    <w:rsid w:val="00AE666A"/>
    <w:rsid w:val="00AE7A96"/>
    <w:rsid w:val="00AE7C6E"/>
    <w:rsid w:val="00AF0BFA"/>
    <w:rsid w:val="00AF0C1C"/>
    <w:rsid w:val="00AF3F11"/>
    <w:rsid w:val="00AF4A0D"/>
    <w:rsid w:val="00AF5451"/>
    <w:rsid w:val="00AF5C6A"/>
    <w:rsid w:val="00AF69C8"/>
    <w:rsid w:val="00AF6AF1"/>
    <w:rsid w:val="00AF7FCD"/>
    <w:rsid w:val="00B0105F"/>
    <w:rsid w:val="00B01A5D"/>
    <w:rsid w:val="00B01BBB"/>
    <w:rsid w:val="00B01D7B"/>
    <w:rsid w:val="00B02651"/>
    <w:rsid w:val="00B03AB9"/>
    <w:rsid w:val="00B05235"/>
    <w:rsid w:val="00B0560A"/>
    <w:rsid w:val="00B07152"/>
    <w:rsid w:val="00B07482"/>
    <w:rsid w:val="00B10309"/>
    <w:rsid w:val="00B10963"/>
    <w:rsid w:val="00B12797"/>
    <w:rsid w:val="00B12E0A"/>
    <w:rsid w:val="00B12EA6"/>
    <w:rsid w:val="00B1378C"/>
    <w:rsid w:val="00B1601F"/>
    <w:rsid w:val="00B16201"/>
    <w:rsid w:val="00B17600"/>
    <w:rsid w:val="00B21945"/>
    <w:rsid w:val="00B21D92"/>
    <w:rsid w:val="00B22903"/>
    <w:rsid w:val="00B22F3F"/>
    <w:rsid w:val="00B238EA"/>
    <w:rsid w:val="00B26519"/>
    <w:rsid w:val="00B278EE"/>
    <w:rsid w:val="00B305A1"/>
    <w:rsid w:val="00B31F38"/>
    <w:rsid w:val="00B32464"/>
    <w:rsid w:val="00B34D2D"/>
    <w:rsid w:val="00B37013"/>
    <w:rsid w:val="00B379EA"/>
    <w:rsid w:val="00B40BB0"/>
    <w:rsid w:val="00B41444"/>
    <w:rsid w:val="00B42E1C"/>
    <w:rsid w:val="00B43CEE"/>
    <w:rsid w:val="00B47256"/>
    <w:rsid w:val="00B47358"/>
    <w:rsid w:val="00B50D36"/>
    <w:rsid w:val="00B5106F"/>
    <w:rsid w:val="00B5177C"/>
    <w:rsid w:val="00B540D1"/>
    <w:rsid w:val="00B561CD"/>
    <w:rsid w:val="00B57DD9"/>
    <w:rsid w:val="00B6011A"/>
    <w:rsid w:val="00B60B09"/>
    <w:rsid w:val="00B61847"/>
    <w:rsid w:val="00B64A95"/>
    <w:rsid w:val="00B6730C"/>
    <w:rsid w:val="00B67C7E"/>
    <w:rsid w:val="00B70308"/>
    <w:rsid w:val="00B71F15"/>
    <w:rsid w:val="00B72738"/>
    <w:rsid w:val="00B7469D"/>
    <w:rsid w:val="00B74B36"/>
    <w:rsid w:val="00B75C75"/>
    <w:rsid w:val="00B801FD"/>
    <w:rsid w:val="00B831B7"/>
    <w:rsid w:val="00B879E3"/>
    <w:rsid w:val="00B916A5"/>
    <w:rsid w:val="00B917A5"/>
    <w:rsid w:val="00B91FD9"/>
    <w:rsid w:val="00B92078"/>
    <w:rsid w:val="00B92D3E"/>
    <w:rsid w:val="00B94853"/>
    <w:rsid w:val="00B97C90"/>
    <w:rsid w:val="00BA02B9"/>
    <w:rsid w:val="00BA1537"/>
    <w:rsid w:val="00BA1CB1"/>
    <w:rsid w:val="00BA27E4"/>
    <w:rsid w:val="00BA36E3"/>
    <w:rsid w:val="00BA3715"/>
    <w:rsid w:val="00BA5033"/>
    <w:rsid w:val="00BA51D3"/>
    <w:rsid w:val="00BA5ACF"/>
    <w:rsid w:val="00BA5B7E"/>
    <w:rsid w:val="00BA619C"/>
    <w:rsid w:val="00BA6BE6"/>
    <w:rsid w:val="00BA6EEC"/>
    <w:rsid w:val="00BA7F74"/>
    <w:rsid w:val="00BB0C65"/>
    <w:rsid w:val="00BB1257"/>
    <w:rsid w:val="00BB12A7"/>
    <w:rsid w:val="00BB183B"/>
    <w:rsid w:val="00BB1912"/>
    <w:rsid w:val="00BB271B"/>
    <w:rsid w:val="00BB5A80"/>
    <w:rsid w:val="00BC3C01"/>
    <w:rsid w:val="00BC494E"/>
    <w:rsid w:val="00BC4DC0"/>
    <w:rsid w:val="00BC5658"/>
    <w:rsid w:val="00BC6428"/>
    <w:rsid w:val="00BC66BC"/>
    <w:rsid w:val="00BC6B1A"/>
    <w:rsid w:val="00BC76D4"/>
    <w:rsid w:val="00BD18AD"/>
    <w:rsid w:val="00BD19FD"/>
    <w:rsid w:val="00BD27A7"/>
    <w:rsid w:val="00BD468E"/>
    <w:rsid w:val="00BD4AB1"/>
    <w:rsid w:val="00BD53C5"/>
    <w:rsid w:val="00BD61FF"/>
    <w:rsid w:val="00BD62BA"/>
    <w:rsid w:val="00BD6972"/>
    <w:rsid w:val="00BD6D27"/>
    <w:rsid w:val="00BD6DDA"/>
    <w:rsid w:val="00BD76AD"/>
    <w:rsid w:val="00BE043C"/>
    <w:rsid w:val="00BE08E3"/>
    <w:rsid w:val="00BE20F7"/>
    <w:rsid w:val="00BE4B14"/>
    <w:rsid w:val="00BE5434"/>
    <w:rsid w:val="00BE584A"/>
    <w:rsid w:val="00BE5C21"/>
    <w:rsid w:val="00BE6609"/>
    <w:rsid w:val="00BE7016"/>
    <w:rsid w:val="00BE7207"/>
    <w:rsid w:val="00BF0115"/>
    <w:rsid w:val="00BF08B7"/>
    <w:rsid w:val="00BF25B4"/>
    <w:rsid w:val="00BF4DA6"/>
    <w:rsid w:val="00BF5E1B"/>
    <w:rsid w:val="00BF6694"/>
    <w:rsid w:val="00BF7A00"/>
    <w:rsid w:val="00C01E34"/>
    <w:rsid w:val="00C027EE"/>
    <w:rsid w:val="00C02BED"/>
    <w:rsid w:val="00C06FA9"/>
    <w:rsid w:val="00C07A73"/>
    <w:rsid w:val="00C10AF4"/>
    <w:rsid w:val="00C115AB"/>
    <w:rsid w:val="00C14AAC"/>
    <w:rsid w:val="00C154D8"/>
    <w:rsid w:val="00C167E6"/>
    <w:rsid w:val="00C1763F"/>
    <w:rsid w:val="00C20646"/>
    <w:rsid w:val="00C2089E"/>
    <w:rsid w:val="00C223C0"/>
    <w:rsid w:val="00C23C44"/>
    <w:rsid w:val="00C31C3D"/>
    <w:rsid w:val="00C32231"/>
    <w:rsid w:val="00C328C0"/>
    <w:rsid w:val="00C32967"/>
    <w:rsid w:val="00C3421E"/>
    <w:rsid w:val="00C347B6"/>
    <w:rsid w:val="00C3654E"/>
    <w:rsid w:val="00C40DBF"/>
    <w:rsid w:val="00C41DC2"/>
    <w:rsid w:val="00C42516"/>
    <w:rsid w:val="00C43276"/>
    <w:rsid w:val="00C44615"/>
    <w:rsid w:val="00C45C3C"/>
    <w:rsid w:val="00C521FD"/>
    <w:rsid w:val="00C526F1"/>
    <w:rsid w:val="00C53547"/>
    <w:rsid w:val="00C5373A"/>
    <w:rsid w:val="00C5401F"/>
    <w:rsid w:val="00C550B3"/>
    <w:rsid w:val="00C55219"/>
    <w:rsid w:val="00C57B36"/>
    <w:rsid w:val="00C57D12"/>
    <w:rsid w:val="00C61559"/>
    <w:rsid w:val="00C6177A"/>
    <w:rsid w:val="00C6266D"/>
    <w:rsid w:val="00C63577"/>
    <w:rsid w:val="00C6428C"/>
    <w:rsid w:val="00C6473D"/>
    <w:rsid w:val="00C64921"/>
    <w:rsid w:val="00C64A1F"/>
    <w:rsid w:val="00C6525D"/>
    <w:rsid w:val="00C66A1B"/>
    <w:rsid w:val="00C67B64"/>
    <w:rsid w:val="00C70E9A"/>
    <w:rsid w:val="00C71785"/>
    <w:rsid w:val="00C7230E"/>
    <w:rsid w:val="00C72DE6"/>
    <w:rsid w:val="00C732AB"/>
    <w:rsid w:val="00C75A9C"/>
    <w:rsid w:val="00C77B17"/>
    <w:rsid w:val="00C80CEF"/>
    <w:rsid w:val="00C823FC"/>
    <w:rsid w:val="00C85117"/>
    <w:rsid w:val="00C856CB"/>
    <w:rsid w:val="00C86F4A"/>
    <w:rsid w:val="00C87595"/>
    <w:rsid w:val="00C87597"/>
    <w:rsid w:val="00C876B0"/>
    <w:rsid w:val="00C87863"/>
    <w:rsid w:val="00C90E5F"/>
    <w:rsid w:val="00C93B48"/>
    <w:rsid w:val="00C93E2A"/>
    <w:rsid w:val="00C93E58"/>
    <w:rsid w:val="00C95616"/>
    <w:rsid w:val="00C95655"/>
    <w:rsid w:val="00C962D1"/>
    <w:rsid w:val="00C96F4B"/>
    <w:rsid w:val="00C97794"/>
    <w:rsid w:val="00C9784F"/>
    <w:rsid w:val="00CA05D7"/>
    <w:rsid w:val="00CA05EE"/>
    <w:rsid w:val="00CA0CC4"/>
    <w:rsid w:val="00CA10CB"/>
    <w:rsid w:val="00CA313D"/>
    <w:rsid w:val="00CA7376"/>
    <w:rsid w:val="00CB18AE"/>
    <w:rsid w:val="00CB1B3B"/>
    <w:rsid w:val="00CB260C"/>
    <w:rsid w:val="00CB27D2"/>
    <w:rsid w:val="00CB2D98"/>
    <w:rsid w:val="00CB3248"/>
    <w:rsid w:val="00CB43B6"/>
    <w:rsid w:val="00CB4F68"/>
    <w:rsid w:val="00CB6501"/>
    <w:rsid w:val="00CB6650"/>
    <w:rsid w:val="00CB793D"/>
    <w:rsid w:val="00CC0F71"/>
    <w:rsid w:val="00CC2ECE"/>
    <w:rsid w:val="00CC37BA"/>
    <w:rsid w:val="00CC3D62"/>
    <w:rsid w:val="00CC3E8C"/>
    <w:rsid w:val="00CC520C"/>
    <w:rsid w:val="00CC56C5"/>
    <w:rsid w:val="00CC5FC0"/>
    <w:rsid w:val="00CC5FD9"/>
    <w:rsid w:val="00CC61A5"/>
    <w:rsid w:val="00CC6200"/>
    <w:rsid w:val="00CC6F1E"/>
    <w:rsid w:val="00CC7B20"/>
    <w:rsid w:val="00CD04FC"/>
    <w:rsid w:val="00CD06D9"/>
    <w:rsid w:val="00CD29A6"/>
    <w:rsid w:val="00CD4622"/>
    <w:rsid w:val="00CD5F17"/>
    <w:rsid w:val="00CD7C85"/>
    <w:rsid w:val="00CE15A9"/>
    <w:rsid w:val="00CE1DEA"/>
    <w:rsid w:val="00CE3231"/>
    <w:rsid w:val="00CE3481"/>
    <w:rsid w:val="00CE4FE8"/>
    <w:rsid w:val="00CE50EE"/>
    <w:rsid w:val="00CE5310"/>
    <w:rsid w:val="00CE7BFD"/>
    <w:rsid w:val="00CF005E"/>
    <w:rsid w:val="00CF12D0"/>
    <w:rsid w:val="00CF1EE5"/>
    <w:rsid w:val="00CF3069"/>
    <w:rsid w:val="00CF45F2"/>
    <w:rsid w:val="00CF5944"/>
    <w:rsid w:val="00CF5965"/>
    <w:rsid w:val="00CF672F"/>
    <w:rsid w:val="00D0090F"/>
    <w:rsid w:val="00D01B90"/>
    <w:rsid w:val="00D02BE0"/>
    <w:rsid w:val="00D05CD8"/>
    <w:rsid w:val="00D064F5"/>
    <w:rsid w:val="00D06ACA"/>
    <w:rsid w:val="00D10BE6"/>
    <w:rsid w:val="00D11150"/>
    <w:rsid w:val="00D11BF6"/>
    <w:rsid w:val="00D1227B"/>
    <w:rsid w:val="00D12B52"/>
    <w:rsid w:val="00D13BE0"/>
    <w:rsid w:val="00D15A31"/>
    <w:rsid w:val="00D16CF9"/>
    <w:rsid w:val="00D20A06"/>
    <w:rsid w:val="00D20A91"/>
    <w:rsid w:val="00D20B23"/>
    <w:rsid w:val="00D20D52"/>
    <w:rsid w:val="00D21E4E"/>
    <w:rsid w:val="00D22AFF"/>
    <w:rsid w:val="00D23887"/>
    <w:rsid w:val="00D23C95"/>
    <w:rsid w:val="00D24F61"/>
    <w:rsid w:val="00D303F3"/>
    <w:rsid w:val="00D3628C"/>
    <w:rsid w:val="00D36B81"/>
    <w:rsid w:val="00D379FA"/>
    <w:rsid w:val="00D4027F"/>
    <w:rsid w:val="00D407D6"/>
    <w:rsid w:val="00D40E20"/>
    <w:rsid w:val="00D41879"/>
    <w:rsid w:val="00D41ED5"/>
    <w:rsid w:val="00D423E0"/>
    <w:rsid w:val="00D44152"/>
    <w:rsid w:val="00D441BE"/>
    <w:rsid w:val="00D442FC"/>
    <w:rsid w:val="00D444AC"/>
    <w:rsid w:val="00D464E5"/>
    <w:rsid w:val="00D51AB0"/>
    <w:rsid w:val="00D5256D"/>
    <w:rsid w:val="00D527A6"/>
    <w:rsid w:val="00D542E6"/>
    <w:rsid w:val="00D54EA6"/>
    <w:rsid w:val="00D55518"/>
    <w:rsid w:val="00D55A3B"/>
    <w:rsid w:val="00D561CD"/>
    <w:rsid w:val="00D56CA6"/>
    <w:rsid w:val="00D5729E"/>
    <w:rsid w:val="00D5797D"/>
    <w:rsid w:val="00D628E2"/>
    <w:rsid w:val="00D63685"/>
    <w:rsid w:val="00D673AF"/>
    <w:rsid w:val="00D675A4"/>
    <w:rsid w:val="00D7179F"/>
    <w:rsid w:val="00D717FC"/>
    <w:rsid w:val="00D718D3"/>
    <w:rsid w:val="00D724E8"/>
    <w:rsid w:val="00D728F5"/>
    <w:rsid w:val="00D736C3"/>
    <w:rsid w:val="00D7417B"/>
    <w:rsid w:val="00D7648C"/>
    <w:rsid w:val="00D7682B"/>
    <w:rsid w:val="00D77499"/>
    <w:rsid w:val="00D77DE6"/>
    <w:rsid w:val="00D80C48"/>
    <w:rsid w:val="00D815DE"/>
    <w:rsid w:val="00D81966"/>
    <w:rsid w:val="00D83FEF"/>
    <w:rsid w:val="00D850E0"/>
    <w:rsid w:val="00D8593D"/>
    <w:rsid w:val="00D870DD"/>
    <w:rsid w:val="00D87225"/>
    <w:rsid w:val="00D919AD"/>
    <w:rsid w:val="00D91A4A"/>
    <w:rsid w:val="00D938BD"/>
    <w:rsid w:val="00DA220F"/>
    <w:rsid w:val="00DA3787"/>
    <w:rsid w:val="00DA64E0"/>
    <w:rsid w:val="00DA66DE"/>
    <w:rsid w:val="00DB32F9"/>
    <w:rsid w:val="00DB3767"/>
    <w:rsid w:val="00DB4FBA"/>
    <w:rsid w:val="00DB5EDA"/>
    <w:rsid w:val="00DB6D68"/>
    <w:rsid w:val="00DC006E"/>
    <w:rsid w:val="00DC0DE3"/>
    <w:rsid w:val="00DC6511"/>
    <w:rsid w:val="00DC6D57"/>
    <w:rsid w:val="00DC75FC"/>
    <w:rsid w:val="00DC76A7"/>
    <w:rsid w:val="00DC76E2"/>
    <w:rsid w:val="00DD0FFF"/>
    <w:rsid w:val="00DD3D7E"/>
    <w:rsid w:val="00DD497C"/>
    <w:rsid w:val="00DD53C9"/>
    <w:rsid w:val="00DD7788"/>
    <w:rsid w:val="00DD7F9B"/>
    <w:rsid w:val="00DE0F52"/>
    <w:rsid w:val="00DE27EB"/>
    <w:rsid w:val="00DE33D3"/>
    <w:rsid w:val="00DE3C09"/>
    <w:rsid w:val="00DE3E39"/>
    <w:rsid w:val="00DE4F9E"/>
    <w:rsid w:val="00DE682B"/>
    <w:rsid w:val="00DE772C"/>
    <w:rsid w:val="00DE7B4B"/>
    <w:rsid w:val="00DF16A1"/>
    <w:rsid w:val="00DF2154"/>
    <w:rsid w:val="00DF219F"/>
    <w:rsid w:val="00DF248A"/>
    <w:rsid w:val="00DF325E"/>
    <w:rsid w:val="00DF3BA6"/>
    <w:rsid w:val="00DF50F4"/>
    <w:rsid w:val="00DF5FA6"/>
    <w:rsid w:val="00E018E3"/>
    <w:rsid w:val="00E0320E"/>
    <w:rsid w:val="00E03C22"/>
    <w:rsid w:val="00E03D28"/>
    <w:rsid w:val="00E07932"/>
    <w:rsid w:val="00E07944"/>
    <w:rsid w:val="00E07EEE"/>
    <w:rsid w:val="00E10883"/>
    <w:rsid w:val="00E13D84"/>
    <w:rsid w:val="00E13F7C"/>
    <w:rsid w:val="00E1422B"/>
    <w:rsid w:val="00E158CF"/>
    <w:rsid w:val="00E16245"/>
    <w:rsid w:val="00E16822"/>
    <w:rsid w:val="00E177C1"/>
    <w:rsid w:val="00E21522"/>
    <w:rsid w:val="00E238C3"/>
    <w:rsid w:val="00E24983"/>
    <w:rsid w:val="00E24CE5"/>
    <w:rsid w:val="00E252C4"/>
    <w:rsid w:val="00E254A8"/>
    <w:rsid w:val="00E26CF0"/>
    <w:rsid w:val="00E273C7"/>
    <w:rsid w:val="00E27B3A"/>
    <w:rsid w:val="00E30110"/>
    <w:rsid w:val="00E30E07"/>
    <w:rsid w:val="00E31EB5"/>
    <w:rsid w:val="00E32D36"/>
    <w:rsid w:val="00E3415F"/>
    <w:rsid w:val="00E35232"/>
    <w:rsid w:val="00E403B1"/>
    <w:rsid w:val="00E4154A"/>
    <w:rsid w:val="00E42CD3"/>
    <w:rsid w:val="00E42D8B"/>
    <w:rsid w:val="00E439CD"/>
    <w:rsid w:val="00E449DD"/>
    <w:rsid w:val="00E44D5E"/>
    <w:rsid w:val="00E4642C"/>
    <w:rsid w:val="00E46513"/>
    <w:rsid w:val="00E50348"/>
    <w:rsid w:val="00E53ECD"/>
    <w:rsid w:val="00E54F07"/>
    <w:rsid w:val="00E55D33"/>
    <w:rsid w:val="00E5735F"/>
    <w:rsid w:val="00E612BB"/>
    <w:rsid w:val="00E64E64"/>
    <w:rsid w:val="00E65814"/>
    <w:rsid w:val="00E6589A"/>
    <w:rsid w:val="00E65D17"/>
    <w:rsid w:val="00E65E6C"/>
    <w:rsid w:val="00E66113"/>
    <w:rsid w:val="00E72C79"/>
    <w:rsid w:val="00E80508"/>
    <w:rsid w:val="00E8090A"/>
    <w:rsid w:val="00E81D28"/>
    <w:rsid w:val="00E82692"/>
    <w:rsid w:val="00E82B4F"/>
    <w:rsid w:val="00E844DB"/>
    <w:rsid w:val="00E84630"/>
    <w:rsid w:val="00E86729"/>
    <w:rsid w:val="00E86800"/>
    <w:rsid w:val="00E87201"/>
    <w:rsid w:val="00E9185E"/>
    <w:rsid w:val="00E91996"/>
    <w:rsid w:val="00E92387"/>
    <w:rsid w:val="00E92828"/>
    <w:rsid w:val="00E95484"/>
    <w:rsid w:val="00E96049"/>
    <w:rsid w:val="00EA2D7B"/>
    <w:rsid w:val="00EA4989"/>
    <w:rsid w:val="00EA546E"/>
    <w:rsid w:val="00EA5AA1"/>
    <w:rsid w:val="00EA6C28"/>
    <w:rsid w:val="00EB10F0"/>
    <w:rsid w:val="00EB6910"/>
    <w:rsid w:val="00EB7F96"/>
    <w:rsid w:val="00EC0186"/>
    <w:rsid w:val="00EC1B98"/>
    <w:rsid w:val="00EC2381"/>
    <w:rsid w:val="00EC3090"/>
    <w:rsid w:val="00EC3BAB"/>
    <w:rsid w:val="00EC5747"/>
    <w:rsid w:val="00EC5F93"/>
    <w:rsid w:val="00EC6694"/>
    <w:rsid w:val="00ED01B9"/>
    <w:rsid w:val="00ED0230"/>
    <w:rsid w:val="00ED11CC"/>
    <w:rsid w:val="00ED1D5B"/>
    <w:rsid w:val="00ED28D7"/>
    <w:rsid w:val="00ED3997"/>
    <w:rsid w:val="00ED434C"/>
    <w:rsid w:val="00ED524D"/>
    <w:rsid w:val="00ED6021"/>
    <w:rsid w:val="00EE016A"/>
    <w:rsid w:val="00EE0905"/>
    <w:rsid w:val="00EE091C"/>
    <w:rsid w:val="00EE0F54"/>
    <w:rsid w:val="00EE2920"/>
    <w:rsid w:val="00EE32E4"/>
    <w:rsid w:val="00EE59D9"/>
    <w:rsid w:val="00EE6807"/>
    <w:rsid w:val="00EE7B05"/>
    <w:rsid w:val="00EF07FE"/>
    <w:rsid w:val="00EF1AD8"/>
    <w:rsid w:val="00EF1C0C"/>
    <w:rsid w:val="00EF1F40"/>
    <w:rsid w:val="00EF3EBA"/>
    <w:rsid w:val="00EF46F2"/>
    <w:rsid w:val="00EF5182"/>
    <w:rsid w:val="00EF638E"/>
    <w:rsid w:val="00EF668E"/>
    <w:rsid w:val="00EF669D"/>
    <w:rsid w:val="00EF691C"/>
    <w:rsid w:val="00EF74B7"/>
    <w:rsid w:val="00EF7BFD"/>
    <w:rsid w:val="00EF7C2D"/>
    <w:rsid w:val="00F01B0C"/>
    <w:rsid w:val="00F02D43"/>
    <w:rsid w:val="00F02F3B"/>
    <w:rsid w:val="00F03559"/>
    <w:rsid w:val="00F03A92"/>
    <w:rsid w:val="00F058CB"/>
    <w:rsid w:val="00F05E32"/>
    <w:rsid w:val="00F067EC"/>
    <w:rsid w:val="00F118E2"/>
    <w:rsid w:val="00F14E9D"/>
    <w:rsid w:val="00F1629A"/>
    <w:rsid w:val="00F16F87"/>
    <w:rsid w:val="00F174AD"/>
    <w:rsid w:val="00F205EE"/>
    <w:rsid w:val="00F2062A"/>
    <w:rsid w:val="00F21148"/>
    <w:rsid w:val="00F2338F"/>
    <w:rsid w:val="00F23DAF"/>
    <w:rsid w:val="00F24E3B"/>
    <w:rsid w:val="00F26862"/>
    <w:rsid w:val="00F273D8"/>
    <w:rsid w:val="00F278B7"/>
    <w:rsid w:val="00F30102"/>
    <w:rsid w:val="00F307A0"/>
    <w:rsid w:val="00F324DD"/>
    <w:rsid w:val="00F35CE7"/>
    <w:rsid w:val="00F36B43"/>
    <w:rsid w:val="00F42080"/>
    <w:rsid w:val="00F42C38"/>
    <w:rsid w:val="00F43673"/>
    <w:rsid w:val="00F44D72"/>
    <w:rsid w:val="00F45039"/>
    <w:rsid w:val="00F45057"/>
    <w:rsid w:val="00F5064B"/>
    <w:rsid w:val="00F5104A"/>
    <w:rsid w:val="00F510F4"/>
    <w:rsid w:val="00F51D93"/>
    <w:rsid w:val="00F53320"/>
    <w:rsid w:val="00F546CC"/>
    <w:rsid w:val="00F5489E"/>
    <w:rsid w:val="00F5557F"/>
    <w:rsid w:val="00F55760"/>
    <w:rsid w:val="00F55BCC"/>
    <w:rsid w:val="00F55D21"/>
    <w:rsid w:val="00F56E84"/>
    <w:rsid w:val="00F60E00"/>
    <w:rsid w:val="00F67B7A"/>
    <w:rsid w:val="00F708C8"/>
    <w:rsid w:val="00F70E86"/>
    <w:rsid w:val="00F75332"/>
    <w:rsid w:val="00F764E1"/>
    <w:rsid w:val="00F7752E"/>
    <w:rsid w:val="00F802BC"/>
    <w:rsid w:val="00F8116F"/>
    <w:rsid w:val="00F81ED1"/>
    <w:rsid w:val="00F848C2"/>
    <w:rsid w:val="00F85513"/>
    <w:rsid w:val="00F85A50"/>
    <w:rsid w:val="00F86176"/>
    <w:rsid w:val="00F86BBF"/>
    <w:rsid w:val="00F90650"/>
    <w:rsid w:val="00F90705"/>
    <w:rsid w:val="00F90DAF"/>
    <w:rsid w:val="00F921B2"/>
    <w:rsid w:val="00F94E9A"/>
    <w:rsid w:val="00F9634F"/>
    <w:rsid w:val="00F968D1"/>
    <w:rsid w:val="00FA23E4"/>
    <w:rsid w:val="00FB0767"/>
    <w:rsid w:val="00FB1A84"/>
    <w:rsid w:val="00FB361C"/>
    <w:rsid w:val="00FB3E56"/>
    <w:rsid w:val="00FB40DA"/>
    <w:rsid w:val="00FB433A"/>
    <w:rsid w:val="00FB64BE"/>
    <w:rsid w:val="00FC06C7"/>
    <w:rsid w:val="00FC2E69"/>
    <w:rsid w:val="00FC32C3"/>
    <w:rsid w:val="00FC33D2"/>
    <w:rsid w:val="00FC33E5"/>
    <w:rsid w:val="00FC5412"/>
    <w:rsid w:val="00FC617F"/>
    <w:rsid w:val="00FC6D89"/>
    <w:rsid w:val="00FD0954"/>
    <w:rsid w:val="00FD2B46"/>
    <w:rsid w:val="00FD343F"/>
    <w:rsid w:val="00FE02F8"/>
    <w:rsid w:val="00FE39DF"/>
    <w:rsid w:val="00FE3E12"/>
    <w:rsid w:val="00FE4B59"/>
    <w:rsid w:val="00FE5C7A"/>
    <w:rsid w:val="00FE6226"/>
    <w:rsid w:val="00FE754D"/>
    <w:rsid w:val="00FF0F48"/>
    <w:rsid w:val="00FF12DC"/>
    <w:rsid w:val="00FF1BA8"/>
    <w:rsid w:val="00FF2012"/>
    <w:rsid w:val="00FF2CA0"/>
    <w:rsid w:val="00FF3CF2"/>
    <w:rsid w:val="00FF3FCE"/>
    <w:rsid w:val="00FF63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013"/>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paragraph" w:customStyle="1" w:styleId="Bodycopytab3">
    <w:name w:val="Body copy_tab +3"/>
    <w:uiPriority w:val="99"/>
    <w:rsid w:val="00054C75"/>
    <w:pPr>
      <w:tabs>
        <w:tab w:val="left" w:pos="170"/>
        <w:tab w:val="left" w:pos="340"/>
      </w:tabs>
      <w:spacing w:after="170" w:line="270" w:lineRule="exact"/>
      <w:ind w:left="170" w:hanging="171"/>
    </w:pPr>
    <w:rPr>
      <w:rFonts w:ascii="CorporateSBQ-Light" w:hAnsi="CorporateSBQ-Light"/>
      <w:lang w:val="en-GB"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CM14">
    <w:name w:val="CM14"/>
    <w:basedOn w:val="Normal"/>
    <w:next w:val="Normal"/>
    <w:uiPriority w:val="99"/>
    <w:rsid w:val="001D2374"/>
    <w:pPr>
      <w:autoSpaceDE w:val="0"/>
      <w:autoSpaceDN w:val="0"/>
      <w:adjustRightInd w:val="0"/>
      <w:spacing w:line="320" w:lineRule="atLeast"/>
    </w:pPr>
    <w:rPr>
      <w:rFonts w:ascii="HelveticaNeueLT Std Lt" w:hAnsi="HelveticaNeueLT Std Lt"/>
      <w:lang w:eastAsia="en-AU"/>
    </w:rPr>
  </w:style>
  <w:style w:type="paragraph" w:customStyle="1" w:styleId="CM16">
    <w:name w:val="CM16"/>
    <w:basedOn w:val="Normal"/>
    <w:next w:val="Normal"/>
    <w:uiPriority w:val="99"/>
    <w:rsid w:val="001D2374"/>
    <w:pPr>
      <w:autoSpaceDE w:val="0"/>
      <w:autoSpaceDN w:val="0"/>
      <w:adjustRightInd w:val="0"/>
    </w:pPr>
    <w:rPr>
      <w:rFonts w:ascii="HelveticaNeueLT Std Lt" w:hAnsi="HelveticaNeueLT Std Lt"/>
      <w:lang w:eastAsia="en-AU"/>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DHSReportHd3">
    <w:name w:val="DHS Report Hd 3"/>
    <w:basedOn w:val="Normal"/>
    <w:next w:val="Normal"/>
    <w:uiPriority w:val="99"/>
    <w:rsid w:val="001868BF"/>
    <w:pPr>
      <w:spacing w:before="240" w:after="90" w:line="270" w:lineRule="exact"/>
    </w:pPr>
    <w:rPr>
      <w:color w:val="739600"/>
      <w:sz w:val="23"/>
      <w:szCs w:val="20"/>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Strong">
    <w:name w:val="Strong"/>
    <w:uiPriority w:val="99"/>
    <w:qFormat/>
    <w:locked/>
    <w:rsid w:val="00251786"/>
    <w:rPr>
      <w:rFonts w:cs="Times New Roman"/>
      <w:b/>
      <w:bC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rsid w:val="00F324DD"/>
    <w:pPr>
      <w:spacing w:after="120" w:line="270" w:lineRule="exact"/>
    </w:pPr>
    <w:rPr>
      <w:rFonts w:ascii="Arial" w:hAnsi="Arial"/>
      <w:lang w:eastAsia="en-US"/>
    </w:rPr>
  </w:style>
  <w:style w:type="paragraph" w:customStyle="1" w:styleId="DHSBody12">
    <w:name w:val="DHS Body 12"/>
    <w:basedOn w:val="DHSbody"/>
    <w:qFormat/>
    <w:rsid w:val="00F324DD"/>
    <w:rPr>
      <w:sz w:val="24"/>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bodycopytable">
    <w:name w:val="DHS body copy table"/>
    <w:basedOn w:val="DHSbody"/>
    <w:qFormat/>
    <w:rsid w:val="00C20646"/>
    <w:pPr>
      <w:outlineLvl w:val="4"/>
    </w:pPr>
    <w:rPr>
      <w:sz w:val="16"/>
    </w:rPr>
  </w:style>
  <w:style w:type="paragraph" w:customStyle="1" w:styleId="NoParagraphStyle">
    <w:name w:val="[No Paragraph Style]"/>
    <w:rsid w:val="009C74D4"/>
    <w:pPr>
      <w:widowControl w:val="0"/>
      <w:autoSpaceDE w:val="0"/>
      <w:autoSpaceDN w:val="0"/>
      <w:adjustRightInd w:val="0"/>
      <w:spacing w:line="288" w:lineRule="auto"/>
      <w:textAlignment w:val="center"/>
    </w:pPr>
    <w:rPr>
      <w:rFonts w:ascii="HelveticaNeueLTStd-Md" w:hAnsi="HelveticaNeueLTStd-Md"/>
      <w:color w:val="000000"/>
      <w:sz w:val="24"/>
      <w:szCs w:val="24"/>
      <w:lang w:val="en-GB" w:eastAsia="en-U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bodycopytable"/>
    <w:qFormat/>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qFormat/>
    <w:rsid w:val="008B7A8C"/>
    <w:pPr>
      <w:framePr w:wrap="around"/>
      <w:spacing w:before="20" w:after="40" w:line="120" w:lineRule="exact"/>
      <w:ind w:left="0" w:right="0"/>
    </w:pPr>
    <w:rPr>
      <w:sz w:val="12"/>
    </w:rPr>
  </w:style>
  <w:style w:type="character" w:customStyle="1" w:styleId="Headerpagenumber">
    <w:name w:val="•Header_page number"/>
    <w:uiPriority w:val="99"/>
    <w:rsid w:val="008B7A8C"/>
    <w:rPr>
      <w:rFonts w:ascii="HelveticaNeueLTStd-Bd" w:hAnsi="HelveticaNeueLTStd-Bd"/>
      <w:b/>
      <w:color w:val="000000"/>
      <w:spacing w:val="-2"/>
      <w:w w:val="100"/>
      <w:position w:val="0"/>
      <w:sz w:val="14"/>
      <w:u w:val="none"/>
      <w:vertAlign w:val="baseline"/>
    </w:rPr>
  </w:style>
  <w:style w:type="paragraph" w:customStyle="1" w:styleId="Tablecopylargetable">
    <w:name w:val="Table copy large table"/>
    <w:basedOn w:val="Tablecopy"/>
    <w:uiPriority w:val="99"/>
    <w:rsid w:val="008B7A8C"/>
    <w:pPr>
      <w:spacing w:line="120" w:lineRule="atLeast"/>
      <w:jc w:val="right"/>
    </w:pPr>
    <w:rPr>
      <w:sz w:val="11"/>
      <w:szCs w:val="11"/>
    </w:rPr>
  </w:style>
  <w:style w:type="paragraph" w:customStyle="1" w:styleId="xl105">
    <w:name w:val="xl105"/>
    <w:basedOn w:val="Normal"/>
    <w:rsid w:val="008B7A8C"/>
    <w:pPr>
      <w:spacing w:before="100" w:beforeAutospacing="1" w:after="100" w:afterAutospacing="1"/>
    </w:pPr>
    <w:rPr>
      <w:rFonts w:cs="Arial"/>
      <w:lang w:eastAsia="en-AU"/>
    </w:rPr>
  </w:style>
  <w:style w:type="paragraph" w:customStyle="1" w:styleId="xl106">
    <w:name w:val="xl106"/>
    <w:basedOn w:val="Normal"/>
    <w:rsid w:val="008B7A8C"/>
    <w:pPr>
      <w:spacing w:before="100" w:beforeAutospacing="1" w:after="100" w:afterAutospacing="1"/>
    </w:pPr>
    <w:rPr>
      <w:rFonts w:cs="Arial"/>
      <w:sz w:val="20"/>
      <w:szCs w:val="20"/>
      <w:lang w:eastAsia="en-AU"/>
    </w:rPr>
  </w:style>
  <w:style w:type="paragraph" w:customStyle="1" w:styleId="xl108">
    <w:name w:val="xl108"/>
    <w:basedOn w:val="Normal"/>
    <w:rsid w:val="008B7A8C"/>
    <w:pPr>
      <w:spacing w:before="100" w:beforeAutospacing="1" w:after="100" w:afterAutospacing="1"/>
    </w:pPr>
    <w:rPr>
      <w:rFonts w:cs="Arial"/>
      <w:b/>
      <w:bCs/>
      <w:sz w:val="12"/>
      <w:szCs w:val="12"/>
      <w:lang w:eastAsia="en-AU"/>
    </w:rPr>
  </w:style>
  <w:style w:type="paragraph" w:customStyle="1" w:styleId="xl109">
    <w:name w:val="xl109"/>
    <w:basedOn w:val="Normal"/>
    <w:rsid w:val="008B7A8C"/>
    <w:pPr>
      <w:spacing w:before="100" w:beforeAutospacing="1" w:after="100" w:afterAutospacing="1"/>
      <w:jc w:val="right"/>
    </w:pPr>
    <w:rPr>
      <w:rFonts w:cs="Arial"/>
      <w:sz w:val="12"/>
      <w:szCs w:val="12"/>
      <w:lang w:eastAsia="en-AU"/>
    </w:rPr>
  </w:style>
  <w:style w:type="paragraph" w:customStyle="1" w:styleId="xl110">
    <w:name w:val="xl110"/>
    <w:basedOn w:val="Normal"/>
    <w:rsid w:val="008B7A8C"/>
    <w:pPr>
      <w:spacing w:before="100" w:beforeAutospacing="1" w:after="100" w:afterAutospacing="1"/>
    </w:pPr>
    <w:rPr>
      <w:rFonts w:cs="Arial"/>
      <w:sz w:val="12"/>
      <w:szCs w:val="12"/>
      <w:lang w:eastAsia="en-AU"/>
    </w:rPr>
  </w:style>
  <w:style w:type="paragraph" w:customStyle="1" w:styleId="xl111">
    <w:name w:val="xl111"/>
    <w:basedOn w:val="Normal"/>
    <w:rsid w:val="008B7A8C"/>
    <w:pPr>
      <w:spacing w:before="100" w:beforeAutospacing="1" w:after="100" w:afterAutospacing="1"/>
    </w:pPr>
    <w:rPr>
      <w:rFonts w:cs="Arial"/>
      <w:sz w:val="12"/>
      <w:szCs w:val="12"/>
      <w:lang w:eastAsia="en-AU"/>
    </w:rPr>
  </w:style>
  <w:style w:type="paragraph" w:customStyle="1" w:styleId="xl112">
    <w:name w:val="xl112"/>
    <w:basedOn w:val="Normal"/>
    <w:rsid w:val="008B7A8C"/>
    <w:pPr>
      <w:spacing w:before="100" w:beforeAutospacing="1" w:after="100" w:afterAutospacing="1"/>
    </w:pPr>
    <w:rPr>
      <w:rFonts w:cs="Arial"/>
      <w:sz w:val="12"/>
      <w:szCs w:val="12"/>
      <w:lang w:eastAsia="en-AU"/>
    </w:rPr>
  </w:style>
  <w:style w:type="paragraph" w:customStyle="1" w:styleId="xl113">
    <w:name w:val="xl113"/>
    <w:basedOn w:val="Normal"/>
    <w:rsid w:val="008B7A8C"/>
    <w:pPr>
      <w:spacing w:before="100" w:beforeAutospacing="1" w:after="100" w:afterAutospacing="1"/>
    </w:pPr>
    <w:rPr>
      <w:rFonts w:cs="Arial"/>
      <w:sz w:val="12"/>
      <w:szCs w:val="12"/>
      <w:lang w:eastAsia="en-AU"/>
    </w:rPr>
  </w:style>
  <w:style w:type="paragraph" w:customStyle="1" w:styleId="xl114">
    <w:name w:val="xl114"/>
    <w:basedOn w:val="Normal"/>
    <w:rsid w:val="008B7A8C"/>
    <w:pPr>
      <w:spacing w:before="100" w:beforeAutospacing="1" w:after="100" w:afterAutospacing="1"/>
    </w:pPr>
    <w:rPr>
      <w:rFonts w:cs="Arial"/>
      <w:sz w:val="12"/>
      <w:szCs w:val="12"/>
      <w:lang w:eastAsia="en-AU"/>
    </w:rPr>
  </w:style>
  <w:style w:type="paragraph" w:customStyle="1" w:styleId="xl115">
    <w:name w:val="xl115"/>
    <w:basedOn w:val="Normal"/>
    <w:rsid w:val="008B7A8C"/>
    <w:pPr>
      <w:spacing w:before="100" w:beforeAutospacing="1" w:after="100" w:afterAutospacing="1"/>
    </w:pPr>
    <w:rPr>
      <w:rFonts w:cs="Arial"/>
      <w:sz w:val="12"/>
      <w:szCs w:val="12"/>
      <w:lang w:eastAsia="en-AU"/>
    </w:rPr>
  </w:style>
  <w:style w:type="paragraph" w:customStyle="1" w:styleId="xl116">
    <w:name w:val="xl116"/>
    <w:basedOn w:val="Normal"/>
    <w:rsid w:val="008B7A8C"/>
    <w:pPr>
      <w:spacing w:before="100" w:beforeAutospacing="1" w:after="100" w:afterAutospacing="1"/>
    </w:pPr>
    <w:rPr>
      <w:rFonts w:cs="Arial"/>
      <w:sz w:val="12"/>
      <w:szCs w:val="12"/>
      <w:lang w:eastAsia="en-AU"/>
    </w:rPr>
  </w:style>
  <w:style w:type="paragraph" w:customStyle="1" w:styleId="xl117">
    <w:name w:val="xl117"/>
    <w:basedOn w:val="Normal"/>
    <w:rsid w:val="008B7A8C"/>
    <w:pPr>
      <w:spacing w:before="100" w:beforeAutospacing="1" w:after="100" w:afterAutospacing="1"/>
    </w:pPr>
    <w:rPr>
      <w:rFonts w:cs="Arial"/>
      <w:b/>
      <w:bCs/>
      <w:sz w:val="12"/>
      <w:szCs w:val="12"/>
      <w:lang w:eastAsia="en-AU"/>
    </w:rPr>
  </w:style>
  <w:style w:type="paragraph" w:customStyle="1" w:styleId="xl118">
    <w:name w:val="xl118"/>
    <w:basedOn w:val="Normal"/>
    <w:rsid w:val="008B7A8C"/>
    <w:pPr>
      <w:spacing w:before="100" w:beforeAutospacing="1" w:after="100" w:afterAutospacing="1"/>
      <w:jc w:val="right"/>
    </w:pPr>
    <w:rPr>
      <w:rFonts w:cs="Arial"/>
      <w:sz w:val="12"/>
      <w:szCs w:val="12"/>
      <w:lang w:eastAsia="en-AU"/>
    </w:rPr>
  </w:style>
  <w:style w:type="paragraph" w:customStyle="1" w:styleId="xl119">
    <w:name w:val="xl119"/>
    <w:basedOn w:val="Normal"/>
    <w:rsid w:val="008B7A8C"/>
    <w:pPr>
      <w:spacing w:before="100" w:beforeAutospacing="1" w:after="100" w:afterAutospacing="1"/>
      <w:jc w:val="right"/>
    </w:pPr>
    <w:rPr>
      <w:rFonts w:cs="Arial"/>
      <w:sz w:val="12"/>
      <w:szCs w:val="12"/>
      <w:lang w:eastAsia="en-AU"/>
    </w:rPr>
  </w:style>
  <w:style w:type="paragraph" w:customStyle="1" w:styleId="xl120">
    <w:name w:val="xl120"/>
    <w:basedOn w:val="Normal"/>
    <w:rsid w:val="008B7A8C"/>
    <w:pPr>
      <w:spacing w:before="100" w:beforeAutospacing="1" w:after="100" w:afterAutospacing="1"/>
      <w:jc w:val="right"/>
    </w:pPr>
    <w:rPr>
      <w:rFonts w:cs="Arial"/>
      <w:sz w:val="12"/>
      <w:szCs w:val="12"/>
      <w:lang w:eastAsia="en-AU"/>
    </w:rPr>
  </w:style>
  <w:style w:type="paragraph" w:customStyle="1" w:styleId="xl121">
    <w:name w:val="xl121"/>
    <w:basedOn w:val="Normal"/>
    <w:rsid w:val="008B7A8C"/>
    <w:pPr>
      <w:spacing w:before="100" w:beforeAutospacing="1" w:after="100" w:afterAutospacing="1"/>
      <w:jc w:val="right"/>
    </w:pPr>
    <w:rPr>
      <w:rFonts w:cs="Arial"/>
      <w:sz w:val="12"/>
      <w:szCs w:val="12"/>
      <w:lang w:eastAsia="en-AU"/>
    </w:rPr>
  </w:style>
  <w:style w:type="paragraph" w:customStyle="1" w:styleId="xl107">
    <w:name w:val="xl107"/>
    <w:basedOn w:val="Normal"/>
    <w:rsid w:val="001B7502"/>
    <w:pPr>
      <w:spacing w:before="100" w:beforeAutospacing="1" w:after="100" w:afterAutospacing="1"/>
    </w:pPr>
    <w:rPr>
      <w:rFonts w:cs="Arial"/>
      <w:b/>
      <w:bCs/>
      <w:sz w:val="20"/>
      <w:szCs w:val="20"/>
      <w:lang w:eastAsia="en-AU"/>
    </w:rPr>
  </w:style>
  <w:style w:type="paragraph" w:customStyle="1" w:styleId="DHSHeadingA">
    <w:name w:val="DHS Heading A"/>
    <w:qFormat/>
    <w:rsid w:val="00D561CD"/>
    <w:pPr>
      <w:spacing w:after="560" w:line="520" w:lineRule="exact"/>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LightShading-Accent11">
    <w:name w:val="Light Shading - Accent 11"/>
    <w:aliases w:val="RRTable"/>
    <w:basedOn w:val="TableNormal"/>
    <w:uiPriority w:val="60"/>
    <w:rsid w:val="00EF669D"/>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ascii="Arial" w:hAnsi="Arial" w:cs="Times New Roman"/>
        <w:b/>
        <w:bCs/>
        <w:color w:val="auto"/>
      </w:rPr>
      <w:tblPr/>
      <w:tcPr>
        <w:tcBorders>
          <w:top w:val="single" w:sz="8" w:space="0" w:color="4F81BD"/>
          <w:bottom w:val="single" w:sz="8" w:space="0" w:color="4F81BD"/>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3">
    <w:name w:val="Style3"/>
    <w:basedOn w:val="LightShading-Accent11"/>
    <w:uiPriority w:val="99"/>
    <w:qFormat/>
    <w:rsid w:val="003C18C0"/>
    <w:rPr>
      <w:rFonts w:ascii="Arial" w:hAnsi="Arial"/>
    </w:rPr>
    <w:tblPr>
      <w:tblBorders>
        <w:top w:val="single" w:sz="4" w:space="0" w:color="99AFC3"/>
        <w:bottom w:val="single" w:sz="4" w:space="0" w:color="99AFC3"/>
        <w:insideH w:val="single" w:sz="4" w:space="0" w:color="99AFC3"/>
        <w:insideV w:val="single" w:sz="4" w:space="0" w:color="99AFC3"/>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4">
    <w:name w:val="Style4"/>
    <w:basedOn w:val="LightShading-Accent11"/>
    <w:uiPriority w:val="99"/>
    <w:qFormat/>
    <w:rsid w:val="0036384D"/>
    <w:rPr>
      <w:rFonts w:ascii="Arial" w:hAnsi="Arial"/>
      <w:color w:val="auto"/>
    </w:rPr>
    <w:tblPr>
      <w:tblBorders>
        <w:insideH w:val="single" w:sz="8" w:space="0" w:color="4F81BD"/>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013"/>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paragraph" w:customStyle="1" w:styleId="Bodycopytab3">
    <w:name w:val="Body copy_tab +3"/>
    <w:uiPriority w:val="99"/>
    <w:rsid w:val="00054C75"/>
    <w:pPr>
      <w:tabs>
        <w:tab w:val="left" w:pos="170"/>
        <w:tab w:val="left" w:pos="340"/>
      </w:tabs>
      <w:spacing w:after="170" w:line="270" w:lineRule="exact"/>
      <w:ind w:left="170" w:hanging="171"/>
    </w:pPr>
    <w:rPr>
      <w:rFonts w:ascii="CorporateSBQ-Light" w:hAnsi="CorporateSBQ-Light"/>
      <w:lang w:val="en-GB"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CM14">
    <w:name w:val="CM14"/>
    <w:basedOn w:val="Normal"/>
    <w:next w:val="Normal"/>
    <w:uiPriority w:val="99"/>
    <w:rsid w:val="001D2374"/>
    <w:pPr>
      <w:autoSpaceDE w:val="0"/>
      <w:autoSpaceDN w:val="0"/>
      <w:adjustRightInd w:val="0"/>
      <w:spacing w:line="320" w:lineRule="atLeast"/>
    </w:pPr>
    <w:rPr>
      <w:rFonts w:ascii="HelveticaNeueLT Std Lt" w:hAnsi="HelveticaNeueLT Std Lt"/>
      <w:lang w:eastAsia="en-AU"/>
    </w:rPr>
  </w:style>
  <w:style w:type="paragraph" w:customStyle="1" w:styleId="CM16">
    <w:name w:val="CM16"/>
    <w:basedOn w:val="Normal"/>
    <w:next w:val="Normal"/>
    <w:uiPriority w:val="99"/>
    <w:rsid w:val="001D2374"/>
    <w:pPr>
      <w:autoSpaceDE w:val="0"/>
      <w:autoSpaceDN w:val="0"/>
      <w:adjustRightInd w:val="0"/>
    </w:pPr>
    <w:rPr>
      <w:rFonts w:ascii="HelveticaNeueLT Std Lt" w:hAnsi="HelveticaNeueLT Std Lt"/>
      <w:lang w:eastAsia="en-AU"/>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DHSReportHd3">
    <w:name w:val="DHS Report Hd 3"/>
    <w:basedOn w:val="Normal"/>
    <w:next w:val="Normal"/>
    <w:uiPriority w:val="99"/>
    <w:rsid w:val="001868BF"/>
    <w:pPr>
      <w:spacing w:before="240" w:after="90" w:line="270" w:lineRule="exact"/>
    </w:pPr>
    <w:rPr>
      <w:color w:val="739600"/>
      <w:sz w:val="23"/>
      <w:szCs w:val="20"/>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Strong">
    <w:name w:val="Strong"/>
    <w:uiPriority w:val="99"/>
    <w:qFormat/>
    <w:locked/>
    <w:rsid w:val="00251786"/>
    <w:rPr>
      <w:rFonts w:cs="Times New Roman"/>
      <w:b/>
      <w:bC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rsid w:val="00F324DD"/>
    <w:pPr>
      <w:spacing w:after="120" w:line="270" w:lineRule="exact"/>
    </w:pPr>
    <w:rPr>
      <w:rFonts w:ascii="Arial" w:hAnsi="Arial"/>
      <w:lang w:eastAsia="en-US"/>
    </w:rPr>
  </w:style>
  <w:style w:type="paragraph" w:customStyle="1" w:styleId="DHSBody12">
    <w:name w:val="DHS Body 12"/>
    <w:basedOn w:val="DHSbody"/>
    <w:qFormat/>
    <w:rsid w:val="00F324DD"/>
    <w:rPr>
      <w:sz w:val="24"/>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bodycopytable">
    <w:name w:val="DHS body copy table"/>
    <w:basedOn w:val="DHSbody"/>
    <w:qFormat/>
    <w:rsid w:val="00C20646"/>
    <w:pPr>
      <w:outlineLvl w:val="4"/>
    </w:pPr>
    <w:rPr>
      <w:sz w:val="16"/>
    </w:rPr>
  </w:style>
  <w:style w:type="paragraph" w:customStyle="1" w:styleId="NoParagraphStyle">
    <w:name w:val="[No Paragraph Style]"/>
    <w:rsid w:val="009C74D4"/>
    <w:pPr>
      <w:widowControl w:val="0"/>
      <w:autoSpaceDE w:val="0"/>
      <w:autoSpaceDN w:val="0"/>
      <w:adjustRightInd w:val="0"/>
      <w:spacing w:line="288" w:lineRule="auto"/>
      <w:textAlignment w:val="center"/>
    </w:pPr>
    <w:rPr>
      <w:rFonts w:ascii="HelveticaNeueLTStd-Md" w:hAnsi="HelveticaNeueLTStd-Md"/>
      <w:color w:val="000000"/>
      <w:sz w:val="24"/>
      <w:szCs w:val="24"/>
      <w:lang w:val="en-GB" w:eastAsia="en-U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bodycopytable"/>
    <w:qFormat/>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qFormat/>
    <w:rsid w:val="008B7A8C"/>
    <w:pPr>
      <w:framePr w:wrap="around"/>
      <w:spacing w:before="20" w:after="40" w:line="120" w:lineRule="exact"/>
      <w:ind w:left="0" w:right="0"/>
    </w:pPr>
    <w:rPr>
      <w:sz w:val="12"/>
    </w:rPr>
  </w:style>
  <w:style w:type="character" w:customStyle="1" w:styleId="Headerpagenumber">
    <w:name w:val="•Header_page number"/>
    <w:uiPriority w:val="99"/>
    <w:rsid w:val="008B7A8C"/>
    <w:rPr>
      <w:rFonts w:ascii="HelveticaNeueLTStd-Bd" w:hAnsi="HelveticaNeueLTStd-Bd"/>
      <w:b/>
      <w:color w:val="000000"/>
      <w:spacing w:val="-2"/>
      <w:w w:val="100"/>
      <w:position w:val="0"/>
      <w:sz w:val="14"/>
      <w:u w:val="none"/>
      <w:vertAlign w:val="baseline"/>
    </w:rPr>
  </w:style>
  <w:style w:type="paragraph" w:customStyle="1" w:styleId="Tablecopylargetable">
    <w:name w:val="Table copy large table"/>
    <w:basedOn w:val="Tablecopy"/>
    <w:uiPriority w:val="99"/>
    <w:rsid w:val="008B7A8C"/>
    <w:pPr>
      <w:spacing w:line="120" w:lineRule="atLeast"/>
      <w:jc w:val="right"/>
    </w:pPr>
    <w:rPr>
      <w:sz w:val="11"/>
      <w:szCs w:val="11"/>
    </w:rPr>
  </w:style>
  <w:style w:type="paragraph" w:customStyle="1" w:styleId="xl105">
    <w:name w:val="xl105"/>
    <w:basedOn w:val="Normal"/>
    <w:rsid w:val="008B7A8C"/>
    <w:pPr>
      <w:spacing w:before="100" w:beforeAutospacing="1" w:after="100" w:afterAutospacing="1"/>
    </w:pPr>
    <w:rPr>
      <w:rFonts w:cs="Arial"/>
      <w:lang w:eastAsia="en-AU"/>
    </w:rPr>
  </w:style>
  <w:style w:type="paragraph" w:customStyle="1" w:styleId="xl106">
    <w:name w:val="xl106"/>
    <w:basedOn w:val="Normal"/>
    <w:rsid w:val="008B7A8C"/>
    <w:pPr>
      <w:spacing w:before="100" w:beforeAutospacing="1" w:after="100" w:afterAutospacing="1"/>
    </w:pPr>
    <w:rPr>
      <w:rFonts w:cs="Arial"/>
      <w:sz w:val="20"/>
      <w:szCs w:val="20"/>
      <w:lang w:eastAsia="en-AU"/>
    </w:rPr>
  </w:style>
  <w:style w:type="paragraph" w:customStyle="1" w:styleId="xl108">
    <w:name w:val="xl108"/>
    <w:basedOn w:val="Normal"/>
    <w:rsid w:val="008B7A8C"/>
    <w:pPr>
      <w:spacing w:before="100" w:beforeAutospacing="1" w:after="100" w:afterAutospacing="1"/>
    </w:pPr>
    <w:rPr>
      <w:rFonts w:cs="Arial"/>
      <w:b/>
      <w:bCs/>
      <w:sz w:val="12"/>
      <w:szCs w:val="12"/>
      <w:lang w:eastAsia="en-AU"/>
    </w:rPr>
  </w:style>
  <w:style w:type="paragraph" w:customStyle="1" w:styleId="xl109">
    <w:name w:val="xl109"/>
    <w:basedOn w:val="Normal"/>
    <w:rsid w:val="008B7A8C"/>
    <w:pPr>
      <w:spacing w:before="100" w:beforeAutospacing="1" w:after="100" w:afterAutospacing="1"/>
      <w:jc w:val="right"/>
    </w:pPr>
    <w:rPr>
      <w:rFonts w:cs="Arial"/>
      <w:sz w:val="12"/>
      <w:szCs w:val="12"/>
      <w:lang w:eastAsia="en-AU"/>
    </w:rPr>
  </w:style>
  <w:style w:type="paragraph" w:customStyle="1" w:styleId="xl110">
    <w:name w:val="xl110"/>
    <w:basedOn w:val="Normal"/>
    <w:rsid w:val="008B7A8C"/>
    <w:pPr>
      <w:spacing w:before="100" w:beforeAutospacing="1" w:after="100" w:afterAutospacing="1"/>
    </w:pPr>
    <w:rPr>
      <w:rFonts w:cs="Arial"/>
      <w:sz w:val="12"/>
      <w:szCs w:val="12"/>
      <w:lang w:eastAsia="en-AU"/>
    </w:rPr>
  </w:style>
  <w:style w:type="paragraph" w:customStyle="1" w:styleId="xl111">
    <w:name w:val="xl111"/>
    <w:basedOn w:val="Normal"/>
    <w:rsid w:val="008B7A8C"/>
    <w:pPr>
      <w:spacing w:before="100" w:beforeAutospacing="1" w:after="100" w:afterAutospacing="1"/>
    </w:pPr>
    <w:rPr>
      <w:rFonts w:cs="Arial"/>
      <w:sz w:val="12"/>
      <w:szCs w:val="12"/>
      <w:lang w:eastAsia="en-AU"/>
    </w:rPr>
  </w:style>
  <w:style w:type="paragraph" w:customStyle="1" w:styleId="xl112">
    <w:name w:val="xl112"/>
    <w:basedOn w:val="Normal"/>
    <w:rsid w:val="008B7A8C"/>
    <w:pPr>
      <w:spacing w:before="100" w:beforeAutospacing="1" w:after="100" w:afterAutospacing="1"/>
    </w:pPr>
    <w:rPr>
      <w:rFonts w:cs="Arial"/>
      <w:sz w:val="12"/>
      <w:szCs w:val="12"/>
      <w:lang w:eastAsia="en-AU"/>
    </w:rPr>
  </w:style>
  <w:style w:type="paragraph" w:customStyle="1" w:styleId="xl113">
    <w:name w:val="xl113"/>
    <w:basedOn w:val="Normal"/>
    <w:rsid w:val="008B7A8C"/>
    <w:pPr>
      <w:spacing w:before="100" w:beforeAutospacing="1" w:after="100" w:afterAutospacing="1"/>
    </w:pPr>
    <w:rPr>
      <w:rFonts w:cs="Arial"/>
      <w:sz w:val="12"/>
      <w:szCs w:val="12"/>
      <w:lang w:eastAsia="en-AU"/>
    </w:rPr>
  </w:style>
  <w:style w:type="paragraph" w:customStyle="1" w:styleId="xl114">
    <w:name w:val="xl114"/>
    <w:basedOn w:val="Normal"/>
    <w:rsid w:val="008B7A8C"/>
    <w:pPr>
      <w:spacing w:before="100" w:beforeAutospacing="1" w:after="100" w:afterAutospacing="1"/>
    </w:pPr>
    <w:rPr>
      <w:rFonts w:cs="Arial"/>
      <w:sz w:val="12"/>
      <w:szCs w:val="12"/>
      <w:lang w:eastAsia="en-AU"/>
    </w:rPr>
  </w:style>
  <w:style w:type="paragraph" w:customStyle="1" w:styleId="xl115">
    <w:name w:val="xl115"/>
    <w:basedOn w:val="Normal"/>
    <w:rsid w:val="008B7A8C"/>
    <w:pPr>
      <w:spacing w:before="100" w:beforeAutospacing="1" w:after="100" w:afterAutospacing="1"/>
    </w:pPr>
    <w:rPr>
      <w:rFonts w:cs="Arial"/>
      <w:sz w:val="12"/>
      <w:szCs w:val="12"/>
      <w:lang w:eastAsia="en-AU"/>
    </w:rPr>
  </w:style>
  <w:style w:type="paragraph" w:customStyle="1" w:styleId="xl116">
    <w:name w:val="xl116"/>
    <w:basedOn w:val="Normal"/>
    <w:rsid w:val="008B7A8C"/>
    <w:pPr>
      <w:spacing w:before="100" w:beforeAutospacing="1" w:after="100" w:afterAutospacing="1"/>
    </w:pPr>
    <w:rPr>
      <w:rFonts w:cs="Arial"/>
      <w:sz w:val="12"/>
      <w:szCs w:val="12"/>
      <w:lang w:eastAsia="en-AU"/>
    </w:rPr>
  </w:style>
  <w:style w:type="paragraph" w:customStyle="1" w:styleId="xl117">
    <w:name w:val="xl117"/>
    <w:basedOn w:val="Normal"/>
    <w:rsid w:val="008B7A8C"/>
    <w:pPr>
      <w:spacing w:before="100" w:beforeAutospacing="1" w:after="100" w:afterAutospacing="1"/>
    </w:pPr>
    <w:rPr>
      <w:rFonts w:cs="Arial"/>
      <w:b/>
      <w:bCs/>
      <w:sz w:val="12"/>
      <w:szCs w:val="12"/>
      <w:lang w:eastAsia="en-AU"/>
    </w:rPr>
  </w:style>
  <w:style w:type="paragraph" w:customStyle="1" w:styleId="xl118">
    <w:name w:val="xl118"/>
    <w:basedOn w:val="Normal"/>
    <w:rsid w:val="008B7A8C"/>
    <w:pPr>
      <w:spacing w:before="100" w:beforeAutospacing="1" w:after="100" w:afterAutospacing="1"/>
      <w:jc w:val="right"/>
    </w:pPr>
    <w:rPr>
      <w:rFonts w:cs="Arial"/>
      <w:sz w:val="12"/>
      <w:szCs w:val="12"/>
      <w:lang w:eastAsia="en-AU"/>
    </w:rPr>
  </w:style>
  <w:style w:type="paragraph" w:customStyle="1" w:styleId="xl119">
    <w:name w:val="xl119"/>
    <w:basedOn w:val="Normal"/>
    <w:rsid w:val="008B7A8C"/>
    <w:pPr>
      <w:spacing w:before="100" w:beforeAutospacing="1" w:after="100" w:afterAutospacing="1"/>
      <w:jc w:val="right"/>
    </w:pPr>
    <w:rPr>
      <w:rFonts w:cs="Arial"/>
      <w:sz w:val="12"/>
      <w:szCs w:val="12"/>
      <w:lang w:eastAsia="en-AU"/>
    </w:rPr>
  </w:style>
  <w:style w:type="paragraph" w:customStyle="1" w:styleId="xl120">
    <w:name w:val="xl120"/>
    <w:basedOn w:val="Normal"/>
    <w:rsid w:val="008B7A8C"/>
    <w:pPr>
      <w:spacing w:before="100" w:beforeAutospacing="1" w:after="100" w:afterAutospacing="1"/>
      <w:jc w:val="right"/>
    </w:pPr>
    <w:rPr>
      <w:rFonts w:cs="Arial"/>
      <w:sz w:val="12"/>
      <w:szCs w:val="12"/>
      <w:lang w:eastAsia="en-AU"/>
    </w:rPr>
  </w:style>
  <w:style w:type="paragraph" w:customStyle="1" w:styleId="xl121">
    <w:name w:val="xl121"/>
    <w:basedOn w:val="Normal"/>
    <w:rsid w:val="008B7A8C"/>
    <w:pPr>
      <w:spacing w:before="100" w:beforeAutospacing="1" w:after="100" w:afterAutospacing="1"/>
      <w:jc w:val="right"/>
    </w:pPr>
    <w:rPr>
      <w:rFonts w:cs="Arial"/>
      <w:sz w:val="12"/>
      <w:szCs w:val="12"/>
      <w:lang w:eastAsia="en-AU"/>
    </w:rPr>
  </w:style>
  <w:style w:type="paragraph" w:customStyle="1" w:styleId="xl107">
    <w:name w:val="xl107"/>
    <w:basedOn w:val="Normal"/>
    <w:rsid w:val="001B7502"/>
    <w:pPr>
      <w:spacing w:before="100" w:beforeAutospacing="1" w:after="100" w:afterAutospacing="1"/>
    </w:pPr>
    <w:rPr>
      <w:rFonts w:cs="Arial"/>
      <w:b/>
      <w:bCs/>
      <w:sz w:val="20"/>
      <w:szCs w:val="20"/>
      <w:lang w:eastAsia="en-AU"/>
    </w:rPr>
  </w:style>
  <w:style w:type="paragraph" w:customStyle="1" w:styleId="DHSHeadingA">
    <w:name w:val="DHS Heading A"/>
    <w:qFormat/>
    <w:rsid w:val="00D561CD"/>
    <w:pPr>
      <w:spacing w:after="560" w:line="520" w:lineRule="exact"/>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LightShading-Accent11">
    <w:name w:val="Light Shading - Accent 11"/>
    <w:aliases w:val="RRTable"/>
    <w:basedOn w:val="TableNormal"/>
    <w:uiPriority w:val="60"/>
    <w:rsid w:val="00EF669D"/>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ascii="Arial" w:hAnsi="Arial" w:cs="Times New Roman"/>
        <w:b/>
        <w:bCs/>
        <w:color w:val="auto"/>
      </w:rPr>
      <w:tblPr/>
      <w:tcPr>
        <w:tcBorders>
          <w:top w:val="single" w:sz="8" w:space="0" w:color="4F81BD"/>
          <w:bottom w:val="single" w:sz="8" w:space="0" w:color="4F81BD"/>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3">
    <w:name w:val="Style3"/>
    <w:basedOn w:val="LightShading-Accent11"/>
    <w:uiPriority w:val="99"/>
    <w:qFormat/>
    <w:rsid w:val="003C18C0"/>
    <w:rPr>
      <w:rFonts w:ascii="Arial" w:hAnsi="Arial"/>
    </w:rPr>
    <w:tblPr>
      <w:tblBorders>
        <w:top w:val="single" w:sz="4" w:space="0" w:color="99AFC3"/>
        <w:bottom w:val="single" w:sz="4" w:space="0" w:color="99AFC3"/>
        <w:insideH w:val="single" w:sz="4" w:space="0" w:color="99AFC3"/>
        <w:insideV w:val="single" w:sz="4" w:space="0" w:color="99AFC3"/>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4">
    <w:name w:val="Style4"/>
    <w:basedOn w:val="LightShading-Accent11"/>
    <w:uiPriority w:val="99"/>
    <w:qFormat/>
    <w:rsid w:val="0036384D"/>
    <w:rPr>
      <w:rFonts w:ascii="Arial" w:hAnsi="Arial"/>
      <w:color w:val="auto"/>
    </w:rPr>
    <w:tblPr>
      <w:tblBorders>
        <w:insideH w:val="single" w:sz="8" w:space="0" w:color="4F81BD"/>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5132">
      <w:bodyDiv w:val="1"/>
      <w:marLeft w:val="0"/>
      <w:marRight w:val="0"/>
      <w:marTop w:val="0"/>
      <w:marBottom w:val="0"/>
      <w:divBdr>
        <w:top w:val="none" w:sz="0" w:space="0" w:color="auto"/>
        <w:left w:val="none" w:sz="0" w:space="0" w:color="auto"/>
        <w:bottom w:val="none" w:sz="0" w:space="0" w:color="auto"/>
        <w:right w:val="none" w:sz="0" w:space="0" w:color="auto"/>
      </w:divBdr>
    </w:div>
    <w:div w:id="54788211">
      <w:bodyDiv w:val="1"/>
      <w:marLeft w:val="0"/>
      <w:marRight w:val="0"/>
      <w:marTop w:val="0"/>
      <w:marBottom w:val="0"/>
      <w:divBdr>
        <w:top w:val="none" w:sz="0" w:space="0" w:color="auto"/>
        <w:left w:val="none" w:sz="0" w:space="0" w:color="auto"/>
        <w:bottom w:val="none" w:sz="0" w:space="0" w:color="auto"/>
        <w:right w:val="none" w:sz="0" w:space="0" w:color="auto"/>
      </w:divBdr>
    </w:div>
    <w:div w:id="58210118">
      <w:bodyDiv w:val="1"/>
      <w:marLeft w:val="0"/>
      <w:marRight w:val="0"/>
      <w:marTop w:val="0"/>
      <w:marBottom w:val="0"/>
      <w:divBdr>
        <w:top w:val="none" w:sz="0" w:space="0" w:color="auto"/>
        <w:left w:val="none" w:sz="0" w:space="0" w:color="auto"/>
        <w:bottom w:val="none" w:sz="0" w:space="0" w:color="auto"/>
        <w:right w:val="none" w:sz="0" w:space="0" w:color="auto"/>
      </w:divBdr>
    </w:div>
    <w:div w:id="96755412">
      <w:bodyDiv w:val="1"/>
      <w:marLeft w:val="0"/>
      <w:marRight w:val="0"/>
      <w:marTop w:val="0"/>
      <w:marBottom w:val="0"/>
      <w:divBdr>
        <w:top w:val="none" w:sz="0" w:space="0" w:color="auto"/>
        <w:left w:val="none" w:sz="0" w:space="0" w:color="auto"/>
        <w:bottom w:val="none" w:sz="0" w:space="0" w:color="auto"/>
        <w:right w:val="none" w:sz="0" w:space="0" w:color="auto"/>
      </w:divBdr>
    </w:div>
    <w:div w:id="175465572">
      <w:bodyDiv w:val="1"/>
      <w:marLeft w:val="0"/>
      <w:marRight w:val="0"/>
      <w:marTop w:val="0"/>
      <w:marBottom w:val="0"/>
      <w:divBdr>
        <w:top w:val="none" w:sz="0" w:space="0" w:color="auto"/>
        <w:left w:val="none" w:sz="0" w:space="0" w:color="auto"/>
        <w:bottom w:val="none" w:sz="0" w:space="0" w:color="auto"/>
        <w:right w:val="none" w:sz="0" w:space="0" w:color="auto"/>
      </w:divBdr>
    </w:div>
    <w:div w:id="215552215">
      <w:bodyDiv w:val="1"/>
      <w:marLeft w:val="0"/>
      <w:marRight w:val="0"/>
      <w:marTop w:val="0"/>
      <w:marBottom w:val="0"/>
      <w:divBdr>
        <w:top w:val="none" w:sz="0" w:space="0" w:color="auto"/>
        <w:left w:val="none" w:sz="0" w:space="0" w:color="auto"/>
        <w:bottom w:val="none" w:sz="0" w:space="0" w:color="auto"/>
        <w:right w:val="none" w:sz="0" w:space="0" w:color="auto"/>
      </w:divBdr>
    </w:div>
    <w:div w:id="231621158">
      <w:bodyDiv w:val="1"/>
      <w:marLeft w:val="0"/>
      <w:marRight w:val="0"/>
      <w:marTop w:val="0"/>
      <w:marBottom w:val="0"/>
      <w:divBdr>
        <w:top w:val="none" w:sz="0" w:space="0" w:color="auto"/>
        <w:left w:val="none" w:sz="0" w:space="0" w:color="auto"/>
        <w:bottom w:val="none" w:sz="0" w:space="0" w:color="auto"/>
        <w:right w:val="none" w:sz="0" w:space="0" w:color="auto"/>
      </w:divBdr>
    </w:div>
    <w:div w:id="378482330">
      <w:bodyDiv w:val="1"/>
      <w:marLeft w:val="0"/>
      <w:marRight w:val="0"/>
      <w:marTop w:val="0"/>
      <w:marBottom w:val="0"/>
      <w:divBdr>
        <w:top w:val="none" w:sz="0" w:space="0" w:color="auto"/>
        <w:left w:val="none" w:sz="0" w:space="0" w:color="auto"/>
        <w:bottom w:val="none" w:sz="0" w:space="0" w:color="auto"/>
        <w:right w:val="none" w:sz="0" w:space="0" w:color="auto"/>
      </w:divBdr>
    </w:div>
    <w:div w:id="549271948">
      <w:bodyDiv w:val="1"/>
      <w:marLeft w:val="0"/>
      <w:marRight w:val="0"/>
      <w:marTop w:val="0"/>
      <w:marBottom w:val="0"/>
      <w:divBdr>
        <w:top w:val="none" w:sz="0" w:space="0" w:color="auto"/>
        <w:left w:val="none" w:sz="0" w:space="0" w:color="auto"/>
        <w:bottom w:val="none" w:sz="0" w:space="0" w:color="auto"/>
        <w:right w:val="none" w:sz="0" w:space="0" w:color="auto"/>
      </w:divBdr>
    </w:div>
    <w:div w:id="642544027">
      <w:bodyDiv w:val="1"/>
      <w:marLeft w:val="0"/>
      <w:marRight w:val="0"/>
      <w:marTop w:val="0"/>
      <w:marBottom w:val="0"/>
      <w:divBdr>
        <w:top w:val="none" w:sz="0" w:space="0" w:color="auto"/>
        <w:left w:val="none" w:sz="0" w:space="0" w:color="auto"/>
        <w:bottom w:val="none" w:sz="0" w:space="0" w:color="auto"/>
        <w:right w:val="none" w:sz="0" w:space="0" w:color="auto"/>
      </w:divBdr>
    </w:div>
    <w:div w:id="683826420">
      <w:bodyDiv w:val="1"/>
      <w:marLeft w:val="0"/>
      <w:marRight w:val="0"/>
      <w:marTop w:val="0"/>
      <w:marBottom w:val="0"/>
      <w:divBdr>
        <w:top w:val="none" w:sz="0" w:space="0" w:color="auto"/>
        <w:left w:val="none" w:sz="0" w:space="0" w:color="auto"/>
        <w:bottom w:val="none" w:sz="0" w:space="0" w:color="auto"/>
        <w:right w:val="none" w:sz="0" w:space="0" w:color="auto"/>
      </w:divBdr>
    </w:div>
    <w:div w:id="786779236">
      <w:bodyDiv w:val="1"/>
      <w:marLeft w:val="0"/>
      <w:marRight w:val="0"/>
      <w:marTop w:val="0"/>
      <w:marBottom w:val="0"/>
      <w:divBdr>
        <w:top w:val="none" w:sz="0" w:space="0" w:color="auto"/>
        <w:left w:val="none" w:sz="0" w:space="0" w:color="auto"/>
        <w:bottom w:val="none" w:sz="0" w:space="0" w:color="auto"/>
        <w:right w:val="none" w:sz="0" w:space="0" w:color="auto"/>
      </w:divBdr>
    </w:div>
    <w:div w:id="844129301">
      <w:bodyDiv w:val="1"/>
      <w:marLeft w:val="0"/>
      <w:marRight w:val="0"/>
      <w:marTop w:val="0"/>
      <w:marBottom w:val="0"/>
      <w:divBdr>
        <w:top w:val="none" w:sz="0" w:space="0" w:color="auto"/>
        <w:left w:val="none" w:sz="0" w:space="0" w:color="auto"/>
        <w:bottom w:val="none" w:sz="0" w:space="0" w:color="auto"/>
        <w:right w:val="none" w:sz="0" w:space="0" w:color="auto"/>
      </w:divBdr>
    </w:div>
    <w:div w:id="1132090648">
      <w:bodyDiv w:val="1"/>
      <w:marLeft w:val="0"/>
      <w:marRight w:val="0"/>
      <w:marTop w:val="0"/>
      <w:marBottom w:val="0"/>
      <w:divBdr>
        <w:top w:val="none" w:sz="0" w:space="0" w:color="auto"/>
        <w:left w:val="none" w:sz="0" w:space="0" w:color="auto"/>
        <w:bottom w:val="none" w:sz="0" w:space="0" w:color="auto"/>
        <w:right w:val="none" w:sz="0" w:space="0" w:color="auto"/>
      </w:divBdr>
    </w:div>
    <w:div w:id="1174566616">
      <w:bodyDiv w:val="1"/>
      <w:marLeft w:val="0"/>
      <w:marRight w:val="0"/>
      <w:marTop w:val="0"/>
      <w:marBottom w:val="0"/>
      <w:divBdr>
        <w:top w:val="none" w:sz="0" w:space="0" w:color="auto"/>
        <w:left w:val="none" w:sz="0" w:space="0" w:color="auto"/>
        <w:bottom w:val="none" w:sz="0" w:space="0" w:color="auto"/>
        <w:right w:val="none" w:sz="0" w:space="0" w:color="auto"/>
      </w:divBdr>
    </w:div>
    <w:div w:id="1204516848">
      <w:bodyDiv w:val="1"/>
      <w:marLeft w:val="0"/>
      <w:marRight w:val="0"/>
      <w:marTop w:val="0"/>
      <w:marBottom w:val="0"/>
      <w:divBdr>
        <w:top w:val="none" w:sz="0" w:space="0" w:color="auto"/>
        <w:left w:val="none" w:sz="0" w:space="0" w:color="auto"/>
        <w:bottom w:val="none" w:sz="0" w:space="0" w:color="auto"/>
        <w:right w:val="none" w:sz="0" w:space="0" w:color="auto"/>
      </w:divBdr>
    </w:div>
    <w:div w:id="1268193111">
      <w:bodyDiv w:val="1"/>
      <w:marLeft w:val="0"/>
      <w:marRight w:val="0"/>
      <w:marTop w:val="0"/>
      <w:marBottom w:val="0"/>
      <w:divBdr>
        <w:top w:val="none" w:sz="0" w:space="0" w:color="auto"/>
        <w:left w:val="none" w:sz="0" w:space="0" w:color="auto"/>
        <w:bottom w:val="none" w:sz="0" w:space="0" w:color="auto"/>
        <w:right w:val="none" w:sz="0" w:space="0" w:color="auto"/>
      </w:divBdr>
    </w:div>
    <w:div w:id="1318998871">
      <w:bodyDiv w:val="1"/>
      <w:marLeft w:val="0"/>
      <w:marRight w:val="0"/>
      <w:marTop w:val="0"/>
      <w:marBottom w:val="0"/>
      <w:divBdr>
        <w:top w:val="none" w:sz="0" w:space="0" w:color="auto"/>
        <w:left w:val="none" w:sz="0" w:space="0" w:color="auto"/>
        <w:bottom w:val="none" w:sz="0" w:space="0" w:color="auto"/>
        <w:right w:val="none" w:sz="0" w:space="0" w:color="auto"/>
      </w:divBdr>
    </w:div>
    <w:div w:id="1494952891">
      <w:bodyDiv w:val="1"/>
      <w:marLeft w:val="0"/>
      <w:marRight w:val="0"/>
      <w:marTop w:val="0"/>
      <w:marBottom w:val="0"/>
      <w:divBdr>
        <w:top w:val="none" w:sz="0" w:space="0" w:color="auto"/>
        <w:left w:val="none" w:sz="0" w:space="0" w:color="auto"/>
        <w:bottom w:val="none" w:sz="0" w:space="0" w:color="auto"/>
        <w:right w:val="none" w:sz="0" w:space="0" w:color="auto"/>
      </w:divBdr>
    </w:div>
    <w:div w:id="1655835181">
      <w:bodyDiv w:val="1"/>
      <w:marLeft w:val="0"/>
      <w:marRight w:val="0"/>
      <w:marTop w:val="0"/>
      <w:marBottom w:val="0"/>
      <w:divBdr>
        <w:top w:val="none" w:sz="0" w:space="0" w:color="auto"/>
        <w:left w:val="none" w:sz="0" w:space="0" w:color="auto"/>
        <w:bottom w:val="none" w:sz="0" w:space="0" w:color="auto"/>
        <w:right w:val="none" w:sz="0" w:space="0" w:color="auto"/>
      </w:divBdr>
    </w:div>
    <w:div w:id="1772630748">
      <w:marLeft w:val="0"/>
      <w:marRight w:val="0"/>
      <w:marTop w:val="0"/>
      <w:marBottom w:val="0"/>
      <w:divBdr>
        <w:top w:val="none" w:sz="0" w:space="0" w:color="auto"/>
        <w:left w:val="none" w:sz="0" w:space="0" w:color="auto"/>
        <w:bottom w:val="none" w:sz="0" w:space="0" w:color="auto"/>
        <w:right w:val="none" w:sz="0" w:space="0" w:color="auto"/>
      </w:divBdr>
    </w:div>
    <w:div w:id="1772630749">
      <w:marLeft w:val="0"/>
      <w:marRight w:val="0"/>
      <w:marTop w:val="0"/>
      <w:marBottom w:val="0"/>
      <w:divBdr>
        <w:top w:val="none" w:sz="0" w:space="0" w:color="auto"/>
        <w:left w:val="none" w:sz="0" w:space="0" w:color="auto"/>
        <w:bottom w:val="none" w:sz="0" w:space="0" w:color="auto"/>
        <w:right w:val="none" w:sz="0" w:space="0" w:color="auto"/>
      </w:divBdr>
    </w:div>
    <w:div w:id="1772630750">
      <w:marLeft w:val="0"/>
      <w:marRight w:val="0"/>
      <w:marTop w:val="0"/>
      <w:marBottom w:val="0"/>
      <w:divBdr>
        <w:top w:val="none" w:sz="0" w:space="0" w:color="auto"/>
        <w:left w:val="none" w:sz="0" w:space="0" w:color="auto"/>
        <w:bottom w:val="none" w:sz="0" w:space="0" w:color="auto"/>
        <w:right w:val="none" w:sz="0" w:space="0" w:color="auto"/>
      </w:divBdr>
    </w:div>
    <w:div w:id="1772630751">
      <w:marLeft w:val="0"/>
      <w:marRight w:val="0"/>
      <w:marTop w:val="0"/>
      <w:marBottom w:val="0"/>
      <w:divBdr>
        <w:top w:val="none" w:sz="0" w:space="0" w:color="auto"/>
        <w:left w:val="none" w:sz="0" w:space="0" w:color="auto"/>
        <w:bottom w:val="none" w:sz="0" w:space="0" w:color="auto"/>
        <w:right w:val="none" w:sz="0" w:space="0" w:color="auto"/>
      </w:divBdr>
    </w:div>
    <w:div w:id="1772630752">
      <w:marLeft w:val="0"/>
      <w:marRight w:val="0"/>
      <w:marTop w:val="0"/>
      <w:marBottom w:val="0"/>
      <w:divBdr>
        <w:top w:val="none" w:sz="0" w:space="0" w:color="auto"/>
        <w:left w:val="none" w:sz="0" w:space="0" w:color="auto"/>
        <w:bottom w:val="none" w:sz="0" w:space="0" w:color="auto"/>
        <w:right w:val="none" w:sz="0" w:space="0" w:color="auto"/>
      </w:divBdr>
    </w:div>
    <w:div w:id="1772630753">
      <w:marLeft w:val="0"/>
      <w:marRight w:val="0"/>
      <w:marTop w:val="0"/>
      <w:marBottom w:val="0"/>
      <w:divBdr>
        <w:top w:val="none" w:sz="0" w:space="0" w:color="auto"/>
        <w:left w:val="none" w:sz="0" w:space="0" w:color="auto"/>
        <w:bottom w:val="none" w:sz="0" w:space="0" w:color="auto"/>
        <w:right w:val="none" w:sz="0" w:space="0" w:color="auto"/>
      </w:divBdr>
    </w:div>
    <w:div w:id="1772630754">
      <w:marLeft w:val="0"/>
      <w:marRight w:val="0"/>
      <w:marTop w:val="0"/>
      <w:marBottom w:val="0"/>
      <w:divBdr>
        <w:top w:val="none" w:sz="0" w:space="0" w:color="auto"/>
        <w:left w:val="none" w:sz="0" w:space="0" w:color="auto"/>
        <w:bottom w:val="none" w:sz="0" w:space="0" w:color="auto"/>
        <w:right w:val="none" w:sz="0" w:space="0" w:color="auto"/>
      </w:divBdr>
    </w:div>
    <w:div w:id="1772630755">
      <w:marLeft w:val="0"/>
      <w:marRight w:val="0"/>
      <w:marTop w:val="0"/>
      <w:marBottom w:val="0"/>
      <w:divBdr>
        <w:top w:val="none" w:sz="0" w:space="0" w:color="auto"/>
        <w:left w:val="none" w:sz="0" w:space="0" w:color="auto"/>
        <w:bottom w:val="none" w:sz="0" w:space="0" w:color="auto"/>
        <w:right w:val="none" w:sz="0" w:space="0" w:color="auto"/>
      </w:divBdr>
    </w:div>
    <w:div w:id="1772630756">
      <w:marLeft w:val="0"/>
      <w:marRight w:val="0"/>
      <w:marTop w:val="0"/>
      <w:marBottom w:val="0"/>
      <w:divBdr>
        <w:top w:val="none" w:sz="0" w:space="0" w:color="auto"/>
        <w:left w:val="none" w:sz="0" w:space="0" w:color="auto"/>
        <w:bottom w:val="none" w:sz="0" w:space="0" w:color="auto"/>
        <w:right w:val="none" w:sz="0" w:space="0" w:color="auto"/>
      </w:divBdr>
    </w:div>
    <w:div w:id="1772630757">
      <w:marLeft w:val="0"/>
      <w:marRight w:val="0"/>
      <w:marTop w:val="0"/>
      <w:marBottom w:val="0"/>
      <w:divBdr>
        <w:top w:val="none" w:sz="0" w:space="0" w:color="auto"/>
        <w:left w:val="none" w:sz="0" w:space="0" w:color="auto"/>
        <w:bottom w:val="none" w:sz="0" w:space="0" w:color="auto"/>
        <w:right w:val="none" w:sz="0" w:space="0" w:color="auto"/>
      </w:divBdr>
    </w:div>
    <w:div w:id="1772630758">
      <w:marLeft w:val="0"/>
      <w:marRight w:val="0"/>
      <w:marTop w:val="0"/>
      <w:marBottom w:val="0"/>
      <w:divBdr>
        <w:top w:val="none" w:sz="0" w:space="0" w:color="auto"/>
        <w:left w:val="none" w:sz="0" w:space="0" w:color="auto"/>
        <w:bottom w:val="none" w:sz="0" w:space="0" w:color="auto"/>
        <w:right w:val="none" w:sz="0" w:space="0" w:color="auto"/>
      </w:divBdr>
    </w:div>
    <w:div w:id="1772630759">
      <w:marLeft w:val="0"/>
      <w:marRight w:val="0"/>
      <w:marTop w:val="0"/>
      <w:marBottom w:val="0"/>
      <w:divBdr>
        <w:top w:val="none" w:sz="0" w:space="0" w:color="auto"/>
        <w:left w:val="none" w:sz="0" w:space="0" w:color="auto"/>
        <w:bottom w:val="none" w:sz="0" w:space="0" w:color="auto"/>
        <w:right w:val="none" w:sz="0" w:space="0" w:color="auto"/>
      </w:divBdr>
    </w:div>
    <w:div w:id="1772630760">
      <w:marLeft w:val="0"/>
      <w:marRight w:val="0"/>
      <w:marTop w:val="0"/>
      <w:marBottom w:val="0"/>
      <w:divBdr>
        <w:top w:val="none" w:sz="0" w:space="0" w:color="auto"/>
        <w:left w:val="none" w:sz="0" w:space="0" w:color="auto"/>
        <w:bottom w:val="none" w:sz="0" w:space="0" w:color="auto"/>
        <w:right w:val="none" w:sz="0" w:space="0" w:color="auto"/>
      </w:divBdr>
    </w:div>
    <w:div w:id="1772630761">
      <w:marLeft w:val="0"/>
      <w:marRight w:val="0"/>
      <w:marTop w:val="0"/>
      <w:marBottom w:val="0"/>
      <w:divBdr>
        <w:top w:val="none" w:sz="0" w:space="0" w:color="auto"/>
        <w:left w:val="none" w:sz="0" w:space="0" w:color="auto"/>
        <w:bottom w:val="none" w:sz="0" w:space="0" w:color="auto"/>
        <w:right w:val="none" w:sz="0" w:space="0" w:color="auto"/>
      </w:divBdr>
    </w:div>
    <w:div w:id="1772630762">
      <w:marLeft w:val="0"/>
      <w:marRight w:val="0"/>
      <w:marTop w:val="0"/>
      <w:marBottom w:val="0"/>
      <w:divBdr>
        <w:top w:val="none" w:sz="0" w:space="0" w:color="auto"/>
        <w:left w:val="none" w:sz="0" w:space="0" w:color="auto"/>
        <w:bottom w:val="none" w:sz="0" w:space="0" w:color="auto"/>
        <w:right w:val="none" w:sz="0" w:space="0" w:color="auto"/>
      </w:divBdr>
    </w:div>
    <w:div w:id="1772630763">
      <w:marLeft w:val="0"/>
      <w:marRight w:val="0"/>
      <w:marTop w:val="0"/>
      <w:marBottom w:val="0"/>
      <w:divBdr>
        <w:top w:val="none" w:sz="0" w:space="0" w:color="auto"/>
        <w:left w:val="none" w:sz="0" w:space="0" w:color="auto"/>
        <w:bottom w:val="none" w:sz="0" w:space="0" w:color="auto"/>
        <w:right w:val="none" w:sz="0" w:space="0" w:color="auto"/>
      </w:divBdr>
    </w:div>
    <w:div w:id="1772630764">
      <w:marLeft w:val="0"/>
      <w:marRight w:val="0"/>
      <w:marTop w:val="0"/>
      <w:marBottom w:val="0"/>
      <w:divBdr>
        <w:top w:val="none" w:sz="0" w:space="0" w:color="auto"/>
        <w:left w:val="none" w:sz="0" w:space="0" w:color="auto"/>
        <w:bottom w:val="none" w:sz="0" w:space="0" w:color="auto"/>
        <w:right w:val="none" w:sz="0" w:space="0" w:color="auto"/>
      </w:divBdr>
    </w:div>
    <w:div w:id="1772630765">
      <w:marLeft w:val="0"/>
      <w:marRight w:val="0"/>
      <w:marTop w:val="0"/>
      <w:marBottom w:val="0"/>
      <w:divBdr>
        <w:top w:val="none" w:sz="0" w:space="0" w:color="auto"/>
        <w:left w:val="none" w:sz="0" w:space="0" w:color="auto"/>
        <w:bottom w:val="none" w:sz="0" w:space="0" w:color="auto"/>
        <w:right w:val="none" w:sz="0" w:space="0" w:color="auto"/>
      </w:divBdr>
    </w:div>
    <w:div w:id="1772630766">
      <w:marLeft w:val="0"/>
      <w:marRight w:val="0"/>
      <w:marTop w:val="0"/>
      <w:marBottom w:val="0"/>
      <w:divBdr>
        <w:top w:val="none" w:sz="0" w:space="0" w:color="auto"/>
        <w:left w:val="none" w:sz="0" w:space="0" w:color="auto"/>
        <w:bottom w:val="none" w:sz="0" w:space="0" w:color="auto"/>
        <w:right w:val="none" w:sz="0" w:space="0" w:color="auto"/>
      </w:divBdr>
    </w:div>
    <w:div w:id="1772630767">
      <w:marLeft w:val="0"/>
      <w:marRight w:val="0"/>
      <w:marTop w:val="0"/>
      <w:marBottom w:val="0"/>
      <w:divBdr>
        <w:top w:val="none" w:sz="0" w:space="0" w:color="auto"/>
        <w:left w:val="none" w:sz="0" w:space="0" w:color="auto"/>
        <w:bottom w:val="none" w:sz="0" w:space="0" w:color="auto"/>
        <w:right w:val="none" w:sz="0" w:space="0" w:color="auto"/>
      </w:divBdr>
    </w:div>
    <w:div w:id="1772630768">
      <w:marLeft w:val="0"/>
      <w:marRight w:val="0"/>
      <w:marTop w:val="0"/>
      <w:marBottom w:val="0"/>
      <w:divBdr>
        <w:top w:val="none" w:sz="0" w:space="0" w:color="auto"/>
        <w:left w:val="none" w:sz="0" w:space="0" w:color="auto"/>
        <w:bottom w:val="none" w:sz="0" w:space="0" w:color="auto"/>
        <w:right w:val="none" w:sz="0" w:space="0" w:color="auto"/>
      </w:divBdr>
    </w:div>
    <w:div w:id="1772630769">
      <w:marLeft w:val="0"/>
      <w:marRight w:val="0"/>
      <w:marTop w:val="0"/>
      <w:marBottom w:val="0"/>
      <w:divBdr>
        <w:top w:val="none" w:sz="0" w:space="0" w:color="auto"/>
        <w:left w:val="none" w:sz="0" w:space="0" w:color="auto"/>
        <w:bottom w:val="none" w:sz="0" w:space="0" w:color="auto"/>
        <w:right w:val="none" w:sz="0" w:space="0" w:color="auto"/>
      </w:divBdr>
    </w:div>
    <w:div w:id="1772630770">
      <w:marLeft w:val="0"/>
      <w:marRight w:val="0"/>
      <w:marTop w:val="0"/>
      <w:marBottom w:val="0"/>
      <w:divBdr>
        <w:top w:val="none" w:sz="0" w:space="0" w:color="auto"/>
        <w:left w:val="none" w:sz="0" w:space="0" w:color="auto"/>
        <w:bottom w:val="none" w:sz="0" w:space="0" w:color="auto"/>
        <w:right w:val="none" w:sz="0" w:space="0" w:color="auto"/>
      </w:divBdr>
    </w:div>
    <w:div w:id="1772630771">
      <w:marLeft w:val="0"/>
      <w:marRight w:val="0"/>
      <w:marTop w:val="0"/>
      <w:marBottom w:val="0"/>
      <w:divBdr>
        <w:top w:val="none" w:sz="0" w:space="0" w:color="auto"/>
        <w:left w:val="none" w:sz="0" w:space="0" w:color="auto"/>
        <w:bottom w:val="none" w:sz="0" w:space="0" w:color="auto"/>
        <w:right w:val="none" w:sz="0" w:space="0" w:color="auto"/>
      </w:divBdr>
    </w:div>
    <w:div w:id="1772630772">
      <w:marLeft w:val="0"/>
      <w:marRight w:val="0"/>
      <w:marTop w:val="0"/>
      <w:marBottom w:val="0"/>
      <w:divBdr>
        <w:top w:val="none" w:sz="0" w:space="0" w:color="auto"/>
        <w:left w:val="none" w:sz="0" w:space="0" w:color="auto"/>
        <w:bottom w:val="none" w:sz="0" w:space="0" w:color="auto"/>
        <w:right w:val="none" w:sz="0" w:space="0" w:color="auto"/>
      </w:divBdr>
    </w:div>
    <w:div w:id="1772630773">
      <w:marLeft w:val="0"/>
      <w:marRight w:val="0"/>
      <w:marTop w:val="0"/>
      <w:marBottom w:val="0"/>
      <w:divBdr>
        <w:top w:val="none" w:sz="0" w:space="0" w:color="auto"/>
        <w:left w:val="none" w:sz="0" w:space="0" w:color="auto"/>
        <w:bottom w:val="none" w:sz="0" w:space="0" w:color="auto"/>
        <w:right w:val="none" w:sz="0" w:space="0" w:color="auto"/>
      </w:divBdr>
    </w:div>
    <w:div w:id="1772630774">
      <w:marLeft w:val="0"/>
      <w:marRight w:val="0"/>
      <w:marTop w:val="0"/>
      <w:marBottom w:val="0"/>
      <w:divBdr>
        <w:top w:val="none" w:sz="0" w:space="0" w:color="auto"/>
        <w:left w:val="none" w:sz="0" w:space="0" w:color="auto"/>
        <w:bottom w:val="none" w:sz="0" w:space="0" w:color="auto"/>
        <w:right w:val="none" w:sz="0" w:space="0" w:color="auto"/>
      </w:divBdr>
    </w:div>
    <w:div w:id="1772630775">
      <w:marLeft w:val="0"/>
      <w:marRight w:val="0"/>
      <w:marTop w:val="0"/>
      <w:marBottom w:val="0"/>
      <w:divBdr>
        <w:top w:val="none" w:sz="0" w:space="0" w:color="auto"/>
        <w:left w:val="none" w:sz="0" w:space="0" w:color="auto"/>
        <w:bottom w:val="none" w:sz="0" w:space="0" w:color="auto"/>
        <w:right w:val="none" w:sz="0" w:space="0" w:color="auto"/>
      </w:divBdr>
    </w:div>
    <w:div w:id="1772630776">
      <w:marLeft w:val="0"/>
      <w:marRight w:val="0"/>
      <w:marTop w:val="0"/>
      <w:marBottom w:val="0"/>
      <w:divBdr>
        <w:top w:val="none" w:sz="0" w:space="0" w:color="auto"/>
        <w:left w:val="none" w:sz="0" w:space="0" w:color="auto"/>
        <w:bottom w:val="none" w:sz="0" w:space="0" w:color="auto"/>
        <w:right w:val="none" w:sz="0" w:space="0" w:color="auto"/>
      </w:divBdr>
    </w:div>
    <w:div w:id="1772630777">
      <w:marLeft w:val="0"/>
      <w:marRight w:val="0"/>
      <w:marTop w:val="0"/>
      <w:marBottom w:val="0"/>
      <w:divBdr>
        <w:top w:val="none" w:sz="0" w:space="0" w:color="auto"/>
        <w:left w:val="none" w:sz="0" w:space="0" w:color="auto"/>
        <w:bottom w:val="none" w:sz="0" w:space="0" w:color="auto"/>
        <w:right w:val="none" w:sz="0" w:space="0" w:color="auto"/>
      </w:divBdr>
    </w:div>
    <w:div w:id="1772630778">
      <w:marLeft w:val="0"/>
      <w:marRight w:val="0"/>
      <w:marTop w:val="0"/>
      <w:marBottom w:val="0"/>
      <w:divBdr>
        <w:top w:val="none" w:sz="0" w:space="0" w:color="auto"/>
        <w:left w:val="none" w:sz="0" w:space="0" w:color="auto"/>
        <w:bottom w:val="none" w:sz="0" w:space="0" w:color="auto"/>
        <w:right w:val="none" w:sz="0" w:space="0" w:color="auto"/>
      </w:divBdr>
    </w:div>
    <w:div w:id="1772630779">
      <w:marLeft w:val="0"/>
      <w:marRight w:val="0"/>
      <w:marTop w:val="0"/>
      <w:marBottom w:val="0"/>
      <w:divBdr>
        <w:top w:val="none" w:sz="0" w:space="0" w:color="auto"/>
        <w:left w:val="none" w:sz="0" w:space="0" w:color="auto"/>
        <w:bottom w:val="none" w:sz="0" w:space="0" w:color="auto"/>
        <w:right w:val="none" w:sz="0" w:space="0" w:color="auto"/>
      </w:divBdr>
    </w:div>
    <w:div w:id="1772630780">
      <w:marLeft w:val="0"/>
      <w:marRight w:val="0"/>
      <w:marTop w:val="0"/>
      <w:marBottom w:val="0"/>
      <w:divBdr>
        <w:top w:val="none" w:sz="0" w:space="0" w:color="auto"/>
        <w:left w:val="none" w:sz="0" w:space="0" w:color="auto"/>
        <w:bottom w:val="none" w:sz="0" w:space="0" w:color="auto"/>
        <w:right w:val="none" w:sz="0" w:space="0" w:color="auto"/>
      </w:divBdr>
    </w:div>
    <w:div w:id="1772630781">
      <w:marLeft w:val="0"/>
      <w:marRight w:val="0"/>
      <w:marTop w:val="0"/>
      <w:marBottom w:val="0"/>
      <w:divBdr>
        <w:top w:val="none" w:sz="0" w:space="0" w:color="auto"/>
        <w:left w:val="none" w:sz="0" w:space="0" w:color="auto"/>
        <w:bottom w:val="none" w:sz="0" w:space="0" w:color="auto"/>
        <w:right w:val="none" w:sz="0" w:space="0" w:color="auto"/>
      </w:divBdr>
    </w:div>
    <w:div w:id="1772630782">
      <w:marLeft w:val="0"/>
      <w:marRight w:val="0"/>
      <w:marTop w:val="0"/>
      <w:marBottom w:val="0"/>
      <w:divBdr>
        <w:top w:val="none" w:sz="0" w:space="0" w:color="auto"/>
        <w:left w:val="none" w:sz="0" w:space="0" w:color="auto"/>
        <w:bottom w:val="none" w:sz="0" w:space="0" w:color="auto"/>
        <w:right w:val="none" w:sz="0" w:space="0" w:color="auto"/>
      </w:divBdr>
    </w:div>
    <w:div w:id="1772630783">
      <w:marLeft w:val="0"/>
      <w:marRight w:val="0"/>
      <w:marTop w:val="0"/>
      <w:marBottom w:val="0"/>
      <w:divBdr>
        <w:top w:val="none" w:sz="0" w:space="0" w:color="auto"/>
        <w:left w:val="none" w:sz="0" w:space="0" w:color="auto"/>
        <w:bottom w:val="none" w:sz="0" w:space="0" w:color="auto"/>
        <w:right w:val="none" w:sz="0" w:space="0" w:color="auto"/>
      </w:divBdr>
    </w:div>
    <w:div w:id="1772630784">
      <w:marLeft w:val="0"/>
      <w:marRight w:val="0"/>
      <w:marTop w:val="0"/>
      <w:marBottom w:val="0"/>
      <w:divBdr>
        <w:top w:val="none" w:sz="0" w:space="0" w:color="auto"/>
        <w:left w:val="none" w:sz="0" w:space="0" w:color="auto"/>
        <w:bottom w:val="none" w:sz="0" w:space="0" w:color="auto"/>
        <w:right w:val="none" w:sz="0" w:space="0" w:color="auto"/>
      </w:divBdr>
    </w:div>
    <w:div w:id="1772630785">
      <w:marLeft w:val="0"/>
      <w:marRight w:val="0"/>
      <w:marTop w:val="0"/>
      <w:marBottom w:val="0"/>
      <w:divBdr>
        <w:top w:val="none" w:sz="0" w:space="0" w:color="auto"/>
        <w:left w:val="none" w:sz="0" w:space="0" w:color="auto"/>
        <w:bottom w:val="none" w:sz="0" w:space="0" w:color="auto"/>
        <w:right w:val="none" w:sz="0" w:space="0" w:color="auto"/>
      </w:divBdr>
    </w:div>
    <w:div w:id="1772630786">
      <w:marLeft w:val="0"/>
      <w:marRight w:val="0"/>
      <w:marTop w:val="0"/>
      <w:marBottom w:val="0"/>
      <w:divBdr>
        <w:top w:val="none" w:sz="0" w:space="0" w:color="auto"/>
        <w:left w:val="none" w:sz="0" w:space="0" w:color="auto"/>
        <w:bottom w:val="none" w:sz="0" w:space="0" w:color="auto"/>
        <w:right w:val="none" w:sz="0" w:space="0" w:color="auto"/>
      </w:divBdr>
    </w:div>
    <w:div w:id="1772630787">
      <w:marLeft w:val="0"/>
      <w:marRight w:val="0"/>
      <w:marTop w:val="0"/>
      <w:marBottom w:val="0"/>
      <w:divBdr>
        <w:top w:val="none" w:sz="0" w:space="0" w:color="auto"/>
        <w:left w:val="none" w:sz="0" w:space="0" w:color="auto"/>
        <w:bottom w:val="none" w:sz="0" w:space="0" w:color="auto"/>
        <w:right w:val="none" w:sz="0" w:space="0" w:color="auto"/>
      </w:divBdr>
    </w:div>
    <w:div w:id="1772630788">
      <w:marLeft w:val="0"/>
      <w:marRight w:val="0"/>
      <w:marTop w:val="0"/>
      <w:marBottom w:val="0"/>
      <w:divBdr>
        <w:top w:val="none" w:sz="0" w:space="0" w:color="auto"/>
        <w:left w:val="none" w:sz="0" w:space="0" w:color="auto"/>
        <w:bottom w:val="none" w:sz="0" w:space="0" w:color="auto"/>
        <w:right w:val="none" w:sz="0" w:space="0" w:color="auto"/>
      </w:divBdr>
    </w:div>
    <w:div w:id="1772630789">
      <w:marLeft w:val="0"/>
      <w:marRight w:val="0"/>
      <w:marTop w:val="0"/>
      <w:marBottom w:val="0"/>
      <w:divBdr>
        <w:top w:val="none" w:sz="0" w:space="0" w:color="auto"/>
        <w:left w:val="none" w:sz="0" w:space="0" w:color="auto"/>
        <w:bottom w:val="none" w:sz="0" w:space="0" w:color="auto"/>
        <w:right w:val="none" w:sz="0" w:space="0" w:color="auto"/>
      </w:divBdr>
    </w:div>
    <w:div w:id="1772630790">
      <w:marLeft w:val="0"/>
      <w:marRight w:val="0"/>
      <w:marTop w:val="0"/>
      <w:marBottom w:val="0"/>
      <w:divBdr>
        <w:top w:val="none" w:sz="0" w:space="0" w:color="auto"/>
        <w:left w:val="none" w:sz="0" w:space="0" w:color="auto"/>
        <w:bottom w:val="none" w:sz="0" w:space="0" w:color="auto"/>
        <w:right w:val="none" w:sz="0" w:space="0" w:color="auto"/>
      </w:divBdr>
    </w:div>
    <w:div w:id="1772630791">
      <w:marLeft w:val="0"/>
      <w:marRight w:val="0"/>
      <w:marTop w:val="0"/>
      <w:marBottom w:val="0"/>
      <w:divBdr>
        <w:top w:val="none" w:sz="0" w:space="0" w:color="auto"/>
        <w:left w:val="none" w:sz="0" w:space="0" w:color="auto"/>
        <w:bottom w:val="none" w:sz="0" w:space="0" w:color="auto"/>
        <w:right w:val="none" w:sz="0" w:space="0" w:color="auto"/>
      </w:divBdr>
    </w:div>
    <w:div w:id="1772630792">
      <w:marLeft w:val="0"/>
      <w:marRight w:val="0"/>
      <w:marTop w:val="0"/>
      <w:marBottom w:val="0"/>
      <w:divBdr>
        <w:top w:val="none" w:sz="0" w:space="0" w:color="auto"/>
        <w:left w:val="none" w:sz="0" w:space="0" w:color="auto"/>
        <w:bottom w:val="none" w:sz="0" w:space="0" w:color="auto"/>
        <w:right w:val="none" w:sz="0" w:space="0" w:color="auto"/>
      </w:divBdr>
    </w:div>
    <w:div w:id="1772630793">
      <w:marLeft w:val="0"/>
      <w:marRight w:val="0"/>
      <w:marTop w:val="0"/>
      <w:marBottom w:val="0"/>
      <w:divBdr>
        <w:top w:val="none" w:sz="0" w:space="0" w:color="auto"/>
        <w:left w:val="none" w:sz="0" w:space="0" w:color="auto"/>
        <w:bottom w:val="none" w:sz="0" w:space="0" w:color="auto"/>
        <w:right w:val="none" w:sz="0" w:space="0" w:color="auto"/>
      </w:divBdr>
    </w:div>
    <w:div w:id="1772630794">
      <w:marLeft w:val="0"/>
      <w:marRight w:val="0"/>
      <w:marTop w:val="0"/>
      <w:marBottom w:val="0"/>
      <w:divBdr>
        <w:top w:val="none" w:sz="0" w:space="0" w:color="auto"/>
        <w:left w:val="none" w:sz="0" w:space="0" w:color="auto"/>
        <w:bottom w:val="none" w:sz="0" w:space="0" w:color="auto"/>
        <w:right w:val="none" w:sz="0" w:space="0" w:color="auto"/>
      </w:divBdr>
    </w:div>
    <w:div w:id="1772630795">
      <w:marLeft w:val="0"/>
      <w:marRight w:val="0"/>
      <w:marTop w:val="0"/>
      <w:marBottom w:val="0"/>
      <w:divBdr>
        <w:top w:val="none" w:sz="0" w:space="0" w:color="auto"/>
        <w:left w:val="none" w:sz="0" w:space="0" w:color="auto"/>
        <w:bottom w:val="none" w:sz="0" w:space="0" w:color="auto"/>
        <w:right w:val="none" w:sz="0" w:space="0" w:color="auto"/>
      </w:divBdr>
    </w:div>
    <w:div w:id="1772630796">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 w:id="1772630798">
      <w:marLeft w:val="0"/>
      <w:marRight w:val="0"/>
      <w:marTop w:val="0"/>
      <w:marBottom w:val="0"/>
      <w:divBdr>
        <w:top w:val="none" w:sz="0" w:space="0" w:color="auto"/>
        <w:left w:val="none" w:sz="0" w:space="0" w:color="auto"/>
        <w:bottom w:val="none" w:sz="0" w:space="0" w:color="auto"/>
        <w:right w:val="none" w:sz="0" w:space="0" w:color="auto"/>
      </w:divBdr>
    </w:div>
    <w:div w:id="1772630799">
      <w:marLeft w:val="0"/>
      <w:marRight w:val="0"/>
      <w:marTop w:val="0"/>
      <w:marBottom w:val="0"/>
      <w:divBdr>
        <w:top w:val="none" w:sz="0" w:space="0" w:color="auto"/>
        <w:left w:val="none" w:sz="0" w:space="0" w:color="auto"/>
        <w:bottom w:val="none" w:sz="0" w:space="0" w:color="auto"/>
        <w:right w:val="none" w:sz="0" w:space="0" w:color="auto"/>
      </w:divBdr>
    </w:div>
    <w:div w:id="1772630800">
      <w:marLeft w:val="0"/>
      <w:marRight w:val="0"/>
      <w:marTop w:val="0"/>
      <w:marBottom w:val="0"/>
      <w:divBdr>
        <w:top w:val="none" w:sz="0" w:space="0" w:color="auto"/>
        <w:left w:val="none" w:sz="0" w:space="0" w:color="auto"/>
        <w:bottom w:val="none" w:sz="0" w:space="0" w:color="auto"/>
        <w:right w:val="none" w:sz="0" w:space="0" w:color="auto"/>
      </w:divBdr>
    </w:div>
    <w:div w:id="1772630801">
      <w:marLeft w:val="0"/>
      <w:marRight w:val="0"/>
      <w:marTop w:val="0"/>
      <w:marBottom w:val="0"/>
      <w:divBdr>
        <w:top w:val="none" w:sz="0" w:space="0" w:color="auto"/>
        <w:left w:val="none" w:sz="0" w:space="0" w:color="auto"/>
        <w:bottom w:val="none" w:sz="0" w:space="0" w:color="auto"/>
        <w:right w:val="none" w:sz="0" w:space="0" w:color="auto"/>
      </w:divBdr>
    </w:div>
    <w:div w:id="1772630802">
      <w:marLeft w:val="0"/>
      <w:marRight w:val="0"/>
      <w:marTop w:val="0"/>
      <w:marBottom w:val="0"/>
      <w:divBdr>
        <w:top w:val="none" w:sz="0" w:space="0" w:color="auto"/>
        <w:left w:val="none" w:sz="0" w:space="0" w:color="auto"/>
        <w:bottom w:val="none" w:sz="0" w:space="0" w:color="auto"/>
        <w:right w:val="none" w:sz="0" w:space="0" w:color="auto"/>
      </w:divBdr>
    </w:div>
    <w:div w:id="1772630803">
      <w:marLeft w:val="0"/>
      <w:marRight w:val="0"/>
      <w:marTop w:val="0"/>
      <w:marBottom w:val="0"/>
      <w:divBdr>
        <w:top w:val="none" w:sz="0" w:space="0" w:color="auto"/>
        <w:left w:val="none" w:sz="0" w:space="0" w:color="auto"/>
        <w:bottom w:val="none" w:sz="0" w:space="0" w:color="auto"/>
        <w:right w:val="none" w:sz="0" w:space="0" w:color="auto"/>
      </w:divBdr>
    </w:div>
    <w:div w:id="1772630804">
      <w:marLeft w:val="0"/>
      <w:marRight w:val="0"/>
      <w:marTop w:val="0"/>
      <w:marBottom w:val="0"/>
      <w:divBdr>
        <w:top w:val="none" w:sz="0" w:space="0" w:color="auto"/>
        <w:left w:val="none" w:sz="0" w:space="0" w:color="auto"/>
        <w:bottom w:val="none" w:sz="0" w:space="0" w:color="auto"/>
        <w:right w:val="none" w:sz="0" w:space="0" w:color="auto"/>
      </w:divBdr>
    </w:div>
    <w:div w:id="1772630805">
      <w:marLeft w:val="0"/>
      <w:marRight w:val="0"/>
      <w:marTop w:val="0"/>
      <w:marBottom w:val="0"/>
      <w:divBdr>
        <w:top w:val="none" w:sz="0" w:space="0" w:color="auto"/>
        <w:left w:val="none" w:sz="0" w:space="0" w:color="auto"/>
        <w:bottom w:val="none" w:sz="0" w:space="0" w:color="auto"/>
        <w:right w:val="none" w:sz="0" w:space="0" w:color="auto"/>
      </w:divBdr>
    </w:div>
    <w:div w:id="1772630806">
      <w:marLeft w:val="0"/>
      <w:marRight w:val="0"/>
      <w:marTop w:val="0"/>
      <w:marBottom w:val="0"/>
      <w:divBdr>
        <w:top w:val="none" w:sz="0" w:space="0" w:color="auto"/>
        <w:left w:val="none" w:sz="0" w:space="0" w:color="auto"/>
        <w:bottom w:val="none" w:sz="0" w:space="0" w:color="auto"/>
        <w:right w:val="none" w:sz="0" w:space="0" w:color="auto"/>
      </w:divBdr>
    </w:div>
    <w:div w:id="1772630807">
      <w:marLeft w:val="0"/>
      <w:marRight w:val="0"/>
      <w:marTop w:val="0"/>
      <w:marBottom w:val="0"/>
      <w:divBdr>
        <w:top w:val="none" w:sz="0" w:space="0" w:color="auto"/>
        <w:left w:val="none" w:sz="0" w:space="0" w:color="auto"/>
        <w:bottom w:val="none" w:sz="0" w:space="0" w:color="auto"/>
        <w:right w:val="none" w:sz="0" w:space="0" w:color="auto"/>
      </w:divBdr>
    </w:div>
    <w:div w:id="1772630808">
      <w:marLeft w:val="0"/>
      <w:marRight w:val="0"/>
      <w:marTop w:val="0"/>
      <w:marBottom w:val="0"/>
      <w:divBdr>
        <w:top w:val="none" w:sz="0" w:space="0" w:color="auto"/>
        <w:left w:val="none" w:sz="0" w:space="0" w:color="auto"/>
        <w:bottom w:val="none" w:sz="0" w:space="0" w:color="auto"/>
        <w:right w:val="none" w:sz="0" w:space="0" w:color="auto"/>
      </w:divBdr>
    </w:div>
    <w:div w:id="1772630809">
      <w:marLeft w:val="0"/>
      <w:marRight w:val="0"/>
      <w:marTop w:val="0"/>
      <w:marBottom w:val="0"/>
      <w:divBdr>
        <w:top w:val="none" w:sz="0" w:space="0" w:color="auto"/>
        <w:left w:val="none" w:sz="0" w:space="0" w:color="auto"/>
        <w:bottom w:val="none" w:sz="0" w:space="0" w:color="auto"/>
        <w:right w:val="none" w:sz="0" w:space="0" w:color="auto"/>
      </w:divBdr>
    </w:div>
    <w:div w:id="1772630810">
      <w:marLeft w:val="0"/>
      <w:marRight w:val="0"/>
      <w:marTop w:val="0"/>
      <w:marBottom w:val="0"/>
      <w:divBdr>
        <w:top w:val="none" w:sz="0" w:space="0" w:color="auto"/>
        <w:left w:val="none" w:sz="0" w:space="0" w:color="auto"/>
        <w:bottom w:val="none" w:sz="0" w:space="0" w:color="auto"/>
        <w:right w:val="none" w:sz="0" w:space="0" w:color="auto"/>
      </w:divBdr>
    </w:div>
    <w:div w:id="1772630811">
      <w:marLeft w:val="0"/>
      <w:marRight w:val="0"/>
      <w:marTop w:val="0"/>
      <w:marBottom w:val="0"/>
      <w:divBdr>
        <w:top w:val="none" w:sz="0" w:space="0" w:color="auto"/>
        <w:left w:val="none" w:sz="0" w:space="0" w:color="auto"/>
        <w:bottom w:val="none" w:sz="0" w:space="0" w:color="auto"/>
        <w:right w:val="none" w:sz="0" w:space="0" w:color="auto"/>
      </w:divBdr>
    </w:div>
    <w:div w:id="1772630812">
      <w:marLeft w:val="0"/>
      <w:marRight w:val="0"/>
      <w:marTop w:val="0"/>
      <w:marBottom w:val="0"/>
      <w:divBdr>
        <w:top w:val="none" w:sz="0" w:space="0" w:color="auto"/>
        <w:left w:val="none" w:sz="0" w:space="0" w:color="auto"/>
        <w:bottom w:val="none" w:sz="0" w:space="0" w:color="auto"/>
        <w:right w:val="none" w:sz="0" w:space="0" w:color="auto"/>
      </w:divBdr>
    </w:div>
    <w:div w:id="1772630813">
      <w:marLeft w:val="0"/>
      <w:marRight w:val="0"/>
      <w:marTop w:val="0"/>
      <w:marBottom w:val="0"/>
      <w:divBdr>
        <w:top w:val="none" w:sz="0" w:space="0" w:color="auto"/>
        <w:left w:val="none" w:sz="0" w:space="0" w:color="auto"/>
        <w:bottom w:val="none" w:sz="0" w:space="0" w:color="auto"/>
        <w:right w:val="none" w:sz="0" w:space="0" w:color="auto"/>
      </w:divBdr>
    </w:div>
    <w:div w:id="1772630814">
      <w:marLeft w:val="0"/>
      <w:marRight w:val="0"/>
      <w:marTop w:val="0"/>
      <w:marBottom w:val="0"/>
      <w:divBdr>
        <w:top w:val="none" w:sz="0" w:space="0" w:color="auto"/>
        <w:left w:val="none" w:sz="0" w:space="0" w:color="auto"/>
        <w:bottom w:val="none" w:sz="0" w:space="0" w:color="auto"/>
        <w:right w:val="none" w:sz="0" w:space="0" w:color="auto"/>
      </w:divBdr>
    </w:div>
    <w:div w:id="1772630815">
      <w:marLeft w:val="0"/>
      <w:marRight w:val="0"/>
      <w:marTop w:val="0"/>
      <w:marBottom w:val="0"/>
      <w:divBdr>
        <w:top w:val="none" w:sz="0" w:space="0" w:color="auto"/>
        <w:left w:val="none" w:sz="0" w:space="0" w:color="auto"/>
        <w:bottom w:val="none" w:sz="0" w:space="0" w:color="auto"/>
        <w:right w:val="none" w:sz="0" w:space="0" w:color="auto"/>
      </w:divBdr>
    </w:div>
    <w:div w:id="1772630816">
      <w:marLeft w:val="0"/>
      <w:marRight w:val="0"/>
      <w:marTop w:val="0"/>
      <w:marBottom w:val="0"/>
      <w:divBdr>
        <w:top w:val="none" w:sz="0" w:space="0" w:color="auto"/>
        <w:left w:val="none" w:sz="0" w:space="0" w:color="auto"/>
        <w:bottom w:val="none" w:sz="0" w:space="0" w:color="auto"/>
        <w:right w:val="none" w:sz="0" w:space="0" w:color="auto"/>
      </w:divBdr>
    </w:div>
    <w:div w:id="1772630817">
      <w:marLeft w:val="0"/>
      <w:marRight w:val="0"/>
      <w:marTop w:val="0"/>
      <w:marBottom w:val="0"/>
      <w:divBdr>
        <w:top w:val="none" w:sz="0" w:space="0" w:color="auto"/>
        <w:left w:val="none" w:sz="0" w:space="0" w:color="auto"/>
        <w:bottom w:val="none" w:sz="0" w:space="0" w:color="auto"/>
        <w:right w:val="none" w:sz="0" w:space="0" w:color="auto"/>
      </w:divBdr>
    </w:div>
    <w:div w:id="1772630818">
      <w:marLeft w:val="0"/>
      <w:marRight w:val="0"/>
      <w:marTop w:val="0"/>
      <w:marBottom w:val="0"/>
      <w:divBdr>
        <w:top w:val="none" w:sz="0" w:space="0" w:color="auto"/>
        <w:left w:val="none" w:sz="0" w:space="0" w:color="auto"/>
        <w:bottom w:val="none" w:sz="0" w:space="0" w:color="auto"/>
        <w:right w:val="none" w:sz="0" w:space="0" w:color="auto"/>
      </w:divBdr>
    </w:div>
    <w:div w:id="1772630819">
      <w:marLeft w:val="0"/>
      <w:marRight w:val="0"/>
      <w:marTop w:val="0"/>
      <w:marBottom w:val="0"/>
      <w:divBdr>
        <w:top w:val="none" w:sz="0" w:space="0" w:color="auto"/>
        <w:left w:val="none" w:sz="0" w:space="0" w:color="auto"/>
        <w:bottom w:val="none" w:sz="0" w:space="0" w:color="auto"/>
        <w:right w:val="none" w:sz="0" w:space="0" w:color="auto"/>
      </w:divBdr>
    </w:div>
    <w:div w:id="1772630820">
      <w:marLeft w:val="0"/>
      <w:marRight w:val="0"/>
      <w:marTop w:val="0"/>
      <w:marBottom w:val="0"/>
      <w:divBdr>
        <w:top w:val="none" w:sz="0" w:space="0" w:color="auto"/>
        <w:left w:val="none" w:sz="0" w:space="0" w:color="auto"/>
        <w:bottom w:val="none" w:sz="0" w:space="0" w:color="auto"/>
        <w:right w:val="none" w:sz="0" w:space="0" w:color="auto"/>
      </w:divBdr>
    </w:div>
    <w:div w:id="1772630821">
      <w:marLeft w:val="0"/>
      <w:marRight w:val="0"/>
      <w:marTop w:val="0"/>
      <w:marBottom w:val="0"/>
      <w:divBdr>
        <w:top w:val="none" w:sz="0" w:space="0" w:color="auto"/>
        <w:left w:val="none" w:sz="0" w:space="0" w:color="auto"/>
        <w:bottom w:val="none" w:sz="0" w:space="0" w:color="auto"/>
        <w:right w:val="none" w:sz="0" w:space="0" w:color="auto"/>
      </w:divBdr>
    </w:div>
    <w:div w:id="1772630822">
      <w:marLeft w:val="0"/>
      <w:marRight w:val="0"/>
      <w:marTop w:val="0"/>
      <w:marBottom w:val="0"/>
      <w:divBdr>
        <w:top w:val="none" w:sz="0" w:space="0" w:color="auto"/>
        <w:left w:val="none" w:sz="0" w:space="0" w:color="auto"/>
        <w:bottom w:val="none" w:sz="0" w:space="0" w:color="auto"/>
        <w:right w:val="none" w:sz="0" w:space="0" w:color="auto"/>
      </w:divBdr>
    </w:div>
    <w:div w:id="1772630823">
      <w:marLeft w:val="0"/>
      <w:marRight w:val="0"/>
      <w:marTop w:val="0"/>
      <w:marBottom w:val="0"/>
      <w:divBdr>
        <w:top w:val="none" w:sz="0" w:space="0" w:color="auto"/>
        <w:left w:val="none" w:sz="0" w:space="0" w:color="auto"/>
        <w:bottom w:val="none" w:sz="0" w:space="0" w:color="auto"/>
        <w:right w:val="none" w:sz="0" w:space="0" w:color="auto"/>
      </w:divBdr>
    </w:div>
    <w:div w:id="1772630824">
      <w:marLeft w:val="0"/>
      <w:marRight w:val="0"/>
      <w:marTop w:val="0"/>
      <w:marBottom w:val="0"/>
      <w:divBdr>
        <w:top w:val="none" w:sz="0" w:space="0" w:color="auto"/>
        <w:left w:val="none" w:sz="0" w:space="0" w:color="auto"/>
        <w:bottom w:val="none" w:sz="0" w:space="0" w:color="auto"/>
        <w:right w:val="none" w:sz="0" w:space="0" w:color="auto"/>
      </w:divBdr>
    </w:div>
    <w:div w:id="1772630825">
      <w:marLeft w:val="0"/>
      <w:marRight w:val="0"/>
      <w:marTop w:val="0"/>
      <w:marBottom w:val="0"/>
      <w:divBdr>
        <w:top w:val="none" w:sz="0" w:space="0" w:color="auto"/>
        <w:left w:val="none" w:sz="0" w:space="0" w:color="auto"/>
        <w:bottom w:val="none" w:sz="0" w:space="0" w:color="auto"/>
        <w:right w:val="none" w:sz="0" w:space="0" w:color="auto"/>
      </w:divBdr>
    </w:div>
    <w:div w:id="1772630826">
      <w:marLeft w:val="0"/>
      <w:marRight w:val="0"/>
      <w:marTop w:val="0"/>
      <w:marBottom w:val="0"/>
      <w:divBdr>
        <w:top w:val="none" w:sz="0" w:space="0" w:color="auto"/>
        <w:left w:val="none" w:sz="0" w:space="0" w:color="auto"/>
        <w:bottom w:val="none" w:sz="0" w:space="0" w:color="auto"/>
        <w:right w:val="none" w:sz="0" w:space="0" w:color="auto"/>
      </w:divBdr>
    </w:div>
    <w:div w:id="1772630827">
      <w:marLeft w:val="0"/>
      <w:marRight w:val="0"/>
      <w:marTop w:val="0"/>
      <w:marBottom w:val="0"/>
      <w:divBdr>
        <w:top w:val="none" w:sz="0" w:space="0" w:color="auto"/>
        <w:left w:val="none" w:sz="0" w:space="0" w:color="auto"/>
        <w:bottom w:val="none" w:sz="0" w:space="0" w:color="auto"/>
        <w:right w:val="none" w:sz="0" w:space="0" w:color="auto"/>
      </w:divBdr>
    </w:div>
    <w:div w:id="1772630828">
      <w:marLeft w:val="0"/>
      <w:marRight w:val="0"/>
      <w:marTop w:val="0"/>
      <w:marBottom w:val="0"/>
      <w:divBdr>
        <w:top w:val="none" w:sz="0" w:space="0" w:color="auto"/>
        <w:left w:val="none" w:sz="0" w:space="0" w:color="auto"/>
        <w:bottom w:val="none" w:sz="0" w:space="0" w:color="auto"/>
        <w:right w:val="none" w:sz="0" w:space="0" w:color="auto"/>
      </w:divBdr>
    </w:div>
    <w:div w:id="1772630829">
      <w:marLeft w:val="0"/>
      <w:marRight w:val="0"/>
      <w:marTop w:val="0"/>
      <w:marBottom w:val="0"/>
      <w:divBdr>
        <w:top w:val="none" w:sz="0" w:space="0" w:color="auto"/>
        <w:left w:val="none" w:sz="0" w:space="0" w:color="auto"/>
        <w:bottom w:val="none" w:sz="0" w:space="0" w:color="auto"/>
        <w:right w:val="none" w:sz="0" w:space="0" w:color="auto"/>
      </w:divBdr>
    </w:div>
    <w:div w:id="1772630830">
      <w:marLeft w:val="0"/>
      <w:marRight w:val="0"/>
      <w:marTop w:val="0"/>
      <w:marBottom w:val="0"/>
      <w:divBdr>
        <w:top w:val="none" w:sz="0" w:space="0" w:color="auto"/>
        <w:left w:val="none" w:sz="0" w:space="0" w:color="auto"/>
        <w:bottom w:val="none" w:sz="0" w:space="0" w:color="auto"/>
        <w:right w:val="none" w:sz="0" w:space="0" w:color="auto"/>
      </w:divBdr>
    </w:div>
    <w:div w:id="1772630831">
      <w:marLeft w:val="0"/>
      <w:marRight w:val="0"/>
      <w:marTop w:val="0"/>
      <w:marBottom w:val="0"/>
      <w:divBdr>
        <w:top w:val="none" w:sz="0" w:space="0" w:color="auto"/>
        <w:left w:val="none" w:sz="0" w:space="0" w:color="auto"/>
        <w:bottom w:val="none" w:sz="0" w:space="0" w:color="auto"/>
        <w:right w:val="none" w:sz="0" w:space="0" w:color="auto"/>
      </w:divBdr>
    </w:div>
    <w:div w:id="1772630832">
      <w:marLeft w:val="0"/>
      <w:marRight w:val="0"/>
      <w:marTop w:val="0"/>
      <w:marBottom w:val="0"/>
      <w:divBdr>
        <w:top w:val="none" w:sz="0" w:space="0" w:color="auto"/>
        <w:left w:val="none" w:sz="0" w:space="0" w:color="auto"/>
        <w:bottom w:val="none" w:sz="0" w:space="0" w:color="auto"/>
        <w:right w:val="none" w:sz="0" w:space="0" w:color="auto"/>
      </w:divBdr>
    </w:div>
    <w:div w:id="1772630833">
      <w:marLeft w:val="0"/>
      <w:marRight w:val="0"/>
      <w:marTop w:val="0"/>
      <w:marBottom w:val="0"/>
      <w:divBdr>
        <w:top w:val="none" w:sz="0" w:space="0" w:color="auto"/>
        <w:left w:val="none" w:sz="0" w:space="0" w:color="auto"/>
        <w:bottom w:val="none" w:sz="0" w:space="0" w:color="auto"/>
        <w:right w:val="none" w:sz="0" w:space="0" w:color="auto"/>
      </w:divBdr>
    </w:div>
    <w:div w:id="1772630834">
      <w:marLeft w:val="0"/>
      <w:marRight w:val="0"/>
      <w:marTop w:val="0"/>
      <w:marBottom w:val="0"/>
      <w:divBdr>
        <w:top w:val="none" w:sz="0" w:space="0" w:color="auto"/>
        <w:left w:val="none" w:sz="0" w:space="0" w:color="auto"/>
        <w:bottom w:val="none" w:sz="0" w:space="0" w:color="auto"/>
        <w:right w:val="none" w:sz="0" w:space="0" w:color="auto"/>
      </w:divBdr>
    </w:div>
    <w:div w:id="1772630835">
      <w:marLeft w:val="0"/>
      <w:marRight w:val="0"/>
      <w:marTop w:val="0"/>
      <w:marBottom w:val="0"/>
      <w:divBdr>
        <w:top w:val="none" w:sz="0" w:space="0" w:color="auto"/>
        <w:left w:val="none" w:sz="0" w:space="0" w:color="auto"/>
        <w:bottom w:val="none" w:sz="0" w:space="0" w:color="auto"/>
        <w:right w:val="none" w:sz="0" w:space="0" w:color="auto"/>
      </w:divBdr>
    </w:div>
    <w:div w:id="1772630836">
      <w:marLeft w:val="0"/>
      <w:marRight w:val="0"/>
      <w:marTop w:val="0"/>
      <w:marBottom w:val="0"/>
      <w:divBdr>
        <w:top w:val="none" w:sz="0" w:space="0" w:color="auto"/>
        <w:left w:val="none" w:sz="0" w:space="0" w:color="auto"/>
        <w:bottom w:val="none" w:sz="0" w:space="0" w:color="auto"/>
        <w:right w:val="none" w:sz="0" w:space="0" w:color="auto"/>
      </w:divBdr>
    </w:div>
    <w:div w:id="1772630837">
      <w:marLeft w:val="0"/>
      <w:marRight w:val="0"/>
      <w:marTop w:val="0"/>
      <w:marBottom w:val="0"/>
      <w:divBdr>
        <w:top w:val="none" w:sz="0" w:space="0" w:color="auto"/>
        <w:left w:val="none" w:sz="0" w:space="0" w:color="auto"/>
        <w:bottom w:val="none" w:sz="0" w:space="0" w:color="auto"/>
        <w:right w:val="none" w:sz="0" w:space="0" w:color="auto"/>
      </w:divBdr>
    </w:div>
    <w:div w:id="1772630838">
      <w:marLeft w:val="0"/>
      <w:marRight w:val="0"/>
      <w:marTop w:val="0"/>
      <w:marBottom w:val="0"/>
      <w:divBdr>
        <w:top w:val="none" w:sz="0" w:space="0" w:color="auto"/>
        <w:left w:val="none" w:sz="0" w:space="0" w:color="auto"/>
        <w:bottom w:val="none" w:sz="0" w:space="0" w:color="auto"/>
        <w:right w:val="none" w:sz="0" w:space="0" w:color="auto"/>
      </w:divBdr>
    </w:div>
    <w:div w:id="1772630839">
      <w:marLeft w:val="0"/>
      <w:marRight w:val="0"/>
      <w:marTop w:val="0"/>
      <w:marBottom w:val="0"/>
      <w:divBdr>
        <w:top w:val="none" w:sz="0" w:space="0" w:color="auto"/>
        <w:left w:val="none" w:sz="0" w:space="0" w:color="auto"/>
        <w:bottom w:val="none" w:sz="0" w:space="0" w:color="auto"/>
        <w:right w:val="none" w:sz="0" w:space="0" w:color="auto"/>
      </w:divBdr>
    </w:div>
    <w:div w:id="1772630840">
      <w:marLeft w:val="0"/>
      <w:marRight w:val="0"/>
      <w:marTop w:val="0"/>
      <w:marBottom w:val="0"/>
      <w:divBdr>
        <w:top w:val="none" w:sz="0" w:space="0" w:color="auto"/>
        <w:left w:val="none" w:sz="0" w:space="0" w:color="auto"/>
        <w:bottom w:val="none" w:sz="0" w:space="0" w:color="auto"/>
        <w:right w:val="none" w:sz="0" w:space="0" w:color="auto"/>
      </w:divBdr>
    </w:div>
    <w:div w:id="1772630841">
      <w:marLeft w:val="0"/>
      <w:marRight w:val="0"/>
      <w:marTop w:val="0"/>
      <w:marBottom w:val="0"/>
      <w:divBdr>
        <w:top w:val="none" w:sz="0" w:space="0" w:color="auto"/>
        <w:left w:val="none" w:sz="0" w:space="0" w:color="auto"/>
        <w:bottom w:val="none" w:sz="0" w:space="0" w:color="auto"/>
        <w:right w:val="none" w:sz="0" w:space="0" w:color="auto"/>
      </w:divBdr>
    </w:div>
    <w:div w:id="1772630842">
      <w:marLeft w:val="0"/>
      <w:marRight w:val="0"/>
      <w:marTop w:val="0"/>
      <w:marBottom w:val="0"/>
      <w:divBdr>
        <w:top w:val="none" w:sz="0" w:space="0" w:color="auto"/>
        <w:left w:val="none" w:sz="0" w:space="0" w:color="auto"/>
        <w:bottom w:val="none" w:sz="0" w:space="0" w:color="auto"/>
        <w:right w:val="none" w:sz="0" w:space="0" w:color="auto"/>
      </w:divBdr>
    </w:div>
    <w:div w:id="1772630843">
      <w:marLeft w:val="0"/>
      <w:marRight w:val="0"/>
      <w:marTop w:val="0"/>
      <w:marBottom w:val="0"/>
      <w:divBdr>
        <w:top w:val="none" w:sz="0" w:space="0" w:color="auto"/>
        <w:left w:val="none" w:sz="0" w:space="0" w:color="auto"/>
        <w:bottom w:val="none" w:sz="0" w:space="0" w:color="auto"/>
        <w:right w:val="none" w:sz="0" w:space="0" w:color="auto"/>
      </w:divBdr>
    </w:div>
    <w:div w:id="1772630844">
      <w:marLeft w:val="0"/>
      <w:marRight w:val="0"/>
      <w:marTop w:val="0"/>
      <w:marBottom w:val="0"/>
      <w:divBdr>
        <w:top w:val="none" w:sz="0" w:space="0" w:color="auto"/>
        <w:left w:val="none" w:sz="0" w:space="0" w:color="auto"/>
        <w:bottom w:val="none" w:sz="0" w:space="0" w:color="auto"/>
        <w:right w:val="none" w:sz="0" w:space="0" w:color="auto"/>
      </w:divBdr>
    </w:div>
    <w:div w:id="1772630845">
      <w:marLeft w:val="0"/>
      <w:marRight w:val="0"/>
      <w:marTop w:val="0"/>
      <w:marBottom w:val="0"/>
      <w:divBdr>
        <w:top w:val="none" w:sz="0" w:space="0" w:color="auto"/>
        <w:left w:val="none" w:sz="0" w:space="0" w:color="auto"/>
        <w:bottom w:val="none" w:sz="0" w:space="0" w:color="auto"/>
        <w:right w:val="none" w:sz="0" w:space="0" w:color="auto"/>
      </w:divBdr>
    </w:div>
    <w:div w:id="1778065867">
      <w:bodyDiv w:val="1"/>
      <w:marLeft w:val="0"/>
      <w:marRight w:val="0"/>
      <w:marTop w:val="0"/>
      <w:marBottom w:val="0"/>
      <w:divBdr>
        <w:top w:val="none" w:sz="0" w:space="0" w:color="auto"/>
        <w:left w:val="none" w:sz="0" w:space="0" w:color="auto"/>
        <w:bottom w:val="none" w:sz="0" w:space="0" w:color="auto"/>
        <w:right w:val="none" w:sz="0" w:space="0" w:color="auto"/>
      </w:divBdr>
    </w:div>
    <w:div w:id="1793091018">
      <w:bodyDiv w:val="1"/>
      <w:marLeft w:val="0"/>
      <w:marRight w:val="0"/>
      <w:marTop w:val="0"/>
      <w:marBottom w:val="0"/>
      <w:divBdr>
        <w:top w:val="none" w:sz="0" w:space="0" w:color="auto"/>
        <w:left w:val="none" w:sz="0" w:space="0" w:color="auto"/>
        <w:bottom w:val="none" w:sz="0" w:space="0" w:color="auto"/>
        <w:right w:val="none" w:sz="0" w:space="0" w:color="auto"/>
      </w:divBdr>
    </w:div>
    <w:div w:id="1814567905">
      <w:bodyDiv w:val="1"/>
      <w:marLeft w:val="0"/>
      <w:marRight w:val="0"/>
      <w:marTop w:val="0"/>
      <w:marBottom w:val="0"/>
      <w:divBdr>
        <w:top w:val="none" w:sz="0" w:space="0" w:color="auto"/>
        <w:left w:val="none" w:sz="0" w:space="0" w:color="auto"/>
        <w:bottom w:val="none" w:sz="0" w:space="0" w:color="auto"/>
        <w:right w:val="none" w:sz="0" w:space="0" w:color="auto"/>
      </w:divBdr>
    </w:div>
    <w:div w:id="2005930449">
      <w:bodyDiv w:val="1"/>
      <w:marLeft w:val="0"/>
      <w:marRight w:val="0"/>
      <w:marTop w:val="0"/>
      <w:marBottom w:val="0"/>
      <w:divBdr>
        <w:top w:val="none" w:sz="0" w:space="0" w:color="auto"/>
        <w:left w:val="none" w:sz="0" w:space="0" w:color="auto"/>
        <w:bottom w:val="none" w:sz="0" w:space="0" w:color="auto"/>
        <w:right w:val="none" w:sz="0" w:space="0" w:color="auto"/>
      </w:divBdr>
    </w:div>
    <w:div w:id="205765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hs.vic.gov.au/about-the-department/documents-and-resources/research,-data-and-statistics/current-rental-report" TargetMode="External"/><Relationship Id="rId18" Type="http://schemas.openxmlformats.org/officeDocument/2006/relationships/chart" Target="charts/chart4.xml"/><Relationship Id="rId26" Type="http://schemas.openxmlformats.org/officeDocument/2006/relationships/hyperlink" Target="http://www.dhs.vic.gov.au/about-the-department/documents-and-resources/research,-data-and-statistics/current-rental-report" TargetMode="Externa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hyperlink" Target="http://www.dhs.vic.gov.au/about-the-department/documents-and-resources/research,-data-and-statistics/current-rental-report" TargetMode="External"/><Relationship Id="rId17" Type="http://schemas.openxmlformats.org/officeDocument/2006/relationships/chart" Target="charts/chart3.xml"/><Relationship Id="rId25" Type="http://schemas.openxmlformats.org/officeDocument/2006/relationships/hyperlink" Target="http://www.dhs.vic.gov.au/about-the-department/documents-and-resources/research,-data-and-statistics/current-rental-report"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mailto:chsre@dhhs.vic.gov.au" TargetMode="Externa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http://www.dhs.vic.gov.au/about-the-department/documents-and-resources/research,-data-and-statistics/current-rental-report"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2.xml"/><Relationship Id="rId22" Type="http://schemas.openxmlformats.org/officeDocument/2006/relationships/footer" Target="footer1.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W:\Rental%20Report%201\20154%20December\Outputs\20154TABLES%20Setup).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Rental%20Report%201\20154%20December\Outputs\20154TABLES%20Setup).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W:\Rental%20Report%201\20154%20December\Outputs\20154TABLES%20Setup).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Rental%20Report%201\20154%20December\Outputs\20154TABLES%20Setup).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Rental%20Report%201\20154%20December\Outputs\20154TABLES%20Setu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399577E-2"/>
          <c:w val="0.87035495351535463"/>
          <c:h val="0.73880658121618292"/>
        </c:manualLayout>
      </c:layout>
      <c:lineChart>
        <c:grouping val="standard"/>
        <c:varyColors val="0"/>
        <c:ser>
          <c:idx val="0"/>
          <c:order val="0"/>
          <c:tx>
            <c:v>Metropolitan Rent Index (MRI)</c:v>
          </c:tx>
          <c:spPr>
            <a:ln w="22225">
              <a:solidFill>
                <a:srgbClr val="3F5176"/>
              </a:solidFill>
              <a:prstDash val="solid"/>
            </a:ln>
          </c:spPr>
          <c:marker>
            <c:symbol val="none"/>
          </c:marker>
          <c:cat>
            <c:numRef>
              <c:f>'Fig 1 source'!$A$86:$A$126</c:f>
              <c:numCache>
                <c:formatCode>mmm\-yyyy</c:formatCode>
                <c:ptCount val="41"/>
                <c:pt idx="0">
                  <c:v>38687</c:v>
                </c:pt>
                <c:pt idx="1">
                  <c:v>38777</c:v>
                </c:pt>
                <c:pt idx="2">
                  <c:v>38869</c:v>
                </c:pt>
                <c:pt idx="3">
                  <c:v>38961</c:v>
                </c:pt>
                <c:pt idx="4">
                  <c:v>39052</c:v>
                </c:pt>
                <c:pt idx="5">
                  <c:v>39142</c:v>
                </c:pt>
                <c:pt idx="6">
                  <c:v>39234</c:v>
                </c:pt>
                <c:pt idx="7">
                  <c:v>39326</c:v>
                </c:pt>
                <c:pt idx="8">
                  <c:v>39417</c:v>
                </c:pt>
                <c:pt idx="9">
                  <c:v>39508</c:v>
                </c:pt>
                <c:pt idx="10">
                  <c:v>39600</c:v>
                </c:pt>
                <c:pt idx="11">
                  <c:v>39692</c:v>
                </c:pt>
                <c:pt idx="12">
                  <c:v>39783</c:v>
                </c:pt>
                <c:pt idx="13">
                  <c:v>39873</c:v>
                </c:pt>
                <c:pt idx="14">
                  <c:v>39965</c:v>
                </c:pt>
                <c:pt idx="15">
                  <c:v>40057</c:v>
                </c:pt>
                <c:pt idx="16">
                  <c:v>40148</c:v>
                </c:pt>
                <c:pt idx="17">
                  <c:v>40238</c:v>
                </c:pt>
                <c:pt idx="18">
                  <c:v>40330</c:v>
                </c:pt>
                <c:pt idx="19">
                  <c:v>40422</c:v>
                </c:pt>
                <c:pt idx="20">
                  <c:v>40513</c:v>
                </c:pt>
                <c:pt idx="21">
                  <c:v>40603</c:v>
                </c:pt>
                <c:pt idx="22">
                  <c:v>40695</c:v>
                </c:pt>
                <c:pt idx="23">
                  <c:v>40787</c:v>
                </c:pt>
                <c:pt idx="24">
                  <c:v>40878</c:v>
                </c:pt>
                <c:pt idx="25">
                  <c:v>40969</c:v>
                </c:pt>
                <c:pt idx="26">
                  <c:v>41061</c:v>
                </c:pt>
                <c:pt idx="27">
                  <c:v>41153</c:v>
                </c:pt>
                <c:pt idx="28">
                  <c:v>41244</c:v>
                </c:pt>
                <c:pt idx="29">
                  <c:v>41334</c:v>
                </c:pt>
                <c:pt idx="30">
                  <c:v>41426</c:v>
                </c:pt>
                <c:pt idx="31">
                  <c:v>41518</c:v>
                </c:pt>
                <c:pt idx="32">
                  <c:v>41609</c:v>
                </c:pt>
                <c:pt idx="33">
                  <c:v>41699</c:v>
                </c:pt>
                <c:pt idx="34">
                  <c:v>41791</c:v>
                </c:pt>
                <c:pt idx="35">
                  <c:v>41883</c:v>
                </c:pt>
                <c:pt idx="36">
                  <c:v>41974</c:v>
                </c:pt>
                <c:pt idx="37">
                  <c:v>42064</c:v>
                </c:pt>
                <c:pt idx="38">
                  <c:v>42156</c:v>
                </c:pt>
                <c:pt idx="39">
                  <c:v>42248</c:v>
                </c:pt>
                <c:pt idx="40">
                  <c:v>42339</c:v>
                </c:pt>
              </c:numCache>
            </c:numRef>
          </c:cat>
          <c:val>
            <c:numRef>
              <c:f>'Fig 1 source'!$B$86:$B$126</c:f>
              <c:numCache>
                <c:formatCode>0.0%</c:formatCode>
                <c:ptCount val="41"/>
                <c:pt idx="0">
                  <c:v>4.5272347684011331E-2</c:v>
                </c:pt>
                <c:pt idx="1">
                  <c:v>3.9058275239960645E-2</c:v>
                </c:pt>
                <c:pt idx="2">
                  <c:v>5.4231466031968718E-2</c:v>
                </c:pt>
                <c:pt idx="3">
                  <c:v>5.5617584158937708E-2</c:v>
                </c:pt>
                <c:pt idx="4">
                  <c:v>7.3453186974942866E-2</c:v>
                </c:pt>
                <c:pt idx="5">
                  <c:v>9.8867104799555974E-2</c:v>
                </c:pt>
                <c:pt idx="6">
                  <c:v>0.10796059158934246</c:v>
                </c:pt>
                <c:pt idx="7">
                  <c:v>0.12624947950399193</c:v>
                </c:pt>
                <c:pt idx="8">
                  <c:v>0.12405450115081852</c:v>
                </c:pt>
                <c:pt idx="9">
                  <c:v>0.12661124119477465</c:v>
                </c:pt>
                <c:pt idx="10">
                  <c:v>0.13000620375091398</c:v>
                </c:pt>
                <c:pt idx="11">
                  <c:v>0.12539256842337274</c:v>
                </c:pt>
                <c:pt idx="12">
                  <c:v>0.10888170959552947</c:v>
                </c:pt>
                <c:pt idx="13">
                  <c:v>8.9836682071028157E-2</c:v>
                </c:pt>
                <c:pt idx="14">
                  <c:v>5.6573641291394416E-2</c:v>
                </c:pt>
                <c:pt idx="15">
                  <c:v>3.5837098143820752E-2</c:v>
                </c:pt>
                <c:pt idx="16">
                  <c:v>4.4512615752242427E-2</c:v>
                </c:pt>
                <c:pt idx="17">
                  <c:v>4.3865069182502207E-2</c:v>
                </c:pt>
                <c:pt idx="18">
                  <c:v>5.1586283246486411E-2</c:v>
                </c:pt>
                <c:pt idx="19">
                  <c:v>5.6315359385872496E-2</c:v>
                </c:pt>
                <c:pt idx="20">
                  <c:v>5.0490841374471129E-2</c:v>
                </c:pt>
                <c:pt idx="21">
                  <c:v>3.9413101674235403E-2</c:v>
                </c:pt>
                <c:pt idx="22">
                  <c:v>4.4090992742390277E-2</c:v>
                </c:pt>
                <c:pt idx="23">
                  <c:v>4.1548719615180148E-2</c:v>
                </c:pt>
                <c:pt idx="24">
                  <c:v>2.9313352821923162E-2</c:v>
                </c:pt>
                <c:pt idx="25">
                  <c:v>3.0069544045423505E-2</c:v>
                </c:pt>
                <c:pt idx="26">
                  <c:v>1.5949524769531161E-2</c:v>
                </c:pt>
                <c:pt idx="27">
                  <c:v>2.3102462366736626E-3</c:v>
                </c:pt>
                <c:pt idx="28">
                  <c:v>4.8856814076889696E-3</c:v>
                </c:pt>
                <c:pt idx="29">
                  <c:v>1.2798042301535473E-2</c:v>
                </c:pt>
                <c:pt idx="30">
                  <c:v>1.6000000000000004E-2</c:v>
                </c:pt>
                <c:pt idx="31">
                  <c:v>2.1000000000000005E-2</c:v>
                </c:pt>
                <c:pt idx="32">
                  <c:v>2.4E-2</c:v>
                </c:pt>
                <c:pt idx="33">
                  <c:v>1.7999999999999999E-2</c:v>
                </c:pt>
                <c:pt idx="34">
                  <c:v>1.6000000000000004E-2</c:v>
                </c:pt>
                <c:pt idx="35">
                  <c:v>2.4E-2</c:v>
                </c:pt>
                <c:pt idx="36">
                  <c:v>1.9000000000000003E-2</c:v>
                </c:pt>
                <c:pt idx="37">
                  <c:v>2.1000000000000005E-2</c:v>
                </c:pt>
                <c:pt idx="38">
                  <c:v>2.2868989562266021E-2</c:v>
                </c:pt>
                <c:pt idx="39">
                  <c:v>2.7758039306768678E-2</c:v>
                </c:pt>
                <c:pt idx="40">
                  <c:v>3.0081764557774011E-2</c:v>
                </c:pt>
              </c:numCache>
            </c:numRef>
          </c:val>
          <c:smooth val="0"/>
        </c:ser>
        <c:ser>
          <c:idx val="1"/>
          <c:order val="1"/>
          <c:tx>
            <c:v>Regional Rent Index (RRI)</c:v>
          </c:tx>
          <c:spPr>
            <a:ln w="22225" cmpd="sng">
              <a:solidFill>
                <a:srgbClr val="7C93B9"/>
              </a:solidFill>
              <a:prstDash val="solid"/>
            </a:ln>
          </c:spPr>
          <c:marker>
            <c:symbol val="none"/>
          </c:marker>
          <c:cat>
            <c:numRef>
              <c:f>'Fig 1 source'!$A$86:$A$126</c:f>
              <c:numCache>
                <c:formatCode>mmm\-yyyy</c:formatCode>
                <c:ptCount val="41"/>
                <c:pt idx="0">
                  <c:v>38687</c:v>
                </c:pt>
                <c:pt idx="1">
                  <c:v>38777</c:v>
                </c:pt>
                <c:pt idx="2">
                  <c:v>38869</c:v>
                </c:pt>
                <c:pt idx="3">
                  <c:v>38961</c:v>
                </c:pt>
                <c:pt idx="4">
                  <c:v>39052</c:v>
                </c:pt>
                <c:pt idx="5">
                  <c:v>39142</c:v>
                </c:pt>
                <c:pt idx="6">
                  <c:v>39234</c:v>
                </c:pt>
                <c:pt idx="7">
                  <c:v>39326</c:v>
                </c:pt>
                <c:pt idx="8">
                  <c:v>39417</c:v>
                </c:pt>
                <c:pt idx="9">
                  <c:v>39508</c:v>
                </c:pt>
                <c:pt idx="10">
                  <c:v>39600</c:v>
                </c:pt>
                <c:pt idx="11">
                  <c:v>39692</c:v>
                </c:pt>
                <c:pt idx="12">
                  <c:v>39783</c:v>
                </c:pt>
                <c:pt idx="13">
                  <c:v>39873</c:v>
                </c:pt>
                <c:pt idx="14">
                  <c:v>39965</c:v>
                </c:pt>
                <c:pt idx="15">
                  <c:v>40057</c:v>
                </c:pt>
                <c:pt idx="16">
                  <c:v>40148</c:v>
                </c:pt>
                <c:pt idx="17">
                  <c:v>40238</c:v>
                </c:pt>
                <c:pt idx="18">
                  <c:v>40330</c:v>
                </c:pt>
                <c:pt idx="19">
                  <c:v>40422</c:v>
                </c:pt>
                <c:pt idx="20">
                  <c:v>40513</c:v>
                </c:pt>
                <c:pt idx="21">
                  <c:v>40603</c:v>
                </c:pt>
                <c:pt idx="22">
                  <c:v>40695</c:v>
                </c:pt>
                <c:pt idx="23">
                  <c:v>40787</c:v>
                </c:pt>
                <c:pt idx="24">
                  <c:v>40878</c:v>
                </c:pt>
                <c:pt idx="25">
                  <c:v>40969</c:v>
                </c:pt>
                <c:pt idx="26">
                  <c:v>41061</c:v>
                </c:pt>
                <c:pt idx="27">
                  <c:v>41153</c:v>
                </c:pt>
                <c:pt idx="28">
                  <c:v>41244</c:v>
                </c:pt>
                <c:pt idx="29">
                  <c:v>41334</c:v>
                </c:pt>
                <c:pt idx="30">
                  <c:v>41426</c:v>
                </c:pt>
                <c:pt idx="31">
                  <c:v>41518</c:v>
                </c:pt>
                <c:pt idx="32">
                  <c:v>41609</c:v>
                </c:pt>
                <c:pt idx="33">
                  <c:v>41699</c:v>
                </c:pt>
                <c:pt idx="34">
                  <c:v>41791</c:v>
                </c:pt>
                <c:pt idx="35">
                  <c:v>41883</c:v>
                </c:pt>
                <c:pt idx="36">
                  <c:v>41974</c:v>
                </c:pt>
                <c:pt idx="37">
                  <c:v>42064</c:v>
                </c:pt>
                <c:pt idx="38">
                  <c:v>42156</c:v>
                </c:pt>
                <c:pt idx="39">
                  <c:v>42248</c:v>
                </c:pt>
                <c:pt idx="40">
                  <c:v>42339</c:v>
                </c:pt>
              </c:numCache>
            </c:numRef>
          </c:cat>
          <c:val>
            <c:numRef>
              <c:f>'Fig 1 source'!$C$86:$C$126</c:f>
              <c:numCache>
                <c:formatCode>0.0%</c:formatCode>
                <c:ptCount val="41"/>
                <c:pt idx="0">
                  <c:v>3.8643490735786434E-2</c:v>
                </c:pt>
                <c:pt idx="1">
                  <c:v>3.9251495669028864E-2</c:v>
                </c:pt>
                <c:pt idx="2">
                  <c:v>4.0366748894566935E-2</c:v>
                </c:pt>
                <c:pt idx="3">
                  <c:v>4.7287346391358336E-2</c:v>
                </c:pt>
                <c:pt idx="4">
                  <c:v>4.1673565601055382E-2</c:v>
                </c:pt>
                <c:pt idx="5">
                  <c:v>4.5790693950926317E-2</c:v>
                </c:pt>
                <c:pt idx="6">
                  <c:v>6.1633067694349508E-2</c:v>
                </c:pt>
                <c:pt idx="7">
                  <c:v>6.0800026191285557E-2</c:v>
                </c:pt>
                <c:pt idx="8">
                  <c:v>4.3874075349293877E-2</c:v>
                </c:pt>
                <c:pt idx="9">
                  <c:v>4.6588078285266336E-2</c:v>
                </c:pt>
                <c:pt idx="10">
                  <c:v>5.2349780808929283E-2</c:v>
                </c:pt>
                <c:pt idx="11">
                  <c:v>5.6375619570549818E-2</c:v>
                </c:pt>
                <c:pt idx="12">
                  <c:v>7.3913117941470055E-2</c:v>
                </c:pt>
                <c:pt idx="13">
                  <c:v>7.3580368946106534E-2</c:v>
                </c:pt>
                <c:pt idx="14">
                  <c:v>5.7179220124213843E-2</c:v>
                </c:pt>
                <c:pt idx="15">
                  <c:v>4.6059047984755561E-2</c:v>
                </c:pt>
                <c:pt idx="16">
                  <c:v>5.604384880302038E-2</c:v>
                </c:pt>
                <c:pt idx="17">
                  <c:v>6.4929798916110851E-2</c:v>
                </c:pt>
                <c:pt idx="18">
                  <c:v>8.1467400923623368E-2</c:v>
                </c:pt>
                <c:pt idx="19">
                  <c:v>7.0691123577423701E-2</c:v>
                </c:pt>
                <c:pt idx="20">
                  <c:v>6.7447773026621874E-2</c:v>
                </c:pt>
                <c:pt idx="21">
                  <c:v>6.6382798954714564E-2</c:v>
                </c:pt>
                <c:pt idx="22">
                  <c:v>4.7009646694813105E-2</c:v>
                </c:pt>
                <c:pt idx="23">
                  <c:v>5.9933139339645239E-2</c:v>
                </c:pt>
                <c:pt idx="24">
                  <c:v>5.0330347907008091E-2</c:v>
                </c:pt>
                <c:pt idx="25">
                  <c:v>4.626872879609055E-2</c:v>
                </c:pt>
                <c:pt idx="26">
                  <c:v>2.8893088331897625E-2</c:v>
                </c:pt>
                <c:pt idx="27">
                  <c:v>1.8800161777906336E-2</c:v>
                </c:pt>
                <c:pt idx="28">
                  <c:v>1.5221918124087798E-2</c:v>
                </c:pt>
                <c:pt idx="29">
                  <c:v>8.4154324113878739E-3</c:v>
                </c:pt>
                <c:pt idx="30">
                  <c:v>1.2E-2</c:v>
                </c:pt>
                <c:pt idx="31">
                  <c:v>1.7999999999999999E-2</c:v>
                </c:pt>
                <c:pt idx="32">
                  <c:v>2.0000000000000004E-2</c:v>
                </c:pt>
                <c:pt idx="33">
                  <c:v>1.7000000000000001E-2</c:v>
                </c:pt>
                <c:pt idx="34">
                  <c:v>3.6999999999999998E-2</c:v>
                </c:pt>
                <c:pt idx="35">
                  <c:v>2.4E-2</c:v>
                </c:pt>
                <c:pt idx="36">
                  <c:v>1.2E-2</c:v>
                </c:pt>
                <c:pt idx="37">
                  <c:v>2.1999999999999999E-2</c:v>
                </c:pt>
                <c:pt idx="38">
                  <c:v>8.5763746693461335E-3</c:v>
                </c:pt>
                <c:pt idx="39">
                  <c:v>2.8073302164667534E-2</c:v>
                </c:pt>
                <c:pt idx="40">
                  <c:v>2.8721501363603297E-2</c:v>
                </c:pt>
              </c:numCache>
            </c:numRef>
          </c:val>
          <c:smooth val="0"/>
        </c:ser>
        <c:ser>
          <c:idx val="2"/>
          <c:order val="2"/>
          <c:tx>
            <c:v>Long term average MRI</c:v>
          </c:tx>
          <c:spPr>
            <a:ln w="19050" cmpd="sng">
              <a:solidFill>
                <a:srgbClr val="3F5176"/>
              </a:solidFill>
              <a:prstDash val="sysDash"/>
            </a:ln>
          </c:spPr>
          <c:marker>
            <c:symbol val="none"/>
          </c:marker>
          <c:cat>
            <c:numRef>
              <c:f>'Fig 1 source'!$A$86:$A$126</c:f>
              <c:numCache>
                <c:formatCode>mmm\-yyyy</c:formatCode>
                <c:ptCount val="41"/>
                <c:pt idx="0">
                  <c:v>38687</c:v>
                </c:pt>
                <c:pt idx="1">
                  <c:v>38777</c:v>
                </c:pt>
                <c:pt idx="2">
                  <c:v>38869</c:v>
                </c:pt>
                <c:pt idx="3">
                  <c:v>38961</c:v>
                </c:pt>
                <c:pt idx="4">
                  <c:v>39052</c:v>
                </c:pt>
                <c:pt idx="5">
                  <c:v>39142</c:v>
                </c:pt>
                <c:pt idx="6">
                  <c:v>39234</c:v>
                </c:pt>
                <c:pt idx="7">
                  <c:v>39326</c:v>
                </c:pt>
                <c:pt idx="8">
                  <c:v>39417</c:v>
                </c:pt>
                <c:pt idx="9">
                  <c:v>39508</c:v>
                </c:pt>
                <c:pt idx="10">
                  <c:v>39600</c:v>
                </c:pt>
                <c:pt idx="11">
                  <c:v>39692</c:v>
                </c:pt>
                <c:pt idx="12">
                  <c:v>39783</c:v>
                </c:pt>
                <c:pt idx="13">
                  <c:v>39873</c:v>
                </c:pt>
                <c:pt idx="14">
                  <c:v>39965</c:v>
                </c:pt>
                <c:pt idx="15">
                  <c:v>40057</c:v>
                </c:pt>
                <c:pt idx="16">
                  <c:v>40148</c:v>
                </c:pt>
                <c:pt idx="17">
                  <c:v>40238</c:v>
                </c:pt>
                <c:pt idx="18">
                  <c:v>40330</c:v>
                </c:pt>
                <c:pt idx="19">
                  <c:v>40422</c:v>
                </c:pt>
                <c:pt idx="20">
                  <c:v>40513</c:v>
                </c:pt>
                <c:pt idx="21">
                  <c:v>40603</c:v>
                </c:pt>
                <c:pt idx="22">
                  <c:v>40695</c:v>
                </c:pt>
                <c:pt idx="23">
                  <c:v>40787</c:v>
                </c:pt>
                <c:pt idx="24">
                  <c:v>40878</c:v>
                </c:pt>
                <c:pt idx="25">
                  <c:v>40969</c:v>
                </c:pt>
                <c:pt idx="26">
                  <c:v>41061</c:v>
                </c:pt>
                <c:pt idx="27">
                  <c:v>41153</c:v>
                </c:pt>
                <c:pt idx="28">
                  <c:v>41244</c:v>
                </c:pt>
                <c:pt idx="29">
                  <c:v>41334</c:v>
                </c:pt>
                <c:pt idx="30">
                  <c:v>41426</c:v>
                </c:pt>
                <c:pt idx="31">
                  <c:v>41518</c:v>
                </c:pt>
                <c:pt idx="32">
                  <c:v>41609</c:v>
                </c:pt>
                <c:pt idx="33">
                  <c:v>41699</c:v>
                </c:pt>
                <c:pt idx="34">
                  <c:v>41791</c:v>
                </c:pt>
                <c:pt idx="35">
                  <c:v>41883</c:v>
                </c:pt>
                <c:pt idx="36">
                  <c:v>41974</c:v>
                </c:pt>
                <c:pt idx="37">
                  <c:v>42064</c:v>
                </c:pt>
                <c:pt idx="38">
                  <c:v>42156</c:v>
                </c:pt>
                <c:pt idx="39">
                  <c:v>42248</c:v>
                </c:pt>
                <c:pt idx="40">
                  <c:v>42339</c:v>
                </c:pt>
              </c:numCache>
            </c:numRef>
          </c:cat>
          <c:val>
            <c:numRef>
              <c:f>'Fig 1 source'!$E$86:$E$126</c:f>
              <c:numCache>
                <c:formatCode>0.0%</c:formatCode>
                <c:ptCount val="41"/>
                <c:pt idx="0">
                  <c:v>5.1867002125738901E-2</c:v>
                </c:pt>
                <c:pt idx="1">
                  <c:v>5.1867002125738901E-2</c:v>
                </c:pt>
                <c:pt idx="2">
                  <c:v>5.1867002125738901E-2</c:v>
                </c:pt>
                <c:pt idx="3">
                  <c:v>5.1867002125738901E-2</c:v>
                </c:pt>
                <c:pt idx="4">
                  <c:v>5.1867002125738901E-2</c:v>
                </c:pt>
                <c:pt idx="5">
                  <c:v>5.1867002125738901E-2</c:v>
                </c:pt>
                <c:pt idx="6">
                  <c:v>5.1867002125738901E-2</c:v>
                </c:pt>
                <c:pt idx="7">
                  <c:v>5.1867002125738901E-2</c:v>
                </c:pt>
                <c:pt idx="8">
                  <c:v>5.1867002125738901E-2</c:v>
                </c:pt>
                <c:pt idx="9">
                  <c:v>5.1867002125738901E-2</c:v>
                </c:pt>
                <c:pt idx="10">
                  <c:v>5.1867002125738901E-2</c:v>
                </c:pt>
                <c:pt idx="11">
                  <c:v>5.1867002125738901E-2</c:v>
                </c:pt>
                <c:pt idx="12">
                  <c:v>5.1867002125738901E-2</c:v>
                </c:pt>
                <c:pt idx="13">
                  <c:v>5.1867002125738901E-2</c:v>
                </c:pt>
                <c:pt idx="14">
                  <c:v>5.1867002125738901E-2</c:v>
                </c:pt>
                <c:pt idx="15">
                  <c:v>5.1867002125738901E-2</c:v>
                </c:pt>
                <c:pt idx="16">
                  <c:v>5.1867002125738901E-2</c:v>
                </c:pt>
                <c:pt idx="17">
                  <c:v>5.1867002125738901E-2</c:v>
                </c:pt>
                <c:pt idx="18">
                  <c:v>5.1867002125738901E-2</c:v>
                </c:pt>
                <c:pt idx="19">
                  <c:v>5.1867002125738901E-2</c:v>
                </c:pt>
                <c:pt idx="20">
                  <c:v>5.1867002125738901E-2</c:v>
                </c:pt>
                <c:pt idx="21">
                  <c:v>5.1867002125738901E-2</c:v>
                </c:pt>
                <c:pt idx="22">
                  <c:v>5.1867002125738901E-2</c:v>
                </c:pt>
                <c:pt idx="23">
                  <c:v>5.1867002125738901E-2</c:v>
                </c:pt>
                <c:pt idx="24">
                  <c:v>5.1867002125738901E-2</c:v>
                </c:pt>
                <c:pt idx="25">
                  <c:v>5.1867002125738901E-2</c:v>
                </c:pt>
                <c:pt idx="26">
                  <c:v>5.1867002125738901E-2</c:v>
                </c:pt>
                <c:pt idx="27">
                  <c:v>5.1867002125738901E-2</c:v>
                </c:pt>
                <c:pt idx="28">
                  <c:v>5.1867002125738901E-2</c:v>
                </c:pt>
                <c:pt idx="29">
                  <c:v>5.1867002125738901E-2</c:v>
                </c:pt>
                <c:pt idx="30">
                  <c:v>5.1867002125738901E-2</c:v>
                </c:pt>
                <c:pt idx="31">
                  <c:v>5.1867002125738901E-2</c:v>
                </c:pt>
                <c:pt idx="32">
                  <c:v>5.1867002125738901E-2</c:v>
                </c:pt>
                <c:pt idx="33">
                  <c:v>5.1867002125738901E-2</c:v>
                </c:pt>
                <c:pt idx="34">
                  <c:v>5.1867002125738901E-2</c:v>
                </c:pt>
                <c:pt idx="35">
                  <c:v>5.1867002125738901E-2</c:v>
                </c:pt>
                <c:pt idx="36">
                  <c:v>5.1867002125738901E-2</c:v>
                </c:pt>
                <c:pt idx="37">
                  <c:v>5.1867002125738901E-2</c:v>
                </c:pt>
                <c:pt idx="38">
                  <c:v>5.1867002125738901E-2</c:v>
                </c:pt>
                <c:pt idx="39">
                  <c:v>5.1867002125738901E-2</c:v>
                </c:pt>
                <c:pt idx="40">
                  <c:v>5.1489375619959386E-2</c:v>
                </c:pt>
              </c:numCache>
            </c:numRef>
          </c:val>
          <c:smooth val="0"/>
        </c:ser>
        <c:ser>
          <c:idx val="3"/>
          <c:order val="3"/>
          <c:tx>
            <c:v>Long term average RRI</c:v>
          </c:tx>
          <c:spPr>
            <a:ln w="19050">
              <a:solidFill>
                <a:srgbClr val="7C93B9"/>
              </a:solidFill>
              <a:prstDash val="sysDash"/>
            </a:ln>
          </c:spPr>
          <c:marker>
            <c:symbol val="none"/>
          </c:marker>
          <c:cat>
            <c:numRef>
              <c:f>'Fig 1 source'!$A$86:$A$126</c:f>
              <c:numCache>
                <c:formatCode>mmm\-yyyy</c:formatCode>
                <c:ptCount val="41"/>
                <c:pt idx="0">
                  <c:v>38687</c:v>
                </c:pt>
                <c:pt idx="1">
                  <c:v>38777</c:v>
                </c:pt>
                <c:pt idx="2">
                  <c:v>38869</c:v>
                </c:pt>
                <c:pt idx="3">
                  <c:v>38961</c:v>
                </c:pt>
                <c:pt idx="4">
                  <c:v>39052</c:v>
                </c:pt>
                <c:pt idx="5">
                  <c:v>39142</c:v>
                </c:pt>
                <c:pt idx="6">
                  <c:v>39234</c:v>
                </c:pt>
                <c:pt idx="7">
                  <c:v>39326</c:v>
                </c:pt>
                <c:pt idx="8">
                  <c:v>39417</c:v>
                </c:pt>
                <c:pt idx="9">
                  <c:v>39508</c:v>
                </c:pt>
                <c:pt idx="10">
                  <c:v>39600</c:v>
                </c:pt>
                <c:pt idx="11">
                  <c:v>39692</c:v>
                </c:pt>
                <c:pt idx="12">
                  <c:v>39783</c:v>
                </c:pt>
                <c:pt idx="13">
                  <c:v>39873</c:v>
                </c:pt>
                <c:pt idx="14">
                  <c:v>39965</c:v>
                </c:pt>
                <c:pt idx="15">
                  <c:v>40057</c:v>
                </c:pt>
                <c:pt idx="16">
                  <c:v>40148</c:v>
                </c:pt>
                <c:pt idx="17">
                  <c:v>40238</c:v>
                </c:pt>
                <c:pt idx="18">
                  <c:v>40330</c:v>
                </c:pt>
                <c:pt idx="19">
                  <c:v>40422</c:v>
                </c:pt>
                <c:pt idx="20">
                  <c:v>40513</c:v>
                </c:pt>
                <c:pt idx="21">
                  <c:v>40603</c:v>
                </c:pt>
                <c:pt idx="22">
                  <c:v>40695</c:v>
                </c:pt>
                <c:pt idx="23">
                  <c:v>40787</c:v>
                </c:pt>
                <c:pt idx="24">
                  <c:v>40878</c:v>
                </c:pt>
                <c:pt idx="25">
                  <c:v>40969</c:v>
                </c:pt>
                <c:pt idx="26">
                  <c:v>41061</c:v>
                </c:pt>
                <c:pt idx="27">
                  <c:v>41153</c:v>
                </c:pt>
                <c:pt idx="28">
                  <c:v>41244</c:v>
                </c:pt>
                <c:pt idx="29">
                  <c:v>41334</c:v>
                </c:pt>
                <c:pt idx="30">
                  <c:v>41426</c:v>
                </c:pt>
                <c:pt idx="31">
                  <c:v>41518</c:v>
                </c:pt>
                <c:pt idx="32">
                  <c:v>41609</c:v>
                </c:pt>
                <c:pt idx="33">
                  <c:v>41699</c:v>
                </c:pt>
                <c:pt idx="34">
                  <c:v>41791</c:v>
                </c:pt>
                <c:pt idx="35">
                  <c:v>41883</c:v>
                </c:pt>
                <c:pt idx="36">
                  <c:v>41974</c:v>
                </c:pt>
                <c:pt idx="37">
                  <c:v>42064</c:v>
                </c:pt>
                <c:pt idx="38">
                  <c:v>42156</c:v>
                </c:pt>
                <c:pt idx="39">
                  <c:v>42248</c:v>
                </c:pt>
                <c:pt idx="40">
                  <c:v>42339</c:v>
                </c:pt>
              </c:numCache>
            </c:numRef>
          </c:cat>
          <c:val>
            <c:numRef>
              <c:f>'Fig 1 source'!$F$86:$F$126</c:f>
              <c:numCache>
                <c:formatCode>0.0%</c:formatCode>
                <c:ptCount val="41"/>
                <c:pt idx="0">
                  <c:v>4.2646265713932686E-2</c:v>
                </c:pt>
                <c:pt idx="1">
                  <c:v>4.2646265713932686E-2</c:v>
                </c:pt>
                <c:pt idx="2">
                  <c:v>4.2646265713932686E-2</c:v>
                </c:pt>
                <c:pt idx="3">
                  <c:v>4.2646265713932686E-2</c:v>
                </c:pt>
                <c:pt idx="4">
                  <c:v>4.2646265713932686E-2</c:v>
                </c:pt>
                <c:pt idx="5">
                  <c:v>4.2646265713932686E-2</c:v>
                </c:pt>
                <c:pt idx="6">
                  <c:v>4.2646265713932686E-2</c:v>
                </c:pt>
                <c:pt idx="7">
                  <c:v>4.2646265713932686E-2</c:v>
                </c:pt>
                <c:pt idx="8">
                  <c:v>4.2646265713932686E-2</c:v>
                </c:pt>
                <c:pt idx="9">
                  <c:v>4.2646265713932686E-2</c:v>
                </c:pt>
                <c:pt idx="10">
                  <c:v>4.2646265713932686E-2</c:v>
                </c:pt>
                <c:pt idx="11">
                  <c:v>4.2646265713932686E-2</c:v>
                </c:pt>
                <c:pt idx="12">
                  <c:v>4.2646265713932686E-2</c:v>
                </c:pt>
                <c:pt idx="13">
                  <c:v>4.2646265713932686E-2</c:v>
                </c:pt>
                <c:pt idx="14">
                  <c:v>4.2646265713932686E-2</c:v>
                </c:pt>
                <c:pt idx="15">
                  <c:v>4.2646265713932686E-2</c:v>
                </c:pt>
                <c:pt idx="16">
                  <c:v>4.2646265713932686E-2</c:v>
                </c:pt>
                <c:pt idx="17">
                  <c:v>4.2646265713932686E-2</c:v>
                </c:pt>
                <c:pt idx="18">
                  <c:v>4.2646265713932686E-2</c:v>
                </c:pt>
                <c:pt idx="19">
                  <c:v>4.2646265713932686E-2</c:v>
                </c:pt>
                <c:pt idx="20">
                  <c:v>4.2646265713932686E-2</c:v>
                </c:pt>
                <c:pt idx="21">
                  <c:v>4.2646265713932686E-2</c:v>
                </c:pt>
                <c:pt idx="22">
                  <c:v>4.2646265713932686E-2</c:v>
                </c:pt>
                <c:pt idx="23">
                  <c:v>4.2646265713932686E-2</c:v>
                </c:pt>
                <c:pt idx="24">
                  <c:v>4.2646265713932686E-2</c:v>
                </c:pt>
                <c:pt idx="25">
                  <c:v>4.2646265713932686E-2</c:v>
                </c:pt>
                <c:pt idx="26">
                  <c:v>4.2646265713932686E-2</c:v>
                </c:pt>
                <c:pt idx="27">
                  <c:v>4.2646265713932686E-2</c:v>
                </c:pt>
                <c:pt idx="28">
                  <c:v>4.2646265713932686E-2</c:v>
                </c:pt>
                <c:pt idx="29">
                  <c:v>4.2646265713932686E-2</c:v>
                </c:pt>
                <c:pt idx="30">
                  <c:v>4.2646265713932686E-2</c:v>
                </c:pt>
                <c:pt idx="31">
                  <c:v>4.2646265713932686E-2</c:v>
                </c:pt>
                <c:pt idx="32">
                  <c:v>4.2646265713932686E-2</c:v>
                </c:pt>
                <c:pt idx="33">
                  <c:v>4.2646265713932686E-2</c:v>
                </c:pt>
                <c:pt idx="34">
                  <c:v>4.2646265713932686E-2</c:v>
                </c:pt>
                <c:pt idx="35">
                  <c:v>4.2646265713932686E-2</c:v>
                </c:pt>
                <c:pt idx="36">
                  <c:v>4.2646265713932686E-2</c:v>
                </c:pt>
                <c:pt idx="37">
                  <c:v>4.2646265713932686E-2</c:v>
                </c:pt>
                <c:pt idx="38">
                  <c:v>4.2646265713932686E-2</c:v>
                </c:pt>
                <c:pt idx="39">
                  <c:v>4.2646265713932686E-2</c:v>
                </c:pt>
                <c:pt idx="40">
                  <c:v>4.2413195710825906E-2</c:v>
                </c:pt>
              </c:numCache>
            </c:numRef>
          </c:val>
          <c:smooth val="0"/>
        </c:ser>
        <c:dLbls>
          <c:showLegendKey val="0"/>
          <c:showVal val="0"/>
          <c:showCatName val="0"/>
          <c:showSerName val="0"/>
          <c:showPercent val="0"/>
          <c:showBubbleSize val="0"/>
        </c:dLbls>
        <c:marker val="1"/>
        <c:smooth val="0"/>
        <c:axId val="126047744"/>
        <c:axId val="155002752"/>
      </c:lineChart>
      <c:dateAx>
        <c:axId val="126047744"/>
        <c:scaling>
          <c:orientation val="minMax"/>
          <c:max val="42339"/>
          <c:min val="38687"/>
        </c:scaling>
        <c:delete val="0"/>
        <c:axPos val="b"/>
        <c:numFmt formatCode="mmm\-yy" sourceLinked="0"/>
        <c:majorTickMark val="in"/>
        <c:minorTickMark val="in"/>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55002752"/>
        <c:crosses val="autoZero"/>
        <c:auto val="1"/>
        <c:lblOffset val="100"/>
        <c:baseTimeUnit val="months"/>
        <c:majorUnit val="1"/>
        <c:majorTimeUnit val="years"/>
        <c:minorUnit val="3"/>
        <c:minorTimeUnit val="months"/>
      </c:dateAx>
      <c:valAx>
        <c:axId val="155002752"/>
        <c:scaling>
          <c:orientation val="minMax"/>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26047744"/>
        <c:crosses val="autoZero"/>
        <c:crossBetween val="between"/>
      </c:valAx>
      <c:spPr>
        <a:noFill/>
        <a:ln w="25400">
          <a:noFill/>
        </a:ln>
      </c:spPr>
    </c:plotArea>
    <c:legend>
      <c:legendPos val="r"/>
      <c:layout>
        <c:manualLayout>
          <c:xMode val="edge"/>
          <c:yMode val="edge"/>
          <c:x val="0.12798002614293524"/>
          <c:y val="0.90384898863122642"/>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9DAECB"/>
            </a:solidFill>
            <a:ln w="12700">
              <a:noFill/>
              <a:prstDash val="solid"/>
            </a:ln>
          </c:spPr>
          <c:invertIfNegative val="0"/>
          <c:cat>
            <c:numRef>
              <c:f>'Fig 4&amp;8 source'!$A$53:$A$73</c:f>
              <c:numCache>
                <c:formatCode>mmm\-yy</c:formatCode>
                <c:ptCount val="21"/>
                <c:pt idx="0">
                  <c:v>40513</c:v>
                </c:pt>
                <c:pt idx="1">
                  <c:v>40603</c:v>
                </c:pt>
                <c:pt idx="2">
                  <c:v>40695</c:v>
                </c:pt>
                <c:pt idx="3">
                  <c:v>40787</c:v>
                </c:pt>
                <c:pt idx="4">
                  <c:v>40878</c:v>
                </c:pt>
                <c:pt idx="5">
                  <c:v>40969</c:v>
                </c:pt>
                <c:pt idx="6">
                  <c:v>41061</c:v>
                </c:pt>
                <c:pt idx="7">
                  <c:v>41153</c:v>
                </c:pt>
                <c:pt idx="8">
                  <c:v>41244</c:v>
                </c:pt>
                <c:pt idx="9">
                  <c:v>41334</c:v>
                </c:pt>
                <c:pt idx="10">
                  <c:v>41426</c:v>
                </c:pt>
                <c:pt idx="11">
                  <c:v>41518</c:v>
                </c:pt>
                <c:pt idx="12">
                  <c:v>41609</c:v>
                </c:pt>
                <c:pt idx="13">
                  <c:v>41699</c:v>
                </c:pt>
                <c:pt idx="14">
                  <c:v>41791</c:v>
                </c:pt>
                <c:pt idx="15">
                  <c:v>41883</c:v>
                </c:pt>
                <c:pt idx="16">
                  <c:v>41974</c:v>
                </c:pt>
                <c:pt idx="17">
                  <c:v>42064</c:v>
                </c:pt>
                <c:pt idx="18">
                  <c:v>42156</c:v>
                </c:pt>
                <c:pt idx="19">
                  <c:v>42248</c:v>
                </c:pt>
                <c:pt idx="20">
                  <c:v>42339</c:v>
                </c:pt>
              </c:numCache>
            </c:numRef>
          </c:cat>
          <c:val>
            <c:numRef>
              <c:f>'Fig 4&amp;8 source'!$C$53:$C$73</c:f>
              <c:numCache>
                <c:formatCode>0.0%</c:formatCode>
                <c:ptCount val="21"/>
                <c:pt idx="0">
                  <c:v>5.6023488781044219E-2</c:v>
                </c:pt>
                <c:pt idx="1">
                  <c:v>5.8974452289104001E-2</c:v>
                </c:pt>
                <c:pt idx="2">
                  <c:v>5.8835342916508972E-2</c:v>
                </c:pt>
                <c:pt idx="3">
                  <c:v>6.3231749202189005E-2</c:v>
                </c:pt>
                <c:pt idx="4">
                  <c:v>6.4235208224987003E-2</c:v>
                </c:pt>
                <c:pt idx="5">
                  <c:v>7.5232154823886385E-2</c:v>
                </c:pt>
                <c:pt idx="6">
                  <c:v>7.8895535453749652E-2</c:v>
                </c:pt>
                <c:pt idx="7">
                  <c:v>7.672428795865191E-2</c:v>
                </c:pt>
                <c:pt idx="8">
                  <c:v>7.5241458217332371E-2</c:v>
                </c:pt>
                <c:pt idx="9">
                  <c:v>6.9157837302266767E-2</c:v>
                </c:pt>
                <c:pt idx="10">
                  <c:v>6.3964298995909274E-2</c:v>
                </c:pt>
                <c:pt idx="11">
                  <c:v>5.9170235095627993E-2</c:v>
                </c:pt>
                <c:pt idx="12">
                  <c:v>5.6536492530628042E-2</c:v>
                </c:pt>
                <c:pt idx="13">
                  <c:v>5.373249060471473E-2</c:v>
                </c:pt>
                <c:pt idx="14">
                  <c:v>5.2556321692987192E-2</c:v>
                </c:pt>
                <c:pt idx="15">
                  <c:v>5.0795409411125293E-2</c:v>
                </c:pt>
                <c:pt idx="16">
                  <c:v>4.9676968383435632E-2</c:v>
                </c:pt>
                <c:pt idx="17">
                  <c:v>4.6850556451678273E-2</c:v>
                </c:pt>
                <c:pt idx="18">
                  <c:v>4.4844276729559748E-2</c:v>
                </c:pt>
                <c:pt idx="19">
                  <c:v>4.2162934256936499E-2</c:v>
                </c:pt>
                <c:pt idx="20">
                  <c:v>3.1613684946755594E-2</c:v>
                </c:pt>
              </c:numCache>
            </c:numRef>
          </c:val>
        </c:ser>
        <c:dLbls>
          <c:showLegendKey val="0"/>
          <c:showVal val="0"/>
          <c:showCatName val="0"/>
          <c:showSerName val="0"/>
          <c:showPercent val="0"/>
          <c:showBubbleSize val="0"/>
        </c:dLbls>
        <c:gapWidth val="75"/>
        <c:overlap val="9"/>
        <c:axId val="72331648"/>
        <c:axId val="72333184"/>
      </c:barChart>
      <c:lineChart>
        <c:grouping val="standard"/>
        <c:varyColors val="0"/>
        <c:ser>
          <c:idx val="0"/>
          <c:order val="1"/>
          <c:tx>
            <c:v>Average annual % change past 5 years</c:v>
          </c:tx>
          <c:spPr>
            <a:ln w="19050">
              <a:solidFill>
                <a:srgbClr val="9DAECB">
                  <a:alpha val="87843"/>
                </a:srgbClr>
              </a:solidFill>
              <a:prstDash val="sysDash"/>
            </a:ln>
          </c:spPr>
          <c:marker>
            <c:symbol val="none"/>
          </c:marker>
          <c:cat>
            <c:numRef>
              <c:f>'Fig 4&amp;8 source'!$A$53:$A$73</c:f>
              <c:numCache>
                <c:formatCode>mmm\-yy</c:formatCode>
                <c:ptCount val="21"/>
                <c:pt idx="0">
                  <c:v>40513</c:v>
                </c:pt>
                <c:pt idx="1">
                  <c:v>40603</c:v>
                </c:pt>
                <c:pt idx="2">
                  <c:v>40695</c:v>
                </c:pt>
                <c:pt idx="3">
                  <c:v>40787</c:v>
                </c:pt>
                <c:pt idx="4">
                  <c:v>40878</c:v>
                </c:pt>
                <c:pt idx="5">
                  <c:v>40969</c:v>
                </c:pt>
                <c:pt idx="6">
                  <c:v>41061</c:v>
                </c:pt>
                <c:pt idx="7">
                  <c:v>41153</c:v>
                </c:pt>
                <c:pt idx="8">
                  <c:v>41244</c:v>
                </c:pt>
                <c:pt idx="9">
                  <c:v>41334</c:v>
                </c:pt>
                <c:pt idx="10">
                  <c:v>41426</c:v>
                </c:pt>
                <c:pt idx="11">
                  <c:v>41518</c:v>
                </c:pt>
                <c:pt idx="12">
                  <c:v>41609</c:v>
                </c:pt>
                <c:pt idx="13">
                  <c:v>41699</c:v>
                </c:pt>
                <c:pt idx="14">
                  <c:v>41791</c:v>
                </c:pt>
                <c:pt idx="15">
                  <c:v>41883</c:v>
                </c:pt>
                <c:pt idx="16">
                  <c:v>41974</c:v>
                </c:pt>
                <c:pt idx="17">
                  <c:v>42064</c:v>
                </c:pt>
                <c:pt idx="18">
                  <c:v>42156</c:v>
                </c:pt>
                <c:pt idx="19">
                  <c:v>42248</c:v>
                </c:pt>
                <c:pt idx="20">
                  <c:v>42339</c:v>
                </c:pt>
              </c:numCache>
            </c:numRef>
          </c:cat>
          <c:val>
            <c:numRef>
              <c:f>'Fig 4&amp;8 source'!$D$53:$D$73</c:f>
              <c:numCache>
                <c:formatCode>0.0%</c:formatCode>
                <c:ptCount val="21"/>
                <c:pt idx="0">
                  <c:v>5.8621584774401728E-2</c:v>
                </c:pt>
                <c:pt idx="1">
                  <c:v>5.8621584774401728E-2</c:v>
                </c:pt>
                <c:pt idx="2">
                  <c:v>5.8621584774401728E-2</c:v>
                </c:pt>
                <c:pt idx="3">
                  <c:v>5.8621584774401728E-2</c:v>
                </c:pt>
                <c:pt idx="4">
                  <c:v>5.8621584774401728E-2</c:v>
                </c:pt>
                <c:pt idx="5">
                  <c:v>5.8621584774401728E-2</c:v>
                </c:pt>
                <c:pt idx="6">
                  <c:v>5.8621584774401728E-2</c:v>
                </c:pt>
                <c:pt idx="7">
                  <c:v>5.8621584774401728E-2</c:v>
                </c:pt>
                <c:pt idx="8">
                  <c:v>5.8621584774401728E-2</c:v>
                </c:pt>
                <c:pt idx="9">
                  <c:v>5.8621584774401728E-2</c:v>
                </c:pt>
                <c:pt idx="10">
                  <c:v>5.8621584774401728E-2</c:v>
                </c:pt>
                <c:pt idx="11">
                  <c:v>5.8621584774401728E-2</c:v>
                </c:pt>
                <c:pt idx="12">
                  <c:v>5.8621584774401728E-2</c:v>
                </c:pt>
                <c:pt idx="13">
                  <c:v>5.8621584774401728E-2</c:v>
                </c:pt>
                <c:pt idx="14">
                  <c:v>5.8621584774401728E-2</c:v>
                </c:pt>
                <c:pt idx="15">
                  <c:v>5.8621584774401728E-2</c:v>
                </c:pt>
                <c:pt idx="16">
                  <c:v>5.8621584774401728E-2</c:v>
                </c:pt>
                <c:pt idx="17">
                  <c:v>5.8621584774401728E-2</c:v>
                </c:pt>
                <c:pt idx="18">
                  <c:v>5.8621584774401728E-2</c:v>
                </c:pt>
                <c:pt idx="19">
                  <c:v>5.8621584774401728E-2</c:v>
                </c:pt>
                <c:pt idx="20">
                  <c:v>5.8621584774401728E-2</c:v>
                </c:pt>
              </c:numCache>
            </c:numRef>
          </c:val>
          <c:smooth val="0"/>
        </c:ser>
        <c:dLbls>
          <c:showLegendKey val="0"/>
          <c:showVal val="0"/>
          <c:showCatName val="0"/>
          <c:showSerName val="0"/>
          <c:showPercent val="0"/>
          <c:showBubbleSize val="0"/>
        </c:dLbls>
        <c:marker val="1"/>
        <c:smooth val="0"/>
        <c:axId val="72331648"/>
        <c:axId val="72333184"/>
      </c:lineChart>
      <c:catAx>
        <c:axId val="72331648"/>
        <c:scaling>
          <c:orientation val="minMax"/>
        </c:scaling>
        <c:delete val="0"/>
        <c:axPos val="b"/>
        <c:numFmt formatCode="mmm\-yy" sourceLinked="1"/>
        <c:majorTickMark val="in"/>
        <c:minorTickMark val="none"/>
        <c:tickLblPos val="nextTo"/>
        <c:spPr>
          <a:ln w="6350">
            <a:solidFill>
              <a:schemeClr val="tx1"/>
            </a:solidFill>
            <a:prstDash val="solid"/>
          </a:ln>
        </c:spPr>
        <c:txPr>
          <a:bodyPr rot="0" vert="horz"/>
          <a:lstStyle/>
          <a:p>
            <a:pPr>
              <a:defRPr sz="700"/>
            </a:pPr>
            <a:endParaRPr lang="en-US"/>
          </a:p>
        </c:txPr>
        <c:crossAx val="72333184"/>
        <c:crossesAt val="-0.1"/>
        <c:auto val="0"/>
        <c:lblAlgn val="ctr"/>
        <c:lblOffset val="100"/>
        <c:tickLblSkip val="4"/>
        <c:tickMarkSkip val="1"/>
        <c:noMultiLvlLbl val="0"/>
      </c:catAx>
      <c:valAx>
        <c:axId val="72333184"/>
        <c:scaling>
          <c:orientation val="minMax"/>
          <c:max val="8.0000000000000043E-2"/>
        </c:scaling>
        <c:delete val="0"/>
        <c:axPos val="l"/>
        <c:majorGridlines>
          <c:spPr>
            <a:ln w="3175">
              <a:solidFill>
                <a:schemeClr val="bg1">
                  <a:lumMod val="75000"/>
                </a:schemeClr>
              </a:solidFill>
            </a:ln>
          </c:spPr>
        </c:majorGridlines>
        <c:numFmt formatCode="0%" sourceLinked="0"/>
        <c:majorTickMark val="none"/>
        <c:minorTickMark val="none"/>
        <c:tickLblPos val="nextTo"/>
        <c:spPr>
          <a:ln w="9525">
            <a:solidFill>
              <a:schemeClr val="tx1"/>
            </a:solidFill>
          </a:ln>
        </c:spPr>
        <c:txPr>
          <a:bodyPr rot="0" vert="horz"/>
          <a:lstStyle/>
          <a:p>
            <a:pPr>
              <a:defRPr sz="700"/>
            </a:pPr>
            <a:endParaRPr lang="en-US"/>
          </a:p>
        </c:txPr>
        <c:crossAx val="72331648"/>
        <c:crosses val="autoZero"/>
        <c:crossBetween val="between"/>
      </c:valAx>
      <c:spPr>
        <a:noFill/>
        <a:ln w="12700">
          <a:noFill/>
          <a:prstDash val="solid"/>
        </a:ln>
      </c:spPr>
    </c:plotArea>
    <c:legend>
      <c:legendPos val="b"/>
      <c:layout>
        <c:manualLayout>
          <c:xMode val="edge"/>
          <c:yMode val="edge"/>
          <c:x val="0.17177219326288604"/>
          <c:y val="0.9075774574816069"/>
          <c:w val="0.68145581032772173"/>
          <c:h val="7.5705073825662023E-2"/>
        </c:manualLayout>
      </c:layout>
      <c:overlay val="0"/>
      <c:txPr>
        <a:bodyPr/>
        <a:lstStyle/>
        <a:p>
          <a:pPr>
            <a:defRPr sz="700"/>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0929E-2"/>
          <c:w val="0.89372846906779213"/>
          <c:h val="0.78644581573353656"/>
        </c:manualLayout>
      </c:layout>
      <c:barChart>
        <c:barDir val="col"/>
        <c:grouping val="clustered"/>
        <c:varyColors val="0"/>
        <c:ser>
          <c:idx val="1"/>
          <c:order val="0"/>
          <c:tx>
            <c:strRef>
              <c:f>'Fig 6&amp;7 source'!$L$5</c:f>
              <c:strCache>
                <c:ptCount val="1"/>
                <c:pt idx="0">
                  <c:v>Lending to investors ($m)</c:v>
                </c:pt>
              </c:strCache>
            </c:strRef>
          </c:tx>
          <c:spPr>
            <a:solidFill>
              <a:srgbClr val="7C93B9"/>
            </a:solidFill>
            <a:ln w="12700">
              <a:noFill/>
              <a:prstDash val="solid"/>
            </a:ln>
          </c:spPr>
          <c:invertIfNegative val="0"/>
          <c:cat>
            <c:numRef>
              <c:f>'Fig 6&amp;7 source'!$K$6:$K$26</c:f>
              <c:numCache>
                <c:formatCode>mmm\-yy</c:formatCode>
                <c:ptCount val="21"/>
                <c:pt idx="0">
                  <c:v>40513</c:v>
                </c:pt>
                <c:pt idx="1">
                  <c:v>40603</c:v>
                </c:pt>
                <c:pt idx="2">
                  <c:v>40695</c:v>
                </c:pt>
                <c:pt idx="3">
                  <c:v>40787</c:v>
                </c:pt>
                <c:pt idx="4">
                  <c:v>40878</c:v>
                </c:pt>
                <c:pt idx="5">
                  <c:v>40969</c:v>
                </c:pt>
                <c:pt idx="6">
                  <c:v>41061</c:v>
                </c:pt>
                <c:pt idx="7">
                  <c:v>41153</c:v>
                </c:pt>
                <c:pt idx="8">
                  <c:v>41244</c:v>
                </c:pt>
                <c:pt idx="9">
                  <c:v>41334</c:v>
                </c:pt>
                <c:pt idx="10">
                  <c:v>41426</c:v>
                </c:pt>
                <c:pt idx="11">
                  <c:v>41518</c:v>
                </c:pt>
                <c:pt idx="12">
                  <c:v>41609</c:v>
                </c:pt>
                <c:pt idx="13">
                  <c:v>41699</c:v>
                </c:pt>
                <c:pt idx="14">
                  <c:v>41791</c:v>
                </c:pt>
                <c:pt idx="15">
                  <c:v>41883</c:v>
                </c:pt>
                <c:pt idx="16">
                  <c:v>41974</c:v>
                </c:pt>
                <c:pt idx="17">
                  <c:v>42064</c:v>
                </c:pt>
                <c:pt idx="18">
                  <c:v>42156</c:v>
                </c:pt>
                <c:pt idx="19">
                  <c:v>42248</c:v>
                </c:pt>
                <c:pt idx="20">
                  <c:v>42339</c:v>
                </c:pt>
              </c:numCache>
            </c:numRef>
          </c:cat>
          <c:val>
            <c:numRef>
              <c:f>'Fig 6&amp;7 source'!$L$6:$L$26</c:f>
              <c:numCache>
                <c:formatCode>#,##0</c:formatCode>
                <c:ptCount val="21"/>
                <c:pt idx="0">
                  <c:v>6761.3785275294113</c:v>
                </c:pt>
                <c:pt idx="1">
                  <c:v>6013.6995322903549</c:v>
                </c:pt>
                <c:pt idx="2">
                  <c:v>6651.8487976239912</c:v>
                </c:pt>
                <c:pt idx="3">
                  <c:v>6868.7576958005993</c:v>
                </c:pt>
                <c:pt idx="4">
                  <c:v>6001.6600527747742</c:v>
                </c:pt>
                <c:pt idx="5">
                  <c:v>5758.4509032192182</c:v>
                </c:pt>
                <c:pt idx="6">
                  <c:v>6213.1586048276895</c:v>
                </c:pt>
                <c:pt idx="7">
                  <c:v>6334.4556146427176</c:v>
                </c:pt>
                <c:pt idx="8">
                  <c:v>6246.0462995470589</c:v>
                </c:pt>
                <c:pt idx="9">
                  <c:v>6300.3057237070325</c:v>
                </c:pt>
                <c:pt idx="10">
                  <c:v>7110.036709388889</c:v>
                </c:pt>
                <c:pt idx="11">
                  <c:v>7743.8489199259629</c:v>
                </c:pt>
                <c:pt idx="12">
                  <c:v>8026.8297982242366</c:v>
                </c:pt>
                <c:pt idx="13">
                  <c:v>7894.7008780142423</c:v>
                </c:pt>
                <c:pt idx="14">
                  <c:v>8849.9435322946156</c:v>
                </c:pt>
                <c:pt idx="15">
                  <c:v>9694.665133518376</c:v>
                </c:pt>
                <c:pt idx="16">
                  <c:v>9688.0021598664171</c:v>
                </c:pt>
                <c:pt idx="17">
                  <c:v>9910.1170587857123</c:v>
                </c:pt>
                <c:pt idx="18">
                  <c:v>11077.471621831932</c:v>
                </c:pt>
                <c:pt idx="19">
                  <c:v>10363.107949513942</c:v>
                </c:pt>
                <c:pt idx="20">
                  <c:v>9525.3896180000011</c:v>
                </c:pt>
              </c:numCache>
            </c:numRef>
          </c:val>
        </c:ser>
        <c:dLbls>
          <c:showLegendKey val="0"/>
          <c:showVal val="0"/>
          <c:showCatName val="0"/>
          <c:showSerName val="0"/>
          <c:showPercent val="0"/>
          <c:showBubbleSize val="0"/>
        </c:dLbls>
        <c:gapWidth val="40"/>
        <c:overlap val="61"/>
        <c:axId val="72342912"/>
        <c:axId val="72348800"/>
      </c:barChart>
      <c:lineChart>
        <c:grouping val="standard"/>
        <c:varyColors val="0"/>
        <c:ser>
          <c:idx val="0"/>
          <c:order val="1"/>
          <c:tx>
            <c:strRef>
              <c:f>'Fig 6&amp;7 source'!$M$5</c:f>
              <c:strCache>
                <c:ptCount val="1"/>
                <c:pt idx="0">
                  <c:v>Investor share of all housing loans (%)</c:v>
                </c:pt>
              </c:strCache>
            </c:strRef>
          </c:tx>
          <c:spPr>
            <a:ln w="15875">
              <a:solidFill>
                <a:srgbClr val="3F5176"/>
              </a:solidFill>
              <a:prstDash val="solid"/>
            </a:ln>
          </c:spPr>
          <c:marker>
            <c:symbol val="none"/>
          </c:marker>
          <c:cat>
            <c:numRef>
              <c:f>'Fig 6&amp;7 source'!$K$6:$K$26</c:f>
              <c:numCache>
                <c:formatCode>mmm\-yy</c:formatCode>
                <c:ptCount val="21"/>
                <c:pt idx="0">
                  <c:v>40513</c:v>
                </c:pt>
                <c:pt idx="1">
                  <c:v>40603</c:v>
                </c:pt>
                <c:pt idx="2">
                  <c:v>40695</c:v>
                </c:pt>
                <c:pt idx="3">
                  <c:v>40787</c:v>
                </c:pt>
                <c:pt idx="4">
                  <c:v>40878</c:v>
                </c:pt>
                <c:pt idx="5">
                  <c:v>40969</c:v>
                </c:pt>
                <c:pt idx="6">
                  <c:v>41061</c:v>
                </c:pt>
                <c:pt idx="7">
                  <c:v>41153</c:v>
                </c:pt>
                <c:pt idx="8">
                  <c:v>41244</c:v>
                </c:pt>
                <c:pt idx="9">
                  <c:v>41334</c:v>
                </c:pt>
                <c:pt idx="10">
                  <c:v>41426</c:v>
                </c:pt>
                <c:pt idx="11">
                  <c:v>41518</c:v>
                </c:pt>
                <c:pt idx="12">
                  <c:v>41609</c:v>
                </c:pt>
                <c:pt idx="13">
                  <c:v>41699</c:v>
                </c:pt>
                <c:pt idx="14">
                  <c:v>41791</c:v>
                </c:pt>
                <c:pt idx="15">
                  <c:v>41883</c:v>
                </c:pt>
                <c:pt idx="16">
                  <c:v>41974</c:v>
                </c:pt>
                <c:pt idx="17">
                  <c:v>42064</c:v>
                </c:pt>
                <c:pt idx="18">
                  <c:v>42156</c:v>
                </c:pt>
                <c:pt idx="19">
                  <c:v>42248</c:v>
                </c:pt>
                <c:pt idx="20">
                  <c:v>42339</c:v>
                </c:pt>
              </c:numCache>
            </c:numRef>
          </c:cat>
          <c:val>
            <c:numRef>
              <c:f>'Fig 6&amp;7 source'!$M$6:$M$26</c:f>
              <c:numCache>
                <c:formatCode>0.0%</c:formatCode>
                <c:ptCount val="21"/>
                <c:pt idx="0">
                  <c:v>0.30391243612027141</c:v>
                </c:pt>
                <c:pt idx="1">
                  <c:v>0.29052642109975579</c:v>
                </c:pt>
                <c:pt idx="2">
                  <c:v>0.29625875967435472</c:v>
                </c:pt>
                <c:pt idx="3">
                  <c:v>0.2945676697564556</c:v>
                </c:pt>
                <c:pt idx="4">
                  <c:v>0.2795253802313088</c:v>
                </c:pt>
                <c:pt idx="5">
                  <c:v>0.2820202140203002</c:v>
                </c:pt>
                <c:pt idx="6">
                  <c:v>0.28309736379525813</c:v>
                </c:pt>
                <c:pt idx="7">
                  <c:v>0.28117038436166858</c:v>
                </c:pt>
                <c:pt idx="8">
                  <c:v>0.2884753274791243</c:v>
                </c:pt>
                <c:pt idx="9">
                  <c:v>0.29893697759082893</c:v>
                </c:pt>
                <c:pt idx="10">
                  <c:v>0.30058338566214893</c:v>
                </c:pt>
                <c:pt idx="11">
                  <c:v>0.30203943186466287</c:v>
                </c:pt>
                <c:pt idx="12">
                  <c:v>0.31627759091377816</c:v>
                </c:pt>
                <c:pt idx="13">
                  <c:v>0.32370006747367597</c:v>
                </c:pt>
                <c:pt idx="14">
                  <c:v>0.33090437349828489</c:v>
                </c:pt>
                <c:pt idx="15">
                  <c:v>0.3349732472026406</c:v>
                </c:pt>
                <c:pt idx="16">
                  <c:v>0.33755276192898709</c:v>
                </c:pt>
                <c:pt idx="17">
                  <c:v>0.34731054176501475</c:v>
                </c:pt>
                <c:pt idx="18">
                  <c:v>0.34879685719863196</c:v>
                </c:pt>
                <c:pt idx="19">
                  <c:v>0.30812724682460563</c:v>
                </c:pt>
                <c:pt idx="20">
                  <c:v>0.27053148250201886</c:v>
                </c:pt>
              </c:numCache>
            </c:numRef>
          </c:val>
          <c:smooth val="0"/>
        </c:ser>
        <c:dLbls>
          <c:showLegendKey val="0"/>
          <c:showVal val="0"/>
          <c:showCatName val="0"/>
          <c:showSerName val="0"/>
          <c:showPercent val="0"/>
          <c:showBubbleSize val="0"/>
        </c:dLbls>
        <c:marker val="1"/>
        <c:smooth val="0"/>
        <c:axId val="72350336"/>
        <c:axId val="72483200"/>
      </c:lineChart>
      <c:catAx>
        <c:axId val="72342912"/>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72348800"/>
        <c:crosses val="autoZero"/>
        <c:auto val="0"/>
        <c:lblAlgn val="ctr"/>
        <c:lblOffset val="100"/>
        <c:tickLblSkip val="4"/>
        <c:tickMarkSkip val="1"/>
        <c:noMultiLvlLbl val="0"/>
      </c:catAx>
      <c:valAx>
        <c:axId val="72348800"/>
        <c:scaling>
          <c:orientation val="minMax"/>
          <c:max val="12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sz="600">
                <a:latin typeface="HelveticaNeueLT Std Lt" pitchFamily="34" charset="0"/>
              </a:defRPr>
            </a:pPr>
            <a:endParaRPr lang="en-US"/>
          </a:p>
        </c:txPr>
        <c:crossAx val="72342912"/>
        <c:crosses val="autoZero"/>
        <c:crossBetween val="between"/>
        <c:majorUnit val="2000"/>
      </c:valAx>
      <c:catAx>
        <c:axId val="72350336"/>
        <c:scaling>
          <c:orientation val="minMax"/>
        </c:scaling>
        <c:delete val="1"/>
        <c:axPos val="b"/>
        <c:numFmt formatCode="mmm\-yy" sourceLinked="1"/>
        <c:majorTickMark val="out"/>
        <c:minorTickMark val="none"/>
        <c:tickLblPos val="none"/>
        <c:crossAx val="72483200"/>
        <c:crosses val="autoZero"/>
        <c:auto val="0"/>
        <c:lblAlgn val="ctr"/>
        <c:lblOffset val="100"/>
        <c:noMultiLvlLbl val="0"/>
      </c:catAx>
      <c:valAx>
        <c:axId val="72483200"/>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defRPr sz="600"/>
            </a:pPr>
            <a:endParaRPr lang="en-US"/>
          </a:p>
        </c:txPr>
        <c:crossAx val="72350336"/>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2614"/>
          <c:h val="0.74970926281763162"/>
        </c:manualLayout>
      </c:layout>
      <c:lineChart>
        <c:grouping val="standard"/>
        <c:varyColors val="0"/>
        <c:ser>
          <c:idx val="0"/>
          <c:order val="0"/>
          <c:tx>
            <c:v>Metropolitan Melbourne</c:v>
          </c:tx>
          <c:spPr>
            <a:ln w="25400">
              <a:solidFill>
                <a:srgbClr val="3F5176"/>
              </a:solidFill>
              <a:prstDash val="solid"/>
            </a:ln>
          </c:spPr>
          <c:marker>
            <c:symbol val="none"/>
          </c:marker>
          <c:cat>
            <c:numRef>
              <c:f>'Fig 6&amp;7 source'!$A$141:$A$201</c:f>
              <c:numCache>
                <c:formatCode>mmm\-yy</c:formatCode>
                <c:ptCount val="61"/>
                <c:pt idx="0">
                  <c:v>40513</c:v>
                </c:pt>
                <c:pt idx="1">
                  <c:v>40544</c:v>
                </c:pt>
                <c:pt idx="2">
                  <c:v>40575</c:v>
                </c:pt>
                <c:pt idx="3">
                  <c:v>40603</c:v>
                </c:pt>
                <c:pt idx="4">
                  <c:v>40634</c:v>
                </c:pt>
                <c:pt idx="5">
                  <c:v>40664</c:v>
                </c:pt>
                <c:pt idx="6">
                  <c:v>40695</c:v>
                </c:pt>
                <c:pt idx="7">
                  <c:v>40725</c:v>
                </c:pt>
                <c:pt idx="8">
                  <c:v>40756</c:v>
                </c:pt>
                <c:pt idx="9">
                  <c:v>40787</c:v>
                </c:pt>
                <c:pt idx="10">
                  <c:v>40817</c:v>
                </c:pt>
                <c:pt idx="11">
                  <c:v>40848</c:v>
                </c:pt>
                <c:pt idx="12">
                  <c:v>40878</c:v>
                </c:pt>
                <c:pt idx="13">
                  <c:v>40909</c:v>
                </c:pt>
                <c:pt idx="14">
                  <c:v>40940</c:v>
                </c:pt>
                <c:pt idx="15">
                  <c:v>40969</c:v>
                </c:pt>
                <c:pt idx="16">
                  <c:v>41000</c:v>
                </c:pt>
                <c:pt idx="17">
                  <c:v>41030</c:v>
                </c:pt>
                <c:pt idx="18">
                  <c:v>41061</c:v>
                </c:pt>
                <c:pt idx="19">
                  <c:v>41091</c:v>
                </c:pt>
                <c:pt idx="20">
                  <c:v>41122</c:v>
                </c:pt>
                <c:pt idx="21">
                  <c:v>41153</c:v>
                </c:pt>
                <c:pt idx="22">
                  <c:v>41183</c:v>
                </c:pt>
                <c:pt idx="23">
                  <c:v>41214</c:v>
                </c:pt>
                <c:pt idx="24">
                  <c:v>41244</c:v>
                </c:pt>
                <c:pt idx="25">
                  <c:v>41275</c:v>
                </c:pt>
                <c:pt idx="26">
                  <c:v>41306</c:v>
                </c:pt>
                <c:pt idx="27">
                  <c:v>41334</c:v>
                </c:pt>
                <c:pt idx="28">
                  <c:v>41365</c:v>
                </c:pt>
                <c:pt idx="29">
                  <c:v>41395</c:v>
                </c:pt>
                <c:pt idx="30">
                  <c:v>41426</c:v>
                </c:pt>
                <c:pt idx="31">
                  <c:v>41456</c:v>
                </c:pt>
                <c:pt idx="32">
                  <c:v>41487</c:v>
                </c:pt>
                <c:pt idx="33">
                  <c:v>41518</c:v>
                </c:pt>
                <c:pt idx="34">
                  <c:v>41548</c:v>
                </c:pt>
                <c:pt idx="35">
                  <c:v>41579</c:v>
                </c:pt>
                <c:pt idx="36">
                  <c:v>41609</c:v>
                </c:pt>
                <c:pt idx="37">
                  <c:v>41640</c:v>
                </c:pt>
                <c:pt idx="38">
                  <c:v>41671</c:v>
                </c:pt>
                <c:pt idx="39">
                  <c:v>41699</c:v>
                </c:pt>
                <c:pt idx="40">
                  <c:v>41730</c:v>
                </c:pt>
                <c:pt idx="41">
                  <c:v>41760</c:v>
                </c:pt>
                <c:pt idx="42">
                  <c:v>41791</c:v>
                </c:pt>
                <c:pt idx="43">
                  <c:v>41821</c:v>
                </c:pt>
                <c:pt idx="44">
                  <c:v>41852</c:v>
                </c:pt>
                <c:pt idx="45">
                  <c:v>41883</c:v>
                </c:pt>
                <c:pt idx="46">
                  <c:v>41913</c:v>
                </c:pt>
                <c:pt idx="47">
                  <c:v>41944</c:v>
                </c:pt>
                <c:pt idx="48">
                  <c:v>41974</c:v>
                </c:pt>
                <c:pt idx="49">
                  <c:v>42005</c:v>
                </c:pt>
                <c:pt idx="50">
                  <c:v>42036</c:v>
                </c:pt>
                <c:pt idx="51">
                  <c:v>42064</c:v>
                </c:pt>
                <c:pt idx="52">
                  <c:v>42095</c:v>
                </c:pt>
                <c:pt idx="53">
                  <c:v>42125</c:v>
                </c:pt>
                <c:pt idx="54">
                  <c:v>42156</c:v>
                </c:pt>
                <c:pt idx="55">
                  <c:v>42186</c:v>
                </c:pt>
                <c:pt idx="56">
                  <c:v>42217</c:v>
                </c:pt>
                <c:pt idx="57">
                  <c:v>42248</c:v>
                </c:pt>
                <c:pt idx="58">
                  <c:v>42278</c:v>
                </c:pt>
                <c:pt idx="59">
                  <c:v>42309</c:v>
                </c:pt>
                <c:pt idx="60">
                  <c:v>42339</c:v>
                </c:pt>
              </c:numCache>
            </c:numRef>
          </c:cat>
          <c:val>
            <c:numRef>
              <c:f>'Fig 6&amp;7 source'!$B$141:$B$201</c:f>
              <c:numCache>
                <c:formatCode>0.000</c:formatCode>
                <c:ptCount val="61"/>
                <c:pt idx="0">
                  <c:v>1.8250350044827553E-2</c:v>
                </c:pt>
                <c:pt idx="1">
                  <c:v>1.8378536721011144E-2</c:v>
                </c:pt>
                <c:pt idx="2">
                  <c:v>1.8126603219905404E-2</c:v>
                </c:pt>
                <c:pt idx="3">
                  <c:v>1.7849118266896041E-2</c:v>
                </c:pt>
                <c:pt idx="4">
                  <c:v>1.789247853972056E-2</c:v>
                </c:pt>
                <c:pt idx="5">
                  <c:v>1.8833374297390192E-2</c:v>
                </c:pt>
                <c:pt idx="6">
                  <c:v>2.0748286570410904E-2</c:v>
                </c:pt>
                <c:pt idx="7">
                  <c:v>2.2912968043711485E-2</c:v>
                </c:pt>
                <c:pt idx="8">
                  <c:v>2.4453625149548609E-2</c:v>
                </c:pt>
                <c:pt idx="9">
                  <c:v>2.5085737336030579E-2</c:v>
                </c:pt>
                <c:pt idx="10">
                  <c:v>2.486250643946368E-2</c:v>
                </c:pt>
                <c:pt idx="11">
                  <c:v>2.4122183980238882E-2</c:v>
                </c:pt>
                <c:pt idx="12">
                  <c:v>2.3395732756523884E-2</c:v>
                </c:pt>
                <c:pt idx="13">
                  <c:v>2.2910201133944971E-2</c:v>
                </c:pt>
                <c:pt idx="14">
                  <c:v>2.2538680715735063E-2</c:v>
                </c:pt>
                <c:pt idx="15">
                  <c:v>2.2133683503769579E-2</c:v>
                </c:pt>
                <c:pt idx="16">
                  <c:v>2.1650757570510226E-2</c:v>
                </c:pt>
                <c:pt idx="17">
                  <c:v>2.0891728336318829E-2</c:v>
                </c:pt>
                <c:pt idx="18">
                  <c:v>1.9910247881431812E-2</c:v>
                </c:pt>
                <c:pt idx="19">
                  <c:v>1.9011415265174005E-2</c:v>
                </c:pt>
                <c:pt idx="20">
                  <c:v>1.8734319007297377E-2</c:v>
                </c:pt>
                <c:pt idx="21">
                  <c:v>1.9496374971019619E-2</c:v>
                </c:pt>
                <c:pt idx="22">
                  <c:v>2.1234812074969509E-2</c:v>
                </c:pt>
                <c:pt idx="23">
                  <c:v>2.3674112337486591E-2</c:v>
                </c:pt>
                <c:pt idx="24">
                  <c:v>2.623751370227952E-2</c:v>
                </c:pt>
                <c:pt idx="25">
                  <c:v>2.8422809684549345E-2</c:v>
                </c:pt>
                <c:pt idx="26">
                  <c:v>2.9799132080031304E-2</c:v>
                </c:pt>
                <c:pt idx="27">
                  <c:v>3.0479547213611086E-2</c:v>
                </c:pt>
                <c:pt idx="28">
                  <c:v>3.0859573579237187E-2</c:v>
                </c:pt>
                <c:pt idx="29">
                  <c:v>3.115513927763108E-2</c:v>
                </c:pt>
                <c:pt idx="30">
                  <c:v>3.1442450915780691E-2</c:v>
                </c:pt>
                <c:pt idx="31">
                  <c:v>3.1573095325088806E-2</c:v>
                </c:pt>
                <c:pt idx="32">
                  <c:v>3.1446969744543384E-2</c:v>
                </c:pt>
                <c:pt idx="33">
                  <c:v>3.1052658648088104E-2</c:v>
                </c:pt>
                <c:pt idx="34">
                  <c:v>3.0585650645952159E-2</c:v>
                </c:pt>
                <c:pt idx="35">
                  <c:v>3.0019505007727675E-2</c:v>
                </c:pt>
                <c:pt idx="36">
                  <c:v>2.9262761646793249E-2</c:v>
                </c:pt>
                <c:pt idx="37">
                  <c:v>2.8364695021524278E-2</c:v>
                </c:pt>
                <c:pt idx="38">
                  <c:v>2.7581233931551159E-2</c:v>
                </c:pt>
                <c:pt idx="39">
                  <c:v>2.7193549062707711E-2</c:v>
                </c:pt>
                <c:pt idx="40">
                  <c:v>2.7506742829695899E-2</c:v>
                </c:pt>
                <c:pt idx="41">
                  <c:v>2.8661029640052897E-2</c:v>
                </c:pt>
                <c:pt idx="42">
                  <c:v>3.0209955334441523E-2</c:v>
                </c:pt>
                <c:pt idx="43">
                  <c:v>3.1555705517211582E-2</c:v>
                </c:pt>
                <c:pt idx="44">
                  <c:v>3.2260253509487746E-2</c:v>
                </c:pt>
                <c:pt idx="45">
                  <c:v>3.2152865080910559E-2</c:v>
                </c:pt>
                <c:pt idx="46">
                  <c:v>3.1590106501120561E-2</c:v>
                </c:pt>
                <c:pt idx="47">
                  <c:v>3.0897026976324734E-2</c:v>
                </c:pt>
                <c:pt idx="48">
                  <c:v>3.0248683967578013E-2</c:v>
                </c:pt>
                <c:pt idx="49">
                  <c:v>2.9722279859566172E-2</c:v>
                </c:pt>
                <c:pt idx="50">
                  <c:v>2.9291482388160452E-2</c:v>
                </c:pt>
                <c:pt idx="51">
                  <c:v>2.8927866062815999E-2</c:v>
                </c:pt>
                <c:pt idx="52">
                  <c:v>2.8745036851335209E-2</c:v>
                </c:pt>
                <c:pt idx="53">
                  <c:v>2.8736524411060782E-2</c:v>
                </c:pt>
                <c:pt idx="54">
                  <c:v>2.8912425593583719E-2</c:v>
                </c:pt>
                <c:pt idx="55">
                  <c:v>2.9206314732830467E-2</c:v>
                </c:pt>
                <c:pt idx="56">
                  <c:v>2.9601333277561016E-2</c:v>
                </c:pt>
                <c:pt idx="57">
                  <c:v>3.0216801268369817E-2</c:v>
                </c:pt>
                <c:pt idx="58">
                  <c:v>3.105106365061101E-2</c:v>
                </c:pt>
                <c:pt idx="59">
                  <c:v>3.1928401481030683E-2</c:v>
                </c:pt>
                <c:pt idx="60">
                  <c:v>3.2725368523791896E-2</c:v>
                </c:pt>
              </c:numCache>
            </c:numRef>
          </c:val>
          <c:smooth val="1"/>
        </c:ser>
        <c:ser>
          <c:idx val="1"/>
          <c:order val="1"/>
          <c:tx>
            <c:v>Regional Victoria</c:v>
          </c:tx>
          <c:spPr>
            <a:ln w="25400">
              <a:solidFill>
                <a:srgbClr val="3F5176"/>
              </a:solidFill>
              <a:prstDash val="sysDash"/>
            </a:ln>
          </c:spPr>
          <c:marker>
            <c:symbol val="none"/>
          </c:marker>
          <c:cat>
            <c:numRef>
              <c:f>'Fig 6&amp;7 source'!$A$141:$A$201</c:f>
              <c:numCache>
                <c:formatCode>mmm\-yy</c:formatCode>
                <c:ptCount val="61"/>
                <c:pt idx="0">
                  <c:v>40513</c:v>
                </c:pt>
                <c:pt idx="1">
                  <c:v>40544</c:v>
                </c:pt>
                <c:pt idx="2">
                  <c:v>40575</c:v>
                </c:pt>
                <c:pt idx="3">
                  <c:v>40603</c:v>
                </c:pt>
                <c:pt idx="4">
                  <c:v>40634</c:v>
                </c:pt>
                <c:pt idx="5">
                  <c:v>40664</c:v>
                </c:pt>
                <c:pt idx="6">
                  <c:v>40695</c:v>
                </c:pt>
                <c:pt idx="7">
                  <c:v>40725</c:v>
                </c:pt>
                <c:pt idx="8">
                  <c:v>40756</c:v>
                </c:pt>
                <c:pt idx="9">
                  <c:v>40787</c:v>
                </c:pt>
                <c:pt idx="10">
                  <c:v>40817</c:v>
                </c:pt>
                <c:pt idx="11">
                  <c:v>40848</c:v>
                </c:pt>
                <c:pt idx="12">
                  <c:v>40878</c:v>
                </c:pt>
                <c:pt idx="13">
                  <c:v>40909</c:v>
                </c:pt>
                <c:pt idx="14">
                  <c:v>40940</c:v>
                </c:pt>
                <c:pt idx="15">
                  <c:v>40969</c:v>
                </c:pt>
                <c:pt idx="16">
                  <c:v>41000</c:v>
                </c:pt>
                <c:pt idx="17">
                  <c:v>41030</c:v>
                </c:pt>
                <c:pt idx="18">
                  <c:v>41061</c:v>
                </c:pt>
                <c:pt idx="19">
                  <c:v>41091</c:v>
                </c:pt>
                <c:pt idx="20">
                  <c:v>41122</c:v>
                </c:pt>
                <c:pt idx="21">
                  <c:v>41153</c:v>
                </c:pt>
                <c:pt idx="22">
                  <c:v>41183</c:v>
                </c:pt>
                <c:pt idx="23">
                  <c:v>41214</c:v>
                </c:pt>
                <c:pt idx="24">
                  <c:v>41244</c:v>
                </c:pt>
                <c:pt idx="25">
                  <c:v>41275</c:v>
                </c:pt>
                <c:pt idx="26">
                  <c:v>41306</c:v>
                </c:pt>
                <c:pt idx="27">
                  <c:v>41334</c:v>
                </c:pt>
                <c:pt idx="28">
                  <c:v>41365</c:v>
                </c:pt>
                <c:pt idx="29">
                  <c:v>41395</c:v>
                </c:pt>
                <c:pt idx="30">
                  <c:v>41426</c:v>
                </c:pt>
                <c:pt idx="31">
                  <c:v>41456</c:v>
                </c:pt>
                <c:pt idx="32">
                  <c:v>41487</c:v>
                </c:pt>
                <c:pt idx="33">
                  <c:v>41518</c:v>
                </c:pt>
                <c:pt idx="34">
                  <c:v>41548</c:v>
                </c:pt>
                <c:pt idx="35">
                  <c:v>41579</c:v>
                </c:pt>
                <c:pt idx="36">
                  <c:v>41609</c:v>
                </c:pt>
                <c:pt idx="37">
                  <c:v>41640</c:v>
                </c:pt>
                <c:pt idx="38">
                  <c:v>41671</c:v>
                </c:pt>
                <c:pt idx="39">
                  <c:v>41699</c:v>
                </c:pt>
                <c:pt idx="40">
                  <c:v>41730</c:v>
                </c:pt>
                <c:pt idx="41">
                  <c:v>41760</c:v>
                </c:pt>
                <c:pt idx="42">
                  <c:v>41791</c:v>
                </c:pt>
                <c:pt idx="43">
                  <c:v>41821</c:v>
                </c:pt>
                <c:pt idx="44">
                  <c:v>41852</c:v>
                </c:pt>
                <c:pt idx="45">
                  <c:v>41883</c:v>
                </c:pt>
                <c:pt idx="46">
                  <c:v>41913</c:v>
                </c:pt>
                <c:pt idx="47">
                  <c:v>41944</c:v>
                </c:pt>
                <c:pt idx="48">
                  <c:v>41974</c:v>
                </c:pt>
                <c:pt idx="49">
                  <c:v>42005</c:v>
                </c:pt>
                <c:pt idx="50">
                  <c:v>42036</c:v>
                </c:pt>
                <c:pt idx="51">
                  <c:v>42064</c:v>
                </c:pt>
                <c:pt idx="52">
                  <c:v>42095</c:v>
                </c:pt>
                <c:pt idx="53">
                  <c:v>42125</c:v>
                </c:pt>
                <c:pt idx="54">
                  <c:v>42156</c:v>
                </c:pt>
                <c:pt idx="55">
                  <c:v>42186</c:v>
                </c:pt>
                <c:pt idx="56">
                  <c:v>42217</c:v>
                </c:pt>
                <c:pt idx="57">
                  <c:v>42248</c:v>
                </c:pt>
                <c:pt idx="58">
                  <c:v>42278</c:v>
                </c:pt>
                <c:pt idx="59">
                  <c:v>42309</c:v>
                </c:pt>
                <c:pt idx="60">
                  <c:v>42339</c:v>
                </c:pt>
              </c:numCache>
            </c:numRef>
          </c:cat>
          <c:val>
            <c:numRef>
              <c:f>'Fig 6&amp;7 source'!$E$141:$E$201</c:f>
              <c:numCache>
                <c:formatCode>0.000</c:formatCode>
                <c:ptCount val="61"/>
                <c:pt idx="0">
                  <c:v>1.1042521092523037E-2</c:v>
                </c:pt>
                <c:pt idx="1">
                  <c:v>1.1691841874606821E-2</c:v>
                </c:pt>
                <c:pt idx="2">
                  <c:v>1.2172314065579549E-2</c:v>
                </c:pt>
                <c:pt idx="3">
                  <c:v>1.266530304360858E-2</c:v>
                </c:pt>
                <c:pt idx="4">
                  <c:v>1.3335468461225118E-2</c:v>
                </c:pt>
                <c:pt idx="5">
                  <c:v>1.4281755454017001E-2</c:v>
                </c:pt>
                <c:pt idx="6">
                  <c:v>1.5256410343192877E-2</c:v>
                </c:pt>
                <c:pt idx="7">
                  <c:v>1.5951364267343667E-2</c:v>
                </c:pt>
                <c:pt idx="8">
                  <c:v>1.6176648370632707E-2</c:v>
                </c:pt>
                <c:pt idx="9">
                  <c:v>1.5765869306619947E-2</c:v>
                </c:pt>
                <c:pt idx="10">
                  <c:v>1.4788627504761445E-2</c:v>
                </c:pt>
                <c:pt idx="11">
                  <c:v>1.384601441679168E-2</c:v>
                </c:pt>
                <c:pt idx="12">
                  <c:v>1.3397504001852422E-2</c:v>
                </c:pt>
                <c:pt idx="13">
                  <c:v>1.3747812672382471E-2</c:v>
                </c:pt>
                <c:pt idx="14">
                  <c:v>1.5130681152863118E-2</c:v>
                </c:pt>
                <c:pt idx="15">
                  <c:v>1.7424510245768875E-2</c:v>
                </c:pt>
                <c:pt idx="16">
                  <c:v>2.0072454783107894E-2</c:v>
                </c:pt>
                <c:pt idx="17">
                  <c:v>2.2498285435514711E-2</c:v>
                </c:pt>
                <c:pt idx="18">
                  <c:v>2.3943466156462655E-2</c:v>
                </c:pt>
                <c:pt idx="19">
                  <c:v>2.3783263308884226E-2</c:v>
                </c:pt>
                <c:pt idx="20">
                  <c:v>2.2761349872151372E-2</c:v>
                </c:pt>
                <c:pt idx="21">
                  <c:v>2.19034103080121E-2</c:v>
                </c:pt>
                <c:pt idx="22">
                  <c:v>2.2031941718086239E-2</c:v>
                </c:pt>
                <c:pt idx="23">
                  <c:v>2.3303029640466731E-2</c:v>
                </c:pt>
                <c:pt idx="24">
                  <c:v>2.5667004908886633E-2</c:v>
                </c:pt>
                <c:pt idx="25">
                  <c:v>2.8815184383828497E-2</c:v>
                </c:pt>
                <c:pt idx="26">
                  <c:v>3.1899184775794738E-2</c:v>
                </c:pt>
                <c:pt idx="27">
                  <c:v>3.4350413031870114E-2</c:v>
                </c:pt>
                <c:pt idx="28">
                  <c:v>3.5816237242269316E-2</c:v>
                </c:pt>
                <c:pt idx="29">
                  <c:v>3.6198149232139799E-2</c:v>
                </c:pt>
                <c:pt idx="30">
                  <c:v>3.5523280585830978E-2</c:v>
                </c:pt>
                <c:pt idx="31">
                  <c:v>3.3969210424797086E-2</c:v>
                </c:pt>
                <c:pt idx="32">
                  <c:v>3.1793872494864574E-2</c:v>
                </c:pt>
                <c:pt idx="33">
                  <c:v>2.938282252774925E-2</c:v>
                </c:pt>
                <c:pt idx="34">
                  <c:v>2.7477911561491479E-2</c:v>
                </c:pt>
                <c:pt idx="35">
                  <c:v>2.6230915781532926E-2</c:v>
                </c:pt>
                <c:pt idx="36">
                  <c:v>2.5524390441051932E-2</c:v>
                </c:pt>
                <c:pt idx="37">
                  <c:v>2.5083101070939341E-2</c:v>
                </c:pt>
                <c:pt idx="38">
                  <c:v>2.4801908600144397E-2</c:v>
                </c:pt>
                <c:pt idx="39">
                  <c:v>2.4726549282011547E-2</c:v>
                </c:pt>
                <c:pt idx="40">
                  <c:v>2.490401808278947E-2</c:v>
                </c:pt>
                <c:pt idx="41">
                  <c:v>2.5081556858750687E-2</c:v>
                </c:pt>
                <c:pt idx="42">
                  <c:v>2.5041993327275247E-2</c:v>
                </c:pt>
                <c:pt idx="43">
                  <c:v>2.450272973442217E-2</c:v>
                </c:pt>
                <c:pt idx="44">
                  <c:v>2.3399627807939319E-2</c:v>
                </c:pt>
                <c:pt idx="45">
                  <c:v>2.2162934079780993E-2</c:v>
                </c:pt>
                <c:pt idx="46">
                  <c:v>2.1204589444789781E-2</c:v>
                </c:pt>
                <c:pt idx="47">
                  <c:v>2.0700281186549385E-2</c:v>
                </c:pt>
                <c:pt idx="48">
                  <c:v>2.0817578541717584E-2</c:v>
                </c:pt>
                <c:pt idx="49">
                  <c:v>2.1511105353746091E-2</c:v>
                </c:pt>
                <c:pt idx="50">
                  <c:v>2.2495408088506828E-2</c:v>
                </c:pt>
                <c:pt idx="51">
                  <c:v>2.3427802902931675E-2</c:v>
                </c:pt>
                <c:pt idx="52">
                  <c:v>2.4045969017827715E-2</c:v>
                </c:pt>
                <c:pt idx="53">
                  <c:v>2.4224239313107927E-2</c:v>
                </c:pt>
                <c:pt idx="54">
                  <c:v>2.4103797440483608E-2</c:v>
                </c:pt>
                <c:pt idx="55">
                  <c:v>2.3670857887125578E-2</c:v>
                </c:pt>
                <c:pt idx="56">
                  <c:v>2.3265249545263947E-2</c:v>
                </c:pt>
                <c:pt idx="57">
                  <c:v>2.3049481110432566E-2</c:v>
                </c:pt>
                <c:pt idx="58">
                  <c:v>2.3256107186718451E-2</c:v>
                </c:pt>
                <c:pt idx="59">
                  <c:v>2.3723551554344243E-2</c:v>
                </c:pt>
                <c:pt idx="60">
                  <c:v>2.4350499397713249E-2</c:v>
                </c:pt>
              </c:numCache>
            </c:numRef>
          </c:val>
          <c:smooth val="0"/>
        </c:ser>
        <c:dLbls>
          <c:showLegendKey val="0"/>
          <c:showVal val="0"/>
          <c:showCatName val="0"/>
          <c:showSerName val="0"/>
          <c:showPercent val="0"/>
          <c:showBubbleSize val="0"/>
        </c:dLbls>
        <c:marker val="1"/>
        <c:smooth val="0"/>
        <c:axId val="72489984"/>
        <c:axId val="72499968"/>
      </c:lineChart>
      <c:dateAx>
        <c:axId val="72489984"/>
        <c:scaling>
          <c:orientation val="minMax"/>
          <c:max val="42339"/>
          <c:min val="40513"/>
        </c:scaling>
        <c:delete val="0"/>
        <c:axPos val="b"/>
        <c:numFmt formatCode="mmm\-yy" sourceLinked="0"/>
        <c:majorTickMark val="in"/>
        <c:minorTickMark val="in"/>
        <c:tickLblPos val="low"/>
        <c:spPr>
          <a:ln w="6350">
            <a:solidFill>
              <a:schemeClr val="tx1"/>
            </a:solidFill>
          </a:ln>
        </c:spPr>
        <c:txPr>
          <a:bodyPr rot="0" vert="horz"/>
          <a:lstStyle/>
          <a:p>
            <a:pPr>
              <a:defRPr sz="800"/>
            </a:pPr>
            <a:endParaRPr lang="en-US"/>
          </a:p>
        </c:txPr>
        <c:crossAx val="72499968"/>
        <c:crosses val="autoZero"/>
        <c:auto val="1"/>
        <c:lblOffset val="100"/>
        <c:baseTimeUnit val="months"/>
        <c:majorUnit val="1"/>
        <c:majorTimeUnit val="years"/>
        <c:minorUnit val="3"/>
        <c:minorTimeUnit val="months"/>
      </c:dateAx>
      <c:valAx>
        <c:axId val="72499968"/>
        <c:scaling>
          <c:orientation val="minMax"/>
          <c:max val="4.0000000000000022E-2"/>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defRPr sz="650"/>
            </a:pPr>
            <a:endParaRPr lang="en-US"/>
          </a:p>
        </c:txPr>
        <c:crossAx val="72489984"/>
        <c:crossesAt val="1247"/>
        <c:crossBetween val="midCat"/>
        <c:majorUnit val="5.0000000000000079E-3"/>
      </c:valAx>
      <c:spPr>
        <a:noFill/>
        <a:ln w="12700">
          <a:noFill/>
          <a:prstDash val="solid"/>
        </a:ln>
      </c:spPr>
    </c:plotArea>
    <c:legend>
      <c:legendPos val="r"/>
      <c:layout>
        <c:manualLayout>
          <c:xMode val="edge"/>
          <c:yMode val="edge"/>
          <c:x val="0.14449536587374592"/>
          <c:y val="0.91531020160941423"/>
          <c:w val="0.67140179935985511"/>
          <c:h val="6.943555132531512E-2"/>
        </c:manualLayout>
      </c:layout>
      <c:overlay val="0"/>
      <c:txPr>
        <a:bodyPr/>
        <a:lstStyle/>
        <a:p>
          <a:pPr>
            <a:defRPr sz="900" b="1"/>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282"/>
        </c:manualLayout>
      </c:layout>
      <c:lineChart>
        <c:grouping val="standard"/>
        <c:varyColors val="0"/>
        <c:ser>
          <c:idx val="2"/>
          <c:order val="0"/>
          <c:tx>
            <c:v>Regional Victoria</c:v>
          </c:tx>
          <c:spPr>
            <a:ln w="31750">
              <a:solidFill>
                <a:srgbClr val="9DAECB"/>
              </a:solidFill>
              <a:prstDash val="sysDash"/>
            </a:ln>
          </c:spPr>
          <c:marker>
            <c:symbol val="none"/>
          </c:marker>
          <c:cat>
            <c:numRef>
              <c:f>'Fig 4&amp;8 source'!$O$51:$O$71</c:f>
              <c:numCache>
                <c:formatCode>mmm\-yy</c:formatCode>
                <c:ptCount val="21"/>
                <c:pt idx="0">
                  <c:v>40513</c:v>
                </c:pt>
                <c:pt idx="1">
                  <c:v>40603</c:v>
                </c:pt>
                <c:pt idx="2">
                  <c:v>40695</c:v>
                </c:pt>
                <c:pt idx="3">
                  <c:v>40787</c:v>
                </c:pt>
                <c:pt idx="4">
                  <c:v>40878</c:v>
                </c:pt>
                <c:pt idx="5">
                  <c:v>40969</c:v>
                </c:pt>
                <c:pt idx="6">
                  <c:v>41061</c:v>
                </c:pt>
                <c:pt idx="7">
                  <c:v>41153</c:v>
                </c:pt>
                <c:pt idx="8">
                  <c:v>41244</c:v>
                </c:pt>
                <c:pt idx="9">
                  <c:v>41334</c:v>
                </c:pt>
                <c:pt idx="10">
                  <c:v>41426</c:v>
                </c:pt>
                <c:pt idx="11">
                  <c:v>41518</c:v>
                </c:pt>
                <c:pt idx="12">
                  <c:v>41609</c:v>
                </c:pt>
                <c:pt idx="13">
                  <c:v>41699</c:v>
                </c:pt>
                <c:pt idx="14">
                  <c:v>41791</c:v>
                </c:pt>
                <c:pt idx="15">
                  <c:v>41883</c:v>
                </c:pt>
                <c:pt idx="16">
                  <c:v>41974</c:v>
                </c:pt>
                <c:pt idx="17">
                  <c:v>42064</c:v>
                </c:pt>
                <c:pt idx="18">
                  <c:v>42156</c:v>
                </c:pt>
                <c:pt idx="19">
                  <c:v>42248</c:v>
                </c:pt>
                <c:pt idx="20">
                  <c:v>42339</c:v>
                </c:pt>
              </c:numCache>
            </c:numRef>
          </c:cat>
          <c:val>
            <c:numRef>
              <c:f>'Fig 4&amp;8 source'!$R$51:$R$71</c:f>
              <c:numCache>
                <c:formatCode>0.00%</c:formatCode>
                <c:ptCount val="21"/>
                <c:pt idx="0">
                  <c:v>0.56100000000000005</c:v>
                </c:pt>
                <c:pt idx="1">
                  <c:v>0.55000000000000004</c:v>
                </c:pt>
                <c:pt idx="2">
                  <c:v>0.56299999999999994</c:v>
                </c:pt>
                <c:pt idx="3">
                  <c:v>0.56999999999999995</c:v>
                </c:pt>
                <c:pt idx="4">
                  <c:v>0.56799999999999995</c:v>
                </c:pt>
                <c:pt idx="5">
                  <c:v>0.54900000000000004</c:v>
                </c:pt>
                <c:pt idx="6">
                  <c:v>0.57099999999999995</c:v>
                </c:pt>
                <c:pt idx="7">
                  <c:v>0.60100000000000009</c:v>
                </c:pt>
                <c:pt idx="8">
                  <c:v>0.58099999999999996</c:v>
                </c:pt>
                <c:pt idx="9">
                  <c:v>0.56000000000000005</c:v>
                </c:pt>
                <c:pt idx="10">
                  <c:v>0.60200000000000009</c:v>
                </c:pt>
                <c:pt idx="11">
                  <c:v>0.60500000000000009</c:v>
                </c:pt>
                <c:pt idx="12">
                  <c:v>0.58399999999999996</c:v>
                </c:pt>
                <c:pt idx="13">
                  <c:v>0.56299999999999994</c:v>
                </c:pt>
                <c:pt idx="14">
                  <c:v>0.6090000000000001</c:v>
                </c:pt>
                <c:pt idx="15">
                  <c:v>0.62800000000000011</c:v>
                </c:pt>
                <c:pt idx="16">
                  <c:v>0.62300000000000011</c:v>
                </c:pt>
                <c:pt idx="17">
                  <c:v>0.59499999999999997</c:v>
                </c:pt>
                <c:pt idx="18">
                  <c:v>0.62500000000000011</c:v>
                </c:pt>
                <c:pt idx="19">
                  <c:v>0.60600000000000009</c:v>
                </c:pt>
                <c:pt idx="20">
                  <c:v>0.59199999999999997</c:v>
                </c:pt>
              </c:numCache>
            </c:numRef>
          </c:val>
          <c:smooth val="0"/>
        </c:ser>
        <c:ser>
          <c:idx val="0"/>
          <c:order val="1"/>
          <c:tx>
            <c:v>Victoria</c:v>
          </c:tx>
          <c:spPr>
            <a:ln w="31750">
              <a:solidFill>
                <a:srgbClr val="9DAECB"/>
              </a:solidFill>
              <a:prstDash val="solid"/>
            </a:ln>
          </c:spPr>
          <c:marker>
            <c:symbol val="none"/>
          </c:marker>
          <c:cat>
            <c:numRef>
              <c:f>'Fig 4&amp;8 source'!$O$51:$O$71</c:f>
              <c:numCache>
                <c:formatCode>mmm\-yy</c:formatCode>
                <c:ptCount val="21"/>
                <c:pt idx="0">
                  <c:v>40513</c:v>
                </c:pt>
                <c:pt idx="1">
                  <c:v>40603</c:v>
                </c:pt>
                <c:pt idx="2">
                  <c:v>40695</c:v>
                </c:pt>
                <c:pt idx="3">
                  <c:v>40787</c:v>
                </c:pt>
                <c:pt idx="4">
                  <c:v>40878</c:v>
                </c:pt>
                <c:pt idx="5">
                  <c:v>40969</c:v>
                </c:pt>
                <c:pt idx="6">
                  <c:v>41061</c:v>
                </c:pt>
                <c:pt idx="7">
                  <c:v>41153</c:v>
                </c:pt>
                <c:pt idx="8">
                  <c:v>41244</c:v>
                </c:pt>
                <c:pt idx="9">
                  <c:v>41334</c:v>
                </c:pt>
                <c:pt idx="10">
                  <c:v>41426</c:v>
                </c:pt>
                <c:pt idx="11">
                  <c:v>41518</c:v>
                </c:pt>
                <c:pt idx="12">
                  <c:v>41609</c:v>
                </c:pt>
                <c:pt idx="13">
                  <c:v>41699</c:v>
                </c:pt>
                <c:pt idx="14">
                  <c:v>41791</c:v>
                </c:pt>
                <c:pt idx="15">
                  <c:v>41883</c:v>
                </c:pt>
                <c:pt idx="16">
                  <c:v>41974</c:v>
                </c:pt>
                <c:pt idx="17">
                  <c:v>42064</c:v>
                </c:pt>
                <c:pt idx="18">
                  <c:v>42156</c:v>
                </c:pt>
                <c:pt idx="19">
                  <c:v>42248</c:v>
                </c:pt>
                <c:pt idx="20">
                  <c:v>42339</c:v>
                </c:pt>
              </c:numCache>
            </c:numRef>
          </c:cat>
          <c:val>
            <c:numRef>
              <c:f>'Fig 4&amp;8 source'!$P$51:$P$71</c:f>
              <c:numCache>
                <c:formatCode>0.0%</c:formatCode>
                <c:ptCount val="21"/>
                <c:pt idx="0">
                  <c:v>0.191</c:v>
                </c:pt>
                <c:pt idx="1">
                  <c:v>0.17800000000000002</c:v>
                </c:pt>
                <c:pt idx="2">
                  <c:v>0.20600000000000002</c:v>
                </c:pt>
                <c:pt idx="3">
                  <c:v>0.20700000000000002</c:v>
                </c:pt>
                <c:pt idx="4">
                  <c:v>0.21000000000000002</c:v>
                </c:pt>
                <c:pt idx="5">
                  <c:v>0.19</c:v>
                </c:pt>
                <c:pt idx="6">
                  <c:v>0.20900000000000002</c:v>
                </c:pt>
                <c:pt idx="7">
                  <c:v>0.222</c:v>
                </c:pt>
                <c:pt idx="8">
                  <c:v>0.21700000000000003</c:v>
                </c:pt>
                <c:pt idx="9">
                  <c:v>0.18800000000000003</c:v>
                </c:pt>
                <c:pt idx="10">
                  <c:v>0.21900000000000003</c:v>
                </c:pt>
                <c:pt idx="11">
                  <c:v>0.20900000000000002</c:v>
                </c:pt>
                <c:pt idx="12">
                  <c:v>0.20600000000000002</c:v>
                </c:pt>
                <c:pt idx="13">
                  <c:v>0.17800000000000002</c:v>
                </c:pt>
                <c:pt idx="14">
                  <c:v>0.22600000000000001</c:v>
                </c:pt>
                <c:pt idx="15">
                  <c:v>0.20900000000000002</c:v>
                </c:pt>
                <c:pt idx="16">
                  <c:v>0.222</c:v>
                </c:pt>
                <c:pt idx="17">
                  <c:v>0.18300000000000002</c:v>
                </c:pt>
                <c:pt idx="18">
                  <c:v>0.22</c:v>
                </c:pt>
                <c:pt idx="19">
                  <c:v>0.19500000000000001</c:v>
                </c:pt>
                <c:pt idx="20">
                  <c:v>0.19</c:v>
                </c:pt>
              </c:numCache>
            </c:numRef>
          </c:val>
          <c:smooth val="0"/>
        </c:ser>
        <c:ser>
          <c:idx val="1"/>
          <c:order val="2"/>
          <c:tx>
            <c:v>Metropolitan Melbourne</c:v>
          </c:tx>
          <c:spPr>
            <a:ln w="25400">
              <a:solidFill>
                <a:srgbClr val="9DAECB"/>
              </a:solidFill>
            </a:ln>
          </c:spPr>
          <c:marker>
            <c:symbol val="none"/>
          </c:marker>
          <c:cat>
            <c:numRef>
              <c:f>'Fig 4&amp;8 source'!$O$51:$O$71</c:f>
              <c:numCache>
                <c:formatCode>mmm\-yy</c:formatCode>
                <c:ptCount val="21"/>
                <c:pt idx="0">
                  <c:v>40513</c:v>
                </c:pt>
                <c:pt idx="1">
                  <c:v>40603</c:v>
                </c:pt>
                <c:pt idx="2">
                  <c:v>40695</c:v>
                </c:pt>
                <c:pt idx="3">
                  <c:v>40787</c:v>
                </c:pt>
                <c:pt idx="4">
                  <c:v>40878</c:v>
                </c:pt>
                <c:pt idx="5">
                  <c:v>40969</c:v>
                </c:pt>
                <c:pt idx="6">
                  <c:v>41061</c:v>
                </c:pt>
                <c:pt idx="7">
                  <c:v>41153</c:v>
                </c:pt>
                <c:pt idx="8">
                  <c:v>41244</c:v>
                </c:pt>
                <c:pt idx="9">
                  <c:v>41334</c:v>
                </c:pt>
                <c:pt idx="10">
                  <c:v>41426</c:v>
                </c:pt>
                <c:pt idx="11">
                  <c:v>41518</c:v>
                </c:pt>
                <c:pt idx="12">
                  <c:v>41609</c:v>
                </c:pt>
                <c:pt idx="13">
                  <c:v>41699</c:v>
                </c:pt>
                <c:pt idx="14">
                  <c:v>41791</c:v>
                </c:pt>
                <c:pt idx="15">
                  <c:v>41883</c:v>
                </c:pt>
                <c:pt idx="16">
                  <c:v>41974</c:v>
                </c:pt>
                <c:pt idx="17">
                  <c:v>42064</c:v>
                </c:pt>
                <c:pt idx="18">
                  <c:v>42156</c:v>
                </c:pt>
                <c:pt idx="19">
                  <c:v>42248</c:v>
                </c:pt>
                <c:pt idx="20">
                  <c:v>42339</c:v>
                </c:pt>
              </c:numCache>
            </c:numRef>
          </c:cat>
          <c:val>
            <c:numRef>
              <c:f>'Fig 4&amp;8 source'!$Q$51:$Q$71</c:f>
              <c:numCache>
                <c:formatCode>0.00%</c:formatCode>
                <c:ptCount val="21"/>
                <c:pt idx="0">
                  <c:v>8.1000000000000003E-2</c:v>
                </c:pt>
                <c:pt idx="1">
                  <c:v>7.3999999999999996E-2</c:v>
                </c:pt>
                <c:pt idx="2">
                  <c:v>9.6000000000000002E-2</c:v>
                </c:pt>
                <c:pt idx="3">
                  <c:v>0.10400000000000001</c:v>
                </c:pt>
                <c:pt idx="4">
                  <c:v>0.10600000000000001</c:v>
                </c:pt>
                <c:pt idx="5">
                  <c:v>9.6000000000000002E-2</c:v>
                </c:pt>
                <c:pt idx="6">
                  <c:v>0.10400000000000001</c:v>
                </c:pt>
                <c:pt idx="7">
                  <c:v>0.12000000000000001</c:v>
                </c:pt>
                <c:pt idx="8">
                  <c:v>0.113</c:v>
                </c:pt>
                <c:pt idx="9">
                  <c:v>9.3000000000000041E-2</c:v>
                </c:pt>
                <c:pt idx="10">
                  <c:v>0.111</c:v>
                </c:pt>
                <c:pt idx="11">
                  <c:v>0.10100000000000002</c:v>
                </c:pt>
                <c:pt idx="12">
                  <c:v>0.1</c:v>
                </c:pt>
                <c:pt idx="13">
                  <c:v>8.1000000000000003E-2</c:v>
                </c:pt>
                <c:pt idx="14">
                  <c:v>0.11700000000000002</c:v>
                </c:pt>
                <c:pt idx="15">
                  <c:v>0.10100000000000002</c:v>
                </c:pt>
                <c:pt idx="16">
                  <c:v>0.111</c:v>
                </c:pt>
                <c:pt idx="17">
                  <c:v>8.5000000000000006E-2</c:v>
                </c:pt>
                <c:pt idx="18">
                  <c:v>0.10600000000000001</c:v>
                </c:pt>
                <c:pt idx="19">
                  <c:v>8.9000000000000037E-2</c:v>
                </c:pt>
                <c:pt idx="20">
                  <c:v>8.5000000000000006E-2</c:v>
                </c:pt>
              </c:numCache>
            </c:numRef>
          </c:val>
          <c:smooth val="0"/>
        </c:ser>
        <c:dLbls>
          <c:showLegendKey val="0"/>
          <c:showVal val="0"/>
          <c:showCatName val="0"/>
          <c:showSerName val="0"/>
          <c:showPercent val="0"/>
          <c:showBubbleSize val="0"/>
        </c:dLbls>
        <c:marker val="1"/>
        <c:smooth val="0"/>
        <c:axId val="73663232"/>
        <c:axId val="73664768"/>
      </c:lineChart>
      <c:dateAx>
        <c:axId val="73663232"/>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defRPr sz="800"/>
            </a:pPr>
            <a:endParaRPr lang="en-US"/>
          </a:p>
        </c:txPr>
        <c:crossAx val="73664768"/>
        <c:crosses val="autoZero"/>
        <c:auto val="1"/>
        <c:lblOffset val="100"/>
        <c:baseTimeUnit val="months"/>
        <c:majorUnit val="1"/>
        <c:majorTimeUnit val="years"/>
        <c:minorUnit val="3"/>
        <c:minorTimeUnit val="months"/>
      </c:dateAx>
      <c:valAx>
        <c:axId val="73664768"/>
        <c:scaling>
          <c:orientation val="minMax"/>
          <c:max val="0.70000000000000062"/>
          <c:min val="0"/>
        </c:scaling>
        <c:delete val="0"/>
        <c:axPos val="l"/>
        <c:majorGridlines>
          <c:spPr>
            <a:ln w="12700" cmpd="sng">
              <a:solidFill>
                <a:schemeClr val="bg1">
                  <a:lumMod val="85000"/>
                </a:schemeClr>
              </a:solidFill>
              <a:prstDash val="sysDash"/>
            </a:ln>
          </c:spPr>
        </c:majorGridlines>
        <c:minorGridlines>
          <c:spPr>
            <a:ln w="12700"/>
          </c:spPr>
        </c:minorGridlines>
        <c:numFmt formatCode="0%" sourceLinked="0"/>
        <c:majorTickMark val="out"/>
        <c:minorTickMark val="none"/>
        <c:tickLblPos val="nextTo"/>
        <c:spPr>
          <a:ln w="6350">
            <a:solidFill>
              <a:srgbClr val="000000"/>
            </a:solidFill>
            <a:prstDash val="solid"/>
          </a:ln>
        </c:spPr>
        <c:txPr>
          <a:bodyPr rot="0" vert="horz"/>
          <a:lstStyle/>
          <a:p>
            <a:pPr>
              <a:defRPr sz="800"/>
            </a:pPr>
            <a:endParaRPr lang="en-US"/>
          </a:p>
        </c:txPr>
        <c:crossAx val="73663232"/>
        <c:crosses val="autoZero"/>
        <c:crossBetween val="between"/>
        <c:majorUnit val="0.1"/>
        <c:minorUnit val="5.0000000000000024E-2"/>
      </c:valAx>
      <c:spPr>
        <a:noFill/>
        <a:ln w="25400">
          <a:noFill/>
        </a:ln>
      </c:spPr>
    </c:plotArea>
    <c:legend>
      <c:legendPos val="b"/>
      <c:layout>
        <c:manualLayout>
          <c:xMode val="edge"/>
          <c:yMode val="edge"/>
          <c:x val="9.8740379536605763E-2"/>
          <c:y val="0.89702625111188872"/>
          <c:w val="0.79692188467768565"/>
          <c:h val="7.1596250434060399E-2"/>
        </c:manualLayout>
      </c:layout>
      <c:overlay val="0"/>
      <c:txPr>
        <a:bodyPr/>
        <a:lstStyle/>
        <a:p>
          <a:pPr>
            <a:defRPr sz="10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21FEA-ACCE-430E-BA67-128063A9E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10278</Words>
  <Characters>58589</Characters>
  <Application>Microsoft Office Word</Application>
  <DocSecurity>4</DocSecurity>
  <Lines>488</Lines>
  <Paragraphs>137</Paragraphs>
  <ScaleCrop>false</ScaleCrop>
  <HeadingPairs>
    <vt:vector size="2" baseType="variant">
      <vt:variant>
        <vt:lpstr>Title</vt:lpstr>
      </vt:variant>
      <vt:variant>
        <vt:i4>1</vt:i4>
      </vt:variant>
    </vt:vector>
  </HeadingPairs>
  <TitlesOfParts>
    <vt:vector size="1" baseType="lpstr">
      <vt:lpstr>Rental Report June quarter 2012</vt:lpstr>
    </vt:vector>
  </TitlesOfParts>
  <Company>Department of Human Services</Company>
  <LinksUpToDate>false</LinksUpToDate>
  <CharactersWithSpaces>68730</CharactersWithSpaces>
  <SharedDoc>false</SharedDoc>
  <HLinks>
    <vt:vector size="18" baseType="variant">
      <vt:variant>
        <vt:i4>7733349</vt:i4>
      </vt:variant>
      <vt:variant>
        <vt:i4>0</vt:i4>
      </vt:variant>
      <vt:variant>
        <vt:i4>0</vt:i4>
      </vt:variant>
      <vt:variant>
        <vt:i4>5</vt:i4>
      </vt:variant>
      <vt:variant>
        <vt:lpwstr>http://www.dhs.vic.gov.au/</vt:lpwstr>
      </vt:variant>
      <vt:variant>
        <vt:lpwstr/>
      </vt:variant>
      <vt:variant>
        <vt:i4>6815787</vt:i4>
      </vt:variant>
      <vt:variant>
        <vt:i4>6</vt:i4>
      </vt:variant>
      <vt:variant>
        <vt:i4>0</vt:i4>
      </vt:variant>
      <vt:variant>
        <vt:i4>5</vt:i4>
      </vt:variant>
      <vt:variant>
        <vt:lpwstr>http://www.dhs.vic.gov.au/about-the-department/documents-and-resources/research,-data-and-statistics/current-rental-report</vt:lpwstr>
      </vt:variant>
      <vt:variant>
        <vt:lpwstr/>
      </vt:variant>
      <vt:variant>
        <vt:i4>6815787</vt:i4>
      </vt:variant>
      <vt:variant>
        <vt:i4>3</vt:i4>
      </vt:variant>
      <vt:variant>
        <vt:i4>0</vt:i4>
      </vt:variant>
      <vt:variant>
        <vt:i4>5</vt:i4>
      </vt:variant>
      <vt:variant>
        <vt:lpwstr>http://www.dhs.vic.gov.au/about-the-department/documents-and-resources/research,-data-and-statistics/current-rental-report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Report June quarter 2012</dc:title>
  <dc:creator>Housing and Community Building</dc:creator>
  <cp:lastModifiedBy>Chris Biddle</cp:lastModifiedBy>
  <cp:revision>2</cp:revision>
  <cp:lastPrinted>2016-03-03T06:30:00Z</cp:lastPrinted>
  <dcterms:created xsi:type="dcterms:W3CDTF">2016-03-17T23:49:00Z</dcterms:created>
  <dcterms:modified xsi:type="dcterms:W3CDTF">2016-03-17T23:49:00Z</dcterms:modified>
</cp:coreProperties>
</file>