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AD17F" w14:textId="77777777" w:rsidR="0074696E" w:rsidRPr="004C6EEE" w:rsidRDefault="009B29EE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1D2B77CE" wp14:editId="279FD2A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3D187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0580B173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2A89DA19" w14:textId="278BFF32" w:rsidR="00AD784C" w:rsidRPr="00161AA0" w:rsidRDefault="003D68BC" w:rsidP="00A91406">
            <w:pPr>
              <w:pStyle w:val="DHHSmainheading"/>
            </w:pPr>
            <w:r>
              <w:t xml:space="preserve">Quick reference guide to common questions about restrictive </w:t>
            </w:r>
            <w:r w:rsidR="006B295C">
              <w:t>practices</w:t>
            </w:r>
            <w:r w:rsidR="00716F91" w:rsidRPr="00C06ADF">
              <w:rPr>
                <w:color w:val="FFFFFF" w:themeColor="background1"/>
              </w:rPr>
              <w:t xml:space="preserve"> - Seclusion</w:t>
            </w:r>
          </w:p>
        </w:tc>
      </w:tr>
      <w:tr w:rsidR="00AD784C" w14:paraId="4A537958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35243D61" w14:textId="77777777" w:rsidR="00357B4E" w:rsidRPr="00AD784C" w:rsidRDefault="003D68BC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Disability Act </w:t>
            </w:r>
            <w:r w:rsidR="00434BC2">
              <w:rPr>
                <w:szCs w:val="28"/>
              </w:rPr>
              <w:t>2006</w:t>
            </w:r>
            <w:r>
              <w:rPr>
                <w:szCs w:val="28"/>
              </w:rPr>
              <w:t>, Parts 7 and 8</w:t>
            </w:r>
          </w:p>
        </w:tc>
      </w:tr>
    </w:tbl>
    <w:p w14:paraId="1600E3EA" w14:textId="77777777" w:rsidR="007173CA" w:rsidRDefault="007173CA" w:rsidP="007173CA">
      <w:pPr>
        <w:pStyle w:val="DHHSbody"/>
        <w:sectPr w:rsidR="007173CA" w:rsidSect="00F01E5F">
          <w:headerReference w:type="default" r:id="rId15"/>
          <w:footerReference w:type="default" r:id="rId16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  <w:bookmarkStart w:id="1" w:name="_GoBack"/>
      <w:bookmarkEnd w:id="1"/>
    </w:p>
    <w:bookmarkEnd w:id="0"/>
    <w:p w14:paraId="3B344560" w14:textId="77777777" w:rsidR="00893AF6" w:rsidRPr="00186896" w:rsidRDefault="003D68BC" w:rsidP="0029752B">
      <w:pPr>
        <w:pStyle w:val="Heading1"/>
        <w:spacing w:before="0"/>
      </w:pPr>
      <w:r w:rsidRPr="00186896">
        <w:t>Introduction</w:t>
      </w:r>
    </w:p>
    <w:p w14:paraId="5F5644A5" w14:textId="1F13EE05" w:rsidR="00FA3525" w:rsidRPr="00C06ADF" w:rsidRDefault="00AA6557" w:rsidP="00FA3525">
      <w:pPr>
        <w:pStyle w:val="DHHSbody"/>
        <w:rPr>
          <w:color w:val="3366FF"/>
          <w:u w:val="dotted"/>
        </w:rPr>
      </w:pPr>
      <w:bookmarkStart w:id="2" w:name="_Toc440566509"/>
      <w:r>
        <w:t>These guides are</w:t>
      </w:r>
      <w:r w:rsidR="003D68BC">
        <w:t xml:space="preserve"> designed to quickly answer common questions about chemical restraint, mechanical restraint, seclusion</w:t>
      </w:r>
      <w:r w:rsidR="006B295C">
        <w:t>, environmental restraint</w:t>
      </w:r>
      <w:r w:rsidR="003D68BC">
        <w:t xml:space="preserve"> and physical restraint in Victorian disability services. If you require additional information, please go to the </w:t>
      </w:r>
      <w:hyperlink r:id="rId17" w:history="1">
        <w:r w:rsidR="003D68BC" w:rsidRPr="00FA581F">
          <w:rPr>
            <w:rStyle w:val="Hyperlink"/>
          </w:rPr>
          <w:t>Restrictive Intervention Self Evaluation Tool (RISET)</w:t>
        </w:r>
      </w:hyperlink>
      <w:r w:rsidR="00186896">
        <w:t xml:space="preserve"> and the </w:t>
      </w:r>
      <w:r w:rsidR="001D22ED" w:rsidRPr="00C06ADF">
        <w:rPr>
          <w:rStyle w:val="Hyperlink"/>
          <w:i/>
        </w:rPr>
        <w:t>Disability Act 2006</w:t>
      </w:r>
      <w:r w:rsidR="00F13C1C">
        <w:rPr>
          <w:rStyle w:val="Hyperlink"/>
          <w:i/>
        </w:rPr>
        <w:t xml:space="preserve"> </w:t>
      </w:r>
      <w:r w:rsidR="00F13C1C" w:rsidRPr="00C06ADF">
        <w:rPr>
          <w:rStyle w:val="Hyperlink"/>
        </w:rPr>
        <w:t xml:space="preserve">(the </w:t>
      </w:r>
      <w:r w:rsidR="00E1528E">
        <w:rPr>
          <w:rStyle w:val="Hyperlink"/>
        </w:rPr>
        <w:t xml:space="preserve">Disability </w:t>
      </w:r>
      <w:r w:rsidR="00F13C1C" w:rsidRPr="00C06ADF">
        <w:rPr>
          <w:rStyle w:val="Hyperlink"/>
        </w:rPr>
        <w:t>Act)</w:t>
      </w:r>
      <w:r w:rsidR="00186896">
        <w:t xml:space="preserve">. </w:t>
      </w:r>
    </w:p>
    <w:bookmarkEnd w:id="2"/>
    <w:p w14:paraId="0B9466CE" w14:textId="77777777" w:rsidR="00186896" w:rsidRDefault="00186896" w:rsidP="00BC7ED7">
      <w:pPr>
        <w:pStyle w:val="DHHSbody"/>
        <w:rPr>
          <w:rFonts w:eastAsia="MS Mincho"/>
          <w:b/>
          <w:bCs/>
          <w:color w:val="FF0000"/>
          <w:sz w:val="28"/>
          <w:szCs w:val="28"/>
        </w:rPr>
      </w:pPr>
    </w:p>
    <w:p w14:paraId="57389FC9" w14:textId="77777777" w:rsidR="001F42F0" w:rsidRPr="001F42F0" w:rsidRDefault="001F42F0" w:rsidP="00484A92">
      <w:pPr>
        <w:pStyle w:val="DHHSbody"/>
        <w:spacing w:before="240" w:after="90"/>
        <w:rPr>
          <w:rFonts w:eastAsia="MS Mincho"/>
          <w:b/>
          <w:bCs/>
          <w:color w:val="FF0000"/>
          <w:sz w:val="28"/>
          <w:szCs w:val="28"/>
        </w:rPr>
      </w:pPr>
      <w:r w:rsidRPr="001F42F0">
        <w:rPr>
          <w:rFonts w:eastAsia="MS Mincho"/>
          <w:b/>
          <w:bCs/>
          <w:color w:val="FF0000"/>
          <w:sz w:val="28"/>
          <w:szCs w:val="28"/>
        </w:rPr>
        <w:t xml:space="preserve">Seclusion </w:t>
      </w:r>
    </w:p>
    <w:p w14:paraId="3256CFA4" w14:textId="55973E72" w:rsidR="001F42F0" w:rsidRPr="001F42F0" w:rsidRDefault="00445FBF" w:rsidP="001F42F0">
      <w:pPr>
        <w:pStyle w:val="DHHSbody"/>
        <w:rPr>
          <w:rFonts w:eastAsia="MS Mincho"/>
          <w:bCs/>
        </w:rPr>
      </w:pPr>
      <w:hyperlink r:id="rId18" w:history="1">
        <w:r w:rsidR="00F32AB9" w:rsidRPr="00F32AB9">
          <w:rPr>
            <w:rStyle w:val="Hyperlink"/>
            <w:rFonts w:eastAsia="MS Mincho"/>
            <w:bCs/>
          </w:rPr>
          <w:t>Section 3</w:t>
        </w:r>
      </w:hyperlink>
      <w:r w:rsidR="00F32AB9">
        <w:rPr>
          <w:rFonts w:eastAsia="MS Mincho"/>
          <w:bCs/>
        </w:rPr>
        <w:t xml:space="preserve"> of the </w:t>
      </w:r>
      <w:r w:rsidR="00E1528E">
        <w:rPr>
          <w:rFonts w:eastAsia="MS Mincho"/>
          <w:bCs/>
        </w:rPr>
        <w:t xml:space="preserve">Disability </w:t>
      </w:r>
      <w:r w:rsidR="00434BC2">
        <w:rPr>
          <w:rFonts w:eastAsia="MS Mincho"/>
          <w:bCs/>
        </w:rPr>
        <w:t>Act</w:t>
      </w:r>
      <w:r w:rsidR="001F42F0" w:rsidRPr="001F42F0">
        <w:rPr>
          <w:rFonts w:eastAsia="MS Mincho"/>
          <w:bCs/>
        </w:rPr>
        <w:t xml:space="preserve"> defines seclusion as </w:t>
      </w:r>
      <w:r w:rsidR="006B295C">
        <w:rPr>
          <w:rFonts w:eastAsia="MS Mincho"/>
          <w:bCs/>
        </w:rPr>
        <w:t xml:space="preserve">having the same meaning as in the </w:t>
      </w:r>
      <w:r w:rsidR="006B295C" w:rsidRPr="00861A71">
        <w:rPr>
          <w:rFonts w:eastAsia="MS Mincho"/>
          <w:bCs/>
          <w:i/>
        </w:rPr>
        <w:t>NDIS (Restrictive Practices and Behaviour Support) Rules</w:t>
      </w:r>
      <w:r w:rsidR="0074613B" w:rsidRPr="00861A71">
        <w:rPr>
          <w:rFonts w:eastAsia="MS Mincho"/>
          <w:bCs/>
          <w:i/>
        </w:rPr>
        <w:t xml:space="preserve"> 2018 (</w:t>
      </w:r>
      <w:proofErr w:type="spellStart"/>
      <w:r w:rsidR="0074613B" w:rsidRPr="00861A71">
        <w:rPr>
          <w:rFonts w:eastAsia="MS Mincho"/>
          <w:bCs/>
          <w:i/>
        </w:rPr>
        <w:t>Cth</w:t>
      </w:r>
      <w:proofErr w:type="spellEnd"/>
      <w:r w:rsidR="0074613B" w:rsidRPr="00861A71">
        <w:rPr>
          <w:rFonts w:eastAsia="MS Mincho"/>
          <w:bCs/>
          <w:i/>
        </w:rPr>
        <w:t>)</w:t>
      </w:r>
      <w:r w:rsidR="00861A71">
        <w:rPr>
          <w:rFonts w:eastAsia="MS Mincho"/>
          <w:bCs/>
          <w:i/>
        </w:rPr>
        <w:t xml:space="preserve"> </w:t>
      </w:r>
      <w:r w:rsidR="00861A71">
        <w:rPr>
          <w:rFonts w:eastAsia="MS Mincho"/>
          <w:bCs/>
        </w:rPr>
        <w:t>(the NDIS Rules)</w:t>
      </w:r>
      <w:r w:rsidR="00FD0F4A" w:rsidRPr="00861A71">
        <w:rPr>
          <w:rFonts w:eastAsia="MS Mincho"/>
          <w:bCs/>
          <w:i/>
        </w:rPr>
        <w:t>.</w:t>
      </w:r>
      <w:r w:rsidR="00FD0F4A">
        <w:rPr>
          <w:rFonts w:eastAsia="MS Mincho"/>
          <w:bCs/>
        </w:rPr>
        <w:t xml:space="preserve"> The</w:t>
      </w:r>
      <w:r w:rsidR="00861A71">
        <w:rPr>
          <w:rFonts w:eastAsia="MS Mincho"/>
          <w:bCs/>
        </w:rPr>
        <w:t xml:space="preserve"> NDIS Rules</w:t>
      </w:r>
      <w:r w:rsidR="00FD0F4A">
        <w:rPr>
          <w:rFonts w:eastAsia="MS Mincho"/>
          <w:bCs/>
        </w:rPr>
        <w:t xml:space="preserve"> define seclusion as </w:t>
      </w:r>
      <w:r w:rsidR="001F42F0" w:rsidRPr="001F42F0">
        <w:rPr>
          <w:rFonts w:eastAsia="MS Mincho"/>
          <w:bCs/>
          <w:i/>
        </w:rPr>
        <w:t xml:space="preserve">the sole confinement of a person with a disability </w:t>
      </w:r>
      <w:r w:rsidR="00FD0F4A">
        <w:rPr>
          <w:rFonts w:eastAsia="MS Mincho"/>
          <w:bCs/>
          <w:i/>
        </w:rPr>
        <w:t xml:space="preserve">in a room or a physical space </w:t>
      </w:r>
      <w:r w:rsidR="001F42F0" w:rsidRPr="001F42F0">
        <w:rPr>
          <w:rFonts w:eastAsia="MS Mincho"/>
          <w:bCs/>
          <w:i/>
        </w:rPr>
        <w:t>at any hour of the day or night</w:t>
      </w:r>
      <w:r w:rsidR="00FD0F4A">
        <w:rPr>
          <w:rFonts w:eastAsia="MS Mincho"/>
          <w:bCs/>
          <w:i/>
        </w:rPr>
        <w:t xml:space="preserve">, where voluntary exit is prevented, or not facilitated, or it is implied that voluntary exit is not permitted. </w:t>
      </w:r>
    </w:p>
    <w:p w14:paraId="47689674" w14:textId="23806AEB" w:rsidR="001F42F0" w:rsidRPr="001F42F0" w:rsidRDefault="001F42F0" w:rsidP="001F42F0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 xml:space="preserve">1. If a door is </w:t>
      </w:r>
      <w:r w:rsidRPr="00BF3C22">
        <w:rPr>
          <w:rFonts w:eastAsia="MS Mincho"/>
          <w:b/>
          <w:bCs/>
          <w:u w:val="single"/>
        </w:rPr>
        <w:t>not</w:t>
      </w:r>
      <w:r w:rsidRPr="001F42F0">
        <w:rPr>
          <w:rFonts w:eastAsia="MS Mincho"/>
          <w:b/>
          <w:bCs/>
        </w:rPr>
        <w:t xml:space="preserve"> locked, </w:t>
      </w:r>
      <w:r w:rsidR="008622E7">
        <w:rPr>
          <w:rFonts w:eastAsia="MS Mincho"/>
          <w:b/>
          <w:bCs/>
        </w:rPr>
        <w:t>could this still be</w:t>
      </w:r>
      <w:r w:rsidR="00BF3C22">
        <w:rPr>
          <w:rFonts w:eastAsia="MS Mincho"/>
          <w:b/>
          <w:bCs/>
        </w:rPr>
        <w:t xml:space="preserve"> </w:t>
      </w:r>
      <w:r w:rsidRPr="001F42F0">
        <w:rPr>
          <w:rFonts w:eastAsia="MS Mincho"/>
          <w:b/>
          <w:bCs/>
        </w:rPr>
        <w:t>seclusion?</w:t>
      </w:r>
    </w:p>
    <w:p w14:paraId="1260ABBF" w14:textId="1AE0885E" w:rsidR="001F42F0" w:rsidRPr="001F42F0" w:rsidRDefault="001F42F0" w:rsidP="001F42F0">
      <w:pPr>
        <w:pStyle w:val="DHHSbody"/>
        <w:rPr>
          <w:rFonts w:eastAsia="MS Mincho"/>
          <w:bCs/>
        </w:rPr>
      </w:pPr>
      <w:r w:rsidRPr="001F42F0">
        <w:rPr>
          <w:rFonts w:eastAsia="MS Mincho"/>
          <w:bCs/>
        </w:rPr>
        <w:t xml:space="preserve">Yes. The definition of seclusion in </w:t>
      </w:r>
      <w:r w:rsidR="00FD0F4A">
        <w:rPr>
          <w:rFonts w:eastAsia="MS Mincho"/>
          <w:bCs/>
        </w:rPr>
        <w:t xml:space="preserve">the </w:t>
      </w:r>
      <w:r w:rsidR="00FD0F4A" w:rsidRPr="00861A71">
        <w:rPr>
          <w:rFonts w:eastAsia="MS Mincho"/>
          <w:bCs/>
        </w:rPr>
        <w:t>NDIS</w:t>
      </w:r>
      <w:r w:rsidR="00861A71">
        <w:rPr>
          <w:rFonts w:eastAsia="MS Mincho"/>
          <w:bCs/>
        </w:rPr>
        <w:t xml:space="preserve"> Rules</w:t>
      </w:r>
      <w:r w:rsidR="00FD0F4A" w:rsidRPr="00861A71">
        <w:rPr>
          <w:rFonts w:eastAsia="MS Mincho"/>
          <w:bCs/>
          <w:i/>
        </w:rPr>
        <w:t xml:space="preserve"> </w:t>
      </w:r>
      <w:r w:rsidRPr="001F42F0">
        <w:rPr>
          <w:rFonts w:eastAsia="MS Mincho"/>
          <w:bCs/>
        </w:rPr>
        <w:t>includes the statement “…</w:t>
      </w:r>
      <w:r w:rsidR="00FD0F4A">
        <w:rPr>
          <w:rFonts w:eastAsia="MS Mincho"/>
          <w:bCs/>
        </w:rPr>
        <w:t>where voluntary exit is prevented or not facilitated, or it is implied that voluntary exit is not permitted”</w:t>
      </w:r>
      <w:r w:rsidR="00E1528E">
        <w:rPr>
          <w:rFonts w:eastAsia="MS Mincho"/>
          <w:bCs/>
        </w:rPr>
        <w:t>.</w:t>
      </w:r>
      <w:r w:rsidR="00FD0F4A">
        <w:rPr>
          <w:rFonts w:eastAsia="MS Mincho"/>
          <w:bCs/>
        </w:rPr>
        <w:t xml:space="preserve"> </w:t>
      </w:r>
      <w:r w:rsidRPr="001F42F0">
        <w:rPr>
          <w:rFonts w:eastAsia="MS Mincho"/>
          <w:bCs/>
        </w:rPr>
        <w:t xml:space="preserve">If the person </w:t>
      </w:r>
      <w:r w:rsidR="00E1528E">
        <w:rPr>
          <w:rFonts w:eastAsia="MS Mincho"/>
          <w:bCs/>
        </w:rPr>
        <w:t>cannot exit</w:t>
      </w:r>
      <w:r w:rsidR="00186896">
        <w:rPr>
          <w:rFonts w:eastAsia="MS Mincho"/>
          <w:bCs/>
        </w:rPr>
        <w:t xml:space="preserve">, they are secluded. </w:t>
      </w:r>
    </w:p>
    <w:p w14:paraId="21A97C6E" w14:textId="77777777" w:rsidR="001F42F0" w:rsidRPr="001F42F0" w:rsidRDefault="001F42F0" w:rsidP="001F42F0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>2. If the windows are not locked and the door is locked, is this seclusion?</w:t>
      </w:r>
    </w:p>
    <w:p w14:paraId="7E174AB8" w14:textId="32DC3705" w:rsidR="001F42F0" w:rsidRPr="001F42F0" w:rsidRDefault="001F42F0" w:rsidP="001F42F0">
      <w:pPr>
        <w:pStyle w:val="DHHSbody"/>
        <w:rPr>
          <w:rFonts w:eastAsia="MS Mincho"/>
          <w:bCs/>
        </w:rPr>
      </w:pPr>
      <w:r w:rsidRPr="001F42F0">
        <w:rPr>
          <w:rFonts w:eastAsia="MS Mincho"/>
          <w:bCs/>
        </w:rPr>
        <w:t xml:space="preserve">Yes. It is unreasonable to expect </w:t>
      </w:r>
      <w:r w:rsidR="00E1528E">
        <w:rPr>
          <w:rFonts w:eastAsia="MS Mincho"/>
          <w:bCs/>
        </w:rPr>
        <w:t>a person</w:t>
      </w:r>
      <w:r w:rsidRPr="001F42F0">
        <w:rPr>
          <w:rFonts w:eastAsia="MS Mincho"/>
          <w:bCs/>
        </w:rPr>
        <w:t xml:space="preserve"> to</w:t>
      </w:r>
      <w:r>
        <w:rPr>
          <w:rFonts w:eastAsia="MS Mincho"/>
          <w:bCs/>
        </w:rPr>
        <w:t xml:space="preserve"> exit a room through a window. </w:t>
      </w:r>
    </w:p>
    <w:p w14:paraId="5E9A6EFA" w14:textId="77777777" w:rsidR="001F42F0" w:rsidRPr="001F42F0" w:rsidRDefault="001F42F0" w:rsidP="001F42F0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>3. If a door is not locked but a barrier of some kind is in place, is this seclusion?</w:t>
      </w:r>
    </w:p>
    <w:p w14:paraId="65A049A8" w14:textId="5F2A3764" w:rsidR="001F42F0" w:rsidRPr="001F42F0" w:rsidRDefault="001F42F0" w:rsidP="001F42F0">
      <w:pPr>
        <w:pStyle w:val="DHHSbody"/>
        <w:rPr>
          <w:rFonts w:eastAsia="MS Mincho"/>
          <w:bCs/>
        </w:rPr>
      </w:pPr>
      <w:r w:rsidRPr="001F42F0">
        <w:rPr>
          <w:rFonts w:eastAsia="MS Mincho"/>
          <w:bCs/>
        </w:rPr>
        <w:t>Yes</w:t>
      </w:r>
      <w:r w:rsidR="00BF3C22">
        <w:rPr>
          <w:rFonts w:eastAsia="MS Mincho"/>
          <w:bCs/>
        </w:rPr>
        <w:t>,</w:t>
      </w:r>
      <w:r w:rsidRPr="001F42F0">
        <w:rPr>
          <w:rFonts w:eastAsia="MS Mincho"/>
          <w:bCs/>
        </w:rPr>
        <w:t xml:space="preserve"> if the person cannot </w:t>
      </w:r>
      <w:r w:rsidR="00BF3C22">
        <w:rPr>
          <w:rFonts w:eastAsia="MS Mincho"/>
          <w:bCs/>
        </w:rPr>
        <w:t>exit through the barrier</w:t>
      </w:r>
      <w:r w:rsidR="00E1528E">
        <w:rPr>
          <w:rFonts w:eastAsia="MS Mincho"/>
          <w:bCs/>
        </w:rPr>
        <w:t xml:space="preserve"> or</w:t>
      </w:r>
      <w:r w:rsidRPr="001F42F0">
        <w:rPr>
          <w:rFonts w:eastAsia="MS Mincho"/>
          <w:bCs/>
        </w:rPr>
        <w:t xml:space="preserve"> the barrier acts as a deterrent to the person exiting the room, this may be considered a limitation on the person’s freedom of movement </w:t>
      </w:r>
      <w:r w:rsidR="00F32AB9">
        <w:rPr>
          <w:rFonts w:eastAsia="MS Mincho"/>
          <w:bCs/>
        </w:rPr>
        <w:t>in</w:t>
      </w:r>
      <w:hyperlink r:id="rId19" w:history="1">
        <w:r w:rsidRPr="00BF3C22">
          <w:rPr>
            <w:rStyle w:val="Hyperlink"/>
            <w:rFonts w:eastAsia="MS Mincho"/>
            <w:bCs/>
          </w:rPr>
          <w:t xml:space="preserve"> the </w:t>
        </w:r>
        <w:r w:rsidRPr="00861A71">
          <w:rPr>
            <w:rStyle w:val="Hyperlink"/>
            <w:rFonts w:eastAsia="MS Mincho"/>
            <w:bCs/>
            <w:i/>
          </w:rPr>
          <w:t>Charter of Human Rights and Responsibilities Act 2006</w:t>
        </w:r>
      </w:hyperlink>
      <w:r w:rsidRPr="001F42F0">
        <w:rPr>
          <w:rFonts w:eastAsia="MS Mincho"/>
          <w:bCs/>
        </w:rPr>
        <w:t xml:space="preserve"> and/or a violation of </w:t>
      </w:r>
      <w:hyperlink r:id="rId20" w:history="1">
        <w:r w:rsidR="00F32AB9">
          <w:rPr>
            <w:rStyle w:val="Hyperlink"/>
            <w:rFonts w:eastAsia="MS Mincho"/>
            <w:bCs/>
          </w:rPr>
          <w:t>the</w:t>
        </w:r>
        <w:r w:rsidRPr="00BF3C22">
          <w:rPr>
            <w:rStyle w:val="Hyperlink"/>
            <w:rFonts w:eastAsia="MS Mincho"/>
            <w:bCs/>
          </w:rPr>
          <w:t xml:space="preserve"> </w:t>
        </w:r>
        <w:r w:rsidR="00E1528E">
          <w:rPr>
            <w:rStyle w:val="Hyperlink"/>
            <w:rFonts w:eastAsia="MS Mincho"/>
            <w:bCs/>
          </w:rPr>
          <w:t xml:space="preserve">Disability </w:t>
        </w:r>
        <w:r w:rsidRPr="00861A71">
          <w:rPr>
            <w:rStyle w:val="Hyperlink"/>
            <w:rFonts w:eastAsia="MS Mincho"/>
            <w:bCs/>
          </w:rPr>
          <w:t>Act</w:t>
        </w:r>
        <w:r w:rsidR="00E1528E">
          <w:rPr>
            <w:rStyle w:val="Hyperlink"/>
            <w:rFonts w:eastAsia="MS Mincho"/>
            <w:bCs/>
          </w:rPr>
          <w:t>.</w:t>
        </w:r>
      </w:hyperlink>
    </w:p>
    <w:p w14:paraId="51368DE5" w14:textId="05B94200" w:rsidR="001F42F0" w:rsidRPr="001F42F0" w:rsidRDefault="001F42F0" w:rsidP="001F42F0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 xml:space="preserve">4. What do I need to provide to a person with a disability if I am using seclusion lawfully under Part 7 of the </w:t>
      </w:r>
      <w:r w:rsidR="00587DDE">
        <w:rPr>
          <w:rFonts w:eastAsia="MS Mincho"/>
          <w:b/>
          <w:bCs/>
        </w:rPr>
        <w:t xml:space="preserve">Disability </w:t>
      </w:r>
      <w:r w:rsidRPr="001F42F0">
        <w:rPr>
          <w:rFonts w:eastAsia="MS Mincho"/>
          <w:b/>
          <w:bCs/>
        </w:rPr>
        <w:t>Act?</w:t>
      </w:r>
    </w:p>
    <w:p w14:paraId="34EE5831" w14:textId="77777777" w:rsidR="001F42F0" w:rsidRPr="001F42F0" w:rsidRDefault="001F42F0" w:rsidP="001F42F0">
      <w:pPr>
        <w:pStyle w:val="DHHSbody"/>
        <w:rPr>
          <w:rFonts w:eastAsia="MS Mincho"/>
          <w:bCs/>
        </w:rPr>
      </w:pPr>
      <w:r w:rsidRPr="001F42F0">
        <w:rPr>
          <w:rFonts w:eastAsia="MS Mincho"/>
          <w:bCs/>
        </w:rPr>
        <w:t>The person must be supplied with (</w:t>
      </w:r>
      <w:proofErr w:type="spellStart"/>
      <w:r w:rsidRPr="001F42F0">
        <w:rPr>
          <w:rFonts w:eastAsia="MS Mincho"/>
          <w:bCs/>
        </w:rPr>
        <w:t>i</w:t>
      </w:r>
      <w:proofErr w:type="spellEnd"/>
      <w:r w:rsidRPr="001F42F0">
        <w:rPr>
          <w:rFonts w:eastAsia="MS Mincho"/>
          <w:bCs/>
        </w:rPr>
        <w:t>) bedding and clothing which is appropriate in the circumstances; and (ii) access to adequate heating or cooling as is appropriate in the circumstances; and (iii) food and drink at the appropriate times; and (iv)</w:t>
      </w:r>
      <w:r>
        <w:rPr>
          <w:rFonts w:eastAsia="MS Mincho"/>
          <w:bCs/>
        </w:rPr>
        <w:t xml:space="preserve"> adequate toilet arrangements. </w:t>
      </w:r>
    </w:p>
    <w:p w14:paraId="36BA2D03" w14:textId="2F259B7F" w:rsidR="001F42F0" w:rsidRPr="001F42F0" w:rsidRDefault="001F42F0" w:rsidP="001F42F0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>5. If a parent or a guardian wants the person with a disability to be secluded, is it still seclusion?</w:t>
      </w:r>
    </w:p>
    <w:p w14:paraId="1F5DA46F" w14:textId="5AE46876" w:rsidR="001F42F0" w:rsidRPr="001F42F0" w:rsidRDefault="001F42F0" w:rsidP="001F42F0">
      <w:pPr>
        <w:pStyle w:val="DHHSbody"/>
        <w:rPr>
          <w:rFonts w:eastAsia="MS Mincho"/>
          <w:bCs/>
        </w:rPr>
      </w:pPr>
      <w:r w:rsidRPr="001F42F0">
        <w:rPr>
          <w:rFonts w:eastAsia="MS Mincho"/>
          <w:bCs/>
        </w:rPr>
        <w:t xml:space="preserve">Yes. Disability service providers are responsible for the use of all restrictive </w:t>
      </w:r>
      <w:r w:rsidR="00FD0F4A">
        <w:rPr>
          <w:rFonts w:eastAsia="MS Mincho"/>
          <w:bCs/>
        </w:rPr>
        <w:t>practices</w:t>
      </w:r>
      <w:r w:rsidRPr="001F42F0">
        <w:rPr>
          <w:rFonts w:eastAsia="MS Mincho"/>
          <w:bCs/>
        </w:rPr>
        <w:t xml:space="preserve">, including seclusion and must comply with the requirements of Part 7 of the </w:t>
      </w:r>
      <w:r w:rsidR="00587DDE">
        <w:rPr>
          <w:rFonts w:eastAsia="MS Mincho"/>
          <w:bCs/>
        </w:rPr>
        <w:t xml:space="preserve">Disability </w:t>
      </w:r>
      <w:r w:rsidR="00C06ADF" w:rsidRPr="00861A71">
        <w:rPr>
          <w:rFonts w:eastAsia="MS Mincho"/>
          <w:bCs/>
        </w:rPr>
        <w:t xml:space="preserve">Act </w:t>
      </w:r>
      <w:r w:rsidR="00C06ADF" w:rsidRPr="001F42F0">
        <w:rPr>
          <w:rFonts w:eastAsia="MS Mincho"/>
          <w:bCs/>
        </w:rPr>
        <w:t>if</w:t>
      </w:r>
      <w:r w:rsidRPr="001F42F0">
        <w:rPr>
          <w:rFonts w:eastAsia="MS Mincho"/>
          <w:bCs/>
        </w:rPr>
        <w:t xml:space="preserve"> they wish to u</w:t>
      </w:r>
      <w:r>
        <w:rPr>
          <w:rFonts w:eastAsia="MS Mincho"/>
          <w:bCs/>
        </w:rPr>
        <w:t xml:space="preserve">se a restrictive </w:t>
      </w:r>
      <w:r w:rsidR="00FD0F4A">
        <w:rPr>
          <w:rFonts w:eastAsia="MS Mincho"/>
          <w:bCs/>
        </w:rPr>
        <w:t>practice</w:t>
      </w:r>
      <w:r>
        <w:rPr>
          <w:rFonts w:eastAsia="MS Mincho"/>
          <w:bCs/>
        </w:rPr>
        <w:t xml:space="preserve">. </w:t>
      </w:r>
      <w:r w:rsidR="00BF3C22">
        <w:rPr>
          <w:rFonts w:eastAsia="MS Mincho"/>
          <w:bCs/>
        </w:rPr>
        <w:t xml:space="preserve">Parents and guardians cannot direct a disability service provider to use seclusion. </w:t>
      </w:r>
    </w:p>
    <w:p w14:paraId="6679EFB8" w14:textId="77777777" w:rsidR="001F42F0" w:rsidRPr="001F42F0" w:rsidRDefault="001F42F0" w:rsidP="001F42F0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>6. How long can a person be secluded for?</w:t>
      </w:r>
    </w:p>
    <w:p w14:paraId="6EEE44ED" w14:textId="40E3B09C" w:rsidR="001F42F0" w:rsidRPr="001F42F0" w:rsidRDefault="00BF3C22" w:rsidP="001F42F0">
      <w:pPr>
        <w:pStyle w:val="DHHSbody"/>
        <w:rPr>
          <w:rFonts w:eastAsia="MS Mincho"/>
          <w:bCs/>
        </w:rPr>
      </w:pPr>
      <w:r>
        <w:rPr>
          <w:rFonts w:eastAsia="MS Mincho"/>
          <w:bCs/>
        </w:rPr>
        <w:lastRenderedPageBreak/>
        <w:t>This depends on what is specified</w:t>
      </w:r>
      <w:r w:rsidR="001F42F0" w:rsidRPr="001F42F0">
        <w:rPr>
          <w:rFonts w:eastAsia="MS Mincho"/>
          <w:bCs/>
        </w:rPr>
        <w:t xml:space="preserve"> in the behaviour support plan. The behaviour support plan must detail how seclusion is initiated and ended (</w:t>
      </w:r>
      <w:hyperlink r:id="rId21" w:history="1">
        <w:r w:rsidR="001F42F0" w:rsidRPr="00BF3C22">
          <w:rPr>
            <w:rStyle w:val="Hyperlink"/>
            <w:rFonts w:eastAsia="MS Mincho"/>
            <w:bCs/>
          </w:rPr>
          <w:t xml:space="preserve">section 140(c) of the </w:t>
        </w:r>
        <w:r w:rsidR="00587DDE">
          <w:rPr>
            <w:rStyle w:val="Hyperlink"/>
            <w:rFonts w:eastAsia="MS Mincho"/>
            <w:bCs/>
          </w:rPr>
          <w:t xml:space="preserve">Disability </w:t>
        </w:r>
        <w:r w:rsidR="001F42F0" w:rsidRPr="00861A71">
          <w:rPr>
            <w:rStyle w:val="Hyperlink"/>
            <w:rFonts w:eastAsia="MS Mincho"/>
            <w:bCs/>
          </w:rPr>
          <w:t xml:space="preserve">Act </w:t>
        </w:r>
      </w:hyperlink>
      <w:r w:rsidR="001F42F0" w:rsidRPr="001F42F0">
        <w:rPr>
          <w:rFonts w:eastAsia="MS Mincho"/>
          <w:bCs/>
        </w:rPr>
        <w:t>) and the person must not be secluded for longer than is necessary to prevent physical harm to others (</w:t>
      </w:r>
      <w:hyperlink r:id="rId22" w:history="1">
        <w:r w:rsidR="001F42F0" w:rsidRPr="00BF3C22">
          <w:rPr>
            <w:rStyle w:val="Hyperlink"/>
            <w:rFonts w:eastAsia="MS Mincho"/>
            <w:bCs/>
          </w:rPr>
          <w:t>section 140(c)(iii)(B)</w:t>
        </w:r>
      </w:hyperlink>
      <w:r w:rsidR="001F42F0" w:rsidRPr="001F42F0">
        <w:rPr>
          <w:rFonts w:eastAsia="MS Mincho"/>
          <w:bCs/>
        </w:rPr>
        <w:t xml:space="preserve">). </w:t>
      </w:r>
      <w:r>
        <w:rPr>
          <w:rFonts w:eastAsia="MS Mincho"/>
          <w:bCs/>
        </w:rPr>
        <w:t xml:space="preserve">The </w:t>
      </w:r>
      <w:r w:rsidR="00FD0F4A">
        <w:rPr>
          <w:rFonts w:eastAsia="MS Mincho"/>
          <w:bCs/>
        </w:rPr>
        <w:t xml:space="preserve">Victorian </w:t>
      </w:r>
      <w:r>
        <w:rPr>
          <w:rFonts w:eastAsia="MS Mincho"/>
          <w:bCs/>
        </w:rPr>
        <w:t>Senior Practitioner recommends</w:t>
      </w:r>
      <w:r w:rsidR="001F42F0" w:rsidRPr="001F42F0">
        <w:rPr>
          <w:rFonts w:eastAsia="MS Mincho"/>
          <w:bCs/>
        </w:rPr>
        <w:t xml:space="preserve"> the behaviour support plan clearly states the maximum number of times a day a person can be secluded and the maximum time for each episode of seclusion. If seclusion is used in an emergency under </w:t>
      </w:r>
      <w:hyperlink r:id="rId23" w:history="1">
        <w:r w:rsidR="001F42F0" w:rsidRPr="00BF3C22">
          <w:rPr>
            <w:rStyle w:val="Hyperlink"/>
            <w:rFonts w:eastAsia="MS Mincho"/>
            <w:bCs/>
          </w:rPr>
          <w:t>section 147 of the Act</w:t>
        </w:r>
      </w:hyperlink>
      <w:r w:rsidR="001F42F0" w:rsidRPr="001F42F0">
        <w:rPr>
          <w:rFonts w:eastAsia="MS Mincho"/>
          <w:bCs/>
        </w:rPr>
        <w:t xml:space="preserve">, </w:t>
      </w:r>
      <w:hyperlink r:id="rId24" w:history="1">
        <w:r w:rsidR="001F42F0" w:rsidRPr="00BF3C22">
          <w:rPr>
            <w:rStyle w:val="Hyperlink"/>
            <w:rFonts w:eastAsia="MS Mincho"/>
            <w:bCs/>
          </w:rPr>
          <w:t>section 140(c)(iii)(B)</w:t>
        </w:r>
      </w:hyperlink>
      <w:r w:rsidR="001F42F0" w:rsidRPr="001F42F0">
        <w:rPr>
          <w:rFonts w:eastAsia="MS Mincho"/>
          <w:bCs/>
        </w:rPr>
        <w:t xml:space="preserve"> would also reasonably apply. In all situations, a person must only be secluded for the minimum time</w:t>
      </w:r>
      <w:r w:rsidR="001F42F0">
        <w:rPr>
          <w:rFonts w:eastAsia="MS Mincho"/>
          <w:bCs/>
        </w:rPr>
        <w:t xml:space="preserve"> necessary to reduce the risk. </w:t>
      </w:r>
    </w:p>
    <w:p w14:paraId="45D72531" w14:textId="01C4D1A7" w:rsidR="001F42F0" w:rsidRPr="00BF3C22" w:rsidRDefault="001F42F0" w:rsidP="001F42F0">
      <w:pPr>
        <w:pStyle w:val="DHHSbody"/>
        <w:rPr>
          <w:rFonts w:eastAsia="MS Mincho"/>
          <w:b/>
          <w:bCs/>
        </w:rPr>
      </w:pPr>
      <w:r w:rsidRPr="00BF3C22">
        <w:rPr>
          <w:rFonts w:eastAsia="MS Mincho"/>
          <w:b/>
          <w:bCs/>
        </w:rPr>
        <w:t xml:space="preserve">7. If a person with a disability communicates </w:t>
      </w:r>
      <w:r w:rsidR="00C30DAF">
        <w:rPr>
          <w:rFonts w:eastAsia="MS Mincho"/>
          <w:b/>
          <w:bCs/>
        </w:rPr>
        <w:t xml:space="preserve">that </w:t>
      </w:r>
      <w:r w:rsidRPr="00BF3C22">
        <w:rPr>
          <w:rFonts w:eastAsia="MS Mincho"/>
          <w:b/>
          <w:bCs/>
        </w:rPr>
        <w:t>they wish to be secluded, is this seclusion?</w:t>
      </w:r>
    </w:p>
    <w:p w14:paraId="69BAB49F" w14:textId="2F32CAE8" w:rsidR="001F42F0" w:rsidRPr="001F42F0" w:rsidRDefault="001F42F0" w:rsidP="001F42F0">
      <w:pPr>
        <w:pStyle w:val="DHHSbody"/>
        <w:rPr>
          <w:rFonts w:eastAsia="MS Mincho"/>
          <w:bCs/>
        </w:rPr>
      </w:pPr>
      <w:r w:rsidRPr="001F42F0">
        <w:rPr>
          <w:rFonts w:eastAsia="MS Mincho"/>
          <w:bCs/>
        </w:rPr>
        <w:t xml:space="preserve">Yes. The </w:t>
      </w:r>
      <w:r w:rsidR="00587DDE">
        <w:rPr>
          <w:rFonts w:eastAsia="MS Mincho"/>
          <w:bCs/>
        </w:rPr>
        <w:t xml:space="preserve">Disability </w:t>
      </w:r>
      <w:r w:rsidR="00C06ADF" w:rsidRPr="00861A71">
        <w:rPr>
          <w:rFonts w:eastAsia="MS Mincho"/>
          <w:bCs/>
        </w:rPr>
        <w:t xml:space="preserve">Act </w:t>
      </w:r>
      <w:r w:rsidR="00C06ADF" w:rsidRPr="001F42F0">
        <w:rPr>
          <w:rFonts w:eastAsia="MS Mincho"/>
          <w:bCs/>
        </w:rPr>
        <w:t>makes</w:t>
      </w:r>
      <w:r w:rsidRPr="001F42F0">
        <w:rPr>
          <w:rFonts w:eastAsia="MS Mincho"/>
          <w:bCs/>
        </w:rPr>
        <w:t xml:space="preserve"> no distinction in relation to this. A disability service provider is not permitted to seclude a person with a disability unless the requirements </w:t>
      </w:r>
      <w:r w:rsidR="00587DDE">
        <w:rPr>
          <w:rFonts w:eastAsia="MS Mincho"/>
          <w:bCs/>
        </w:rPr>
        <w:t>meet</w:t>
      </w:r>
      <w:r w:rsidR="00587DDE" w:rsidRPr="001F42F0">
        <w:rPr>
          <w:rFonts w:eastAsia="MS Mincho"/>
          <w:bCs/>
        </w:rPr>
        <w:t xml:space="preserve"> </w:t>
      </w:r>
      <w:r w:rsidRPr="001F42F0">
        <w:rPr>
          <w:rFonts w:eastAsia="MS Mincho"/>
          <w:bCs/>
        </w:rPr>
        <w:t>Part 7 of th</w:t>
      </w:r>
      <w:r w:rsidR="00BF3C22">
        <w:rPr>
          <w:rFonts w:eastAsia="MS Mincho"/>
          <w:bCs/>
        </w:rPr>
        <w:t xml:space="preserve">e </w:t>
      </w:r>
      <w:r w:rsidR="00587DDE">
        <w:rPr>
          <w:rFonts w:eastAsia="MS Mincho"/>
          <w:bCs/>
        </w:rPr>
        <w:t xml:space="preserve">Disability </w:t>
      </w:r>
      <w:r w:rsidR="00BF3C22" w:rsidRPr="00861A71">
        <w:rPr>
          <w:rFonts w:eastAsia="MS Mincho"/>
          <w:bCs/>
        </w:rPr>
        <w:t>Act</w:t>
      </w:r>
      <w:r w:rsidR="00587DDE">
        <w:rPr>
          <w:rFonts w:eastAsia="MS Mincho"/>
          <w:bCs/>
        </w:rPr>
        <w:t>.</w:t>
      </w:r>
      <w:r w:rsidR="00BF3C22">
        <w:rPr>
          <w:rFonts w:eastAsia="MS Mincho"/>
          <w:bCs/>
        </w:rPr>
        <w:t xml:space="preserve"> </w:t>
      </w:r>
    </w:p>
    <w:p w14:paraId="3AB02036" w14:textId="77777777" w:rsidR="001F42F0" w:rsidRPr="00BF3C22" w:rsidRDefault="00BF3C22" w:rsidP="001F42F0">
      <w:pPr>
        <w:pStyle w:val="DHHSbody"/>
        <w:rPr>
          <w:rFonts w:eastAsia="MS Mincho"/>
          <w:b/>
          <w:bCs/>
        </w:rPr>
      </w:pPr>
      <w:r w:rsidRPr="00BF3C22">
        <w:rPr>
          <w:rFonts w:eastAsia="MS Mincho"/>
          <w:b/>
          <w:bCs/>
        </w:rPr>
        <w:t xml:space="preserve">8. </w:t>
      </w:r>
      <w:r w:rsidR="001F42F0" w:rsidRPr="00BF3C22">
        <w:rPr>
          <w:rFonts w:eastAsia="MS Mincho"/>
          <w:b/>
          <w:bCs/>
        </w:rPr>
        <w:t>Is a person with a disability secluded if a staff member is with them in a separate area of the house?</w:t>
      </w:r>
    </w:p>
    <w:p w14:paraId="11D09967" w14:textId="048982AE" w:rsidR="001F42F0" w:rsidRPr="001F42F0" w:rsidRDefault="001F42F0" w:rsidP="001F42F0">
      <w:pPr>
        <w:pStyle w:val="DHHSbody"/>
        <w:rPr>
          <w:rFonts w:eastAsia="MS Mincho"/>
          <w:bCs/>
        </w:rPr>
      </w:pPr>
      <w:r w:rsidRPr="001F42F0">
        <w:rPr>
          <w:rFonts w:eastAsia="MS Mincho"/>
          <w:bCs/>
        </w:rPr>
        <w:t xml:space="preserve">No. The </w:t>
      </w:r>
      <w:r w:rsidR="00F32AB9" w:rsidRPr="00C30DAF">
        <w:rPr>
          <w:rFonts w:eastAsia="MS Mincho"/>
          <w:bCs/>
        </w:rPr>
        <w:t>definition</w:t>
      </w:r>
      <w:r w:rsidR="00F32AB9">
        <w:rPr>
          <w:rFonts w:eastAsia="MS Mincho"/>
          <w:bCs/>
        </w:rPr>
        <w:t xml:space="preserve"> of seclusion</w:t>
      </w:r>
      <w:r w:rsidRPr="001F42F0">
        <w:rPr>
          <w:rFonts w:eastAsia="MS Mincho"/>
          <w:bCs/>
        </w:rPr>
        <w:t xml:space="preserve"> states “…the sole confinement of a person with a disability…” If the person is not alone, they</w:t>
      </w:r>
      <w:r w:rsidR="00C30DAF">
        <w:rPr>
          <w:rFonts w:eastAsia="MS Mincho"/>
          <w:bCs/>
        </w:rPr>
        <w:t xml:space="preserve"> a</w:t>
      </w:r>
      <w:r w:rsidRPr="001F42F0">
        <w:rPr>
          <w:rFonts w:eastAsia="MS Mincho"/>
          <w:bCs/>
        </w:rPr>
        <w:t xml:space="preserve">re not secluded. Disability service providers should take care to ensure that a person is not being unlawfully detained by being </w:t>
      </w:r>
      <w:r w:rsidR="003A43D9">
        <w:rPr>
          <w:rFonts w:eastAsia="MS Mincho"/>
          <w:bCs/>
        </w:rPr>
        <w:t xml:space="preserve">physically </w:t>
      </w:r>
      <w:r w:rsidRPr="001F42F0">
        <w:rPr>
          <w:rFonts w:eastAsia="MS Mincho"/>
          <w:bCs/>
        </w:rPr>
        <w:t>locked inside any premises</w:t>
      </w:r>
      <w:r w:rsidR="00587DDE">
        <w:rPr>
          <w:rFonts w:eastAsia="MS Mincho"/>
          <w:bCs/>
        </w:rPr>
        <w:t xml:space="preserve">, being </w:t>
      </w:r>
      <w:r w:rsidRPr="001F42F0">
        <w:rPr>
          <w:rFonts w:eastAsia="MS Mincho"/>
          <w:bCs/>
        </w:rPr>
        <w:t>constantly supervis</w:t>
      </w:r>
      <w:r w:rsidR="00587DDE">
        <w:rPr>
          <w:rFonts w:eastAsia="MS Mincho"/>
          <w:bCs/>
        </w:rPr>
        <w:t>ed</w:t>
      </w:r>
      <w:r w:rsidRPr="001F42F0">
        <w:rPr>
          <w:rFonts w:eastAsia="MS Mincho"/>
          <w:bCs/>
        </w:rPr>
        <w:t xml:space="preserve"> or escort</w:t>
      </w:r>
      <w:r w:rsidR="00587DDE">
        <w:rPr>
          <w:rFonts w:eastAsia="MS Mincho"/>
          <w:bCs/>
        </w:rPr>
        <w:t>ed</w:t>
      </w:r>
      <w:r w:rsidR="003A43D9">
        <w:rPr>
          <w:rFonts w:eastAsia="MS Mincho"/>
          <w:bCs/>
        </w:rPr>
        <w:t xml:space="preserve"> to prevent the </w:t>
      </w:r>
      <w:r w:rsidR="00C06ADF">
        <w:rPr>
          <w:rFonts w:eastAsia="MS Mincho"/>
          <w:bCs/>
        </w:rPr>
        <w:t xml:space="preserve">person </w:t>
      </w:r>
      <w:r w:rsidR="00C06ADF" w:rsidRPr="001F42F0">
        <w:rPr>
          <w:rFonts w:eastAsia="MS Mincho"/>
          <w:bCs/>
        </w:rPr>
        <w:t>from</w:t>
      </w:r>
      <w:r w:rsidR="00BF3C22">
        <w:rPr>
          <w:rFonts w:eastAsia="MS Mincho"/>
          <w:bCs/>
        </w:rPr>
        <w:t xml:space="preserve"> exercising freedom of movement. If this is occurring</w:t>
      </w:r>
      <w:r w:rsidR="00FD0F4A">
        <w:rPr>
          <w:rFonts w:eastAsia="MS Mincho"/>
          <w:bCs/>
        </w:rPr>
        <w:t>,</w:t>
      </w:r>
      <w:r w:rsidR="00BF3C22">
        <w:rPr>
          <w:rFonts w:eastAsia="MS Mincho"/>
          <w:bCs/>
        </w:rPr>
        <w:t xml:space="preserve"> this is detainment and must be discussed wit</w:t>
      </w:r>
      <w:r w:rsidR="00F32AB9">
        <w:rPr>
          <w:rFonts w:eastAsia="MS Mincho"/>
          <w:bCs/>
        </w:rPr>
        <w:t xml:space="preserve">h the </w:t>
      </w:r>
      <w:r w:rsidR="00FD0F4A">
        <w:rPr>
          <w:rFonts w:eastAsia="MS Mincho"/>
          <w:bCs/>
        </w:rPr>
        <w:t xml:space="preserve">Victorian </w:t>
      </w:r>
      <w:r w:rsidR="00F32AB9">
        <w:rPr>
          <w:rFonts w:eastAsia="MS Mincho"/>
          <w:bCs/>
        </w:rPr>
        <w:t>Senior Practitioner.</w:t>
      </w:r>
      <w:r w:rsidR="00BF3C22">
        <w:rPr>
          <w:rFonts w:eastAsia="MS Mincho"/>
          <w:bCs/>
        </w:rPr>
        <w:t xml:space="preserve"> </w:t>
      </w:r>
      <w:r w:rsidR="00F32AB9" w:rsidRPr="00C30DAF">
        <w:rPr>
          <w:rFonts w:eastAsia="MS Mincho"/>
          <w:bCs/>
        </w:rPr>
        <w:t>Email</w:t>
      </w:r>
      <w:r w:rsidR="00BF3C22">
        <w:rPr>
          <w:rFonts w:eastAsia="MS Mincho"/>
          <w:bCs/>
        </w:rPr>
        <w:t xml:space="preserve"> </w:t>
      </w:r>
      <w:hyperlink r:id="rId25" w:history="1">
        <w:r w:rsidR="00C30DAF" w:rsidRPr="004075A2">
          <w:rPr>
            <w:rStyle w:val="Hyperlink"/>
            <w:rFonts w:eastAsia="MS Mincho"/>
            <w:bCs/>
          </w:rPr>
          <w:t>victorianseniorpractitioner@dhhs.vic.gov.au</w:t>
        </w:r>
      </w:hyperlink>
      <w:r w:rsidR="00C30DAF">
        <w:rPr>
          <w:rFonts w:eastAsia="MS Mincho"/>
          <w:bCs/>
        </w:rPr>
        <w:t xml:space="preserve"> </w:t>
      </w:r>
      <w:r w:rsidR="00BF3C22">
        <w:rPr>
          <w:rFonts w:eastAsia="MS Mincho"/>
          <w:bCs/>
        </w:rPr>
        <w:t xml:space="preserve">or telephone 9096 8427. </w:t>
      </w:r>
    </w:p>
    <w:p w14:paraId="0A99B979" w14:textId="77777777" w:rsidR="001F42F0" w:rsidRPr="00BF3C22" w:rsidRDefault="00BF3C22" w:rsidP="001F42F0">
      <w:pPr>
        <w:pStyle w:val="DHHSbody"/>
        <w:rPr>
          <w:rFonts w:eastAsia="MS Mincho"/>
          <w:b/>
          <w:bCs/>
        </w:rPr>
      </w:pPr>
      <w:r w:rsidRPr="00BF3C22">
        <w:rPr>
          <w:rFonts w:eastAsia="MS Mincho"/>
          <w:b/>
          <w:bCs/>
        </w:rPr>
        <w:t xml:space="preserve">9. </w:t>
      </w:r>
      <w:r w:rsidR="001F42F0" w:rsidRPr="00BF3C22">
        <w:rPr>
          <w:rFonts w:eastAsia="MS Mincho"/>
          <w:b/>
          <w:bCs/>
        </w:rPr>
        <w:t>Is a person with a disability only secluded if they are in a ‘room’?</w:t>
      </w:r>
    </w:p>
    <w:p w14:paraId="466CFB26" w14:textId="3B4B64D5" w:rsidR="001F42F0" w:rsidRPr="001F42F0" w:rsidRDefault="001F42F0" w:rsidP="001F42F0">
      <w:pPr>
        <w:pStyle w:val="DHHSbody"/>
        <w:rPr>
          <w:rFonts w:eastAsia="MS Mincho"/>
          <w:bCs/>
        </w:rPr>
      </w:pPr>
      <w:r w:rsidRPr="001F42F0">
        <w:rPr>
          <w:rFonts w:eastAsia="MS Mincho"/>
          <w:bCs/>
        </w:rPr>
        <w:t xml:space="preserve">No. The definition of seclusion in </w:t>
      </w:r>
      <w:r w:rsidR="00FD0F4A">
        <w:rPr>
          <w:rFonts w:eastAsia="MS Mincho"/>
          <w:bCs/>
        </w:rPr>
        <w:t xml:space="preserve">the </w:t>
      </w:r>
      <w:r w:rsidR="00FD0F4A" w:rsidRPr="00861A71">
        <w:rPr>
          <w:rFonts w:eastAsia="MS Mincho"/>
          <w:bCs/>
        </w:rPr>
        <w:t>NDIS</w:t>
      </w:r>
      <w:r w:rsidR="00861A71">
        <w:rPr>
          <w:rFonts w:eastAsia="MS Mincho"/>
          <w:bCs/>
        </w:rPr>
        <w:t xml:space="preserve"> Rules </w:t>
      </w:r>
      <w:r w:rsidRPr="001F42F0">
        <w:rPr>
          <w:rFonts w:eastAsia="MS Mincho"/>
          <w:bCs/>
        </w:rPr>
        <w:t>states “…</w:t>
      </w:r>
      <w:r w:rsidR="00FD0F4A">
        <w:rPr>
          <w:rFonts w:eastAsia="MS Mincho"/>
          <w:bCs/>
        </w:rPr>
        <w:t>in a room or physical space”.</w:t>
      </w:r>
      <w:r w:rsidR="00096CA7">
        <w:rPr>
          <w:rFonts w:eastAsia="MS Mincho"/>
          <w:bCs/>
        </w:rPr>
        <w:t xml:space="preserve"> </w:t>
      </w:r>
      <w:r w:rsidR="00936DEA">
        <w:rPr>
          <w:rFonts w:eastAsia="MS Mincho"/>
          <w:bCs/>
        </w:rPr>
        <w:t>(i</w:t>
      </w:r>
      <w:r w:rsidR="00C30DAF">
        <w:rPr>
          <w:rFonts w:eastAsia="MS Mincho"/>
          <w:bCs/>
        </w:rPr>
        <w:t xml:space="preserve">.e. </w:t>
      </w:r>
      <w:r w:rsidR="00096CA7">
        <w:rPr>
          <w:rFonts w:eastAsia="MS Mincho"/>
          <w:bCs/>
        </w:rPr>
        <w:t xml:space="preserve">a yard, where they are unable to exit the property or re-enter the </w:t>
      </w:r>
      <w:r w:rsidR="00C00E71">
        <w:rPr>
          <w:rFonts w:eastAsia="MS Mincho"/>
          <w:bCs/>
        </w:rPr>
        <w:t>building</w:t>
      </w:r>
      <w:r w:rsidR="00936DEA">
        <w:rPr>
          <w:rFonts w:eastAsia="MS Mincho"/>
          <w:bCs/>
        </w:rPr>
        <w:t>)</w:t>
      </w:r>
      <w:r w:rsidR="00C00E71">
        <w:rPr>
          <w:rFonts w:eastAsia="MS Mincho"/>
          <w:bCs/>
        </w:rPr>
        <w:t>.</w:t>
      </w:r>
    </w:p>
    <w:p w14:paraId="5DEBB061" w14:textId="77777777" w:rsidR="001F42F0" w:rsidRPr="00BF3C22" w:rsidRDefault="00BF3C22" w:rsidP="001F42F0">
      <w:pPr>
        <w:pStyle w:val="DHHSbody"/>
        <w:rPr>
          <w:rFonts w:eastAsia="MS Mincho"/>
          <w:b/>
          <w:bCs/>
        </w:rPr>
      </w:pPr>
      <w:r w:rsidRPr="00BF3C22">
        <w:rPr>
          <w:rFonts w:eastAsia="MS Mincho"/>
          <w:b/>
          <w:bCs/>
        </w:rPr>
        <w:t xml:space="preserve">10. </w:t>
      </w:r>
      <w:r w:rsidR="001F42F0" w:rsidRPr="00BF3C22">
        <w:rPr>
          <w:rFonts w:eastAsia="MS Mincho"/>
          <w:b/>
          <w:bCs/>
        </w:rPr>
        <w:t xml:space="preserve">Is a person with a disability secluded if other people in the environment withdraw? </w:t>
      </w:r>
    </w:p>
    <w:p w14:paraId="35DA4F55" w14:textId="77777777" w:rsidR="001F42F0" w:rsidRPr="001F42F0" w:rsidRDefault="001F42F0" w:rsidP="001F42F0">
      <w:pPr>
        <w:pStyle w:val="DHHSbody"/>
        <w:rPr>
          <w:rFonts w:eastAsia="MS Mincho"/>
          <w:bCs/>
        </w:rPr>
      </w:pPr>
      <w:r w:rsidRPr="001F42F0">
        <w:rPr>
          <w:rFonts w:eastAsia="MS Mincho"/>
          <w:bCs/>
        </w:rPr>
        <w:t>This depends on the characteristics of the environment. If the person</w:t>
      </w:r>
      <w:r w:rsidR="00B84A29">
        <w:rPr>
          <w:rFonts w:eastAsia="MS Mincho"/>
          <w:bCs/>
        </w:rPr>
        <w:t xml:space="preserve"> is alone and cannot exit</w:t>
      </w:r>
      <w:r w:rsidR="00BF3C22">
        <w:rPr>
          <w:rFonts w:eastAsia="MS Mincho"/>
          <w:bCs/>
        </w:rPr>
        <w:t xml:space="preserve"> </w:t>
      </w:r>
      <w:r w:rsidR="00244C53">
        <w:rPr>
          <w:rFonts w:eastAsia="MS Mincho"/>
          <w:bCs/>
        </w:rPr>
        <w:t xml:space="preserve">from the area they are in (i.e. front part of the house) </w:t>
      </w:r>
      <w:r w:rsidR="00BF3C22">
        <w:rPr>
          <w:rFonts w:eastAsia="MS Mincho"/>
          <w:bCs/>
        </w:rPr>
        <w:t xml:space="preserve">then </w:t>
      </w:r>
      <w:r w:rsidR="00B84A29">
        <w:rPr>
          <w:rFonts w:eastAsia="MS Mincho"/>
          <w:bCs/>
        </w:rPr>
        <w:t xml:space="preserve">yes, </w:t>
      </w:r>
      <w:r w:rsidR="00BF3C22">
        <w:rPr>
          <w:rFonts w:eastAsia="MS Mincho"/>
          <w:bCs/>
        </w:rPr>
        <w:t xml:space="preserve">they are secluded. </w:t>
      </w:r>
    </w:p>
    <w:p w14:paraId="38ECD0DA" w14:textId="77777777" w:rsidR="004D4891" w:rsidRDefault="004D4891" w:rsidP="00BC7ED7">
      <w:pPr>
        <w:pStyle w:val="DHHSbody"/>
        <w:rPr>
          <w:rFonts w:eastAsia="MS Mincho"/>
          <w:bCs/>
        </w:rPr>
      </w:pPr>
    </w:p>
    <w:p w14:paraId="70151D93" w14:textId="77777777" w:rsidR="004D4891" w:rsidRDefault="004D4891" w:rsidP="00BC7ED7">
      <w:pPr>
        <w:pStyle w:val="DHHSbody"/>
        <w:rPr>
          <w:rFonts w:eastAsia="MS Mincho"/>
          <w:bCs/>
        </w:rPr>
      </w:pPr>
    </w:p>
    <w:p w14:paraId="751C7D32" w14:textId="77777777" w:rsidR="004D4891" w:rsidRDefault="004D4891" w:rsidP="00BC7ED7">
      <w:pPr>
        <w:pStyle w:val="DHHSbody"/>
        <w:rPr>
          <w:rFonts w:eastAsia="MS Mincho"/>
          <w:bCs/>
        </w:rPr>
      </w:pPr>
    </w:p>
    <w:p w14:paraId="60FBDD79" w14:textId="77777777" w:rsidR="00186896" w:rsidRDefault="00186896" w:rsidP="00F3122E">
      <w:pPr>
        <w:pStyle w:val="DHHSbody"/>
      </w:pPr>
    </w:p>
    <w:p w14:paraId="396C63F8" w14:textId="77777777" w:rsidR="00186896" w:rsidRDefault="00186896" w:rsidP="00F3122E">
      <w:pPr>
        <w:pStyle w:val="DHHSbody"/>
      </w:pPr>
    </w:p>
    <w:p w14:paraId="0E43E1FC" w14:textId="77777777" w:rsidR="00186896" w:rsidRDefault="00186896" w:rsidP="00F3122E">
      <w:pPr>
        <w:pStyle w:val="DHHSbody"/>
      </w:pPr>
    </w:p>
    <w:p w14:paraId="5D413F8F" w14:textId="77777777" w:rsidR="00186896" w:rsidRDefault="00186896" w:rsidP="00F3122E">
      <w:pPr>
        <w:pStyle w:val="DHHSbody"/>
      </w:pPr>
    </w:p>
    <w:p w14:paraId="2B3047F0" w14:textId="77777777" w:rsidR="00186896" w:rsidRPr="00BA3F8D" w:rsidRDefault="00186896" w:rsidP="00F3122E">
      <w:pPr>
        <w:pStyle w:val="DHHSbody"/>
        <w:rPr>
          <w:i/>
          <w:color w:val="008950"/>
          <w:sz w:val="26"/>
          <w:szCs w:val="26"/>
        </w:rPr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2802E3" w:rsidRPr="002802E3" w14:paraId="779C6865" w14:textId="77777777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ACAB" w14:textId="77777777" w:rsidR="007617AA" w:rsidRDefault="007617AA" w:rsidP="007617AA">
            <w:pPr>
              <w:pStyle w:val="DHHSaccessibilitypara"/>
            </w:pPr>
            <w:r>
              <w:t>To receive this publication in an accessible format phone 03 9096 8427, using the National Relay Service 13 36 77 if required, or email the Restrictive Practices Authorisation Team at &lt;VictorianSeniorPractitioner@dhhs.vic.gov.au&gt;</w:t>
            </w:r>
          </w:p>
          <w:p w14:paraId="6D89047E" w14:textId="77777777" w:rsidR="007617AA" w:rsidRDefault="007617AA" w:rsidP="007617AA">
            <w:pPr>
              <w:pStyle w:val="DHHSbody"/>
            </w:pPr>
            <w:r>
              <w:t>Authorised and published by the Victorian Government, 1 Treasury Place, Melbourne.</w:t>
            </w:r>
          </w:p>
          <w:p w14:paraId="3C7E56F3" w14:textId="77777777" w:rsidR="007617AA" w:rsidRDefault="007617AA" w:rsidP="007617AA">
            <w:pPr>
              <w:pStyle w:val="DHHSbody"/>
            </w:pPr>
            <w:r>
              <w:t>© State of Victoria, Australia, Department of Health and Human Services, June 2020.</w:t>
            </w:r>
          </w:p>
          <w:p w14:paraId="048B85E6" w14:textId="0332C5DA" w:rsidR="002802E3" w:rsidRPr="00186896" w:rsidRDefault="001A5BCA" w:rsidP="007617AA">
            <w:pPr>
              <w:pStyle w:val="DHHSbody"/>
              <w:rPr>
                <w:szCs w:val="19"/>
              </w:rPr>
            </w:pPr>
            <w:r>
              <w:rPr>
                <w:szCs w:val="19"/>
              </w:rPr>
              <w:t xml:space="preserve">Available at the </w:t>
            </w:r>
            <w:hyperlink r:id="rId26" w:history="1">
              <w:r>
                <w:rPr>
                  <w:rStyle w:val="Hyperlink"/>
                </w:rPr>
                <w:t>Victorian Senior Practitioner</w:t>
              </w:r>
              <w:r>
                <w:rPr>
                  <w:rStyle w:val="Hyperlink"/>
                  <w:szCs w:val="19"/>
                </w:rPr>
                <w:t xml:space="preserve"> website</w:t>
              </w:r>
            </w:hyperlink>
            <w:r>
              <w:rPr>
                <w:szCs w:val="19"/>
              </w:rPr>
              <w:t xml:space="preserve"> &lt;</w:t>
            </w:r>
            <w:r>
              <w:t>https://www.dhhs.vic.gov.au/victorian-senior-practitioner</w:t>
            </w:r>
            <w:r>
              <w:rPr>
                <w:szCs w:val="19"/>
              </w:rPr>
              <w:t>&gt;</w:t>
            </w:r>
          </w:p>
        </w:tc>
      </w:tr>
    </w:tbl>
    <w:p w14:paraId="465DF276" w14:textId="77777777"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36936" w14:textId="77777777" w:rsidR="00C000C2" w:rsidRDefault="00C000C2">
      <w:r>
        <w:separator/>
      </w:r>
    </w:p>
  </w:endnote>
  <w:endnote w:type="continuationSeparator" w:id="0">
    <w:p w14:paraId="0480B162" w14:textId="77777777" w:rsidR="00C000C2" w:rsidRDefault="00C0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5DE5" w14:textId="77777777" w:rsidR="005D7600" w:rsidRDefault="005D7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0CCE7" w14:textId="77777777" w:rsidR="009D70A4" w:rsidRPr="00F65AA9" w:rsidRDefault="009B29EE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51504E50" wp14:editId="10D9348C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AAE63" w14:textId="77777777" w:rsidR="005D7600" w:rsidRDefault="005D76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09436" w14:textId="6018D826" w:rsidR="009D70A4" w:rsidRPr="00A11421" w:rsidRDefault="00393438" w:rsidP="0051568D">
    <w:pPr>
      <w:pStyle w:val="DHHSfooter"/>
    </w:pPr>
    <w:r w:rsidRPr="00393438">
      <w:t xml:space="preserve">Quick reference guide to common questions about restrictive </w:t>
    </w:r>
    <w:r w:rsidR="00256650">
      <w:t>practices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006B80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52BA8" w14:textId="77777777" w:rsidR="00C000C2" w:rsidRDefault="00C000C2" w:rsidP="002862F1">
      <w:pPr>
        <w:spacing w:before="120"/>
      </w:pPr>
      <w:r>
        <w:separator/>
      </w:r>
    </w:p>
  </w:footnote>
  <w:footnote w:type="continuationSeparator" w:id="0">
    <w:p w14:paraId="4161D9CB" w14:textId="77777777" w:rsidR="00C000C2" w:rsidRDefault="00C00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AD058" w14:textId="77777777" w:rsidR="005D7600" w:rsidRDefault="005D7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C4ECB" w14:textId="77777777" w:rsidR="005D7600" w:rsidRDefault="005D7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E4B26" w14:textId="77777777" w:rsidR="005D7600" w:rsidRDefault="005D76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037AE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16177"/>
    <w:multiLevelType w:val="hybridMultilevel"/>
    <w:tmpl w:val="1178803A"/>
    <w:lvl w:ilvl="0" w:tplc="5B8A54D6">
      <w:numFmt w:val="bullet"/>
      <w:lvlText w:val="•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285F6F14"/>
    <w:multiLevelType w:val="hybridMultilevel"/>
    <w:tmpl w:val="4C38557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BC"/>
    <w:rsid w:val="00002057"/>
    <w:rsid w:val="00006B80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A7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896"/>
    <w:rsid w:val="00186B33"/>
    <w:rsid w:val="00192F9D"/>
    <w:rsid w:val="00196EB8"/>
    <w:rsid w:val="001979FF"/>
    <w:rsid w:val="00197B17"/>
    <w:rsid w:val="001A3ACE"/>
    <w:rsid w:val="001A5BCA"/>
    <w:rsid w:val="001C277E"/>
    <w:rsid w:val="001C2A72"/>
    <w:rsid w:val="001D0342"/>
    <w:rsid w:val="001D0B75"/>
    <w:rsid w:val="001D22ED"/>
    <w:rsid w:val="001D3C09"/>
    <w:rsid w:val="001D44E8"/>
    <w:rsid w:val="001D60EC"/>
    <w:rsid w:val="001E44DF"/>
    <w:rsid w:val="001E68A5"/>
    <w:rsid w:val="001E6BB0"/>
    <w:rsid w:val="001F3826"/>
    <w:rsid w:val="001F42F0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4C53"/>
    <w:rsid w:val="00246C5E"/>
    <w:rsid w:val="00251343"/>
    <w:rsid w:val="002549D1"/>
    <w:rsid w:val="00254F58"/>
    <w:rsid w:val="00256650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3438"/>
    <w:rsid w:val="003956CC"/>
    <w:rsid w:val="00395C9A"/>
    <w:rsid w:val="003A43D9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D68BC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34BC2"/>
    <w:rsid w:val="00442C6C"/>
    <w:rsid w:val="00443CBE"/>
    <w:rsid w:val="00443E8A"/>
    <w:rsid w:val="004441BC"/>
    <w:rsid w:val="00445FBF"/>
    <w:rsid w:val="004468B4"/>
    <w:rsid w:val="0045230A"/>
    <w:rsid w:val="00453722"/>
    <w:rsid w:val="00457337"/>
    <w:rsid w:val="004722EB"/>
    <w:rsid w:val="0047372D"/>
    <w:rsid w:val="004743DD"/>
    <w:rsid w:val="00474CEA"/>
    <w:rsid w:val="00483968"/>
    <w:rsid w:val="00484A92"/>
    <w:rsid w:val="00484C00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D4891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771DC"/>
    <w:rsid w:val="00582B8C"/>
    <w:rsid w:val="0058757E"/>
    <w:rsid w:val="00587DD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D7600"/>
    <w:rsid w:val="005E14E7"/>
    <w:rsid w:val="005E26A3"/>
    <w:rsid w:val="005E447E"/>
    <w:rsid w:val="005F0775"/>
    <w:rsid w:val="005F0CF5"/>
    <w:rsid w:val="005F21EB"/>
    <w:rsid w:val="005F708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94C4B"/>
    <w:rsid w:val="006A18C2"/>
    <w:rsid w:val="006B077C"/>
    <w:rsid w:val="006B295C"/>
    <w:rsid w:val="006B6803"/>
    <w:rsid w:val="006D2A3F"/>
    <w:rsid w:val="006D2FBC"/>
    <w:rsid w:val="006E138B"/>
    <w:rsid w:val="006F1FDC"/>
    <w:rsid w:val="007013EF"/>
    <w:rsid w:val="00716F91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13B"/>
    <w:rsid w:val="0074696E"/>
    <w:rsid w:val="00750135"/>
    <w:rsid w:val="00750EC2"/>
    <w:rsid w:val="00752B28"/>
    <w:rsid w:val="00754E36"/>
    <w:rsid w:val="007617AA"/>
    <w:rsid w:val="00763139"/>
    <w:rsid w:val="007666D8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1A71"/>
    <w:rsid w:val="008622E7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6DEA"/>
    <w:rsid w:val="00937BD9"/>
    <w:rsid w:val="00942AEB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29EE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A6441"/>
    <w:rsid w:val="00AA6557"/>
    <w:rsid w:val="00AB06E8"/>
    <w:rsid w:val="00AB1CD3"/>
    <w:rsid w:val="00AB352F"/>
    <w:rsid w:val="00AC274B"/>
    <w:rsid w:val="00AC4764"/>
    <w:rsid w:val="00AC6D36"/>
    <w:rsid w:val="00AD0CBA"/>
    <w:rsid w:val="00AD26E2"/>
    <w:rsid w:val="00AD6366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414F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84A29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3C22"/>
    <w:rsid w:val="00BF7F58"/>
    <w:rsid w:val="00C000C2"/>
    <w:rsid w:val="00C00E71"/>
    <w:rsid w:val="00C01381"/>
    <w:rsid w:val="00C06ADF"/>
    <w:rsid w:val="00C079B8"/>
    <w:rsid w:val="00C123EA"/>
    <w:rsid w:val="00C12A49"/>
    <w:rsid w:val="00C133EE"/>
    <w:rsid w:val="00C27DE9"/>
    <w:rsid w:val="00C30DAF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071B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E0D51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97972"/>
    <w:rsid w:val="00DA2619"/>
    <w:rsid w:val="00DA4239"/>
    <w:rsid w:val="00DB0B61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528E"/>
    <w:rsid w:val="00E170DC"/>
    <w:rsid w:val="00E209A8"/>
    <w:rsid w:val="00E2467B"/>
    <w:rsid w:val="00E26818"/>
    <w:rsid w:val="00E27FFC"/>
    <w:rsid w:val="00E30B15"/>
    <w:rsid w:val="00E40181"/>
    <w:rsid w:val="00E45FEF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3C1C"/>
    <w:rsid w:val="00F16F1B"/>
    <w:rsid w:val="00F250A9"/>
    <w:rsid w:val="00F30FF4"/>
    <w:rsid w:val="00F3122E"/>
    <w:rsid w:val="00F32AB9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81F"/>
    <w:rsid w:val="00FB4CDA"/>
    <w:rsid w:val="00FC0F81"/>
    <w:rsid w:val="00FC395C"/>
    <w:rsid w:val="00FD0F4A"/>
    <w:rsid w:val="00FD3766"/>
    <w:rsid w:val="00FD47C4"/>
    <w:rsid w:val="00FE2DCF"/>
    <w:rsid w:val="00FF2FCE"/>
    <w:rsid w:val="00FF4D12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4C88DE"/>
  <w15:docId w15:val="{A556ED8D-3579-482F-9F3C-FB2759B5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484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0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4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C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C53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C53"/>
    <w:rPr>
      <w:rFonts w:ascii="Cambria" w:hAnsi="Cambri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0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austlii.edu.au/au/legis/vic/consol_act/da2006121/s3.html" TargetMode="External"/><Relationship Id="rId26" Type="http://schemas.openxmlformats.org/officeDocument/2006/relationships/hyperlink" Target="file:///C:\Users\tasha\Desktop\VSP%20work\fact%20sheets\Victorian%20Senior%20Practitioner%20websit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stlii.edu.au/au/legis/vic/consol_act/da2006121/s140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dhs.vic.gov.au/about-the-department/our-organisation/organisational-structure/our-groups/office-of-professional-practice/practice-resources-opp/practice-resources-disability/restrictive-interventions" TargetMode="External"/><Relationship Id="rId25" Type="http://schemas.openxmlformats.org/officeDocument/2006/relationships/hyperlink" Target="mailto:victorianseniorpractitioner@dhhs.vic.gov.a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austlii.edu.au/au/legis/vic/consol_act/da2006121/s5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austlii.edu.au/au/legis/vic/consol_act/da2006121/s140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://www.austlii.edu.au/au/legis/vic/consol_act/da2006121/s147.html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austlii.edu.au/au/legis/vic/consol_act/cohrara2006433/s12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austlii.edu.au/au/legis/vic/consol_act/da2006121/s140.html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1E2E-C296-4327-BE4A-786B3899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5444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reference guide to common questions about restrictive practices - Seclusion</vt:lpstr>
    </vt:vector>
  </TitlesOfParts>
  <Company>Department of Health and Human Services</Company>
  <LinksUpToDate>false</LinksUpToDate>
  <CharactersWithSpaces>6387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reference guide to common questions about restrictive practices - Seclusion</dc:title>
  <dc:subject>Quick reference guide to common questions about restrictive practices - Seclusion</dc:subject>
  <dc:creator>Victorian Senior Practitioner</dc:creator>
  <cp:lastModifiedBy>Alice York (DHHS)</cp:lastModifiedBy>
  <cp:revision>2</cp:revision>
  <cp:lastPrinted>2018-04-10T23:58:00Z</cp:lastPrinted>
  <dcterms:created xsi:type="dcterms:W3CDTF">2020-10-01T06:35:00Z</dcterms:created>
  <dcterms:modified xsi:type="dcterms:W3CDTF">2020-10-01T06:35:00Z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iteId">
    <vt:lpwstr>c0e0601f-0fac-449c-9c88-a104c4eb9f28</vt:lpwstr>
  </property>
  <property fmtid="{D5CDD505-2E9C-101B-9397-08002B2CF9AE}" pid="5" name="MSIP_Label_efdf5488-3066-4b6c-8fea-9472b8a1f34c_Owner">
    <vt:lpwstr>Alice.York@dhhs.vic.gov.au</vt:lpwstr>
  </property>
  <property fmtid="{D5CDD505-2E9C-101B-9397-08002B2CF9AE}" pid="6" name="MSIP_Label_efdf5488-3066-4b6c-8fea-9472b8a1f34c_SetDate">
    <vt:lpwstr>2020-10-01T06:35:41.2811925Z</vt:lpwstr>
  </property>
  <property fmtid="{D5CDD505-2E9C-101B-9397-08002B2CF9AE}" pid="7" name="MSIP_Label_efdf5488-3066-4b6c-8fea-9472b8a1f34c_Name">
    <vt:lpwstr>DO NOT MARK</vt:lpwstr>
  </property>
  <property fmtid="{D5CDD505-2E9C-101B-9397-08002B2CF9AE}" pid="8" name="MSIP_Label_efdf5488-3066-4b6c-8fea-9472b8a1f34c_Application">
    <vt:lpwstr>Microsoft Azure Information Protection</vt:lpwstr>
  </property>
  <property fmtid="{D5CDD505-2E9C-101B-9397-08002B2CF9AE}" pid="9" name="MSIP_Label_efdf5488-3066-4b6c-8fea-9472b8a1f34c_ActionId">
    <vt:lpwstr>15025923-a888-460a-b45c-e87d628ef5f0</vt:lpwstr>
  </property>
  <property fmtid="{D5CDD505-2E9C-101B-9397-08002B2CF9AE}" pid="10" name="MSIP_Label_efdf5488-3066-4b6c-8fea-9472b8a1f34c_Extended_MSFT_Method">
    <vt:lpwstr>Manual</vt:lpwstr>
  </property>
  <property fmtid="{D5CDD505-2E9C-101B-9397-08002B2CF9AE}" pid="11" name="Sensitivity">
    <vt:lpwstr>DO NOT MARK</vt:lpwstr>
  </property>
</Properties>
</file>