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9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04670" w14:paraId="23A179C2" w14:textId="77777777" w:rsidTr="00C04670">
        <w:trPr>
          <w:trHeight w:val="452"/>
        </w:trPr>
        <w:tc>
          <w:tcPr>
            <w:tcW w:w="9736" w:type="dxa"/>
            <w:shd w:val="clear" w:color="auto" w:fill="auto"/>
            <w:vAlign w:val="bottom"/>
          </w:tcPr>
          <w:p w14:paraId="050172E5" w14:textId="77777777" w:rsidR="00C04670" w:rsidRPr="00161AA0" w:rsidRDefault="00C04670" w:rsidP="00C04670">
            <w:pPr>
              <w:pStyle w:val="DHHSmainheading"/>
            </w:pPr>
            <w:r>
              <w:t xml:space="preserve">Quick reference guide to common questions about restrictive practices </w:t>
            </w:r>
            <w:r>
              <w:rPr>
                <w:color w:val="FFFFFF" w:themeColor="background1"/>
              </w:rPr>
              <w:t>– Mechanical restraint</w:t>
            </w:r>
          </w:p>
        </w:tc>
      </w:tr>
      <w:tr w:rsidR="00C04670" w14:paraId="2792E7F5" w14:textId="77777777" w:rsidTr="00C04670">
        <w:trPr>
          <w:trHeight w:hRule="exact" w:val="865"/>
        </w:trPr>
        <w:tc>
          <w:tcPr>
            <w:tcW w:w="9736" w:type="dxa"/>
            <w:shd w:val="clear" w:color="auto" w:fill="auto"/>
            <w:tcMar>
              <w:top w:w="170" w:type="dxa"/>
              <w:bottom w:w="510" w:type="dxa"/>
            </w:tcMar>
          </w:tcPr>
          <w:p w14:paraId="04C8D4A8" w14:textId="77777777" w:rsidR="00C04670" w:rsidRPr="00AD784C" w:rsidRDefault="00C04670" w:rsidP="00C04670">
            <w:pPr>
              <w:pStyle w:val="DHHSmainsubheading"/>
              <w:rPr>
                <w:szCs w:val="28"/>
              </w:rPr>
            </w:pPr>
            <w:r w:rsidRPr="00C04670">
              <w:rPr>
                <w:iCs/>
                <w:szCs w:val="28"/>
              </w:rPr>
              <w:t>Disability Act 2006,</w:t>
            </w:r>
            <w:r>
              <w:rPr>
                <w:szCs w:val="28"/>
              </w:rPr>
              <w:t xml:space="preserve"> Parts 7 and 8</w:t>
            </w:r>
          </w:p>
        </w:tc>
      </w:tr>
    </w:tbl>
    <w:p w14:paraId="068F34A1" w14:textId="77777777" w:rsidR="00C25AD4" w:rsidRDefault="00C25AD4" w:rsidP="00AD784C">
      <w:pPr>
        <w:pStyle w:val="Spacerparatopoffirstpage"/>
      </w:pPr>
    </w:p>
    <w:p w14:paraId="186B0AEB" w14:textId="77777777" w:rsidR="00C25AD4" w:rsidRDefault="00C25AD4" w:rsidP="00AD784C">
      <w:pPr>
        <w:pStyle w:val="Spacerparatopoffirstpage"/>
      </w:pPr>
    </w:p>
    <w:p w14:paraId="7BE05EFA" w14:textId="3EE2A89B" w:rsidR="0074696E" w:rsidRPr="004C6EEE" w:rsidRDefault="009B29EE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085A57D1" wp14:editId="0CE7975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8A1D1" w14:textId="77777777" w:rsidR="00A62D44" w:rsidRPr="004C6EEE" w:rsidRDefault="00A62D44" w:rsidP="004C6EEE">
      <w:pPr>
        <w:pStyle w:val="Sectionbreakfirstpage"/>
        <w:sectPr w:rsidR="00A62D44" w:rsidRPr="004C6EEE" w:rsidSect="00C046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1418" w:left="851" w:header="510" w:footer="510" w:gutter="0"/>
          <w:cols w:space="708"/>
          <w:docGrid w:linePitch="360"/>
        </w:sectPr>
      </w:pPr>
    </w:p>
    <w:p w14:paraId="620B4CF0" w14:textId="77777777" w:rsidR="007173CA" w:rsidRDefault="007173CA" w:rsidP="007173CA">
      <w:pPr>
        <w:pStyle w:val="DHHSbody"/>
        <w:sectPr w:rsidR="007173CA" w:rsidSect="00C04670">
          <w:headerReference w:type="default" r:id="rId14"/>
          <w:footerReference w:type="default" r:id="rId15"/>
          <w:type w:val="continuous"/>
          <w:pgSz w:w="11906" w:h="16838" w:code="9"/>
          <w:pgMar w:top="567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66938A9F" w14:textId="77777777" w:rsidR="00893AF6" w:rsidRPr="00186896" w:rsidRDefault="003D68BC" w:rsidP="0029752B">
      <w:pPr>
        <w:pStyle w:val="Heading1"/>
        <w:spacing w:before="0"/>
      </w:pPr>
      <w:r w:rsidRPr="00186896">
        <w:t>Introduction</w:t>
      </w:r>
    </w:p>
    <w:p w14:paraId="4539E422" w14:textId="11AE1229" w:rsidR="00FA3525" w:rsidRDefault="003D68BC" w:rsidP="00FA3525">
      <w:pPr>
        <w:pStyle w:val="DHHSbody"/>
      </w:pPr>
      <w:bookmarkStart w:id="1" w:name="_Toc440566509"/>
      <w:r>
        <w:t>Th</w:t>
      </w:r>
      <w:r w:rsidR="00C06A07">
        <w:t>ese</w:t>
      </w:r>
      <w:r>
        <w:t xml:space="preserve"> guide</w:t>
      </w:r>
      <w:r w:rsidR="00C06A07">
        <w:t>s</w:t>
      </w:r>
      <w:r>
        <w:t xml:space="preserve"> </w:t>
      </w:r>
      <w:r w:rsidR="00C06A07">
        <w:t>are</w:t>
      </w:r>
      <w:r>
        <w:t xml:space="preserve"> designed to quickly answer common questions about chemical restraint, mechanical restraint, seclusion</w:t>
      </w:r>
      <w:r w:rsidR="00AD1A16">
        <w:t>,</w:t>
      </w:r>
      <w:r w:rsidR="00D3090A">
        <w:t xml:space="preserve"> environmental restraint</w:t>
      </w:r>
      <w:r>
        <w:t xml:space="preserve"> and physical restraint in Victorian disability services. If you require additional information, please go to the </w:t>
      </w:r>
      <w:hyperlink r:id="rId16" w:history="1">
        <w:r w:rsidRPr="00FA581F">
          <w:rPr>
            <w:rStyle w:val="Hyperlink"/>
          </w:rPr>
          <w:t>Restrictive Intervention Self Evaluation Tool (RISET)</w:t>
        </w:r>
      </w:hyperlink>
      <w:r w:rsidR="00186896">
        <w:t xml:space="preserve"> and the </w:t>
      </w:r>
      <w:hyperlink r:id="rId17" w:history="1">
        <w:r w:rsidR="00186896" w:rsidRPr="00A93D3C">
          <w:rPr>
            <w:rStyle w:val="Hyperlink"/>
            <w:i/>
          </w:rPr>
          <w:t>Disability Act</w:t>
        </w:r>
        <w:r w:rsidR="00637D21" w:rsidRPr="00A93D3C">
          <w:rPr>
            <w:rStyle w:val="Hyperlink"/>
            <w:i/>
          </w:rPr>
          <w:t xml:space="preserve"> 2006</w:t>
        </w:r>
        <w:r w:rsidR="00637D21">
          <w:rPr>
            <w:rStyle w:val="Hyperlink"/>
          </w:rPr>
          <w:t>(</w:t>
        </w:r>
        <w:r w:rsidR="00945B1F">
          <w:rPr>
            <w:rStyle w:val="Hyperlink"/>
          </w:rPr>
          <w:t>T</w:t>
        </w:r>
        <w:r w:rsidR="00637D21">
          <w:rPr>
            <w:rStyle w:val="Hyperlink"/>
          </w:rPr>
          <w:t>he Disability Act).</w:t>
        </w:r>
      </w:hyperlink>
      <w:r w:rsidR="002E1627">
        <w:rPr>
          <w:rStyle w:val="Hyperlink"/>
        </w:rPr>
        <w:t>.</w:t>
      </w:r>
    </w:p>
    <w:bookmarkEnd w:id="1"/>
    <w:p w14:paraId="58F1B52E" w14:textId="77777777" w:rsidR="004D4891" w:rsidRPr="00BE4A64" w:rsidRDefault="004D4891" w:rsidP="004D4891">
      <w:pPr>
        <w:pStyle w:val="Heading2"/>
      </w:pPr>
      <w:r>
        <w:t>Mechanical restraint</w:t>
      </w:r>
    </w:p>
    <w:p w14:paraId="4BC094D4" w14:textId="7791AC34" w:rsidR="004D4891" w:rsidRDefault="004D4891" w:rsidP="00BC7ED7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>Section 3 of the</w:t>
      </w:r>
      <w:r w:rsidR="00C06A07">
        <w:rPr>
          <w:rStyle w:val="Hyperlink"/>
          <w:rFonts w:eastAsia="MS Mincho"/>
          <w:bCs/>
        </w:rPr>
        <w:t xml:space="preserve"> </w:t>
      </w:r>
      <w:r w:rsidR="002E1627">
        <w:rPr>
          <w:rStyle w:val="Hyperlink"/>
          <w:rFonts w:eastAsia="MS Mincho"/>
          <w:bCs/>
        </w:rPr>
        <w:t xml:space="preserve">Disability </w:t>
      </w:r>
      <w:r w:rsidR="00C06A07">
        <w:rPr>
          <w:rStyle w:val="Hyperlink"/>
          <w:rFonts w:eastAsia="MS Mincho"/>
          <w:bCs/>
        </w:rPr>
        <w:t>Act</w:t>
      </w:r>
      <w:r w:rsidRPr="004D4891">
        <w:rPr>
          <w:rFonts w:eastAsia="MS Mincho"/>
          <w:bCs/>
        </w:rPr>
        <w:t xml:space="preserve"> defines mechanical restraint </w:t>
      </w:r>
      <w:r w:rsidR="00AD1A16">
        <w:rPr>
          <w:rFonts w:eastAsia="MS Mincho"/>
          <w:bCs/>
        </w:rPr>
        <w:t xml:space="preserve">as having the same meaning as in the </w:t>
      </w:r>
      <w:r w:rsidR="00AD1A16" w:rsidRPr="00545372">
        <w:rPr>
          <w:rFonts w:eastAsia="MS Mincho"/>
          <w:bCs/>
          <w:i/>
        </w:rPr>
        <w:t>NDIS (Restrictive Practices and Behaviour Support) Rules</w:t>
      </w:r>
      <w:r w:rsidR="001562E2" w:rsidRPr="00545372">
        <w:rPr>
          <w:rFonts w:eastAsia="MS Mincho"/>
          <w:bCs/>
          <w:i/>
        </w:rPr>
        <w:t xml:space="preserve"> 2018 (</w:t>
      </w:r>
      <w:proofErr w:type="spellStart"/>
      <w:r w:rsidR="001562E2" w:rsidRPr="00545372">
        <w:rPr>
          <w:rFonts w:eastAsia="MS Mincho"/>
          <w:bCs/>
          <w:i/>
        </w:rPr>
        <w:t>Cth</w:t>
      </w:r>
      <w:proofErr w:type="spellEnd"/>
      <w:r w:rsidR="001562E2" w:rsidRPr="00545372">
        <w:rPr>
          <w:rFonts w:eastAsia="MS Mincho"/>
          <w:bCs/>
          <w:i/>
        </w:rPr>
        <w:t>)</w:t>
      </w:r>
      <w:r w:rsidR="00545372">
        <w:rPr>
          <w:rFonts w:eastAsia="MS Mincho"/>
          <w:bCs/>
          <w:i/>
        </w:rPr>
        <w:t xml:space="preserve"> </w:t>
      </w:r>
      <w:r w:rsidR="00545372">
        <w:rPr>
          <w:rFonts w:eastAsia="MS Mincho"/>
          <w:bCs/>
        </w:rPr>
        <w:t>(NDIS Rules)</w:t>
      </w:r>
      <w:r w:rsidR="00AD1A16" w:rsidRPr="00545372">
        <w:rPr>
          <w:rFonts w:eastAsia="MS Mincho"/>
          <w:bCs/>
          <w:i/>
        </w:rPr>
        <w:t>.</w:t>
      </w:r>
      <w:r w:rsidR="00AD1A16">
        <w:rPr>
          <w:rFonts w:eastAsia="MS Mincho"/>
          <w:bCs/>
        </w:rPr>
        <w:t xml:space="preserve"> The rules define </w:t>
      </w:r>
      <w:r w:rsidR="007F3D96">
        <w:rPr>
          <w:rFonts w:eastAsia="MS Mincho"/>
          <w:bCs/>
        </w:rPr>
        <w:t>mechanical restraint</w:t>
      </w:r>
      <w:r w:rsidR="00AD1A16">
        <w:rPr>
          <w:rFonts w:eastAsia="MS Mincho"/>
          <w:bCs/>
        </w:rPr>
        <w:t xml:space="preserve"> as the </w:t>
      </w:r>
      <w:r w:rsidR="00AD1A16" w:rsidRPr="00545372">
        <w:rPr>
          <w:rFonts w:eastAsia="MS Mincho"/>
          <w:bCs/>
          <w:i/>
        </w:rPr>
        <w:t>use of a device to prevent, restrict, or subdue a person’s movement for the primary purpose of influencing a person’s behaviour but does not include the use of devices for therapeutic or non-behavioural purposes</w:t>
      </w:r>
      <w:r w:rsidR="00AD1A16">
        <w:rPr>
          <w:rFonts w:eastAsia="MS Mincho"/>
          <w:bCs/>
        </w:rPr>
        <w:t xml:space="preserve">. </w:t>
      </w:r>
    </w:p>
    <w:p w14:paraId="361A712B" w14:textId="77777777" w:rsidR="004D4891" w:rsidRPr="00FA581F" w:rsidRDefault="004D4891" w:rsidP="004D4891">
      <w:pPr>
        <w:pStyle w:val="DHHSbody"/>
        <w:rPr>
          <w:rFonts w:eastAsia="MS Mincho"/>
          <w:b/>
          <w:bCs/>
        </w:rPr>
      </w:pPr>
      <w:r w:rsidRPr="00FA581F">
        <w:rPr>
          <w:rFonts w:eastAsia="MS Mincho"/>
          <w:b/>
          <w:bCs/>
        </w:rPr>
        <w:t>1. What are some examples of mechanical restraint?</w:t>
      </w:r>
    </w:p>
    <w:p w14:paraId="2F744488" w14:textId="77777777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 xml:space="preserve">Belt/Strap: An item of any material used to restrain any part of the body to a secure fixture. </w:t>
      </w:r>
    </w:p>
    <w:p w14:paraId="1A75DAF1" w14:textId="77777777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>Glove: Any material which is placed on the hand which covers all or part of the hand and/or finger(s)</w:t>
      </w:r>
    </w:p>
    <w:p w14:paraId="365D189B" w14:textId="77777777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>Splint: A device that is applied or worn, in original or modified form; to a body joint (usually the elbow) which restricts movement of that joint in any way</w:t>
      </w:r>
    </w:p>
    <w:p w14:paraId="2C85CFF8" w14:textId="77777777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 xml:space="preserve">Cuff: A shackle or similar device with a closing mechanism which is applied to the wrist and/or ankle which is in turn attached to a secure fixture. </w:t>
      </w:r>
    </w:p>
    <w:p w14:paraId="248838E2" w14:textId="77777777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 xml:space="preserve">Helmet: Any type of headwear which is worn by the person to limit potential physical damage to self.   </w:t>
      </w:r>
    </w:p>
    <w:p w14:paraId="18FAFD23" w14:textId="642D5FB5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 xml:space="preserve">Wheelchairs: The application of brakes or the disengagement of the power source of a wheelchair to prohibit a person from independently mobilising.  Also includes the placement of an ambulant person in a wheelchair </w:t>
      </w:r>
      <w:r w:rsidR="00602B20" w:rsidRPr="004D4891">
        <w:rPr>
          <w:rFonts w:eastAsia="MS Mincho"/>
          <w:bCs/>
        </w:rPr>
        <w:t>to</w:t>
      </w:r>
      <w:r w:rsidRPr="004D4891">
        <w:rPr>
          <w:rFonts w:eastAsia="MS Mincho"/>
          <w:bCs/>
        </w:rPr>
        <w:t xml:space="preserve"> restrict their movement. </w:t>
      </w:r>
    </w:p>
    <w:p w14:paraId="6FCDE2AE" w14:textId="1F8C418C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>Tables/furniture: The deliberate placement of furniture to inhibit a person from moving</w:t>
      </w:r>
      <w:r w:rsidR="00C04670">
        <w:rPr>
          <w:rFonts w:eastAsia="MS Mincho"/>
          <w:bCs/>
        </w:rPr>
        <w:t xml:space="preserve"> freely</w:t>
      </w:r>
      <w:r w:rsidRPr="004D4891">
        <w:rPr>
          <w:rFonts w:eastAsia="MS Mincho"/>
          <w:bCs/>
        </w:rPr>
        <w:t xml:space="preserve">. </w:t>
      </w:r>
    </w:p>
    <w:p w14:paraId="487E2B8A" w14:textId="0F195EE7" w:rsidR="004D4891" w:rsidRP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 xml:space="preserve">Restrictive clothing: An item of clothing that is applied in full or part, in original or modified form; or </w:t>
      </w:r>
      <w:r w:rsidR="00602B20">
        <w:rPr>
          <w:rFonts w:eastAsia="MS Mincho"/>
          <w:bCs/>
        </w:rPr>
        <w:t xml:space="preserve">a </w:t>
      </w:r>
      <w:r w:rsidRPr="004D4891">
        <w:rPr>
          <w:rFonts w:eastAsia="MS Mincho"/>
          <w:bCs/>
        </w:rPr>
        <w:t xml:space="preserve">specially designed device that is applied to or worn by a person that restricts their movement in any way, including to prevent the person accessing their incontinence/ sanitary device or removing their clothing. </w:t>
      </w:r>
      <w:r w:rsidR="00CE0D51">
        <w:rPr>
          <w:rFonts w:eastAsia="MS Mincho"/>
          <w:bCs/>
        </w:rPr>
        <w:t xml:space="preserve">More information about restrictive clothing is available </w:t>
      </w:r>
      <w:hyperlink r:id="rId18" w:history="1">
        <w:r w:rsidR="00CE0D51" w:rsidRPr="00CE0D51">
          <w:rPr>
            <w:rStyle w:val="Hyperlink"/>
            <w:rFonts w:eastAsia="MS Mincho"/>
            <w:bCs/>
          </w:rPr>
          <w:t>here</w:t>
        </w:r>
      </w:hyperlink>
      <w:r w:rsidR="00CE0D51">
        <w:rPr>
          <w:rFonts w:eastAsia="MS Mincho"/>
          <w:bCs/>
        </w:rPr>
        <w:t xml:space="preserve">. </w:t>
      </w:r>
    </w:p>
    <w:p w14:paraId="2B593090" w14:textId="3BBD7CD1" w:rsidR="004D4891" w:rsidRDefault="004D4891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 w:rsidRPr="004D4891">
        <w:rPr>
          <w:rFonts w:eastAsia="MS Mincho"/>
          <w:bCs/>
        </w:rPr>
        <w:t>Bed rails</w:t>
      </w:r>
      <w:r w:rsidR="00C25AD4">
        <w:rPr>
          <w:rFonts w:eastAsia="MS Mincho"/>
          <w:bCs/>
        </w:rPr>
        <w:t>:</w:t>
      </w:r>
      <w:r w:rsidR="00C25AD4" w:rsidRPr="004D4891">
        <w:rPr>
          <w:rFonts w:eastAsia="MS Mincho"/>
          <w:bCs/>
        </w:rPr>
        <w:t xml:space="preserve"> </w:t>
      </w:r>
      <w:r w:rsidRPr="004D4891">
        <w:rPr>
          <w:rFonts w:eastAsia="MS Mincho"/>
          <w:bCs/>
        </w:rPr>
        <w:t xml:space="preserve">A fixture installed on or used along the side(s) of a bed which when raised, presents a barrier to moving from the side of the bed. </w:t>
      </w:r>
    </w:p>
    <w:p w14:paraId="5B5814DA" w14:textId="102B9D66" w:rsidR="00C25AD4" w:rsidRPr="004D4891" w:rsidRDefault="00C25AD4" w:rsidP="00C8071B">
      <w:pPr>
        <w:pStyle w:val="DHHSbody"/>
        <w:numPr>
          <w:ilvl w:val="0"/>
          <w:numId w:val="9"/>
        </w:numPr>
        <w:rPr>
          <w:rFonts w:eastAsia="MS Mincho"/>
          <w:bCs/>
        </w:rPr>
      </w:pPr>
      <w:r>
        <w:rPr>
          <w:rFonts w:eastAsia="MS Mincho"/>
          <w:bCs/>
        </w:rPr>
        <w:t>Harness: Any restraint used in a car or seat to restrict movement, not including a buckle guard.</w:t>
      </w:r>
    </w:p>
    <w:p w14:paraId="17A8DF94" w14:textId="6F6A4480" w:rsidR="004D4891" w:rsidRPr="00FA581F" w:rsidRDefault="009B29EE" w:rsidP="004D4891">
      <w:pPr>
        <w:pStyle w:val="DHHSbody"/>
        <w:rPr>
          <w:rFonts w:eastAsia="MS Mincho"/>
          <w:b/>
          <w:bCs/>
        </w:rPr>
      </w:pPr>
      <w:r w:rsidRPr="00FA581F">
        <w:rPr>
          <w:rFonts w:eastAsia="MS Mincho"/>
          <w:b/>
          <w:bCs/>
        </w:rPr>
        <w:t xml:space="preserve">2. </w:t>
      </w:r>
      <w:r w:rsidR="004D4891" w:rsidRPr="00FA581F">
        <w:rPr>
          <w:rFonts w:eastAsia="MS Mincho"/>
          <w:b/>
          <w:bCs/>
        </w:rPr>
        <w:t xml:space="preserve">Are seatbelt buckle </w:t>
      </w:r>
      <w:proofErr w:type="gramStart"/>
      <w:r w:rsidR="004D4891" w:rsidRPr="00FA581F">
        <w:rPr>
          <w:rFonts w:eastAsia="MS Mincho"/>
          <w:b/>
          <w:bCs/>
        </w:rPr>
        <w:t>guards</w:t>
      </w:r>
      <w:proofErr w:type="gramEnd"/>
      <w:r w:rsidR="004D4891" w:rsidRPr="00FA581F">
        <w:rPr>
          <w:rFonts w:eastAsia="MS Mincho"/>
          <w:b/>
          <w:bCs/>
        </w:rPr>
        <w:t xml:space="preserve"> mechanical restraint?</w:t>
      </w:r>
    </w:p>
    <w:p w14:paraId="4495ED62" w14:textId="47E2EDDC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lastRenderedPageBreak/>
        <w:t xml:space="preserve">It depends on what they are used for. If </w:t>
      </w:r>
      <w:r w:rsidR="00C25AD4">
        <w:rPr>
          <w:rFonts w:eastAsia="MS Mincho"/>
          <w:bCs/>
        </w:rPr>
        <w:t>the buckle guard is</w:t>
      </w:r>
      <w:r w:rsidRPr="004D4891">
        <w:rPr>
          <w:rFonts w:eastAsia="MS Mincho"/>
          <w:bCs/>
        </w:rPr>
        <w:t xml:space="preserve"> used to ensure that a person with a disability is maintained in a car seat</w:t>
      </w:r>
      <w:r w:rsidR="00306A85">
        <w:rPr>
          <w:rFonts w:eastAsia="MS Mincho"/>
          <w:bCs/>
        </w:rPr>
        <w:t xml:space="preserve"> while in transit</w:t>
      </w:r>
      <w:r w:rsidR="00602B20">
        <w:rPr>
          <w:rFonts w:eastAsia="MS Mincho"/>
          <w:bCs/>
        </w:rPr>
        <w:t xml:space="preserve"> </w:t>
      </w:r>
      <w:r w:rsidR="00A93D3C">
        <w:rPr>
          <w:rFonts w:eastAsia="MS Mincho"/>
          <w:bCs/>
        </w:rPr>
        <w:t xml:space="preserve">as per </w:t>
      </w:r>
      <w:r w:rsidR="00A93D3C">
        <w:t xml:space="preserve">Road Safety Road Rules 2009 (Vic), </w:t>
      </w:r>
      <w:r w:rsidRPr="004D4891">
        <w:rPr>
          <w:rFonts w:eastAsia="MS Mincho"/>
          <w:bCs/>
        </w:rPr>
        <w:t>by wearing a belt</w:t>
      </w:r>
      <w:r w:rsidR="00AD1A16">
        <w:rPr>
          <w:rFonts w:eastAsia="MS Mincho"/>
          <w:bCs/>
        </w:rPr>
        <w:t>,</w:t>
      </w:r>
      <w:r w:rsidRPr="004D4891">
        <w:rPr>
          <w:rFonts w:eastAsia="MS Mincho"/>
          <w:bCs/>
        </w:rPr>
        <w:t xml:space="preserve"> then this is not mechanical restraint.  If a device is used </w:t>
      </w:r>
      <w:r w:rsidR="00C25AD4">
        <w:rPr>
          <w:rFonts w:eastAsia="MS Mincho"/>
          <w:bCs/>
        </w:rPr>
        <w:t xml:space="preserve">while not in transit </w:t>
      </w:r>
      <w:r w:rsidRPr="004D4891">
        <w:rPr>
          <w:rFonts w:eastAsia="MS Mincho"/>
          <w:bCs/>
        </w:rPr>
        <w:t xml:space="preserve">to prevent, restrict or subdue a </w:t>
      </w:r>
      <w:r w:rsidR="00A93D3C" w:rsidRPr="004D4891">
        <w:rPr>
          <w:rFonts w:eastAsia="MS Mincho"/>
          <w:bCs/>
        </w:rPr>
        <w:t xml:space="preserve">person </w:t>
      </w:r>
      <w:r w:rsidR="00A93D3C">
        <w:rPr>
          <w:rFonts w:eastAsia="MS Mincho"/>
          <w:bCs/>
        </w:rPr>
        <w:t xml:space="preserve">whose </w:t>
      </w:r>
      <w:r w:rsidRPr="004D4891">
        <w:rPr>
          <w:rFonts w:eastAsia="MS Mincho"/>
          <w:bCs/>
        </w:rPr>
        <w:t xml:space="preserve">behaviour </w:t>
      </w:r>
      <w:r w:rsidR="00602B20">
        <w:rPr>
          <w:rFonts w:eastAsia="MS Mincho"/>
          <w:bCs/>
        </w:rPr>
        <w:t>is considered to put themselves or others at risk of physical harm</w:t>
      </w:r>
      <w:r w:rsidR="00306A85">
        <w:rPr>
          <w:rFonts w:eastAsia="MS Mincho"/>
          <w:bCs/>
        </w:rPr>
        <w:t>,</w:t>
      </w:r>
      <w:r w:rsidR="00602B20">
        <w:rPr>
          <w:rFonts w:eastAsia="MS Mincho"/>
          <w:bCs/>
        </w:rPr>
        <w:t xml:space="preserve"> </w:t>
      </w:r>
      <w:bookmarkStart w:id="2" w:name="_GoBack"/>
      <w:bookmarkEnd w:id="2"/>
      <w:r w:rsidRPr="004D4891">
        <w:rPr>
          <w:rFonts w:eastAsia="MS Mincho"/>
          <w:bCs/>
        </w:rPr>
        <w:t>this is mechanical restraint.</w:t>
      </w:r>
      <w:r w:rsidR="00FA581F">
        <w:rPr>
          <w:rFonts w:eastAsia="MS Mincho"/>
          <w:bCs/>
        </w:rPr>
        <w:t xml:space="preserve"> </w:t>
      </w:r>
    </w:p>
    <w:p w14:paraId="46C0A06B" w14:textId="58A8C3C9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3. </w:t>
      </w:r>
      <w:r w:rsidR="004D4891" w:rsidRPr="001F42F0">
        <w:rPr>
          <w:rFonts w:eastAsia="MS Mincho"/>
          <w:b/>
          <w:bCs/>
        </w:rPr>
        <w:t xml:space="preserve">What does ‘therapeutic </w:t>
      </w:r>
      <w:r w:rsidR="00545372">
        <w:rPr>
          <w:rFonts w:eastAsia="MS Mincho"/>
          <w:b/>
          <w:bCs/>
        </w:rPr>
        <w:t xml:space="preserve">or non- behavioural </w:t>
      </w:r>
      <w:r w:rsidR="004D4891" w:rsidRPr="001F42F0">
        <w:rPr>
          <w:rFonts w:eastAsia="MS Mincho"/>
          <w:b/>
          <w:bCs/>
        </w:rPr>
        <w:t>purposes’ mean?</w:t>
      </w:r>
    </w:p>
    <w:p w14:paraId="66D6FE36" w14:textId="482B5772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A device used for therapeutic purposes means that the device is intended by the manufacturer to be used on a </w:t>
      </w:r>
      <w:r w:rsidR="00A93D3C">
        <w:rPr>
          <w:rFonts w:eastAsia="MS Mincho"/>
          <w:bCs/>
        </w:rPr>
        <w:t xml:space="preserve">person </w:t>
      </w:r>
      <w:r w:rsidRPr="004D4891">
        <w:rPr>
          <w:rFonts w:eastAsia="MS Mincho"/>
          <w:bCs/>
        </w:rPr>
        <w:t xml:space="preserve">either alone or in combination with another device, to support, modify, replace or restore biological functions or structures </w:t>
      </w:r>
      <w:r w:rsidR="00306A85" w:rsidRPr="004D4891">
        <w:rPr>
          <w:rFonts w:eastAsia="MS Mincho"/>
          <w:bCs/>
        </w:rPr>
        <w:t>for</w:t>
      </w:r>
      <w:r w:rsidRPr="004D4891">
        <w:rPr>
          <w:rFonts w:eastAsia="MS Mincho"/>
          <w:bCs/>
        </w:rPr>
        <w:t xml:space="preserve"> treating or alleviating an illness, injury or disability (based on Therapeutic Goods (Medical Devices) Regulations 2002). Therapeutic devices are prescribed by a clinician and are not </w:t>
      </w:r>
      <w:r w:rsidR="001F42F0">
        <w:rPr>
          <w:rFonts w:eastAsia="MS Mincho"/>
          <w:bCs/>
        </w:rPr>
        <w:t xml:space="preserve">intended to </w:t>
      </w:r>
      <w:r w:rsidR="00CE0D51">
        <w:rPr>
          <w:rFonts w:eastAsia="MS Mincho"/>
          <w:bCs/>
        </w:rPr>
        <w:t xml:space="preserve">specifically </w:t>
      </w:r>
      <w:r w:rsidR="001F42F0">
        <w:rPr>
          <w:rFonts w:eastAsia="MS Mincho"/>
          <w:bCs/>
        </w:rPr>
        <w:t>limit the person’s right to freedom of movement</w:t>
      </w:r>
      <w:r w:rsidRPr="004D4891">
        <w:rPr>
          <w:rFonts w:eastAsia="MS Mincho"/>
          <w:bCs/>
        </w:rPr>
        <w:t xml:space="preserve">. </w:t>
      </w:r>
    </w:p>
    <w:p w14:paraId="60E3598C" w14:textId="77777777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4. </w:t>
      </w:r>
      <w:r w:rsidR="004D4891" w:rsidRPr="001F42F0">
        <w:rPr>
          <w:rFonts w:eastAsia="MS Mincho"/>
          <w:b/>
          <w:bCs/>
        </w:rPr>
        <w:t>If a doctor, occupational therapist or other clinician has recommended the use of a device, is this mechanical restraint?</w:t>
      </w:r>
    </w:p>
    <w:p w14:paraId="0CEF3A56" w14:textId="19225D75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It depends on why the device is being used. Refer to the </w:t>
      </w:r>
      <w:hyperlink r:id="rId19" w:history="1">
        <w:r w:rsidRPr="001F42F0">
          <w:rPr>
            <w:rStyle w:val="Hyperlink"/>
            <w:rFonts w:eastAsia="MS Mincho"/>
            <w:bCs/>
          </w:rPr>
          <w:t>definition of mechanical restraint</w:t>
        </w:r>
      </w:hyperlink>
      <w:r w:rsidRPr="004D4891">
        <w:rPr>
          <w:rFonts w:eastAsia="MS Mincho"/>
          <w:bCs/>
        </w:rPr>
        <w:t xml:space="preserve"> above. Disability service providers are responsible for applying the definition, not a clinician. </w:t>
      </w:r>
    </w:p>
    <w:p w14:paraId="509DACFD" w14:textId="1B1A3365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5. </w:t>
      </w:r>
      <w:r w:rsidR="004D4891" w:rsidRPr="001F42F0">
        <w:rPr>
          <w:rFonts w:eastAsia="MS Mincho"/>
          <w:b/>
          <w:bCs/>
        </w:rPr>
        <w:t xml:space="preserve">If a person with a disability can remove the device themselves, is the device </w:t>
      </w:r>
      <w:r w:rsidR="0018664E">
        <w:rPr>
          <w:rFonts w:eastAsia="MS Mincho"/>
          <w:b/>
          <w:bCs/>
        </w:rPr>
        <w:t xml:space="preserve">still considered </w:t>
      </w:r>
      <w:r w:rsidR="004D4891" w:rsidRPr="001F42F0">
        <w:rPr>
          <w:rFonts w:eastAsia="MS Mincho"/>
          <w:b/>
          <w:bCs/>
        </w:rPr>
        <w:t>mechanical restraint?</w:t>
      </w:r>
    </w:p>
    <w:p w14:paraId="4C024525" w14:textId="69C5A21C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Yes. The </w:t>
      </w:r>
      <w:r w:rsidR="002E1627" w:rsidRPr="00A93D3C">
        <w:rPr>
          <w:rFonts w:eastAsia="MS Mincho"/>
          <w:bCs/>
        </w:rPr>
        <w:t xml:space="preserve">Disability </w:t>
      </w:r>
      <w:r w:rsidR="00331C7C" w:rsidRPr="00A93D3C">
        <w:rPr>
          <w:rFonts w:eastAsia="MS Mincho"/>
          <w:bCs/>
        </w:rPr>
        <w:t>Act</w:t>
      </w:r>
      <w:r w:rsidRPr="002E1627">
        <w:rPr>
          <w:rFonts w:eastAsia="MS Mincho"/>
          <w:bCs/>
        </w:rPr>
        <w:t xml:space="preserve"> </w:t>
      </w:r>
      <w:r w:rsidR="00545372">
        <w:rPr>
          <w:rFonts w:eastAsia="MS Mincho"/>
          <w:bCs/>
        </w:rPr>
        <w:t xml:space="preserve">and NDIS Rules </w:t>
      </w:r>
      <w:r w:rsidRPr="004D4891">
        <w:rPr>
          <w:rFonts w:eastAsia="MS Mincho"/>
          <w:bCs/>
        </w:rPr>
        <w:t xml:space="preserve">make no distinction </w:t>
      </w:r>
      <w:r w:rsidR="00545372">
        <w:rPr>
          <w:rFonts w:eastAsia="MS Mincho"/>
          <w:bCs/>
        </w:rPr>
        <w:t>about</w:t>
      </w:r>
      <w:r w:rsidRPr="004D4891">
        <w:rPr>
          <w:rFonts w:eastAsia="MS Mincho"/>
          <w:bCs/>
        </w:rPr>
        <w:t xml:space="preserve"> mechanical restraint in this way. Refer to the </w:t>
      </w:r>
      <w:hyperlink r:id="rId20" w:history="1">
        <w:r w:rsidRPr="001F42F0">
          <w:rPr>
            <w:rStyle w:val="Hyperlink"/>
            <w:rFonts w:eastAsia="MS Mincho"/>
            <w:bCs/>
          </w:rPr>
          <w:t>definition of mechanical restraint</w:t>
        </w:r>
      </w:hyperlink>
      <w:r w:rsidRPr="004D4891">
        <w:rPr>
          <w:rFonts w:eastAsia="MS Mincho"/>
          <w:bCs/>
        </w:rPr>
        <w:t xml:space="preserve"> above. </w:t>
      </w:r>
    </w:p>
    <w:p w14:paraId="0E23711D" w14:textId="77777777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6. </w:t>
      </w:r>
      <w:r w:rsidR="004D4891" w:rsidRPr="001F42F0">
        <w:rPr>
          <w:rFonts w:eastAsia="MS Mincho"/>
          <w:b/>
          <w:bCs/>
        </w:rPr>
        <w:t>If a device is recommended for a ‘medical reason’, is this mechanical restraint?</w:t>
      </w:r>
    </w:p>
    <w:p w14:paraId="00B722C1" w14:textId="5DE90DA5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The </w:t>
      </w:r>
      <w:r w:rsidR="002E1627" w:rsidRPr="00A93D3C">
        <w:rPr>
          <w:rFonts w:eastAsia="MS Mincho"/>
          <w:bCs/>
        </w:rPr>
        <w:t xml:space="preserve">Disability </w:t>
      </w:r>
      <w:r w:rsidR="00331C7C" w:rsidRPr="00A93D3C">
        <w:rPr>
          <w:rFonts w:eastAsia="MS Mincho"/>
          <w:bCs/>
        </w:rPr>
        <w:t>Act</w:t>
      </w:r>
      <w:r w:rsidRPr="002E1627">
        <w:rPr>
          <w:rFonts w:eastAsia="MS Mincho"/>
          <w:bCs/>
        </w:rPr>
        <w:t xml:space="preserve"> </w:t>
      </w:r>
      <w:r w:rsidR="00545372">
        <w:rPr>
          <w:rFonts w:eastAsia="MS Mincho"/>
          <w:bCs/>
        </w:rPr>
        <w:t xml:space="preserve">and NDIS Rules </w:t>
      </w:r>
      <w:r w:rsidRPr="004D4891">
        <w:rPr>
          <w:rFonts w:eastAsia="MS Mincho"/>
          <w:bCs/>
        </w:rPr>
        <w:t xml:space="preserve">makes no distinction for ‘medical reasons’. Refer to the </w:t>
      </w:r>
      <w:hyperlink r:id="rId21" w:history="1">
        <w:r w:rsidRPr="001F42F0">
          <w:rPr>
            <w:rStyle w:val="Hyperlink"/>
            <w:rFonts w:eastAsia="MS Mincho"/>
            <w:bCs/>
          </w:rPr>
          <w:t>definition of mechanical restraint</w:t>
        </w:r>
      </w:hyperlink>
      <w:r w:rsidRPr="004D4891">
        <w:rPr>
          <w:rFonts w:eastAsia="MS Mincho"/>
          <w:bCs/>
        </w:rPr>
        <w:t xml:space="preserve"> above. If the device is to prevent, restrict or subdue movement for the primary purpose of </w:t>
      </w:r>
      <w:r w:rsidR="00545372">
        <w:rPr>
          <w:rFonts w:eastAsia="MS Mincho"/>
          <w:bCs/>
        </w:rPr>
        <w:t xml:space="preserve">influencing a person’s </w:t>
      </w:r>
      <w:r w:rsidRPr="004D4891">
        <w:rPr>
          <w:rFonts w:eastAsia="MS Mincho"/>
          <w:bCs/>
        </w:rPr>
        <w:t xml:space="preserve">behaviour, then it is mechanical restraint. </w:t>
      </w:r>
    </w:p>
    <w:p w14:paraId="0CBD08F4" w14:textId="77777777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7. </w:t>
      </w:r>
      <w:r w:rsidR="004D4891" w:rsidRPr="001F42F0">
        <w:rPr>
          <w:rFonts w:eastAsia="MS Mincho"/>
          <w:b/>
          <w:bCs/>
        </w:rPr>
        <w:t>If a device is prescribed to ‘prevent harm’ or for ‘safety’, is this mechanical restraint?</w:t>
      </w:r>
    </w:p>
    <w:p w14:paraId="4B0D2D04" w14:textId="50BD6E59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Yes. A disability service provider would not consider any restrictive </w:t>
      </w:r>
      <w:r w:rsidR="00553311">
        <w:rPr>
          <w:rFonts w:eastAsia="MS Mincho"/>
          <w:bCs/>
        </w:rPr>
        <w:t>practice</w:t>
      </w:r>
      <w:r w:rsidRPr="004D4891">
        <w:rPr>
          <w:rFonts w:eastAsia="MS Mincho"/>
          <w:bCs/>
        </w:rPr>
        <w:t xml:space="preserve">, including mechanical restraint unless there was a risk of physical harm as required by </w:t>
      </w:r>
      <w:hyperlink r:id="rId22" w:history="1">
        <w:r w:rsidRPr="001F42F0">
          <w:rPr>
            <w:rStyle w:val="Hyperlink"/>
            <w:rFonts w:eastAsia="MS Mincho"/>
            <w:bCs/>
          </w:rPr>
          <w:t>section 140</w:t>
        </w:r>
        <w:r w:rsidR="001F42F0" w:rsidRPr="001F42F0">
          <w:rPr>
            <w:rStyle w:val="Hyperlink"/>
            <w:rFonts w:eastAsia="MS Mincho"/>
            <w:bCs/>
          </w:rPr>
          <w:t>(a) of the Disability Act</w:t>
        </w:r>
      </w:hyperlink>
      <w:r w:rsidR="001F42F0">
        <w:rPr>
          <w:rFonts w:eastAsia="MS Mincho"/>
          <w:bCs/>
        </w:rPr>
        <w:t>.</w:t>
      </w:r>
    </w:p>
    <w:p w14:paraId="5384D685" w14:textId="0E3F2C65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8. </w:t>
      </w:r>
      <w:r w:rsidR="004D4891" w:rsidRPr="001F42F0">
        <w:rPr>
          <w:rFonts w:eastAsia="MS Mincho"/>
          <w:b/>
          <w:bCs/>
        </w:rPr>
        <w:t>If a parent or a guardian wants the person with a disability to be subject to a device, is it still mechanical restraint?</w:t>
      </w:r>
    </w:p>
    <w:p w14:paraId="2A26893B" w14:textId="2896CCED" w:rsidR="004D4891" w:rsidRPr="004D4891" w:rsidRDefault="004D4891" w:rsidP="004D4891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Yes. Disability service providers are responsible for the use of all restrictive </w:t>
      </w:r>
      <w:r w:rsidR="00553311">
        <w:rPr>
          <w:rFonts w:eastAsia="MS Mincho"/>
          <w:bCs/>
        </w:rPr>
        <w:t>practices</w:t>
      </w:r>
      <w:r w:rsidRPr="004D4891">
        <w:rPr>
          <w:rFonts w:eastAsia="MS Mincho"/>
          <w:bCs/>
        </w:rPr>
        <w:t xml:space="preserve">, including mechanical restraint and must comply with the requirements of Part 7 of the </w:t>
      </w:r>
      <w:r w:rsidRPr="00A93D3C">
        <w:rPr>
          <w:rFonts w:eastAsia="MS Mincho"/>
          <w:bCs/>
        </w:rPr>
        <w:t>Disability Act</w:t>
      </w:r>
      <w:r w:rsidRPr="004D4891">
        <w:rPr>
          <w:rFonts w:eastAsia="MS Mincho"/>
          <w:bCs/>
        </w:rPr>
        <w:t xml:space="preserve"> if they wish to </w:t>
      </w:r>
      <w:r w:rsidR="001F42F0">
        <w:rPr>
          <w:rFonts w:eastAsia="MS Mincho"/>
          <w:bCs/>
        </w:rPr>
        <w:t xml:space="preserve">use a restrictive </w:t>
      </w:r>
      <w:r w:rsidR="00553311">
        <w:rPr>
          <w:rFonts w:eastAsia="MS Mincho"/>
          <w:bCs/>
        </w:rPr>
        <w:t>practice</w:t>
      </w:r>
      <w:r w:rsidR="001F42F0">
        <w:rPr>
          <w:rFonts w:eastAsia="MS Mincho"/>
          <w:bCs/>
        </w:rPr>
        <w:t>.</w:t>
      </w:r>
    </w:p>
    <w:p w14:paraId="236B58E7" w14:textId="77777777" w:rsidR="004D4891" w:rsidRPr="001F42F0" w:rsidRDefault="001F42F0" w:rsidP="004D4891">
      <w:pPr>
        <w:pStyle w:val="DHHSbody"/>
        <w:rPr>
          <w:rFonts w:eastAsia="MS Mincho"/>
          <w:b/>
          <w:bCs/>
        </w:rPr>
      </w:pPr>
      <w:r w:rsidRPr="001F42F0">
        <w:rPr>
          <w:rFonts w:eastAsia="MS Mincho"/>
          <w:b/>
          <w:bCs/>
        </w:rPr>
        <w:t xml:space="preserve">9. </w:t>
      </w:r>
      <w:r w:rsidR="004D4891" w:rsidRPr="001F42F0">
        <w:rPr>
          <w:rFonts w:eastAsia="MS Mincho"/>
          <w:b/>
          <w:bCs/>
        </w:rPr>
        <w:t>If a person wishes or demands to wear a mechanical restraint device, is this mechanical restraint?</w:t>
      </w:r>
    </w:p>
    <w:p w14:paraId="683E5FCC" w14:textId="3C405659" w:rsidR="004D4891" w:rsidRDefault="004D4891" w:rsidP="00BC7ED7">
      <w:pPr>
        <w:pStyle w:val="DHHSbody"/>
        <w:rPr>
          <w:rFonts w:eastAsia="MS Mincho"/>
          <w:bCs/>
        </w:rPr>
      </w:pPr>
      <w:r w:rsidRPr="004D4891">
        <w:rPr>
          <w:rFonts w:eastAsia="MS Mincho"/>
          <w:bCs/>
        </w:rPr>
        <w:t xml:space="preserve">Yes. The </w:t>
      </w:r>
      <w:r w:rsidRPr="00A93D3C">
        <w:rPr>
          <w:rFonts w:eastAsia="MS Mincho"/>
          <w:bCs/>
        </w:rPr>
        <w:t>Disability Act</w:t>
      </w:r>
      <w:r w:rsidRPr="004D4891">
        <w:rPr>
          <w:rFonts w:eastAsia="MS Mincho"/>
          <w:bCs/>
        </w:rPr>
        <w:t xml:space="preserve"> does not make a distinction about this. Refer to the </w:t>
      </w:r>
      <w:hyperlink r:id="rId23" w:history="1">
        <w:r w:rsidRPr="007F3D96">
          <w:rPr>
            <w:rStyle w:val="Hyperlink"/>
            <w:rFonts w:eastAsia="MS Mincho"/>
            <w:bCs/>
          </w:rPr>
          <w:t>definition of mechanical restraint</w:t>
        </w:r>
      </w:hyperlink>
      <w:r w:rsidRPr="004D4891">
        <w:rPr>
          <w:rFonts w:eastAsia="MS Mincho"/>
          <w:bCs/>
        </w:rPr>
        <w:t xml:space="preserve"> above.  </w:t>
      </w:r>
    </w:p>
    <w:p w14:paraId="3BEDF2B2" w14:textId="77777777" w:rsidR="00186896" w:rsidRDefault="00186896" w:rsidP="00F3122E">
      <w:pPr>
        <w:pStyle w:val="DHHSbody"/>
      </w:pPr>
    </w:p>
    <w:p w14:paraId="32846B7C" w14:textId="77777777" w:rsidR="00186896" w:rsidRDefault="00186896" w:rsidP="00F3122E">
      <w:pPr>
        <w:pStyle w:val="DHHSbody"/>
      </w:pPr>
    </w:p>
    <w:p w14:paraId="1D1C3F34" w14:textId="77777777" w:rsidR="00186896" w:rsidRDefault="00186896" w:rsidP="00F3122E">
      <w:pPr>
        <w:pStyle w:val="DHHSbody"/>
      </w:pPr>
    </w:p>
    <w:p w14:paraId="5FB1687C" w14:textId="77777777" w:rsidR="00186896" w:rsidRPr="00BA3F8D" w:rsidRDefault="00186896" w:rsidP="00F3122E">
      <w:pPr>
        <w:pStyle w:val="DHHSbody"/>
        <w:rPr>
          <w:i/>
          <w:color w:val="008950"/>
          <w:sz w:val="26"/>
          <w:szCs w:val="26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2802E3" w:rsidRPr="002802E3" w14:paraId="21EAF524" w14:textId="77777777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E9D5" w14:textId="77777777" w:rsidR="002954DE" w:rsidRDefault="002954DE" w:rsidP="002954DE">
            <w:pPr>
              <w:pStyle w:val="DHHSaccessibilitypara"/>
            </w:pPr>
            <w:r>
              <w:lastRenderedPageBreak/>
              <w:t>To receive this publication in an accessible format phone 03 9096 8427, using the National Relay Service 13 36 77 if required, or email the Restrictive Practices Authorisation Team at &lt;VictorianSeniorPractitioner@dhhs.vic.gov.au&gt;</w:t>
            </w:r>
          </w:p>
          <w:p w14:paraId="5BD67A53" w14:textId="77777777" w:rsidR="002954DE" w:rsidRDefault="002954DE" w:rsidP="002954DE">
            <w:pPr>
              <w:pStyle w:val="DHHSbody"/>
            </w:pPr>
            <w:r>
              <w:t>Authorised and published by the Victorian Government, 1 Treasury Place, Melbourne.</w:t>
            </w:r>
          </w:p>
          <w:p w14:paraId="4E1FBC36" w14:textId="77777777" w:rsidR="002954DE" w:rsidRDefault="002954DE" w:rsidP="002954DE">
            <w:pPr>
              <w:pStyle w:val="DHHSbody"/>
            </w:pPr>
            <w:r>
              <w:t>© State of Victoria, Australia, Department of Health and Human Services, June 2020.</w:t>
            </w:r>
          </w:p>
          <w:p w14:paraId="3EC18A7F" w14:textId="6F7779EC" w:rsidR="002802E3" w:rsidRPr="002954DE" w:rsidRDefault="004B7913" w:rsidP="00254F58">
            <w:pPr>
              <w:pStyle w:val="DHHSbody"/>
            </w:pPr>
            <w:r>
              <w:rPr>
                <w:szCs w:val="19"/>
              </w:rPr>
              <w:t xml:space="preserve">Available at the </w:t>
            </w:r>
            <w:hyperlink r:id="rId24" w:history="1">
              <w:r>
                <w:rPr>
                  <w:rStyle w:val="Hyperlink"/>
                </w:rPr>
                <w:t>Victorian Senior Practitioner</w:t>
              </w:r>
              <w:r>
                <w:rPr>
                  <w:rStyle w:val="Hyperlink"/>
                  <w:szCs w:val="19"/>
                </w:rPr>
                <w:t xml:space="preserve"> website</w:t>
              </w:r>
            </w:hyperlink>
            <w:r>
              <w:rPr>
                <w:szCs w:val="19"/>
              </w:rPr>
              <w:t xml:space="preserve"> &lt;</w:t>
            </w:r>
            <w:r>
              <w:t>https://www.dhhs.vic.gov.au/victorian-senior-practitioner</w:t>
            </w:r>
            <w:r>
              <w:rPr>
                <w:szCs w:val="19"/>
              </w:rPr>
              <w:t>&gt;</w:t>
            </w:r>
          </w:p>
        </w:tc>
      </w:tr>
    </w:tbl>
    <w:p w14:paraId="4DCB3919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E50B1" w14:textId="77777777" w:rsidR="00642DE5" w:rsidRDefault="00642DE5">
      <w:r>
        <w:separator/>
      </w:r>
    </w:p>
  </w:endnote>
  <w:endnote w:type="continuationSeparator" w:id="0">
    <w:p w14:paraId="16855ADB" w14:textId="77777777" w:rsidR="00642DE5" w:rsidRDefault="006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54E08" w14:textId="77777777" w:rsidR="003E049B" w:rsidRDefault="003E0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E59D" w14:textId="77777777" w:rsidR="009D70A4" w:rsidRPr="00F65AA9" w:rsidRDefault="009B29EE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7E4B236F" wp14:editId="239B4E5D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3" name="Picture 3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FB52" w14:textId="77777777" w:rsidR="003E049B" w:rsidRDefault="003E049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865EF" w14:textId="7A9D577A" w:rsidR="009D70A4" w:rsidRPr="00A11421" w:rsidRDefault="00393438" w:rsidP="0051568D">
    <w:pPr>
      <w:pStyle w:val="DHHSfooter"/>
    </w:pPr>
    <w:r w:rsidRPr="00393438">
      <w:t xml:space="preserve">Quick reference guide to common questions about restrictive </w:t>
    </w:r>
    <w:r w:rsidR="00553311">
      <w:t>practices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DB265A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8CA5" w14:textId="77777777" w:rsidR="00642DE5" w:rsidRDefault="00642DE5" w:rsidP="002862F1">
      <w:pPr>
        <w:spacing w:before="120"/>
      </w:pPr>
      <w:r>
        <w:separator/>
      </w:r>
    </w:p>
  </w:footnote>
  <w:footnote w:type="continuationSeparator" w:id="0">
    <w:p w14:paraId="3BA9B6DD" w14:textId="77777777" w:rsidR="00642DE5" w:rsidRDefault="0064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85176" w14:textId="77777777" w:rsidR="003E049B" w:rsidRDefault="003E0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ADC97" w14:textId="77777777" w:rsidR="003E049B" w:rsidRDefault="003E0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2612" w14:textId="77777777" w:rsidR="003E049B" w:rsidRDefault="003E04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2E0C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16177"/>
    <w:multiLevelType w:val="hybridMultilevel"/>
    <w:tmpl w:val="1178803A"/>
    <w:lvl w:ilvl="0" w:tplc="5B8A54D6">
      <w:numFmt w:val="bullet"/>
      <w:lvlText w:val="•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285F6F14"/>
    <w:multiLevelType w:val="hybridMultilevel"/>
    <w:tmpl w:val="4C3855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BC"/>
    <w:rsid w:val="00002057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562E2"/>
    <w:rsid w:val="00161939"/>
    <w:rsid w:val="00161AA0"/>
    <w:rsid w:val="00162093"/>
    <w:rsid w:val="00165E2C"/>
    <w:rsid w:val="001771DD"/>
    <w:rsid w:val="00177995"/>
    <w:rsid w:val="00177A8C"/>
    <w:rsid w:val="0018664E"/>
    <w:rsid w:val="00186896"/>
    <w:rsid w:val="00186B33"/>
    <w:rsid w:val="00192F9D"/>
    <w:rsid w:val="00196EB8"/>
    <w:rsid w:val="001979FF"/>
    <w:rsid w:val="00197B17"/>
    <w:rsid w:val="001A3ACE"/>
    <w:rsid w:val="001C277E"/>
    <w:rsid w:val="001C2A72"/>
    <w:rsid w:val="001D0342"/>
    <w:rsid w:val="001D0B75"/>
    <w:rsid w:val="001D3C09"/>
    <w:rsid w:val="001D44E8"/>
    <w:rsid w:val="001D60EC"/>
    <w:rsid w:val="001E44DF"/>
    <w:rsid w:val="001E68A5"/>
    <w:rsid w:val="001E6BB0"/>
    <w:rsid w:val="001F3826"/>
    <w:rsid w:val="001F42F0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0ECE"/>
    <w:rsid w:val="002333F5"/>
    <w:rsid w:val="00233724"/>
    <w:rsid w:val="002432E1"/>
    <w:rsid w:val="00246C5E"/>
    <w:rsid w:val="00251343"/>
    <w:rsid w:val="002549D1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4DE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1627"/>
    <w:rsid w:val="002E3100"/>
    <w:rsid w:val="002E6C95"/>
    <w:rsid w:val="002E7C36"/>
    <w:rsid w:val="002F5F31"/>
    <w:rsid w:val="002F5F46"/>
    <w:rsid w:val="00302216"/>
    <w:rsid w:val="00303E53"/>
    <w:rsid w:val="00306A85"/>
    <w:rsid w:val="00306E5F"/>
    <w:rsid w:val="00307E14"/>
    <w:rsid w:val="00314054"/>
    <w:rsid w:val="00316F27"/>
    <w:rsid w:val="00327870"/>
    <w:rsid w:val="00331C7C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3438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44C6"/>
    <w:rsid w:val="003D6475"/>
    <w:rsid w:val="003D68BC"/>
    <w:rsid w:val="003E049B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22EB"/>
    <w:rsid w:val="0047372D"/>
    <w:rsid w:val="004743DD"/>
    <w:rsid w:val="00474CEA"/>
    <w:rsid w:val="00483968"/>
    <w:rsid w:val="00484A92"/>
    <w:rsid w:val="00484C00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7913"/>
    <w:rsid w:val="004C6EEE"/>
    <w:rsid w:val="004C702B"/>
    <w:rsid w:val="004D016B"/>
    <w:rsid w:val="004D1B22"/>
    <w:rsid w:val="004D36F2"/>
    <w:rsid w:val="004D489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5372"/>
    <w:rsid w:val="00547A95"/>
    <w:rsid w:val="00553311"/>
    <w:rsid w:val="00572031"/>
    <w:rsid w:val="00576E84"/>
    <w:rsid w:val="005771DC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2B20"/>
    <w:rsid w:val="00605908"/>
    <w:rsid w:val="00610D7C"/>
    <w:rsid w:val="00613414"/>
    <w:rsid w:val="0062408D"/>
    <w:rsid w:val="006240CC"/>
    <w:rsid w:val="00627DA7"/>
    <w:rsid w:val="006358B4"/>
    <w:rsid w:val="00637D21"/>
    <w:rsid w:val="006419AA"/>
    <w:rsid w:val="00642DE5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94C4B"/>
    <w:rsid w:val="006A18C2"/>
    <w:rsid w:val="006B077C"/>
    <w:rsid w:val="006B6803"/>
    <w:rsid w:val="006D2A3F"/>
    <w:rsid w:val="006D2FBC"/>
    <w:rsid w:val="006E138B"/>
    <w:rsid w:val="006F1FDC"/>
    <w:rsid w:val="007013EF"/>
    <w:rsid w:val="00704E15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3D9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0018"/>
    <w:rsid w:val="008338A2"/>
    <w:rsid w:val="00841AA9"/>
    <w:rsid w:val="00850D51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2AEB"/>
    <w:rsid w:val="00945B1F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29EE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3D3C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1A16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84A29"/>
    <w:rsid w:val="00B90729"/>
    <w:rsid w:val="00B907DA"/>
    <w:rsid w:val="00B950BC"/>
    <w:rsid w:val="00B9714C"/>
    <w:rsid w:val="00BA3F8D"/>
    <w:rsid w:val="00BA4FA5"/>
    <w:rsid w:val="00BB7A10"/>
    <w:rsid w:val="00BC7468"/>
    <w:rsid w:val="00BC7D4F"/>
    <w:rsid w:val="00BC7ED7"/>
    <w:rsid w:val="00BD2850"/>
    <w:rsid w:val="00BE28D2"/>
    <w:rsid w:val="00BE4A64"/>
    <w:rsid w:val="00BF3C22"/>
    <w:rsid w:val="00BF7F58"/>
    <w:rsid w:val="00C01381"/>
    <w:rsid w:val="00C04670"/>
    <w:rsid w:val="00C06A07"/>
    <w:rsid w:val="00C079B8"/>
    <w:rsid w:val="00C123EA"/>
    <w:rsid w:val="00C12A49"/>
    <w:rsid w:val="00C133EE"/>
    <w:rsid w:val="00C25AD4"/>
    <w:rsid w:val="00C27DE9"/>
    <w:rsid w:val="00C33388"/>
    <w:rsid w:val="00C35484"/>
    <w:rsid w:val="00C4173A"/>
    <w:rsid w:val="00C47AED"/>
    <w:rsid w:val="00C602FF"/>
    <w:rsid w:val="00C61174"/>
    <w:rsid w:val="00C6148F"/>
    <w:rsid w:val="00C62F7A"/>
    <w:rsid w:val="00C63B9C"/>
    <w:rsid w:val="00C6682F"/>
    <w:rsid w:val="00C7275E"/>
    <w:rsid w:val="00C74C5D"/>
    <w:rsid w:val="00C8071B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E0D51"/>
    <w:rsid w:val="00CF2F50"/>
    <w:rsid w:val="00D02919"/>
    <w:rsid w:val="00D04C61"/>
    <w:rsid w:val="00D05B8D"/>
    <w:rsid w:val="00D065A2"/>
    <w:rsid w:val="00D07F00"/>
    <w:rsid w:val="00D17B72"/>
    <w:rsid w:val="00D3090A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2619"/>
    <w:rsid w:val="00DA4239"/>
    <w:rsid w:val="00DB0B61"/>
    <w:rsid w:val="00DB265A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77E"/>
    <w:rsid w:val="00DF68C7"/>
    <w:rsid w:val="00DF731A"/>
    <w:rsid w:val="00E170DC"/>
    <w:rsid w:val="00E2467B"/>
    <w:rsid w:val="00E2517B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2AB9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174B"/>
    <w:rsid w:val="00F72C2C"/>
    <w:rsid w:val="00F76CAB"/>
    <w:rsid w:val="00F772C6"/>
    <w:rsid w:val="00F815B5"/>
    <w:rsid w:val="00F85195"/>
    <w:rsid w:val="00F938BA"/>
    <w:rsid w:val="00FA2C46"/>
    <w:rsid w:val="00FA3525"/>
    <w:rsid w:val="00FA581F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A9A0E7"/>
  <w15:docId w15:val="{A556ED8D-3579-482F-9F3C-FB2759B5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484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0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3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3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311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11"/>
    <w:rPr>
      <w:rFonts w:ascii="Cambria" w:hAnsi="Cambri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dhs.vic.gov.au/about-the-department/our-organisation/organisational-structure/office-of-professional-practice/practice-resources-opp/practice-resources-disability/reducing-the-use-of-restrictive-clothing-as-mechanical-restrain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egislation.gov.au/Details/F2018L00632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austlii.edu.au/au/legis/vic/consol_act/da2006121/s3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hs.vic.gov.au/about-the-department/our-organisation/organisational-structure/our-groups/office-of-professional-practice/practice-resources-opp/practice-resources-disability/restrictive-interventions" TargetMode="External"/><Relationship Id="rId20" Type="http://schemas.openxmlformats.org/officeDocument/2006/relationships/hyperlink" Target="https://www.legislation.gov.au/Details/F2018L006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file:///C:\Users\tasha\Desktop\VSP%20work\fact%20sheets\Victorian%20Senior%20Practitioner%20websit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www.legislation.gov.au/Details/F2018L0063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legislation.gov.au/Details/F2018L0063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austlii.edu.au/au/legis/vic/consol_act/da2006121/s140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reference guide to common questions about restrictive practices – Mechanical restraint</vt:lpstr>
    </vt:vector>
  </TitlesOfParts>
  <Company>Department of Health and Human Services</Company>
  <LinksUpToDate>false</LinksUpToDate>
  <CharactersWithSpaces>7059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guide to common questions about restrictive practices – Mechanical restraint</dc:title>
  <dc:subject>Quick reference guide to common questions about restrictive practices – Mechanical restraint</dc:subject>
  <dc:creator>Victorian Senior Practitioner</dc:creator>
  <cp:lastModifiedBy>Alice York</cp:lastModifiedBy>
  <cp:revision>2</cp:revision>
  <cp:lastPrinted>2018-04-10T23:58:00Z</cp:lastPrinted>
  <dcterms:created xsi:type="dcterms:W3CDTF">2020-10-02T04:33:00Z</dcterms:created>
  <dcterms:modified xsi:type="dcterms:W3CDTF">2020-10-02T04:33:00Z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Alice.York@dhhs.vic.gov.au</vt:lpwstr>
  </property>
  <property fmtid="{D5CDD505-2E9C-101B-9397-08002B2CF9AE}" pid="6" name="MSIP_Label_efdf5488-3066-4b6c-8fea-9472b8a1f34c_SetDate">
    <vt:lpwstr>2020-10-02T04:32:48.5595638Z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27c7ded1-2290-4e17-9532-fe337ca3138d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