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B500" w14:textId="03482AC6" w:rsidR="00056EC4" w:rsidRDefault="006E253F" w:rsidP="00056EC4">
      <w:pPr>
        <w:pStyle w:val="Body"/>
      </w:pPr>
      <w:r>
        <w:rPr>
          <w:noProof/>
        </w:rPr>
        <w:drawing>
          <wp:anchor distT="0" distB="0" distL="114300" distR="114300" simplePos="0" relativeHeight="251673088" behindDoc="1" locked="1" layoutInCell="1" allowOverlap="1" wp14:anchorId="029D8DA1" wp14:editId="4014BD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0692000"/>
            <wp:effectExtent l="0" t="0" r="6985" b="0"/>
            <wp:wrapNone/>
            <wp:docPr id="8" name="Picture 8" descr="Victoria State Governmen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ctoria State Governmen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D1BB7" w14:textId="77777777" w:rsidR="0033175A" w:rsidRPr="00431F42" w:rsidRDefault="0033175A" w:rsidP="0033175A">
      <w:pPr>
        <w:pStyle w:val="Documenttitle"/>
        <w:ind w:left="4962"/>
      </w:pPr>
      <w:r w:rsidRPr="002B5071">
        <w:t xml:space="preserve">Interim </w:t>
      </w:r>
      <w:r>
        <w:t>g</w:t>
      </w:r>
      <w:r w:rsidRPr="002B5071">
        <w:t>uidelines: How to work with interpreters and translators</w:t>
      </w:r>
    </w:p>
    <w:p w14:paraId="670D0B34" w14:textId="77777777" w:rsidR="0033175A" w:rsidRPr="00A1389F" w:rsidRDefault="0033175A" w:rsidP="0033175A">
      <w:pPr>
        <w:pStyle w:val="Documentsubtitle"/>
        <w:ind w:left="4962"/>
      </w:pPr>
      <w:r w:rsidRPr="002B5071">
        <w:t>A guide to effectively using language services</w:t>
      </w:r>
    </w:p>
    <w:p w14:paraId="36665FAE" w14:textId="77777777" w:rsidR="00FE4081" w:rsidRDefault="00FE4081" w:rsidP="00FE4081">
      <w:pPr>
        <w:pStyle w:val="Body"/>
      </w:pPr>
    </w:p>
    <w:p w14:paraId="3B4B7FED" w14:textId="5A778641" w:rsidR="00FE4081" w:rsidRPr="00FE4081" w:rsidRDefault="00FE4081" w:rsidP="00FE4081">
      <w:pPr>
        <w:pStyle w:val="Body"/>
        <w:sectPr w:rsidR="00FE4081" w:rsidRPr="00FE4081" w:rsidSect="005A4575">
          <w:headerReference w:type="default" r:id="rId12"/>
          <w:type w:val="continuous"/>
          <w:pgSz w:w="11906" w:h="16838" w:code="9"/>
          <w:pgMar w:top="1134" w:right="1304" w:bottom="851" w:left="1304" w:header="680" w:footer="567" w:gutter="0"/>
          <w:cols w:space="340"/>
          <w:titlePg/>
          <w:docGrid w:linePitch="360"/>
        </w:sectPr>
      </w:pPr>
    </w:p>
    <w:p w14:paraId="38484894" w14:textId="77777777" w:rsidR="00FD26D7" w:rsidRPr="0089667D" w:rsidRDefault="00FD26D7" w:rsidP="00FD26D7">
      <w:pPr>
        <w:pStyle w:val="Body"/>
        <w:rPr>
          <w:b/>
          <w:bCs/>
          <w:color w:val="006170"/>
          <w:sz w:val="28"/>
          <w:szCs w:val="28"/>
        </w:rPr>
      </w:pPr>
      <w:r w:rsidRPr="0089667D">
        <w:rPr>
          <w:b/>
          <w:bCs/>
          <w:color w:val="006170"/>
          <w:sz w:val="28"/>
          <w:szCs w:val="28"/>
        </w:rPr>
        <w:lastRenderedPageBreak/>
        <w:t xml:space="preserve">Important information </w:t>
      </w:r>
      <w:r>
        <w:rPr>
          <w:b/>
          <w:bCs/>
          <w:color w:val="006170"/>
          <w:sz w:val="28"/>
          <w:szCs w:val="28"/>
        </w:rPr>
        <w:t>about</w:t>
      </w:r>
      <w:r w:rsidRPr="0089667D">
        <w:rPr>
          <w:b/>
          <w:bCs/>
          <w:color w:val="006170"/>
          <w:sz w:val="28"/>
          <w:szCs w:val="28"/>
        </w:rPr>
        <w:t xml:space="preserve"> the language services policy and guidelines (November 2023)</w:t>
      </w:r>
    </w:p>
    <w:p w14:paraId="48153A52" w14:textId="77777777" w:rsidR="00FD26D7" w:rsidRPr="0089667D" w:rsidRDefault="00FD26D7" w:rsidP="00FD26D7">
      <w:pPr>
        <w:pStyle w:val="Body"/>
        <w:rPr>
          <w:b/>
          <w:bCs/>
          <w:color w:val="006170"/>
          <w:sz w:val="24"/>
          <w:szCs w:val="24"/>
        </w:rPr>
      </w:pPr>
      <w:r w:rsidRPr="0089667D">
        <w:rPr>
          <w:b/>
          <w:bCs/>
          <w:color w:val="006170"/>
          <w:sz w:val="24"/>
          <w:szCs w:val="24"/>
        </w:rPr>
        <w:t>Please read this note before reading this document.</w:t>
      </w:r>
    </w:p>
    <w:p w14:paraId="716B37F3" w14:textId="77777777" w:rsidR="00FD26D7" w:rsidRPr="002F5E26" w:rsidRDefault="00FD26D7" w:rsidP="00FD26D7">
      <w:pPr>
        <w:pStyle w:val="Body"/>
        <w:rPr>
          <w:color w:val="006170"/>
          <w:sz w:val="24"/>
          <w:szCs w:val="24"/>
        </w:rPr>
      </w:pPr>
      <w:r w:rsidRPr="002F5E26">
        <w:rPr>
          <w:color w:val="006170"/>
          <w:sz w:val="24"/>
          <w:szCs w:val="24"/>
        </w:rPr>
        <w:t xml:space="preserve">The Victorian Government is currently revising the language services policy and accompanying guidelines. </w:t>
      </w:r>
    </w:p>
    <w:p w14:paraId="394E4F27" w14:textId="77777777" w:rsidR="00FD26D7" w:rsidRPr="002F5E26" w:rsidRDefault="00FD26D7" w:rsidP="00FD26D7">
      <w:pPr>
        <w:pStyle w:val="Body"/>
        <w:rPr>
          <w:color w:val="006170"/>
          <w:sz w:val="24"/>
          <w:szCs w:val="24"/>
        </w:rPr>
      </w:pPr>
      <w:r w:rsidRPr="002F5E26">
        <w:rPr>
          <w:color w:val="006170"/>
          <w:sz w:val="24"/>
          <w:szCs w:val="24"/>
        </w:rPr>
        <w:t>The following remains current in this document:</w:t>
      </w:r>
    </w:p>
    <w:p w14:paraId="0C3F57F9" w14:textId="77777777" w:rsidR="00FD26D7" w:rsidRPr="002F5E26" w:rsidRDefault="00FD26D7" w:rsidP="00FD26D7">
      <w:pPr>
        <w:pStyle w:val="Bullet1"/>
        <w:rPr>
          <w:color w:val="006170"/>
          <w:sz w:val="24"/>
          <w:szCs w:val="24"/>
        </w:rPr>
      </w:pPr>
      <w:r w:rsidRPr="002F5E26">
        <w:rPr>
          <w:color w:val="006170"/>
          <w:sz w:val="24"/>
          <w:szCs w:val="24"/>
        </w:rPr>
        <w:t>its strategic intent</w:t>
      </w:r>
    </w:p>
    <w:p w14:paraId="751EA5E6" w14:textId="77777777" w:rsidR="00FD26D7" w:rsidRPr="002F5E26" w:rsidRDefault="00FD26D7" w:rsidP="00FD26D7">
      <w:pPr>
        <w:pStyle w:val="Bullet1"/>
        <w:rPr>
          <w:color w:val="006170"/>
          <w:sz w:val="24"/>
          <w:szCs w:val="24"/>
        </w:rPr>
      </w:pPr>
      <w:r w:rsidRPr="002F5E26">
        <w:rPr>
          <w:color w:val="006170"/>
          <w:sz w:val="24"/>
          <w:szCs w:val="24"/>
        </w:rPr>
        <w:t>general advice on how departmental staff and funded organisations should use language services.</w:t>
      </w:r>
    </w:p>
    <w:p w14:paraId="33CF5C78" w14:textId="77777777" w:rsidR="00FD26D7" w:rsidRDefault="00FD26D7" w:rsidP="00FD26D7">
      <w:pPr>
        <w:pStyle w:val="Body"/>
        <w:spacing w:before="120"/>
        <w:rPr>
          <w:color w:val="006170"/>
          <w:sz w:val="24"/>
          <w:szCs w:val="24"/>
        </w:rPr>
      </w:pPr>
      <w:r>
        <w:rPr>
          <w:color w:val="006170"/>
          <w:sz w:val="24"/>
          <w:szCs w:val="24"/>
        </w:rPr>
        <w:t>D</w:t>
      </w:r>
      <w:r w:rsidRPr="00A73D41">
        <w:rPr>
          <w:color w:val="006170"/>
          <w:sz w:val="24"/>
          <w:szCs w:val="24"/>
        </w:rPr>
        <w:t>etailed advice on using language services</w:t>
      </w:r>
      <w:r>
        <w:rPr>
          <w:color w:val="006170"/>
          <w:sz w:val="24"/>
          <w:szCs w:val="24"/>
        </w:rPr>
        <w:t xml:space="preserve"> </w:t>
      </w:r>
      <w:r w:rsidRPr="002F5E26">
        <w:rPr>
          <w:color w:val="006170"/>
          <w:sz w:val="24"/>
          <w:szCs w:val="24"/>
        </w:rPr>
        <w:t>may be unavailable or no longer up to date</w:t>
      </w:r>
      <w:r>
        <w:rPr>
          <w:color w:val="006170"/>
          <w:sz w:val="24"/>
          <w:szCs w:val="24"/>
        </w:rPr>
        <w:t>.</w:t>
      </w:r>
    </w:p>
    <w:p w14:paraId="351B416F" w14:textId="77777777" w:rsidR="00FD26D7" w:rsidRPr="002F5E26" w:rsidRDefault="00FD26D7" w:rsidP="00FD26D7">
      <w:pPr>
        <w:pStyle w:val="Body"/>
        <w:spacing w:before="120"/>
        <w:rPr>
          <w:color w:val="006170"/>
          <w:sz w:val="24"/>
          <w:szCs w:val="24"/>
        </w:rPr>
      </w:pPr>
      <w:r w:rsidRPr="002F5E26">
        <w:rPr>
          <w:color w:val="006170"/>
          <w:sz w:val="24"/>
          <w:szCs w:val="24"/>
        </w:rPr>
        <w:t>Please contact your department or agency’s procurement team for further:</w:t>
      </w:r>
    </w:p>
    <w:p w14:paraId="71AA10FE" w14:textId="77777777" w:rsidR="00FD26D7" w:rsidRPr="002F5E26" w:rsidRDefault="00FD26D7" w:rsidP="00FD26D7">
      <w:pPr>
        <w:pStyle w:val="Bullet1"/>
        <w:rPr>
          <w:color w:val="006170"/>
          <w:sz w:val="24"/>
          <w:szCs w:val="24"/>
        </w:rPr>
      </w:pPr>
      <w:r w:rsidRPr="002F5E26">
        <w:rPr>
          <w:color w:val="006170"/>
          <w:sz w:val="24"/>
          <w:szCs w:val="24"/>
        </w:rPr>
        <w:t>information about using language services</w:t>
      </w:r>
    </w:p>
    <w:p w14:paraId="245AE007" w14:textId="77777777" w:rsidR="00FD26D7" w:rsidRPr="002F5E26" w:rsidRDefault="00FD26D7" w:rsidP="00FD26D7">
      <w:pPr>
        <w:pStyle w:val="Bullet1"/>
        <w:rPr>
          <w:color w:val="006170"/>
          <w:sz w:val="24"/>
          <w:szCs w:val="24"/>
        </w:rPr>
      </w:pPr>
      <w:r w:rsidRPr="002F5E26">
        <w:rPr>
          <w:color w:val="006170"/>
          <w:sz w:val="24"/>
          <w:szCs w:val="24"/>
        </w:rPr>
        <w:t>advice on engaging a service provider.</w:t>
      </w:r>
    </w:p>
    <w:p w14:paraId="2BC12DF4" w14:textId="77777777" w:rsidR="007C1128" w:rsidRPr="007C1128" w:rsidRDefault="007C1128" w:rsidP="007C1128">
      <w:pPr>
        <w:pStyle w:val="Body"/>
        <w:spacing w:before="600"/>
        <w:rPr>
          <w:b/>
          <w:bCs/>
          <w:bdr w:val="none" w:sz="0" w:space="0" w:color="auto" w:frame="1"/>
        </w:rPr>
      </w:pPr>
      <w:r w:rsidRPr="007C1128">
        <w:rPr>
          <w:b/>
          <w:bCs/>
          <w:bdr w:val="none" w:sz="0" w:space="0" w:color="auto" w:frame="1"/>
        </w:rPr>
        <w:t>Terminology</w:t>
      </w:r>
    </w:p>
    <w:p w14:paraId="4DF3BB03" w14:textId="76B62925" w:rsidR="007C1128" w:rsidRDefault="007C1128" w:rsidP="007C1128">
      <w:pPr>
        <w:pStyle w:val="Body"/>
        <w:rPr>
          <w:bdr w:val="none" w:sz="0" w:space="0" w:color="auto" w:frame="1"/>
        </w:rPr>
      </w:pPr>
      <w:r w:rsidRPr="007C1128">
        <w:rPr>
          <w:bdr w:val="none" w:sz="0" w:space="0" w:color="auto" w:frame="1"/>
        </w:rPr>
        <w:t>We have used</w:t>
      </w:r>
      <w:r>
        <w:rPr>
          <w:bdr w:val="none" w:sz="0" w:space="0" w:color="auto" w:frame="1"/>
        </w:rPr>
        <w:t xml:space="preserve"> the</w:t>
      </w:r>
      <w:r w:rsidRPr="007C1128">
        <w:rPr>
          <w:bdr w:val="none" w:sz="0" w:space="0" w:color="auto" w:frame="1"/>
        </w:rPr>
        <w:t xml:space="preserve"> terminology ‘Deaf’ noting that many Deaf people, particularly those who use Auslan, consider themselves to be part of the Deaf community</w:t>
      </w:r>
      <w:r>
        <w:rPr>
          <w:bdr w:val="none" w:sz="0" w:space="0" w:color="auto" w:frame="1"/>
        </w:rPr>
        <w:t>. H</w:t>
      </w:r>
      <w:r w:rsidRPr="007C1128">
        <w:rPr>
          <w:bdr w:val="none" w:sz="0" w:space="0" w:color="auto" w:frame="1"/>
        </w:rPr>
        <w:t>owever</w:t>
      </w:r>
      <w:r w:rsidR="0027491E">
        <w:rPr>
          <w:bdr w:val="none" w:sz="0" w:space="0" w:color="auto" w:frame="1"/>
        </w:rPr>
        <w:t>,</w:t>
      </w:r>
      <w:r w:rsidRPr="007C1128">
        <w:rPr>
          <w:bdr w:val="none" w:sz="0" w:space="0" w:color="auto" w:frame="1"/>
        </w:rPr>
        <w:t xml:space="preserve"> we note not all people who are deaf identify as being part of the Deaf community.</w:t>
      </w:r>
    </w:p>
    <w:p w14:paraId="29A3D404" w14:textId="207DD4D2" w:rsidR="00BC110A" w:rsidRDefault="00BC110A" w:rsidP="007C1128">
      <w:pPr>
        <w:pStyle w:val="Accessibilitypara"/>
        <w:spacing w:before="1000"/>
        <w:rPr>
          <w:sz w:val="20"/>
          <w:szCs w:val="20"/>
          <w:lang w:eastAsia="en-AU"/>
        </w:rPr>
      </w:pPr>
      <w:r>
        <w:rPr>
          <w:bdr w:val="none" w:sz="0" w:space="0" w:color="auto" w:frame="1"/>
        </w:rPr>
        <w:t xml:space="preserve">To receive this </w:t>
      </w:r>
      <w:r w:rsidR="00172AF1">
        <w:rPr>
          <w:bdr w:val="none" w:sz="0" w:space="0" w:color="auto" w:frame="1"/>
        </w:rPr>
        <w:t>document</w:t>
      </w:r>
      <w:r>
        <w:rPr>
          <w:bdr w:val="none" w:sz="0" w:space="0" w:color="auto" w:frame="1"/>
        </w:rPr>
        <w:t xml:space="preserve"> in an</w:t>
      </w:r>
      <w:r w:rsidR="00CC355D">
        <w:rPr>
          <w:bdr w:val="none" w:sz="0" w:space="0" w:color="auto" w:frame="1"/>
        </w:rPr>
        <w:t xml:space="preserve">other </w:t>
      </w:r>
      <w:r>
        <w:rPr>
          <w:bdr w:val="none" w:sz="0" w:space="0" w:color="auto" w:frame="1"/>
        </w:rPr>
        <w:t>format</w:t>
      </w:r>
      <w:r w:rsidR="00CC355D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email the Department of Health’s </w:t>
      </w:r>
      <w:r w:rsidRPr="00BB4116">
        <w:rPr>
          <w:bdr w:val="none" w:sz="0" w:space="0" w:color="auto" w:frame="1"/>
        </w:rPr>
        <w:t>Diversity</w:t>
      </w:r>
      <w:r>
        <w:rPr>
          <w:bdr w:val="none" w:sz="0" w:space="0" w:color="auto" w:frame="1"/>
        </w:rPr>
        <w:t xml:space="preserve"> and Access </w:t>
      </w:r>
      <w:r w:rsidRPr="00BB4116">
        <w:rPr>
          <w:rFonts w:cs="Arial"/>
          <w:bdr w:val="none" w:sz="0" w:space="0" w:color="auto" w:frame="1"/>
        </w:rPr>
        <w:t>team </w:t>
      </w:r>
      <w:hyperlink r:id="rId13" w:history="1">
        <w:r w:rsidRPr="00BB4116">
          <w:rPr>
            <w:rStyle w:val="Hyperlink"/>
            <w:rFonts w:cs="Arial"/>
            <w:color w:val="0563C1"/>
            <w:bdr w:val="none" w:sz="0" w:space="0" w:color="auto" w:frame="1"/>
          </w:rPr>
          <w:t>diversity@health.vic.gov.au</w:t>
        </w:r>
      </w:hyperlink>
      <w:r w:rsidRPr="00BB4116">
        <w:rPr>
          <w:rFonts w:cs="Arial"/>
          <w:bdr w:val="none" w:sz="0" w:space="0" w:color="auto" w:frame="1"/>
        </w:rPr>
        <w:t> or the Department of Families, Fairness and Housing’s Language Services and Workforce team </w:t>
      </w:r>
      <w:hyperlink r:id="rId14" w:history="1">
        <w:r w:rsidR="006C4631" w:rsidRPr="002415B4">
          <w:rPr>
            <w:rStyle w:val="Hyperlink"/>
            <w:rFonts w:cs="Arial"/>
            <w:bdr w:val="none" w:sz="0" w:space="0" w:color="auto" w:frame="1"/>
          </w:rPr>
          <w:t>languages@dffh.vic.gov.au</w:t>
        </w:r>
      </w:hyperlink>
      <w:r w:rsidRPr="00BB4116">
        <w:rPr>
          <w:rFonts w:cs="Arial"/>
          <w:bdr w:val="none" w:sz="0" w:space="0" w:color="auto" w:frame="1"/>
        </w:rPr>
        <w:t>.</w:t>
      </w:r>
    </w:p>
    <w:p w14:paraId="663AC208" w14:textId="77777777" w:rsidR="00BC110A" w:rsidRPr="006A755D" w:rsidRDefault="00BC110A" w:rsidP="00BB4116">
      <w:pPr>
        <w:pStyle w:val="Imprint"/>
      </w:pPr>
      <w:r w:rsidRPr="006A755D">
        <w:t>Authorised and published by the Victorian Government, 1 Treasury Place, Melbourne.</w:t>
      </w:r>
    </w:p>
    <w:p w14:paraId="77329B0C" w14:textId="77777777" w:rsidR="00BC110A" w:rsidRPr="006A755D" w:rsidRDefault="00BC110A" w:rsidP="00BB4116">
      <w:pPr>
        <w:pStyle w:val="Imprint"/>
      </w:pPr>
      <w:r w:rsidRPr="006A755D">
        <w:t xml:space="preserve">© State of Victoria, </w:t>
      </w:r>
      <w:r>
        <w:t>Department of Health and Department of Families, Fairness and Housing, November 2023</w:t>
      </w:r>
      <w:r w:rsidRPr="006A755D">
        <w:t>.</w:t>
      </w:r>
    </w:p>
    <w:p w14:paraId="6B731C02" w14:textId="77777777" w:rsidR="00BC110A" w:rsidRPr="00172AF1" w:rsidRDefault="00BC110A" w:rsidP="00BB4116">
      <w:pPr>
        <w:pStyle w:val="Imprint"/>
      </w:pPr>
      <w:r w:rsidRPr="00172AF1">
        <w:rPr>
          <w:bdr w:val="none" w:sz="0" w:space="0" w:color="auto" w:frame="1"/>
          <w:shd w:val="clear" w:color="auto" w:fill="FFFFFF"/>
        </w:rPr>
        <w:t>ISBN 978-1-76130-428-6 (pdf/online/MS word)</w:t>
      </w:r>
    </w:p>
    <w:p w14:paraId="3A067449" w14:textId="39B76122" w:rsidR="00BC110A" w:rsidRPr="00BB4116" w:rsidRDefault="00BC110A" w:rsidP="00BB4116">
      <w:pPr>
        <w:pStyle w:val="Imprint"/>
      </w:pPr>
      <w:r w:rsidRPr="00BB4116">
        <w:t xml:space="preserve">Available </w:t>
      </w:r>
      <w:r w:rsidR="00CC383D">
        <w:t>at</w:t>
      </w:r>
      <w:r w:rsidRPr="00BB4116">
        <w:t xml:space="preserve">: </w:t>
      </w:r>
    </w:p>
    <w:p w14:paraId="24A7DC3A" w14:textId="42841201" w:rsidR="00BC110A" w:rsidRPr="00BB4116" w:rsidRDefault="00BC110A">
      <w:pPr>
        <w:pStyle w:val="Bullet1"/>
        <w:rPr>
          <w:sz w:val="20"/>
        </w:rPr>
      </w:pPr>
      <w:r w:rsidRPr="00BB4116">
        <w:rPr>
          <w:sz w:val="20"/>
        </w:rPr>
        <w:t xml:space="preserve">the </w:t>
      </w:r>
      <w:hyperlink r:id="rId15" w:history="1">
        <w:r w:rsidRPr="00BB4116">
          <w:rPr>
            <w:rStyle w:val="Hyperlink"/>
            <w:sz w:val="20"/>
          </w:rPr>
          <w:t>Department of Health website</w:t>
        </w:r>
      </w:hyperlink>
      <w:r w:rsidRPr="00BB4116">
        <w:rPr>
          <w:sz w:val="20"/>
        </w:rPr>
        <w:t xml:space="preserve"> </w:t>
      </w:r>
      <w:r w:rsidR="00CC383D">
        <w:rPr>
          <w:sz w:val="20"/>
        </w:rPr>
        <w:br/>
      </w:r>
      <w:r w:rsidRPr="00BB4116">
        <w:rPr>
          <w:sz w:val="20"/>
        </w:rPr>
        <w:t>https://www.health.vic.gov.au/publications/language-services-policy</w:t>
      </w:r>
    </w:p>
    <w:p w14:paraId="56B87064" w14:textId="77777777" w:rsidR="00BC110A" w:rsidRPr="00BB4116" w:rsidRDefault="00BC110A">
      <w:pPr>
        <w:pStyle w:val="Bullet1"/>
        <w:rPr>
          <w:sz w:val="20"/>
        </w:rPr>
      </w:pPr>
      <w:r w:rsidRPr="00BB4116">
        <w:rPr>
          <w:sz w:val="20"/>
        </w:rPr>
        <w:t xml:space="preserve">the </w:t>
      </w:r>
      <w:hyperlink r:id="rId16" w:history="1">
        <w:r w:rsidRPr="00BB4116">
          <w:rPr>
            <w:rStyle w:val="Hyperlink"/>
            <w:sz w:val="20"/>
          </w:rPr>
          <w:t>Department of Families, Fairness and Housing website</w:t>
        </w:r>
      </w:hyperlink>
      <w:r w:rsidRPr="00BB4116">
        <w:rPr>
          <w:sz w:val="20"/>
        </w:rPr>
        <w:t xml:space="preserve"> https://www.dffh.vic.gov.au/publications/language-services-policy.</w:t>
      </w:r>
    </w:p>
    <w:p w14:paraId="7CBC8590" w14:textId="14B91238" w:rsidR="00BC110A" w:rsidRPr="003072C6" w:rsidRDefault="00BC110A">
      <w:r>
        <w:t>(</w:t>
      </w:r>
      <w:r w:rsidR="00172AF1">
        <w:t>2305481)</w:t>
      </w:r>
    </w:p>
    <w:p w14:paraId="4838EA76" w14:textId="77777777" w:rsidR="00160E1D" w:rsidRPr="00F74D40" w:rsidRDefault="00160E1D" w:rsidP="00F74D40">
      <w:pPr>
        <w:pStyle w:val="Body"/>
      </w:pPr>
      <w:r w:rsidRPr="00F74D40">
        <w:br w:type="page"/>
      </w:r>
    </w:p>
    <w:p w14:paraId="0F22BFE5" w14:textId="1452D16C" w:rsidR="00331188" w:rsidRPr="00711B0C" w:rsidRDefault="00331188" w:rsidP="00A741E7">
      <w:pPr>
        <w:pStyle w:val="TOCheadingreport"/>
      </w:pPr>
      <w:r w:rsidRPr="00711B0C">
        <w:lastRenderedPageBreak/>
        <w:t>Contents</w:t>
      </w:r>
    </w:p>
    <w:p w14:paraId="32FA104D" w14:textId="2B301593" w:rsidR="00D63AE2" w:rsidRDefault="00331188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rPr>
          <w:noProof w:val="0"/>
          <w:color w:val="87189D"/>
          <w:sz w:val="24"/>
        </w:rPr>
        <w:fldChar w:fldCharType="begin"/>
      </w:r>
      <w:r>
        <w:rPr>
          <w:noProof w:val="0"/>
        </w:rPr>
        <w:instrText xml:space="preserve"> TOC \o "1-3" \h \z \u </w:instrText>
      </w:r>
      <w:r>
        <w:rPr>
          <w:noProof w:val="0"/>
          <w:color w:val="87189D"/>
          <w:sz w:val="24"/>
        </w:rPr>
        <w:fldChar w:fldCharType="separate"/>
      </w:r>
      <w:hyperlink w:anchor="_Toc151721841" w:history="1">
        <w:r w:rsidR="00D63AE2" w:rsidRPr="0068113B">
          <w:rPr>
            <w:rStyle w:val="Hyperlink"/>
          </w:rPr>
          <w:t>Overview</w:t>
        </w:r>
        <w:r w:rsidR="00D63AE2">
          <w:rPr>
            <w:webHidden/>
          </w:rPr>
          <w:tab/>
        </w:r>
        <w:r w:rsidR="00D63AE2">
          <w:rPr>
            <w:webHidden/>
          </w:rPr>
          <w:fldChar w:fldCharType="begin"/>
        </w:r>
        <w:r w:rsidR="00D63AE2">
          <w:rPr>
            <w:webHidden/>
          </w:rPr>
          <w:instrText xml:space="preserve"> PAGEREF _Toc151721841 \h </w:instrText>
        </w:r>
        <w:r w:rsidR="00D63AE2">
          <w:rPr>
            <w:webHidden/>
          </w:rPr>
        </w:r>
        <w:r w:rsidR="00D63AE2">
          <w:rPr>
            <w:webHidden/>
          </w:rPr>
          <w:fldChar w:fldCharType="separate"/>
        </w:r>
        <w:r w:rsidR="00D63AE2">
          <w:rPr>
            <w:webHidden/>
          </w:rPr>
          <w:t>4</w:t>
        </w:r>
        <w:r w:rsidR="00D63AE2">
          <w:rPr>
            <w:webHidden/>
          </w:rPr>
          <w:fldChar w:fldCharType="end"/>
        </w:r>
      </w:hyperlink>
    </w:p>
    <w:p w14:paraId="3E501F0F" w14:textId="6ED02AA4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42" w:history="1">
        <w:r w:rsidRPr="0068113B">
          <w:rPr>
            <w:rStyle w:val="Hyperlink"/>
          </w:rPr>
          <w:t>Diversity responsiveness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C4480F" w14:textId="13C3C1EF" w:rsidR="00D63AE2" w:rsidRDefault="00D63AE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1721843" w:history="1">
        <w:r w:rsidRPr="0068113B">
          <w:rPr>
            <w:rStyle w:val="Hyperlink"/>
          </w:rPr>
          <w:t>Resources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F0D3779" w14:textId="351B4ECE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44" w:history="1">
        <w:r w:rsidRPr="0068113B">
          <w:rPr>
            <w:rStyle w:val="Hyperlink"/>
          </w:rPr>
          <w:t>How to embed cultural responsiveness in your service planning, design and delivery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15F680" w14:textId="72DB3810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45" w:history="1">
        <w:r w:rsidRPr="0068113B">
          <w:rPr>
            <w:rStyle w:val="Hyperlink"/>
          </w:rPr>
          <w:t>Language services policies and resources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A9E424C" w14:textId="26762E5F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46" w:history="1">
        <w:r w:rsidRPr="0068113B">
          <w:rPr>
            <w:rStyle w:val="Hyperlink"/>
          </w:rPr>
          <w:t>Find language service providers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62477C" w14:textId="2977A035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47" w:history="1">
        <w:r w:rsidRPr="0068113B">
          <w:rPr>
            <w:rStyle w:val="Hyperlink"/>
          </w:rPr>
          <w:t>Code of ethics for interpreters and translators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95D2CD9" w14:textId="2A358F2E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48" w:history="1">
        <w:r w:rsidRPr="0068113B">
          <w:rPr>
            <w:rStyle w:val="Hyperlink"/>
          </w:rPr>
          <w:t>Health Translations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68E61A4" w14:textId="5B19B650" w:rsidR="00D63AE2" w:rsidRDefault="00D63AE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1721849" w:history="1">
        <w:r w:rsidRPr="0068113B">
          <w:rPr>
            <w:rStyle w:val="Hyperlink"/>
          </w:rPr>
          <w:t>Interpreting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449E22" w14:textId="1BD757E2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50" w:history="1">
        <w:r w:rsidRPr="0068113B">
          <w:rPr>
            <w:rStyle w:val="Hyperlink"/>
          </w:rPr>
          <w:t>Before booking an interpreter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67331C0" w14:textId="4B845F0B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1" w:history="1">
        <w:r w:rsidRPr="0068113B">
          <w:rPr>
            <w:rStyle w:val="Hyperlink"/>
            <w:noProof/>
          </w:rPr>
          <w:t>Working out if you need an interpreter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C4883D2" w14:textId="0B8035B5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2" w:history="1">
        <w:r w:rsidRPr="0068113B">
          <w:rPr>
            <w:rStyle w:val="Hyperlink"/>
            <w:noProof/>
          </w:rPr>
          <w:t>Figuring out the preferred language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F5C670" w14:textId="13E28525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3" w:history="1">
        <w:r w:rsidRPr="0068113B">
          <w:rPr>
            <w:rStyle w:val="Hyperlink"/>
            <w:noProof/>
          </w:rPr>
          <w:t>What to do if the person doesn’t want an interpreter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CA848B" w14:textId="3F59C91B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4" w:history="1">
        <w:r w:rsidRPr="0068113B">
          <w:rPr>
            <w:rStyle w:val="Hyperlink"/>
            <w:noProof/>
          </w:rPr>
          <w:t>Choosing the type of interpreting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B4B7169" w14:textId="50CD9E45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5" w:history="1">
        <w:r w:rsidRPr="0068113B">
          <w:rPr>
            <w:rStyle w:val="Hyperlink"/>
            <w:noProof/>
          </w:rPr>
          <w:t>Understanding the role of family and friends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84A835D" w14:textId="078978A0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56" w:history="1">
        <w:r w:rsidRPr="0068113B">
          <w:rPr>
            <w:rStyle w:val="Hyperlink"/>
          </w:rPr>
          <w:t>Working with interpreters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9E65CC" w14:textId="2F8B55B4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7" w:history="1">
        <w:r w:rsidRPr="0068113B">
          <w:rPr>
            <w:rStyle w:val="Hyperlink"/>
            <w:noProof/>
          </w:rPr>
          <w:t>Booking an interpreter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B402E0" w14:textId="5F4B45C2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8" w:history="1">
        <w:r w:rsidRPr="0068113B">
          <w:rPr>
            <w:rStyle w:val="Hyperlink"/>
            <w:noProof/>
          </w:rPr>
          <w:t>Requests for a preferred interpreter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4DF14F4" w14:textId="5FFE9924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9" w:history="1">
        <w:r w:rsidRPr="0068113B">
          <w:rPr>
            <w:rStyle w:val="Hyperlink"/>
            <w:noProof/>
          </w:rPr>
          <w:t>Preparing for the session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D33BCB7" w14:textId="332DBFA1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60" w:history="1">
        <w:r w:rsidRPr="0068113B">
          <w:rPr>
            <w:rStyle w:val="Hyperlink"/>
            <w:noProof/>
          </w:rPr>
          <w:t>Working with Auslan interpreters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4DB9DC9" w14:textId="42D9BC18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61" w:history="1">
        <w:r w:rsidRPr="0068113B">
          <w:rPr>
            <w:rStyle w:val="Hyperlink"/>
            <w:noProof/>
          </w:rPr>
          <w:t>During the session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840F1AD" w14:textId="02459565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62" w:history="1">
        <w:r w:rsidRPr="0068113B">
          <w:rPr>
            <w:rStyle w:val="Hyperlink"/>
            <w:noProof/>
          </w:rPr>
          <w:t>Complaints and feedback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E844288" w14:textId="75D9C2C3" w:rsidR="00D63AE2" w:rsidRDefault="00D63AE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1721863" w:history="1">
        <w:r w:rsidRPr="0068113B">
          <w:rPr>
            <w:rStyle w:val="Hyperlink"/>
          </w:rPr>
          <w:t>Translation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2F9163B" w14:textId="4637812F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64" w:history="1">
        <w:r w:rsidRPr="0068113B">
          <w:rPr>
            <w:rStyle w:val="Hyperlink"/>
          </w:rPr>
          <w:t>Before translating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8D6791A" w14:textId="180FF3A4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65" w:history="1">
        <w:r w:rsidRPr="0068113B">
          <w:rPr>
            <w:rStyle w:val="Hyperlink"/>
            <w:noProof/>
          </w:rPr>
          <w:t>Preferred language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6F09F9B" w14:textId="4F7C7AFA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66" w:history="1">
        <w:r w:rsidRPr="0068113B">
          <w:rPr>
            <w:rStyle w:val="Hyperlink"/>
            <w:noProof/>
          </w:rPr>
          <w:t>Other communication options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827E0E4" w14:textId="17BA3739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67" w:history="1">
        <w:r w:rsidRPr="0068113B">
          <w:rPr>
            <w:rStyle w:val="Hyperlink"/>
            <w:noProof/>
          </w:rPr>
          <w:t>Avoiding double-up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CEB4DAA" w14:textId="48D518E6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68" w:history="1">
        <w:r w:rsidRPr="0068113B">
          <w:rPr>
            <w:rStyle w:val="Hyperlink"/>
            <w:noProof/>
          </w:rPr>
          <w:t>Writing for translation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A0F4D7E" w14:textId="24EFC8AC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69" w:history="1">
        <w:r w:rsidRPr="0068113B">
          <w:rPr>
            <w:rStyle w:val="Hyperlink"/>
          </w:rPr>
          <w:t>Arranging a translation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81CD9B4" w14:textId="518CBC7D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70" w:history="1">
        <w:r w:rsidRPr="0068113B">
          <w:rPr>
            <w:rStyle w:val="Hyperlink"/>
          </w:rPr>
          <w:t>Finalising the translation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5D89CD7" w14:textId="529A8C22" w:rsidR="00D63AE2" w:rsidRDefault="00D63AE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1721871" w:history="1">
        <w:r w:rsidRPr="0068113B">
          <w:rPr>
            <w:rStyle w:val="Hyperlink"/>
          </w:rPr>
          <w:t>Appendix: Overview of the translation process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391AF36" w14:textId="2205C4C4" w:rsidR="00331188" w:rsidRPr="003072C6" w:rsidRDefault="00331188" w:rsidP="00331188">
      <w:pPr>
        <w:pStyle w:val="TOC2"/>
        <w:sectPr w:rsidR="00331188" w:rsidRPr="003072C6" w:rsidSect="005A4575">
          <w:pgSz w:w="11906" w:h="16838"/>
          <w:pgMar w:top="1701" w:right="1304" w:bottom="1134" w:left="1304" w:header="454" w:footer="567" w:gutter="0"/>
          <w:cols w:space="720"/>
          <w:docGrid w:linePitch="360"/>
        </w:sectPr>
      </w:pPr>
      <w:r>
        <w:rPr>
          <w:b/>
          <w:noProof w:val="0"/>
        </w:rPr>
        <w:fldChar w:fldCharType="end"/>
      </w:r>
    </w:p>
    <w:p w14:paraId="05A5E143" w14:textId="0FEEA76D" w:rsidR="00331188" w:rsidRDefault="00331188" w:rsidP="00331188">
      <w:pPr>
        <w:pStyle w:val="Heading1"/>
        <w:spacing w:before="0"/>
      </w:pPr>
      <w:bookmarkStart w:id="0" w:name="_Toc151721841"/>
      <w:r>
        <w:lastRenderedPageBreak/>
        <w:t>Overview</w:t>
      </w:r>
      <w:bookmarkEnd w:id="0"/>
    </w:p>
    <w:p w14:paraId="7345BD07" w14:textId="7A07FC63" w:rsidR="0032331E" w:rsidRDefault="00331188" w:rsidP="00160E1D">
      <w:pPr>
        <w:pStyle w:val="Body"/>
      </w:pPr>
      <w:r w:rsidRPr="006A755D">
        <w:t xml:space="preserve">These guidelines for working with interpreting and translating services are a </w:t>
      </w:r>
      <w:r w:rsidR="007E1498">
        <w:t>partner resource</w:t>
      </w:r>
      <w:r w:rsidR="007E1498" w:rsidRPr="006A755D">
        <w:t xml:space="preserve"> </w:t>
      </w:r>
      <w:r w:rsidRPr="006A755D">
        <w:t xml:space="preserve">to </w:t>
      </w:r>
      <w:r w:rsidR="0032331E">
        <w:t xml:space="preserve">the </w:t>
      </w:r>
      <w:r w:rsidRPr="00BC110A">
        <w:rPr>
          <w:i/>
          <w:iCs/>
        </w:rPr>
        <w:t xml:space="preserve">Interim </w:t>
      </w:r>
      <w:r w:rsidR="0032331E">
        <w:rPr>
          <w:i/>
          <w:iCs/>
        </w:rPr>
        <w:t>l</w:t>
      </w:r>
      <w:r w:rsidRPr="00BC110A">
        <w:rPr>
          <w:i/>
          <w:iCs/>
        </w:rPr>
        <w:t xml:space="preserve">anguage </w:t>
      </w:r>
      <w:r w:rsidR="0032331E">
        <w:rPr>
          <w:i/>
          <w:iCs/>
        </w:rPr>
        <w:t>s</w:t>
      </w:r>
      <w:r w:rsidRPr="00BC110A">
        <w:rPr>
          <w:i/>
          <w:iCs/>
        </w:rPr>
        <w:t xml:space="preserve">ervices </w:t>
      </w:r>
      <w:r w:rsidR="0032331E">
        <w:rPr>
          <w:i/>
          <w:iCs/>
        </w:rPr>
        <w:t>p</w:t>
      </w:r>
      <w:r w:rsidRPr="00BC110A">
        <w:rPr>
          <w:i/>
          <w:iCs/>
        </w:rPr>
        <w:t>olicy</w:t>
      </w:r>
      <w:r>
        <w:t xml:space="preserve"> found on</w:t>
      </w:r>
      <w:r w:rsidR="0032331E">
        <w:t>:</w:t>
      </w:r>
      <w:r>
        <w:t xml:space="preserve"> </w:t>
      </w:r>
    </w:p>
    <w:p w14:paraId="4DF70FB7" w14:textId="11CCBF1F" w:rsidR="0032331E" w:rsidRDefault="00331188" w:rsidP="0032331E">
      <w:pPr>
        <w:pStyle w:val="Bullet1"/>
      </w:pPr>
      <w:hyperlink r:id="rId17" w:history="1">
        <w:r>
          <w:rPr>
            <w:rStyle w:val="Hyperlink"/>
          </w:rPr>
          <w:t xml:space="preserve">Department of Health </w:t>
        </w:r>
        <w:r w:rsidR="0032331E">
          <w:rPr>
            <w:rStyle w:val="Hyperlink"/>
          </w:rPr>
          <w:t xml:space="preserve">– </w:t>
        </w:r>
        <w:r>
          <w:rPr>
            <w:rStyle w:val="Hyperlink"/>
          </w:rPr>
          <w:t xml:space="preserve">Language </w:t>
        </w:r>
        <w:r w:rsidR="0032331E">
          <w:rPr>
            <w:rStyle w:val="Hyperlink"/>
          </w:rPr>
          <w:t>s</w:t>
        </w:r>
        <w:r>
          <w:rPr>
            <w:rStyle w:val="Hyperlink"/>
          </w:rPr>
          <w:t>ervice</w:t>
        </w:r>
        <w:r w:rsidR="0032331E">
          <w:rPr>
            <w:rStyle w:val="Hyperlink"/>
          </w:rPr>
          <w:t>s policy</w:t>
        </w:r>
      </w:hyperlink>
      <w:r w:rsidRPr="006A755D">
        <w:t xml:space="preserve"> https://www.health.vic.gov.au/publications/language-services-policy </w:t>
      </w:r>
    </w:p>
    <w:p w14:paraId="47BF8AED" w14:textId="67EE662A" w:rsidR="00331188" w:rsidRPr="006A755D" w:rsidRDefault="00331188" w:rsidP="00BC110A">
      <w:pPr>
        <w:pStyle w:val="Bullet1"/>
      </w:pPr>
      <w:hyperlink r:id="rId18" w:history="1">
        <w:r w:rsidRPr="006A755D">
          <w:rPr>
            <w:rStyle w:val="Hyperlink"/>
          </w:rPr>
          <w:t>Department of Families, Fairness and Housing</w:t>
        </w:r>
        <w:r w:rsidR="0032331E">
          <w:rPr>
            <w:rStyle w:val="Hyperlink"/>
          </w:rPr>
          <w:t xml:space="preserve"> – Language services policy</w:t>
        </w:r>
      </w:hyperlink>
      <w:r w:rsidRPr="006A755D">
        <w:t xml:space="preserve"> https://www.dffh.vic.gov.au/publications/language-services-policy.</w:t>
      </w:r>
    </w:p>
    <w:p w14:paraId="0E118071" w14:textId="7170F881" w:rsidR="00BD199C" w:rsidRDefault="00331188">
      <w:pPr>
        <w:pStyle w:val="Bodyafterbullets"/>
      </w:pPr>
      <w:r w:rsidRPr="006A755D">
        <w:t xml:space="preserve">They </w:t>
      </w:r>
      <w:r w:rsidR="00BD199C">
        <w:t>will</w:t>
      </w:r>
      <w:r w:rsidRPr="006A755D">
        <w:t xml:space="preserve"> </w:t>
      </w:r>
      <w:r w:rsidR="005913B3">
        <w:t>help</w:t>
      </w:r>
      <w:r w:rsidR="005913B3" w:rsidRPr="006A755D">
        <w:t xml:space="preserve"> </w:t>
      </w:r>
      <w:r w:rsidRPr="006A755D">
        <w:t>funded organisations and departmental staff provide quality language</w:t>
      </w:r>
      <w:r>
        <w:t xml:space="preserve"> services for their clients</w:t>
      </w:r>
      <w:r w:rsidR="005913B3">
        <w:t xml:space="preserve">. This </w:t>
      </w:r>
      <w:r w:rsidR="00EF6707">
        <w:t xml:space="preserve">will help meet </w:t>
      </w:r>
      <w:r>
        <w:t>the needs of Victoria’s diverse community including</w:t>
      </w:r>
      <w:r w:rsidR="00BD199C">
        <w:t>:</w:t>
      </w:r>
      <w:r>
        <w:t xml:space="preserve"> </w:t>
      </w:r>
    </w:p>
    <w:p w14:paraId="62333807" w14:textId="15FA5221" w:rsidR="00BD199C" w:rsidRDefault="00331188" w:rsidP="00BD199C">
      <w:pPr>
        <w:pStyle w:val="Bullet1"/>
      </w:pPr>
      <w:r>
        <w:t>refugees and people seeking asylum</w:t>
      </w:r>
    </w:p>
    <w:p w14:paraId="2042DC23" w14:textId="3F2D675F" w:rsidR="00BD199C" w:rsidRDefault="00331188" w:rsidP="00BD199C">
      <w:pPr>
        <w:pStyle w:val="Bullet1"/>
      </w:pPr>
      <w:r>
        <w:t xml:space="preserve">migrants </w:t>
      </w:r>
    </w:p>
    <w:p w14:paraId="1A4179CC" w14:textId="49FD94D0" w:rsidR="00331188" w:rsidRDefault="00331188">
      <w:pPr>
        <w:pStyle w:val="Bullet1"/>
      </w:pPr>
      <w:r>
        <w:t xml:space="preserve">people using sign language. </w:t>
      </w:r>
    </w:p>
    <w:p w14:paraId="3D6BBD84" w14:textId="77777777" w:rsidR="00BC110A" w:rsidRDefault="00BC110A" w:rsidP="00BB77D9">
      <w:pPr>
        <w:pStyle w:val="Quotetext"/>
        <w:pBdr>
          <w:top w:val="single" w:sz="4" w:space="12" w:color="FFFFFF" w:themeColor="background1"/>
          <w:left w:val="single" w:sz="4" w:space="12" w:color="FFFFFF" w:themeColor="background1"/>
          <w:bottom w:val="single" w:sz="4" w:space="12" w:color="FFFFFF" w:themeColor="background1"/>
          <w:right w:val="single" w:sz="4" w:space="12" w:color="FFFFFF" w:themeColor="background1"/>
        </w:pBdr>
        <w:shd w:val="clear" w:color="auto" w:fill="DAEEF3" w:themeFill="accent5" w:themeFillTint="33"/>
        <w:spacing w:before="120" w:after="80"/>
        <w:ind w:left="403"/>
      </w:pPr>
      <w:r w:rsidRPr="00717583">
        <w:t xml:space="preserve">Effective </w:t>
      </w:r>
      <w:r w:rsidRPr="004D6BFB">
        <w:t>communication</w:t>
      </w:r>
      <w:r w:rsidRPr="00717583">
        <w:t xml:space="preserve"> between clients and service providers is critical to</w:t>
      </w:r>
      <w:r>
        <w:t>:</w:t>
      </w:r>
      <w:r w:rsidRPr="00717583">
        <w:t xml:space="preserve"> </w:t>
      </w:r>
    </w:p>
    <w:p w14:paraId="695245D8" w14:textId="77777777" w:rsidR="00BC110A" w:rsidRDefault="00BC110A" w:rsidP="00BB77D9">
      <w:pPr>
        <w:pStyle w:val="Quotetext"/>
        <w:numPr>
          <w:ilvl w:val="0"/>
          <w:numId w:val="57"/>
        </w:numPr>
        <w:pBdr>
          <w:top w:val="single" w:sz="4" w:space="12" w:color="FFFFFF" w:themeColor="background1"/>
          <w:left w:val="single" w:sz="4" w:space="12" w:color="FFFFFF" w:themeColor="background1"/>
          <w:bottom w:val="single" w:sz="4" w:space="12" w:color="FFFFFF" w:themeColor="background1"/>
          <w:right w:val="single" w:sz="4" w:space="12" w:color="FFFFFF" w:themeColor="background1"/>
        </w:pBdr>
        <w:shd w:val="clear" w:color="auto" w:fill="DAEEF3" w:themeFill="accent5" w:themeFillTint="33"/>
        <w:spacing w:after="80"/>
        <w:ind w:left="763"/>
      </w:pPr>
      <w:r w:rsidRPr="00717583">
        <w:t>achieving positive health outcomes for clients</w:t>
      </w:r>
    </w:p>
    <w:p w14:paraId="144E67F5" w14:textId="77777777" w:rsidR="00BC110A" w:rsidRDefault="00BC110A" w:rsidP="00BB77D9">
      <w:pPr>
        <w:pStyle w:val="Quotetext"/>
        <w:numPr>
          <w:ilvl w:val="0"/>
          <w:numId w:val="57"/>
        </w:numPr>
        <w:pBdr>
          <w:top w:val="single" w:sz="4" w:space="12" w:color="FFFFFF" w:themeColor="background1"/>
          <w:left w:val="single" w:sz="4" w:space="12" w:color="FFFFFF" w:themeColor="background1"/>
          <w:bottom w:val="single" w:sz="4" w:space="12" w:color="FFFFFF" w:themeColor="background1"/>
          <w:right w:val="single" w:sz="4" w:space="12" w:color="FFFFFF" w:themeColor="background1"/>
        </w:pBdr>
        <w:shd w:val="clear" w:color="auto" w:fill="DAEEF3" w:themeFill="accent5" w:themeFillTint="33"/>
        <w:spacing w:after="80"/>
        <w:ind w:left="763"/>
      </w:pPr>
      <w:r w:rsidRPr="00717583">
        <w:t>delivering quality health and human services</w:t>
      </w:r>
    </w:p>
    <w:p w14:paraId="1EF6D87B" w14:textId="77777777" w:rsidR="00BC110A" w:rsidRDefault="00BC110A" w:rsidP="00BB77D9">
      <w:pPr>
        <w:pStyle w:val="Quotetext"/>
        <w:numPr>
          <w:ilvl w:val="0"/>
          <w:numId w:val="57"/>
        </w:numPr>
        <w:pBdr>
          <w:top w:val="single" w:sz="4" w:space="12" w:color="FFFFFF" w:themeColor="background1"/>
          <w:left w:val="single" w:sz="4" w:space="12" w:color="FFFFFF" w:themeColor="background1"/>
          <w:bottom w:val="single" w:sz="4" w:space="12" w:color="FFFFFF" w:themeColor="background1"/>
          <w:right w:val="single" w:sz="4" w:space="12" w:color="FFFFFF" w:themeColor="background1"/>
        </w:pBdr>
        <w:shd w:val="clear" w:color="auto" w:fill="DAEEF3" w:themeFill="accent5" w:themeFillTint="33"/>
        <w:ind w:left="763"/>
      </w:pPr>
      <w:r w:rsidRPr="00717583">
        <w:t>meeting the department’s commitment to</w:t>
      </w:r>
      <w:r>
        <w:t xml:space="preserve"> person-centred care and client safety. </w:t>
      </w:r>
    </w:p>
    <w:p w14:paraId="20384547" w14:textId="1196993C" w:rsidR="00331188" w:rsidRDefault="00331188" w:rsidP="00BC110A">
      <w:pPr>
        <w:pStyle w:val="Bodyaftertablefigure"/>
      </w:pPr>
      <w:r>
        <w:t xml:space="preserve">Funded organisations </w:t>
      </w:r>
      <w:r w:rsidR="007E1498">
        <w:t>can</w:t>
      </w:r>
      <w:r>
        <w:t xml:space="preserve"> develop their own language services policies and procedures </w:t>
      </w:r>
      <w:r w:rsidR="00EF6707">
        <w:t>to</w:t>
      </w:r>
      <w:r w:rsidR="00B36DDA">
        <w:t xml:space="preserve"> complement </w:t>
      </w:r>
      <w:r>
        <w:t>the</w:t>
      </w:r>
      <w:r w:rsidR="00EF6707">
        <w:t>se guidelines</w:t>
      </w:r>
      <w:r>
        <w:t xml:space="preserve">. </w:t>
      </w:r>
    </w:p>
    <w:p w14:paraId="29C68AAA" w14:textId="2C925B24" w:rsidR="00331188" w:rsidRDefault="00331188" w:rsidP="00160E1D">
      <w:pPr>
        <w:pStyle w:val="Body"/>
      </w:pPr>
      <w:r>
        <w:t xml:space="preserve">All staff should </w:t>
      </w:r>
      <w:r w:rsidR="007E1498">
        <w:t>know about</w:t>
      </w:r>
      <w:r>
        <w:t xml:space="preserve"> these policies and procedures</w:t>
      </w:r>
      <w:r w:rsidR="001C533C">
        <w:t xml:space="preserve"> and t</w:t>
      </w:r>
      <w:r w:rsidR="00620BC0">
        <w:t xml:space="preserve">rain staff </w:t>
      </w:r>
      <w:r>
        <w:t xml:space="preserve">in how to access and effectively use language services. </w:t>
      </w:r>
    </w:p>
    <w:p w14:paraId="74334758" w14:textId="77777777" w:rsidR="00BC110A" w:rsidRDefault="00BC110A" w:rsidP="00BB77D9">
      <w:pPr>
        <w:pStyle w:val="Quotetext"/>
        <w:pBdr>
          <w:top w:val="single" w:sz="4" w:space="12" w:color="FFFFFF" w:themeColor="background1"/>
          <w:left w:val="single" w:sz="4" w:space="12" w:color="FFFFFF" w:themeColor="background1"/>
          <w:bottom w:val="single" w:sz="4" w:space="12" w:color="FFFFFF" w:themeColor="background1"/>
          <w:right w:val="single" w:sz="4" w:space="12" w:color="FFFFFF" w:themeColor="background1"/>
        </w:pBdr>
        <w:shd w:val="clear" w:color="auto" w:fill="DAEEF3" w:themeFill="accent5" w:themeFillTint="33"/>
        <w:spacing w:before="120" w:after="80"/>
        <w:ind w:left="403"/>
      </w:pPr>
      <w:r>
        <w:t xml:space="preserve">Approach your manager for details about your particular program’s process for booking language </w:t>
      </w:r>
      <w:r w:rsidRPr="00160E1D">
        <w:t>services</w:t>
      </w:r>
      <w:r>
        <w:t>.</w:t>
      </w:r>
    </w:p>
    <w:p w14:paraId="7A5237DC" w14:textId="77777777" w:rsidR="00331188" w:rsidRDefault="00331188" w:rsidP="003542D4">
      <w:pPr>
        <w:pStyle w:val="Heading2"/>
      </w:pPr>
      <w:bookmarkStart w:id="1" w:name="_Toc151721842"/>
      <w:r>
        <w:t xml:space="preserve">Diversity </w:t>
      </w:r>
      <w:r w:rsidRPr="003542D4">
        <w:t>responsiveness</w:t>
      </w:r>
      <w:bookmarkEnd w:id="1"/>
    </w:p>
    <w:p w14:paraId="3F35FA05" w14:textId="4094E1B4" w:rsidR="00331188" w:rsidRDefault="00331188" w:rsidP="00160E1D">
      <w:pPr>
        <w:pStyle w:val="Body"/>
      </w:pPr>
      <w:r>
        <w:t xml:space="preserve">Language services are only one </w:t>
      </w:r>
      <w:r w:rsidR="005913B3">
        <w:t xml:space="preserve">part </w:t>
      </w:r>
      <w:r>
        <w:t xml:space="preserve">of </w:t>
      </w:r>
      <w:r w:rsidR="007E1498">
        <w:t xml:space="preserve">delivering </w:t>
      </w:r>
      <w:r>
        <w:t>diversity</w:t>
      </w:r>
      <w:r w:rsidR="007E1498">
        <w:t>-</w:t>
      </w:r>
      <w:r>
        <w:t>responsive service</w:t>
      </w:r>
      <w:r w:rsidR="007E1498">
        <w:t>s</w:t>
      </w:r>
      <w:r>
        <w:t xml:space="preserve">. </w:t>
      </w:r>
      <w:r w:rsidR="00B36DDA">
        <w:t>L</w:t>
      </w:r>
      <w:r>
        <w:t xml:space="preserve">anguage services </w:t>
      </w:r>
      <w:r w:rsidR="00B36DDA">
        <w:t xml:space="preserve">are most </w:t>
      </w:r>
      <w:r>
        <w:t>effective</w:t>
      </w:r>
      <w:r w:rsidR="00B36DDA">
        <w:t xml:space="preserve"> when </w:t>
      </w:r>
      <w:r>
        <w:t>provided in an organisation where:</w:t>
      </w:r>
    </w:p>
    <w:p w14:paraId="4BA8B24B" w14:textId="2AA38DD5" w:rsidR="005913B3" w:rsidRDefault="00331188" w:rsidP="00160E1D">
      <w:pPr>
        <w:pStyle w:val="Bullet1"/>
      </w:pPr>
      <w:r>
        <w:t xml:space="preserve">cultural diversity policies and plans are in place including </w:t>
      </w:r>
    </w:p>
    <w:p w14:paraId="21F3E992" w14:textId="0BF41DB3" w:rsidR="005913B3" w:rsidRDefault="00B36DDA" w:rsidP="005913B3">
      <w:pPr>
        <w:pStyle w:val="Bullet2"/>
      </w:pPr>
      <w:r>
        <w:t xml:space="preserve">fair </w:t>
      </w:r>
      <w:r w:rsidR="00331188">
        <w:t>and responsive services and programs</w:t>
      </w:r>
    </w:p>
    <w:p w14:paraId="7D17E4B9" w14:textId="2F241E44" w:rsidR="005913B3" w:rsidRDefault="00331188" w:rsidP="005913B3">
      <w:pPr>
        <w:pStyle w:val="Bullet2"/>
      </w:pPr>
      <w:r>
        <w:t>a culturally responsive workforce</w:t>
      </w:r>
    </w:p>
    <w:p w14:paraId="4BBEE77C" w14:textId="17A9E010" w:rsidR="005913B3" w:rsidRDefault="00331188" w:rsidP="005913B3">
      <w:pPr>
        <w:pStyle w:val="Bullet2"/>
      </w:pPr>
      <w:r>
        <w:t>partnerships with diverse communities</w:t>
      </w:r>
    </w:p>
    <w:p w14:paraId="14C5587A" w14:textId="4D337FE9" w:rsidR="00331188" w:rsidRDefault="00331188" w:rsidP="00BC110A">
      <w:pPr>
        <w:pStyle w:val="Bullet2"/>
      </w:pPr>
      <w:r>
        <w:t>effective and evidence-based approaches</w:t>
      </w:r>
    </w:p>
    <w:p w14:paraId="71DFFECF" w14:textId="05DA7895" w:rsidR="00331188" w:rsidRDefault="00331188" w:rsidP="00160E1D">
      <w:pPr>
        <w:pStyle w:val="Bullet1"/>
      </w:pPr>
      <w:r>
        <w:t>service planning uses demographic data, including</w:t>
      </w:r>
      <w:r w:rsidR="007E1498">
        <w:t xml:space="preserve"> the</w:t>
      </w:r>
      <w:r>
        <w:t xml:space="preserve"> current and potential client base</w:t>
      </w:r>
    </w:p>
    <w:p w14:paraId="393F37C5" w14:textId="77777777" w:rsidR="00331188" w:rsidRDefault="00331188" w:rsidP="00160E1D">
      <w:pPr>
        <w:pStyle w:val="Bullet1"/>
      </w:pPr>
      <w:r>
        <w:t>managing budget and procurement arrangements for language services is part of service delivery</w:t>
      </w:r>
    </w:p>
    <w:p w14:paraId="494B620C" w14:textId="6B05729E" w:rsidR="00331188" w:rsidRDefault="00331188" w:rsidP="00160E1D">
      <w:pPr>
        <w:pStyle w:val="Bullet1"/>
      </w:pPr>
      <w:r>
        <w:t xml:space="preserve">the availability of interpreters – at no cost to clients – is </w:t>
      </w:r>
      <w:r w:rsidR="00D85173">
        <w:t xml:space="preserve">well </w:t>
      </w:r>
      <w:r>
        <w:t>promoted</w:t>
      </w:r>
    </w:p>
    <w:p w14:paraId="4F8293FD" w14:textId="016799C9" w:rsidR="00A524EA" w:rsidRDefault="00331188" w:rsidP="00160E1D">
      <w:pPr>
        <w:pStyle w:val="Bullet1"/>
      </w:pPr>
      <w:r>
        <w:t xml:space="preserve">there is an understanding that clients may have </w:t>
      </w:r>
      <w:r w:rsidR="00B36DDA">
        <w:t xml:space="preserve">several </w:t>
      </w:r>
      <w:r>
        <w:t xml:space="preserve">issues </w:t>
      </w:r>
      <w:r w:rsidR="00D85173">
        <w:t>that increase their vulnerability and ability to access services</w:t>
      </w:r>
      <w:r w:rsidR="00A524EA">
        <w:t>. These might include:</w:t>
      </w:r>
    </w:p>
    <w:p w14:paraId="4048ED3D" w14:textId="1234A42B" w:rsidR="00A524EA" w:rsidRDefault="00331188" w:rsidP="00A524EA">
      <w:pPr>
        <w:pStyle w:val="Bullet2"/>
      </w:pPr>
      <w:r>
        <w:t>language</w:t>
      </w:r>
    </w:p>
    <w:p w14:paraId="4C110B93" w14:textId="088AAFA9" w:rsidR="00A524EA" w:rsidRDefault="00331188" w:rsidP="00A524EA">
      <w:pPr>
        <w:pStyle w:val="Bullet2"/>
      </w:pPr>
      <w:r>
        <w:t>visa status</w:t>
      </w:r>
    </w:p>
    <w:p w14:paraId="2385063D" w14:textId="4B81960C" w:rsidR="00A524EA" w:rsidRDefault="00331188" w:rsidP="00A524EA">
      <w:pPr>
        <w:pStyle w:val="Bullet2"/>
      </w:pPr>
      <w:r>
        <w:lastRenderedPageBreak/>
        <w:t>disability</w:t>
      </w:r>
    </w:p>
    <w:p w14:paraId="749DD41B" w14:textId="45663847" w:rsidR="00A524EA" w:rsidRDefault="00331188" w:rsidP="00A524EA">
      <w:pPr>
        <w:pStyle w:val="Bullet2"/>
      </w:pPr>
      <w:r>
        <w:t>mental health issues</w:t>
      </w:r>
    </w:p>
    <w:p w14:paraId="32DD14B0" w14:textId="7D89E789" w:rsidR="00A524EA" w:rsidRDefault="00331188" w:rsidP="00A524EA">
      <w:pPr>
        <w:pStyle w:val="Bullet2"/>
      </w:pPr>
      <w:r>
        <w:t>experience of trauma</w:t>
      </w:r>
    </w:p>
    <w:p w14:paraId="3DD010B8" w14:textId="2B60BF04" w:rsidR="00A524EA" w:rsidRDefault="00331188" w:rsidP="00A524EA">
      <w:pPr>
        <w:pStyle w:val="Bullet2"/>
      </w:pPr>
      <w:r>
        <w:t>socioeconomic disadvantage</w:t>
      </w:r>
    </w:p>
    <w:p w14:paraId="35A7E08F" w14:textId="398CB819" w:rsidR="00A524EA" w:rsidRDefault="00331188" w:rsidP="00A524EA">
      <w:pPr>
        <w:pStyle w:val="Bullet2"/>
      </w:pPr>
      <w:r>
        <w:t xml:space="preserve">social isolation </w:t>
      </w:r>
    </w:p>
    <w:p w14:paraId="6BFD4C42" w14:textId="3FBA7AD3" w:rsidR="00331188" w:rsidRPr="00E74BDA" w:rsidRDefault="00331188" w:rsidP="00BC110A">
      <w:pPr>
        <w:pStyle w:val="Bullet2"/>
      </w:pPr>
      <w:r>
        <w:t>geographic location.</w:t>
      </w:r>
      <w:r w:rsidRPr="0090462F">
        <w:br w:type="page"/>
      </w:r>
    </w:p>
    <w:p w14:paraId="6F638160" w14:textId="77777777" w:rsidR="00331188" w:rsidRDefault="00331188" w:rsidP="00331188">
      <w:pPr>
        <w:pStyle w:val="Heading1"/>
      </w:pPr>
      <w:bookmarkStart w:id="2" w:name="_Resources"/>
      <w:bookmarkStart w:id="3" w:name="_Toc151721843"/>
      <w:bookmarkEnd w:id="2"/>
      <w:r>
        <w:lastRenderedPageBreak/>
        <w:t>Resources</w:t>
      </w:r>
      <w:bookmarkEnd w:id="3"/>
    </w:p>
    <w:p w14:paraId="57673463" w14:textId="77777777" w:rsidR="00331188" w:rsidRPr="00717583" w:rsidRDefault="00331188" w:rsidP="00331188">
      <w:pPr>
        <w:pStyle w:val="Heading2"/>
      </w:pPr>
      <w:bookmarkStart w:id="4" w:name="_Toc151721844"/>
      <w:r>
        <w:t>H</w:t>
      </w:r>
      <w:r w:rsidRPr="007B7DEA">
        <w:t xml:space="preserve">ow to embed cultural responsiveness in your service </w:t>
      </w:r>
      <w:r w:rsidRPr="00717583">
        <w:t>planning, design and delivery</w:t>
      </w:r>
      <w:bookmarkEnd w:id="4"/>
    </w:p>
    <w:p w14:paraId="303AF981" w14:textId="6D0A131F" w:rsidR="00331188" w:rsidRPr="00B01475" w:rsidRDefault="00331188">
      <w:pPr>
        <w:pStyle w:val="Bullet1"/>
      </w:pPr>
      <w:hyperlink r:id="rId19" w:history="1">
        <w:r w:rsidRPr="00BC110A">
          <w:rPr>
            <w:rStyle w:val="Hyperlink"/>
            <w:i/>
          </w:rPr>
          <w:t xml:space="preserve">Department of Health </w:t>
        </w:r>
        <w:r w:rsidR="004D5BAC" w:rsidRPr="00BC110A">
          <w:rPr>
            <w:rStyle w:val="Hyperlink"/>
            <w:i/>
            <w:iCs/>
          </w:rPr>
          <w:t xml:space="preserve">multicultural health action plan 2023-27 </w:t>
        </w:r>
        <w:r w:rsidRPr="00B01475">
          <w:rPr>
            <w:rStyle w:val="Hyperlink"/>
          </w:rPr>
          <w:t xml:space="preserve"> </w:t>
        </w:r>
      </w:hyperlink>
      <w:r w:rsidRPr="00B01475">
        <w:t xml:space="preserve"> https://www.health.vic.gov.au/populations/improving-health-for-victorians-from-culturally-and-linguistically-diverse-backgrounds</w:t>
      </w:r>
    </w:p>
    <w:p w14:paraId="6C30BDAA" w14:textId="27752856" w:rsidR="00331188" w:rsidRPr="00B01475" w:rsidRDefault="00271DD3">
      <w:pPr>
        <w:pStyle w:val="Bullet1"/>
      </w:pPr>
      <w:hyperlink r:id="rId20" w:history="1">
        <w:r w:rsidRPr="00271DD3">
          <w:rPr>
            <w:rStyle w:val="Hyperlink"/>
          </w:rPr>
          <w:t>Designing for diversity</w:t>
        </w:r>
      </w:hyperlink>
      <w:r w:rsidR="00331188" w:rsidRPr="00B01475">
        <w:t xml:space="preserve"> https://www.health.vic.gov.au/populations/designing-for-diversity</w:t>
      </w:r>
    </w:p>
    <w:p w14:paraId="24E9097D" w14:textId="77777777" w:rsidR="00331188" w:rsidRPr="00B01475" w:rsidRDefault="00331188" w:rsidP="00331188">
      <w:pPr>
        <w:pStyle w:val="Heading2"/>
      </w:pPr>
      <w:bookmarkStart w:id="5" w:name="_Toc151721845"/>
      <w:r w:rsidRPr="00B01475">
        <w:t>Language services policies and resources</w:t>
      </w:r>
      <w:bookmarkEnd w:id="5"/>
    </w:p>
    <w:p w14:paraId="1B1DB516" w14:textId="5A47BD72" w:rsidR="00331188" w:rsidRDefault="00331188" w:rsidP="00BC110A">
      <w:pPr>
        <w:pStyle w:val="Bullet1"/>
      </w:pPr>
      <w:r w:rsidRPr="00BC110A">
        <w:rPr>
          <w:i/>
          <w:iCs/>
        </w:rPr>
        <w:t xml:space="preserve">Interim </w:t>
      </w:r>
      <w:r w:rsidR="007E1498">
        <w:rPr>
          <w:i/>
          <w:iCs/>
        </w:rPr>
        <w:t>l</w:t>
      </w:r>
      <w:r w:rsidRPr="00BC110A">
        <w:rPr>
          <w:i/>
          <w:iCs/>
        </w:rPr>
        <w:t xml:space="preserve">anguage </w:t>
      </w:r>
      <w:r w:rsidR="007E1498">
        <w:rPr>
          <w:i/>
          <w:iCs/>
        </w:rPr>
        <w:t>s</w:t>
      </w:r>
      <w:r w:rsidRPr="00BC110A">
        <w:rPr>
          <w:i/>
          <w:iCs/>
        </w:rPr>
        <w:t xml:space="preserve">ervices </w:t>
      </w:r>
      <w:r w:rsidR="007E1498">
        <w:rPr>
          <w:i/>
          <w:iCs/>
        </w:rPr>
        <w:t>p</w:t>
      </w:r>
      <w:r w:rsidRPr="00BC110A">
        <w:rPr>
          <w:i/>
          <w:iCs/>
        </w:rPr>
        <w:t>olicy</w:t>
      </w:r>
      <w:r w:rsidRPr="00A26D75">
        <w:t xml:space="preserve"> for the Department of Families, Fairness and Housing and Department of Health</w:t>
      </w:r>
      <w:r>
        <w:t xml:space="preserve"> available at: </w:t>
      </w:r>
    </w:p>
    <w:p w14:paraId="5DB8DB11" w14:textId="4677374E" w:rsidR="00331188" w:rsidRPr="00B01475" w:rsidRDefault="00331188" w:rsidP="00BC110A">
      <w:pPr>
        <w:pStyle w:val="Bullet2"/>
      </w:pPr>
      <w:hyperlink r:id="rId21" w:history="1">
        <w:r w:rsidRPr="00B01475">
          <w:rPr>
            <w:rStyle w:val="Hyperlink"/>
          </w:rPr>
          <w:t xml:space="preserve">Department of Families, Fairness and Housing </w:t>
        </w:r>
        <w:r w:rsidR="00271DD3">
          <w:rPr>
            <w:rStyle w:val="Hyperlink"/>
          </w:rPr>
          <w:t xml:space="preserve">– </w:t>
        </w:r>
        <w:r w:rsidRPr="00B01475">
          <w:rPr>
            <w:rStyle w:val="Hyperlink"/>
          </w:rPr>
          <w:t>Language services policy</w:t>
        </w:r>
      </w:hyperlink>
      <w:r>
        <w:rPr>
          <w:rStyle w:val="Hyperlink"/>
        </w:rPr>
        <w:t xml:space="preserve"> </w:t>
      </w:r>
      <w:r w:rsidRPr="00B01475">
        <w:t>https://www.dffh.vic.gov.au/publications/language-services-policy</w:t>
      </w:r>
    </w:p>
    <w:p w14:paraId="17B8FF5C" w14:textId="78753818" w:rsidR="00331188" w:rsidRPr="00B01475" w:rsidRDefault="00331188" w:rsidP="00BC110A">
      <w:pPr>
        <w:pStyle w:val="Bullet2"/>
      </w:pPr>
      <w:hyperlink r:id="rId22" w:history="1">
        <w:r w:rsidRPr="00B01475">
          <w:rPr>
            <w:rStyle w:val="Hyperlink"/>
          </w:rPr>
          <w:t xml:space="preserve">Department of Health </w:t>
        </w:r>
        <w:r w:rsidR="00271DD3">
          <w:rPr>
            <w:rStyle w:val="Hyperlink"/>
          </w:rPr>
          <w:t xml:space="preserve">– </w:t>
        </w:r>
        <w:r w:rsidRPr="00B01475">
          <w:rPr>
            <w:rStyle w:val="Hyperlink"/>
          </w:rPr>
          <w:t>Language services policy</w:t>
        </w:r>
      </w:hyperlink>
      <w:r w:rsidRPr="00B01475">
        <w:t xml:space="preserve"> https://www.health.vic.gov.au/publications/language-services-policy</w:t>
      </w:r>
    </w:p>
    <w:p w14:paraId="56E1F5ED" w14:textId="2BCF04B4" w:rsidR="00331188" w:rsidRPr="00B01475" w:rsidRDefault="00331188">
      <w:pPr>
        <w:pStyle w:val="Bullet1"/>
      </w:pPr>
      <w:hyperlink r:id="rId23" w:history="1">
        <w:r w:rsidRPr="00B01475">
          <w:rPr>
            <w:rStyle w:val="Hyperlink"/>
          </w:rPr>
          <w:t>Better practice guide for multicultural communications</w:t>
        </w:r>
      </w:hyperlink>
      <w:r w:rsidRPr="00B01475">
        <w:t xml:space="preserve"> https://www.vic.gov.au/communicating-multicultural-communities</w:t>
      </w:r>
    </w:p>
    <w:p w14:paraId="7E1D0BE2" w14:textId="49ED7299" w:rsidR="00331188" w:rsidRPr="00B01475" w:rsidRDefault="00331188">
      <w:pPr>
        <w:pStyle w:val="Bullet1"/>
      </w:pPr>
      <w:hyperlink r:id="rId24" w:history="1">
        <w:r w:rsidRPr="00B01475">
          <w:rPr>
            <w:rStyle w:val="Hyperlink"/>
          </w:rPr>
          <w:t>Language services credit line</w:t>
        </w:r>
      </w:hyperlink>
      <w:r w:rsidRPr="00B01475">
        <w:t xml:space="preserve"> https://www.health.vic.gov.au/populations/improving-health-for-victorians-from-culturally-and-linguistically-diverse-backgrounds</w:t>
      </w:r>
    </w:p>
    <w:p w14:paraId="3B5DCACC" w14:textId="3552212A" w:rsidR="00331188" w:rsidRPr="00B01475" w:rsidRDefault="00271DD3" w:rsidP="00BC110A">
      <w:pPr>
        <w:pStyle w:val="Bullet2"/>
      </w:pPr>
      <w:r>
        <w:t xml:space="preserve">For </w:t>
      </w:r>
      <w:r w:rsidR="00331188" w:rsidRPr="00B01475">
        <w:t>Health Programs Language Services Credit Line queries</w:t>
      </w:r>
      <w:r>
        <w:t>, email</w:t>
      </w:r>
      <w:hyperlink r:id="rId25" w:history="1">
        <w:r w:rsidR="00331188" w:rsidRPr="00B01475">
          <w:rPr>
            <w:rStyle w:val="Hyperlink"/>
          </w:rPr>
          <w:t>dhlanguageservices@health.vic.gov.au</w:t>
        </w:r>
      </w:hyperlink>
    </w:p>
    <w:p w14:paraId="1839CAF4" w14:textId="17B896B6" w:rsidR="00331188" w:rsidRPr="00B01475" w:rsidRDefault="00271DD3" w:rsidP="00BC110A">
      <w:pPr>
        <w:pStyle w:val="Bullet2"/>
      </w:pPr>
      <w:r>
        <w:t xml:space="preserve">For </w:t>
      </w:r>
      <w:r w:rsidR="00331188" w:rsidRPr="00B01475">
        <w:t>Human Services Credit Line queries</w:t>
      </w:r>
      <w:r>
        <w:t>,</w:t>
      </w:r>
      <w:r w:rsidR="00331188" w:rsidRPr="00B01475">
        <w:t xml:space="preserve"> email  </w:t>
      </w:r>
      <w:hyperlink r:id="rId26" w:history="1">
        <w:r w:rsidR="00331188" w:rsidRPr="00B01475">
          <w:rPr>
            <w:rStyle w:val="Hyperlink"/>
          </w:rPr>
          <w:t>languages@dffh.vic.gov.au</w:t>
        </w:r>
      </w:hyperlink>
    </w:p>
    <w:p w14:paraId="7C2BBA1E" w14:textId="77777777" w:rsidR="00331188" w:rsidRPr="00715C50" w:rsidRDefault="00331188" w:rsidP="00331188">
      <w:pPr>
        <w:pStyle w:val="Heading2"/>
      </w:pPr>
      <w:bookmarkStart w:id="6" w:name="_Toc151721846"/>
      <w:r w:rsidRPr="00715C50">
        <w:t>Find language service provi</w:t>
      </w:r>
      <w:r w:rsidRPr="00E74BDA">
        <w:t>d</w:t>
      </w:r>
      <w:r w:rsidRPr="00715C50">
        <w:t>ers</w:t>
      </w:r>
      <w:bookmarkEnd w:id="6"/>
    </w:p>
    <w:p w14:paraId="34901C0B" w14:textId="6E614E19" w:rsidR="00331188" w:rsidRPr="00B01475" w:rsidRDefault="00331188" w:rsidP="00160E1D">
      <w:pPr>
        <w:pStyle w:val="Bullet1"/>
      </w:pPr>
      <w:hyperlink r:id="rId27" w:history="1">
        <w:r w:rsidRPr="00B01475">
          <w:rPr>
            <w:rStyle w:val="Hyperlink"/>
          </w:rPr>
          <w:t>National Accreditation Authority for Translators and Interpreters (NAATI) online directory</w:t>
        </w:r>
      </w:hyperlink>
      <w:r w:rsidRPr="00B01475">
        <w:t xml:space="preserve"> https://www.naati.com.au/online-directory/</w:t>
      </w:r>
    </w:p>
    <w:p w14:paraId="17909150" w14:textId="77777777" w:rsidR="00331188" w:rsidRDefault="00331188" w:rsidP="00331188">
      <w:pPr>
        <w:pStyle w:val="Heading2"/>
      </w:pPr>
      <w:bookmarkStart w:id="7" w:name="_Toc151721847"/>
      <w:r>
        <w:t>Code of ethics for interpreters and translators</w:t>
      </w:r>
      <w:bookmarkEnd w:id="7"/>
    </w:p>
    <w:p w14:paraId="0A94089B" w14:textId="54CAFD1B" w:rsidR="00331188" w:rsidRPr="00387562" w:rsidRDefault="00331188">
      <w:pPr>
        <w:pStyle w:val="Bullet1"/>
      </w:pPr>
      <w:hyperlink r:id="rId28" w:history="1">
        <w:r w:rsidRPr="00387562">
          <w:rPr>
            <w:rStyle w:val="Hyperlink"/>
          </w:rPr>
          <w:t>Australian Institute of Interpreters and Translators (AUSIT) Code of Ethics</w:t>
        </w:r>
      </w:hyperlink>
      <w:r w:rsidRPr="00387562">
        <w:t xml:space="preserve"> https://ausit.org/code-of-ethics/</w:t>
      </w:r>
    </w:p>
    <w:p w14:paraId="5DE9E1C8" w14:textId="3F812BB3" w:rsidR="00331188" w:rsidRPr="00387562" w:rsidRDefault="00331188">
      <w:pPr>
        <w:pStyle w:val="Bullet1"/>
      </w:pPr>
      <w:hyperlink r:id="rId29" w:history="1">
        <w:r w:rsidRPr="00387562">
          <w:rPr>
            <w:rStyle w:val="Hyperlink"/>
          </w:rPr>
          <w:t>Australian Sign Language Interpreters’ Association (ASLIA) Code of Ethics</w:t>
        </w:r>
      </w:hyperlink>
      <w:r w:rsidRPr="00387562">
        <w:t xml:space="preserve"> https://aslia.com.au/wp-content/uploads/ASLIA-Code-of-Ethics.pdf</w:t>
      </w:r>
    </w:p>
    <w:p w14:paraId="7087AD50" w14:textId="77777777" w:rsidR="00331188" w:rsidRPr="00387562" w:rsidRDefault="00331188" w:rsidP="00331188">
      <w:pPr>
        <w:pStyle w:val="Heading2"/>
      </w:pPr>
      <w:bookmarkStart w:id="8" w:name="_Toc151721848"/>
      <w:r w:rsidRPr="00387562">
        <w:t>Health Translations</w:t>
      </w:r>
      <w:bookmarkEnd w:id="8"/>
      <w:r w:rsidRPr="00387562">
        <w:t xml:space="preserve"> </w:t>
      </w:r>
    </w:p>
    <w:p w14:paraId="2010D957" w14:textId="6C910EB7" w:rsidR="00331188" w:rsidRPr="00387562" w:rsidRDefault="00331188" w:rsidP="00160E1D">
      <w:pPr>
        <w:pStyle w:val="Bullet1"/>
        <w:rPr>
          <w:rStyle w:val="Hyperlink"/>
          <w:b/>
          <w:sz w:val="28"/>
          <w:szCs w:val="28"/>
        </w:rPr>
      </w:pPr>
      <w:hyperlink r:id="rId30" w:history="1">
        <w:r w:rsidRPr="00C73C08">
          <w:rPr>
            <w:rStyle w:val="Hyperlink"/>
          </w:rPr>
          <w:t>Health Translations online portal</w:t>
        </w:r>
      </w:hyperlink>
      <w:r w:rsidRPr="00387562">
        <w:rPr>
          <w:rStyle w:val="Hyperlink"/>
        </w:rPr>
        <w:t xml:space="preserve"> </w:t>
      </w:r>
      <w:r>
        <w:rPr>
          <w:rStyle w:val="Hyperlink"/>
        </w:rPr>
        <w:t>funded by the Department of Health</w:t>
      </w:r>
      <w:r w:rsidR="005913B3">
        <w:rPr>
          <w:rStyle w:val="Hyperlink"/>
        </w:rPr>
        <w:t xml:space="preserve"> </w:t>
      </w:r>
      <w:r w:rsidRPr="00387562">
        <w:t>http://www.healthtranslations.vic.gov.au/</w:t>
      </w:r>
    </w:p>
    <w:p w14:paraId="416E9B13" w14:textId="77777777" w:rsidR="00331188" w:rsidRPr="0090462F" w:rsidRDefault="00331188" w:rsidP="00160E1D">
      <w:pPr>
        <w:pStyle w:val="Body"/>
      </w:pPr>
      <w:r w:rsidRPr="0090462F">
        <w:br w:type="page"/>
      </w:r>
    </w:p>
    <w:p w14:paraId="4B3FF1C8" w14:textId="77777777" w:rsidR="00331188" w:rsidRDefault="00331188" w:rsidP="00331188">
      <w:pPr>
        <w:pStyle w:val="Heading1"/>
      </w:pPr>
      <w:bookmarkStart w:id="9" w:name="_Toc151721849"/>
      <w:r>
        <w:lastRenderedPageBreak/>
        <w:t>Interpreting services</w:t>
      </w:r>
      <w:bookmarkEnd w:id="9"/>
    </w:p>
    <w:p w14:paraId="6F2B633D" w14:textId="13EE6204" w:rsidR="00331188" w:rsidRDefault="00F2187A" w:rsidP="00331188">
      <w:pPr>
        <w:pStyle w:val="Heading2"/>
      </w:pPr>
      <w:bookmarkStart w:id="10" w:name="_Toc151721850"/>
      <w:r>
        <w:t>Before</w:t>
      </w:r>
      <w:r w:rsidR="00331188">
        <w:t xml:space="preserve"> booking an interpreter</w:t>
      </w:r>
      <w:bookmarkEnd w:id="10"/>
    </w:p>
    <w:p w14:paraId="6E8B1657" w14:textId="2203A94C" w:rsidR="00331188" w:rsidRDefault="00F2187A" w:rsidP="00331188">
      <w:pPr>
        <w:pStyle w:val="Heading3"/>
      </w:pPr>
      <w:bookmarkStart w:id="11" w:name="_Toc151721851"/>
      <w:r>
        <w:t>Working out if you need</w:t>
      </w:r>
      <w:r w:rsidR="00331188">
        <w:t xml:space="preserve"> an interpreter</w:t>
      </w:r>
      <w:bookmarkEnd w:id="11"/>
    </w:p>
    <w:p w14:paraId="68E4F91F" w14:textId="6CBD39D1" w:rsidR="00331188" w:rsidRDefault="00B36DDA" w:rsidP="00160E1D">
      <w:pPr>
        <w:pStyle w:val="Body"/>
      </w:pPr>
      <w:r>
        <w:t xml:space="preserve">If possible, work out if you </w:t>
      </w:r>
      <w:r w:rsidR="00331188">
        <w:t xml:space="preserve">need an interpreter </w:t>
      </w:r>
      <w:r w:rsidR="00BA4703">
        <w:t xml:space="preserve">before </w:t>
      </w:r>
      <w:r>
        <w:t xml:space="preserve">the </w:t>
      </w:r>
      <w:r w:rsidR="00331188">
        <w:t xml:space="preserve">appointment. </w:t>
      </w:r>
    </w:p>
    <w:p w14:paraId="3335FB4C" w14:textId="56EAFC46" w:rsidR="00331188" w:rsidRDefault="00331188" w:rsidP="00160E1D">
      <w:pPr>
        <w:pStyle w:val="Body"/>
      </w:pPr>
      <w:r>
        <w:t xml:space="preserve">Assessing how well a person can understand English is the first step in </w:t>
      </w:r>
      <w:r w:rsidR="00371E88">
        <w:t xml:space="preserve">seeing if you </w:t>
      </w:r>
      <w:r>
        <w:t xml:space="preserve">need an interpreter. </w:t>
      </w:r>
    </w:p>
    <w:p w14:paraId="38F64EB4" w14:textId="1667BFC9" w:rsidR="00331188" w:rsidRPr="00220EF8" w:rsidRDefault="00331188" w:rsidP="00160E1D">
      <w:pPr>
        <w:pStyle w:val="Body"/>
        <w:rPr>
          <w:color w:val="87189D"/>
        </w:rPr>
      </w:pPr>
      <w:r>
        <w:t xml:space="preserve">Even when a client </w:t>
      </w:r>
      <w:r w:rsidR="00371E88">
        <w:t xml:space="preserve">seems to </w:t>
      </w:r>
      <w:r w:rsidR="00B5743E">
        <w:t>understand</w:t>
      </w:r>
      <w:r w:rsidR="00371E88">
        <w:t xml:space="preserve"> English</w:t>
      </w:r>
      <w:r>
        <w:t>, a stressful or unfamiliar situation may affect the</w:t>
      </w:r>
      <w:r w:rsidR="00371E88">
        <w:t>ir</w:t>
      </w:r>
      <w:r>
        <w:t xml:space="preserve"> ability to communicate </w:t>
      </w:r>
      <w:r w:rsidR="00E45B57">
        <w:t>well</w:t>
      </w:r>
      <w:r>
        <w:t xml:space="preserve">. </w:t>
      </w:r>
    </w:p>
    <w:p w14:paraId="5C361CCA" w14:textId="103703C1" w:rsidR="00331188" w:rsidRPr="00C6446A" w:rsidRDefault="00E45B57" w:rsidP="00160E1D">
      <w:pPr>
        <w:pStyle w:val="Body"/>
      </w:pPr>
      <w:r>
        <w:t>It is best to b</w:t>
      </w:r>
      <w:r w:rsidR="00371E88">
        <w:t>ook</w:t>
      </w:r>
      <w:r w:rsidR="00371E88" w:rsidRPr="00C6446A">
        <w:t xml:space="preserve"> </w:t>
      </w:r>
      <w:r w:rsidR="00331188" w:rsidRPr="00C6446A">
        <w:t>an interpreter if:</w:t>
      </w:r>
    </w:p>
    <w:p w14:paraId="22FB6393" w14:textId="77777777" w:rsidR="00331188" w:rsidRPr="00C6446A" w:rsidRDefault="00331188" w:rsidP="00160E1D">
      <w:pPr>
        <w:pStyle w:val="Bullet1"/>
      </w:pPr>
      <w:r w:rsidRPr="00C6446A">
        <w:t>requested by the client</w:t>
      </w:r>
    </w:p>
    <w:p w14:paraId="2127D15A" w14:textId="2997BE4F" w:rsidR="00331188" w:rsidRPr="00C6446A" w:rsidRDefault="00331188" w:rsidP="00160E1D">
      <w:pPr>
        <w:pStyle w:val="Bullet1"/>
      </w:pPr>
      <w:r w:rsidRPr="00C6446A">
        <w:t xml:space="preserve">the client cannot </w:t>
      </w:r>
      <w:r w:rsidR="00371E88" w:rsidRPr="00C6446A">
        <w:t>understand</w:t>
      </w:r>
      <w:r w:rsidRPr="00C6446A">
        <w:t xml:space="preserve"> or respond to basic questions in English</w:t>
      </w:r>
    </w:p>
    <w:p w14:paraId="0F972019" w14:textId="0BBDFF2D" w:rsidR="00331188" w:rsidRPr="00C6446A" w:rsidRDefault="00331188" w:rsidP="00160E1D">
      <w:pPr>
        <w:pStyle w:val="Bullet1"/>
      </w:pPr>
      <w:r w:rsidRPr="00C6446A">
        <w:t xml:space="preserve">you are </w:t>
      </w:r>
      <w:r w:rsidR="00371E88">
        <w:t>having</w:t>
      </w:r>
      <w:r w:rsidR="00371E88" w:rsidRPr="00C6446A">
        <w:t xml:space="preserve"> </w:t>
      </w:r>
      <w:r w:rsidRPr="00C6446A">
        <w:t>difficulty understanding your client or your client can only respond in a limited way</w:t>
      </w:r>
    </w:p>
    <w:p w14:paraId="33B70D9D" w14:textId="77777777" w:rsidR="00331188" w:rsidRPr="00C6446A" w:rsidRDefault="00331188" w:rsidP="00160E1D">
      <w:pPr>
        <w:pStyle w:val="Bullet1"/>
      </w:pPr>
      <w:r w:rsidRPr="00C6446A">
        <w:t>the client relies on family or friends to communicate</w:t>
      </w:r>
    </w:p>
    <w:p w14:paraId="10921229" w14:textId="12F30970" w:rsidR="00331188" w:rsidRPr="00C6446A" w:rsidRDefault="00331188" w:rsidP="00160E1D">
      <w:pPr>
        <w:pStyle w:val="Bullet1"/>
      </w:pPr>
      <w:r w:rsidRPr="00C6446A">
        <w:t xml:space="preserve">the client prefers to speak in </w:t>
      </w:r>
      <w:r w:rsidR="00C76C0B">
        <w:t>their</w:t>
      </w:r>
      <w:r w:rsidRPr="00C6446A">
        <w:t xml:space="preserve"> own language</w:t>
      </w:r>
    </w:p>
    <w:p w14:paraId="4ECF655E" w14:textId="10BDC7FC" w:rsidR="00331188" w:rsidRPr="007C2B00" w:rsidRDefault="00331188" w:rsidP="00160E1D">
      <w:pPr>
        <w:pStyle w:val="Bullet1"/>
      </w:pPr>
      <w:r w:rsidRPr="007C2B00">
        <w:t>the client speaks English as a second language and is in a stressful, complex or unfamiliar situation.</w:t>
      </w:r>
    </w:p>
    <w:p w14:paraId="0570A304" w14:textId="428953DF" w:rsidR="00331188" w:rsidRDefault="00331188" w:rsidP="00160E1D">
      <w:pPr>
        <w:pStyle w:val="Bodyafterbullets"/>
      </w:pPr>
      <w:r w:rsidRPr="00B87543">
        <w:t xml:space="preserve">To </w:t>
      </w:r>
      <w:r w:rsidR="00BA4703">
        <w:t>figure out</w:t>
      </w:r>
      <w:r w:rsidR="00BA4703" w:rsidRPr="00B87543" w:rsidDel="00BA4703">
        <w:t xml:space="preserve"> </w:t>
      </w:r>
      <w:r w:rsidRPr="00B87543">
        <w:t xml:space="preserve">a client’s level of English language </w:t>
      </w:r>
      <w:r w:rsidR="00371E88">
        <w:t>ability</w:t>
      </w:r>
      <w:r w:rsidRPr="00B87543">
        <w:t>, the following questions may</w:t>
      </w:r>
      <w:r w:rsidRPr="007C2B00">
        <w:t xml:space="preserve"> </w:t>
      </w:r>
      <w:r w:rsidR="005913B3">
        <w:t>help</w:t>
      </w:r>
      <w:r w:rsidRPr="007C2B00">
        <w:t>:</w:t>
      </w:r>
    </w:p>
    <w:p w14:paraId="4D2A7817" w14:textId="77777777" w:rsidR="00331188" w:rsidDel="00723269" w:rsidRDefault="00331188" w:rsidP="00160E1D">
      <w:pPr>
        <w:pStyle w:val="Bullet1"/>
      </w:pPr>
      <w:r w:rsidDel="00723269">
        <w:t>Why are you here today?</w:t>
      </w:r>
    </w:p>
    <w:p w14:paraId="714DE790" w14:textId="77777777" w:rsidR="00331188" w:rsidDel="00723269" w:rsidRDefault="00331188" w:rsidP="00160E1D">
      <w:pPr>
        <w:pStyle w:val="Bullet1"/>
      </w:pPr>
      <w:r w:rsidDel="00723269">
        <w:t>Is English your first language?</w:t>
      </w:r>
    </w:p>
    <w:p w14:paraId="54B97E04" w14:textId="77777777" w:rsidR="00331188" w:rsidDel="00723269" w:rsidRDefault="00331188" w:rsidP="00160E1D">
      <w:pPr>
        <w:pStyle w:val="Bullet1"/>
      </w:pPr>
      <w:r w:rsidDel="00723269">
        <w:t>In which country were you born?</w:t>
      </w:r>
    </w:p>
    <w:p w14:paraId="6B243F49" w14:textId="77777777" w:rsidR="00331188" w:rsidDel="00723269" w:rsidRDefault="00331188" w:rsidP="00160E1D">
      <w:pPr>
        <w:pStyle w:val="Bullet1"/>
      </w:pPr>
      <w:r w:rsidDel="00723269">
        <w:t>How long have you lived in Australia?</w:t>
      </w:r>
    </w:p>
    <w:p w14:paraId="689CB992" w14:textId="77777777" w:rsidR="00331188" w:rsidDel="00723269" w:rsidRDefault="00331188" w:rsidP="00160E1D">
      <w:pPr>
        <w:pStyle w:val="Bullet1"/>
      </w:pPr>
      <w:r w:rsidDel="00723269">
        <w:t>How long have you been learning or speaking English?</w:t>
      </w:r>
    </w:p>
    <w:p w14:paraId="5F87FF29" w14:textId="0E7F5368" w:rsidR="00331188" w:rsidRDefault="00331188" w:rsidP="00160E1D">
      <w:pPr>
        <w:pStyle w:val="Bodyafterbullets"/>
      </w:pPr>
      <w:r>
        <w:t xml:space="preserve">If the client </w:t>
      </w:r>
      <w:r w:rsidR="00E45B57">
        <w:t xml:space="preserve">is having trouble </w:t>
      </w:r>
      <w:r>
        <w:t>respond</w:t>
      </w:r>
      <w:r w:rsidR="00E45B57">
        <w:t>ing</w:t>
      </w:r>
      <w:r>
        <w:t xml:space="preserve"> to these questions, or if the responses are difficult to understand,</w:t>
      </w:r>
      <w:r w:rsidR="0095665C">
        <w:t xml:space="preserve"> it is best to</w:t>
      </w:r>
      <w:r>
        <w:t xml:space="preserve"> </w:t>
      </w:r>
      <w:r w:rsidR="005A1681">
        <w:t>arrange</w:t>
      </w:r>
      <w:r w:rsidR="00E45B57">
        <w:t xml:space="preserve"> </w:t>
      </w:r>
      <w:r>
        <w:t>an interpreter.</w:t>
      </w:r>
    </w:p>
    <w:p w14:paraId="7F54C206" w14:textId="76FC5F70" w:rsidR="00331188" w:rsidRDefault="00F2187A" w:rsidP="00331188">
      <w:pPr>
        <w:pStyle w:val="Heading3"/>
      </w:pPr>
      <w:bookmarkStart w:id="12" w:name="_Toc151721852"/>
      <w:r>
        <w:t xml:space="preserve">Figuring out </w:t>
      </w:r>
      <w:r w:rsidR="00331188">
        <w:t>the preferred language</w:t>
      </w:r>
      <w:bookmarkEnd w:id="12"/>
    </w:p>
    <w:p w14:paraId="71A4633A" w14:textId="1A12E148" w:rsidR="00331188" w:rsidRDefault="00E45B57" w:rsidP="00160E1D">
      <w:pPr>
        <w:pStyle w:val="Body"/>
      </w:pPr>
      <w:r>
        <w:t>You can’t always work out a</w:t>
      </w:r>
      <w:r w:rsidR="00331188">
        <w:t xml:space="preserve"> client’s preferred language and dialect </w:t>
      </w:r>
      <w:r>
        <w:t>based on</w:t>
      </w:r>
      <w:r w:rsidR="00331188">
        <w:t xml:space="preserve"> </w:t>
      </w:r>
      <w:r w:rsidR="00371E88">
        <w:t xml:space="preserve">their </w:t>
      </w:r>
      <w:r w:rsidR="00331188">
        <w:t xml:space="preserve">country of birth. 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1E3F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88"/>
      </w:tblGrid>
      <w:tr w:rsidR="00331188" w14:paraId="77083DD2" w14:textId="77777777" w:rsidTr="00A741E7">
        <w:tc>
          <w:tcPr>
            <w:tcW w:w="9512" w:type="dxa"/>
            <w:shd w:val="clear" w:color="auto" w:fill="E5FBFF"/>
          </w:tcPr>
          <w:p w14:paraId="4A7F9C6F" w14:textId="61594BF0" w:rsidR="00331188" w:rsidRDefault="00331188" w:rsidP="00160E1D">
            <w:pPr>
              <w:pStyle w:val="Tabletext"/>
            </w:pPr>
            <w:r>
              <w:t xml:space="preserve">The following steps may help to </w:t>
            </w:r>
            <w:r w:rsidR="00BA4703">
              <w:t>figure out</w:t>
            </w:r>
            <w:r w:rsidR="00BA4703" w:rsidDel="00BA4703">
              <w:t xml:space="preserve"> </w:t>
            </w:r>
            <w:r>
              <w:t>a client’s preferred language:</w:t>
            </w:r>
          </w:p>
          <w:p w14:paraId="1CA12B9D" w14:textId="581C4F9A" w:rsidR="00331188" w:rsidRPr="0067215D" w:rsidRDefault="00331188" w:rsidP="00160E1D">
            <w:pPr>
              <w:pStyle w:val="Tabletext"/>
            </w:pPr>
            <w:r>
              <w:t>1.</w:t>
            </w:r>
            <w:r w:rsidR="004F6A59">
              <w:t xml:space="preserve"> </w:t>
            </w:r>
            <w:r w:rsidRPr="0067215D">
              <w:t xml:space="preserve">If a client speaks </w:t>
            </w:r>
            <w:r w:rsidR="00371E88">
              <w:t>enough</w:t>
            </w:r>
            <w:r w:rsidR="00371E88" w:rsidRPr="0067215D">
              <w:t xml:space="preserve"> </w:t>
            </w:r>
            <w:r w:rsidRPr="0067215D">
              <w:t xml:space="preserve">English, </w:t>
            </w:r>
            <w:r w:rsidR="00371E88">
              <w:t>you could</w:t>
            </w:r>
            <w:r w:rsidRPr="0067215D">
              <w:t xml:space="preserve"> ask for their preferred language and dialect, especially if they have used interpreters </w:t>
            </w:r>
            <w:r w:rsidR="00371E88">
              <w:t>before</w:t>
            </w:r>
            <w:r w:rsidRPr="0067215D">
              <w:t>.</w:t>
            </w:r>
          </w:p>
          <w:p w14:paraId="6E12DEFA" w14:textId="5468945E" w:rsidR="00331188" w:rsidRPr="0067215D" w:rsidRDefault="00331188" w:rsidP="00160E1D">
            <w:pPr>
              <w:pStyle w:val="Tabletext"/>
            </w:pPr>
            <w:r>
              <w:t>2.</w:t>
            </w:r>
            <w:r w:rsidR="004F6A59">
              <w:t xml:space="preserve"> </w:t>
            </w:r>
            <w:r w:rsidRPr="0067215D">
              <w:t>Use visual aids that list languages and dialects</w:t>
            </w:r>
            <w:r>
              <w:t xml:space="preserve"> (</w:t>
            </w:r>
            <w:r w:rsidR="005913B3">
              <w:t>refer to</w:t>
            </w:r>
            <w:r>
              <w:t xml:space="preserve"> ‘</w:t>
            </w:r>
            <w:r w:rsidRPr="00970361">
              <w:t>Resources</w:t>
            </w:r>
            <w:r>
              <w:t>’)</w:t>
            </w:r>
            <w:r w:rsidRPr="0067215D">
              <w:t xml:space="preserve">. The client may be able to point to the language they speak. </w:t>
            </w:r>
          </w:p>
          <w:p w14:paraId="65011ED2" w14:textId="1D4BA79A" w:rsidR="00331188" w:rsidRDefault="00331188" w:rsidP="00160E1D">
            <w:pPr>
              <w:pStyle w:val="Tabletext"/>
            </w:pPr>
            <w:r>
              <w:t>3.</w:t>
            </w:r>
            <w:r w:rsidR="004F6A59">
              <w:t xml:space="preserve"> </w:t>
            </w:r>
            <w:r>
              <w:t>Contact</w:t>
            </w:r>
            <w:r w:rsidRPr="0067215D">
              <w:t xml:space="preserve"> a language service provider</w:t>
            </w:r>
            <w:r w:rsidR="00E45B57">
              <w:t>. They</w:t>
            </w:r>
            <w:r>
              <w:t xml:space="preserve"> </w:t>
            </w:r>
            <w:r w:rsidRPr="0067215D">
              <w:t xml:space="preserve">may be able to </w:t>
            </w:r>
            <w:r w:rsidR="00371E88">
              <w:t xml:space="preserve">help </w:t>
            </w:r>
            <w:r w:rsidRPr="0067215D">
              <w:t>you identify the language through a telephone interpreter.</w:t>
            </w:r>
          </w:p>
        </w:tc>
      </w:tr>
    </w:tbl>
    <w:p w14:paraId="123891D6" w14:textId="57F332E2" w:rsidR="00331188" w:rsidRDefault="00F2187A" w:rsidP="00331188">
      <w:pPr>
        <w:pStyle w:val="Heading3"/>
      </w:pPr>
      <w:bookmarkStart w:id="13" w:name="_Toc151721853"/>
      <w:r>
        <w:t xml:space="preserve">What to do if the person doesn’t want </w:t>
      </w:r>
      <w:r w:rsidR="00331188">
        <w:t>an interpreter</w:t>
      </w:r>
      <w:bookmarkEnd w:id="13"/>
      <w:r w:rsidR="00331188">
        <w:t xml:space="preserve"> </w:t>
      </w:r>
    </w:p>
    <w:p w14:paraId="1F3F6BA0" w14:textId="00E98324" w:rsidR="00331188" w:rsidRPr="00717583" w:rsidRDefault="00371E88" w:rsidP="00160E1D">
      <w:pPr>
        <w:pStyle w:val="Body"/>
      </w:pPr>
      <w:r>
        <w:t>Using</w:t>
      </w:r>
      <w:r w:rsidR="00331188">
        <w:t xml:space="preserve"> an interpreter is not </w:t>
      </w:r>
      <w:r w:rsidR="00E45B57">
        <w:t xml:space="preserve">only </w:t>
      </w:r>
      <w:r w:rsidR="00331188">
        <w:t>for the benefit of the client</w:t>
      </w:r>
      <w:r>
        <w:t>. It</w:t>
      </w:r>
      <w:r w:rsidR="00331188">
        <w:t xml:space="preserve"> </w:t>
      </w:r>
      <w:r w:rsidR="00331188" w:rsidRPr="00717583">
        <w:t xml:space="preserve">also </w:t>
      </w:r>
      <w:r>
        <w:t>helps</w:t>
      </w:r>
      <w:r w:rsidRPr="00717583">
        <w:t xml:space="preserve"> </w:t>
      </w:r>
      <w:r w:rsidR="00331188" w:rsidRPr="00717583">
        <w:t xml:space="preserve">the service provider </w:t>
      </w:r>
      <w:r>
        <w:t>to</w:t>
      </w:r>
      <w:r w:rsidR="00331188" w:rsidRPr="00717583">
        <w:t xml:space="preserve"> deliver quality health and human services. </w:t>
      </w:r>
    </w:p>
    <w:p w14:paraId="5F10AB65" w14:textId="77936BF1" w:rsidR="00331188" w:rsidRDefault="00331188" w:rsidP="00160E1D">
      <w:pPr>
        <w:pStyle w:val="Body"/>
      </w:pPr>
      <w:r w:rsidRPr="00717583">
        <w:t>If a client refuses the offer of a</w:t>
      </w:r>
      <w:r w:rsidRPr="00B87543">
        <w:t>n interpreter, it is important to clarify and address the reasons</w:t>
      </w:r>
      <w:r w:rsidR="00E45B57">
        <w:t>. These</w:t>
      </w:r>
      <w:r w:rsidRPr="00B87543">
        <w:t xml:space="preserve"> may include that the client:</w:t>
      </w:r>
    </w:p>
    <w:p w14:paraId="1D8C2C77" w14:textId="6DA0EDA7" w:rsidR="00331188" w:rsidRDefault="00331188" w:rsidP="00160E1D">
      <w:pPr>
        <w:pStyle w:val="Bullet1"/>
      </w:pPr>
      <w:r>
        <w:lastRenderedPageBreak/>
        <w:t xml:space="preserve">has misunderstood why </w:t>
      </w:r>
      <w:r w:rsidR="00E45B57">
        <w:t xml:space="preserve">you need </w:t>
      </w:r>
      <w:r>
        <w:t>an interpreter</w:t>
      </w:r>
    </w:p>
    <w:p w14:paraId="2592A4DA" w14:textId="77777777" w:rsidR="00331188" w:rsidRDefault="00331188" w:rsidP="00160E1D">
      <w:pPr>
        <w:pStyle w:val="Bullet1"/>
      </w:pPr>
      <w:r>
        <w:t>may feel confident communicating in English</w:t>
      </w:r>
    </w:p>
    <w:p w14:paraId="05CB0DF3" w14:textId="77777777" w:rsidR="00331188" w:rsidRDefault="00331188" w:rsidP="00160E1D">
      <w:pPr>
        <w:pStyle w:val="Bullet1"/>
      </w:pPr>
      <w:r>
        <w:t>may know the interpreter assigned to the interview and feel uncomfortable</w:t>
      </w:r>
    </w:p>
    <w:p w14:paraId="59E2D315" w14:textId="50699473" w:rsidR="00331188" w:rsidRDefault="00331188" w:rsidP="00160E1D">
      <w:pPr>
        <w:pStyle w:val="Bullet1"/>
      </w:pPr>
      <w:r>
        <w:t xml:space="preserve">may </w:t>
      </w:r>
      <w:r w:rsidR="00E45B57">
        <w:t>worry</w:t>
      </w:r>
      <w:r>
        <w:t xml:space="preserve"> that an interpreter could pose a risk to their right to confidentiality, privacy or safety</w:t>
      </w:r>
    </w:p>
    <w:p w14:paraId="6DC8A21F" w14:textId="77777777" w:rsidR="00331188" w:rsidRDefault="00331188" w:rsidP="00160E1D">
      <w:pPr>
        <w:pStyle w:val="Bullet1"/>
      </w:pPr>
      <w:r>
        <w:t>may be uncomfortable with the gender, religious or ethnic background of the interpreter</w:t>
      </w:r>
    </w:p>
    <w:p w14:paraId="450062C4" w14:textId="6F675C67" w:rsidR="00331188" w:rsidRDefault="00331188" w:rsidP="00160E1D">
      <w:pPr>
        <w:pStyle w:val="Bullet1"/>
      </w:pPr>
      <w:r>
        <w:t>may not know that the interpreting service will be free of charge.</w:t>
      </w:r>
    </w:p>
    <w:p w14:paraId="3AD9DB6F" w14:textId="7A8379A3" w:rsidR="00331188" w:rsidRDefault="0095665C" w:rsidP="00160E1D">
      <w:pPr>
        <w:pStyle w:val="Bodyafterbullets"/>
      </w:pPr>
      <w:r>
        <w:t>A</w:t>
      </w:r>
      <w:r w:rsidR="00C12C63">
        <w:t>ddress t</w:t>
      </w:r>
      <w:r w:rsidR="00331188">
        <w:t>hese concerns</w:t>
      </w:r>
      <w:r w:rsidR="00C12C63">
        <w:t>. Let the</w:t>
      </w:r>
      <w:r w:rsidR="00331188">
        <w:t xml:space="preserve"> client </w:t>
      </w:r>
      <w:r w:rsidR="00C12C63">
        <w:t xml:space="preserve">know </w:t>
      </w:r>
      <w:r w:rsidR="00331188">
        <w:t>the interpreter is also for the benefit of the service provider</w:t>
      </w:r>
      <w:r w:rsidR="00C12C63">
        <w:t>. This is because</w:t>
      </w:r>
      <w:r w:rsidR="00331188">
        <w:t xml:space="preserve"> limited communication may result in a</w:t>
      </w:r>
      <w:r>
        <w:t>n</w:t>
      </w:r>
      <w:r w:rsidR="00331188">
        <w:t xml:space="preserve"> </w:t>
      </w:r>
      <w:r w:rsidR="00C12C63">
        <w:t xml:space="preserve">incomplete </w:t>
      </w:r>
      <w:r w:rsidR="00331188">
        <w:t xml:space="preserve">diagnosis or advice. </w:t>
      </w:r>
    </w:p>
    <w:p w14:paraId="52C4102F" w14:textId="20DE6172" w:rsidR="00331188" w:rsidRDefault="00331188" w:rsidP="00331188">
      <w:pPr>
        <w:pStyle w:val="Heading3"/>
      </w:pPr>
      <w:bookmarkStart w:id="14" w:name="_Toc151721854"/>
      <w:r>
        <w:t xml:space="preserve">Choosing the </w:t>
      </w:r>
      <w:r w:rsidR="00F2187A">
        <w:t xml:space="preserve">type </w:t>
      </w:r>
      <w:r>
        <w:t>of interpreting</w:t>
      </w:r>
      <w:bookmarkEnd w:id="14"/>
    </w:p>
    <w:p w14:paraId="46ADB344" w14:textId="428BA031" w:rsidR="00331188" w:rsidRDefault="00331188" w:rsidP="00160E1D">
      <w:pPr>
        <w:pStyle w:val="Body"/>
      </w:pPr>
      <w:r>
        <w:t xml:space="preserve">There are three ways of </w:t>
      </w:r>
      <w:r w:rsidR="005D667A">
        <w:t xml:space="preserve">offering </w:t>
      </w:r>
      <w:r>
        <w:t xml:space="preserve">interpreting services: </w:t>
      </w:r>
    </w:p>
    <w:p w14:paraId="10C30987" w14:textId="77777777" w:rsidR="00331188" w:rsidRPr="00C6446A" w:rsidRDefault="00331188" w:rsidP="00160E1D">
      <w:pPr>
        <w:pStyle w:val="Bullet1"/>
      </w:pPr>
      <w:r w:rsidRPr="00767BF2">
        <w:t>onsite (face-to-face)</w:t>
      </w:r>
    </w:p>
    <w:p w14:paraId="25514102" w14:textId="77777777" w:rsidR="00331188" w:rsidRPr="00C6446A" w:rsidRDefault="00331188" w:rsidP="00160E1D">
      <w:pPr>
        <w:pStyle w:val="Bullet1"/>
      </w:pPr>
      <w:r w:rsidRPr="00C6446A">
        <w:t>telephone</w:t>
      </w:r>
    </w:p>
    <w:p w14:paraId="3937AFB6" w14:textId="77777777" w:rsidR="00331188" w:rsidRPr="00C6446A" w:rsidRDefault="00331188" w:rsidP="00160E1D">
      <w:pPr>
        <w:pStyle w:val="Bullet1"/>
      </w:pPr>
      <w:r w:rsidRPr="00C6446A">
        <w:t>video</w:t>
      </w:r>
      <w:r>
        <w:t xml:space="preserve"> remote.</w:t>
      </w:r>
    </w:p>
    <w:p w14:paraId="285CA59F" w14:textId="02529EB5" w:rsidR="00331188" w:rsidRDefault="004F0D7A" w:rsidP="00160E1D">
      <w:pPr>
        <w:pStyle w:val="Bodyafterbullets"/>
      </w:pPr>
      <w:r>
        <w:t>Respect t</w:t>
      </w:r>
      <w:r w:rsidR="00331188">
        <w:t xml:space="preserve">he client’s preference for an onsite, telephone or video remote interpreter </w:t>
      </w:r>
      <w:r w:rsidR="00E45B57">
        <w:t>if you can</w:t>
      </w:r>
      <w:r w:rsidR="00331188">
        <w:t>.</w:t>
      </w:r>
    </w:p>
    <w:p w14:paraId="054A89B3" w14:textId="0436F7A7" w:rsidR="00331188" w:rsidRDefault="00331188" w:rsidP="00160E1D">
      <w:pPr>
        <w:pStyle w:val="Body"/>
      </w:pPr>
      <w:r>
        <w:t xml:space="preserve">Credentialed interpreters </w:t>
      </w:r>
      <w:r w:rsidR="004F0D7A">
        <w:t>follow</w:t>
      </w:r>
      <w:r>
        <w:t xml:space="preserve"> a code of conduct that includes strict confidentiality requirement</w:t>
      </w:r>
      <w:r w:rsidR="004F0D7A">
        <w:t xml:space="preserve">s. </w:t>
      </w:r>
      <w:r>
        <w:t xml:space="preserve"> </w:t>
      </w:r>
      <w:r w:rsidR="004F0D7A">
        <w:t>C</w:t>
      </w:r>
      <w:r>
        <w:t xml:space="preserve">onfidentiality requirements are the same for all three interpreting options. </w:t>
      </w:r>
    </w:p>
    <w:p w14:paraId="17914FB4" w14:textId="77777777" w:rsidR="00331188" w:rsidRDefault="00331188" w:rsidP="00331188">
      <w:pPr>
        <w:pStyle w:val="Heading4"/>
      </w:pPr>
      <w:r>
        <w:t>Onsite interpreting (face-to-face)</w:t>
      </w:r>
    </w:p>
    <w:p w14:paraId="3CAB5E4B" w14:textId="4BC7664F" w:rsidR="00331188" w:rsidRDefault="00331188" w:rsidP="00160E1D">
      <w:pPr>
        <w:pStyle w:val="Body"/>
      </w:pPr>
      <w:r>
        <w:t>Onsite interpreters attend in person</w:t>
      </w:r>
      <w:r w:rsidR="004F0D7A">
        <w:t>. Book an onsite interpreter</w:t>
      </w:r>
      <w:r>
        <w:t xml:space="preserve"> for matters that are:</w:t>
      </w:r>
    </w:p>
    <w:p w14:paraId="154D3C0A" w14:textId="77777777" w:rsidR="00331188" w:rsidRPr="00C6446A" w:rsidRDefault="00331188" w:rsidP="00160E1D">
      <w:pPr>
        <w:pStyle w:val="Bullet1"/>
      </w:pPr>
      <w:r w:rsidRPr="00767BF2">
        <w:t>complex</w:t>
      </w:r>
    </w:p>
    <w:p w14:paraId="4F050879" w14:textId="77777777" w:rsidR="00331188" w:rsidRPr="00C6446A" w:rsidRDefault="00331188" w:rsidP="00160E1D">
      <w:pPr>
        <w:pStyle w:val="Bullet1"/>
      </w:pPr>
      <w:r w:rsidRPr="00C6446A">
        <w:t>legally binding</w:t>
      </w:r>
    </w:p>
    <w:p w14:paraId="0F22F6AE" w14:textId="77777777" w:rsidR="00331188" w:rsidRPr="00C6446A" w:rsidRDefault="00331188" w:rsidP="00160E1D">
      <w:pPr>
        <w:pStyle w:val="Bullet1"/>
      </w:pPr>
      <w:r w:rsidRPr="00C6446A">
        <w:t>lengthy.</w:t>
      </w:r>
    </w:p>
    <w:p w14:paraId="4B5E3A31" w14:textId="4B979B76" w:rsidR="00331188" w:rsidRDefault="00331188" w:rsidP="00160E1D">
      <w:pPr>
        <w:pStyle w:val="Bodyafterbullets"/>
      </w:pPr>
      <w:r>
        <w:t xml:space="preserve">Onsite interpreting </w:t>
      </w:r>
      <w:r w:rsidR="00E45B57">
        <w:t>is often</w:t>
      </w:r>
      <w:r w:rsidR="004F0D7A">
        <w:t xml:space="preserve"> </w:t>
      </w:r>
      <w:r>
        <w:t xml:space="preserve">better </w:t>
      </w:r>
      <w:r w:rsidR="00E45B57">
        <w:t xml:space="preserve">for </w:t>
      </w:r>
      <w:r>
        <w:t xml:space="preserve">understanding information </w:t>
      </w:r>
      <w:r w:rsidR="00E45B57">
        <w:t xml:space="preserve">because it </w:t>
      </w:r>
      <w:r w:rsidR="004F0D7A">
        <w:t>consider</w:t>
      </w:r>
      <w:r w:rsidR="00E45B57">
        <w:t>s</w:t>
      </w:r>
      <w:r w:rsidR="004F0D7A">
        <w:t xml:space="preserve"> </w:t>
      </w:r>
      <w:r>
        <w:t>non-verbal communication such as body language</w:t>
      </w:r>
      <w:r w:rsidR="004F0D7A">
        <w:t xml:space="preserve">. </w:t>
      </w:r>
      <w:r w:rsidR="00E45B57">
        <w:t xml:space="preserve">Onsite interpreting is best for </w:t>
      </w:r>
      <w:r>
        <w:t>complex situations.</w:t>
      </w:r>
    </w:p>
    <w:p w14:paraId="78EB407D" w14:textId="7CEE7EEE" w:rsidR="00331188" w:rsidRDefault="00117DA6" w:rsidP="00160E1D">
      <w:pPr>
        <w:pStyle w:val="Body"/>
      </w:pPr>
      <w:r>
        <w:t>You will usually have to book o</w:t>
      </w:r>
      <w:r w:rsidR="00331188">
        <w:t>nsite interpreting in advance. Most language service providers have a minimum fee for onsite interpreting, based on a 90</w:t>
      </w:r>
      <w:r w:rsidR="005913B3">
        <w:t>-</w:t>
      </w:r>
      <w:r w:rsidR="00331188">
        <w:t xml:space="preserve">minute session. </w:t>
      </w:r>
    </w:p>
    <w:p w14:paraId="741601AE" w14:textId="77777777" w:rsidR="00331188" w:rsidRDefault="00331188" w:rsidP="00160E1D">
      <w:pPr>
        <w:pStyle w:val="Body"/>
      </w:pPr>
      <w:r>
        <w:t xml:space="preserve">In rural and regional areas the availability of onsite interpreters in some languages may be limited. </w:t>
      </w:r>
    </w:p>
    <w:p w14:paraId="0B4B5D3C" w14:textId="77777777" w:rsidR="00331188" w:rsidRDefault="00331188" w:rsidP="00331188">
      <w:pPr>
        <w:pStyle w:val="Heading4"/>
      </w:pPr>
      <w:r>
        <w:t>Telephone interpreting</w:t>
      </w:r>
    </w:p>
    <w:p w14:paraId="6544855C" w14:textId="77777777" w:rsidR="00331188" w:rsidRDefault="00331188" w:rsidP="00160E1D">
      <w:pPr>
        <w:pStyle w:val="Body"/>
      </w:pPr>
      <w:r w:rsidRPr="00B87543">
        <w:t>Telephone interpreting is useful for:</w:t>
      </w:r>
    </w:p>
    <w:p w14:paraId="10BD0DF7" w14:textId="77777777" w:rsidR="00331188" w:rsidRDefault="00331188" w:rsidP="00160E1D">
      <w:pPr>
        <w:pStyle w:val="Bullet1"/>
      </w:pPr>
      <w:r>
        <w:t>short, non-complex communication</w:t>
      </w:r>
    </w:p>
    <w:p w14:paraId="3FCD73A7" w14:textId="648878D4" w:rsidR="00331188" w:rsidRDefault="00331188" w:rsidP="00160E1D">
      <w:pPr>
        <w:pStyle w:val="Bullet1"/>
      </w:pPr>
      <w:r>
        <w:t xml:space="preserve">establishing the language spoken and nature of an enquiry before </w:t>
      </w:r>
      <w:r w:rsidR="00117DA6">
        <w:t xml:space="preserve">booking </w:t>
      </w:r>
      <w:r>
        <w:t>an onsite interpreter</w:t>
      </w:r>
    </w:p>
    <w:p w14:paraId="47DAACFA" w14:textId="54F39A6F" w:rsidR="00331188" w:rsidRDefault="00331188" w:rsidP="00160E1D">
      <w:pPr>
        <w:pStyle w:val="Bullet1"/>
      </w:pPr>
      <w:r>
        <w:t xml:space="preserve">accessing an interpreter in less common languages </w:t>
      </w:r>
      <w:r w:rsidR="00117DA6">
        <w:t xml:space="preserve">for </w:t>
      </w:r>
      <w:r>
        <w:t xml:space="preserve">which there are </w:t>
      </w:r>
      <w:r w:rsidR="00117DA6">
        <w:t xml:space="preserve">fewer </w:t>
      </w:r>
      <w:r>
        <w:t>credentialed interpreters, in rural and regional areas, and when videoconferencing is not available</w:t>
      </w:r>
    </w:p>
    <w:p w14:paraId="2B2ACE76" w14:textId="6790E74D" w:rsidR="00331188" w:rsidRDefault="00331188" w:rsidP="00160E1D">
      <w:pPr>
        <w:pStyle w:val="Bullet1"/>
      </w:pPr>
      <w:r>
        <w:t>situations when</w:t>
      </w:r>
      <w:r w:rsidR="00117DA6">
        <w:t xml:space="preserve"> the client needs</w:t>
      </w:r>
      <w:r>
        <w:t xml:space="preserve"> immediate </w:t>
      </w:r>
      <w:r w:rsidR="00B91798">
        <w:t>help</w:t>
      </w:r>
      <w:r>
        <w:t xml:space="preserve"> </w:t>
      </w:r>
      <w:r w:rsidR="00117DA6">
        <w:t>(</w:t>
      </w:r>
      <w:r>
        <w:t xml:space="preserve">before </w:t>
      </w:r>
      <w:r w:rsidR="00117DA6">
        <w:t xml:space="preserve">you can arrange </w:t>
      </w:r>
      <w:r>
        <w:t>an onsite interpreter</w:t>
      </w:r>
      <w:r w:rsidR="00117DA6">
        <w:t>)</w:t>
      </w:r>
      <w:r>
        <w:t>.</w:t>
      </w:r>
    </w:p>
    <w:p w14:paraId="243F3DF7" w14:textId="38F0CC7A" w:rsidR="00331188" w:rsidRDefault="00B91798" w:rsidP="00160E1D">
      <w:pPr>
        <w:pStyle w:val="Bodyafterbullets"/>
      </w:pPr>
      <w:r>
        <w:t>T</w:t>
      </w:r>
      <w:r w:rsidR="00331188">
        <w:t xml:space="preserve">elephone interpreters </w:t>
      </w:r>
      <w:r>
        <w:t xml:space="preserve">do not get the benefit of </w:t>
      </w:r>
      <w:r w:rsidR="00331188">
        <w:t>non-verbal communication</w:t>
      </w:r>
      <w:r w:rsidR="00117DA6">
        <w:t>, so</w:t>
      </w:r>
      <w:r>
        <w:t xml:space="preserve"> </w:t>
      </w:r>
      <w:r w:rsidR="00331188">
        <w:t xml:space="preserve">they are not used for Auslan clients. </w:t>
      </w:r>
      <w:r w:rsidR="00117DA6">
        <w:t>But you can arrange</w:t>
      </w:r>
      <w:r w:rsidR="00331188">
        <w:t xml:space="preserve"> </w:t>
      </w:r>
      <w:r w:rsidR="00117DA6">
        <w:t xml:space="preserve">a </w:t>
      </w:r>
      <w:r w:rsidR="00331188">
        <w:t xml:space="preserve">call to someone who is Deaf using an ordinary handset through </w:t>
      </w:r>
      <w:r w:rsidR="00331188" w:rsidRPr="00BC110A">
        <w:rPr>
          <w:bCs/>
        </w:rPr>
        <w:t>the</w:t>
      </w:r>
      <w:r w:rsidR="00331188" w:rsidRPr="00220EF8">
        <w:rPr>
          <w:b/>
        </w:rPr>
        <w:t xml:space="preserve"> National Relay Service</w:t>
      </w:r>
      <w:r w:rsidR="00331188">
        <w:t xml:space="preserve"> on </w:t>
      </w:r>
      <w:r w:rsidR="00331188" w:rsidRPr="00220EF8">
        <w:rPr>
          <w:b/>
        </w:rPr>
        <w:t>133 677</w:t>
      </w:r>
      <w:r w:rsidR="00331188">
        <w:t>.</w:t>
      </w:r>
    </w:p>
    <w:p w14:paraId="2938EFF1" w14:textId="25568038" w:rsidR="00331188" w:rsidRDefault="00BA4703" w:rsidP="00160E1D">
      <w:pPr>
        <w:pStyle w:val="Body"/>
      </w:pPr>
      <w:r>
        <w:t xml:space="preserve">You won’t usually need to </w:t>
      </w:r>
      <w:r w:rsidR="00331188">
        <w:t>pre-book a telephone interpreter</w:t>
      </w:r>
      <w:r>
        <w:t>.</w:t>
      </w:r>
      <w:r w:rsidR="00331188">
        <w:t xml:space="preserve"> </w:t>
      </w:r>
      <w:r>
        <w:t>A</w:t>
      </w:r>
      <w:r w:rsidR="00331188">
        <w:t xml:space="preserve">lthough </w:t>
      </w:r>
      <w:r w:rsidR="00B91798">
        <w:t xml:space="preserve">you should confirm </w:t>
      </w:r>
      <w:r w:rsidR="00331188">
        <w:t xml:space="preserve">this with the service provider. </w:t>
      </w:r>
    </w:p>
    <w:p w14:paraId="0859C7C5" w14:textId="77777777" w:rsidR="00331188" w:rsidRDefault="00331188" w:rsidP="00331188">
      <w:pPr>
        <w:pStyle w:val="Heading4"/>
      </w:pPr>
      <w:r>
        <w:lastRenderedPageBreak/>
        <w:t>Video remote interpreting</w:t>
      </w:r>
    </w:p>
    <w:p w14:paraId="77519486" w14:textId="0281A636" w:rsidR="00331188" w:rsidRDefault="00331188" w:rsidP="00160E1D">
      <w:pPr>
        <w:pStyle w:val="Body"/>
      </w:pPr>
      <w:r>
        <w:t>Video remote interpreting uses audiovisual technology to provide face-to-face communication between a client and an off-site interpreter. It can be used for Auslan and spoken languages.</w:t>
      </w:r>
      <w:r w:rsidR="00B91798">
        <w:t xml:space="preserve"> Modes of video remote interpreting include videoconferencing systems, laptops and tablets. </w:t>
      </w:r>
    </w:p>
    <w:p w14:paraId="415749E6" w14:textId="14A380A4" w:rsidR="00CF2C4F" w:rsidRDefault="00331188" w:rsidP="00160E1D">
      <w:pPr>
        <w:pStyle w:val="Body"/>
      </w:pPr>
      <w:r>
        <w:t xml:space="preserve">Video remote interpreting is a cost-effective alternative to onsite services. It is </w:t>
      </w:r>
      <w:r w:rsidR="00117DA6">
        <w:t>often better than</w:t>
      </w:r>
      <w:r>
        <w:t xml:space="preserve"> telephone interpreting</w:t>
      </w:r>
      <w:r w:rsidR="00117DA6">
        <w:t>. This</w:t>
      </w:r>
      <w:r>
        <w:t xml:space="preserve"> </w:t>
      </w:r>
      <w:r w:rsidR="00117DA6">
        <w:t xml:space="preserve">is </w:t>
      </w:r>
      <w:r>
        <w:t xml:space="preserve">particularly </w:t>
      </w:r>
      <w:r w:rsidR="00117DA6">
        <w:t>the case</w:t>
      </w:r>
      <w:r w:rsidR="00CF2C4F">
        <w:t>:</w:t>
      </w:r>
      <w:r w:rsidR="00117DA6">
        <w:t xml:space="preserve"> </w:t>
      </w:r>
    </w:p>
    <w:p w14:paraId="2C56FC4B" w14:textId="5F8ABE49" w:rsidR="00CF2C4F" w:rsidRDefault="00331188" w:rsidP="00CF2C4F">
      <w:pPr>
        <w:pStyle w:val="Bullet1"/>
      </w:pPr>
      <w:r>
        <w:t xml:space="preserve">in rural and regional areas </w:t>
      </w:r>
    </w:p>
    <w:p w14:paraId="3F1998B1" w14:textId="68B2E4E3" w:rsidR="00CF2C4F" w:rsidRDefault="00331188" w:rsidP="00CF2C4F">
      <w:pPr>
        <w:pStyle w:val="Bullet1"/>
      </w:pPr>
      <w:r>
        <w:t>where local Auslan interpreters may not be available</w:t>
      </w:r>
    </w:p>
    <w:p w14:paraId="0FBBCF38" w14:textId="27F504F5" w:rsidR="00331188" w:rsidRDefault="00331188" w:rsidP="00BC110A">
      <w:pPr>
        <w:pStyle w:val="Bullet1"/>
      </w:pPr>
      <w:r>
        <w:t xml:space="preserve">where </w:t>
      </w:r>
      <w:r w:rsidR="00CF2C4F">
        <w:t xml:space="preserve">you need </w:t>
      </w:r>
      <w:r>
        <w:t>an interpreter at short notice.</w:t>
      </w:r>
    </w:p>
    <w:p w14:paraId="3309589B" w14:textId="7A95CB8C" w:rsidR="00331188" w:rsidRDefault="001D5C64" w:rsidP="00BC110A">
      <w:pPr>
        <w:pStyle w:val="Bodyafterbullets"/>
      </w:pPr>
      <w:r>
        <w:t>V</w:t>
      </w:r>
      <w:r w:rsidR="00331188">
        <w:t xml:space="preserve">ideoconferencing facilities are becoming </w:t>
      </w:r>
      <w:r w:rsidR="00CF2C4F">
        <w:t xml:space="preserve">less </w:t>
      </w:r>
      <w:r w:rsidR="00331188">
        <w:t>available</w:t>
      </w:r>
      <w:r>
        <w:t>. But</w:t>
      </w:r>
      <w:r w:rsidR="00331188">
        <w:t xml:space="preserve"> this option is not always possible.</w:t>
      </w:r>
    </w:p>
    <w:p w14:paraId="0899142B" w14:textId="5FAEBDE2" w:rsidR="00331188" w:rsidRDefault="00331188" w:rsidP="00160E1D">
      <w:pPr>
        <w:pStyle w:val="Body"/>
      </w:pPr>
      <w:r>
        <w:t xml:space="preserve">A good internet connection and suitable equipment is essential </w:t>
      </w:r>
      <w:r w:rsidR="001D5C64">
        <w:t>for</w:t>
      </w:r>
      <w:r>
        <w:t xml:space="preserve"> the speed and data capacity required. </w:t>
      </w:r>
    </w:p>
    <w:p w14:paraId="73A771A3" w14:textId="77777777" w:rsidR="00331188" w:rsidRDefault="00331188" w:rsidP="00331188">
      <w:pPr>
        <w:pStyle w:val="Heading3"/>
      </w:pPr>
      <w:bookmarkStart w:id="15" w:name="_Toc151721855"/>
      <w:r w:rsidRPr="00D143FC">
        <w:t>Understanding the role of family and friends</w:t>
      </w:r>
      <w:bookmarkEnd w:id="15"/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1E3F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88"/>
      </w:tblGrid>
      <w:tr w:rsidR="00331188" w14:paraId="3AD57C37" w14:textId="77777777" w:rsidTr="00A741E7">
        <w:tc>
          <w:tcPr>
            <w:tcW w:w="9512" w:type="dxa"/>
            <w:shd w:val="clear" w:color="auto" w:fill="E5FBFF"/>
          </w:tcPr>
          <w:p w14:paraId="79BF6702" w14:textId="55E42C09" w:rsidR="00331188" w:rsidRDefault="00331188" w:rsidP="00160E1D">
            <w:pPr>
              <w:pStyle w:val="Tabletext"/>
            </w:pPr>
            <w:r>
              <w:t>Family and friends should never act in the role of a</w:t>
            </w:r>
            <w:r w:rsidR="00B91798">
              <w:t>n</w:t>
            </w:r>
            <w:r>
              <w:t xml:space="preserve"> interpreter </w:t>
            </w:r>
            <w:r w:rsidR="001D5C64">
              <w:t xml:space="preserve">because </w:t>
            </w:r>
            <w:r>
              <w:t>they:</w:t>
            </w:r>
          </w:p>
          <w:p w14:paraId="3EDFAE0A" w14:textId="77777777" w:rsidR="00331188" w:rsidRDefault="00331188" w:rsidP="00160E1D">
            <w:pPr>
              <w:pStyle w:val="Tablebullet1"/>
            </w:pPr>
            <w:r>
              <w:t>may not have the required language competence</w:t>
            </w:r>
          </w:p>
          <w:p w14:paraId="26248848" w14:textId="77777777" w:rsidR="00331188" w:rsidRDefault="00331188" w:rsidP="00160E1D">
            <w:pPr>
              <w:pStyle w:val="Tablebullet1"/>
            </w:pPr>
            <w:r>
              <w:t>may lack impartiality</w:t>
            </w:r>
          </w:p>
          <w:p w14:paraId="628CF30B" w14:textId="77777777" w:rsidR="00331188" w:rsidRDefault="00331188" w:rsidP="00160E1D">
            <w:pPr>
              <w:pStyle w:val="Tablebullet1"/>
            </w:pPr>
            <w:r>
              <w:t xml:space="preserve">are not bound by the same standards of conduct as credentialed interpreters. </w:t>
            </w:r>
          </w:p>
          <w:p w14:paraId="5454D260" w14:textId="70E0DD0E" w:rsidR="00331188" w:rsidRDefault="00331188" w:rsidP="00160E1D">
            <w:pPr>
              <w:pStyle w:val="Tabletext"/>
            </w:pPr>
            <w:r>
              <w:t>Family and friends can have an important and helpful role supporting and advocating for the client</w:t>
            </w:r>
            <w:r w:rsidR="001D5C64">
              <w:t xml:space="preserve">. </w:t>
            </w:r>
            <w:r w:rsidR="00CF2C4F">
              <w:t>A</w:t>
            </w:r>
            <w:r>
              <w:t>cknowledge, value and underst</w:t>
            </w:r>
            <w:r w:rsidR="00CF2C4F">
              <w:t>and this</w:t>
            </w:r>
            <w:r>
              <w:t xml:space="preserve"> as separate from and complementary to the role of an interpreter. </w:t>
            </w:r>
          </w:p>
          <w:p w14:paraId="55177D7F" w14:textId="34793D33" w:rsidR="00331188" w:rsidRDefault="00527DA7" w:rsidP="00160E1D">
            <w:pPr>
              <w:pStyle w:val="Tabletext"/>
            </w:pPr>
            <w:r>
              <w:t xml:space="preserve">Using </w:t>
            </w:r>
            <w:r w:rsidR="00331188">
              <w:t xml:space="preserve">a qualified interpreter </w:t>
            </w:r>
            <w:r w:rsidR="001D5C64">
              <w:t xml:space="preserve">allows </w:t>
            </w:r>
            <w:r w:rsidR="00331188">
              <w:t xml:space="preserve">family and friends to focus on their advocacy and support role. </w:t>
            </w:r>
          </w:p>
          <w:p w14:paraId="06F1F4A6" w14:textId="698362B3" w:rsidR="001D5C64" w:rsidRDefault="00331188" w:rsidP="00160E1D">
            <w:pPr>
              <w:pStyle w:val="Tabletext"/>
            </w:pPr>
            <w:r>
              <w:t xml:space="preserve">Most importantly, friends or family members, especially children, should not </w:t>
            </w:r>
            <w:r w:rsidR="00CF2C4F">
              <w:t xml:space="preserve">interpret </w:t>
            </w:r>
            <w:r>
              <w:t>in critical situations</w:t>
            </w:r>
            <w:r w:rsidR="001D5C64">
              <w:t>. I</w:t>
            </w:r>
            <w:r>
              <w:t>t will be difficult for them to</w:t>
            </w:r>
            <w:r w:rsidR="001D5C64">
              <w:t>:</w:t>
            </w:r>
            <w:r>
              <w:t xml:space="preserve"> </w:t>
            </w:r>
          </w:p>
          <w:p w14:paraId="2BC1217B" w14:textId="706E6D27" w:rsidR="001D5C64" w:rsidRDefault="00331188" w:rsidP="001D5C64">
            <w:pPr>
              <w:pStyle w:val="Tablebullet1"/>
            </w:pPr>
            <w:r>
              <w:t>remain impartial</w:t>
            </w:r>
          </w:p>
          <w:p w14:paraId="613B77B3" w14:textId="575E623C" w:rsidR="001D5C64" w:rsidRDefault="00331188" w:rsidP="001D5C64">
            <w:pPr>
              <w:pStyle w:val="Tablebullet1"/>
            </w:pPr>
            <w:r>
              <w:t xml:space="preserve">maintain confidentiality </w:t>
            </w:r>
          </w:p>
          <w:p w14:paraId="121BFA54" w14:textId="5AEB7562" w:rsidR="001D5C64" w:rsidRDefault="00331188" w:rsidP="001D5C64">
            <w:pPr>
              <w:pStyle w:val="Tablebullet1"/>
            </w:pPr>
            <w:r>
              <w:t>accurately convey information</w:t>
            </w:r>
            <w:r w:rsidR="001D5C64">
              <w:t>.</w:t>
            </w:r>
          </w:p>
          <w:p w14:paraId="01365C10" w14:textId="40EDC050" w:rsidR="00331188" w:rsidRDefault="001D5C64" w:rsidP="001D5C64">
            <w:pPr>
              <w:pStyle w:val="Tabletext"/>
            </w:pPr>
            <w:r>
              <w:t xml:space="preserve">This </w:t>
            </w:r>
            <w:r w:rsidR="00331188">
              <w:t xml:space="preserve">can compromise the duty of care to the client. </w:t>
            </w:r>
          </w:p>
          <w:p w14:paraId="1D768D02" w14:textId="7FCE75EB" w:rsidR="00331188" w:rsidRDefault="00CF2C4F" w:rsidP="00160E1D">
            <w:pPr>
              <w:pStyle w:val="Tabletext"/>
            </w:pPr>
            <w:r>
              <w:t>Never ask c</w:t>
            </w:r>
            <w:r w:rsidR="00331188">
              <w:t xml:space="preserve">hildren under 18 years </w:t>
            </w:r>
            <w:r>
              <w:t xml:space="preserve">old </w:t>
            </w:r>
            <w:r w:rsidR="00331188">
              <w:t>to act in the place of a credentialed interpreter or to relay information between staff and a client.</w:t>
            </w:r>
          </w:p>
          <w:p w14:paraId="680C4C3C" w14:textId="7B27FCD2" w:rsidR="00331188" w:rsidRDefault="00331188" w:rsidP="00160E1D">
            <w:pPr>
              <w:pStyle w:val="Tabletext"/>
            </w:pPr>
            <w:r>
              <w:t xml:space="preserve">In some instances – for example, in cases of family violence – using a family member to interpret may </w:t>
            </w:r>
            <w:r w:rsidR="0095665C">
              <w:t>risk</w:t>
            </w:r>
            <w:r>
              <w:t xml:space="preserve"> the safety of the client.</w:t>
            </w:r>
          </w:p>
        </w:tc>
      </w:tr>
    </w:tbl>
    <w:p w14:paraId="2B0B270B" w14:textId="77777777" w:rsidR="00331188" w:rsidRDefault="00331188" w:rsidP="00331188">
      <w:pPr>
        <w:pStyle w:val="Heading2"/>
      </w:pPr>
      <w:bookmarkStart w:id="16" w:name="_Toc151721856"/>
      <w:r>
        <w:t>Working with interpreters</w:t>
      </w:r>
      <w:bookmarkEnd w:id="16"/>
    </w:p>
    <w:p w14:paraId="65E59B66" w14:textId="77777777" w:rsidR="00331188" w:rsidRDefault="00331188" w:rsidP="00331188">
      <w:pPr>
        <w:pStyle w:val="Heading3"/>
      </w:pPr>
      <w:bookmarkStart w:id="17" w:name="_Toc151721857"/>
      <w:r>
        <w:t>Booking an interpreter</w:t>
      </w:r>
      <w:bookmarkEnd w:id="17"/>
    </w:p>
    <w:p w14:paraId="3487800E" w14:textId="481AF608" w:rsidR="00331188" w:rsidRDefault="00331188" w:rsidP="00160E1D">
      <w:pPr>
        <w:pStyle w:val="Body"/>
      </w:pPr>
      <w:r>
        <w:t xml:space="preserve">You will </w:t>
      </w:r>
      <w:r w:rsidR="005913B3">
        <w:t xml:space="preserve">need </w:t>
      </w:r>
      <w:r>
        <w:t>the following information to book an interpreter:</w:t>
      </w:r>
    </w:p>
    <w:p w14:paraId="4D48776C" w14:textId="56151EB5" w:rsidR="00331188" w:rsidRPr="00C6446A" w:rsidDel="007C2B00" w:rsidRDefault="00331188" w:rsidP="00160E1D">
      <w:pPr>
        <w:pStyle w:val="Bullet1"/>
      </w:pPr>
      <w:r w:rsidRPr="00C6446A" w:rsidDel="007C2B00">
        <w:t>client’s name</w:t>
      </w:r>
      <w:r>
        <w:t xml:space="preserve"> (</w:t>
      </w:r>
      <w:r w:rsidR="00CF2C4F">
        <w:t>but</w:t>
      </w:r>
      <w:r>
        <w:t xml:space="preserve"> consider not disclosing the name of the client to protect confidentiality in small communities and around sensitive topics)</w:t>
      </w:r>
    </w:p>
    <w:p w14:paraId="701A3802" w14:textId="77777777" w:rsidR="00331188" w:rsidRPr="00C6446A" w:rsidDel="007C2B00" w:rsidRDefault="00331188" w:rsidP="00160E1D">
      <w:pPr>
        <w:pStyle w:val="Bullet1"/>
      </w:pPr>
      <w:r w:rsidRPr="00C6446A" w:rsidDel="007C2B00">
        <w:t>language/dialect required</w:t>
      </w:r>
    </w:p>
    <w:p w14:paraId="38E39365" w14:textId="77777777" w:rsidR="00331188" w:rsidRPr="00092DC4" w:rsidDel="007C2B00" w:rsidRDefault="00331188" w:rsidP="00160E1D">
      <w:pPr>
        <w:pStyle w:val="Bullet1"/>
      </w:pPr>
      <w:r w:rsidRPr="00092DC4" w:rsidDel="007C2B00">
        <w:t>preferred gender of the interpreter (if relevant)</w:t>
      </w:r>
    </w:p>
    <w:p w14:paraId="0D9A6E79" w14:textId="2DBA808F" w:rsidR="00331188" w:rsidRPr="00092DC4" w:rsidDel="007C2B00" w:rsidRDefault="00331188" w:rsidP="00160E1D">
      <w:pPr>
        <w:pStyle w:val="Bullet1"/>
      </w:pPr>
      <w:r w:rsidRPr="00092DC4" w:rsidDel="007C2B00">
        <w:t xml:space="preserve">date and time </w:t>
      </w:r>
      <w:r w:rsidR="00CF2C4F">
        <w:t xml:space="preserve">you need </w:t>
      </w:r>
      <w:r w:rsidRPr="00092DC4" w:rsidDel="007C2B00">
        <w:t>the interpreter</w:t>
      </w:r>
      <w:r w:rsidR="00CF2C4F">
        <w:t xml:space="preserve"> </w:t>
      </w:r>
      <w:r w:rsidRPr="00092DC4" w:rsidDel="007C2B00">
        <w:t>– ensure you allow time to brief the interpreter beforehand</w:t>
      </w:r>
    </w:p>
    <w:p w14:paraId="788CD732" w14:textId="77777777" w:rsidR="00331188" w:rsidRPr="00092DC4" w:rsidDel="007C2B00" w:rsidRDefault="00331188" w:rsidP="00160E1D">
      <w:pPr>
        <w:pStyle w:val="Bullet1"/>
      </w:pPr>
      <w:r w:rsidRPr="00092DC4" w:rsidDel="007C2B00">
        <w:t>type of appointment – for example, a medical appointment</w:t>
      </w:r>
    </w:p>
    <w:p w14:paraId="4E287EB1" w14:textId="66E2A6F8" w:rsidR="00331188" w:rsidRPr="00092DC4" w:rsidDel="007C2B00" w:rsidRDefault="00331188" w:rsidP="00160E1D">
      <w:pPr>
        <w:pStyle w:val="Bullet1"/>
      </w:pPr>
      <w:r w:rsidRPr="00092DC4" w:rsidDel="007C2B00">
        <w:lastRenderedPageBreak/>
        <w:t xml:space="preserve">address of the agency </w:t>
      </w:r>
      <w:r w:rsidR="00BE790D">
        <w:t>booking</w:t>
      </w:r>
      <w:r w:rsidR="00BE790D" w:rsidRPr="00092DC4" w:rsidDel="007C2B00">
        <w:t xml:space="preserve"> </w:t>
      </w:r>
      <w:r w:rsidRPr="00092DC4" w:rsidDel="007C2B00">
        <w:t>the interpreter (for onsite interpreting services)</w:t>
      </w:r>
    </w:p>
    <w:p w14:paraId="02912AF0" w14:textId="202C5AB4" w:rsidR="00331188" w:rsidRPr="00092DC4" w:rsidDel="007C2B00" w:rsidRDefault="00331188" w:rsidP="00160E1D">
      <w:pPr>
        <w:pStyle w:val="Bullet1"/>
      </w:pPr>
      <w:r w:rsidRPr="005B0037">
        <w:t xml:space="preserve">name and telephone contact details of the staff member who will be </w:t>
      </w:r>
      <w:r w:rsidR="00437210">
        <w:t>doing</w:t>
      </w:r>
      <w:r w:rsidR="00437210" w:rsidRPr="005B0037">
        <w:t xml:space="preserve"> </w:t>
      </w:r>
      <w:r w:rsidRPr="005B0037">
        <w:t>the interview</w:t>
      </w:r>
      <w:r w:rsidRPr="005B0037" w:rsidDel="005B0037">
        <w:t xml:space="preserve"> </w:t>
      </w:r>
    </w:p>
    <w:p w14:paraId="1628FC7A" w14:textId="039DB9BD" w:rsidR="00331188" w:rsidRPr="00092DC4" w:rsidDel="007C2B00" w:rsidRDefault="00331188" w:rsidP="00160E1D">
      <w:pPr>
        <w:pStyle w:val="Bullet1"/>
      </w:pPr>
      <w:r w:rsidRPr="00092DC4" w:rsidDel="007C2B00">
        <w:t xml:space="preserve">nature of the matter </w:t>
      </w:r>
      <w:r w:rsidR="00CF2C4F">
        <w:t>for</w:t>
      </w:r>
      <w:r w:rsidRPr="00092DC4" w:rsidDel="007C2B00">
        <w:t xml:space="preserve"> discuss</w:t>
      </w:r>
      <w:r w:rsidR="00CF2C4F">
        <w:t>ion</w:t>
      </w:r>
      <w:r w:rsidRPr="00092DC4" w:rsidDel="007C2B00">
        <w:t xml:space="preserve"> – for example, an aged care health assessment</w:t>
      </w:r>
    </w:p>
    <w:p w14:paraId="3D6A8C25" w14:textId="5E5CC9FD" w:rsidR="00331188" w:rsidRPr="00092DC4" w:rsidDel="007C2B00" w:rsidRDefault="0095665C" w:rsidP="00160E1D">
      <w:pPr>
        <w:pStyle w:val="Bullet1"/>
      </w:pPr>
      <w:r w:rsidRPr="00092DC4" w:rsidDel="007C2B00">
        <w:t>expected</w:t>
      </w:r>
      <w:r w:rsidR="00331188" w:rsidRPr="00092DC4" w:rsidDel="007C2B00">
        <w:t xml:space="preserve"> length of the interview</w:t>
      </w:r>
    </w:p>
    <w:p w14:paraId="3B8F3E49" w14:textId="3785AF04" w:rsidR="00331188" w:rsidRPr="003C372D" w:rsidRDefault="00331188" w:rsidP="00160E1D">
      <w:pPr>
        <w:pStyle w:val="Bullet1"/>
      </w:pPr>
      <w:r w:rsidDel="007C2B00">
        <w:t xml:space="preserve">the interpreter’s name, if </w:t>
      </w:r>
      <w:r w:rsidR="009D3110">
        <w:t xml:space="preserve">you need </w:t>
      </w:r>
      <w:r w:rsidDel="007C2B00">
        <w:t>a specific interpreter for continuity of care.</w:t>
      </w:r>
    </w:p>
    <w:p w14:paraId="01553E01" w14:textId="09F67096" w:rsidR="00331188" w:rsidRDefault="00331188" w:rsidP="00160E1D">
      <w:pPr>
        <w:pStyle w:val="Bodyafterbullets"/>
      </w:pPr>
      <w:r>
        <w:t xml:space="preserve">For some clients, the gender of the interpreter will be important. </w:t>
      </w:r>
      <w:r w:rsidR="00437210">
        <w:t xml:space="preserve">Before </w:t>
      </w:r>
      <w:r>
        <w:t xml:space="preserve">booking an interpreter, ask the client if </w:t>
      </w:r>
      <w:r w:rsidR="00437210">
        <w:t>they have</w:t>
      </w:r>
      <w:r>
        <w:t xml:space="preserve"> a preference. </w:t>
      </w:r>
    </w:p>
    <w:p w14:paraId="3E386AC7" w14:textId="23DEBC18" w:rsidR="00331188" w:rsidRDefault="00331188" w:rsidP="00160E1D">
      <w:pPr>
        <w:pStyle w:val="Body"/>
      </w:pPr>
      <w:r>
        <w:t>In smaller communities</w:t>
      </w:r>
      <w:r w:rsidR="00437210">
        <w:t xml:space="preserve"> the client may know</w:t>
      </w:r>
      <w:r>
        <w:t xml:space="preserve"> the interpreter. This may </w:t>
      </w:r>
      <w:r w:rsidR="00437210">
        <w:t xml:space="preserve">be </w:t>
      </w:r>
      <w:r>
        <w:t xml:space="preserve">difficult for the client and/or the interpreter, especially in sensitive situations. </w:t>
      </w:r>
    </w:p>
    <w:p w14:paraId="156539E6" w14:textId="3D9BBDCE" w:rsidR="00331188" w:rsidRDefault="00331188" w:rsidP="00160E1D">
      <w:pPr>
        <w:pStyle w:val="Body"/>
      </w:pPr>
      <w:r>
        <w:t xml:space="preserve">Knowing the name of the interpreter </w:t>
      </w:r>
      <w:r w:rsidR="001D5C64">
        <w:t>before</w:t>
      </w:r>
      <w:r>
        <w:t xml:space="preserve"> the interview </w:t>
      </w:r>
      <w:r w:rsidR="00437210">
        <w:t xml:space="preserve">helps </w:t>
      </w:r>
      <w:r>
        <w:t>to identify any concerns the client or interpreter may have.</w:t>
      </w:r>
    </w:p>
    <w:p w14:paraId="676AF72E" w14:textId="088F7E38" w:rsidR="00331188" w:rsidRDefault="00331188" w:rsidP="00160E1D">
      <w:pPr>
        <w:pStyle w:val="Body"/>
      </w:pPr>
      <w:r>
        <w:t xml:space="preserve">When booking a telephone interpreter, </w:t>
      </w:r>
      <w:r w:rsidR="00437210">
        <w:t xml:space="preserve">tell </w:t>
      </w:r>
      <w:r>
        <w:t xml:space="preserve">the language service provider about the telephone system </w:t>
      </w:r>
      <w:r w:rsidR="00922FD7">
        <w:t xml:space="preserve">you </w:t>
      </w:r>
      <w:r>
        <w:t>will use</w:t>
      </w:r>
      <w:r w:rsidR="00437210">
        <w:t>.</w:t>
      </w:r>
      <w:r>
        <w:t xml:space="preserve"> </w:t>
      </w:r>
      <w:r w:rsidR="00437210">
        <w:t>F</w:t>
      </w:r>
      <w:r>
        <w:t>or example</w:t>
      </w:r>
      <w:r w:rsidR="00437210">
        <w:t>:</w:t>
      </w:r>
      <w:r>
        <w:t xml:space="preserve"> </w:t>
      </w:r>
      <w:r w:rsidR="00437210">
        <w:t>I</w:t>
      </w:r>
      <w:r>
        <w:t>s it a speakerphone</w:t>
      </w:r>
      <w:r w:rsidR="00437210">
        <w:t>?</w:t>
      </w:r>
      <w:r>
        <w:t xml:space="preserve"> </w:t>
      </w:r>
      <w:r w:rsidR="00437210">
        <w:t>O</w:t>
      </w:r>
      <w:r>
        <w:t>r will the interviewer and client be using a dual handset telephone?</w:t>
      </w:r>
    </w:p>
    <w:p w14:paraId="0D999C9F" w14:textId="77777777" w:rsidR="00331188" w:rsidRPr="006B2515" w:rsidRDefault="00331188" w:rsidP="00331188">
      <w:pPr>
        <w:pStyle w:val="Heading3"/>
      </w:pPr>
      <w:bookmarkStart w:id="18" w:name="_Toc151721858"/>
      <w:r w:rsidRPr="006B2515">
        <w:t>Requests for a preferred interpreter</w:t>
      </w:r>
      <w:bookmarkEnd w:id="18"/>
    </w:p>
    <w:p w14:paraId="591A2B5E" w14:textId="249C58E0" w:rsidR="00331188" w:rsidRPr="00835D8E" w:rsidRDefault="00437210" w:rsidP="00160E1D">
      <w:pPr>
        <w:pStyle w:val="Body"/>
      </w:pPr>
      <w:r>
        <w:t xml:space="preserve">Using </w:t>
      </w:r>
      <w:r w:rsidR="00331188" w:rsidRPr="007E3D20">
        <w:t xml:space="preserve">a </w:t>
      </w:r>
      <w:r w:rsidR="00331188">
        <w:t xml:space="preserve">client’s </w:t>
      </w:r>
      <w:r w:rsidR="00331188" w:rsidRPr="007E3D20">
        <w:t xml:space="preserve">preferred interpreter </w:t>
      </w:r>
      <w:r>
        <w:t>helps</w:t>
      </w:r>
      <w:r w:rsidRPr="007E3D20">
        <w:t xml:space="preserve"> </w:t>
      </w:r>
      <w:r w:rsidR="00331188" w:rsidRPr="007E3D20">
        <w:t xml:space="preserve">the communication process by ensuring the client is comfortable with the interpreter. </w:t>
      </w:r>
      <w:r w:rsidR="00331188">
        <w:t>This is particularly important for ongoing or</w:t>
      </w:r>
      <w:r w:rsidR="00331188" w:rsidRPr="007E3D20">
        <w:t xml:space="preserve"> sensitive interviews such as family violence counselling.</w:t>
      </w:r>
      <w:r w:rsidR="00331188">
        <w:t xml:space="preserve"> </w:t>
      </w:r>
      <w:r w:rsidR="005C5A13">
        <w:t>Make any</w:t>
      </w:r>
      <w:r w:rsidR="00331188" w:rsidRPr="00835D8E">
        <w:t xml:space="preserve"> request for a particular interpreter </w:t>
      </w:r>
      <w:r w:rsidR="00331188">
        <w:t>at the time of booking</w:t>
      </w:r>
      <w:r w:rsidR="005C5A13">
        <w:t>. (N</w:t>
      </w:r>
      <w:r w:rsidR="00331188">
        <w:t>ot</w:t>
      </w:r>
      <w:r w:rsidR="005C5A13">
        <w:t>e that</w:t>
      </w:r>
      <w:r w:rsidR="00331188">
        <w:t xml:space="preserve"> they will need to</w:t>
      </w:r>
      <w:r w:rsidR="00331188" w:rsidRPr="00835D8E">
        <w:t xml:space="preserve"> have the professional level </w:t>
      </w:r>
      <w:r w:rsidR="00331188">
        <w:t xml:space="preserve">qualification </w:t>
      </w:r>
      <w:r w:rsidR="00166CCA">
        <w:t xml:space="preserve">needed </w:t>
      </w:r>
      <w:r w:rsidR="00331188">
        <w:t>for the situation</w:t>
      </w:r>
      <w:r w:rsidR="00331188" w:rsidRPr="00835D8E">
        <w:t>.</w:t>
      </w:r>
      <w:r w:rsidR="005C5A13">
        <w:t>)</w:t>
      </w:r>
      <w:r w:rsidR="00331188" w:rsidRPr="00835D8E">
        <w:t xml:space="preserve"> </w:t>
      </w:r>
    </w:p>
    <w:p w14:paraId="5BFEAA69" w14:textId="77777777" w:rsidR="00331188" w:rsidRDefault="00331188" w:rsidP="00331188">
      <w:pPr>
        <w:pStyle w:val="Heading3"/>
      </w:pPr>
      <w:bookmarkStart w:id="19" w:name="_Toc151721859"/>
      <w:r>
        <w:t>Preparing for the session</w:t>
      </w:r>
      <w:bookmarkEnd w:id="19"/>
    </w:p>
    <w:p w14:paraId="5CD82B54" w14:textId="3195D1C7" w:rsidR="00166CCA" w:rsidRDefault="00331188" w:rsidP="00160E1D">
      <w:pPr>
        <w:pStyle w:val="Body"/>
      </w:pPr>
      <w:r>
        <w:t xml:space="preserve">Brief the interpreter by </w:t>
      </w:r>
      <w:r w:rsidR="005C5A13">
        <w:t xml:space="preserve">giving </w:t>
      </w:r>
      <w:r>
        <w:t>general background information</w:t>
      </w:r>
      <w:r w:rsidR="005C5A13">
        <w:t>. This might include</w:t>
      </w:r>
      <w:r w:rsidR="00166CCA">
        <w:t>:</w:t>
      </w:r>
      <w:r>
        <w:t xml:space="preserve"> </w:t>
      </w:r>
    </w:p>
    <w:p w14:paraId="45D1D40B" w14:textId="5B9D7B76" w:rsidR="00166CCA" w:rsidRDefault="00331188" w:rsidP="00166CCA">
      <w:pPr>
        <w:pStyle w:val="Bullet1"/>
      </w:pPr>
      <w:r>
        <w:t>the reason for the session</w:t>
      </w:r>
    </w:p>
    <w:p w14:paraId="0FAA61CB" w14:textId="74DDB8F7" w:rsidR="00166CCA" w:rsidRDefault="00331188" w:rsidP="00166CCA">
      <w:pPr>
        <w:pStyle w:val="Bullet1"/>
      </w:pPr>
      <w:r>
        <w:t xml:space="preserve">specific terms to use </w:t>
      </w:r>
    </w:p>
    <w:p w14:paraId="53DC623F" w14:textId="6D363F58" w:rsidR="00331188" w:rsidRDefault="00331188" w:rsidP="00BC110A">
      <w:pPr>
        <w:pStyle w:val="Bullet1"/>
      </w:pPr>
      <w:r>
        <w:t xml:space="preserve">what </w:t>
      </w:r>
      <w:r w:rsidR="003F0D9C">
        <w:t xml:space="preserve">you </w:t>
      </w:r>
      <w:r>
        <w:t xml:space="preserve">need to achieve. </w:t>
      </w:r>
    </w:p>
    <w:p w14:paraId="48B1FE80" w14:textId="55290768" w:rsidR="00331188" w:rsidRDefault="00331188" w:rsidP="00BC110A">
      <w:pPr>
        <w:pStyle w:val="Bodyafterbullets"/>
      </w:pPr>
      <w:r>
        <w:t xml:space="preserve">Consider </w:t>
      </w:r>
      <w:r w:rsidR="005C5A13">
        <w:t xml:space="preserve">scheduling </w:t>
      </w:r>
      <w:r>
        <w:t xml:space="preserve">a break for long sessions. </w:t>
      </w:r>
    </w:p>
    <w:p w14:paraId="6F7D58C0" w14:textId="14B868C6" w:rsidR="00331188" w:rsidRDefault="00331188" w:rsidP="00160E1D">
      <w:pPr>
        <w:pStyle w:val="Body"/>
      </w:pPr>
      <w:r w:rsidRPr="000540B1">
        <w:t xml:space="preserve">As with all interpreting, </w:t>
      </w:r>
      <w:r>
        <w:t>it is important to be patient and allow time for communication</w:t>
      </w:r>
      <w:r w:rsidR="005C5A13">
        <w:t>. This is</w:t>
      </w:r>
      <w:r>
        <w:t xml:space="preserve"> due to the delay </w:t>
      </w:r>
      <w:r w:rsidRPr="000540B1">
        <w:t>between a</w:t>
      </w:r>
      <w:r>
        <w:t xml:space="preserve"> message being spoken or signed</w:t>
      </w:r>
      <w:r w:rsidRPr="000540B1">
        <w:t xml:space="preserve"> and the </w:t>
      </w:r>
      <w:r>
        <w:t>interpretation</w:t>
      </w:r>
      <w:r w:rsidRPr="000540B1">
        <w:t xml:space="preserve">. 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1E3F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88"/>
      </w:tblGrid>
      <w:tr w:rsidR="00331188" w14:paraId="4ECD9AC3" w14:textId="77777777" w:rsidTr="00A741E7">
        <w:tc>
          <w:tcPr>
            <w:tcW w:w="9602" w:type="dxa"/>
            <w:shd w:val="clear" w:color="auto" w:fill="E5FBFF"/>
          </w:tcPr>
          <w:p w14:paraId="196A8BF1" w14:textId="220E051D" w:rsidR="005C5A13" w:rsidRPr="00BC110A" w:rsidRDefault="00331188" w:rsidP="00BC110A">
            <w:pPr>
              <w:pStyle w:val="Tabletext"/>
              <w:rPr>
                <w:b/>
                <w:bCs/>
              </w:rPr>
            </w:pPr>
            <w:r w:rsidRPr="00BC110A">
              <w:rPr>
                <w:b/>
                <w:bCs/>
              </w:rPr>
              <w:t>Onsite</w:t>
            </w:r>
          </w:p>
          <w:p w14:paraId="36C2BF4D" w14:textId="38E9AB2B" w:rsidR="00331188" w:rsidRDefault="005C5A13" w:rsidP="00160E1D">
            <w:pPr>
              <w:pStyle w:val="Tablebullet1"/>
            </w:pPr>
            <w:r>
              <w:t>E</w:t>
            </w:r>
            <w:r w:rsidR="00331188">
              <w:t xml:space="preserve">nsure the room is set up </w:t>
            </w:r>
            <w:r>
              <w:t>well</w:t>
            </w:r>
            <w:r w:rsidR="00331188">
              <w:t xml:space="preserve">. </w:t>
            </w:r>
            <w:r w:rsidR="00331188" w:rsidRPr="00CE7DA1">
              <w:t xml:space="preserve">Consider </w:t>
            </w:r>
            <w:r w:rsidR="00331188">
              <w:t xml:space="preserve">appropriate lighting, </w:t>
            </w:r>
            <w:r w:rsidR="00331188" w:rsidRPr="00CE7DA1">
              <w:t xml:space="preserve">avoiding </w:t>
            </w:r>
            <w:r w:rsidR="00331188">
              <w:t xml:space="preserve">glare from </w:t>
            </w:r>
            <w:r w:rsidR="00331188" w:rsidRPr="00CE7DA1">
              <w:t>windows</w:t>
            </w:r>
            <w:r w:rsidR="00331188">
              <w:t xml:space="preserve"> and seating arrangements.</w:t>
            </w:r>
          </w:p>
          <w:p w14:paraId="6831C90F" w14:textId="7758551A" w:rsidR="00331188" w:rsidRDefault="00331188" w:rsidP="00160E1D">
            <w:pPr>
              <w:pStyle w:val="Tablebullet1"/>
            </w:pPr>
            <w:r>
              <w:t xml:space="preserve">Ideally, </w:t>
            </w:r>
            <w:r w:rsidR="005C5A13">
              <w:t xml:space="preserve">arrange </w:t>
            </w:r>
            <w:r>
              <w:t>seats in a triangle</w:t>
            </w:r>
            <w:r w:rsidR="00DB59AE">
              <w:t>,</w:t>
            </w:r>
            <w:r>
              <w:t xml:space="preserve"> with the service provider facing the client and the interpreter next to the client. </w:t>
            </w:r>
          </w:p>
          <w:p w14:paraId="58FB275A" w14:textId="77777777" w:rsidR="00331188" w:rsidRDefault="00331188" w:rsidP="00160E1D">
            <w:pPr>
              <w:pStyle w:val="Tablebullet1"/>
            </w:pPr>
            <w:r>
              <w:t>Avoid leaving the interpreter alone with the client, either in the room where the interview will take place or a waiting room.</w:t>
            </w:r>
          </w:p>
          <w:p w14:paraId="4B310D39" w14:textId="487F5EC2" w:rsidR="005C5A13" w:rsidRPr="00BC110A" w:rsidRDefault="00331188" w:rsidP="00BC110A">
            <w:pPr>
              <w:pStyle w:val="Tabletext"/>
              <w:rPr>
                <w:b/>
                <w:bCs/>
              </w:rPr>
            </w:pPr>
            <w:r w:rsidRPr="00BC110A">
              <w:rPr>
                <w:b/>
                <w:bCs/>
              </w:rPr>
              <w:t>Telephone and video remote</w:t>
            </w:r>
          </w:p>
          <w:p w14:paraId="36219EE8" w14:textId="01CA391F" w:rsidR="00331188" w:rsidRDefault="004672DA" w:rsidP="00160E1D">
            <w:pPr>
              <w:pStyle w:val="Tablebullet1"/>
            </w:pPr>
            <w:r>
              <w:t xml:space="preserve">Make </w:t>
            </w:r>
            <w:r w:rsidR="00331188">
              <w:t xml:space="preserve">sure you have </w:t>
            </w:r>
            <w:r>
              <w:t xml:space="preserve">suitable </w:t>
            </w:r>
            <w:r w:rsidR="00331188">
              <w:t xml:space="preserve">technology and understand how to work the telephone/IT system. </w:t>
            </w:r>
          </w:p>
          <w:p w14:paraId="42DA03BF" w14:textId="3F283469" w:rsidR="00331188" w:rsidRDefault="00331188" w:rsidP="00160E1D">
            <w:pPr>
              <w:pStyle w:val="Tablebullet1"/>
            </w:pPr>
            <w:r>
              <w:t xml:space="preserve">Telephone interpreting is more effective </w:t>
            </w:r>
            <w:r w:rsidR="004672DA">
              <w:t xml:space="preserve">over </w:t>
            </w:r>
            <w:r>
              <w:t xml:space="preserve">a landline rather than a mobile phone. </w:t>
            </w:r>
          </w:p>
          <w:p w14:paraId="40CE8B95" w14:textId="44AA3E94" w:rsidR="00331188" w:rsidRDefault="005C5A13" w:rsidP="00160E1D">
            <w:pPr>
              <w:pStyle w:val="Tablebullet1"/>
            </w:pPr>
            <w:r>
              <w:t xml:space="preserve">Use </w:t>
            </w:r>
            <w:r w:rsidR="00331188">
              <w:t>a telephone with a speakerphone (or two handsets) where possible.</w:t>
            </w:r>
          </w:p>
        </w:tc>
      </w:tr>
    </w:tbl>
    <w:p w14:paraId="40B6F731" w14:textId="77777777" w:rsidR="00331188" w:rsidRPr="00CE7DA1" w:rsidRDefault="00331188" w:rsidP="00331188">
      <w:pPr>
        <w:pStyle w:val="Heading3"/>
      </w:pPr>
      <w:bookmarkStart w:id="20" w:name="_Toc151721860"/>
      <w:r>
        <w:lastRenderedPageBreak/>
        <w:t xml:space="preserve">Working with </w:t>
      </w:r>
      <w:r w:rsidRPr="00CE7DA1">
        <w:t>Auslan interpreter</w:t>
      </w:r>
      <w:r>
        <w:t>s</w:t>
      </w:r>
      <w:bookmarkEnd w:id="20"/>
      <w:r w:rsidRPr="00CE7DA1">
        <w:t xml:space="preserve"> </w:t>
      </w:r>
    </w:p>
    <w:p w14:paraId="3FCEC3C2" w14:textId="77777777" w:rsidR="004672DA" w:rsidRDefault="00331188" w:rsidP="00160E1D">
      <w:pPr>
        <w:pStyle w:val="Body"/>
      </w:pPr>
      <w:r>
        <w:t>Auslan interpreters work in a similar way to other language interpreters. The interpreter will typically need to sit or stand next to the service provider and opposite the client. This allows the Deaf person to</w:t>
      </w:r>
      <w:r w:rsidR="004672DA">
        <w:t>:</w:t>
      </w:r>
      <w:r>
        <w:t xml:space="preserve"> </w:t>
      </w:r>
    </w:p>
    <w:p w14:paraId="0C600240" w14:textId="522F99E4" w:rsidR="004672DA" w:rsidRDefault="00331188" w:rsidP="004672DA">
      <w:pPr>
        <w:pStyle w:val="Bullet1"/>
      </w:pPr>
      <w:r>
        <w:t>maintain eye contact with the speaker</w:t>
      </w:r>
    </w:p>
    <w:p w14:paraId="14BC7A28" w14:textId="072FAFC6" w:rsidR="004672DA" w:rsidRDefault="00331188" w:rsidP="004672DA">
      <w:pPr>
        <w:pStyle w:val="Bullet1"/>
      </w:pPr>
      <w:r>
        <w:t xml:space="preserve">read body language </w:t>
      </w:r>
    </w:p>
    <w:p w14:paraId="4635F029" w14:textId="4B7700A4" w:rsidR="00331188" w:rsidRDefault="00331188" w:rsidP="00BC110A">
      <w:pPr>
        <w:pStyle w:val="Bullet1"/>
      </w:pPr>
      <w:r>
        <w:t>engage with the person speaking whil</w:t>
      </w:r>
      <w:r w:rsidR="004672DA">
        <w:t>e</w:t>
      </w:r>
      <w:r>
        <w:t xml:space="preserve"> receiving the message from the interpreter. </w:t>
      </w:r>
    </w:p>
    <w:p w14:paraId="1E4B3B2D" w14:textId="77777777" w:rsidR="00331188" w:rsidRDefault="00331188" w:rsidP="00BC110A">
      <w:pPr>
        <w:pStyle w:val="Bodyafterbullets"/>
      </w:pPr>
      <w:r>
        <w:t>Two interpreters may take it in turns to sign, depending on the length of the session.</w:t>
      </w:r>
    </w:p>
    <w:p w14:paraId="4729DE80" w14:textId="77777777" w:rsidR="00331188" w:rsidRDefault="00331188" w:rsidP="00160E1D">
      <w:pPr>
        <w:pStyle w:val="Body"/>
      </w:pPr>
      <w:r>
        <w:t xml:space="preserve">As with all interpreting, the service provider should ensure they speak directly to the client and not the interpreter. </w:t>
      </w:r>
    </w:p>
    <w:p w14:paraId="2C49B456" w14:textId="4457E5B7" w:rsidR="00331188" w:rsidRDefault="00331188" w:rsidP="00160E1D">
      <w:pPr>
        <w:pStyle w:val="Body"/>
      </w:pPr>
      <w:r>
        <w:t xml:space="preserve">Because Deaf people generally use language services their entire lives, many are familiar and work regularly with Auslan interpreters. It is common for Deaf people to </w:t>
      </w:r>
      <w:r w:rsidR="00DB59AE">
        <w:t xml:space="preserve">ask for </w:t>
      </w:r>
      <w:r>
        <w:t>a specific interpreter or agency</w:t>
      </w:r>
      <w:r w:rsidR="004672DA">
        <w:t>. Accommodate</w:t>
      </w:r>
      <w:r>
        <w:t xml:space="preserve"> this request where possible. </w:t>
      </w:r>
    </w:p>
    <w:p w14:paraId="229806EF" w14:textId="77777777" w:rsidR="00331188" w:rsidRDefault="00331188" w:rsidP="00331188">
      <w:pPr>
        <w:pStyle w:val="Heading3"/>
      </w:pPr>
      <w:bookmarkStart w:id="21" w:name="_Toc151721861"/>
      <w:r>
        <w:t>During the session</w:t>
      </w:r>
      <w:bookmarkEnd w:id="21"/>
    </w:p>
    <w:p w14:paraId="3D4EC170" w14:textId="7B146782" w:rsidR="00331188" w:rsidRPr="00C6446A" w:rsidRDefault="00331188" w:rsidP="00331188">
      <w:pPr>
        <w:pStyle w:val="Heading4"/>
      </w:pPr>
      <w:r w:rsidRPr="00767BF2">
        <w:t>At the s</w:t>
      </w:r>
      <w:r w:rsidRPr="00C6446A">
        <w:t>tart of the interview</w:t>
      </w:r>
    </w:p>
    <w:p w14:paraId="115FAB86" w14:textId="58D3D1BF" w:rsidR="00331188" w:rsidRPr="00092DC4" w:rsidRDefault="00BA4703" w:rsidP="00160E1D">
      <w:pPr>
        <w:pStyle w:val="Bullet1"/>
      </w:pPr>
      <w:r>
        <w:t>I</w:t>
      </w:r>
      <w:r w:rsidR="00331188" w:rsidRPr="00C6446A">
        <w:t>ntroduce yourself and the interpreter to the client</w:t>
      </w:r>
      <w:r>
        <w:t>.</w:t>
      </w:r>
    </w:p>
    <w:p w14:paraId="1E43F23F" w14:textId="13009DAE" w:rsidR="00331188" w:rsidRPr="00092DC4" w:rsidRDefault="00BA4703" w:rsidP="00160E1D">
      <w:pPr>
        <w:pStyle w:val="Bullet1"/>
      </w:pPr>
      <w:r>
        <w:t>E</w:t>
      </w:r>
      <w:r w:rsidR="00331188" w:rsidRPr="00092DC4">
        <w:t>xplain the interpreter’s role, noting that the</w:t>
      </w:r>
      <w:r w:rsidR="00DB59AE">
        <w:t>ir</w:t>
      </w:r>
      <w:r w:rsidR="00331188" w:rsidRPr="00092DC4">
        <w:t xml:space="preserve"> role is not to add to the communication but only to interpret what is being said</w:t>
      </w:r>
      <w:r>
        <w:t>.</w:t>
      </w:r>
    </w:p>
    <w:p w14:paraId="2FB12810" w14:textId="19ADCEDD" w:rsidR="00331188" w:rsidRPr="00092DC4" w:rsidRDefault="00BA4703" w:rsidP="00160E1D">
      <w:pPr>
        <w:pStyle w:val="Bullet1"/>
      </w:pPr>
      <w:r>
        <w:t>E</w:t>
      </w:r>
      <w:r w:rsidR="00331188" w:rsidRPr="00092DC4">
        <w:t>xplain the purpose of the session and what you hope to achieve</w:t>
      </w:r>
      <w:r>
        <w:t>.</w:t>
      </w:r>
    </w:p>
    <w:p w14:paraId="3A5ACB19" w14:textId="6A9C57CE" w:rsidR="00331188" w:rsidRPr="00092DC4" w:rsidRDefault="00BA4703" w:rsidP="00160E1D">
      <w:pPr>
        <w:pStyle w:val="Bullet1"/>
      </w:pPr>
      <w:r>
        <w:t>D</w:t>
      </w:r>
      <w:r w:rsidR="00331188" w:rsidRPr="00092DC4">
        <w:t xml:space="preserve">o not assume the client knows what the interview is about. Explain to the client that </w:t>
      </w:r>
      <w:r w:rsidR="004340E0">
        <w:t xml:space="preserve">they can raise </w:t>
      </w:r>
      <w:r w:rsidR="00331188" w:rsidRPr="00092DC4">
        <w:t>questions or concerns at any time during the interview.</w:t>
      </w:r>
    </w:p>
    <w:p w14:paraId="482E5D64" w14:textId="0AE16C68" w:rsidR="00331188" w:rsidRPr="003C372D" w:rsidRDefault="00331188" w:rsidP="00331188">
      <w:pPr>
        <w:pStyle w:val="Heading4"/>
      </w:pPr>
      <w:r w:rsidRPr="000913EF">
        <w:t>During the interview</w:t>
      </w:r>
    </w:p>
    <w:p w14:paraId="35C1A0F7" w14:textId="69E968E4" w:rsidR="00331188" w:rsidRPr="00C6446A" w:rsidRDefault="00BA4703" w:rsidP="00160E1D">
      <w:pPr>
        <w:pStyle w:val="Bullet1"/>
      </w:pPr>
      <w:r>
        <w:t>T</w:t>
      </w:r>
      <w:r w:rsidR="00331188" w:rsidRPr="00C6446A">
        <w:t>alk directly to the client, not the interpreter</w:t>
      </w:r>
      <w:r w:rsidR="00DB59AE">
        <w:t>.</w:t>
      </w:r>
      <w:r w:rsidR="00331188" w:rsidRPr="00C6446A">
        <w:t xml:space="preserve"> </w:t>
      </w:r>
      <w:r w:rsidR="00DB59AE">
        <w:t>M</w:t>
      </w:r>
      <w:r w:rsidR="00331188" w:rsidRPr="00C6446A">
        <w:t>aintain eye contact with the client</w:t>
      </w:r>
      <w:r w:rsidR="004340E0">
        <w:t>.</w:t>
      </w:r>
    </w:p>
    <w:p w14:paraId="60490330" w14:textId="3A69D9B5" w:rsidR="00331188" w:rsidRPr="00C6446A" w:rsidRDefault="00BA4703" w:rsidP="00160E1D">
      <w:pPr>
        <w:pStyle w:val="Bullet1"/>
      </w:pPr>
      <w:r>
        <w:t>U</w:t>
      </w:r>
      <w:r w:rsidR="00331188" w:rsidRPr="00C6446A">
        <w:t>se the first person when speaking to your client. For example, say ‘What time did you arrive today?’ instead of ‘What time did she arrive today?’</w:t>
      </w:r>
    </w:p>
    <w:p w14:paraId="6C0C3202" w14:textId="09D1B74B" w:rsidR="00331188" w:rsidRPr="00C6446A" w:rsidRDefault="00BA4703" w:rsidP="00160E1D">
      <w:pPr>
        <w:pStyle w:val="Bullet1"/>
      </w:pPr>
      <w:r>
        <w:t>U</w:t>
      </w:r>
      <w:r w:rsidR="00331188" w:rsidRPr="00C6446A">
        <w:t>se clear language and avoid using slang, jargon, acronyms, colloquialisms and metaphors.</w:t>
      </w:r>
    </w:p>
    <w:p w14:paraId="2AE7744F" w14:textId="4D71771C" w:rsidR="00331188" w:rsidRPr="00092DC4" w:rsidRDefault="00BA4703" w:rsidP="00160E1D">
      <w:pPr>
        <w:pStyle w:val="Bullet1"/>
      </w:pPr>
      <w:r>
        <w:t>M</w:t>
      </w:r>
      <w:r w:rsidR="00331188" w:rsidRPr="00C6446A">
        <w:t>ake one point at a time. Pause until the end of a f</w:t>
      </w:r>
      <w:r w:rsidR="00331188" w:rsidRPr="00092DC4">
        <w:t>ull sentence. Keep questions, statements and comments short. This allows the interpreter to understand and remember what is being said and to interpret in stages</w:t>
      </w:r>
      <w:r>
        <w:t>.</w:t>
      </w:r>
    </w:p>
    <w:p w14:paraId="0C65BEAA" w14:textId="14F35639" w:rsidR="00331188" w:rsidRPr="00092DC4" w:rsidRDefault="00BA4703" w:rsidP="00160E1D">
      <w:pPr>
        <w:pStyle w:val="Bullet1"/>
      </w:pPr>
      <w:r>
        <w:t>A</w:t>
      </w:r>
      <w:r w:rsidR="00331188" w:rsidRPr="00C6446A">
        <w:t>llow the interpreter to clarify information with you. If there is a need to clarify, ask the</w:t>
      </w:r>
      <w:r w:rsidR="00331188" w:rsidRPr="00092DC4">
        <w:t xml:space="preserve"> interpreter to explain this to the client first</w:t>
      </w:r>
      <w:r>
        <w:t>.</w:t>
      </w:r>
    </w:p>
    <w:p w14:paraId="36502992" w14:textId="563F9582" w:rsidR="00331188" w:rsidRPr="00C6446A" w:rsidRDefault="00BA4703" w:rsidP="00160E1D">
      <w:pPr>
        <w:pStyle w:val="Bullet1"/>
      </w:pPr>
      <w:r>
        <w:t>A</w:t>
      </w:r>
      <w:r w:rsidR="00331188" w:rsidRPr="00C6446A">
        <w:t>llow the client to ask questions or raise issues at any time in the interview</w:t>
      </w:r>
      <w:r>
        <w:t>.</w:t>
      </w:r>
    </w:p>
    <w:p w14:paraId="3C578727" w14:textId="60577D08" w:rsidR="00331188" w:rsidRPr="00C6446A" w:rsidRDefault="00BA4703" w:rsidP="00160E1D">
      <w:pPr>
        <w:pStyle w:val="Bullet1"/>
      </w:pPr>
      <w:r>
        <w:t>I</w:t>
      </w:r>
      <w:r w:rsidR="00331188" w:rsidRPr="00C6446A">
        <w:t>f you have any questions about the client’s cultural background, ask the client directly and not the interpreter</w:t>
      </w:r>
      <w:r>
        <w:t>.</w:t>
      </w:r>
    </w:p>
    <w:p w14:paraId="63B56CC8" w14:textId="07EE450F" w:rsidR="004340E0" w:rsidRDefault="00BA4703" w:rsidP="00160E1D">
      <w:pPr>
        <w:pStyle w:val="Bullet1"/>
      </w:pPr>
      <w:r>
        <w:t>S</w:t>
      </w:r>
      <w:r w:rsidR="00331188" w:rsidRPr="00C6446A">
        <w:t xml:space="preserve">ummarise the discussion </w:t>
      </w:r>
      <w:r w:rsidR="0041150C">
        <w:t>from time to time</w:t>
      </w:r>
      <w:r w:rsidR="0041150C" w:rsidRPr="00C6446A">
        <w:t xml:space="preserve"> </w:t>
      </w:r>
      <w:r w:rsidR="00331188" w:rsidRPr="00C6446A">
        <w:t>to ensure the client understands the information</w:t>
      </w:r>
      <w:r w:rsidR="004340E0">
        <w:t>.</w:t>
      </w:r>
      <w:r w:rsidR="00331188">
        <w:t xml:space="preserve"> </w:t>
      </w:r>
    </w:p>
    <w:p w14:paraId="04E8B717" w14:textId="5ADBF4CA" w:rsidR="00331188" w:rsidRPr="00092DC4" w:rsidRDefault="004340E0" w:rsidP="00160E1D">
      <w:pPr>
        <w:pStyle w:val="Bullet1"/>
      </w:pPr>
      <w:r>
        <w:t>D</w:t>
      </w:r>
      <w:r w:rsidR="00331188" w:rsidRPr="00C6446A">
        <w:t>o not ask the interpreter to edit your information to suit the client’s background.</w:t>
      </w:r>
    </w:p>
    <w:p w14:paraId="6EC4B19D" w14:textId="434AC6E5" w:rsidR="00331188" w:rsidRPr="003C02F0" w:rsidRDefault="00331188" w:rsidP="00BC110A">
      <w:pPr>
        <w:pStyle w:val="Heading4"/>
      </w:pPr>
      <w:r w:rsidRPr="00220EF8">
        <w:t>At the end of the interview</w:t>
      </w:r>
    </w:p>
    <w:p w14:paraId="0ADEC016" w14:textId="26BD0D0B" w:rsidR="00331188" w:rsidRDefault="00BA4703" w:rsidP="00160E1D">
      <w:pPr>
        <w:pStyle w:val="Bullet1"/>
      </w:pPr>
      <w:r>
        <w:t>S</w:t>
      </w:r>
      <w:r w:rsidR="00331188">
        <w:t>ummarise key points for the client</w:t>
      </w:r>
      <w:r>
        <w:t>.</w:t>
      </w:r>
    </w:p>
    <w:p w14:paraId="1E7BBCC6" w14:textId="3DAA2E45" w:rsidR="00331188" w:rsidRDefault="00BA4703" w:rsidP="00160E1D">
      <w:pPr>
        <w:pStyle w:val="Bullet1"/>
      </w:pPr>
      <w:r>
        <w:t>C</w:t>
      </w:r>
      <w:r w:rsidR="00331188">
        <w:t>heck that the client understands any information you have conveyed and if there are any final questions</w:t>
      </w:r>
      <w:r>
        <w:t>.</w:t>
      </w:r>
    </w:p>
    <w:p w14:paraId="0C05B4ED" w14:textId="44BDEDA6" w:rsidR="00331188" w:rsidRDefault="00BA4703" w:rsidP="00160E1D">
      <w:pPr>
        <w:pStyle w:val="Bullet1"/>
      </w:pPr>
      <w:r>
        <w:t>A</w:t>
      </w:r>
      <w:r w:rsidR="00331188">
        <w:t>llow the interpreter to leave separately to the client.</w:t>
      </w:r>
    </w:p>
    <w:p w14:paraId="51FA9607" w14:textId="4552D850" w:rsidR="00331188" w:rsidRPr="00C6446A" w:rsidRDefault="00331188" w:rsidP="00331188">
      <w:pPr>
        <w:pStyle w:val="Heading4"/>
      </w:pPr>
      <w:r w:rsidRPr="00767BF2">
        <w:lastRenderedPageBreak/>
        <w:t>After the i</w:t>
      </w:r>
      <w:r w:rsidRPr="00C6446A">
        <w:t>nterview</w:t>
      </w:r>
    </w:p>
    <w:p w14:paraId="155A71A6" w14:textId="49CEA2CD" w:rsidR="00331188" w:rsidRDefault="00BA4703" w:rsidP="00160E1D">
      <w:pPr>
        <w:pStyle w:val="Bullet1"/>
      </w:pPr>
      <w:r>
        <w:t>D</w:t>
      </w:r>
      <w:r w:rsidR="00331188">
        <w:t>ebrief the interpreter</w:t>
      </w:r>
      <w:r w:rsidR="00B0395A">
        <w:t>.</w:t>
      </w:r>
      <w:r w:rsidR="00331188">
        <w:t xml:space="preserve"> </w:t>
      </w:r>
      <w:r w:rsidR="00B0395A">
        <w:t>D</w:t>
      </w:r>
      <w:r w:rsidR="00331188">
        <w:t xml:space="preserve">iscuss any issues </w:t>
      </w:r>
      <w:r w:rsidR="00B0395A">
        <w:t xml:space="preserve">to do with </w:t>
      </w:r>
      <w:r w:rsidR="00331188">
        <w:t>the role of the interviewer or the interpreter</w:t>
      </w:r>
      <w:r>
        <w:t>.</w:t>
      </w:r>
    </w:p>
    <w:p w14:paraId="49C69E62" w14:textId="539D8622" w:rsidR="00331188" w:rsidRDefault="00BA4703" w:rsidP="00160E1D">
      <w:pPr>
        <w:pStyle w:val="Bullet1"/>
      </w:pPr>
      <w:r>
        <w:t>D</w:t>
      </w:r>
      <w:r w:rsidR="00331188">
        <w:t xml:space="preserve">o not ask for or allow the interpreter to </w:t>
      </w:r>
      <w:r w:rsidR="0041150C">
        <w:t xml:space="preserve">give </w:t>
      </w:r>
      <w:r w:rsidR="00331188">
        <w:t>an opinion about the client or what they have said</w:t>
      </w:r>
      <w:r>
        <w:t>.</w:t>
      </w:r>
    </w:p>
    <w:p w14:paraId="63B6EE77" w14:textId="0A82828D" w:rsidR="00331188" w:rsidRDefault="00BA4703" w:rsidP="00160E1D">
      <w:pPr>
        <w:pStyle w:val="Bullet1"/>
      </w:pPr>
      <w:r>
        <w:t>R</w:t>
      </w:r>
      <w:r w:rsidR="00331188">
        <w:t>aise any unprofessional or unsatisfactory practices directly with the interpreter.</w:t>
      </w:r>
    </w:p>
    <w:p w14:paraId="7BE73567" w14:textId="77777777" w:rsidR="00331188" w:rsidRDefault="00331188" w:rsidP="00331188">
      <w:pPr>
        <w:pStyle w:val="Heading3"/>
      </w:pPr>
      <w:bookmarkStart w:id="22" w:name="_Toc151721862"/>
      <w:r>
        <w:t>Complaints and feedback</w:t>
      </w:r>
      <w:bookmarkEnd w:id="22"/>
    </w:p>
    <w:p w14:paraId="5A0BF9AA" w14:textId="125EF198" w:rsidR="00B0395A" w:rsidRDefault="00331188" w:rsidP="00160E1D">
      <w:pPr>
        <w:pStyle w:val="Body"/>
      </w:pPr>
      <w:r>
        <w:t xml:space="preserve">Credentialed interpreters </w:t>
      </w:r>
      <w:r w:rsidR="004340E0">
        <w:t>must</w:t>
      </w:r>
      <w:r>
        <w:t xml:space="preserve"> </w:t>
      </w:r>
      <w:r w:rsidR="004340E0">
        <w:t xml:space="preserve">follow </w:t>
      </w:r>
      <w:r>
        <w:t>the code of ethics developed by</w:t>
      </w:r>
      <w:r w:rsidR="00B0395A">
        <w:t>:</w:t>
      </w:r>
      <w:r>
        <w:t xml:space="preserve"> </w:t>
      </w:r>
    </w:p>
    <w:p w14:paraId="6209307B" w14:textId="5F6707C5" w:rsidR="00B0395A" w:rsidRDefault="00331188" w:rsidP="00B0395A">
      <w:pPr>
        <w:pStyle w:val="Bullet1"/>
      </w:pPr>
      <w:r>
        <w:t>Australian Institute of Interpreters and Translators (AUSIT)</w:t>
      </w:r>
      <w:r w:rsidR="00B0395A">
        <w:t>,</w:t>
      </w:r>
      <w:r>
        <w:t xml:space="preserve"> or </w:t>
      </w:r>
    </w:p>
    <w:p w14:paraId="6FF89904" w14:textId="2E6489DA" w:rsidR="00331188" w:rsidRDefault="00331188" w:rsidP="00BC110A">
      <w:pPr>
        <w:pStyle w:val="Bullet1"/>
      </w:pPr>
      <w:r>
        <w:t xml:space="preserve">Australian Sign Language Interpreters Association (ASLIA). </w:t>
      </w:r>
    </w:p>
    <w:p w14:paraId="2F131E2C" w14:textId="0EC9EF93" w:rsidR="00331188" w:rsidRDefault="00331188" w:rsidP="00BC110A">
      <w:pPr>
        <w:pStyle w:val="Bodyafterbullets"/>
      </w:pPr>
      <w:r>
        <w:t xml:space="preserve">If an interpreter </w:t>
      </w:r>
      <w:r w:rsidR="004340E0">
        <w:t xml:space="preserve">does not </w:t>
      </w:r>
      <w:r w:rsidR="00240C08">
        <w:t>follow</w:t>
      </w:r>
      <w:r>
        <w:t xml:space="preserve"> the relevant code of ethics, </w:t>
      </w:r>
      <w:r w:rsidR="004340E0">
        <w:t xml:space="preserve">you can </w:t>
      </w:r>
      <w:r>
        <w:t xml:space="preserve">lodge </w:t>
      </w:r>
      <w:r w:rsidR="004340E0">
        <w:t xml:space="preserve">a complaint </w:t>
      </w:r>
      <w:r>
        <w:t>with the language service provider.</w:t>
      </w:r>
    </w:p>
    <w:p w14:paraId="0B79513C" w14:textId="221FBA23" w:rsidR="00331188" w:rsidRDefault="00331188" w:rsidP="00160E1D">
      <w:pPr>
        <w:pStyle w:val="Body"/>
      </w:pPr>
      <w:r>
        <w:t xml:space="preserve">If there are issues with the performance of an interpreter, discuss them with the interpreter first. If not resolved, contact the relevant language service provider to make a formal complaint. </w:t>
      </w:r>
    </w:p>
    <w:p w14:paraId="4C0AB6F9" w14:textId="18B855CA" w:rsidR="004340E0" w:rsidRDefault="002B5568" w:rsidP="00160E1D">
      <w:pPr>
        <w:pStyle w:val="Body"/>
      </w:pPr>
      <w:r>
        <w:t>Discuss any o</w:t>
      </w:r>
      <w:r w:rsidR="00331188">
        <w:t xml:space="preserve">ther issues </w:t>
      </w:r>
      <w:r w:rsidR="004340E0">
        <w:t>with the language service provider. These might include:</w:t>
      </w:r>
      <w:r w:rsidR="00331188">
        <w:t xml:space="preserve"> </w:t>
      </w:r>
    </w:p>
    <w:p w14:paraId="74CDEA39" w14:textId="72BFE4B8" w:rsidR="004340E0" w:rsidRDefault="00331188" w:rsidP="004340E0">
      <w:pPr>
        <w:pStyle w:val="Bullet1"/>
      </w:pPr>
      <w:r>
        <w:t>the interpreter not attending</w:t>
      </w:r>
    </w:p>
    <w:p w14:paraId="00DAA72B" w14:textId="46B66BD7" w:rsidR="004340E0" w:rsidRDefault="004340E0" w:rsidP="004340E0">
      <w:pPr>
        <w:pStyle w:val="Bullet1"/>
      </w:pPr>
      <w:r>
        <w:t xml:space="preserve">the interpreter </w:t>
      </w:r>
      <w:r w:rsidR="00331188">
        <w:t xml:space="preserve">charging incorrect fees </w:t>
      </w:r>
    </w:p>
    <w:p w14:paraId="482E16B4" w14:textId="71B66B4F" w:rsidR="00331188" w:rsidRDefault="00331188" w:rsidP="00BC110A">
      <w:pPr>
        <w:pStyle w:val="Bullet1"/>
      </w:pPr>
      <w:r>
        <w:t>interpreters with</w:t>
      </w:r>
      <w:r w:rsidR="0041150C">
        <w:t xml:space="preserve">out the right </w:t>
      </w:r>
      <w:r>
        <w:t>level of certification</w:t>
      </w:r>
      <w:r w:rsidR="004340E0">
        <w:t>.</w:t>
      </w:r>
    </w:p>
    <w:p w14:paraId="2B29E22A" w14:textId="77777777" w:rsidR="00331188" w:rsidRPr="00E74BDA" w:rsidRDefault="00331188" w:rsidP="00160E1D">
      <w:pPr>
        <w:pStyle w:val="Body"/>
      </w:pPr>
      <w:r w:rsidRPr="0090462F">
        <w:br w:type="page"/>
      </w:r>
    </w:p>
    <w:p w14:paraId="00D638E2" w14:textId="77777777" w:rsidR="00331188" w:rsidRDefault="00331188" w:rsidP="00331188">
      <w:pPr>
        <w:pStyle w:val="Heading1"/>
        <w:spacing w:before="0"/>
      </w:pPr>
      <w:bookmarkStart w:id="23" w:name="_Toc151721863"/>
      <w:r>
        <w:lastRenderedPageBreak/>
        <w:t>Translation services</w:t>
      </w:r>
      <w:bookmarkEnd w:id="23"/>
    </w:p>
    <w:p w14:paraId="3550DE7D" w14:textId="65C763B9" w:rsidR="00331188" w:rsidRDefault="00331188" w:rsidP="00160E1D">
      <w:pPr>
        <w:pStyle w:val="Body"/>
      </w:pPr>
      <w:r w:rsidRPr="001362C3">
        <w:t xml:space="preserve">Translated </w:t>
      </w:r>
      <w:r>
        <w:t>information is another tool for communicating with clients, their families and carers</w:t>
      </w:r>
      <w:r w:rsidR="00BA4703">
        <w:t xml:space="preserve">. It gives </w:t>
      </w:r>
      <w:r>
        <w:t xml:space="preserve">them information they </w:t>
      </w:r>
      <w:r w:rsidRPr="00987520">
        <w:t>can refer to later</w:t>
      </w:r>
      <w:r>
        <w:t xml:space="preserve">. Translated material does not replace the need for interpreting services. </w:t>
      </w:r>
    </w:p>
    <w:p w14:paraId="7A743793" w14:textId="684BAE04" w:rsidR="00331188" w:rsidRPr="00987520" w:rsidRDefault="00331188" w:rsidP="00160E1D">
      <w:pPr>
        <w:pStyle w:val="Body"/>
      </w:pPr>
      <w:r>
        <w:t>You may need to translate client-specific information, such as medical documents</w:t>
      </w:r>
      <w:r w:rsidR="00C66610">
        <w:t>. You may need</w:t>
      </w:r>
      <w:r>
        <w:t xml:space="preserve"> to distribute health and service information to a </w:t>
      </w:r>
      <w:r w:rsidR="00BA4703">
        <w:t xml:space="preserve">wider </w:t>
      </w:r>
      <w:r>
        <w:t xml:space="preserve">audience for information and educational purposes. </w:t>
      </w:r>
    </w:p>
    <w:p w14:paraId="578509C2" w14:textId="5DCA2CB4" w:rsidR="00331188" w:rsidRDefault="00F2187A" w:rsidP="00331188">
      <w:pPr>
        <w:pStyle w:val="Heading2"/>
      </w:pPr>
      <w:bookmarkStart w:id="24" w:name="_Toc151721864"/>
      <w:r>
        <w:t>Before</w:t>
      </w:r>
      <w:r w:rsidR="00331188">
        <w:t xml:space="preserve"> translati</w:t>
      </w:r>
      <w:r>
        <w:t>ng</w:t>
      </w:r>
      <w:bookmarkEnd w:id="24"/>
    </w:p>
    <w:p w14:paraId="4478C1D3" w14:textId="3021EC9A" w:rsidR="008E1196" w:rsidRDefault="00331188" w:rsidP="00160E1D">
      <w:pPr>
        <w:pStyle w:val="Body"/>
      </w:pPr>
      <w:r>
        <w:t xml:space="preserve">Planning and consultation is </w:t>
      </w:r>
      <w:r w:rsidR="008E1196">
        <w:t xml:space="preserve">central </w:t>
      </w:r>
      <w:r>
        <w:t>to effective translations, ensuring the resource</w:t>
      </w:r>
      <w:r w:rsidR="008E1196">
        <w:t>:</w:t>
      </w:r>
      <w:r>
        <w:t xml:space="preserve"> </w:t>
      </w:r>
    </w:p>
    <w:p w14:paraId="2DE64D0A" w14:textId="207EA969" w:rsidR="008E1196" w:rsidRDefault="00331188" w:rsidP="008E1196">
      <w:pPr>
        <w:pStyle w:val="Bullet1"/>
      </w:pPr>
      <w:r>
        <w:t>responds to the needs of the service area</w:t>
      </w:r>
    </w:p>
    <w:p w14:paraId="0EC885C8" w14:textId="3635F657" w:rsidR="008E1196" w:rsidRDefault="00331188" w:rsidP="008E1196">
      <w:pPr>
        <w:pStyle w:val="Bullet1"/>
      </w:pPr>
      <w:r>
        <w:t>meets timelines</w:t>
      </w:r>
    </w:p>
    <w:p w14:paraId="4BE5C75B" w14:textId="4F382F3C" w:rsidR="008E1196" w:rsidRDefault="00331188" w:rsidP="008E1196">
      <w:pPr>
        <w:pStyle w:val="Bullet1"/>
      </w:pPr>
      <w:r>
        <w:t>remains within budget</w:t>
      </w:r>
    </w:p>
    <w:p w14:paraId="1C129DE2" w14:textId="39790383" w:rsidR="008E1196" w:rsidRDefault="00331188" w:rsidP="008E1196">
      <w:pPr>
        <w:pStyle w:val="Bullet1"/>
      </w:pPr>
      <w:r>
        <w:t xml:space="preserve">avoids duplication </w:t>
      </w:r>
    </w:p>
    <w:p w14:paraId="25D449BE" w14:textId="4F2D6899" w:rsidR="00331188" w:rsidRDefault="00331188" w:rsidP="00BC110A">
      <w:pPr>
        <w:pStyle w:val="Bullet1"/>
      </w:pPr>
      <w:r>
        <w:t xml:space="preserve">is delivered to a high standard. </w:t>
      </w:r>
    </w:p>
    <w:p w14:paraId="0C416E50" w14:textId="0F4EF09C" w:rsidR="00153819" w:rsidRDefault="005347F3" w:rsidP="008E1196">
      <w:pPr>
        <w:pStyle w:val="Bodyafterbullets"/>
      </w:pPr>
      <w:r>
        <w:t>You may need</w:t>
      </w:r>
      <w:r w:rsidR="00331188">
        <w:t xml:space="preserve"> to use multiple data sources to </w:t>
      </w:r>
      <w:r w:rsidR="00153819">
        <w:t xml:space="preserve">get </w:t>
      </w:r>
      <w:r w:rsidR="00331188">
        <w:t xml:space="preserve">an accurate picture of the diversity in the community and </w:t>
      </w:r>
      <w:r w:rsidR="00153819">
        <w:t xml:space="preserve">to </w:t>
      </w:r>
      <w:r w:rsidR="00331188">
        <w:t>identify your target audience.</w:t>
      </w:r>
      <w:r>
        <w:t xml:space="preserve"> Sources include:</w:t>
      </w:r>
      <w:r w:rsidRPr="005347F3">
        <w:t xml:space="preserve"> </w:t>
      </w:r>
    </w:p>
    <w:p w14:paraId="37FD9B13" w14:textId="77777777" w:rsidR="00153819" w:rsidRDefault="005347F3" w:rsidP="00153819">
      <w:pPr>
        <w:pStyle w:val="Bullet1"/>
      </w:pPr>
      <w:r>
        <w:t>Australian Bureau of Statistics Census data</w:t>
      </w:r>
    </w:p>
    <w:p w14:paraId="5800526C" w14:textId="77777777" w:rsidR="00153819" w:rsidRDefault="005347F3" w:rsidP="00153819">
      <w:pPr>
        <w:pStyle w:val="Bullet1"/>
      </w:pPr>
      <w:r>
        <w:t>the most recent settlement data</w:t>
      </w:r>
    </w:p>
    <w:p w14:paraId="5C1DD7F0" w14:textId="4EEF4C9B" w:rsidR="00331188" w:rsidRDefault="005347F3" w:rsidP="00BC110A">
      <w:pPr>
        <w:pStyle w:val="Bullet1"/>
      </w:pPr>
      <w:r>
        <w:t>service usage data</w:t>
      </w:r>
      <w:r w:rsidR="00153819">
        <w:t>.</w:t>
      </w:r>
    </w:p>
    <w:p w14:paraId="7FF1EAD3" w14:textId="77777777" w:rsidR="00331188" w:rsidRDefault="00331188" w:rsidP="00331188">
      <w:pPr>
        <w:pStyle w:val="Heading3"/>
      </w:pPr>
      <w:bookmarkStart w:id="25" w:name="_Toc151721865"/>
      <w:r>
        <w:t>Preferred language</w:t>
      </w:r>
      <w:bookmarkEnd w:id="25"/>
    </w:p>
    <w:p w14:paraId="7ECA9C48" w14:textId="1B912AD6" w:rsidR="00331188" w:rsidRDefault="00331188" w:rsidP="00160E1D">
      <w:pPr>
        <w:pStyle w:val="Body"/>
      </w:pPr>
      <w:r>
        <w:t xml:space="preserve">It is essential to consult with your target audience to </w:t>
      </w:r>
      <w:r w:rsidR="00BA4703">
        <w:t>figure out</w:t>
      </w:r>
      <w:r>
        <w:t xml:space="preserve"> their preferred language and level of literacy. </w:t>
      </w:r>
    </w:p>
    <w:p w14:paraId="3DDA6B45" w14:textId="14EE7316" w:rsidR="00331188" w:rsidRDefault="00331188" w:rsidP="00160E1D">
      <w:pPr>
        <w:pStyle w:val="Body"/>
      </w:pPr>
      <w:r>
        <w:t>In some countries, several languages may be spoken</w:t>
      </w:r>
      <w:r w:rsidR="000C55EA">
        <w:t>.</w:t>
      </w:r>
      <w:r>
        <w:t xml:space="preserve"> </w:t>
      </w:r>
      <w:r w:rsidR="000C55EA">
        <w:t>I</w:t>
      </w:r>
      <w:r>
        <w:t xml:space="preserve">t is important to </w:t>
      </w:r>
      <w:r w:rsidR="00BA4703">
        <w:t>figure out</w:t>
      </w:r>
      <w:r w:rsidR="00BA4703" w:rsidDel="00BA4703">
        <w:t xml:space="preserve"> </w:t>
      </w:r>
      <w:r>
        <w:t>which one the local migrant community</w:t>
      </w:r>
      <w:r w:rsidR="000C55EA">
        <w:t xml:space="preserve"> prefers</w:t>
      </w:r>
      <w:r>
        <w:t xml:space="preserve">. </w:t>
      </w:r>
      <w:r w:rsidR="000C55EA">
        <w:t>Consider d</w:t>
      </w:r>
      <w:r>
        <w:t xml:space="preserve">ialect and regional variations when </w:t>
      </w:r>
      <w:r w:rsidR="000C55EA">
        <w:t xml:space="preserve">choosing </w:t>
      </w:r>
      <w:r>
        <w:t>language</w:t>
      </w:r>
      <w:r w:rsidR="00BA4703">
        <w:t>(</w:t>
      </w:r>
      <w:r>
        <w:t>s</w:t>
      </w:r>
      <w:r w:rsidR="00BA4703">
        <w:t>)</w:t>
      </w:r>
      <w:r>
        <w:t xml:space="preserve"> for translation. </w:t>
      </w:r>
    </w:p>
    <w:p w14:paraId="7F520C4E" w14:textId="05BFC19A" w:rsidR="00331188" w:rsidRDefault="00331188" w:rsidP="00160E1D">
      <w:pPr>
        <w:pStyle w:val="Body"/>
      </w:pPr>
      <w:r>
        <w:t xml:space="preserve">Be aware that different writing systems may be used within </w:t>
      </w:r>
      <w:r w:rsidR="00C66610">
        <w:t xml:space="preserve">certain </w:t>
      </w:r>
      <w:r>
        <w:t>languages. For example, some Chinese languages use simplified character sets</w:t>
      </w:r>
      <w:r w:rsidR="000C55EA">
        <w:t>,</w:t>
      </w:r>
      <w:r>
        <w:t xml:space="preserve"> whil</w:t>
      </w:r>
      <w:r w:rsidR="000C55EA">
        <w:t>e</w:t>
      </w:r>
      <w:r>
        <w:t xml:space="preserve"> others use traditional characters. </w:t>
      </w:r>
      <w:r w:rsidR="00C66610">
        <w:t xml:space="preserve">Ask </w:t>
      </w:r>
      <w:r>
        <w:t xml:space="preserve">your target audience </w:t>
      </w:r>
      <w:r w:rsidR="000C55EA">
        <w:t xml:space="preserve">about </w:t>
      </w:r>
      <w:r>
        <w:t xml:space="preserve">the </w:t>
      </w:r>
      <w:r w:rsidR="00C66610">
        <w:t xml:space="preserve">right </w:t>
      </w:r>
      <w:r>
        <w:t>writing system for the target language</w:t>
      </w:r>
      <w:r w:rsidR="00BA4703">
        <w:t>(</w:t>
      </w:r>
      <w:r>
        <w:t>s</w:t>
      </w:r>
      <w:r w:rsidR="00BA4703">
        <w:t>)</w:t>
      </w:r>
      <w:r>
        <w:t xml:space="preserve">. </w:t>
      </w:r>
    </w:p>
    <w:p w14:paraId="09AF0F2A" w14:textId="77777777" w:rsidR="00331188" w:rsidRDefault="00331188" w:rsidP="00331188">
      <w:pPr>
        <w:pStyle w:val="Heading3"/>
      </w:pPr>
      <w:bookmarkStart w:id="26" w:name="_Toc151721866"/>
      <w:r>
        <w:t xml:space="preserve">Other communication </w:t>
      </w:r>
      <w:r w:rsidRPr="008C7A0A">
        <w:t>options</w:t>
      </w:r>
      <w:bookmarkEnd w:id="26"/>
    </w:p>
    <w:p w14:paraId="1BE5776E" w14:textId="18769A92" w:rsidR="00331188" w:rsidRDefault="00331188" w:rsidP="00160E1D">
      <w:pPr>
        <w:pStyle w:val="Body"/>
      </w:pPr>
      <w:r>
        <w:t xml:space="preserve">Different communities may have preferences for receiving information. For example, communities with a strong oral language tradition may not use written communication. </w:t>
      </w:r>
      <w:r w:rsidRPr="005B0037">
        <w:t>Some people</w:t>
      </w:r>
      <w:r>
        <w:t xml:space="preserve"> – for example</w:t>
      </w:r>
      <w:r w:rsidR="00BA4703">
        <w:t>,</w:t>
      </w:r>
      <w:r>
        <w:t xml:space="preserve"> refugees and people seeking asylum – </w:t>
      </w:r>
      <w:r w:rsidRPr="005B0037">
        <w:t>may not be able to read or write</w:t>
      </w:r>
      <w:r>
        <w:t xml:space="preserve"> </w:t>
      </w:r>
      <w:r w:rsidR="000C55EA">
        <w:t xml:space="preserve">because </w:t>
      </w:r>
      <w:r w:rsidRPr="005B0037">
        <w:t>of limited or disrupted education.</w:t>
      </w:r>
      <w:r>
        <w:t xml:space="preserve"> </w:t>
      </w:r>
      <w:r w:rsidR="00B0395A">
        <w:t>Avoid w</w:t>
      </w:r>
      <w:r>
        <w:t xml:space="preserve">ritten translation for communities where </w:t>
      </w:r>
      <w:r w:rsidR="000C55EA">
        <w:t xml:space="preserve">most </w:t>
      </w:r>
      <w:r>
        <w:t>members have low literacy levels.</w:t>
      </w:r>
    </w:p>
    <w:p w14:paraId="4D238124" w14:textId="45C96CFC" w:rsidR="00331188" w:rsidRDefault="000C55EA" w:rsidP="00160E1D">
      <w:pPr>
        <w:pStyle w:val="Body"/>
      </w:pPr>
      <w:r>
        <w:t xml:space="preserve">Other </w:t>
      </w:r>
      <w:r w:rsidR="00331188">
        <w:t xml:space="preserve">ways of </w:t>
      </w:r>
      <w:r w:rsidR="003013A3">
        <w:t xml:space="preserve">offering </w:t>
      </w:r>
      <w:r w:rsidR="00331188">
        <w:t>multilingual information include:</w:t>
      </w:r>
    </w:p>
    <w:p w14:paraId="661E152C" w14:textId="77777777" w:rsidR="00331188" w:rsidRDefault="00331188" w:rsidP="00160E1D">
      <w:pPr>
        <w:pStyle w:val="Bullet1"/>
      </w:pPr>
      <w:r>
        <w:t>information sessions, seminars or presentations using credentialed interpreters</w:t>
      </w:r>
    </w:p>
    <w:p w14:paraId="2B1F23AF" w14:textId="5B66D3FD" w:rsidR="00331188" w:rsidRDefault="00331188" w:rsidP="00160E1D">
      <w:pPr>
        <w:pStyle w:val="Bullet1"/>
      </w:pPr>
      <w:r>
        <w:t>audio information such as podcasts or recorded messages</w:t>
      </w:r>
    </w:p>
    <w:p w14:paraId="64A8BD39" w14:textId="77777777" w:rsidR="00331188" w:rsidRDefault="00331188" w:rsidP="00160E1D">
      <w:pPr>
        <w:pStyle w:val="Bullet1"/>
      </w:pPr>
      <w:r>
        <w:t>storyboards, including images, photos, diagrams or charts</w:t>
      </w:r>
    </w:p>
    <w:p w14:paraId="38702CF1" w14:textId="12DF85F4" w:rsidR="00331188" w:rsidRDefault="00331188" w:rsidP="00160E1D">
      <w:pPr>
        <w:pStyle w:val="Bullet1"/>
      </w:pPr>
      <w:r>
        <w:t xml:space="preserve">easy English, which uses clear, simple language and </w:t>
      </w:r>
      <w:r w:rsidR="003013A3">
        <w:t xml:space="preserve">sometimes </w:t>
      </w:r>
      <w:r>
        <w:t>diagrams to make information as simple as possible without changing the meaning.</w:t>
      </w:r>
    </w:p>
    <w:p w14:paraId="3DAD3388" w14:textId="5C2743EF" w:rsidR="000C55EA" w:rsidRDefault="00B0395A" w:rsidP="00160E1D">
      <w:pPr>
        <w:pStyle w:val="Bodyafterbullets"/>
      </w:pPr>
      <w:r>
        <w:lastRenderedPageBreak/>
        <w:t>C</w:t>
      </w:r>
      <w:r w:rsidR="00331188">
        <w:t xml:space="preserve">onsider a range of consultation methods to find the communication preferences of the target audience and the best way to </w:t>
      </w:r>
      <w:r w:rsidR="000C55EA">
        <w:t xml:space="preserve">distribute </w:t>
      </w:r>
      <w:r w:rsidR="00331188">
        <w:t>your information. These could include asking</w:t>
      </w:r>
      <w:r w:rsidR="000C55EA">
        <w:t>:</w:t>
      </w:r>
      <w:r w:rsidR="00331188">
        <w:t xml:space="preserve"> </w:t>
      </w:r>
    </w:p>
    <w:p w14:paraId="0231BC8F" w14:textId="69660AF4" w:rsidR="000C55EA" w:rsidRDefault="00331188" w:rsidP="000C55EA">
      <w:pPr>
        <w:pStyle w:val="Bullet1"/>
      </w:pPr>
      <w:r>
        <w:t>focus groups</w:t>
      </w:r>
    </w:p>
    <w:p w14:paraId="5FF273D8" w14:textId="0ABF1866" w:rsidR="000C55EA" w:rsidRDefault="00331188" w:rsidP="000C55EA">
      <w:pPr>
        <w:pStyle w:val="Bullet1"/>
      </w:pPr>
      <w:r>
        <w:t>other service providers who work with the community</w:t>
      </w:r>
    </w:p>
    <w:p w14:paraId="48F0D297" w14:textId="6017A7CA" w:rsidR="000C55EA" w:rsidRDefault="00331188" w:rsidP="000C55EA">
      <w:pPr>
        <w:pStyle w:val="Bullet1"/>
      </w:pPr>
      <w:r>
        <w:t xml:space="preserve">local committees </w:t>
      </w:r>
    </w:p>
    <w:p w14:paraId="4278EF58" w14:textId="52F981AE" w:rsidR="00331188" w:rsidRDefault="00331188" w:rsidP="00BC110A">
      <w:pPr>
        <w:pStyle w:val="Bullet1"/>
      </w:pPr>
      <w:r>
        <w:t xml:space="preserve">community groups. </w:t>
      </w:r>
    </w:p>
    <w:p w14:paraId="3482DBFC" w14:textId="3718BFC9" w:rsidR="00331188" w:rsidRDefault="00D36FB1" w:rsidP="00BC110A">
      <w:pPr>
        <w:pStyle w:val="Bodyafterbullets"/>
      </w:pPr>
      <w:r>
        <w:t>Always deliver c</w:t>
      </w:r>
      <w:r w:rsidR="00331188">
        <w:t>omplex information such as medical advice in person through a credentialed interpreter.</w:t>
      </w:r>
    </w:p>
    <w:p w14:paraId="1B3E244C" w14:textId="3FB28F45" w:rsidR="00331188" w:rsidRDefault="00331188" w:rsidP="00331188">
      <w:pPr>
        <w:pStyle w:val="Heading3"/>
      </w:pPr>
      <w:bookmarkStart w:id="27" w:name="_Toc151721867"/>
      <w:r w:rsidRPr="00D143FC">
        <w:t xml:space="preserve">Avoiding </w:t>
      </w:r>
      <w:r w:rsidR="00D033A0">
        <w:t>double-up</w:t>
      </w:r>
      <w:bookmarkEnd w:id="27"/>
    </w:p>
    <w:p w14:paraId="3A03319B" w14:textId="0DB160CD" w:rsidR="00331188" w:rsidRDefault="00D033A0" w:rsidP="00160E1D">
      <w:pPr>
        <w:pStyle w:val="Body"/>
      </w:pPr>
      <w:r>
        <w:t>T</w:t>
      </w:r>
      <w:r w:rsidRPr="005E4C92">
        <w:t>o ensure the translation does not already exist</w:t>
      </w:r>
      <w:r w:rsidR="00331188" w:rsidRPr="005E4C92">
        <w:t xml:space="preserve">, first check </w:t>
      </w:r>
      <w:hyperlink r:id="rId31" w:history="1">
        <w:r w:rsidR="00331188" w:rsidRPr="005E4C92">
          <w:rPr>
            <w:rStyle w:val="Hyperlink"/>
          </w:rPr>
          <w:t>Health Translations</w:t>
        </w:r>
      </w:hyperlink>
      <w:r w:rsidR="00331188" w:rsidRPr="005E4C92">
        <w:t xml:space="preserve"> http://www.healthtranslations.vic.gov.au/</w:t>
      </w:r>
      <w:r w:rsidR="00331188">
        <w:t xml:space="preserve">. </w:t>
      </w:r>
    </w:p>
    <w:p w14:paraId="2792D16A" w14:textId="68DB535D" w:rsidR="00331188" w:rsidRDefault="00331188" w:rsidP="00160E1D">
      <w:pPr>
        <w:pStyle w:val="Body"/>
      </w:pPr>
      <w:r w:rsidRPr="005E4C92">
        <w:rPr>
          <w:b/>
        </w:rPr>
        <w:t>Health Translations</w:t>
      </w:r>
      <w:r w:rsidRPr="005E4C92">
        <w:t xml:space="preserve"> is an online portal for health professionals and the community that </w:t>
      </w:r>
      <w:r w:rsidR="00B01606">
        <w:t>offers</w:t>
      </w:r>
      <w:r w:rsidR="00B01606" w:rsidRPr="005E4C92">
        <w:t xml:space="preserve"> </w:t>
      </w:r>
      <w:r w:rsidRPr="005E4C92">
        <w:t>access to high-quality</w:t>
      </w:r>
      <w:r>
        <w:t xml:space="preserve"> translated health information.</w:t>
      </w:r>
    </w:p>
    <w:p w14:paraId="46789BA3" w14:textId="411A0E25" w:rsidR="00331188" w:rsidRDefault="00331188" w:rsidP="00160E1D">
      <w:pPr>
        <w:pStyle w:val="Body"/>
      </w:pPr>
      <w:r>
        <w:t xml:space="preserve">As a guiding principle and to avoid duplication, </w:t>
      </w:r>
      <w:r w:rsidR="000116BE">
        <w:t xml:space="preserve">share </w:t>
      </w:r>
      <w:r>
        <w:t xml:space="preserve">translated resources across organisations and services. </w:t>
      </w:r>
    </w:p>
    <w:p w14:paraId="3A5E11F8" w14:textId="1F9D88D8" w:rsidR="00B0395A" w:rsidRDefault="00331188" w:rsidP="00160E1D">
      <w:pPr>
        <w:pStyle w:val="Body"/>
      </w:pPr>
      <w:r>
        <w:t xml:space="preserve">Before </w:t>
      </w:r>
      <w:r w:rsidR="00B01606">
        <w:t xml:space="preserve">deciding </w:t>
      </w:r>
      <w:r>
        <w:t xml:space="preserve">to translate, check </w:t>
      </w:r>
      <w:r w:rsidR="00B0395A">
        <w:t>a similar resource does not already exist by scanning:</w:t>
      </w:r>
    </w:p>
    <w:p w14:paraId="6076B1ED" w14:textId="7997936B" w:rsidR="00B0395A" w:rsidRDefault="00331188" w:rsidP="00B0395A">
      <w:pPr>
        <w:pStyle w:val="Bullet1"/>
      </w:pPr>
      <w:r>
        <w:t xml:space="preserve">available translation directories </w:t>
      </w:r>
    </w:p>
    <w:p w14:paraId="1BF784AC" w14:textId="46FF5E9D" w:rsidR="00331188" w:rsidRDefault="00331188" w:rsidP="00BC110A">
      <w:pPr>
        <w:pStyle w:val="Bullet1"/>
      </w:pPr>
      <w:r>
        <w:t xml:space="preserve">other organisations’ websites. </w:t>
      </w:r>
    </w:p>
    <w:p w14:paraId="01A986C4" w14:textId="493DF202" w:rsidR="00331188" w:rsidRDefault="00331188" w:rsidP="00BC110A">
      <w:pPr>
        <w:pStyle w:val="Bodyafterbullets"/>
      </w:pPr>
      <w:r>
        <w:t xml:space="preserve">If it does not, contact other organisations and explore developing the resource together. By sharing the cost, organisations can often develop a more </w:t>
      </w:r>
      <w:r w:rsidR="00B01606">
        <w:t xml:space="preserve">extensive </w:t>
      </w:r>
      <w:r>
        <w:t>resource.</w:t>
      </w:r>
    </w:p>
    <w:p w14:paraId="5FA3BD3B" w14:textId="77777777" w:rsidR="00331188" w:rsidRPr="0067215D" w:rsidRDefault="00331188" w:rsidP="00331188">
      <w:pPr>
        <w:pStyle w:val="Heading3"/>
      </w:pPr>
      <w:bookmarkStart w:id="28" w:name="_Toc151721868"/>
      <w:r w:rsidRPr="0067215D">
        <w:t>Writing for translation</w:t>
      </w:r>
      <w:bookmarkEnd w:id="28"/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1E3F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88"/>
      </w:tblGrid>
      <w:tr w:rsidR="00331188" w14:paraId="71BAB22B" w14:textId="77777777" w:rsidTr="00A741E7">
        <w:tc>
          <w:tcPr>
            <w:tcW w:w="4521" w:type="dxa"/>
            <w:shd w:val="clear" w:color="auto" w:fill="E5FBFF"/>
          </w:tcPr>
          <w:p w14:paraId="279F6AD6" w14:textId="673CB557" w:rsidR="00331188" w:rsidRDefault="00331188" w:rsidP="00160E1D">
            <w:pPr>
              <w:pStyle w:val="Tabletext"/>
            </w:pPr>
            <w:r>
              <w:t xml:space="preserve">Once you have the message to convey to your target audience and confirmed that translated material is the best way to communicate, it is important to prepare the text </w:t>
            </w:r>
            <w:r w:rsidR="001D5C64">
              <w:t>before</w:t>
            </w:r>
            <w:r>
              <w:t xml:space="preserve"> </w:t>
            </w:r>
            <w:r w:rsidR="00B01606">
              <w:t xml:space="preserve">booking </w:t>
            </w:r>
            <w:r>
              <w:t xml:space="preserve">a translation service. </w:t>
            </w:r>
          </w:p>
          <w:p w14:paraId="29D24FFC" w14:textId="77777777" w:rsidR="00331188" w:rsidRDefault="00331188" w:rsidP="00160E1D">
            <w:pPr>
              <w:pStyle w:val="Tabletext"/>
            </w:pPr>
            <w:r>
              <w:t>Generally, the English source text will not be suitable for direct translation.</w:t>
            </w:r>
          </w:p>
          <w:p w14:paraId="045351E3" w14:textId="37A0C10E" w:rsidR="00331188" w:rsidRDefault="00331188" w:rsidP="00160E1D">
            <w:pPr>
              <w:pStyle w:val="Tabletext"/>
            </w:pPr>
            <w:r>
              <w:t xml:space="preserve">The following tips will </w:t>
            </w:r>
            <w:r w:rsidR="00B01606">
              <w:t xml:space="preserve">help </w:t>
            </w:r>
            <w:r>
              <w:t>prepar</w:t>
            </w:r>
            <w:r w:rsidR="00B01606">
              <w:t>e</w:t>
            </w:r>
            <w:r>
              <w:t xml:space="preserve"> a text for translation</w:t>
            </w:r>
            <w:r w:rsidR="00B01606">
              <w:t>.</w:t>
            </w:r>
          </w:p>
          <w:p w14:paraId="0B79350E" w14:textId="77777777" w:rsidR="00331188" w:rsidRDefault="00331188">
            <w:pPr>
              <w:pStyle w:val="Heading4"/>
            </w:pPr>
            <w:r w:rsidRPr="00483F7C">
              <w:t>Clarity</w:t>
            </w:r>
          </w:p>
          <w:p w14:paraId="43F5076B" w14:textId="77777777" w:rsidR="00331188" w:rsidRDefault="00331188" w:rsidP="00160E1D">
            <w:pPr>
              <w:pStyle w:val="Tablebullet1"/>
            </w:pPr>
            <w:r>
              <w:t xml:space="preserve">Use plain language and write in the active voice. </w:t>
            </w:r>
          </w:p>
          <w:p w14:paraId="2A2A6997" w14:textId="2D1AFC98" w:rsidR="00331188" w:rsidRDefault="00331188" w:rsidP="00160E1D">
            <w:pPr>
              <w:pStyle w:val="Tablebullet1"/>
            </w:pPr>
            <w:r>
              <w:t>Explain unfamiliar concepts and complex term</w:t>
            </w:r>
            <w:r w:rsidR="009C1F7E">
              <w:t>s</w:t>
            </w:r>
            <w:r>
              <w:t xml:space="preserve">. </w:t>
            </w:r>
          </w:p>
          <w:p w14:paraId="382197E7" w14:textId="77777777" w:rsidR="00331188" w:rsidRDefault="00331188" w:rsidP="00160E1D">
            <w:pPr>
              <w:pStyle w:val="Tablebullet1"/>
            </w:pPr>
            <w:r>
              <w:t>Do not use idioms, metaphors, acronyms, professional jargon, slang, colloquialisms, euphemisms and figures of speech.</w:t>
            </w:r>
          </w:p>
          <w:p w14:paraId="7BCD4EC8" w14:textId="77777777" w:rsidR="00331188" w:rsidRPr="00E53BEF" w:rsidRDefault="00331188">
            <w:pPr>
              <w:pStyle w:val="Heading4"/>
            </w:pPr>
            <w:r w:rsidRPr="00E53BEF">
              <w:t>B</w:t>
            </w:r>
            <w:r w:rsidRPr="00160E1D">
              <w:t>revity</w:t>
            </w:r>
          </w:p>
          <w:p w14:paraId="0E545502" w14:textId="7F592A22" w:rsidR="00331188" w:rsidRPr="00483F7C" w:rsidRDefault="00331188" w:rsidP="00160E1D">
            <w:pPr>
              <w:pStyle w:val="Tablebullet1"/>
            </w:pPr>
            <w:r w:rsidRPr="00D143FC">
              <w:t>K</w:t>
            </w:r>
            <w:r w:rsidRPr="00483F7C">
              <w:t xml:space="preserve">eep it short. Consider a summary version for translation rather than the full publication. This ensures the source text is easier to translate and </w:t>
            </w:r>
            <w:r w:rsidR="009C1F7E" w:rsidRPr="00483F7C">
              <w:t>understand</w:t>
            </w:r>
            <w:r w:rsidRPr="00483F7C">
              <w:t>.</w:t>
            </w:r>
          </w:p>
          <w:p w14:paraId="544DD510" w14:textId="77777777" w:rsidR="00331188" w:rsidRPr="00D143FC" w:rsidRDefault="00331188">
            <w:pPr>
              <w:pStyle w:val="Heading4"/>
            </w:pPr>
            <w:r w:rsidRPr="00483F7C">
              <w:t>Appropriateness</w:t>
            </w:r>
          </w:p>
          <w:p w14:paraId="48F3AE83" w14:textId="77777777" w:rsidR="00331188" w:rsidRDefault="00331188" w:rsidP="00160E1D">
            <w:pPr>
              <w:pStyle w:val="Tablebullet1"/>
            </w:pPr>
            <w:r w:rsidRPr="00D143FC">
              <w:t>A</w:t>
            </w:r>
            <w:r w:rsidRPr="00483F7C">
              <w:t xml:space="preserve">dapt the source text to each community group. </w:t>
            </w:r>
          </w:p>
          <w:p w14:paraId="477AC06A" w14:textId="54DE7CDB" w:rsidR="00331188" w:rsidRDefault="00331188" w:rsidP="00160E1D">
            <w:pPr>
              <w:pStyle w:val="Tablebullet1"/>
            </w:pPr>
            <w:r w:rsidRPr="00483F7C">
              <w:t>Consider the level of pre-existing knowledge in the target group</w:t>
            </w:r>
            <w:r w:rsidR="009C1F7E">
              <w:t>.</w:t>
            </w:r>
            <w:r w:rsidRPr="00483F7C">
              <w:t xml:space="preserve"> </w:t>
            </w:r>
            <w:r w:rsidR="009C1F7E">
              <w:t>F</w:t>
            </w:r>
            <w:r w:rsidRPr="00483F7C">
              <w:t xml:space="preserve">or example, recently arrived communities may be less familiar with the service system than more established communities and </w:t>
            </w:r>
            <w:r w:rsidR="00B82D8E">
              <w:t>so</w:t>
            </w:r>
            <w:r w:rsidR="00B82D8E" w:rsidRPr="00483F7C">
              <w:t xml:space="preserve"> </w:t>
            </w:r>
            <w:r w:rsidR="00BA4703">
              <w:t>need</w:t>
            </w:r>
            <w:r w:rsidR="00BA4703" w:rsidRPr="00483F7C">
              <w:t xml:space="preserve"> </w:t>
            </w:r>
            <w:r w:rsidRPr="00483F7C">
              <w:t>more contextual information.</w:t>
            </w:r>
          </w:p>
          <w:p w14:paraId="4B3480C4" w14:textId="7668BB71" w:rsidR="00331188" w:rsidRDefault="00331188" w:rsidP="00160E1D">
            <w:pPr>
              <w:pStyle w:val="Tablebullet1"/>
            </w:pPr>
            <w:r>
              <w:t>B</w:t>
            </w:r>
            <w:r w:rsidRPr="00483F7C">
              <w:t xml:space="preserve">e alert to cultural sensitivities about </w:t>
            </w:r>
            <w:r w:rsidR="00BD176F">
              <w:t>certain</w:t>
            </w:r>
            <w:r w:rsidR="00BD176F" w:rsidRPr="00483F7C">
              <w:t xml:space="preserve"> </w:t>
            </w:r>
            <w:r w:rsidRPr="00483F7C">
              <w:t xml:space="preserve">topics. </w:t>
            </w:r>
          </w:p>
          <w:p w14:paraId="383CCC60" w14:textId="2AEBCEBF" w:rsidR="00331188" w:rsidRDefault="00331188" w:rsidP="00160E1D">
            <w:pPr>
              <w:pStyle w:val="Tablebullet1"/>
            </w:pPr>
            <w:r w:rsidRPr="00483F7C">
              <w:lastRenderedPageBreak/>
              <w:t xml:space="preserve">Consult the relevant community about the </w:t>
            </w:r>
            <w:r w:rsidR="009C1F7E">
              <w:t>best</w:t>
            </w:r>
            <w:r w:rsidRPr="00483F7C">
              <w:t xml:space="preserve"> way to deal with the topic. </w:t>
            </w:r>
          </w:p>
          <w:p w14:paraId="0F794B4E" w14:textId="18AB6B8B" w:rsidR="00331188" w:rsidRPr="00483F7C" w:rsidRDefault="00331188" w:rsidP="00160E1D">
            <w:pPr>
              <w:pStyle w:val="Tablebullet1"/>
            </w:pPr>
            <w:r w:rsidRPr="00483F7C">
              <w:t xml:space="preserve">Ensure any images or graphics are culturally appropriate. </w:t>
            </w:r>
          </w:p>
          <w:p w14:paraId="3B4AAD4D" w14:textId="77777777" w:rsidR="00331188" w:rsidRPr="00D143FC" w:rsidRDefault="00331188">
            <w:pPr>
              <w:pStyle w:val="Heading4"/>
              <w:spacing w:before="0"/>
            </w:pPr>
            <w:r w:rsidRPr="00483F7C">
              <w:t>Accuracy</w:t>
            </w:r>
          </w:p>
          <w:p w14:paraId="3AE74521" w14:textId="35E2C362" w:rsidR="00331188" w:rsidRDefault="00331188" w:rsidP="00160E1D">
            <w:pPr>
              <w:pStyle w:val="Tablebullet1"/>
            </w:pPr>
            <w:r>
              <w:t xml:space="preserve">Proof read the text </w:t>
            </w:r>
            <w:r w:rsidR="001D5C64">
              <w:t>before</w:t>
            </w:r>
            <w:r>
              <w:t xml:space="preserve"> submitting it for translation</w:t>
            </w:r>
            <w:r w:rsidR="009C1F7E">
              <w:t>.</w:t>
            </w:r>
            <w:r>
              <w:t xml:space="preserve"> </w:t>
            </w:r>
            <w:r w:rsidR="009C1F7E">
              <w:t>E</w:t>
            </w:r>
            <w:r>
              <w:t>nsure it is final.</w:t>
            </w:r>
          </w:p>
          <w:p w14:paraId="5553DAE1" w14:textId="77777777" w:rsidR="00331188" w:rsidRDefault="00331188" w:rsidP="00160E1D">
            <w:pPr>
              <w:pStyle w:val="Tablebullet1"/>
            </w:pPr>
            <w:r>
              <w:t xml:space="preserve">Assume the translator will translate everything as provided. It is not their responsibility to correct errors. </w:t>
            </w:r>
          </w:p>
          <w:p w14:paraId="0D00C60E" w14:textId="77777777" w:rsidR="00331188" w:rsidRDefault="00331188" w:rsidP="00160E1D">
            <w:pPr>
              <w:pStyle w:val="Tablebullet1"/>
            </w:pPr>
            <w:r>
              <w:t xml:space="preserve">Consider using an editor to ensure the clarity and accuracy of the source text. </w:t>
            </w:r>
          </w:p>
        </w:tc>
      </w:tr>
    </w:tbl>
    <w:p w14:paraId="22520679" w14:textId="77777777" w:rsidR="00331188" w:rsidRDefault="00331188" w:rsidP="00331188">
      <w:pPr>
        <w:pStyle w:val="Heading2"/>
      </w:pPr>
      <w:bookmarkStart w:id="29" w:name="_Toc151721869"/>
      <w:r>
        <w:lastRenderedPageBreak/>
        <w:t>Arranging a translation</w:t>
      </w:r>
      <w:bookmarkEnd w:id="29"/>
    </w:p>
    <w:p w14:paraId="3FCF0455" w14:textId="3F6E43A0" w:rsidR="00331188" w:rsidRDefault="00331188" w:rsidP="00160E1D">
      <w:pPr>
        <w:pStyle w:val="Body"/>
      </w:pPr>
      <w:r>
        <w:t xml:space="preserve">Before the language service provider can </w:t>
      </w:r>
      <w:r w:rsidR="00D033A0">
        <w:t xml:space="preserve">give you </w:t>
      </w:r>
      <w:r>
        <w:t>a quote for the translation, they will need:</w:t>
      </w:r>
    </w:p>
    <w:p w14:paraId="03E60973" w14:textId="04251CF5" w:rsidR="00331188" w:rsidRDefault="00733899" w:rsidP="00160E1D">
      <w:pPr>
        <w:pStyle w:val="Bullet1"/>
      </w:pPr>
      <w:r>
        <w:t xml:space="preserve">the </w:t>
      </w:r>
      <w:r w:rsidR="00331188">
        <w:t xml:space="preserve">name of the organisation </w:t>
      </w:r>
      <w:r>
        <w:t>contracting</w:t>
      </w:r>
      <w:r w:rsidR="00331188">
        <w:t xml:space="preserve"> the translation</w:t>
      </w:r>
    </w:p>
    <w:p w14:paraId="2B0528B7" w14:textId="528E6160" w:rsidR="00331188" w:rsidRDefault="00733899" w:rsidP="00160E1D">
      <w:pPr>
        <w:pStyle w:val="Bullet1"/>
      </w:pPr>
      <w:r>
        <w:t xml:space="preserve">the </w:t>
      </w:r>
      <w:r w:rsidR="00331188">
        <w:t>purpose of the translation</w:t>
      </w:r>
    </w:p>
    <w:p w14:paraId="7FF7C733" w14:textId="5849EBEE" w:rsidR="00331188" w:rsidRDefault="00733899" w:rsidP="00160E1D">
      <w:pPr>
        <w:pStyle w:val="Bullet1"/>
      </w:pPr>
      <w:r>
        <w:t xml:space="preserve">the </w:t>
      </w:r>
      <w:r w:rsidR="00331188">
        <w:t xml:space="preserve">audience for the translation, including ethnic community, age and gender </w:t>
      </w:r>
    </w:p>
    <w:p w14:paraId="5FA1DDBF" w14:textId="77777777" w:rsidR="00331188" w:rsidRDefault="00331188" w:rsidP="00160E1D">
      <w:pPr>
        <w:pStyle w:val="Bullet1"/>
      </w:pPr>
      <w:r>
        <w:t>how the translated material will be published or broadcast (such as a brochure, website, media release, podcast)</w:t>
      </w:r>
    </w:p>
    <w:p w14:paraId="5FC4C9B8" w14:textId="21D8715A" w:rsidR="00331188" w:rsidRDefault="00331188" w:rsidP="00160E1D">
      <w:pPr>
        <w:pStyle w:val="Bullet1"/>
      </w:pPr>
      <w:r>
        <w:t xml:space="preserve">any technical </w:t>
      </w:r>
      <w:r w:rsidR="00BA4703">
        <w:t xml:space="preserve">needs </w:t>
      </w:r>
      <w:r>
        <w:t xml:space="preserve">such as the computer operating system and software. Check with IT staff to ensure uncommon language scripts and fonts are enabled on the system. If not, </w:t>
      </w:r>
      <w:r w:rsidR="00B82D8E">
        <w:t xml:space="preserve">ask </w:t>
      </w:r>
      <w:r>
        <w:t xml:space="preserve">the language service provider to </w:t>
      </w:r>
      <w:r w:rsidR="00BA4703">
        <w:t xml:space="preserve">figure out </w:t>
      </w:r>
      <w:r>
        <w:t>the best format (such as MS Word, PDF, Adobe InDesign) for receiving the translation</w:t>
      </w:r>
    </w:p>
    <w:p w14:paraId="1B7B6FD0" w14:textId="0781402C" w:rsidR="00331188" w:rsidRDefault="00BA4703" w:rsidP="00160E1D">
      <w:pPr>
        <w:pStyle w:val="Bullet1"/>
      </w:pPr>
      <w:r>
        <w:t xml:space="preserve">other </w:t>
      </w:r>
      <w:r w:rsidR="00331188">
        <w:t>information including any deadlines and copyright arrangements if applicable.</w:t>
      </w:r>
    </w:p>
    <w:p w14:paraId="697D3B7A" w14:textId="72AE5591" w:rsidR="00331188" w:rsidRDefault="00331188" w:rsidP="00160E1D">
      <w:pPr>
        <w:pStyle w:val="Bodyafterbullets"/>
      </w:pPr>
      <w:r>
        <w:t xml:space="preserve">Once you have </w:t>
      </w:r>
      <w:r w:rsidR="00D033A0">
        <w:t xml:space="preserve">booked </w:t>
      </w:r>
      <w:r>
        <w:t xml:space="preserve">a suitable translating service, the translator will </w:t>
      </w:r>
      <w:r w:rsidR="00BA4703">
        <w:t>need</w:t>
      </w:r>
      <w:r>
        <w:t>:</w:t>
      </w:r>
    </w:p>
    <w:p w14:paraId="045FAB03" w14:textId="48D05B12" w:rsidR="00331188" w:rsidRDefault="00331188" w:rsidP="00160E1D">
      <w:pPr>
        <w:pStyle w:val="Bullet1"/>
      </w:pPr>
      <w:r>
        <w:t>the text to translate, including a glossary of key terms</w:t>
      </w:r>
    </w:p>
    <w:p w14:paraId="653056F2" w14:textId="77777777" w:rsidR="00331188" w:rsidRDefault="00331188" w:rsidP="00160E1D">
      <w:pPr>
        <w:pStyle w:val="Bullet1"/>
      </w:pPr>
      <w:r>
        <w:t>the languages (including dialects) for translation</w:t>
      </w:r>
    </w:p>
    <w:p w14:paraId="0A847F59" w14:textId="77777777" w:rsidR="00331188" w:rsidRDefault="00331188" w:rsidP="00160E1D">
      <w:pPr>
        <w:pStyle w:val="Bullet1"/>
      </w:pPr>
      <w:r>
        <w:t>the required certification level specialisation (such as health) of the translator</w:t>
      </w:r>
    </w:p>
    <w:p w14:paraId="18162F5C" w14:textId="77777777" w:rsidR="00331188" w:rsidRDefault="00331188" w:rsidP="00160E1D">
      <w:pPr>
        <w:pStyle w:val="Bullet1"/>
      </w:pPr>
      <w:r>
        <w:t>the need for the translation to be typeset</w:t>
      </w:r>
    </w:p>
    <w:p w14:paraId="26238E7A" w14:textId="77777777" w:rsidR="00331188" w:rsidRDefault="00331188" w:rsidP="00160E1D">
      <w:pPr>
        <w:pStyle w:val="Bullet1"/>
      </w:pPr>
      <w:r>
        <w:t>translation of the glossary of key terms for future reference</w:t>
      </w:r>
    </w:p>
    <w:p w14:paraId="3D1D9EAF" w14:textId="7C42A797" w:rsidR="00331188" w:rsidRPr="0067215D" w:rsidRDefault="00331188" w:rsidP="00160E1D">
      <w:pPr>
        <w:pStyle w:val="Bullet1"/>
      </w:pPr>
      <w:r w:rsidRPr="0067215D">
        <w:t xml:space="preserve">certification of the translation if </w:t>
      </w:r>
      <w:r w:rsidR="00BA4703">
        <w:t>needed</w:t>
      </w:r>
      <w:r w:rsidR="00BA4703" w:rsidRPr="0067215D">
        <w:t xml:space="preserve"> </w:t>
      </w:r>
      <w:r w:rsidRPr="0067215D">
        <w:t xml:space="preserve">(such as for legal purposes) </w:t>
      </w:r>
    </w:p>
    <w:p w14:paraId="345D7A8A" w14:textId="77777777" w:rsidR="00331188" w:rsidRDefault="00331188" w:rsidP="00160E1D">
      <w:pPr>
        <w:pStyle w:val="Bullet1"/>
      </w:pPr>
      <w:r w:rsidRPr="0067215D">
        <w:t>confidentiality</w:t>
      </w:r>
      <w:r>
        <w:t xml:space="preserve"> requirements</w:t>
      </w:r>
    </w:p>
    <w:p w14:paraId="0132C73E" w14:textId="3A88BAED" w:rsidR="00331188" w:rsidRDefault="00331188" w:rsidP="00160E1D">
      <w:pPr>
        <w:pStyle w:val="Bullet1"/>
      </w:pPr>
      <w:r>
        <w:t xml:space="preserve">any </w:t>
      </w:r>
      <w:r w:rsidR="00B82D8E">
        <w:t xml:space="preserve">parts </w:t>
      </w:r>
      <w:r>
        <w:t>of the text that do not need translat</w:t>
      </w:r>
      <w:r w:rsidR="00B82D8E">
        <w:t>i</w:t>
      </w:r>
      <w:r w:rsidR="00723419">
        <w:t>ng</w:t>
      </w:r>
      <w:r>
        <w:t xml:space="preserve"> (such as logo</w:t>
      </w:r>
      <w:r w:rsidR="009C1F7E">
        <w:t>s and</w:t>
      </w:r>
      <w:r>
        <w:t xml:space="preserve"> names).</w:t>
      </w:r>
    </w:p>
    <w:p w14:paraId="14125777" w14:textId="77777777" w:rsidR="00331188" w:rsidRDefault="00331188" w:rsidP="00331188">
      <w:pPr>
        <w:pStyle w:val="Heading2"/>
      </w:pPr>
      <w:bookmarkStart w:id="30" w:name="_Toc151721870"/>
      <w:r>
        <w:t>Finalising the translation</w:t>
      </w:r>
      <w:bookmarkEnd w:id="30"/>
    </w:p>
    <w:p w14:paraId="1EB21DB7" w14:textId="56CF3543" w:rsidR="00331188" w:rsidRDefault="00331188" w:rsidP="00160E1D">
      <w:pPr>
        <w:pStyle w:val="Body"/>
      </w:pPr>
      <w:r>
        <w:t xml:space="preserve">It is highly recommended that translations are independently checked by a different translator with at least the same level of certification as the original translator. The language service provider can arrange this for an </w:t>
      </w:r>
      <w:r w:rsidR="008E3B96">
        <w:t xml:space="preserve">extra </w:t>
      </w:r>
      <w:r>
        <w:t>fee. Independent checking ensures quality and accuracy</w:t>
      </w:r>
      <w:r w:rsidR="00C24E81">
        <w:t>. It</w:t>
      </w:r>
      <w:r>
        <w:t xml:space="preserve"> involves comparing the translation with the original text. </w:t>
      </w:r>
    </w:p>
    <w:p w14:paraId="322ABE46" w14:textId="3418AA6C" w:rsidR="00331188" w:rsidRDefault="00331188" w:rsidP="00160E1D">
      <w:pPr>
        <w:pStyle w:val="Body"/>
      </w:pPr>
      <w:r>
        <w:t xml:space="preserve">Depending on the document, </w:t>
      </w:r>
      <w:r w:rsidR="008E3B96">
        <w:t xml:space="preserve">community members should also review </w:t>
      </w:r>
      <w:r>
        <w:t xml:space="preserve">the translated resource. This will </w:t>
      </w:r>
      <w:r w:rsidR="008E3B96">
        <w:t>show up</w:t>
      </w:r>
      <w:r>
        <w:t xml:space="preserve"> any particular words or expressions that are unclear or culturally inappropriate. Consider </w:t>
      </w:r>
      <w:r w:rsidR="008E3B96">
        <w:t xml:space="preserve">compensating </w:t>
      </w:r>
      <w:r>
        <w:t>communities for their time.</w:t>
      </w:r>
    </w:p>
    <w:p w14:paraId="2CD25BE2" w14:textId="2ADCF20D" w:rsidR="00331188" w:rsidRDefault="00331188" w:rsidP="00160E1D">
      <w:pPr>
        <w:pStyle w:val="Body"/>
      </w:pPr>
      <w:r>
        <w:t xml:space="preserve">Always publish the translated version </w:t>
      </w:r>
      <w:r w:rsidR="004F0832">
        <w:t xml:space="preserve">with </w:t>
      </w:r>
      <w:r>
        <w:t xml:space="preserve">the English version </w:t>
      </w:r>
      <w:r w:rsidR="008E3B96">
        <w:t xml:space="preserve">online </w:t>
      </w:r>
      <w:r>
        <w:t>– or print both together. This allows an English-speaking user to refer to the translated version with a non-English</w:t>
      </w:r>
      <w:r w:rsidR="00E509DD">
        <w:t>-</w:t>
      </w:r>
      <w:r>
        <w:t xml:space="preserve">speaking client. </w:t>
      </w:r>
    </w:p>
    <w:p w14:paraId="1D1BC422" w14:textId="7FA44437" w:rsidR="00331188" w:rsidRDefault="00331188" w:rsidP="00160E1D">
      <w:pPr>
        <w:pStyle w:val="Body"/>
      </w:pPr>
      <w:r>
        <w:t xml:space="preserve">Consider a </w:t>
      </w:r>
      <w:r w:rsidR="00E509DD">
        <w:t xml:space="preserve">regular </w:t>
      </w:r>
      <w:r>
        <w:t xml:space="preserve">maintenance schedule for translated material to ensure relevancy and currency. </w:t>
      </w:r>
      <w:r w:rsidR="00BD199C">
        <w:t xml:space="preserve">Be </w:t>
      </w:r>
      <w:r>
        <w:t xml:space="preserve">sure </w:t>
      </w:r>
      <w:r w:rsidR="00BD199C">
        <w:t xml:space="preserve">to update </w:t>
      </w:r>
      <w:r>
        <w:t xml:space="preserve">the translated information if the original English version changes. </w:t>
      </w:r>
    </w:p>
    <w:p w14:paraId="4D401212" w14:textId="78FF2436" w:rsidR="00331188" w:rsidRDefault="00331188" w:rsidP="00160E1D">
      <w:pPr>
        <w:pStyle w:val="Body"/>
      </w:pPr>
      <w:r>
        <w:lastRenderedPageBreak/>
        <w:t>Also</w:t>
      </w:r>
      <w:r w:rsidR="008E3B96">
        <w:t>,</w:t>
      </w:r>
      <w:r>
        <w:t xml:space="preserve"> consider ways to assess the effectiveness of the translated publication. This might include </w:t>
      </w:r>
      <w:r w:rsidR="00BD199C">
        <w:t xml:space="preserve">speaking </w:t>
      </w:r>
      <w:r>
        <w:t xml:space="preserve">with target communities and </w:t>
      </w:r>
      <w:r w:rsidR="00BD199C">
        <w:t xml:space="preserve">asking for </w:t>
      </w:r>
      <w:r>
        <w:t>feedback on the publication</w:t>
      </w:r>
      <w:r w:rsidR="00BD199C">
        <w:t>. You could also</w:t>
      </w:r>
      <w:r>
        <w:t xml:space="preserve">  survey the target audience and relevant service providers.</w:t>
      </w:r>
    </w:p>
    <w:p w14:paraId="2E022A33" w14:textId="77777777" w:rsidR="00331188" w:rsidRPr="00E74BDA" w:rsidRDefault="00331188" w:rsidP="00160E1D">
      <w:pPr>
        <w:pStyle w:val="Body"/>
      </w:pPr>
      <w:r w:rsidRPr="00E74BDA">
        <w:br w:type="page"/>
      </w:r>
    </w:p>
    <w:p w14:paraId="2419A6AB" w14:textId="77777777" w:rsidR="00331188" w:rsidRDefault="00331188" w:rsidP="00331188">
      <w:pPr>
        <w:pStyle w:val="Heading1"/>
      </w:pPr>
      <w:bookmarkStart w:id="31" w:name="_Toc151721871"/>
      <w:r>
        <w:lastRenderedPageBreak/>
        <w:t>Appendix: Overview of the translation process</w:t>
      </w:r>
      <w:bookmarkEnd w:id="31"/>
    </w:p>
    <w:p w14:paraId="071BB42F" w14:textId="77777777" w:rsidR="00331188" w:rsidRDefault="00331188" w:rsidP="00160E1D">
      <w:pPr>
        <w:pStyle w:val="Body"/>
      </w:pPr>
      <w:r>
        <w:t>The typical translation process, whether for print, web or other media, involves:</w:t>
      </w:r>
    </w:p>
    <w:p w14:paraId="424B9EFE" w14:textId="3113D72F" w:rsidR="00EB4BC7" w:rsidRDefault="00E7057A" w:rsidP="00331188">
      <w:pPr>
        <w:pStyle w:val="Body"/>
      </w:pPr>
      <w:r>
        <w:rPr>
          <w:noProof/>
        </w:rPr>
        <w:drawing>
          <wp:inline distT="0" distB="0" distL="0" distR="0" wp14:anchorId="2A100DD7" wp14:editId="05F657A5">
            <wp:extent cx="5471732" cy="8382955"/>
            <wp:effectExtent l="0" t="0" r="0" b="0"/>
            <wp:docPr id="1" name="Picture 1" descr="Overview of the translation process&#10;&#10;Before translation: use multiple data sources and community consultation; identify target audience; select language(s); consider options other than written translations&#10;&#10;Writing for translation: text for translation; bilingual publications&#10;&#10;Arranging translations: engage language services provider (check your program's policy and procedures); brief the translator&#10;&#10;Finalising the translation: independent checking and community review; make translations and an English version available; evaluate and maintain translations in consultation with commun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verview of the translation process&#10;&#10;Before translation: use multiple data sources and community consultation; identify target audience; select language(s); consider options other than written translations&#10;&#10;Writing for translation: text for translation; bilingual publications&#10;&#10;Arranging translations: engage language services provider (check your program's policy and procedures); brief the translator&#10;&#10;Finalising the translation: independent checking and community review; make translations and an English version available; evaluate and maintain translations in consultation with communities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81590" cy="839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BC7" w:rsidSect="005A4575">
      <w:headerReference w:type="even" r:id="rId33"/>
      <w:footerReference w:type="even" r:id="rId34"/>
      <w:footerReference w:type="default" r:id="rId35"/>
      <w:pgSz w:w="11906" w:h="16838" w:code="9"/>
      <w:pgMar w:top="1418" w:right="1304" w:bottom="851" w:left="1304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2D40" w14:textId="77777777" w:rsidR="00E76791" w:rsidRDefault="00E76791">
      <w:r>
        <w:separator/>
      </w:r>
    </w:p>
    <w:p w14:paraId="6877E0F1" w14:textId="77777777" w:rsidR="00E76791" w:rsidRDefault="00E76791"/>
  </w:endnote>
  <w:endnote w:type="continuationSeparator" w:id="0">
    <w:p w14:paraId="68225C95" w14:textId="77777777" w:rsidR="00E76791" w:rsidRDefault="00E76791">
      <w:r>
        <w:continuationSeparator/>
      </w:r>
    </w:p>
    <w:p w14:paraId="0946B3E6" w14:textId="77777777" w:rsidR="00E76791" w:rsidRDefault="00E76791"/>
  </w:endnote>
  <w:endnote w:type="continuationNotice" w:id="1">
    <w:p w14:paraId="0122A6C4" w14:textId="77777777" w:rsidR="00E76791" w:rsidRDefault="00E76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0490" w14:textId="11833843" w:rsidR="00D63636" w:rsidRDefault="00D63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A8D0" w14:textId="167127E2" w:rsidR="00431A70" w:rsidRDefault="00431A70" w:rsidP="00DC00C1">
    <w:pPr>
      <w:pStyle w:val="Footer"/>
      <w:tabs>
        <w:tab w:val="left" w:pos="366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1C35" w14:textId="77777777" w:rsidR="00E76791" w:rsidRDefault="00E76791" w:rsidP="00207717">
      <w:pPr>
        <w:spacing w:before="120"/>
      </w:pPr>
      <w:r>
        <w:separator/>
      </w:r>
    </w:p>
  </w:footnote>
  <w:footnote w:type="continuationSeparator" w:id="0">
    <w:p w14:paraId="13063D4D" w14:textId="77777777" w:rsidR="00E76791" w:rsidRDefault="00E76791">
      <w:r>
        <w:continuationSeparator/>
      </w:r>
    </w:p>
    <w:p w14:paraId="716A80D2" w14:textId="77777777" w:rsidR="00E76791" w:rsidRDefault="00E76791"/>
  </w:footnote>
  <w:footnote w:type="continuationNotice" w:id="1">
    <w:p w14:paraId="3FA07DD5" w14:textId="77777777" w:rsidR="00E76791" w:rsidRDefault="00E767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E2BC" w14:textId="1DCB4FEC" w:rsidR="001D0DA0" w:rsidRDefault="001D0DA0">
    <w:pPr>
      <w:pStyle w:val="Header"/>
    </w:pPr>
    <w:r w:rsidRPr="001D0DA0">
      <w:t>Interim guidelines</w:t>
    </w:r>
  </w:p>
  <w:p w14:paraId="307CC6FD" w14:textId="6BD6090B" w:rsidR="006F7DD1" w:rsidRDefault="001D0DA0">
    <w:pPr>
      <w:pStyle w:val="Header"/>
    </w:pPr>
    <w:r>
      <w:t>H</w:t>
    </w:r>
    <w:r w:rsidR="006F7DD1" w:rsidRPr="00331188">
      <w:t>ow to work with interpreters and translators: a guide to effectively using language services</w:t>
    </w:r>
    <w:r w:rsidR="006F7DD1">
      <w:ptab w:relativeTo="margin" w:alignment="right" w:leader="none"/>
    </w:r>
    <w:r w:rsidR="006F7DD1" w:rsidRPr="00DE6C85">
      <w:rPr>
        <w:b w:val="0"/>
        <w:bCs/>
      </w:rPr>
      <w:fldChar w:fldCharType="begin"/>
    </w:r>
    <w:r w:rsidR="006F7DD1" w:rsidRPr="00DE6C85">
      <w:rPr>
        <w:bCs/>
      </w:rPr>
      <w:instrText xml:space="preserve"> PAGE </w:instrText>
    </w:r>
    <w:r w:rsidR="006F7DD1" w:rsidRPr="00DE6C85">
      <w:rPr>
        <w:b w:val="0"/>
        <w:bCs/>
      </w:rPr>
      <w:fldChar w:fldCharType="separate"/>
    </w:r>
    <w:r w:rsidR="006F7DD1">
      <w:rPr>
        <w:b w:val="0"/>
        <w:bCs/>
      </w:rPr>
      <w:t>4</w:t>
    </w:r>
    <w:r w:rsidR="006F7DD1" w:rsidRPr="00DE6C85">
      <w:rPr>
        <w:b w:val="0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185F" w14:textId="3B103123" w:rsidR="00431A70" w:rsidRDefault="00C60411">
    <w:pPr>
      <w:pStyle w:val="Header"/>
    </w:pP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Cs/>
      </w:rPr>
      <w:t>11</w:t>
    </w:r>
    <w:r w:rsidRPr="00DE6C85">
      <w:rPr>
        <w:b w:val="0"/>
        <w:bCs/>
      </w:rPr>
      <w:fldChar w:fldCharType="end"/>
    </w:r>
    <w:r>
      <w:rPr>
        <w:bCs/>
      </w:rPr>
      <w:ptab w:relativeTo="margin" w:alignment="right" w:leader="none"/>
    </w:r>
    <w:r>
      <w:t>Document title</w:t>
    </w:r>
    <w:r>
      <w:rPr>
        <w:noProof/>
      </w:rPr>
      <w:t xml:space="preserve"> </w:t>
    </w:r>
    <w:r w:rsidR="009C245E" w:rsidRPr="009C245E">
      <w:rPr>
        <w:noProof/>
      </w:rPr>
      <w:t>(use Header style)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0AAE1EBA"/>
    <w:numStyleLink w:val="ZZNumbersloweralpha"/>
  </w:abstractNum>
  <w:abstractNum w:abstractNumId="13" w15:restartNumberingAfterBreak="0">
    <w:nsid w:val="0A7F5BD4"/>
    <w:multiLevelType w:val="hybridMultilevel"/>
    <w:tmpl w:val="3788B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9D040EF8"/>
    <w:numStyleLink w:val="ZZNumbersdigit"/>
  </w:abstractNum>
  <w:abstractNum w:abstractNumId="15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4177C46"/>
    <w:multiLevelType w:val="hybridMultilevel"/>
    <w:tmpl w:val="B31CD3A8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8415E"/>
    <w:multiLevelType w:val="hybridMultilevel"/>
    <w:tmpl w:val="C6BEF2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51B47"/>
    <w:multiLevelType w:val="multilevel"/>
    <w:tmpl w:val="4B4E7622"/>
    <w:numStyleLink w:val="ZZNumbers"/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C4303A5"/>
    <w:multiLevelType w:val="multilevel"/>
    <w:tmpl w:val="4B4E7622"/>
    <w:styleLink w:val="ZZ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6C68D4"/>
    <w:multiLevelType w:val="multilevel"/>
    <w:tmpl w:val="9D040EF8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B08DE"/>
    <w:multiLevelType w:val="hybridMultilevel"/>
    <w:tmpl w:val="DC02CC4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3D3AFC"/>
    <w:multiLevelType w:val="hybridMultilevel"/>
    <w:tmpl w:val="7F740EE6"/>
    <w:lvl w:ilvl="0" w:tplc="4B300028">
      <w:start w:val="1"/>
      <w:numFmt w:val="bullet"/>
      <w:lvlText w:val="•"/>
      <w:lvlJc w:val="left"/>
      <w:pPr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02576">
    <w:abstractNumId w:val="10"/>
  </w:num>
  <w:num w:numId="2" w16cid:durableId="466823968">
    <w:abstractNumId w:val="22"/>
  </w:num>
  <w:num w:numId="3" w16cid:durableId="19015951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16513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85220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16890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5315078">
    <w:abstractNumId w:val="27"/>
  </w:num>
  <w:num w:numId="8" w16cid:durableId="1310555725">
    <w:abstractNumId w:val="20"/>
  </w:num>
  <w:num w:numId="9" w16cid:durableId="1986735726">
    <w:abstractNumId w:val="26"/>
  </w:num>
  <w:num w:numId="10" w16cid:durableId="3956660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0727497">
    <w:abstractNumId w:val="28"/>
  </w:num>
  <w:num w:numId="12" w16cid:durableId="17012045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7142032">
    <w:abstractNumId w:val="23"/>
  </w:num>
  <w:num w:numId="14" w16cid:durableId="13713453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2720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21898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70427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773712">
    <w:abstractNumId w:val="30"/>
  </w:num>
  <w:num w:numId="19" w16cid:durableId="4463954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7049803">
    <w:abstractNumId w:val="15"/>
  </w:num>
  <w:num w:numId="21" w16cid:durableId="756827202">
    <w:abstractNumId w:val="12"/>
  </w:num>
  <w:num w:numId="22" w16cid:durableId="10742815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7461500">
    <w:abstractNumId w:val="17"/>
  </w:num>
  <w:num w:numId="24" w16cid:durableId="1288392030">
    <w:abstractNumId w:val="31"/>
  </w:num>
  <w:num w:numId="25" w16cid:durableId="76366605">
    <w:abstractNumId w:val="29"/>
  </w:num>
  <w:num w:numId="26" w16cid:durableId="1717729830">
    <w:abstractNumId w:val="24"/>
  </w:num>
  <w:num w:numId="27" w16cid:durableId="1892226975">
    <w:abstractNumId w:val="11"/>
  </w:num>
  <w:num w:numId="28" w16cid:durableId="1846820658">
    <w:abstractNumId w:val="32"/>
  </w:num>
  <w:num w:numId="29" w16cid:durableId="776750461">
    <w:abstractNumId w:val="9"/>
  </w:num>
  <w:num w:numId="30" w16cid:durableId="1260289671">
    <w:abstractNumId w:val="7"/>
  </w:num>
  <w:num w:numId="31" w16cid:durableId="1335569934">
    <w:abstractNumId w:val="6"/>
  </w:num>
  <w:num w:numId="32" w16cid:durableId="817386184">
    <w:abstractNumId w:val="5"/>
  </w:num>
  <w:num w:numId="33" w16cid:durableId="901528701">
    <w:abstractNumId w:val="4"/>
  </w:num>
  <w:num w:numId="34" w16cid:durableId="2086682530">
    <w:abstractNumId w:val="8"/>
  </w:num>
  <w:num w:numId="35" w16cid:durableId="7293338">
    <w:abstractNumId w:val="3"/>
  </w:num>
  <w:num w:numId="36" w16cid:durableId="1946493963">
    <w:abstractNumId w:val="2"/>
  </w:num>
  <w:num w:numId="37" w16cid:durableId="70976773">
    <w:abstractNumId w:val="1"/>
  </w:num>
  <w:num w:numId="38" w16cid:durableId="656613747">
    <w:abstractNumId w:val="0"/>
  </w:num>
  <w:num w:numId="39" w16cid:durableId="1504134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35075759">
    <w:abstractNumId w:val="33"/>
  </w:num>
  <w:num w:numId="41" w16cid:durableId="744454432">
    <w:abstractNumId w:val="21"/>
  </w:num>
  <w:num w:numId="42" w16cid:durableId="11543741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16857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67369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37514875">
    <w:abstractNumId w:val="19"/>
  </w:num>
  <w:num w:numId="46" w16cid:durableId="6485578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48688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870371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195334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290139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15782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206930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9581650">
    <w:abstractNumId w:val="13"/>
  </w:num>
  <w:num w:numId="54" w16cid:durableId="1496528583">
    <w:abstractNumId w:val="18"/>
  </w:num>
  <w:num w:numId="55" w16cid:durableId="157431416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56" w16cid:durableId="886139625">
    <w:abstractNumId w:val="25"/>
  </w:num>
  <w:num w:numId="57" w16cid:durableId="288098824">
    <w:abstractNumId w:val="1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719"/>
    <w:rsid w:val="00002D68"/>
    <w:rsid w:val="000033F7"/>
    <w:rsid w:val="00003403"/>
    <w:rsid w:val="00005347"/>
    <w:rsid w:val="000072B6"/>
    <w:rsid w:val="0001021B"/>
    <w:rsid w:val="0001029F"/>
    <w:rsid w:val="000116BE"/>
    <w:rsid w:val="00011D89"/>
    <w:rsid w:val="000154FD"/>
    <w:rsid w:val="00020678"/>
    <w:rsid w:val="00022271"/>
    <w:rsid w:val="000235E8"/>
    <w:rsid w:val="00023F00"/>
    <w:rsid w:val="00024D89"/>
    <w:rsid w:val="000250B6"/>
    <w:rsid w:val="00032AB8"/>
    <w:rsid w:val="00033D81"/>
    <w:rsid w:val="00033DC9"/>
    <w:rsid w:val="00037366"/>
    <w:rsid w:val="00041BF0"/>
    <w:rsid w:val="00042C8A"/>
    <w:rsid w:val="0004536B"/>
    <w:rsid w:val="00046B68"/>
    <w:rsid w:val="000527DD"/>
    <w:rsid w:val="00056EC4"/>
    <w:rsid w:val="000578B2"/>
    <w:rsid w:val="00060959"/>
    <w:rsid w:val="00060C8F"/>
    <w:rsid w:val="00061DAB"/>
    <w:rsid w:val="0006298A"/>
    <w:rsid w:val="000654A2"/>
    <w:rsid w:val="000663CD"/>
    <w:rsid w:val="00072B07"/>
    <w:rsid w:val="000733FE"/>
    <w:rsid w:val="00074219"/>
    <w:rsid w:val="00074ED5"/>
    <w:rsid w:val="0008170F"/>
    <w:rsid w:val="0008204A"/>
    <w:rsid w:val="0008508E"/>
    <w:rsid w:val="00087951"/>
    <w:rsid w:val="0009113B"/>
    <w:rsid w:val="00093402"/>
    <w:rsid w:val="000939ED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55EA"/>
    <w:rsid w:val="000D02EC"/>
    <w:rsid w:val="000D1242"/>
    <w:rsid w:val="000D2ABA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17DA6"/>
    <w:rsid w:val="00120BD3"/>
    <w:rsid w:val="00122FEA"/>
    <w:rsid w:val="001232BD"/>
    <w:rsid w:val="00124ED5"/>
    <w:rsid w:val="001276FA"/>
    <w:rsid w:val="001447B3"/>
    <w:rsid w:val="00152073"/>
    <w:rsid w:val="00152329"/>
    <w:rsid w:val="00153819"/>
    <w:rsid w:val="00156598"/>
    <w:rsid w:val="00160E1D"/>
    <w:rsid w:val="00161939"/>
    <w:rsid w:val="00161AA0"/>
    <w:rsid w:val="00161D2E"/>
    <w:rsid w:val="00161F3E"/>
    <w:rsid w:val="00162093"/>
    <w:rsid w:val="00162CA9"/>
    <w:rsid w:val="00165459"/>
    <w:rsid w:val="00165A57"/>
    <w:rsid w:val="00166CCA"/>
    <w:rsid w:val="001708A9"/>
    <w:rsid w:val="001712C2"/>
    <w:rsid w:val="00172AF1"/>
    <w:rsid w:val="00172BAF"/>
    <w:rsid w:val="00172ED0"/>
    <w:rsid w:val="0017674D"/>
    <w:rsid w:val="001771DD"/>
    <w:rsid w:val="00177995"/>
    <w:rsid w:val="00177A8C"/>
    <w:rsid w:val="0018244E"/>
    <w:rsid w:val="00183356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272"/>
    <w:rsid w:val="001B058F"/>
    <w:rsid w:val="001B6B96"/>
    <w:rsid w:val="001B738B"/>
    <w:rsid w:val="001C09DB"/>
    <w:rsid w:val="001C277E"/>
    <w:rsid w:val="001C2A72"/>
    <w:rsid w:val="001C31B7"/>
    <w:rsid w:val="001C533C"/>
    <w:rsid w:val="001C7128"/>
    <w:rsid w:val="001D0B75"/>
    <w:rsid w:val="001D0DA0"/>
    <w:rsid w:val="001D39A5"/>
    <w:rsid w:val="001D3C09"/>
    <w:rsid w:val="001D44E8"/>
    <w:rsid w:val="001D5B14"/>
    <w:rsid w:val="001D5C64"/>
    <w:rsid w:val="001D60EC"/>
    <w:rsid w:val="001D6F59"/>
    <w:rsid w:val="001D77FB"/>
    <w:rsid w:val="001E44DF"/>
    <w:rsid w:val="001E5693"/>
    <w:rsid w:val="001E68A5"/>
    <w:rsid w:val="001E6BB0"/>
    <w:rsid w:val="001E7282"/>
    <w:rsid w:val="001E7CE9"/>
    <w:rsid w:val="001F3826"/>
    <w:rsid w:val="001F6E46"/>
    <w:rsid w:val="001F7C91"/>
    <w:rsid w:val="002033B7"/>
    <w:rsid w:val="0020444B"/>
    <w:rsid w:val="00206463"/>
    <w:rsid w:val="00206F2F"/>
    <w:rsid w:val="00207717"/>
    <w:rsid w:val="0021053D"/>
    <w:rsid w:val="00210A92"/>
    <w:rsid w:val="00212B95"/>
    <w:rsid w:val="00215CC8"/>
    <w:rsid w:val="00216C03"/>
    <w:rsid w:val="00220A1A"/>
    <w:rsid w:val="00220C04"/>
    <w:rsid w:val="0022278D"/>
    <w:rsid w:val="0022701F"/>
    <w:rsid w:val="00227C68"/>
    <w:rsid w:val="002333F5"/>
    <w:rsid w:val="00233724"/>
    <w:rsid w:val="0023458F"/>
    <w:rsid w:val="002365B4"/>
    <w:rsid w:val="00240C08"/>
    <w:rsid w:val="002432E1"/>
    <w:rsid w:val="00246207"/>
    <w:rsid w:val="00246C5E"/>
    <w:rsid w:val="00250960"/>
    <w:rsid w:val="00251343"/>
    <w:rsid w:val="00252662"/>
    <w:rsid w:val="002536A4"/>
    <w:rsid w:val="00253A3E"/>
    <w:rsid w:val="00254F58"/>
    <w:rsid w:val="002562D7"/>
    <w:rsid w:val="002600BD"/>
    <w:rsid w:val="002620BC"/>
    <w:rsid w:val="00262802"/>
    <w:rsid w:val="00263A90"/>
    <w:rsid w:val="0026408B"/>
    <w:rsid w:val="00266141"/>
    <w:rsid w:val="00267C3E"/>
    <w:rsid w:val="002709BB"/>
    <w:rsid w:val="0027131C"/>
    <w:rsid w:val="00271DD3"/>
    <w:rsid w:val="00272CBC"/>
    <w:rsid w:val="00273BAC"/>
    <w:rsid w:val="0027491E"/>
    <w:rsid w:val="002763B3"/>
    <w:rsid w:val="002802E3"/>
    <w:rsid w:val="0028213D"/>
    <w:rsid w:val="00282A7F"/>
    <w:rsid w:val="00285C7B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071"/>
    <w:rsid w:val="002B5277"/>
    <w:rsid w:val="002B5375"/>
    <w:rsid w:val="002B5568"/>
    <w:rsid w:val="002B77C1"/>
    <w:rsid w:val="002C0ED7"/>
    <w:rsid w:val="002C2728"/>
    <w:rsid w:val="002C5B7C"/>
    <w:rsid w:val="002D1E0D"/>
    <w:rsid w:val="002D5006"/>
    <w:rsid w:val="002D7C61"/>
    <w:rsid w:val="002E01D0"/>
    <w:rsid w:val="002E161D"/>
    <w:rsid w:val="002E1B32"/>
    <w:rsid w:val="002E2363"/>
    <w:rsid w:val="002E28A2"/>
    <w:rsid w:val="002E3100"/>
    <w:rsid w:val="002E6C95"/>
    <w:rsid w:val="002E7C36"/>
    <w:rsid w:val="002F3D32"/>
    <w:rsid w:val="002F5E26"/>
    <w:rsid w:val="002F5F31"/>
    <w:rsid w:val="002F5F46"/>
    <w:rsid w:val="003013A3"/>
    <w:rsid w:val="00302216"/>
    <w:rsid w:val="00303E53"/>
    <w:rsid w:val="00305CC1"/>
    <w:rsid w:val="00306E5F"/>
    <w:rsid w:val="00307BF4"/>
    <w:rsid w:val="00307E14"/>
    <w:rsid w:val="00314054"/>
    <w:rsid w:val="00316F27"/>
    <w:rsid w:val="003214F1"/>
    <w:rsid w:val="00322E4B"/>
    <w:rsid w:val="0032331E"/>
    <w:rsid w:val="00327870"/>
    <w:rsid w:val="00331188"/>
    <w:rsid w:val="0033175A"/>
    <w:rsid w:val="0033259D"/>
    <w:rsid w:val="003333D2"/>
    <w:rsid w:val="00334686"/>
    <w:rsid w:val="00337339"/>
    <w:rsid w:val="00340345"/>
    <w:rsid w:val="003406C6"/>
    <w:rsid w:val="003418CC"/>
    <w:rsid w:val="003434EE"/>
    <w:rsid w:val="003459BD"/>
    <w:rsid w:val="00347FE3"/>
    <w:rsid w:val="00350D38"/>
    <w:rsid w:val="00351B36"/>
    <w:rsid w:val="003542D4"/>
    <w:rsid w:val="00357B4E"/>
    <w:rsid w:val="003716FD"/>
    <w:rsid w:val="00371E88"/>
    <w:rsid w:val="0037204B"/>
    <w:rsid w:val="003744CF"/>
    <w:rsid w:val="00374717"/>
    <w:rsid w:val="0037676C"/>
    <w:rsid w:val="00380163"/>
    <w:rsid w:val="00381043"/>
    <w:rsid w:val="00381F57"/>
    <w:rsid w:val="003829E5"/>
    <w:rsid w:val="00386109"/>
    <w:rsid w:val="00386944"/>
    <w:rsid w:val="00393341"/>
    <w:rsid w:val="00395405"/>
    <w:rsid w:val="003956CC"/>
    <w:rsid w:val="00395C9A"/>
    <w:rsid w:val="00396EFD"/>
    <w:rsid w:val="003A0853"/>
    <w:rsid w:val="003A6B67"/>
    <w:rsid w:val="003B13B6"/>
    <w:rsid w:val="003B14C3"/>
    <w:rsid w:val="003B15E6"/>
    <w:rsid w:val="003B22EF"/>
    <w:rsid w:val="003B408A"/>
    <w:rsid w:val="003B6B21"/>
    <w:rsid w:val="003C08A2"/>
    <w:rsid w:val="003C2045"/>
    <w:rsid w:val="003C36F3"/>
    <w:rsid w:val="003C43A1"/>
    <w:rsid w:val="003C4FC0"/>
    <w:rsid w:val="003C55F4"/>
    <w:rsid w:val="003C7897"/>
    <w:rsid w:val="003C7A3F"/>
    <w:rsid w:val="003D2766"/>
    <w:rsid w:val="003D2A74"/>
    <w:rsid w:val="003D3D88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0D9C"/>
    <w:rsid w:val="003F14B1"/>
    <w:rsid w:val="003F2B20"/>
    <w:rsid w:val="003F3289"/>
    <w:rsid w:val="003F3C62"/>
    <w:rsid w:val="003F5CB9"/>
    <w:rsid w:val="004013C7"/>
    <w:rsid w:val="00401FCF"/>
    <w:rsid w:val="00406285"/>
    <w:rsid w:val="0041150C"/>
    <w:rsid w:val="004115A2"/>
    <w:rsid w:val="004148F9"/>
    <w:rsid w:val="00415B30"/>
    <w:rsid w:val="0041664A"/>
    <w:rsid w:val="00417BF4"/>
    <w:rsid w:val="0042084E"/>
    <w:rsid w:val="00420BC0"/>
    <w:rsid w:val="00421EEF"/>
    <w:rsid w:val="00424D65"/>
    <w:rsid w:val="0042526D"/>
    <w:rsid w:val="00430393"/>
    <w:rsid w:val="00431806"/>
    <w:rsid w:val="00431A70"/>
    <w:rsid w:val="00431F42"/>
    <w:rsid w:val="004340E0"/>
    <w:rsid w:val="00437210"/>
    <w:rsid w:val="0044031C"/>
    <w:rsid w:val="00441AF9"/>
    <w:rsid w:val="00442C6C"/>
    <w:rsid w:val="00443CBE"/>
    <w:rsid w:val="00443E8A"/>
    <w:rsid w:val="004441BC"/>
    <w:rsid w:val="004468B4"/>
    <w:rsid w:val="00446D86"/>
    <w:rsid w:val="0045230A"/>
    <w:rsid w:val="00454AD0"/>
    <w:rsid w:val="00457337"/>
    <w:rsid w:val="00462E3D"/>
    <w:rsid w:val="00466E79"/>
    <w:rsid w:val="004672DA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974"/>
    <w:rsid w:val="004B4185"/>
    <w:rsid w:val="004C014B"/>
    <w:rsid w:val="004C5541"/>
    <w:rsid w:val="004C6EEE"/>
    <w:rsid w:val="004C702B"/>
    <w:rsid w:val="004D0033"/>
    <w:rsid w:val="004D016B"/>
    <w:rsid w:val="004D1B22"/>
    <w:rsid w:val="004D23CC"/>
    <w:rsid w:val="004D36F2"/>
    <w:rsid w:val="004D5BAC"/>
    <w:rsid w:val="004D6BFB"/>
    <w:rsid w:val="004E1106"/>
    <w:rsid w:val="004E138F"/>
    <w:rsid w:val="004E4649"/>
    <w:rsid w:val="004E5C2B"/>
    <w:rsid w:val="004F00DD"/>
    <w:rsid w:val="004F0832"/>
    <w:rsid w:val="004F0D7A"/>
    <w:rsid w:val="004F2133"/>
    <w:rsid w:val="004F40A9"/>
    <w:rsid w:val="004F5398"/>
    <w:rsid w:val="004F55F1"/>
    <w:rsid w:val="004F6936"/>
    <w:rsid w:val="004F6A59"/>
    <w:rsid w:val="00503DC6"/>
    <w:rsid w:val="00506F5D"/>
    <w:rsid w:val="00510C37"/>
    <w:rsid w:val="005126D0"/>
    <w:rsid w:val="00514667"/>
    <w:rsid w:val="0051469A"/>
    <w:rsid w:val="0051568D"/>
    <w:rsid w:val="00526AC7"/>
    <w:rsid w:val="00526C15"/>
    <w:rsid w:val="00527DA7"/>
    <w:rsid w:val="005347F3"/>
    <w:rsid w:val="00536499"/>
    <w:rsid w:val="005378D4"/>
    <w:rsid w:val="00542A03"/>
    <w:rsid w:val="00543903"/>
    <w:rsid w:val="00543BCC"/>
    <w:rsid w:val="00543F11"/>
    <w:rsid w:val="00546305"/>
    <w:rsid w:val="00547A95"/>
    <w:rsid w:val="0055119B"/>
    <w:rsid w:val="00561202"/>
    <w:rsid w:val="00562507"/>
    <w:rsid w:val="00562811"/>
    <w:rsid w:val="00563F63"/>
    <w:rsid w:val="00572031"/>
    <w:rsid w:val="00572282"/>
    <w:rsid w:val="00573CE3"/>
    <w:rsid w:val="00576E84"/>
    <w:rsid w:val="00580394"/>
    <w:rsid w:val="005809CD"/>
    <w:rsid w:val="00582B8C"/>
    <w:rsid w:val="0058757E"/>
    <w:rsid w:val="005913B3"/>
    <w:rsid w:val="00596A4B"/>
    <w:rsid w:val="00597507"/>
    <w:rsid w:val="005A1681"/>
    <w:rsid w:val="005A4575"/>
    <w:rsid w:val="005A479D"/>
    <w:rsid w:val="005B1C6D"/>
    <w:rsid w:val="005B21B6"/>
    <w:rsid w:val="005B3A08"/>
    <w:rsid w:val="005B6AB9"/>
    <w:rsid w:val="005B7A63"/>
    <w:rsid w:val="005C0882"/>
    <w:rsid w:val="005C0955"/>
    <w:rsid w:val="005C49DA"/>
    <w:rsid w:val="005C50F3"/>
    <w:rsid w:val="005C54B5"/>
    <w:rsid w:val="005C5A13"/>
    <w:rsid w:val="005C5D80"/>
    <w:rsid w:val="005C5D91"/>
    <w:rsid w:val="005D07B8"/>
    <w:rsid w:val="005D6597"/>
    <w:rsid w:val="005D667A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07EF7"/>
    <w:rsid w:val="006104DE"/>
    <w:rsid w:val="00610D7C"/>
    <w:rsid w:val="00613414"/>
    <w:rsid w:val="00620154"/>
    <w:rsid w:val="00620BC0"/>
    <w:rsid w:val="0062408D"/>
    <w:rsid w:val="006240CC"/>
    <w:rsid w:val="00624940"/>
    <w:rsid w:val="006254F8"/>
    <w:rsid w:val="00627DA7"/>
    <w:rsid w:val="00630DA4"/>
    <w:rsid w:val="00631CD4"/>
    <w:rsid w:val="00632597"/>
    <w:rsid w:val="006338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12ED"/>
    <w:rsid w:val="00683878"/>
    <w:rsid w:val="00684380"/>
    <w:rsid w:val="0068454C"/>
    <w:rsid w:val="00691B62"/>
    <w:rsid w:val="006933B5"/>
    <w:rsid w:val="00693546"/>
    <w:rsid w:val="00693D14"/>
    <w:rsid w:val="00696F27"/>
    <w:rsid w:val="006A18C2"/>
    <w:rsid w:val="006A2717"/>
    <w:rsid w:val="006A2B91"/>
    <w:rsid w:val="006A3383"/>
    <w:rsid w:val="006B077C"/>
    <w:rsid w:val="006B0C81"/>
    <w:rsid w:val="006B3D1C"/>
    <w:rsid w:val="006B6803"/>
    <w:rsid w:val="006C4631"/>
    <w:rsid w:val="006D0F16"/>
    <w:rsid w:val="006D2A3F"/>
    <w:rsid w:val="006D2FBC"/>
    <w:rsid w:val="006D3EF9"/>
    <w:rsid w:val="006D6E34"/>
    <w:rsid w:val="006E138B"/>
    <w:rsid w:val="006E1867"/>
    <w:rsid w:val="006E253F"/>
    <w:rsid w:val="006F0330"/>
    <w:rsid w:val="006F1FDC"/>
    <w:rsid w:val="006F6B76"/>
    <w:rsid w:val="006F6B8C"/>
    <w:rsid w:val="006F7DD1"/>
    <w:rsid w:val="007013EF"/>
    <w:rsid w:val="007055BD"/>
    <w:rsid w:val="00711D64"/>
    <w:rsid w:val="007173CA"/>
    <w:rsid w:val="007216AA"/>
    <w:rsid w:val="00721AB5"/>
    <w:rsid w:val="00721CFB"/>
    <w:rsid w:val="00721DEF"/>
    <w:rsid w:val="00723419"/>
    <w:rsid w:val="00724A43"/>
    <w:rsid w:val="007273AC"/>
    <w:rsid w:val="00731AD4"/>
    <w:rsid w:val="00733899"/>
    <w:rsid w:val="007346E4"/>
    <w:rsid w:val="00735564"/>
    <w:rsid w:val="00740F22"/>
    <w:rsid w:val="00741CF0"/>
    <w:rsid w:val="00741F1A"/>
    <w:rsid w:val="007447DA"/>
    <w:rsid w:val="007450F8"/>
    <w:rsid w:val="0074696E"/>
    <w:rsid w:val="00750135"/>
    <w:rsid w:val="00750EC2"/>
    <w:rsid w:val="00752ADD"/>
    <w:rsid w:val="00752B28"/>
    <w:rsid w:val="007536BC"/>
    <w:rsid w:val="007541A9"/>
    <w:rsid w:val="00754E36"/>
    <w:rsid w:val="00763139"/>
    <w:rsid w:val="00770F37"/>
    <w:rsid w:val="007711A0"/>
    <w:rsid w:val="00772D5E"/>
    <w:rsid w:val="0077463E"/>
    <w:rsid w:val="00776928"/>
    <w:rsid w:val="00776D56"/>
    <w:rsid w:val="00776E0F"/>
    <w:rsid w:val="007774B1"/>
    <w:rsid w:val="00777BE1"/>
    <w:rsid w:val="00782222"/>
    <w:rsid w:val="007833D8"/>
    <w:rsid w:val="00785677"/>
    <w:rsid w:val="00786F16"/>
    <w:rsid w:val="00791BD7"/>
    <w:rsid w:val="00792235"/>
    <w:rsid w:val="007933F7"/>
    <w:rsid w:val="00795F01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128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4BA1"/>
    <w:rsid w:val="007D5E1C"/>
    <w:rsid w:val="007D6AE5"/>
    <w:rsid w:val="007E0DE2"/>
    <w:rsid w:val="007E1498"/>
    <w:rsid w:val="007E3667"/>
    <w:rsid w:val="007E3B98"/>
    <w:rsid w:val="007E404F"/>
    <w:rsid w:val="007E417A"/>
    <w:rsid w:val="007F0694"/>
    <w:rsid w:val="007F31B6"/>
    <w:rsid w:val="007F49C5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16760"/>
    <w:rsid w:val="00820141"/>
    <w:rsid w:val="00820E0C"/>
    <w:rsid w:val="00823275"/>
    <w:rsid w:val="0082366F"/>
    <w:rsid w:val="00831B47"/>
    <w:rsid w:val="008338A2"/>
    <w:rsid w:val="00841AA9"/>
    <w:rsid w:val="008474FE"/>
    <w:rsid w:val="00853EE4"/>
    <w:rsid w:val="00855535"/>
    <w:rsid w:val="00857C5A"/>
    <w:rsid w:val="0086255E"/>
    <w:rsid w:val="008633F0"/>
    <w:rsid w:val="00863B7C"/>
    <w:rsid w:val="00867D9D"/>
    <w:rsid w:val="00872E0A"/>
    <w:rsid w:val="00873594"/>
    <w:rsid w:val="00875285"/>
    <w:rsid w:val="00877635"/>
    <w:rsid w:val="00884B62"/>
    <w:rsid w:val="0088529C"/>
    <w:rsid w:val="00887903"/>
    <w:rsid w:val="0089270A"/>
    <w:rsid w:val="00893328"/>
    <w:rsid w:val="00893AF6"/>
    <w:rsid w:val="00894BC4"/>
    <w:rsid w:val="00896890"/>
    <w:rsid w:val="008A28A8"/>
    <w:rsid w:val="008A5B32"/>
    <w:rsid w:val="008B2029"/>
    <w:rsid w:val="008B2EE4"/>
    <w:rsid w:val="008B3821"/>
    <w:rsid w:val="008B4D3D"/>
    <w:rsid w:val="008B57C7"/>
    <w:rsid w:val="008C2F92"/>
    <w:rsid w:val="008C3546"/>
    <w:rsid w:val="008C589D"/>
    <w:rsid w:val="008C6D51"/>
    <w:rsid w:val="008D2846"/>
    <w:rsid w:val="008D4236"/>
    <w:rsid w:val="008D462F"/>
    <w:rsid w:val="008D6DCF"/>
    <w:rsid w:val="008E1196"/>
    <w:rsid w:val="008E3B96"/>
    <w:rsid w:val="008E4376"/>
    <w:rsid w:val="008E7807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3240"/>
    <w:rsid w:val="009151F5"/>
    <w:rsid w:val="00922FD7"/>
    <w:rsid w:val="00924AE1"/>
    <w:rsid w:val="00924B57"/>
    <w:rsid w:val="009269B1"/>
    <w:rsid w:val="0092724D"/>
    <w:rsid w:val="009272B3"/>
    <w:rsid w:val="009315BE"/>
    <w:rsid w:val="009326DD"/>
    <w:rsid w:val="0093338F"/>
    <w:rsid w:val="00937BD9"/>
    <w:rsid w:val="00950E2C"/>
    <w:rsid w:val="00951D50"/>
    <w:rsid w:val="009525EB"/>
    <w:rsid w:val="0095470B"/>
    <w:rsid w:val="00954874"/>
    <w:rsid w:val="0095615A"/>
    <w:rsid w:val="0095665C"/>
    <w:rsid w:val="00961400"/>
    <w:rsid w:val="00963005"/>
    <w:rsid w:val="00963646"/>
    <w:rsid w:val="00963D2E"/>
    <w:rsid w:val="0096506F"/>
    <w:rsid w:val="0096632D"/>
    <w:rsid w:val="00967124"/>
    <w:rsid w:val="0097166C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5FD"/>
    <w:rsid w:val="009B0A6F"/>
    <w:rsid w:val="009B0A94"/>
    <w:rsid w:val="009B0C62"/>
    <w:rsid w:val="009B1BA1"/>
    <w:rsid w:val="009B2AE8"/>
    <w:rsid w:val="009B5622"/>
    <w:rsid w:val="009B59E9"/>
    <w:rsid w:val="009B70AA"/>
    <w:rsid w:val="009C1F7E"/>
    <w:rsid w:val="009C245E"/>
    <w:rsid w:val="009C3CF1"/>
    <w:rsid w:val="009C4420"/>
    <w:rsid w:val="009C5E77"/>
    <w:rsid w:val="009C7A7E"/>
    <w:rsid w:val="009D02E8"/>
    <w:rsid w:val="009D3110"/>
    <w:rsid w:val="009D328F"/>
    <w:rsid w:val="009D40FA"/>
    <w:rsid w:val="009D51D0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2182"/>
    <w:rsid w:val="009F2F27"/>
    <w:rsid w:val="009F34AA"/>
    <w:rsid w:val="009F6BCB"/>
    <w:rsid w:val="009F7B78"/>
    <w:rsid w:val="00A0057A"/>
    <w:rsid w:val="00A01FB1"/>
    <w:rsid w:val="00A02FA1"/>
    <w:rsid w:val="00A04CCE"/>
    <w:rsid w:val="00A069AA"/>
    <w:rsid w:val="00A07421"/>
    <w:rsid w:val="00A0776B"/>
    <w:rsid w:val="00A10FB9"/>
    <w:rsid w:val="00A11421"/>
    <w:rsid w:val="00A1389F"/>
    <w:rsid w:val="00A157B1"/>
    <w:rsid w:val="00A22229"/>
    <w:rsid w:val="00A24442"/>
    <w:rsid w:val="00A24ADA"/>
    <w:rsid w:val="00A31871"/>
    <w:rsid w:val="00A3252F"/>
    <w:rsid w:val="00A32577"/>
    <w:rsid w:val="00A330BB"/>
    <w:rsid w:val="00A446F5"/>
    <w:rsid w:val="00A44882"/>
    <w:rsid w:val="00A45125"/>
    <w:rsid w:val="00A524EA"/>
    <w:rsid w:val="00A54715"/>
    <w:rsid w:val="00A6061C"/>
    <w:rsid w:val="00A62D44"/>
    <w:rsid w:val="00A67263"/>
    <w:rsid w:val="00A7161C"/>
    <w:rsid w:val="00A71CE4"/>
    <w:rsid w:val="00A741E7"/>
    <w:rsid w:val="00A77AA3"/>
    <w:rsid w:val="00A8236D"/>
    <w:rsid w:val="00A854EB"/>
    <w:rsid w:val="00A872E5"/>
    <w:rsid w:val="00A91406"/>
    <w:rsid w:val="00A92DA2"/>
    <w:rsid w:val="00A96E65"/>
    <w:rsid w:val="00A96ECE"/>
    <w:rsid w:val="00A97C72"/>
    <w:rsid w:val="00AA2069"/>
    <w:rsid w:val="00AA310B"/>
    <w:rsid w:val="00AA63D4"/>
    <w:rsid w:val="00AA72AA"/>
    <w:rsid w:val="00AB06E8"/>
    <w:rsid w:val="00AB1CD3"/>
    <w:rsid w:val="00AB352F"/>
    <w:rsid w:val="00AB3E22"/>
    <w:rsid w:val="00AC274B"/>
    <w:rsid w:val="00AC2D4B"/>
    <w:rsid w:val="00AC4764"/>
    <w:rsid w:val="00AC6D36"/>
    <w:rsid w:val="00AD0CBA"/>
    <w:rsid w:val="00AD26E2"/>
    <w:rsid w:val="00AD784C"/>
    <w:rsid w:val="00AE126A"/>
    <w:rsid w:val="00AE1611"/>
    <w:rsid w:val="00AE1BAE"/>
    <w:rsid w:val="00AE3005"/>
    <w:rsid w:val="00AE3BD5"/>
    <w:rsid w:val="00AE59A0"/>
    <w:rsid w:val="00AF0C57"/>
    <w:rsid w:val="00AF26F3"/>
    <w:rsid w:val="00AF5F04"/>
    <w:rsid w:val="00B00672"/>
    <w:rsid w:val="00B01606"/>
    <w:rsid w:val="00B01B4D"/>
    <w:rsid w:val="00B0395A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1AA2"/>
    <w:rsid w:val="00B326B7"/>
    <w:rsid w:val="00B3588E"/>
    <w:rsid w:val="00B36DDA"/>
    <w:rsid w:val="00B4198F"/>
    <w:rsid w:val="00B41F3D"/>
    <w:rsid w:val="00B431E8"/>
    <w:rsid w:val="00B45141"/>
    <w:rsid w:val="00B519CD"/>
    <w:rsid w:val="00B5273A"/>
    <w:rsid w:val="00B57329"/>
    <w:rsid w:val="00B5743E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82D8E"/>
    <w:rsid w:val="00B90729"/>
    <w:rsid w:val="00B907DA"/>
    <w:rsid w:val="00B91798"/>
    <w:rsid w:val="00B94C5E"/>
    <w:rsid w:val="00B950BC"/>
    <w:rsid w:val="00B9714C"/>
    <w:rsid w:val="00BA01D1"/>
    <w:rsid w:val="00BA29AD"/>
    <w:rsid w:val="00BA33CF"/>
    <w:rsid w:val="00BA3F8D"/>
    <w:rsid w:val="00BA4703"/>
    <w:rsid w:val="00BB4116"/>
    <w:rsid w:val="00BB77D9"/>
    <w:rsid w:val="00BB7A10"/>
    <w:rsid w:val="00BC110A"/>
    <w:rsid w:val="00BC60BE"/>
    <w:rsid w:val="00BC7468"/>
    <w:rsid w:val="00BC7D4F"/>
    <w:rsid w:val="00BC7ED7"/>
    <w:rsid w:val="00BD176F"/>
    <w:rsid w:val="00BD199C"/>
    <w:rsid w:val="00BD2850"/>
    <w:rsid w:val="00BD3C5E"/>
    <w:rsid w:val="00BE28D2"/>
    <w:rsid w:val="00BE4A64"/>
    <w:rsid w:val="00BE5E43"/>
    <w:rsid w:val="00BE790D"/>
    <w:rsid w:val="00BF557D"/>
    <w:rsid w:val="00BF5A6B"/>
    <w:rsid w:val="00BF658D"/>
    <w:rsid w:val="00BF7F58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2B05"/>
    <w:rsid w:val="00C12C63"/>
    <w:rsid w:val="00C133EE"/>
    <w:rsid w:val="00C149D0"/>
    <w:rsid w:val="00C15D95"/>
    <w:rsid w:val="00C24C50"/>
    <w:rsid w:val="00C24E81"/>
    <w:rsid w:val="00C26588"/>
    <w:rsid w:val="00C27DE9"/>
    <w:rsid w:val="00C32989"/>
    <w:rsid w:val="00C33388"/>
    <w:rsid w:val="00C35484"/>
    <w:rsid w:val="00C414E6"/>
    <w:rsid w:val="00C4173A"/>
    <w:rsid w:val="00C50DED"/>
    <w:rsid w:val="00C52217"/>
    <w:rsid w:val="00C602FF"/>
    <w:rsid w:val="00C60411"/>
    <w:rsid w:val="00C61174"/>
    <w:rsid w:val="00C6148F"/>
    <w:rsid w:val="00C61C9F"/>
    <w:rsid w:val="00C621B1"/>
    <w:rsid w:val="00C62F7A"/>
    <w:rsid w:val="00C63B9C"/>
    <w:rsid w:val="00C66610"/>
    <w:rsid w:val="00C6682F"/>
    <w:rsid w:val="00C67BF4"/>
    <w:rsid w:val="00C7275E"/>
    <w:rsid w:val="00C731AF"/>
    <w:rsid w:val="00C74C5D"/>
    <w:rsid w:val="00C76C0B"/>
    <w:rsid w:val="00C863C4"/>
    <w:rsid w:val="00C90DAB"/>
    <w:rsid w:val="00C920EA"/>
    <w:rsid w:val="00C928EF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5EA8"/>
    <w:rsid w:val="00CC0C72"/>
    <w:rsid w:val="00CC2BFD"/>
    <w:rsid w:val="00CC355D"/>
    <w:rsid w:val="00CC383D"/>
    <w:rsid w:val="00CC6F40"/>
    <w:rsid w:val="00CC78EC"/>
    <w:rsid w:val="00CD3476"/>
    <w:rsid w:val="00CD4DCA"/>
    <w:rsid w:val="00CD64DF"/>
    <w:rsid w:val="00CD768F"/>
    <w:rsid w:val="00CE225F"/>
    <w:rsid w:val="00CF230C"/>
    <w:rsid w:val="00CF2C4F"/>
    <w:rsid w:val="00CF2F50"/>
    <w:rsid w:val="00CF6198"/>
    <w:rsid w:val="00CF6695"/>
    <w:rsid w:val="00D02919"/>
    <w:rsid w:val="00D033A0"/>
    <w:rsid w:val="00D04C61"/>
    <w:rsid w:val="00D05B8D"/>
    <w:rsid w:val="00D05B9B"/>
    <w:rsid w:val="00D065A2"/>
    <w:rsid w:val="00D079AA"/>
    <w:rsid w:val="00D07F00"/>
    <w:rsid w:val="00D1130F"/>
    <w:rsid w:val="00D1571F"/>
    <w:rsid w:val="00D17B72"/>
    <w:rsid w:val="00D24BDF"/>
    <w:rsid w:val="00D3185C"/>
    <w:rsid w:val="00D3205F"/>
    <w:rsid w:val="00D3318E"/>
    <w:rsid w:val="00D33E72"/>
    <w:rsid w:val="00D35BD6"/>
    <w:rsid w:val="00D361B5"/>
    <w:rsid w:val="00D36FB1"/>
    <w:rsid w:val="00D411A2"/>
    <w:rsid w:val="00D41D60"/>
    <w:rsid w:val="00D4606D"/>
    <w:rsid w:val="00D50B9C"/>
    <w:rsid w:val="00D513AF"/>
    <w:rsid w:val="00D52D73"/>
    <w:rsid w:val="00D52E58"/>
    <w:rsid w:val="00D56B20"/>
    <w:rsid w:val="00D578B3"/>
    <w:rsid w:val="00D618F4"/>
    <w:rsid w:val="00D63636"/>
    <w:rsid w:val="00D63AE2"/>
    <w:rsid w:val="00D640AD"/>
    <w:rsid w:val="00D714CC"/>
    <w:rsid w:val="00D75EA7"/>
    <w:rsid w:val="00D7650B"/>
    <w:rsid w:val="00D77252"/>
    <w:rsid w:val="00D81ADF"/>
    <w:rsid w:val="00D81F21"/>
    <w:rsid w:val="00D83D06"/>
    <w:rsid w:val="00D85173"/>
    <w:rsid w:val="00D864F2"/>
    <w:rsid w:val="00D9108F"/>
    <w:rsid w:val="00D943F8"/>
    <w:rsid w:val="00D95470"/>
    <w:rsid w:val="00D96B55"/>
    <w:rsid w:val="00DA2619"/>
    <w:rsid w:val="00DA4239"/>
    <w:rsid w:val="00DA588C"/>
    <w:rsid w:val="00DA65DE"/>
    <w:rsid w:val="00DB0B61"/>
    <w:rsid w:val="00DB1474"/>
    <w:rsid w:val="00DB2962"/>
    <w:rsid w:val="00DB52FB"/>
    <w:rsid w:val="00DB59AE"/>
    <w:rsid w:val="00DC00C1"/>
    <w:rsid w:val="00DC013B"/>
    <w:rsid w:val="00DC090B"/>
    <w:rsid w:val="00DC1679"/>
    <w:rsid w:val="00DC219B"/>
    <w:rsid w:val="00DC2CF1"/>
    <w:rsid w:val="00DC2DC7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4BBB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5B57"/>
    <w:rsid w:val="00E509DD"/>
    <w:rsid w:val="00E54950"/>
    <w:rsid w:val="00E55FB3"/>
    <w:rsid w:val="00E56A01"/>
    <w:rsid w:val="00E629A1"/>
    <w:rsid w:val="00E6539F"/>
    <w:rsid w:val="00E6794C"/>
    <w:rsid w:val="00E7057A"/>
    <w:rsid w:val="00E71591"/>
    <w:rsid w:val="00E71CEB"/>
    <w:rsid w:val="00E72667"/>
    <w:rsid w:val="00E7474F"/>
    <w:rsid w:val="00E76791"/>
    <w:rsid w:val="00E80DE3"/>
    <w:rsid w:val="00E81DF1"/>
    <w:rsid w:val="00E82C55"/>
    <w:rsid w:val="00E8787E"/>
    <w:rsid w:val="00E90FF6"/>
    <w:rsid w:val="00E92AC3"/>
    <w:rsid w:val="00EA2F6A"/>
    <w:rsid w:val="00EB00E0"/>
    <w:rsid w:val="00EB05D5"/>
    <w:rsid w:val="00EB1196"/>
    <w:rsid w:val="00EB4BC7"/>
    <w:rsid w:val="00EC059F"/>
    <w:rsid w:val="00EC1F24"/>
    <w:rsid w:val="00EC22F6"/>
    <w:rsid w:val="00EC3DB9"/>
    <w:rsid w:val="00ED5B9B"/>
    <w:rsid w:val="00ED6BAD"/>
    <w:rsid w:val="00ED7447"/>
    <w:rsid w:val="00ED7762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EF6707"/>
    <w:rsid w:val="00F0063D"/>
    <w:rsid w:val="00F00F9C"/>
    <w:rsid w:val="00F01E5F"/>
    <w:rsid w:val="00F024F3"/>
    <w:rsid w:val="00F02ABA"/>
    <w:rsid w:val="00F0437A"/>
    <w:rsid w:val="00F101B8"/>
    <w:rsid w:val="00F11037"/>
    <w:rsid w:val="00F15144"/>
    <w:rsid w:val="00F16F1B"/>
    <w:rsid w:val="00F2187A"/>
    <w:rsid w:val="00F250A9"/>
    <w:rsid w:val="00F267AF"/>
    <w:rsid w:val="00F30FF4"/>
    <w:rsid w:val="00F3122E"/>
    <w:rsid w:val="00F32368"/>
    <w:rsid w:val="00F331AD"/>
    <w:rsid w:val="00F341CE"/>
    <w:rsid w:val="00F35287"/>
    <w:rsid w:val="00F40A70"/>
    <w:rsid w:val="00F43A37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4D40"/>
    <w:rsid w:val="00F76CAB"/>
    <w:rsid w:val="00F772C6"/>
    <w:rsid w:val="00F815B5"/>
    <w:rsid w:val="00F85195"/>
    <w:rsid w:val="00F857D4"/>
    <w:rsid w:val="00F868E3"/>
    <w:rsid w:val="00F938BA"/>
    <w:rsid w:val="00F97919"/>
    <w:rsid w:val="00FA230B"/>
    <w:rsid w:val="00FA2C46"/>
    <w:rsid w:val="00FA3525"/>
    <w:rsid w:val="00FA5A53"/>
    <w:rsid w:val="00FB1F6E"/>
    <w:rsid w:val="00FB4769"/>
    <w:rsid w:val="00FB4CDA"/>
    <w:rsid w:val="00FB6481"/>
    <w:rsid w:val="00FB6D36"/>
    <w:rsid w:val="00FC0965"/>
    <w:rsid w:val="00FC0F81"/>
    <w:rsid w:val="00FC178F"/>
    <w:rsid w:val="00FC252F"/>
    <w:rsid w:val="00FC395C"/>
    <w:rsid w:val="00FC5E8E"/>
    <w:rsid w:val="00FD26D7"/>
    <w:rsid w:val="00FD3766"/>
    <w:rsid w:val="00FD3D05"/>
    <w:rsid w:val="00FD47C4"/>
    <w:rsid w:val="00FE2DCF"/>
    <w:rsid w:val="00FE331E"/>
    <w:rsid w:val="00FE34EC"/>
    <w:rsid w:val="00FE3FA7"/>
    <w:rsid w:val="00FE4081"/>
    <w:rsid w:val="00FF2A4E"/>
    <w:rsid w:val="00FF2FCE"/>
    <w:rsid w:val="00FF4F7D"/>
    <w:rsid w:val="00FF6D9D"/>
    <w:rsid w:val="00FF7620"/>
    <w:rsid w:val="00FF7DD5"/>
    <w:rsid w:val="7524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659081"/>
  <w15:docId w15:val="{D15E14DB-B80F-4D93-84CA-E9B0D711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98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15144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563F63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006170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563F63"/>
    <w:pPr>
      <w:keepNext/>
      <w:keepLines/>
      <w:spacing w:before="360" w:after="120" w:line="360" w:lineRule="atLeast"/>
      <w:outlineLvl w:val="1"/>
    </w:pPr>
    <w:rPr>
      <w:rFonts w:ascii="Arial" w:hAnsi="Arial"/>
      <w:b/>
      <w:color w:val="006170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563F63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3565A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563F63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"/>
    <w:qFormat/>
    <w:rsid w:val="00563F63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563F63"/>
    <w:rPr>
      <w:rFonts w:ascii="Arial" w:eastAsia="MS Gothic" w:hAnsi="Arial" w:cs="Arial"/>
      <w:bCs/>
      <w:color w:val="006170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563F63"/>
    <w:rPr>
      <w:rFonts w:ascii="Arial" w:hAnsi="Arial"/>
      <w:b/>
      <w:color w:val="006170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563F63"/>
    <w:rPr>
      <w:rFonts w:ascii="Arial" w:eastAsia="MS Gothic" w:hAnsi="Arial"/>
      <w:bCs/>
      <w:color w:val="53565A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563F63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link w:val="HeaderChar"/>
    <w:uiPriority w:val="98"/>
    <w:rsid w:val="00563F63"/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98"/>
    <w:rsid w:val="00D24BDF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563F63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C78EC"/>
    <w:pPr>
      <w:spacing w:after="240" w:line="560" w:lineRule="atLeast"/>
    </w:pPr>
    <w:rPr>
      <w:rFonts w:ascii="Arial" w:hAnsi="Arial"/>
      <w:b/>
      <w:color w:val="006170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77635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9"/>
      </w:numPr>
    </w:pPr>
  </w:style>
  <w:style w:type="numbering" w:customStyle="1" w:styleId="ZZTablebullets">
    <w:name w:val="ZZ Table bullets"/>
    <w:basedOn w:val="NoList"/>
    <w:rsid w:val="00C60411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563F63"/>
    <w:pPr>
      <w:spacing w:before="80" w:after="60"/>
    </w:pPr>
    <w:rPr>
      <w:rFonts w:ascii="Arial" w:hAnsi="Arial"/>
      <w:b/>
      <w:color w:val="006170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15144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563F63"/>
    <w:pPr>
      <w:spacing w:after="120" w:line="360" w:lineRule="atLeast"/>
    </w:pPr>
    <w:rPr>
      <w:rFonts w:ascii="Arial" w:hAnsi="Arial"/>
      <w:color w:val="53565A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7"/>
      </w:numPr>
    </w:pPr>
  </w:style>
  <w:style w:type="numbering" w:customStyle="1" w:styleId="ZZNumbersdigit">
    <w:name w:val="ZZ Numbers digit"/>
    <w:rsid w:val="00F15144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15144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F15144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5913B3"/>
    <w:pPr>
      <w:ind w:left="397"/>
    </w:pPr>
    <w:rPr>
      <w:color w:val="006170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15144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20"/>
      </w:numPr>
    </w:pPr>
  </w:style>
  <w:style w:type="paragraph" w:customStyle="1" w:styleId="Quotebullet1">
    <w:name w:val="Quote bullet 1"/>
    <w:basedOn w:val="Quotetext"/>
    <w:rsid w:val="00C60411"/>
    <w:pPr>
      <w:numPr>
        <w:numId w:val="11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020678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020678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563F63"/>
    <w:pPr>
      <w:spacing w:line="320" w:lineRule="atLeast"/>
    </w:pPr>
    <w:rPr>
      <w:color w:val="006170"/>
      <w:sz w:val="24"/>
    </w:rPr>
  </w:style>
  <w:style w:type="character" w:customStyle="1" w:styleId="HeaderChar">
    <w:name w:val="Header Char"/>
    <w:basedOn w:val="DefaultParagraphFont"/>
    <w:link w:val="Header"/>
    <w:uiPriority w:val="10"/>
    <w:rsid w:val="00563F63"/>
    <w:rPr>
      <w:rFonts w:ascii="Arial" w:hAnsi="Arial" w:cs="Arial"/>
      <w:b/>
      <w:color w:val="53565A"/>
      <w:sz w:val="18"/>
      <w:szCs w:val="18"/>
      <w:lang w:eastAsia="en-US"/>
    </w:rPr>
  </w:style>
  <w:style w:type="paragraph" w:customStyle="1" w:styleId="Coverinstructions">
    <w:name w:val="Cover instructions"/>
    <w:rsid w:val="00331188"/>
    <w:pPr>
      <w:spacing w:after="200" w:line="320" w:lineRule="atLeast"/>
    </w:pPr>
    <w:rPr>
      <w:rFonts w:ascii="Arial" w:hAnsi="Arial"/>
      <w:color w:val="FFFFFF"/>
      <w:sz w:val="24"/>
      <w:lang w:eastAsia="en-US"/>
    </w:rPr>
  </w:style>
  <w:style w:type="numbering" w:customStyle="1" w:styleId="ZZNumbers">
    <w:name w:val="ZZ Numbers"/>
    <w:rsid w:val="00331188"/>
    <w:pPr>
      <w:numPr>
        <w:numId w:val="41"/>
      </w:numPr>
    </w:pPr>
  </w:style>
  <w:style w:type="paragraph" w:customStyle="1" w:styleId="xdhhsbody">
    <w:name w:val="x_dhhsbody"/>
    <w:basedOn w:val="Normal"/>
    <w:rsid w:val="00BB41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xaccessibilitypara">
    <w:name w:val="x_accessibilitypara"/>
    <w:basedOn w:val="Normal"/>
    <w:rsid w:val="00BB41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versity@health.vic.gov.au" TargetMode="External"/><Relationship Id="rId18" Type="http://schemas.openxmlformats.org/officeDocument/2006/relationships/hyperlink" Target="https://www.dffh.vic.gov.au/publications/language-services-policy" TargetMode="External"/><Relationship Id="rId26" Type="http://schemas.openxmlformats.org/officeDocument/2006/relationships/hyperlink" Target="mailto:languages@dff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ffh.vic.gov.au/publications/language-services-policy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ublications/language-services-policy" TargetMode="External"/><Relationship Id="rId25" Type="http://schemas.openxmlformats.org/officeDocument/2006/relationships/hyperlink" Target="mailto:dhlanguageservices@health.vic.gov.au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ffh.vic.gov.au/publications/language-services-policy" TargetMode="External"/><Relationship Id="rId20" Type="http://schemas.openxmlformats.org/officeDocument/2006/relationships/hyperlink" Target="file:///C:/Users/sale0212/AppData/Local/Microsoft/Windows/INetCache/Content.Outlook/SFAFXNAR/Designing%20for%20diversity" TargetMode="External"/><Relationship Id="rId29" Type="http://schemas.openxmlformats.org/officeDocument/2006/relationships/hyperlink" Target="https://aslia.com.au/wp-content/uploads/ASLIA-Code-of-Ethic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vic.gov.au/populations/improving-health-for-victorians-from-culturally-and-linguistically-diverse-backgrounds" TargetMode="External"/><Relationship Id="rId32" Type="http://schemas.openxmlformats.org/officeDocument/2006/relationships/image" Target="media/image2.jp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ealth.vic.gov.au/publications/language-services-policy" TargetMode="External"/><Relationship Id="rId23" Type="http://schemas.openxmlformats.org/officeDocument/2006/relationships/hyperlink" Target="https://www.vic.gov.au/communicating-multicultural-communities" TargetMode="External"/><Relationship Id="rId28" Type="http://schemas.openxmlformats.org/officeDocument/2006/relationships/hyperlink" Target="https://ausit.org/code-of-ethics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opulations/improving-health-for-victorians-from-culturally-and-linguistically-diverse-backgrounds" TargetMode="External"/><Relationship Id="rId31" Type="http://schemas.openxmlformats.org/officeDocument/2006/relationships/hyperlink" Target="http://www.healthtranslations.vic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nguages@dffh.vic.gov.au" TargetMode="External"/><Relationship Id="rId22" Type="http://schemas.openxmlformats.org/officeDocument/2006/relationships/hyperlink" Target="https://www.health.vic.gov.au/publications/language-services-policy" TargetMode="External"/><Relationship Id="rId27" Type="http://schemas.openxmlformats.org/officeDocument/2006/relationships/hyperlink" Target="https://www.naati.com.au/online-directory/" TargetMode="External"/><Relationship Id="rId30" Type="http://schemas.openxmlformats.org/officeDocument/2006/relationships/hyperlink" Target="https://www.healthtranslations.vic.gov.au/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SharedWithUsers xmlns="27cb37dd-16a1-4d7b-8276-5c0e4168f63b">
      <UserInfo>
        <DisplayName>Crystal Russell (Health)</DisplayName>
        <AccountId>603</AccountId>
        <AccountType/>
      </UserInfo>
      <UserInfo>
        <DisplayName>Kim  van den Nouwelant (Health)</DisplayName>
        <AccountId>3308</AccountId>
        <AccountType/>
      </UserInfo>
    </SharedWithUsers>
    <lcf76f155ced4ddcb4097134ff3c332f xmlns="50f00e27-c35f-46eb-9301-c9e2bd24673f">
      <Terms xmlns="http://schemas.microsoft.com/office/infopath/2007/PartnerControls"/>
    </lcf76f155ced4ddcb4097134ff3c332f>
    <Project xmlns="50f00e27-c35f-46eb-9301-c9e2bd2467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2840D16596744A89C9CD3389228EF" ma:contentTypeVersion="30" ma:contentTypeDescription="Create a new document." ma:contentTypeScope="" ma:versionID="3e013076fbb1c47eec8d39e369c34b4a">
  <xsd:schema xmlns:xsd="http://www.w3.org/2001/XMLSchema" xmlns:xs="http://www.w3.org/2001/XMLSchema" xmlns:p="http://schemas.microsoft.com/office/2006/metadata/properties" xmlns:ns2="ca7ca14c-4064-4360-af06-18463cc05bfd" xmlns:ns3="dcd05fd3-210a-46e3-b861-17e739bb927e" targetNamespace="http://schemas.microsoft.com/office/2006/metadata/properties" ma:root="true" ma:fieldsID="35b35114c4deba635b13c373cfb2f08b" ns2:_="" ns3:_="">
    <xsd:import namespace="ca7ca14c-4064-4360-af06-18463cc05bfd"/>
    <xsd:import namespace="dcd05fd3-210a-46e3-b861-17e739bb9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_x002e_" minOccurs="0"/>
                <xsd:element ref="ns2:32f3b828-775d-4811-ad46-b8b978edacf0CountryOrRegion" minOccurs="0"/>
                <xsd:element ref="ns2:32f3b828-775d-4811-ad46-b8b978edacf0State" minOccurs="0"/>
                <xsd:element ref="ns2:32f3b828-775d-4811-ad46-b8b978edacf0City" minOccurs="0"/>
                <xsd:element ref="ns2:32f3b828-775d-4811-ad46-b8b978edacf0PostalCode" minOccurs="0"/>
                <xsd:element ref="ns2:32f3b828-775d-4811-ad46-b8b978edacf0Street" minOccurs="0"/>
                <xsd:element ref="ns2:32f3b828-775d-4811-ad46-b8b978edacf0GeoLoc" minOccurs="0"/>
                <xsd:element ref="ns2:32f3b828-775d-4811-ad46-b8b978edacf0DispName" minOccurs="0"/>
                <xsd:element ref="ns2:test" minOccurs="0"/>
                <xsd:element ref="ns2:11b52622-904a-4b32-a580-4e9b7db9363dCountryOrRegion" minOccurs="0"/>
                <xsd:element ref="ns2:11b52622-904a-4b32-a580-4e9b7db9363dState" minOccurs="0"/>
                <xsd:element ref="ns2:11b52622-904a-4b32-a580-4e9b7db9363dCity" minOccurs="0"/>
                <xsd:element ref="ns2:11b52622-904a-4b32-a580-4e9b7db9363dPostalCode" minOccurs="0"/>
                <xsd:element ref="ns2:11b52622-904a-4b32-a580-4e9b7db9363dStreet" minOccurs="0"/>
                <xsd:element ref="ns2:11b52622-904a-4b32-a580-4e9b7db9363dGeoLoc" minOccurs="0"/>
                <xsd:element ref="ns2:11b52622-904a-4b32-a580-4e9b7db9363d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ca14c-4064-4360-af06-18463cc05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x002e_" ma:index="22" nillable="true" ma:displayName="." ma:format="Dropdown" ma:internalName="_x002e_">
      <xsd:simpleType>
        <xsd:restriction base="dms:Unknown"/>
      </xsd:simpleType>
    </xsd:element>
    <xsd:element name="32f3b828-775d-4811-ad46-b8b978edacf0CountryOrRegion" ma:index="23" nillable="true" ma:displayName=".: Country/Region" ma:internalName="CountryOrRegion" ma:readOnly="true">
      <xsd:simpleType>
        <xsd:restriction base="dms:Text"/>
      </xsd:simpleType>
    </xsd:element>
    <xsd:element name="32f3b828-775d-4811-ad46-b8b978edacf0State" ma:index="24" nillable="true" ma:displayName=".: State" ma:internalName="State" ma:readOnly="true">
      <xsd:simpleType>
        <xsd:restriction base="dms:Text"/>
      </xsd:simpleType>
    </xsd:element>
    <xsd:element name="32f3b828-775d-4811-ad46-b8b978edacf0City" ma:index="25" nillable="true" ma:displayName=".: City" ma:internalName="City" ma:readOnly="true">
      <xsd:simpleType>
        <xsd:restriction base="dms:Text"/>
      </xsd:simpleType>
    </xsd:element>
    <xsd:element name="32f3b828-775d-4811-ad46-b8b978edacf0PostalCode" ma:index="26" nillable="true" ma:displayName=".: Postal Code" ma:internalName="PostalCode" ma:readOnly="true">
      <xsd:simpleType>
        <xsd:restriction base="dms:Text"/>
      </xsd:simpleType>
    </xsd:element>
    <xsd:element name="32f3b828-775d-4811-ad46-b8b978edacf0Street" ma:index="27" nillable="true" ma:displayName=".: Street" ma:internalName="Street" ma:readOnly="true">
      <xsd:simpleType>
        <xsd:restriction base="dms:Text"/>
      </xsd:simpleType>
    </xsd:element>
    <xsd:element name="32f3b828-775d-4811-ad46-b8b978edacf0GeoLoc" ma:index="28" nillable="true" ma:displayName=".: Coordinates" ma:internalName="GeoLoc" ma:readOnly="true">
      <xsd:simpleType>
        <xsd:restriction base="dms:Unknown"/>
      </xsd:simpleType>
    </xsd:element>
    <xsd:element name="32f3b828-775d-4811-ad46-b8b978edacf0DispName" ma:index="29" nillable="true" ma:displayName=".: Name" ma:internalName="DispName" ma:readOnly="true">
      <xsd:simpleType>
        <xsd:restriction base="dms:Text"/>
      </xsd:simpleType>
    </xsd:element>
    <xsd:element name="test" ma:index="30" nillable="true" ma:displayName="test" ma:format="Dropdown" ma:internalName="test">
      <xsd:simpleType>
        <xsd:restriction base="dms:Unknown"/>
      </xsd:simpleType>
    </xsd:element>
    <xsd:element name="11b52622-904a-4b32-a580-4e9b7db9363dCountryOrRegion" ma:index="31" nillable="true" ma:displayName="test: Country/Region" ma:internalName="CountryOrRegion0" ma:readOnly="true">
      <xsd:simpleType>
        <xsd:restriction base="dms:Text"/>
      </xsd:simpleType>
    </xsd:element>
    <xsd:element name="11b52622-904a-4b32-a580-4e9b7db9363dState" ma:index="32" nillable="true" ma:displayName="test: State" ma:internalName="State0" ma:readOnly="true">
      <xsd:simpleType>
        <xsd:restriction base="dms:Text"/>
      </xsd:simpleType>
    </xsd:element>
    <xsd:element name="11b52622-904a-4b32-a580-4e9b7db9363dCity" ma:index="33" nillable="true" ma:displayName="test: City" ma:internalName="City0" ma:readOnly="true">
      <xsd:simpleType>
        <xsd:restriction base="dms:Text"/>
      </xsd:simpleType>
    </xsd:element>
    <xsd:element name="11b52622-904a-4b32-a580-4e9b7db9363dPostalCode" ma:index="34" nillable="true" ma:displayName="test: Postal Code" ma:internalName="PostalCode0" ma:readOnly="true">
      <xsd:simpleType>
        <xsd:restriction base="dms:Text"/>
      </xsd:simpleType>
    </xsd:element>
    <xsd:element name="11b52622-904a-4b32-a580-4e9b7db9363dStreet" ma:index="35" nillable="true" ma:displayName="test: Street" ma:internalName="Street0" ma:readOnly="true">
      <xsd:simpleType>
        <xsd:restriction base="dms:Text"/>
      </xsd:simpleType>
    </xsd:element>
    <xsd:element name="11b52622-904a-4b32-a580-4e9b7db9363dGeoLoc" ma:index="36" nillable="true" ma:displayName="test: Coordinates" ma:internalName="GeoLoc0" ma:readOnly="true">
      <xsd:simpleType>
        <xsd:restriction base="dms:Unknown"/>
      </xsd:simpleType>
    </xsd:element>
    <xsd:element name="11b52622-904a-4b32-a580-4e9b7db9363dDispName" ma:index="37" nillable="true" ma:displayName="test: Name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5fd3-210a-46e3-b861-17e739bb92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27cb37dd-16a1-4d7b-8276-5c0e4168f63b"/>
    <ds:schemaRef ds:uri="50f00e27-c35f-46eb-9301-c9e2bd24673f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11728-7EA2-42DE-8700-2E7732BD9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ca14c-4064-4360-af06-18463cc05bfd"/>
    <ds:schemaRef ds:uri="dcd05fd3-210a-46e3-b861-17e739bb9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4679</Words>
  <Characters>26672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guidelines: How to work with interpreters and translators: a guide to effectively using language services - for DH and DFFH</vt:lpstr>
    </vt:vector>
  </TitlesOfParts>
  <Company>Victoria State Government, Department of Families, Fairness and Housing</Company>
  <LinksUpToDate>false</LinksUpToDate>
  <CharactersWithSpaces>31289</CharactersWithSpaces>
  <SharedDoc>false</SharedDoc>
  <HyperlinkBase/>
  <HLinks>
    <vt:vector size="306" baseType="variant">
      <vt:variant>
        <vt:i4>720972</vt:i4>
      </vt:variant>
      <vt:variant>
        <vt:i4>249</vt:i4>
      </vt:variant>
      <vt:variant>
        <vt:i4>0</vt:i4>
      </vt:variant>
      <vt:variant>
        <vt:i4>5</vt:i4>
      </vt:variant>
      <vt:variant>
        <vt:lpwstr>http://www.healthtranslations.vic.gov.au/</vt:lpwstr>
      </vt:variant>
      <vt:variant>
        <vt:lpwstr/>
      </vt:variant>
      <vt:variant>
        <vt:i4>8061024</vt:i4>
      </vt:variant>
      <vt:variant>
        <vt:i4>246</vt:i4>
      </vt:variant>
      <vt:variant>
        <vt:i4>0</vt:i4>
      </vt:variant>
      <vt:variant>
        <vt:i4>5</vt:i4>
      </vt:variant>
      <vt:variant>
        <vt:lpwstr>https://www.healthtranslations.vic.gov.au/</vt:lpwstr>
      </vt:variant>
      <vt:variant>
        <vt:lpwstr/>
      </vt:variant>
      <vt:variant>
        <vt:i4>4325391</vt:i4>
      </vt:variant>
      <vt:variant>
        <vt:i4>243</vt:i4>
      </vt:variant>
      <vt:variant>
        <vt:i4>0</vt:i4>
      </vt:variant>
      <vt:variant>
        <vt:i4>5</vt:i4>
      </vt:variant>
      <vt:variant>
        <vt:lpwstr>https://aslia.com.au/wp-content/uploads/ASLIA-Code-of-Ethics.pdf</vt:lpwstr>
      </vt:variant>
      <vt:variant>
        <vt:lpwstr/>
      </vt:variant>
      <vt:variant>
        <vt:i4>5767180</vt:i4>
      </vt:variant>
      <vt:variant>
        <vt:i4>240</vt:i4>
      </vt:variant>
      <vt:variant>
        <vt:i4>0</vt:i4>
      </vt:variant>
      <vt:variant>
        <vt:i4>5</vt:i4>
      </vt:variant>
      <vt:variant>
        <vt:lpwstr>https://ausit.org/code-of-ethics/</vt:lpwstr>
      </vt:variant>
      <vt:variant>
        <vt:lpwstr/>
      </vt:variant>
      <vt:variant>
        <vt:i4>2228327</vt:i4>
      </vt:variant>
      <vt:variant>
        <vt:i4>237</vt:i4>
      </vt:variant>
      <vt:variant>
        <vt:i4>0</vt:i4>
      </vt:variant>
      <vt:variant>
        <vt:i4>5</vt:i4>
      </vt:variant>
      <vt:variant>
        <vt:lpwstr>https://www.naati.com.au/online-directory/</vt:lpwstr>
      </vt:variant>
      <vt:variant>
        <vt:lpwstr/>
      </vt:variant>
      <vt:variant>
        <vt:i4>6160483</vt:i4>
      </vt:variant>
      <vt:variant>
        <vt:i4>234</vt:i4>
      </vt:variant>
      <vt:variant>
        <vt:i4>0</vt:i4>
      </vt:variant>
      <vt:variant>
        <vt:i4>5</vt:i4>
      </vt:variant>
      <vt:variant>
        <vt:lpwstr>mailto:languages@dffh.vic.gov.au</vt:lpwstr>
      </vt:variant>
      <vt:variant>
        <vt:lpwstr/>
      </vt:variant>
      <vt:variant>
        <vt:i4>6226038</vt:i4>
      </vt:variant>
      <vt:variant>
        <vt:i4>231</vt:i4>
      </vt:variant>
      <vt:variant>
        <vt:i4>0</vt:i4>
      </vt:variant>
      <vt:variant>
        <vt:i4>5</vt:i4>
      </vt:variant>
      <vt:variant>
        <vt:lpwstr>mailto:dhlanguageservices@health.vic.gov.au</vt:lpwstr>
      </vt:variant>
      <vt:variant>
        <vt:lpwstr/>
      </vt:variant>
      <vt:variant>
        <vt:i4>5046338</vt:i4>
      </vt:variant>
      <vt:variant>
        <vt:i4>228</vt:i4>
      </vt:variant>
      <vt:variant>
        <vt:i4>0</vt:i4>
      </vt:variant>
      <vt:variant>
        <vt:i4>5</vt:i4>
      </vt:variant>
      <vt:variant>
        <vt:lpwstr>https://www.health.vic.gov.au/populations/improving-health-for-victorians-from-culturally-and-linguistically-diverse-backgrounds</vt:lpwstr>
      </vt:variant>
      <vt:variant>
        <vt:lpwstr/>
      </vt:variant>
      <vt:variant>
        <vt:i4>3735672</vt:i4>
      </vt:variant>
      <vt:variant>
        <vt:i4>225</vt:i4>
      </vt:variant>
      <vt:variant>
        <vt:i4>0</vt:i4>
      </vt:variant>
      <vt:variant>
        <vt:i4>5</vt:i4>
      </vt:variant>
      <vt:variant>
        <vt:lpwstr>https://www.vic.gov.au/communicating-multicultural-communities</vt:lpwstr>
      </vt:variant>
      <vt:variant>
        <vt:lpwstr/>
      </vt:variant>
      <vt:variant>
        <vt:i4>3145846</vt:i4>
      </vt:variant>
      <vt:variant>
        <vt:i4>222</vt:i4>
      </vt:variant>
      <vt:variant>
        <vt:i4>0</vt:i4>
      </vt:variant>
      <vt:variant>
        <vt:i4>5</vt:i4>
      </vt:variant>
      <vt:variant>
        <vt:lpwstr>https://www.health.vic.gov.au/publications/language-services-policy</vt:lpwstr>
      </vt:variant>
      <vt:variant>
        <vt:lpwstr/>
      </vt:variant>
      <vt:variant>
        <vt:i4>6225929</vt:i4>
      </vt:variant>
      <vt:variant>
        <vt:i4>219</vt:i4>
      </vt:variant>
      <vt:variant>
        <vt:i4>0</vt:i4>
      </vt:variant>
      <vt:variant>
        <vt:i4>5</vt:i4>
      </vt:variant>
      <vt:variant>
        <vt:lpwstr>https://www.dffh.vic.gov.au/publications/language-services-policy</vt:lpwstr>
      </vt:variant>
      <vt:variant>
        <vt:lpwstr/>
      </vt:variant>
      <vt:variant>
        <vt:i4>6815843</vt:i4>
      </vt:variant>
      <vt:variant>
        <vt:i4>216</vt:i4>
      </vt:variant>
      <vt:variant>
        <vt:i4>0</vt:i4>
      </vt:variant>
      <vt:variant>
        <vt:i4>5</vt:i4>
      </vt:variant>
      <vt:variant>
        <vt:lpwstr>Designing for diversity</vt:lpwstr>
      </vt:variant>
      <vt:variant>
        <vt:lpwstr/>
      </vt:variant>
      <vt:variant>
        <vt:i4>5046338</vt:i4>
      </vt:variant>
      <vt:variant>
        <vt:i4>213</vt:i4>
      </vt:variant>
      <vt:variant>
        <vt:i4>0</vt:i4>
      </vt:variant>
      <vt:variant>
        <vt:i4>5</vt:i4>
      </vt:variant>
      <vt:variant>
        <vt:lpwstr>https://www.health.vic.gov.au/populations/improving-health-for-victorians-from-culturally-and-linguistically-diverse-backgrounds</vt:lpwstr>
      </vt:variant>
      <vt:variant>
        <vt:lpwstr/>
      </vt:variant>
      <vt:variant>
        <vt:i4>6225929</vt:i4>
      </vt:variant>
      <vt:variant>
        <vt:i4>210</vt:i4>
      </vt:variant>
      <vt:variant>
        <vt:i4>0</vt:i4>
      </vt:variant>
      <vt:variant>
        <vt:i4>5</vt:i4>
      </vt:variant>
      <vt:variant>
        <vt:lpwstr>https://www.dffh.vic.gov.au/publications/language-services-policy</vt:lpwstr>
      </vt:variant>
      <vt:variant>
        <vt:lpwstr/>
      </vt:variant>
      <vt:variant>
        <vt:i4>3145846</vt:i4>
      </vt:variant>
      <vt:variant>
        <vt:i4>207</vt:i4>
      </vt:variant>
      <vt:variant>
        <vt:i4>0</vt:i4>
      </vt:variant>
      <vt:variant>
        <vt:i4>5</vt:i4>
      </vt:variant>
      <vt:variant>
        <vt:lpwstr>https://www.health.vic.gov.au/publications/language-services-policy</vt:lpwstr>
      </vt:variant>
      <vt:variant>
        <vt:lpwstr/>
      </vt:variant>
      <vt:variant>
        <vt:i4>1179696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_Toc149908804</vt:lpwstr>
      </vt:variant>
      <vt:variant>
        <vt:i4>1179696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_Toc149908803</vt:lpwstr>
      </vt:variant>
      <vt:variant>
        <vt:i4>1179696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_Toc149908802</vt:lpwstr>
      </vt:variant>
      <vt:variant>
        <vt:i4>1179696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_Toc149908801</vt:lpwstr>
      </vt:variant>
      <vt:variant>
        <vt:i4>1179696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_Toc149908800</vt:lpwstr>
      </vt:variant>
      <vt:variant>
        <vt:i4>1769535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_Toc149908799</vt:lpwstr>
      </vt:variant>
      <vt:variant>
        <vt:i4>1769535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_Toc149908798</vt:lpwstr>
      </vt:variant>
      <vt:variant>
        <vt:i4>1769535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_Toc149908797</vt:lpwstr>
      </vt:variant>
      <vt:variant>
        <vt:i4>1769535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_Toc149908796</vt:lpwstr>
      </vt:variant>
      <vt:variant>
        <vt:i4>1769535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_Toc149908795</vt:lpwstr>
      </vt:variant>
      <vt:variant>
        <vt:i4>1769535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_Toc149908794</vt:lpwstr>
      </vt:variant>
      <vt:variant>
        <vt:i4>1769535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_Toc149908793</vt:lpwstr>
      </vt:variant>
      <vt:variant>
        <vt:i4>1769535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_Toc149908792</vt:lpwstr>
      </vt:variant>
      <vt:variant>
        <vt:i4>1769535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_Toc149908791</vt:lpwstr>
      </vt:variant>
      <vt:variant>
        <vt:i4>1769535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_Toc149908790</vt:lpwstr>
      </vt:variant>
      <vt:variant>
        <vt:i4>1703999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_Toc149908789</vt:lpwstr>
      </vt:variant>
      <vt:variant>
        <vt:i4>1703999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_Toc149908788</vt:lpwstr>
      </vt:variant>
      <vt:variant>
        <vt:i4>1703999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_Toc149908787</vt:lpwstr>
      </vt:variant>
      <vt:variant>
        <vt:i4>1703999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_Toc149908786</vt:lpwstr>
      </vt:variant>
      <vt:variant>
        <vt:i4>1703999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_Toc149908785</vt:lpwstr>
      </vt:variant>
      <vt:variant>
        <vt:i4>1703999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_Toc149908784</vt:lpwstr>
      </vt:variant>
      <vt:variant>
        <vt:i4>1703999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_Toc149908783</vt:lpwstr>
      </vt:variant>
      <vt:variant>
        <vt:i4>1703999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_Toc149908782</vt:lpwstr>
      </vt:variant>
      <vt:variant>
        <vt:i4>1703999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_Toc149908781</vt:lpwstr>
      </vt:variant>
      <vt:variant>
        <vt:i4>1703999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_Toc149908780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_Toc149908779</vt:lpwstr>
      </vt:variant>
      <vt:variant>
        <vt:i4>1376319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_Toc149908778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_Toc149908777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_Toc149908776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_Toc149908775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_Toc149908774</vt:lpwstr>
      </vt:variant>
      <vt:variant>
        <vt:i4>6225929</vt:i4>
      </vt:variant>
      <vt:variant>
        <vt:i4>15</vt:i4>
      </vt:variant>
      <vt:variant>
        <vt:i4>0</vt:i4>
      </vt:variant>
      <vt:variant>
        <vt:i4>5</vt:i4>
      </vt:variant>
      <vt:variant>
        <vt:lpwstr>https://www.dffh.vic.gov.au/publications/language-services-policy</vt:lpwstr>
      </vt:variant>
      <vt:variant>
        <vt:lpwstr/>
      </vt:variant>
      <vt:variant>
        <vt:i4>3145846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https://www.health.vic.gov.au/publications/language-services-policy</vt:lpwstr>
      </vt:variant>
      <vt:variant>
        <vt:lpwstr/>
      </vt:variant>
      <vt:variant>
        <vt:i4>2359401</vt:i4>
      </vt:variant>
      <vt:variant>
        <vt:i4>9</vt:i4>
      </vt:variant>
      <vt:variant>
        <vt:i4>0</vt:i4>
      </vt:variant>
      <vt:variant>
        <vt:i4>5</vt:i4>
      </vt:variant>
      <vt:variant>
        <vt:lpwstr>https://www.accesshub.gov.au/about-the-nrs</vt:lpwstr>
      </vt:variant>
      <vt:variant>
        <vt:lpwstr/>
      </vt:variant>
      <vt:variant>
        <vt:i4>110</vt:i4>
      </vt:variant>
      <vt:variant>
        <vt:i4>6</vt:i4>
      </vt:variant>
      <vt:variant>
        <vt:i4>0</vt:i4>
      </vt:variant>
      <vt:variant>
        <vt:i4>5</vt:i4>
      </vt:variant>
      <vt:variant>
        <vt:lpwstr>mailto:language.services@dffh.vic.gov.au</vt:lpwstr>
      </vt:variant>
      <vt:variant>
        <vt:lpwstr/>
      </vt:variant>
      <vt:variant>
        <vt:i4>3276805</vt:i4>
      </vt:variant>
      <vt:variant>
        <vt:i4>3</vt:i4>
      </vt:variant>
      <vt:variant>
        <vt:i4>0</vt:i4>
      </vt:variant>
      <vt:variant>
        <vt:i4>5</vt:i4>
      </vt:variant>
      <vt:variant>
        <vt:lpwstr>mailto:diversity@health.vic.gov.au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guidelines: How to work with interpreters and translators: a guide to effectively using language services - for DH and DFFH</dc:title>
  <dc:subject>How to work with interpreters and translators: a guide to effectively using language services</dc:subject>
  <dc:creator>Fairer Victoria, Engagement and Coordination</dc:creator>
  <cp:keywords>interpreters, translators, language services, victoria</cp:keywords>
  <cp:revision>3</cp:revision>
  <cp:lastPrinted>2021-01-30T00:27:00Z</cp:lastPrinted>
  <dcterms:created xsi:type="dcterms:W3CDTF">2025-02-27T05:29:00Z</dcterms:created>
  <dcterms:modified xsi:type="dcterms:W3CDTF">2025-02-27T05:30:00Z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0x010100FA52840D16596744A89C9CD3389228EF</vt:lpwstr>
  </property>
  <property fmtid="{D5CDD505-2E9C-101B-9397-08002B2CF9AE}" pid="4" name="version">
    <vt:lpwstr>2022v1 15032022 sbv3 06042022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  <property fmtid="{D5CDD505-2E9C-101B-9397-08002B2CF9AE}" pid="12" name="MSIP_Label_efdf5488-3066-4b6c-8fea-9472b8a1f34c_Enabled">
    <vt:lpwstr>true</vt:lpwstr>
  </property>
  <property fmtid="{D5CDD505-2E9C-101B-9397-08002B2CF9AE}" pid="13" name="MSIP_Label_efdf5488-3066-4b6c-8fea-9472b8a1f34c_SetDate">
    <vt:lpwstr>2023-11-15T05:16:26Z</vt:lpwstr>
  </property>
  <property fmtid="{D5CDD505-2E9C-101B-9397-08002B2CF9AE}" pid="14" name="MSIP_Label_efdf5488-3066-4b6c-8fea-9472b8a1f34c_Method">
    <vt:lpwstr>Privileged</vt:lpwstr>
  </property>
  <property fmtid="{D5CDD505-2E9C-101B-9397-08002B2CF9AE}" pid="15" name="MSIP_Label_efdf5488-3066-4b6c-8fea-9472b8a1f34c_Name">
    <vt:lpwstr>efdf5488-3066-4b6c-8fea-9472b8a1f34c</vt:lpwstr>
  </property>
  <property fmtid="{D5CDD505-2E9C-101B-9397-08002B2CF9AE}" pid="16" name="MSIP_Label_efdf5488-3066-4b6c-8fea-9472b8a1f34c_SiteId">
    <vt:lpwstr>c0e0601f-0fac-449c-9c88-a104c4eb9f28</vt:lpwstr>
  </property>
  <property fmtid="{D5CDD505-2E9C-101B-9397-08002B2CF9AE}" pid="17" name="MSIP_Label_efdf5488-3066-4b6c-8fea-9472b8a1f34c_ActionId">
    <vt:lpwstr>126b7dee-276d-4dcc-96ae-4df29f11f7a3</vt:lpwstr>
  </property>
  <property fmtid="{D5CDD505-2E9C-101B-9397-08002B2CF9AE}" pid="18" name="MSIP_Label_efdf5488-3066-4b6c-8fea-9472b8a1f34c_ContentBits">
    <vt:lpwstr>0</vt:lpwstr>
  </property>
</Properties>
</file>