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721B6731" w:rsidR="0074696E" w:rsidRPr="00280C4B" w:rsidRDefault="00EC14A2" w:rsidP="00280C4B">
      <w:pPr>
        <w:pStyle w:val="Sectionbreakfirstpage"/>
      </w:pPr>
      <w:r>
        <w:drawing>
          <wp:anchor distT="0" distB="0" distL="114300" distR="114300" simplePos="0" relativeHeight="251658240" behindDoc="1" locked="1" layoutInCell="1" allowOverlap="1" wp14:anchorId="0CE2D5EE" wp14:editId="0E1FA733">
            <wp:simplePos x="0" y="0"/>
            <wp:positionH relativeFrom="page">
              <wp:posOffset>0</wp:posOffset>
            </wp:positionH>
            <wp:positionV relativeFrom="page">
              <wp:posOffset>19455</wp:posOffset>
            </wp:positionV>
            <wp:extent cx="7560000" cy="1321200"/>
            <wp:effectExtent l="0" t="0" r="0" b="0"/>
            <wp:wrapSquare wrapText="bothSides"/>
            <wp:docPr id="13994956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5657"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3212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BE26B3">
          <w:footerReference w:type="default" r:id="rId12"/>
          <w:footerReference w:type="first" r:id="rId13"/>
          <w:pgSz w:w="11906" w:h="16838" w:code="9"/>
          <w:pgMar w:top="851" w:right="851" w:bottom="1418" w:left="851" w:header="340" w:footer="567" w:gutter="0"/>
          <w:pgNumType w:start="0"/>
          <w:cols w:space="708"/>
          <w:titlePg/>
          <w:docGrid w:linePitch="360"/>
        </w:sectPr>
      </w:pPr>
    </w:p>
    <w:p w14:paraId="53BA26A3" w14:textId="77777777" w:rsidR="00722B42" w:rsidRDefault="00722B42" w:rsidP="00722B42">
      <w:pPr>
        <w:pStyle w:val="Documentsubtitle"/>
        <w:ind w:right="-2"/>
        <w:rPr>
          <w:b/>
          <w:sz w:val="48"/>
          <w:szCs w:val="40"/>
        </w:rPr>
      </w:pPr>
      <w:r w:rsidRPr="00722B42">
        <w:rPr>
          <w:b/>
          <w:sz w:val="48"/>
          <w:szCs w:val="40"/>
        </w:rPr>
        <w:t xml:space="preserve">Information Sharing Protocol </w:t>
      </w:r>
    </w:p>
    <w:p w14:paraId="52B40C95" w14:textId="5B019DDC" w:rsidR="00AB297C" w:rsidRDefault="00722B42" w:rsidP="00AB297C">
      <w:pPr>
        <w:pStyle w:val="Documentsubtitle"/>
        <w:rPr>
          <w:bCs/>
        </w:rPr>
      </w:pPr>
      <w:r w:rsidRPr="00722B42">
        <w:t xml:space="preserve">Between the Social Services Regulator and </w:t>
      </w:r>
      <w:r w:rsidR="00AB297C">
        <w:br/>
      </w:r>
      <w:r w:rsidRPr="00722B42">
        <w:t>the Department of Families, Fairness and Housing</w:t>
      </w:r>
    </w:p>
    <w:p w14:paraId="1A6CF557" w14:textId="157C0AB9" w:rsidR="00EC14A2" w:rsidRPr="00250DC4" w:rsidRDefault="00EC14A2" w:rsidP="00EC14A2">
      <w:pPr>
        <w:pStyle w:val="Bannermarking"/>
        <w:ind w:right="2691"/>
      </w:pPr>
      <w:fldSimple w:instr="FILLIN  &quot;Type the protective marking&quot; \d OFFICIAL \o  \* MERGEFORMAT">
        <w:r>
          <w:t>OFFICIAL</w:t>
        </w:r>
      </w:fldSimple>
    </w:p>
    <w:p w14:paraId="0CBF5D9A" w14:textId="1B2A82B5" w:rsidR="00AD784C" w:rsidRPr="00B57329" w:rsidRDefault="00AD784C" w:rsidP="002365B4">
      <w:pPr>
        <w:pStyle w:val="TOCheadingfactsheet"/>
      </w:pPr>
      <w:r w:rsidRPr="00EA1E6C">
        <w:t>Contents</w:t>
      </w:r>
    </w:p>
    <w:p w14:paraId="596603BA" w14:textId="1C570206" w:rsidR="00991CF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1294898" w:history="1">
        <w:r w:rsidR="00991CF0" w:rsidRPr="00EB41EB">
          <w:rPr>
            <w:rStyle w:val="Hyperlink"/>
          </w:rPr>
          <w:t>Purpose</w:t>
        </w:r>
        <w:r w:rsidR="00991CF0">
          <w:rPr>
            <w:webHidden/>
          </w:rPr>
          <w:tab/>
        </w:r>
        <w:r w:rsidR="00991CF0">
          <w:rPr>
            <w:webHidden/>
          </w:rPr>
          <w:fldChar w:fldCharType="begin"/>
        </w:r>
        <w:r w:rsidR="00991CF0">
          <w:rPr>
            <w:webHidden/>
          </w:rPr>
          <w:instrText xml:space="preserve"> PAGEREF _Toc191294898 \h </w:instrText>
        </w:r>
        <w:r w:rsidR="00991CF0">
          <w:rPr>
            <w:webHidden/>
          </w:rPr>
        </w:r>
        <w:r w:rsidR="00991CF0">
          <w:rPr>
            <w:webHidden/>
          </w:rPr>
          <w:fldChar w:fldCharType="separate"/>
        </w:r>
        <w:r w:rsidR="00991CF0">
          <w:rPr>
            <w:webHidden/>
          </w:rPr>
          <w:t>1</w:t>
        </w:r>
        <w:r w:rsidR="00991CF0">
          <w:rPr>
            <w:webHidden/>
          </w:rPr>
          <w:fldChar w:fldCharType="end"/>
        </w:r>
      </w:hyperlink>
    </w:p>
    <w:p w14:paraId="39A9D8A7" w14:textId="17E8DFB1"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899" w:history="1">
        <w:r w:rsidRPr="00EB41EB">
          <w:rPr>
            <w:rStyle w:val="Hyperlink"/>
          </w:rPr>
          <w:t>Introduction</w:t>
        </w:r>
        <w:r>
          <w:rPr>
            <w:webHidden/>
          </w:rPr>
          <w:tab/>
        </w:r>
        <w:r>
          <w:rPr>
            <w:webHidden/>
          </w:rPr>
          <w:fldChar w:fldCharType="begin"/>
        </w:r>
        <w:r>
          <w:rPr>
            <w:webHidden/>
          </w:rPr>
          <w:instrText xml:space="preserve"> PAGEREF _Toc191294899 \h </w:instrText>
        </w:r>
        <w:r>
          <w:rPr>
            <w:webHidden/>
          </w:rPr>
        </w:r>
        <w:r>
          <w:rPr>
            <w:webHidden/>
          </w:rPr>
          <w:fldChar w:fldCharType="separate"/>
        </w:r>
        <w:r>
          <w:rPr>
            <w:webHidden/>
          </w:rPr>
          <w:t>1</w:t>
        </w:r>
        <w:r>
          <w:rPr>
            <w:webHidden/>
          </w:rPr>
          <w:fldChar w:fldCharType="end"/>
        </w:r>
      </w:hyperlink>
    </w:p>
    <w:p w14:paraId="43E94F97" w14:textId="59EF8880"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0" w:history="1">
        <w:r w:rsidRPr="00EB41EB">
          <w:rPr>
            <w:rStyle w:val="Hyperlink"/>
          </w:rPr>
          <w:t>Social Services Regulator</w:t>
        </w:r>
        <w:r>
          <w:rPr>
            <w:webHidden/>
          </w:rPr>
          <w:tab/>
        </w:r>
        <w:r>
          <w:rPr>
            <w:webHidden/>
          </w:rPr>
          <w:fldChar w:fldCharType="begin"/>
        </w:r>
        <w:r>
          <w:rPr>
            <w:webHidden/>
          </w:rPr>
          <w:instrText xml:space="preserve"> PAGEREF _Toc191294900 \h </w:instrText>
        </w:r>
        <w:r>
          <w:rPr>
            <w:webHidden/>
          </w:rPr>
        </w:r>
        <w:r>
          <w:rPr>
            <w:webHidden/>
          </w:rPr>
          <w:fldChar w:fldCharType="separate"/>
        </w:r>
        <w:r>
          <w:rPr>
            <w:webHidden/>
          </w:rPr>
          <w:t>1</w:t>
        </w:r>
        <w:r>
          <w:rPr>
            <w:webHidden/>
          </w:rPr>
          <w:fldChar w:fldCharType="end"/>
        </w:r>
      </w:hyperlink>
    </w:p>
    <w:p w14:paraId="689F3449" w14:textId="1792D107"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1" w:history="1">
        <w:r w:rsidRPr="00EB41EB">
          <w:rPr>
            <w:rStyle w:val="Hyperlink"/>
          </w:rPr>
          <w:t>The Department of Families Fairness and Housing</w:t>
        </w:r>
        <w:r>
          <w:rPr>
            <w:webHidden/>
          </w:rPr>
          <w:tab/>
        </w:r>
        <w:r>
          <w:rPr>
            <w:webHidden/>
          </w:rPr>
          <w:fldChar w:fldCharType="begin"/>
        </w:r>
        <w:r>
          <w:rPr>
            <w:webHidden/>
          </w:rPr>
          <w:instrText xml:space="preserve"> PAGEREF _Toc191294901 \h </w:instrText>
        </w:r>
        <w:r>
          <w:rPr>
            <w:webHidden/>
          </w:rPr>
        </w:r>
        <w:r>
          <w:rPr>
            <w:webHidden/>
          </w:rPr>
          <w:fldChar w:fldCharType="separate"/>
        </w:r>
        <w:r>
          <w:rPr>
            <w:webHidden/>
          </w:rPr>
          <w:t>2</w:t>
        </w:r>
        <w:r>
          <w:rPr>
            <w:webHidden/>
          </w:rPr>
          <w:fldChar w:fldCharType="end"/>
        </w:r>
      </w:hyperlink>
    </w:p>
    <w:p w14:paraId="3EA5CBF5" w14:textId="1E23C9E9"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2" w:history="1">
        <w:r w:rsidRPr="00EB41EB">
          <w:rPr>
            <w:rStyle w:val="Hyperlink"/>
          </w:rPr>
          <w:t>Why share information?</w:t>
        </w:r>
        <w:r>
          <w:rPr>
            <w:webHidden/>
          </w:rPr>
          <w:tab/>
        </w:r>
        <w:r>
          <w:rPr>
            <w:webHidden/>
          </w:rPr>
          <w:fldChar w:fldCharType="begin"/>
        </w:r>
        <w:r>
          <w:rPr>
            <w:webHidden/>
          </w:rPr>
          <w:instrText xml:space="preserve"> PAGEREF _Toc191294902 \h </w:instrText>
        </w:r>
        <w:r>
          <w:rPr>
            <w:webHidden/>
          </w:rPr>
        </w:r>
        <w:r>
          <w:rPr>
            <w:webHidden/>
          </w:rPr>
          <w:fldChar w:fldCharType="separate"/>
        </w:r>
        <w:r>
          <w:rPr>
            <w:webHidden/>
          </w:rPr>
          <w:t>2</w:t>
        </w:r>
        <w:r>
          <w:rPr>
            <w:webHidden/>
          </w:rPr>
          <w:fldChar w:fldCharType="end"/>
        </w:r>
      </w:hyperlink>
    </w:p>
    <w:p w14:paraId="798E3E02" w14:textId="3C0C8DA5"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03" w:history="1">
        <w:r w:rsidRPr="00EB41EB">
          <w:rPr>
            <w:rStyle w:val="Hyperlink"/>
          </w:rPr>
          <w:t>Governing legislation</w:t>
        </w:r>
        <w:r>
          <w:rPr>
            <w:webHidden/>
          </w:rPr>
          <w:tab/>
        </w:r>
        <w:r>
          <w:rPr>
            <w:webHidden/>
          </w:rPr>
          <w:fldChar w:fldCharType="begin"/>
        </w:r>
        <w:r>
          <w:rPr>
            <w:webHidden/>
          </w:rPr>
          <w:instrText xml:space="preserve"> PAGEREF _Toc191294903 \h </w:instrText>
        </w:r>
        <w:r>
          <w:rPr>
            <w:webHidden/>
          </w:rPr>
        </w:r>
        <w:r>
          <w:rPr>
            <w:webHidden/>
          </w:rPr>
          <w:fldChar w:fldCharType="separate"/>
        </w:r>
        <w:r>
          <w:rPr>
            <w:webHidden/>
          </w:rPr>
          <w:t>2</w:t>
        </w:r>
        <w:r>
          <w:rPr>
            <w:webHidden/>
          </w:rPr>
          <w:fldChar w:fldCharType="end"/>
        </w:r>
      </w:hyperlink>
    </w:p>
    <w:p w14:paraId="60EDC1EB" w14:textId="69F184F4"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4" w:history="1">
        <w:r w:rsidRPr="00EB41EB">
          <w:rPr>
            <w:rStyle w:val="Hyperlink"/>
          </w:rPr>
          <w:t>Information sharing provisions under the SSR Act</w:t>
        </w:r>
        <w:r>
          <w:rPr>
            <w:webHidden/>
          </w:rPr>
          <w:tab/>
        </w:r>
        <w:r>
          <w:rPr>
            <w:webHidden/>
          </w:rPr>
          <w:fldChar w:fldCharType="begin"/>
        </w:r>
        <w:r>
          <w:rPr>
            <w:webHidden/>
          </w:rPr>
          <w:instrText xml:space="preserve"> PAGEREF _Toc191294904 \h </w:instrText>
        </w:r>
        <w:r>
          <w:rPr>
            <w:webHidden/>
          </w:rPr>
        </w:r>
        <w:r>
          <w:rPr>
            <w:webHidden/>
          </w:rPr>
          <w:fldChar w:fldCharType="separate"/>
        </w:r>
        <w:r>
          <w:rPr>
            <w:webHidden/>
          </w:rPr>
          <w:t>3</w:t>
        </w:r>
        <w:r>
          <w:rPr>
            <w:webHidden/>
          </w:rPr>
          <w:fldChar w:fldCharType="end"/>
        </w:r>
      </w:hyperlink>
    </w:p>
    <w:p w14:paraId="1C35437E" w14:textId="50F430CE"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05" w:history="1">
        <w:r w:rsidRPr="00EB41EB">
          <w:rPr>
            <w:rStyle w:val="Hyperlink"/>
          </w:rPr>
          <w:t>General principles</w:t>
        </w:r>
        <w:r>
          <w:rPr>
            <w:webHidden/>
          </w:rPr>
          <w:tab/>
        </w:r>
        <w:r>
          <w:rPr>
            <w:webHidden/>
          </w:rPr>
          <w:fldChar w:fldCharType="begin"/>
        </w:r>
        <w:r>
          <w:rPr>
            <w:webHidden/>
          </w:rPr>
          <w:instrText xml:space="preserve"> PAGEREF _Toc191294905 \h </w:instrText>
        </w:r>
        <w:r>
          <w:rPr>
            <w:webHidden/>
          </w:rPr>
        </w:r>
        <w:r>
          <w:rPr>
            <w:webHidden/>
          </w:rPr>
          <w:fldChar w:fldCharType="separate"/>
        </w:r>
        <w:r>
          <w:rPr>
            <w:webHidden/>
          </w:rPr>
          <w:t>3</w:t>
        </w:r>
        <w:r>
          <w:rPr>
            <w:webHidden/>
          </w:rPr>
          <w:fldChar w:fldCharType="end"/>
        </w:r>
      </w:hyperlink>
    </w:p>
    <w:p w14:paraId="426AFA90" w14:textId="5EFBAFD3"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06" w:history="1">
        <w:r w:rsidRPr="00EB41EB">
          <w:rPr>
            <w:rStyle w:val="Hyperlink"/>
          </w:rPr>
          <w:t>Information sharing</w:t>
        </w:r>
        <w:r>
          <w:rPr>
            <w:webHidden/>
          </w:rPr>
          <w:tab/>
        </w:r>
        <w:r>
          <w:rPr>
            <w:webHidden/>
          </w:rPr>
          <w:fldChar w:fldCharType="begin"/>
        </w:r>
        <w:r>
          <w:rPr>
            <w:webHidden/>
          </w:rPr>
          <w:instrText xml:space="preserve"> PAGEREF _Toc191294906 \h </w:instrText>
        </w:r>
        <w:r>
          <w:rPr>
            <w:webHidden/>
          </w:rPr>
        </w:r>
        <w:r>
          <w:rPr>
            <w:webHidden/>
          </w:rPr>
          <w:fldChar w:fldCharType="separate"/>
        </w:r>
        <w:r>
          <w:rPr>
            <w:webHidden/>
          </w:rPr>
          <w:t>4</w:t>
        </w:r>
        <w:r>
          <w:rPr>
            <w:webHidden/>
          </w:rPr>
          <w:fldChar w:fldCharType="end"/>
        </w:r>
      </w:hyperlink>
    </w:p>
    <w:p w14:paraId="1D1B2C39" w14:textId="6FC04E74"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7" w:history="1">
        <w:r w:rsidRPr="00EB41EB">
          <w:rPr>
            <w:rStyle w:val="Hyperlink"/>
          </w:rPr>
          <w:t>Routine information sharing</w:t>
        </w:r>
        <w:r>
          <w:rPr>
            <w:webHidden/>
          </w:rPr>
          <w:tab/>
        </w:r>
        <w:r>
          <w:rPr>
            <w:webHidden/>
          </w:rPr>
          <w:fldChar w:fldCharType="begin"/>
        </w:r>
        <w:r>
          <w:rPr>
            <w:webHidden/>
          </w:rPr>
          <w:instrText xml:space="preserve"> PAGEREF _Toc191294907 \h </w:instrText>
        </w:r>
        <w:r>
          <w:rPr>
            <w:webHidden/>
          </w:rPr>
        </w:r>
        <w:r>
          <w:rPr>
            <w:webHidden/>
          </w:rPr>
          <w:fldChar w:fldCharType="separate"/>
        </w:r>
        <w:r>
          <w:rPr>
            <w:webHidden/>
          </w:rPr>
          <w:t>4</w:t>
        </w:r>
        <w:r>
          <w:rPr>
            <w:webHidden/>
          </w:rPr>
          <w:fldChar w:fldCharType="end"/>
        </w:r>
      </w:hyperlink>
    </w:p>
    <w:p w14:paraId="367C4C3E" w14:textId="6E6397D1"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8" w:history="1">
        <w:r w:rsidRPr="00EB41EB">
          <w:rPr>
            <w:rStyle w:val="Hyperlink"/>
          </w:rPr>
          <w:t>Information sharing in exceptional/ad hoc circumstances.</w:t>
        </w:r>
        <w:r>
          <w:rPr>
            <w:webHidden/>
          </w:rPr>
          <w:tab/>
        </w:r>
        <w:r>
          <w:rPr>
            <w:webHidden/>
          </w:rPr>
          <w:fldChar w:fldCharType="begin"/>
        </w:r>
        <w:r>
          <w:rPr>
            <w:webHidden/>
          </w:rPr>
          <w:instrText xml:space="preserve"> PAGEREF _Toc191294908 \h </w:instrText>
        </w:r>
        <w:r>
          <w:rPr>
            <w:webHidden/>
          </w:rPr>
        </w:r>
        <w:r>
          <w:rPr>
            <w:webHidden/>
          </w:rPr>
          <w:fldChar w:fldCharType="separate"/>
        </w:r>
        <w:r>
          <w:rPr>
            <w:webHidden/>
          </w:rPr>
          <w:t>4</w:t>
        </w:r>
        <w:r>
          <w:rPr>
            <w:webHidden/>
          </w:rPr>
          <w:fldChar w:fldCharType="end"/>
        </w:r>
      </w:hyperlink>
    </w:p>
    <w:p w14:paraId="5985AF94" w14:textId="6C8B8A40"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09" w:history="1">
        <w:r w:rsidRPr="00EB41EB">
          <w:rPr>
            <w:rStyle w:val="Hyperlink"/>
          </w:rPr>
          <w:t>What information would not normally be shared?</w:t>
        </w:r>
        <w:r>
          <w:rPr>
            <w:webHidden/>
          </w:rPr>
          <w:tab/>
        </w:r>
        <w:r>
          <w:rPr>
            <w:webHidden/>
          </w:rPr>
          <w:fldChar w:fldCharType="begin"/>
        </w:r>
        <w:r>
          <w:rPr>
            <w:webHidden/>
          </w:rPr>
          <w:instrText xml:space="preserve"> PAGEREF _Toc191294909 \h </w:instrText>
        </w:r>
        <w:r>
          <w:rPr>
            <w:webHidden/>
          </w:rPr>
        </w:r>
        <w:r>
          <w:rPr>
            <w:webHidden/>
          </w:rPr>
          <w:fldChar w:fldCharType="separate"/>
        </w:r>
        <w:r>
          <w:rPr>
            <w:webHidden/>
          </w:rPr>
          <w:t>5</w:t>
        </w:r>
        <w:r>
          <w:rPr>
            <w:webHidden/>
          </w:rPr>
          <w:fldChar w:fldCharType="end"/>
        </w:r>
      </w:hyperlink>
    </w:p>
    <w:p w14:paraId="78AD9E6C" w14:textId="189E8F64"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0" w:history="1">
        <w:r w:rsidRPr="00EB41EB">
          <w:rPr>
            <w:rStyle w:val="Hyperlink"/>
          </w:rPr>
          <w:t>Privacy and data protection</w:t>
        </w:r>
        <w:r>
          <w:rPr>
            <w:webHidden/>
          </w:rPr>
          <w:tab/>
        </w:r>
        <w:r>
          <w:rPr>
            <w:webHidden/>
          </w:rPr>
          <w:fldChar w:fldCharType="begin"/>
        </w:r>
        <w:r>
          <w:rPr>
            <w:webHidden/>
          </w:rPr>
          <w:instrText xml:space="preserve"> PAGEREF _Toc191294910 \h </w:instrText>
        </w:r>
        <w:r>
          <w:rPr>
            <w:webHidden/>
          </w:rPr>
        </w:r>
        <w:r>
          <w:rPr>
            <w:webHidden/>
          </w:rPr>
          <w:fldChar w:fldCharType="separate"/>
        </w:r>
        <w:r>
          <w:rPr>
            <w:webHidden/>
          </w:rPr>
          <w:t>5</w:t>
        </w:r>
        <w:r>
          <w:rPr>
            <w:webHidden/>
          </w:rPr>
          <w:fldChar w:fldCharType="end"/>
        </w:r>
      </w:hyperlink>
    </w:p>
    <w:p w14:paraId="37A39763" w14:textId="2CAEE1A0"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1" w:history="1">
        <w:r w:rsidRPr="00EB41EB">
          <w:rPr>
            <w:rStyle w:val="Hyperlink"/>
          </w:rPr>
          <w:t>Organisational contacts</w:t>
        </w:r>
        <w:r>
          <w:rPr>
            <w:webHidden/>
          </w:rPr>
          <w:tab/>
        </w:r>
        <w:r>
          <w:rPr>
            <w:webHidden/>
          </w:rPr>
          <w:fldChar w:fldCharType="begin"/>
        </w:r>
        <w:r>
          <w:rPr>
            <w:webHidden/>
          </w:rPr>
          <w:instrText xml:space="preserve"> PAGEREF _Toc191294911 \h </w:instrText>
        </w:r>
        <w:r>
          <w:rPr>
            <w:webHidden/>
          </w:rPr>
        </w:r>
        <w:r>
          <w:rPr>
            <w:webHidden/>
          </w:rPr>
          <w:fldChar w:fldCharType="separate"/>
        </w:r>
        <w:r>
          <w:rPr>
            <w:webHidden/>
          </w:rPr>
          <w:t>5</w:t>
        </w:r>
        <w:r>
          <w:rPr>
            <w:webHidden/>
          </w:rPr>
          <w:fldChar w:fldCharType="end"/>
        </w:r>
      </w:hyperlink>
    </w:p>
    <w:p w14:paraId="19F37813" w14:textId="6A7B23C0"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2" w:history="1">
        <w:r w:rsidRPr="00EB41EB">
          <w:rPr>
            <w:rStyle w:val="Hyperlink"/>
          </w:rPr>
          <w:t>Dispute resolution</w:t>
        </w:r>
        <w:r>
          <w:rPr>
            <w:webHidden/>
          </w:rPr>
          <w:tab/>
        </w:r>
        <w:r>
          <w:rPr>
            <w:webHidden/>
          </w:rPr>
          <w:fldChar w:fldCharType="begin"/>
        </w:r>
        <w:r>
          <w:rPr>
            <w:webHidden/>
          </w:rPr>
          <w:instrText xml:space="preserve"> PAGEREF _Toc191294912 \h </w:instrText>
        </w:r>
        <w:r>
          <w:rPr>
            <w:webHidden/>
          </w:rPr>
        </w:r>
        <w:r>
          <w:rPr>
            <w:webHidden/>
          </w:rPr>
          <w:fldChar w:fldCharType="separate"/>
        </w:r>
        <w:r>
          <w:rPr>
            <w:webHidden/>
          </w:rPr>
          <w:t>5</w:t>
        </w:r>
        <w:r>
          <w:rPr>
            <w:webHidden/>
          </w:rPr>
          <w:fldChar w:fldCharType="end"/>
        </w:r>
      </w:hyperlink>
    </w:p>
    <w:p w14:paraId="2C5232D7" w14:textId="18F524F2"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3" w:history="1">
        <w:r w:rsidRPr="00EB41EB">
          <w:rPr>
            <w:rStyle w:val="Hyperlink"/>
          </w:rPr>
          <w:t>Review of protocol</w:t>
        </w:r>
        <w:r>
          <w:rPr>
            <w:webHidden/>
          </w:rPr>
          <w:tab/>
        </w:r>
        <w:r>
          <w:rPr>
            <w:webHidden/>
          </w:rPr>
          <w:fldChar w:fldCharType="begin"/>
        </w:r>
        <w:r>
          <w:rPr>
            <w:webHidden/>
          </w:rPr>
          <w:instrText xml:space="preserve"> PAGEREF _Toc191294913 \h </w:instrText>
        </w:r>
        <w:r>
          <w:rPr>
            <w:webHidden/>
          </w:rPr>
        </w:r>
        <w:r>
          <w:rPr>
            <w:webHidden/>
          </w:rPr>
          <w:fldChar w:fldCharType="separate"/>
        </w:r>
        <w:r>
          <w:rPr>
            <w:webHidden/>
          </w:rPr>
          <w:t>6</w:t>
        </w:r>
        <w:r>
          <w:rPr>
            <w:webHidden/>
          </w:rPr>
          <w:fldChar w:fldCharType="end"/>
        </w:r>
      </w:hyperlink>
    </w:p>
    <w:p w14:paraId="687535F3" w14:textId="783B47D9"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4" w:history="1">
        <w:r w:rsidRPr="00EB41EB">
          <w:rPr>
            <w:rStyle w:val="Hyperlink"/>
          </w:rPr>
          <w:t>Glossary</w:t>
        </w:r>
        <w:r>
          <w:rPr>
            <w:webHidden/>
          </w:rPr>
          <w:tab/>
        </w:r>
        <w:r>
          <w:rPr>
            <w:webHidden/>
          </w:rPr>
          <w:fldChar w:fldCharType="begin"/>
        </w:r>
        <w:r>
          <w:rPr>
            <w:webHidden/>
          </w:rPr>
          <w:instrText xml:space="preserve"> PAGEREF _Toc191294914 \h </w:instrText>
        </w:r>
        <w:r>
          <w:rPr>
            <w:webHidden/>
          </w:rPr>
        </w:r>
        <w:r>
          <w:rPr>
            <w:webHidden/>
          </w:rPr>
          <w:fldChar w:fldCharType="separate"/>
        </w:r>
        <w:r>
          <w:rPr>
            <w:webHidden/>
          </w:rPr>
          <w:t>6</w:t>
        </w:r>
        <w:r>
          <w:rPr>
            <w:webHidden/>
          </w:rPr>
          <w:fldChar w:fldCharType="end"/>
        </w:r>
      </w:hyperlink>
    </w:p>
    <w:p w14:paraId="73A38EEE" w14:textId="2ACC0709" w:rsidR="00991CF0" w:rsidRDefault="00991CF0">
      <w:pPr>
        <w:pStyle w:val="TOC1"/>
        <w:rPr>
          <w:rFonts w:asciiTheme="minorHAnsi" w:eastAsiaTheme="minorEastAsia" w:hAnsiTheme="minorHAnsi" w:cstheme="minorBidi"/>
          <w:b w:val="0"/>
          <w:kern w:val="2"/>
          <w:sz w:val="24"/>
          <w:szCs w:val="24"/>
          <w:lang w:eastAsia="en-AU"/>
          <w14:ligatures w14:val="standardContextual"/>
        </w:rPr>
      </w:pPr>
      <w:hyperlink w:anchor="_Toc191294915" w:history="1">
        <w:r w:rsidRPr="00EB41EB">
          <w:rPr>
            <w:rStyle w:val="Hyperlink"/>
          </w:rPr>
          <w:t>Addendum: Information to be shared</w:t>
        </w:r>
        <w:r>
          <w:rPr>
            <w:webHidden/>
          </w:rPr>
          <w:tab/>
        </w:r>
        <w:r>
          <w:rPr>
            <w:webHidden/>
          </w:rPr>
          <w:fldChar w:fldCharType="begin"/>
        </w:r>
        <w:r>
          <w:rPr>
            <w:webHidden/>
          </w:rPr>
          <w:instrText xml:space="preserve"> PAGEREF _Toc191294915 \h </w:instrText>
        </w:r>
        <w:r>
          <w:rPr>
            <w:webHidden/>
          </w:rPr>
        </w:r>
        <w:r>
          <w:rPr>
            <w:webHidden/>
          </w:rPr>
          <w:fldChar w:fldCharType="separate"/>
        </w:r>
        <w:r>
          <w:rPr>
            <w:webHidden/>
          </w:rPr>
          <w:t>7</w:t>
        </w:r>
        <w:r>
          <w:rPr>
            <w:webHidden/>
          </w:rPr>
          <w:fldChar w:fldCharType="end"/>
        </w:r>
      </w:hyperlink>
    </w:p>
    <w:p w14:paraId="64AF30A0" w14:textId="1CC06F12"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16" w:history="1">
        <w:r w:rsidRPr="00EB41EB">
          <w:rPr>
            <w:rStyle w:val="Hyperlink"/>
          </w:rPr>
          <w:t>Information the department will share with the Regulator</w:t>
        </w:r>
        <w:r>
          <w:rPr>
            <w:webHidden/>
          </w:rPr>
          <w:tab/>
        </w:r>
        <w:r>
          <w:rPr>
            <w:webHidden/>
          </w:rPr>
          <w:fldChar w:fldCharType="begin"/>
        </w:r>
        <w:r>
          <w:rPr>
            <w:webHidden/>
          </w:rPr>
          <w:instrText xml:space="preserve"> PAGEREF _Toc191294916 \h </w:instrText>
        </w:r>
        <w:r>
          <w:rPr>
            <w:webHidden/>
          </w:rPr>
        </w:r>
        <w:r>
          <w:rPr>
            <w:webHidden/>
          </w:rPr>
          <w:fldChar w:fldCharType="separate"/>
        </w:r>
        <w:r>
          <w:rPr>
            <w:webHidden/>
          </w:rPr>
          <w:t>7</w:t>
        </w:r>
        <w:r>
          <w:rPr>
            <w:webHidden/>
          </w:rPr>
          <w:fldChar w:fldCharType="end"/>
        </w:r>
      </w:hyperlink>
    </w:p>
    <w:p w14:paraId="2FE9672E" w14:textId="36CD83D5" w:rsidR="00991CF0" w:rsidRDefault="00991CF0">
      <w:pPr>
        <w:pStyle w:val="TOC2"/>
        <w:rPr>
          <w:rFonts w:asciiTheme="minorHAnsi" w:eastAsiaTheme="minorEastAsia" w:hAnsiTheme="minorHAnsi" w:cstheme="minorBidi"/>
          <w:kern w:val="2"/>
          <w:sz w:val="24"/>
          <w:szCs w:val="24"/>
          <w:lang w:eastAsia="en-AU"/>
          <w14:ligatures w14:val="standardContextual"/>
        </w:rPr>
      </w:pPr>
      <w:hyperlink w:anchor="_Toc191294917" w:history="1">
        <w:r w:rsidRPr="00EB41EB">
          <w:rPr>
            <w:rStyle w:val="Hyperlink"/>
            <w:rFonts w:cs="Arial"/>
          </w:rPr>
          <w:t>Information that the Regulator will share with the department.</w:t>
        </w:r>
        <w:r>
          <w:rPr>
            <w:webHidden/>
          </w:rPr>
          <w:tab/>
        </w:r>
        <w:r>
          <w:rPr>
            <w:webHidden/>
          </w:rPr>
          <w:fldChar w:fldCharType="begin"/>
        </w:r>
        <w:r>
          <w:rPr>
            <w:webHidden/>
          </w:rPr>
          <w:instrText xml:space="preserve"> PAGEREF _Toc191294917 \h </w:instrText>
        </w:r>
        <w:r>
          <w:rPr>
            <w:webHidden/>
          </w:rPr>
        </w:r>
        <w:r>
          <w:rPr>
            <w:webHidden/>
          </w:rPr>
          <w:fldChar w:fldCharType="separate"/>
        </w:r>
        <w:r>
          <w:rPr>
            <w:webHidden/>
          </w:rPr>
          <w:t>10</w:t>
        </w:r>
        <w:r>
          <w:rPr>
            <w:webHidden/>
          </w:rPr>
          <w:fldChar w:fldCharType="end"/>
        </w:r>
      </w:hyperlink>
    </w:p>
    <w:p w14:paraId="623B2D43" w14:textId="28282F9F"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F73550">
          <w:headerReference w:type="default" r:id="rId14"/>
          <w:footerReference w:type="default" r:id="rId15"/>
          <w:type w:val="continuous"/>
          <w:pgSz w:w="11906" w:h="16838" w:code="9"/>
          <w:pgMar w:top="3402" w:right="851" w:bottom="851" w:left="851" w:header="851" w:footer="567" w:gutter="0"/>
          <w:cols w:space="340"/>
          <w:titlePg/>
          <w:docGrid w:linePitch="360"/>
        </w:sectPr>
      </w:pPr>
    </w:p>
    <w:p w14:paraId="65261520" w14:textId="77777777" w:rsidR="00153F8F" w:rsidRDefault="00153F8F">
      <w:pPr>
        <w:spacing w:after="0" w:line="240" w:lineRule="auto"/>
        <w:rPr>
          <w:rFonts w:eastAsia="MS Gothic" w:cs="Arial"/>
          <w:bCs/>
          <w:color w:val="201547"/>
          <w:kern w:val="32"/>
          <w:sz w:val="40"/>
          <w:szCs w:val="40"/>
        </w:rPr>
      </w:pPr>
      <w:r>
        <w:br w:type="page"/>
      </w:r>
    </w:p>
    <w:p w14:paraId="1FE096FB" w14:textId="1FA05693" w:rsidR="00AA1980" w:rsidRPr="002A79AF" w:rsidRDefault="00AA1980" w:rsidP="00AA1980">
      <w:pPr>
        <w:pStyle w:val="Heading1"/>
      </w:pPr>
      <w:bookmarkStart w:id="0" w:name="_Toc191294898"/>
      <w:r w:rsidRPr="002A79AF">
        <w:t>Purpose</w:t>
      </w:r>
      <w:bookmarkEnd w:id="0"/>
      <w:r w:rsidRPr="002A79AF">
        <w:t xml:space="preserve"> </w:t>
      </w:r>
    </w:p>
    <w:p w14:paraId="060CD628" w14:textId="77777777" w:rsidR="00AA1980" w:rsidRPr="002A79AF" w:rsidRDefault="00AA1980" w:rsidP="00AA1980">
      <w:pPr>
        <w:pStyle w:val="Body"/>
      </w:pPr>
      <w:r>
        <w:t>This protocol sets out agreed principles for sharing of information between the Social Services Regulator (</w:t>
      </w:r>
      <w:r w:rsidRPr="00CF250D">
        <w:rPr>
          <w:b/>
        </w:rPr>
        <w:t>the Regulator</w:t>
      </w:r>
      <w:r>
        <w:t>) and the Department of Families, Fairness and Housing (</w:t>
      </w:r>
      <w:r w:rsidRPr="0099384E">
        <w:rPr>
          <w:b/>
        </w:rPr>
        <w:t>the</w:t>
      </w:r>
      <w:r>
        <w:t xml:space="preserve"> </w:t>
      </w:r>
      <w:r w:rsidRPr="00CF250D">
        <w:rPr>
          <w:b/>
        </w:rPr>
        <w:t>department</w:t>
      </w:r>
      <w:r>
        <w:t>). It aims to establish an effective, efficient and consistent approach to information sharing between the Regulator and the department.</w:t>
      </w:r>
    </w:p>
    <w:p w14:paraId="35806E22" w14:textId="77777777" w:rsidR="00AA1980" w:rsidRPr="002A79AF" w:rsidRDefault="00AA1980" w:rsidP="00AA1980">
      <w:pPr>
        <w:pStyle w:val="Body"/>
      </w:pPr>
      <w:r w:rsidRPr="002A79AF">
        <w:t xml:space="preserve">It acknowledges that </w:t>
      </w:r>
      <w:r>
        <w:t xml:space="preserve">the </w:t>
      </w:r>
      <w:r w:rsidRPr="002A79AF">
        <w:t xml:space="preserve">Regulator and the </w:t>
      </w:r>
      <w:r>
        <w:t>d</w:t>
      </w:r>
      <w:r w:rsidRPr="002A79AF">
        <w:t xml:space="preserve">epartment </w:t>
      </w:r>
      <w:r>
        <w:t>share an</w:t>
      </w:r>
      <w:r w:rsidRPr="002A79AF">
        <w:t xml:space="preserve"> interest in ensuring that the rights, safety and wellbeing of Victorian</w:t>
      </w:r>
      <w:r>
        <w:t xml:space="preserve"> social service user</w:t>
      </w:r>
      <w:r w:rsidRPr="002A79AF">
        <w:t xml:space="preserve">s are supported, and safeguarding systems are effectively administered. </w:t>
      </w:r>
    </w:p>
    <w:p w14:paraId="1B0DF1A2" w14:textId="77777777" w:rsidR="00AA1980" w:rsidRDefault="00AA1980" w:rsidP="00AA1980">
      <w:pPr>
        <w:pStyle w:val="Body"/>
      </w:pPr>
      <w:r w:rsidRPr="0E06A029">
        <w:t xml:space="preserve">The information sharing provisions in the </w:t>
      </w:r>
      <w:r w:rsidRPr="0E06A029">
        <w:rPr>
          <w:i/>
          <w:iCs/>
        </w:rPr>
        <w:t>Social Services Regulation Act</w:t>
      </w:r>
      <w:r>
        <w:t xml:space="preserve"> 2021 (Vic) (</w:t>
      </w:r>
      <w:r w:rsidRPr="0E06A029">
        <w:rPr>
          <w:b/>
          <w:bCs/>
        </w:rPr>
        <w:t>SSR Act</w:t>
      </w:r>
      <w:r>
        <w:t>) require relevant agencies to give precedence to the wellbeing and safety of service users or a class of service users over the right to privacy, and to work collaboratively in a manner that respects the functions and expertise of each relevant agency.</w:t>
      </w:r>
      <w:r>
        <w:rPr>
          <w:rStyle w:val="FootnoteReference"/>
        </w:rPr>
        <w:footnoteReference w:id="2"/>
      </w:r>
      <w:r w:rsidRPr="0E06A029">
        <w:t xml:space="preserve"> </w:t>
      </w:r>
      <w:r>
        <w:t xml:space="preserve">Subject to any legislative restrictions on information disclosure, the Regulator and the department will proactively exchange information and respond to requests for </w:t>
      </w:r>
      <w:r w:rsidRPr="0E06A029">
        <w:rPr>
          <w:rFonts w:ascii="ArialMT" w:hAnsi="ArialMT"/>
        </w:rPr>
        <w:t>information to assist each other in their roles under relevant legislation and as set out in this protocol.</w:t>
      </w:r>
      <w:r>
        <w:t xml:space="preserve"> </w:t>
      </w:r>
      <w:r w:rsidRPr="0E06A029">
        <w:t xml:space="preserve">While mechanisms are in place to seek information, </w:t>
      </w:r>
      <w:r w:rsidRPr="00B06715">
        <w:t>the onus is on the parties to this agreement to be proactive</w:t>
      </w:r>
      <w:r w:rsidRPr="0E06A029">
        <w:t xml:space="preserve"> </w:t>
      </w:r>
      <w:r>
        <w:t xml:space="preserve">about sharing information, </w:t>
      </w:r>
      <w:r w:rsidRPr="0E06A029">
        <w:t xml:space="preserve">as </w:t>
      </w:r>
      <w:r>
        <w:t xml:space="preserve">far as </w:t>
      </w:r>
      <w:r w:rsidRPr="0E06A029">
        <w:t>permitted by relevant legislation and privacy principles.</w:t>
      </w:r>
    </w:p>
    <w:p w14:paraId="00FBA12F" w14:textId="77777777" w:rsidR="00AA1980" w:rsidRDefault="00AA1980" w:rsidP="00AA1980">
      <w:pPr>
        <w:pStyle w:val="Body"/>
      </w:pPr>
      <w:r w:rsidRPr="0E06A029">
        <w:rPr>
          <w:rFonts w:ascii="ArialMT" w:hAnsi="ArialMT"/>
        </w:rPr>
        <w:t xml:space="preserve">This protocol is not intended to </w:t>
      </w:r>
      <w:r>
        <w:rPr>
          <w:rFonts w:ascii="ArialMT" w:hAnsi="ArialMT" w:cs="ArialMT"/>
        </w:rPr>
        <w:t>dictate</w:t>
      </w:r>
      <w:r w:rsidRPr="0E06A029">
        <w:rPr>
          <w:rFonts w:ascii="ArialMT" w:hAnsi="ArialMT"/>
        </w:rPr>
        <w:t xml:space="preserve"> the way the Regulator or the department engage with the social services sector or to restrict the Regulator or the department’s performance of their </w:t>
      </w:r>
      <w:r>
        <w:rPr>
          <w:rFonts w:ascii="ArialMT" w:hAnsi="ArialMT"/>
        </w:rPr>
        <w:t xml:space="preserve">respective </w:t>
      </w:r>
      <w:r w:rsidRPr="0E06A029">
        <w:rPr>
          <w:rFonts w:ascii="ArialMT" w:hAnsi="ArialMT"/>
        </w:rPr>
        <w:t xml:space="preserve">regulatory </w:t>
      </w:r>
      <w:r>
        <w:rPr>
          <w:rFonts w:ascii="ArialMT" w:hAnsi="ArialMT"/>
        </w:rPr>
        <w:t xml:space="preserve">or contract management </w:t>
      </w:r>
      <w:r w:rsidRPr="0E06A029">
        <w:rPr>
          <w:rFonts w:ascii="ArialMT" w:hAnsi="ArialMT"/>
        </w:rPr>
        <w:t xml:space="preserve">functions or </w:t>
      </w:r>
      <w:r>
        <w:t>use of their powers.</w:t>
      </w:r>
    </w:p>
    <w:p w14:paraId="50632692" w14:textId="77777777" w:rsidR="00AA1980" w:rsidRDefault="00AA1980" w:rsidP="00AA1980">
      <w:pPr>
        <w:pStyle w:val="Body"/>
      </w:pPr>
      <w:r w:rsidRPr="0095267F">
        <w:rPr>
          <w:b/>
          <w:bCs/>
        </w:rPr>
        <w:t>This protocol does not relate to the department’s role as a registered service provider.</w:t>
      </w:r>
      <w:r>
        <w:t xml:space="preserve"> The department’s provision of information to the Regulator as a service provider will be governed by the legislative requirements and guidance that apply to all service providers.</w:t>
      </w:r>
    </w:p>
    <w:p w14:paraId="06CB861C" w14:textId="5B436BEA" w:rsidR="00AA1980" w:rsidRPr="00D97DA3" w:rsidRDefault="00AA1980" w:rsidP="00AA1980">
      <w:pPr>
        <w:pStyle w:val="Body"/>
      </w:pPr>
      <w:r w:rsidRPr="00D97DA3">
        <w:t xml:space="preserve">This protocol, including updates, will be made </w:t>
      </w:r>
      <w:r>
        <w:t xml:space="preserve">publicly </w:t>
      </w:r>
      <w:r w:rsidRPr="00D97DA3">
        <w:t>available to all funded agencies.</w:t>
      </w:r>
    </w:p>
    <w:p w14:paraId="48E4A1A9" w14:textId="77777777" w:rsidR="00AA1980" w:rsidRPr="002A79AF" w:rsidRDefault="00AA1980" w:rsidP="00AA1980">
      <w:pPr>
        <w:pStyle w:val="Heading1"/>
      </w:pPr>
      <w:bookmarkStart w:id="1" w:name="_Toc191294899"/>
      <w:r w:rsidRPr="002A79AF">
        <w:t>Introduction</w:t>
      </w:r>
      <w:bookmarkEnd w:id="1"/>
      <w:r w:rsidRPr="002A79AF">
        <w:t xml:space="preserve"> </w:t>
      </w:r>
    </w:p>
    <w:p w14:paraId="061AA0CC" w14:textId="77777777" w:rsidR="00AA1980" w:rsidRPr="002A79AF" w:rsidRDefault="00AA1980" w:rsidP="00AA1980">
      <w:pPr>
        <w:pStyle w:val="Heading2"/>
      </w:pPr>
      <w:bookmarkStart w:id="2" w:name="_Toc191294900"/>
      <w:r w:rsidRPr="002A79AF">
        <w:t xml:space="preserve">Social </w:t>
      </w:r>
      <w:r w:rsidRPr="00206F3C">
        <w:t>Services</w:t>
      </w:r>
      <w:r w:rsidRPr="002A79AF">
        <w:t xml:space="preserve"> Regulator</w:t>
      </w:r>
      <w:bookmarkEnd w:id="2"/>
    </w:p>
    <w:p w14:paraId="469761C4" w14:textId="77777777" w:rsidR="00AA1980" w:rsidRPr="002A79AF" w:rsidRDefault="00AA1980" w:rsidP="00AA1980">
      <w:pPr>
        <w:pStyle w:val="Body"/>
      </w:pPr>
      <w:r>
        <w:t>The Regulator is an independent statutory authority established under the SSR Act.</w:t>
      </w:r>
    </w:p>
    <w:p w14:paraId="388E63C3" w14:textId="77777777" w:rsidR="00AA1980" w:rsidRPr="002A79AF" w:rsidRDefault="00AA1980" w:rsidP="00AA1980">
      <w:pPr>
        <w:pStyle w:val="Body"/>
      </w:pPr>
      <w:r w:rsidRPr="002A79AF">
        <w:t xml:space="preserve">The </w:t>
      </w:r>
      <w:r>
        <w:t xml:space="preserve">SSR </w:t>
      </w:r>
      <w:r w:rsidRPr="002A79AF">
        <w:t xml:space="preserve">Act establishes a new framework for social services regulation in Victoria. The </w:t>
      </w:r>
      <w:r>
        <w:t>purposes of</w:t>
      </w:r>
      <w:r w:rsidRPr="002A79AF">
        <w:t xml:space="preserve"> SSR Act </w:t>
      </w:r>
      <w:r>
        <w:t>include to:</w:t>
      </w:r>
      <w:r>
        <w:rPr>
          <w:rStyle w:val="FootnoteReference"/>
        </w:rPr>
        <w:footnoteReference w:id="3"/>
      </w:r>
    </w:p>
    <w:p w14:paraId="4995F539" w14:textId="77777777" w:rsidR="00AA1980" w:rsidRDefault="00AA1980" w:rsidP="00AA1980">
      <w:pPr>
        <w:pStyle w:val="Bullet1"/>
      </w:pPr>
      <w:r>
        <w:t>specify the objects, functions and powers of the Regulator</w:t>
      </w:r>
    </w:p>
    <w:p w14:paraId="18ED6D31" w14:textId="77777777" w:rsidR="00AA1980" w:rsidRDefault="00AA1980" w:rsidP="00AA1980">
      <w:pPr>
        <w:pStyle w:val="Bullet1"/>
      </w:pPr>
      <w:r>
        <w:t>provide for the registration of social service providers</w:t>
      </w:r>
    </w:p>
    <w:p w14:paraId="6782B056" w14:textId="77777777" w:rsidR="00AA1980" w:rsidRDefault="00AA1980" w:rsidP="00AA1980">
      <w:pPr>
        <w:pStyle w:val="Bullet1"/>
      </w:pPr>
      <w:r>
        <w:t>require registered social service providers to comply with the Social Service Standards</w:t>
      </w:r>
    </w:p>
    <w:p w14:paraId="1BB3D4A5" w14:textId="77777777" w:rsidR="00AA1980" w:rsidRDefault="00AA1980" w:rsidP="00AA1980">
      <w:pPr>
        <w:pStyle w:val="Bullet1"/>
      </w:pPr>
      <w:r>
        <w:t>enable the Regulator to ensure compliance with the Act</w:t>
      </w:r>
    </w:p>
    <w:p w14:paraId="5CF18C04" w14:textId="77777777" w:rsidR="00AA1980" w:rsidRDefault="00AA1980" w:rsidP="00AA1980">
      <w:pPr>
        <w:pStyle w:val="Bullet1"/>
      </w:pPr>
      <w:r>
        <w:t>provide for the collection, use and disclosure of information for the purposes of the Act.</w:t>
      </w:r>
    </w:p>
    <w:p w14:paraId="319C7012" w14:textId="77777777" w:rsidR="00AA1980" w:rsidRDefault="00AA1980" w:rsidP="00AA1980">
      <w:pPr>
        <w:pStyle w:val="Bodyafterbullets"/>
      </w:pPr>
      <w:r>
        <w:t>The Regulator is an independent statutory agency, subject to the general direction and control of the Minister for Disability.</w:t>
      </w:r>
      <w:r>
        <w:rPr>
          <w:rStyle w:val="FootnoteReference"/>
        </w:rPr>
        <w:footnoteReference w:id="4"/>
      </w:r>
      <w:r>
        <w:t xml:space="preserve">  The Regulator’s objects include to:</w:t>
      </w:r>
      <w:r>
        <w:rPr>
          <w:rStyle w:val="FootnoteReference"/>
        </w:rPr>
        <w:footnoteReference w:id="5"/>
      </w:r>
    </w:p>
    <w:p w14:paraId="598442AC" w14:textId="77777777" w:rsidR="00AA1980" w:rsidRDefault="00AA1980" w:rsidP="00AA1980">
      <w:pPr>
        <w:pStyle w:val="Bullet1"/>
      </w:pPr>
      <w:r>
        <w:t>protect the rights of social service users</w:t>
      </w:r>
    </w:p>
    <w:p w14:paraId="41FE9C0C" w14:textId="77777777" w:rsidR="00AA1980" w:rsidRDefault="00AA1980" w:rsidP="00AA1980">
      <w:pPr>
        <w:pStyle w:val="Bullet1"/>
      </w:pPr>
      <w:r>
        <w:t xml:space="preserve">promote and </w:t>
      </w:r>
      <w:r w:rsidRPr="002A79AF">
        <w:t>support the safe delivery of social services</w:t>
      </w:r>
    </w:p>
    <w:p w14:paraId="5FB550D9" w14:textId="77777777" w:rsidR="00AA1980" w:rsidRDefault="00AA1980" w:rsidP="00AA1980">
      <w:pPr>
        <w:pStyle w:val="Bullet1"/>
      </w:pPr>
      <w:r>
        <w:t>to minimise the risks of avoidable harm caused by abuse or neglect in connection with the delivery of social services</w:t>
      </w:r>
    </w:p>
    <w:p w14:paraId="49EB8287" w14:textId="77777777" w:rsidR="00AA1980" w:rsidRDefault="00AA1980" w:rsidP="00AA1980">
      <w:pPr>
        <w:pStyle w:val="Bullet1"/>
      </w:pPr>
      <w:r>
        <w:t xml:space="preserve">encourage a culture of continuous quality improvement in providing social services. </w:t>
      </w:r>
    </w:p>
    <w:p w14:paraId="6AFB4BE2" w14:textId="77777777" w:rsidR="00AA1980" w:rsidRPr="002A79AF" w:rsidRDefault="00AA1980" w:rsidP="00AA1980">
      <w:pPr>
        <w:pStyle w:val="Heading2"/>
      </w:pPr>
      <w:bookmarkStart w:id="3" w:name="_Toc191294901"/>
      <w:r w:rsidRPr="002A79AF">
        <w:t xml:space="preserve">The Department of </w:t>
      </w:r>
      <w:r w:rsidRPr="00206F3C">
        <w:t>Families</w:t>
      </w:r>
      <w:r w:rsidRPr="002A79AF">
        <w:t xml:space="preserve"> Fairness and Housing</w:t>
      </w:r>
      <w:bookmarkEnd w:id="3"/>
    </w:p>
    <w:p w14:paraId="459B0AF2" w14:textId="77777777" w:rsidR="00AA1980" w:rsidRPr="003960F2" w:rsidRDefault="00AA1980" w:rsidP="00AA1980">
      <w:pPr>
        <w:pStyle w:val="Body"/>
        <w:rPr>
          <w:rFonts w:cs="Arial"/>
          <w:sz w:val="20"/>
        </w:rPr>
      </w:pPr>
      <w:r>
        <w:t xml:space="preserve">The department is responsible for child protection, children and family services, prevention of and response to family violence, housing and homelessness services, disability, sexual assault services, LGBTIQA+ equality, care services, veterans, family services and the offices for Women and Youth. </w:t>
      </w:r>
    </w:p>
    <w:p w14:paraId="67FFCAD7" w14:textId="77777777" w:rsidR="00AA1980" w:rsidRDefault="00AA1980" w:rsidP="00AA1980">
      <w:pPr>
        <w:pStyle w:val="Body"/>
      </w:pPr>
      <w:r w:rsidRPr="7A5E3CE2">
        <w:t xml:space="preserve">The department contracts service </w:t>
      </w:r>
      <w:r w:rsidRPr="0092084E">
        <w:t>provision</w:t>
      </w:r>
      <w:r w:rsidRPr="7A5E3CE2">
        <w:t xml:space="preserve"> for some programs to funded organisations using the Service Agreement</w:t>
      </w:r>
      <w:r>
        <w:t>. This</w:t>
      </w:r>
      <w:r w:rsidRPr="7A5E3CE2">
        <w:t xml:space="preserve"> provides standard terms and conditions for all funded </w:t>
      </w:r>
      <w:r>
        <w:t xml:space="preserve">service </w:t>
      </w:r>
      <w:r w:rsidRPr="7A5E3CE2">
        <w:t xml:space="preserve">organisations and the department’s requirements for delivery of each program it funds. </w:t>
      </w:r>
    </w:p>
    <w:p w14:paraId="5B158DA5" w14:textId="77777777" w:rsidR="00AA1980" w:rsidRPr="002A79AF" w:rsidRDefault="00AA1980" w:rsidP="00AA1980">
      <w:pPr>
        <w:pStyle w:val="Body"/>
      </w:pPr>
      <w:r w:rsidRPr="002A79AF">
        <w:t>Th</w:t>
      </w:r>
      <w:r>
        <w:t>is protocol will support the d</w:t>
      </w:r>
      <w:r w:rsidRPr="002A79AF">
        <w:t>epartment</w:t>
      </w:r>
      <w:r>
        <w:t>’s</w:t>
      </w:r>
      <w:r w:rsidRPr="002A79AF">
        <w:t xml:space="preserve"> role</w:t>
      </w:r>
      <w:r>
        <w:t xml:space="preserve"> as</w:t>
      </w:r>
      <w:r w:rsidRPr="002A79AF">
        <w:t>:</w:t>
      </w:r>
    </w:p>
    <w:p w14:paraId="64E7D03A" w14:textId="77777777" w:rsidR="00AA1980" w:rsidRPr="002A79AF" w:rsidRDefault="00AA1980" w:rsidP="00AA1980">
      <w:pPr>
        <w:pStyle w:val="Bullet1"/>
      </w:pPr>
      <w:r>
        <w:t>contract manager and service funder for many services in-scope of the Regulator</w:t>
      </w:r>
    </w:p>
    <w:p w14:paraId="2C2C2061" w14:textId="77777777" w:rsidR="00AA1980" w:rsidRDefault="00AA1980" w:rsidP="00AA1980">
      <w:pPr>
        <w:pStyle w:val="Bullet1"/>
      </w:pPr>
      <w:r w:rsidRPr="002A79AF">
        <w:t>system or market steward</w:t>
      </w:r>
      <w:r>
        <w:t xml:space="preserve"> for the social services sector</w:t>
      </w:r>
      <w:r w:rsidRPr="002A79AF">
        <w:t xml:space="preserve">, </w:t>
      </w:r>
      <w:r>
        <w:t>that</w:t>
      </w:r>
      <w:r w:rsidRPr="002A79AF">
        <w:t xml:space="preserve"> </w:t>
      </w:r>
      <w:r>
        <w:t>ensures</w:t>
      </w:r>
      <w:r w:rsidRPr="002A79AF">
        <w:t xml:space="preserve"> funding is effectively </w:t>
      </w:r>
      <w:r>
        <w:t>used</w:t>
      </w:r>
      <w:r w:rsidRPr="002A79AF">
        <w:t xml:space="preserve"> to achieve outcomes for the community</w:t>
      </w:r>
      <w:r>
        <w:t xml:space="preserve"> and oversees and manages system policies, infrastructure, performance, policy and planning. </w:t>
      </w:r>
    </w:p>
    <w:p w14:paraId="33E304E0" w14:textId="77777777" w:rsidR="00AA1980" w:rsidRDefault="00AA1980" w:rsidP="00AA1980">
      <w:pPr>
        <w:pStyle w:val="Heading3"/>
      </w:pPr>
      <w:r w:rsidRPr="00482805">
        <w:t xml:space="preserve">Department as a Service Provider </w:t>
      </w:r>
    </w:p>
    <w:p w14:paraId="273EE4D6" w14:textId="77777777" w:rsidR="00AA1980" w:rsidRPr="0082491B" w:rsidRDefault="00AA1980" w:rsidP="00AA1980">
      <w:pPr>
        <w:pStyle w:val="Body"/>
      </w:pPr>
      <w:r w:rsidRPr="0082491B">
        <w:t xml:space="preserve">This protocol does not relate to the department’s role as a registered service provider. </w:t>
      </w:r>
    </w:p>
    <w:p w14:paraId="32DDA8F4" w14:textId="77777777" w:rsidR="00AA1980" w:rsidRPr="009A0E9E" w:rsidRDefault="00AA1980" w:rsidP="00AA1980">
      <w:pPr>
        <w:pStyle w:val="Body"/>
        <w:rPr>
          <w:rFonts w:cs="Arial"/>
          <w:szCs w:val="21"/>
        </w:rPr>
      </w:pPr>
      <w:r w:rsidRPr="009A0E9E">
        <w:rPr>
          <w:rFonts w:cs="Arial"/>
          <w:szCs w:val="21"/>
        </w:rPr>
        <w:t xml:space="preserve">The department’s provision of information to the Regulator as a service provider will be governed by the legislative requirements and guidance that apply to all service providers. </w:t>
      </w:r>
      <w:r>
        <w:rPr>
          <w:rFonts w:cs="Arial"/>
          <w:szCs w:val="21"/>
        </w:rPr>
        <w:t xml:space="preserve">Serious incidents occurring during service provision by the department will be reported through the Client Incident Notification System (CIMS) in accordance with the CIMS Policy. </w:t>
      </w:r>
    </w:p>
    <w:p w14:paraId="7CA76FDB" w14:textId="77777777" w:rsidR="00AA1980" w:rsidRPr="009A0E9E" w:rsidDel="008043A0" w:rsidRDefault="00AA1980" w:rsidP="00AA1980">
      <w:pPr>
        <w:pStyle w:val="Body"/>
        <w:rPr>
          <w:rFonts w:cs="Arial"/>
          <w:szCs w:val="21"/>
          <w:lang w:val="en-GB"/>
        </w:rPr>
      </w:pPr>
      <w:r w:rsidRPr="009A0E9E" w:rsidDel="008043A0">
        <w:rPr>
          <w:rFonts w:cs="Arial"/>
          <w:szCs w:val="21"/>
        </w:rPr>
        <w:t xml:space="preserve">In its provision of services, the department is also bound by requirements as a government department under legislation, including the </w:t>
      </w:r>
      <w:r w:rsidRPr="007A4DF7" w:rsidDel="008043A0">
        <w:rPr>
          <w:rFonts w:cs="Arial"/>
          <w:i/>
          <w:iCs/>
          <w:szCs w:val="21"/>
        </w:rPr>
        <w:t>Financial Management Act 2004</w:t>
      </w:r>
      <w:r w:rsidRPr="009A0E9E" w:rsidDel="008043A0">
        <w:rPr>
          <w:rFonts w:cs="Arial"/>
          <w:szCs w:val="21"/>
        </w:rPr>
        <w:t xml:space="preserve"> and </w:t>
      </w:r>
      <w:r w:rsidRPr="009A0E9E" w:rsidDel="008043A0">
        <w:rPr>
          <w:rFonts w:cs="Arial"/>
          <w:i/>
          <w:iCs/>
          <w:szCs w:val="21"/>
          <w:lang w:val="en-GB"/>
        </w:rPr>
        <w:t>Privacy and Data Protection Act 2014</w:t>
      </w:r>
      <w:r w:rsidDel="008043A0">
        <w:rPr>
          <w:rFonts w:cs="Arial"/>
          <w:i/>
          <w:iCs/>
          <w:szCs w:val="21"/>
          <w:lang w:val="en-GB"/>
        </w:rPr>
        <w:t xml:space="preserve">. </w:t>
      </w:r>
      <w:r w:rsidRPr="004655D2" w:rsidDel="008043A0">
        <w:rPr>
          <w:rFonts w:cs="Arial"/>
          <w:szCs w:val="21"/>
          <w:lang w:val="en-GB"/>
        </w:rPr>
        <w:t>The department is accountable</w:t>
      </w:r>
      <w:r w:rsidDel="008043A0">
        <w:rPr>
          <w:rFonts w:cs="Arial"/>
          <w:szCs w:val="21"/>
          <w:lang w:val="en-GB"/>
        </w:rPr>
        <w:t xml:space="preserve"> to Parliament and its delivery of services scrutinised through processes including the Public Accounts and Estimates Committee Hearings,</w:t>
      </w:r>
    </w:p>
    <w:p w14:paraId="3E7B0EE2" w14:textId="77777777" w:rsidR="00AA1980" w:rsidRPr="002A79AF" w:rsidRDefault="00AA1980" w:rsidP="00AA1980">
      <w:pPr>
        <w:pStyle w:val="Heading2"/>
      </w:pPr>
      <w:bookmarkStart w:id="4" w:name="_Toc191294902"/>
      <w:r w:rsidRPr="002A79AF">
        <w:t>Why share information?</w:t>
      </w:r>
      <w:bookmarkEnd w:id="4"/>
      <w:r w:rsidRPr="002A79AF">
        <w:t xml:space="preserve"> </w:t>
      </w:r>
    </w:p>
    <w:p w14:paraId="11F6C45A" w14:textId="2387E3A4" w:rsidR="00AA1980" w:rsidRDefault="00AA1980" w:rsidP="00AA1980">
      <w:pPr>
        <w:pStyle w:val="Body"/>
      </w:pPr>
      <w:r w:rsidRPr="002A79AF">
        <w:t xml:space="preserve">The Regulator and the </w:t>
      </w:r>
      <w:r>
        <w:t>d</w:t>
      </w:r>
      <w:r w:rsidRPr="002A79AF">
        <w:t xml:space="preserve">epartment recognise they </w:t>
      </w:r>
      <w:r>
        <w:t>both have</w:t>
      </w:r>
      <w:r w:rsidRPr="002A79AF">
        <w:t xml:space="preserve"> responsibilities</w:t>
      </w:r>
      <w:r>
        <w:t xml:space="preserve"> when</w:t>
      </w:r>
      <w:r w:rsidRPr="002A79AF">
        <w:t xml:space="preserve"> the rights, safety and wellbeing of Victorian</w:t>
      </w:r>
      <w:r>
        <w:t xml:space="preserve"> social service user</w:t>
      </w:r>
      <w:r w:rsidRPr="002A79AF">
        <w:t>s</w:t>
      </w:r>
      <w:r>
        <w:t xml:space="preserve"> is at risk</w:t>
      </w:r>
      <w:r w:rsidRPr="002A79AF">
        <w:t xml:space="preserve">. </w:t>
      </w:r>
      <w:r>
        <w:t xml:space="preserve">The objectives of the Regulator and the responsibilities of the </w:t>
      </w:r>
      <w:r w:rsidR="00A36939">
        <w:t>d</w:t>
      </w:r>
      <w:r>
        <w:t xml:space="preserve">epartment will both be supported by sharing of information, within any legislative restrictions. </w:t>
      </w:r>
    </w:p>
    <w:p w14:paraId="42D778C7" w14:textId="77777777" w:rsidR="00AA1980" w:rsidRDefault="00AA1980" w:rsidP="00AA1980">
      <w:pPr>
        <w:pStyle w:val="Body"/>
      </w:pPr>
      <w:r>
        <w:t>The</w:t>
      </w:r>
      <w:r w:rsidRPr="002A79AF">
        <w:t xml:space="preserve"> </w:t>
      </w:r>
      <w:r>
        <w:t xml:space="preserve">Regulator and the department may </w:t>
      </w:r>
      <w:r w:rsidRPr="002A79AF">
        <w:t>shar</w:t>
      </w:r>
      <w:r>
        <w:t>e</w:t>
      </w:r>
      <w:r w:rsidRPr="002A79AF">
        <w:t xml:space="preserve"> information</w:t>
      </w:r>
      <w:r>
        <w:t xml:space="preserve"> with each other</w:t>
      </w:r>
      <w:r w:rsidRPr="002A79AF">
        <w:t xml:space="preserve"> to</w:t>
      </w:r>
      <w:r>
        <w:t>:</w:t>
      </w:r>
    </w:p>
    <w:p w14:paraId="5F413A17" w14:textId="77777777" w:rsidR="00AA1980" w:rsidRDefault="00AA1980" w:rsidP="00AA1980">
      <w:pPr>
        <w:pStyle w:val="Bullet1"/>
      </w:pPr>
      <w:r w:rsidRPr="002A79AF">
        <w:t xml:space="preserve">effectively use </w:t>
      </w:r>
      <w:r>
        <w:t>r</w:t>
      </w:r>
      <w:r w:rsidRPr="002A79AF">
        <w:t>egulatory intelligence</w:t>
      </w:r>
    </w:p>
    <w:p w14:paraId="645E6F5A" w14:textId="77777777" w:rsidR="00AA1980" w:rsidRDefault="00AA1980" w:rsidP="00AA1980">
      <w:pPr>
        <w:pStyle w:val="Bullet1"/>
      </w:pPr>
      <w:r w:rsidRPr="002A79AF">
        <w:t xml:space="preserve">reduce </w:t>
      </w:r>
      <w:r>
        <w:t>r</w:t>
      </w:r>
      <w:r w:rsidRPr="002A79AF">
        <w:t xml:space="preserve">egulatory </w:t>
      </w:r>
      <w:r>
        <w:t xml:space="preserve">and reporting </w:t>
      </w:r>
      <w:r w:rsidRPr="002A79AF">
        <w:t>burden</w:t>
      </w:r>
      <w:r>
        <w:t xml:space="preserve"> for service providers</w:t>
      </w:r>
    </w:p>
    <w:p w14:paraId="15E2B839" w14:textId="77777777" w:rsidR="00AA1980" w:rsidRDefault="00AA1980" w:rsidP="00AA1980">
      <w:pPr>
        <w:pStyle w:val="Bullet1"/>
      </w:pPr>
      <w:r w:rsidRPr="002A79AF">
        <w:t>coordinate government responses to social services</w:t>
      </w:r>
      <w:r>
        <w:t>, and</w:t>
      </w:r>
    </w:p>
    <w:p w14:paraId="35C22518" w14:textId="77777777" w:rsidR="00AA1980" w:rsidRDefault="00AA1980" w:rsidP="00AA1980">
      <w:pPr>
        <w:pStyle w:val="Bullet1"/>
      </w:pPr>
      <w:r>
        <w:t xml:space="preserve">support functions under the SSR Act.  </w:t>
      </w:r>
    </w:p>
    <w:p w14:paraId="7415E102" w14:textId="77777777" w:rsidR="00AA1980" w:rsidRDefault="00AA1980" w:rsidP="00AA1980">
      <w:pPr>
        <w:pStyle w:val="Body"/>
        <w:spacing w:before="240"/>
      </w:pPr>
      <w:r>
        <w:t xml:space="preserve">The Regulator and the department have different roles and responsibilities in relation to the provision of social services. Sharing information will not affect the ability of </w:t>
      </w:r>
      <w:r w:rsidRPr="0E06A029">
        <w:t xml:space="preserve">the Regulator and the department </w:t>
      </w:r>
      <w:r>
        <w:t>to act independently to fulfill their responsibilities.</w:t>
      </w:r>
    </w:p>
    <w:p w14:paraId="0665FB06" w14:textId="55594805" w:rsidR="00AA1980" w:rsidRPr="002A79AF" w:rsidRDefault="00AA1980" w:rsidP="00AA1980">
      <w:pPr>
        <w:pStyle w:val="Heading1"/>
      </w:pPr>
      <w:bookmarkStart w:id="5" w:name="_Toc191294903"/>
      <w:r w:rsidRPr="00887B79">
        <w:t>Governing</w:t>
      </w:r>
      <w:r w:rsidRPr="002A79AF">
        <w:t xml:space="preserve"> </w:t>
      </w:r>
      <w:r w:rsidR="00DB4454">
        <w:t>l</w:t>
      </w:r>
      <w:r w:rsidRPr="002A79AF">
        <w:t>egislation</w:t>
      </w:r>
      <w:bookmarkEnd w:id="5"/>
    </w:p>
    <w:p w14:paraId="115BBADF" w14:textId="77777777" w:rsidR="00AA1980" w:rsidRPr="002A79AF" w:rsidRDefault="00AA1980" w:rsidP="00AA1980">
      <w:pPr>
        <w:pStyle w:val="Body"/>
        <w:rPr>
          <w:lang w:val="en-GB"/>
        </w:rPr>
      </w:pPr>
      <w:r w:rsidRPr="002A79AF">
        <w:rPr>
          <w:lang w:val="en-GB"/>
        </w:rPr>
        <w:t xml:space="preserve">The </w:t>
      </w:r>
      <w:r w:rsidRPr="002A79AF">
        <w:rPr>
          <w:lang w:eastAsia="en-AU"/>
        </w:rPr>
        <w:t xml:space="preserve">Social Services Regulation </w:t>
      </w:r>
      <w:r>
        <w:rPr>
          <w:lang w:eastAsia="en-AU"/>
        </w:rPr>
        <w:t xml:space="preserve">Scheme is established in </w:t>
      </w:r>
      <w:r w:rsidRPr="002A79AF">
        <w:rPr>
          <w:lang w:val="en-GB"/>
        </w:rPr>
        <w:t>the following legislation and regulations:</w:t>
      </w:r>
    </w:p>
    <w:p w14:paraId="071CBE81" w14:textId="77777777" w:rsidR="00AA1980" w:rsidRPr="002A79AF" w:rsidRDefault="00AA1980" w:rsidP="00AA1980">
      <w:pPr>
        <w:pStyle w:val="Bullet1"/>
        <w:rPr>
          <w:i/>
          <w:iCs/>
          <w:lang w:val="en-GB"/>
        </w:rPr>
      </w:pPr>
      <w:r w:rsidRPr="002A79AF">
        <w:rPr>
          <w:i/>
          <w:iCs/>
          <w:lang w:val="en-GB"/>
        </w:rPr>
        <w:t>Social Service Regulation Act 2021</w:t>
      </w:r>
    </w:p>
    <w:p w14:paraId="74C504E5" w14:textId="77777777" w:rsidR="00AA1980" w:rsidRPr="002A79AF" w:rsidRDefault="00AA1980" w:rsidP="00AA1980">
      <w:pPr>
        <w:pStyle w:val="Bullet1"/>
        <w:rPr>
          <w:i/>
          <w:iCs/>
          <w:lang w:val="en-GB"/>
        </w:rPr>
      </w:pPr>
      <w:r w:rsidRPr="002A79AF">
        <w:rPr>
          <w:i/>
          <w:iCs/>
          <w:lang w:val="en-GB"/>
        </w:rPr>
        <w:t>Social Services Regulations 2023</w:t>
      </w:r>
    </w:p>
    <w:p w14:paraId="4559C193" w14:textId="77777777" w:rsidR="00AA1980" w:rsidRPr="002A79AF" w:rsidRDefault="00AA1980" w:rsidP="00AA1980">
      <w:pPr>
        <w:pStyle w:val="Bullet1"/>
        <w:rPr>
          <w:i/>
          <w:iCs/>
          <w:lang w:val="en-GB"/>
        </w:rPr>
      </w:pPr>
      <w:r w:rsidRPr="002A79AF">
        <w:rPr>
          <w:i/>
          <w:iCs/>
          <w:lang w:val="en-GB"/>
        </w:rPr>
        <w:t>Social Services Regulation Transitional Regulations 2023</w:t>
      </w:r>
    </w:p>
    <w:p w14:paraId="1F63EBF6" w14:textId="77777777" w:rsidR="00AA1980" w:rsidRPr="0082491B" w:rsidRDefault="00AA1980" w:rsidP="00AA1980">
      <w:pPr>
        <w:pStyle w:val="Bullet1"/>
        <w:rPr>
          <w:i/>
          <w:iCs/>
          <w:lang w:val="en-GB"/>
        </w:rPr>
      </w:pPr>
      <w:r w:rsidRPr="002A79AF">
        <w:rPr>
          <w:i/>
          <w:iCs/>
          <w:lang w:val="en-GB"/>
        </w:rPr>
        <w:t>Social Services (Supported Residential Services) Regulations 2024</w:t>
      </w:r>
      <w:r w:rsidRPr="0E06A029">
        <w:rPr>
          <w:i/>
          <w:iCs/>
          <w:lang w:val="en-GB"/>
        </w:rPr>
        <w:t>.</w:t>
      </w:r>
    </w:p>
    <w:p w14:paraId="576001C0" w14:textId="77777777" w:rsidR="00AA1980" w:rsidRPr="002A79AF" w:rsidRDefault="00AA1980" w:rsidP="00AA1980">
      <w:pPr>
        <w:pStyle w:val="Body"/>
        <w:spacing w:before="240"/>
        <w:rPr>
          <w:lang w:val="en-GB"/>
        </w:rPr>
      </w:pPr>
      <w:r w:rsidRPr="002A79AF">
        <w:rPr>
          <w:lang w:val="en-GB"/>
        </w:rPr>
        <w:t xml:space="preserve">The </w:t>
      </w:r>
      <w:r w:rsidRPr="0E06A029">
        <w:rPr>
          <w:lang w:val="en-GB"/>
        </w:rPr>
        <w:t xml:space="preserve">Regulator and the </w:t>
      </w:r>
      <w:r>
        <w:rPr>
          <w:lang w:val="en-GB"/>
        </w:rPr>
        <w:t>d</w:t>
      </w:r>
      <w:r w:rsidRPr="002A79AF">
        <w:rPr>
          <w:lang w:val="en-GB"/>
        </w:rPr>
        <w:t>epartment are also subject to</w:t>
      </w:r>
      <w:r>
        <w:rPr>
          <w:lang w:val="en-GB"/>
        </w:rPr>
        <w:t xml:space="preserve"> </w:t>
      </w:r>
      <w:r w:rsidRPr="002A79AF">
        <w:rPr>
          <w:lang w:val="en-GB"/>
        </w:rPr>
        <w:t>the following legislation:</w:t>
      </w:r>
    </w:p>
    <w:p w14:paraId="1930043C" w14:textId="77777777" w:rsidR="00AA1980" w:rsidRPr="002A79AF" w:rsidRDefault="00AA1980" w:rsidP="00AA1980">
      <w:pPr>
        <w:pStyle w:val="Bullet1"/>
        <w:rPr>
          <w:i/>
          <w:iCs/>
          <w:lang w:val="en-GB"/>
        </w:rPr>
      </w:pPr>
      <w:r w:rsidRPr="002A79AF">
        <w:rPr>
          <w:i/>
          <w:iCs/>
          <w:lang w:val="en-GB"/>
        </w:rPr>
        <w:t>Privacy and Data Protection Act 2014</w:t>
      </w:r>
    </w:p>
    <w:p w14:paraId="621F3156" w14:textId="77777777" w:rsidR="00AA1980" w:rsidRPr="002A79AF" w:rsidRDefault="00AA1980" w:rsidP="00AA1980">
      <w:pPr>
        <w:pStyle w:val="Bullet1"/>
        <w:rPr>
          <w:i/>
          <w:iCs/>
          <w:lang w:val="en-GB"/>
        </w:rPr>
      </w:pPr>
      <w:r w:rsidRPr="002A79AF">
        <w:rPr>
          <w:i/>
          <w:iCs/>
          <w:lang w:val="en-GB"/>
        </w:rPr>
        <w:t>Health Records Act 2001</w:t>
      </w:r>
    </w:p>
    <w:p w14:paraId="61B48B47" w14:textId="77777777" w:rsidR="00AA1980" w:rsidRPr="002A79AF" w:rsidRDefault="00AA1980" w:rsidP="00AA1980">
      <w:pPr>
        <w:pStyle w:val="Bullet1"/>
        <w:rPr>
          <w:i/>
          <w:iCs/>
          <w:lang w:val="en-GB"/>
        </w:rPr>
      </w:pPr>
      <w:r w:rsidRPr="002A79AF">
        <w:rPr>
          <w:i/>
          <w:iCs/>
          <w:lang w:val="en-GB"/>
        </w:rPr>
        <w:t>Charter of Human Rights and Responsibilities Act 2006</w:t>
      </w:r>
    </w:p>
    <w:p w14:paraId="6650173B" w14:textId="77777777" w:rsidR="00AA1980" w:rsidRDefault="00AA1980" w:rsidP="00AA1980">
      <w:pPr>
        <w:pStyle w:val="Bullet1"/>
        <w:rPr>
          <w:i/>
          <w:iCs/>
          <w:lang w:val="en-GB"/>
        </w:rPr>
      </w:pPr>
      <w:r w:rsidRPr="5BD92BE1">
        <w:rPr>
          <w:i/>
          <w:iCs/>
          <w:lang w:val="en-GB"/>
        </w:rPr>
        <w:t xml:space="preserve">Children Youth and Families Act 2005 </w:t>
      </w:r>
    </w:p>
    <w:p w14:paraId="2998169D" w14:textId="77777777" w:rsidR="00AA1980" w:rsidRDefault="00AA1980" w:rsidP="00AA1980">
      <w:pPr>
        <w:pStyle w:val="Bullet1"/>
        <w:rPr>
          <w:i/>
          <w:iCs/>
          <w:lang w:val="en-GB"/>
        </w:rPr>
      </w:pPr>
      <w:r w:rsidRPr="5BD92BE1">
        <w:rPr>
          <w:i/>
          <w:iCs/>
          <w:lang w:val="en-GB"/>
        </w:rPr>
        <w:t>Family Violence Protection Act 1988</w:t>
      </w:r>
    </w:p>
    <w:p w14:paraId="4AA85941" w14:textId="77777777" w:rsidR="00AA1980" w:rsidRDefault="00AA1980" w:rsidP="00AA1980">
      <w:pPr>
        <w:pStyle w:val="Bullet1"/>
        <w:rPr>
          <w:i/>
          <w:iCs/>
          <w:lang w:val="en-GB"/>
        </w:rPr>
      </w:pPr>
      <w:r w:rsidRPr="5BD92BE1">
        <w:rPr>
          <w:i/>
          <w:iCs/>
          <w:lang w:val="en-GB"/>
        </w:rPr>
        <w:t>Child Wellbeing and Safety Act 2005</w:t>
      </w:r>
    </w:p>
    <w:p w14:paraId="3774F2BF" w14:textId="77777777" w:rsidR="00AA1980" w:rsidRPr="002A79AF" w:rsidRDefault="00AA1980" w:rsidP="00AA1980">
      <w:pPr>
        <w:pStyle w:val="Bullet1"/>
        <w:rPr>
          <w:i/>
          <w:iCs/>
          <w:lang w:val="en-GB"/>
        </w:rPr>
      </w:pPr>
      <w:r w:rsidRPr="002A79AF">
        <w:rPr>
          <w:i/>
          <w:iCs/>
          <w:lang w:val="en-GB"/>
        </w:rPr>
        <w:t>Freedom of Information Act 1982</w:t>
      </w:r>
    </w:p>
    <w:p w14:paraId="1C9164F4" w14:textId="77777777" w:rsidR="00AA1980" w:rsidRPr="002A79AF" w:rsidRDefault="00AA1980" w:rsidP="00AA1980">
      <w:pPr>
        <w:pStyle w:val="Bullet1"/>
        <w:rPr>
          <w:i/>
          <w:iCs/>
          <w:lang w:val="en-GB"/>
        </w:rPr>
      </w:pPr>
      <w:r w:rsidRPr="002A79AF">
        <w:rPr>
          <w:i/>
          <w:iCs/>
          <w:lang w:val="en-GB"/>
        </w:rPr>
        <w:t>Victorian Data Sharing Act 2017</w:t>
      </w:r>
    </w:p>
    <w:p w14:paraId="10DA96C5" w14:textId="77777777" w:rsidR="00AA1980" w:rsidRPr="002A79AF" w:rsidRDefault="00AA1980" w:rsidP="00AA1980">
      <w:pPr>
        <w:pStyle w:val="Bullet1"/>
        <w:rPr>
          <w:i/>
          <w:iCs/>
          <w:lang w:val="en-GB"/>
        </w:rPr>
      </w:pPr>
      <w:r w:rsidRPr="002A79AF">
        <w:rPr>
          <w:i/>
          <w:iCs/>
          <w:lang w:val="en-GB"/>
        </w:rPr>
        <w:t>Public Records Act 1973</w:t>
      </w:r>
    </w:p>
    <w:p w14:paraId="2CD6CAE6" w14:textId="77777777" w:rsidR="00AA1980" w:rsidRPr="002A79AF" w:rsidRDefault="00AA1980" w:rsidP="00AA1980">
      <w:pPr>
        <w:pStyle w:val="Heading2"/>
      </w:pPr>
      <w:bookmarkStart w:id="6" w:name="_Toc191294904"/>
      <w:r w:rsidRPr="002A79AF">
        <w:t xml:space="preserve">Information sharing provisions under the </w:t>
      </w:r>
      <w:r>
        <w:t xml:space="preserve">SSR </w:t>
      </w:r>
      <w:r w:rsidRPr="002A79AF">
        <w:t>Act</w:t>
      </w:r>
      <w:bookmarkEnd w:id="6"/>
    </w:p>
    <w:p w14:paraId="4732B065" w14:textId="77777777" w:rsidR="00AA1980" w:rsidRPr="002A79AF" w:rsidRDefault="00AA1980" w:rsidP="00AA1980">
      <w:pPr>
        <w:pStyle w:val="Body"/>
      </w:pPr>
      <w:r w:rsidRPr="002A79AF">
        <w:t xml:space="preserve">Information sharing is a key part of the Social Services Regulation Scheme. </w:t>
      </w:r>
    </w:p>
    <w:p w14:paraId="7EA60088" w14:textId="77777777" w:rsidR="00AA1980" w:rsidRDefault="00AA1980" w:rsidP="00AA1980">
      <w:pPr>
        <w:pStyle w:val="Body"/>
      </w:pPr>
      <w:r>
        <w:t xml:space="preserve">The SSR Act outlines: </w:t>
      </w:r>
    </w:p>
    <w:p w14:paraId="416F6C8C" w14:textId="77777777" w:rsidR="00AA1980" w:rsidRDefault="00AA1980" w:rsidP="00AA1980">
      <w:pPr>
        <w:pStyle w:val="Bullet1"/>
      </w:pPr>
      <w:r>
        <w:t>how the Regulator can collect, disclose and use information.</w:t>
      </w:r>
    </w:p>
    <w:p w14:paraId="6AA41C89" w14:textId="77777777" w:rsidR="00AA1980" w:rsidRDefault="00AA1980" w:rsidP="00AA1980">
      <w:pPr>
        <w:pStyle w:val="Bullet1"/>
      </w:pPr>
      <w:r>
        <w:t>a list of the principles the Regulator, and agencies, including the department, must consider when carrying out a function or exercising powers under the SSR Act.</w:t>
      </w:r>
    </w:p>
    <w:p w14:paraId="34E7A044" w14:textId="77777777" w:rsidR="00AA1980" w:rsidRDefault="00AA1980" w:rsidP="00AA1980">
      <w:pPr>
        <w:pStyle w:val="Bullet1"/>
      </w:pPr>
      <w:r>
        <w:t xml:space="preserve">that the Regulator and the department must comply with privacy laws but give precedence to the wellbeing and safety of service users over the right to privacy. </w:t>
      </w:r>
    </w:p>
    <w:p w14:paraId="34FC2B24" w14:textId="77777777" w:rsidR="00AA1980" w:rsidRPr="002A79AF" w:rsidRDefault="00AA1980" w:rsidP="00AA1980">
      <w:pPr>
        <w:pStyle w:val="Bullet1"/>
      </w:pPr>
      <w:proofErr w:type="gramStart"/>
      <w:r>
        <w:t>that a</w:t>
      </w:r>
      <w:r w:rsidRPr="002A79AF">
        <w:t>gencies</w:t>
      </w:r>
      <w:proofErr w:type="gramEnd"/>
      <w:r w:rsidRPr="002A79AF">
        <w:t xml:space="preserve">, including the </w:t>
      </w:r>
      <w:r>
        <w:t>d</w:t>
      </w:r>
      <w:r w:rsidRPr="002A79AF">
        <w:t>epartment, must reasonably assist the Regulator in the performance of their functions and take reasonable steps to provide the Regulator with information it holds that may be relevant to the Regulator's functions</w:t>
      </w:r>
      <w:r>
        <w:t>.</w:t>
      </w:r>
    </w:p>
    <w:p w14:paraId="490FE722" w14:textId="77777777" w:rsidR="00AA1980" w:rsidRPr="0066569A" w:rsidRDefault="00AA1980" w:rsidP="00EA1E6C">
      <w:pPr>
        <w:pStyle w:val="Bullet1"/>
        <w:rPr>
          <w:szCs w:val="21"/>
        </w:rPr>
      </w:pPr>
      <w:proofErr w:type="gramStart"/>
      <w:r>
        <w:rPr>
          <w:szCs w:val="21"/>
        </w:rPr>
        <w:t>that a</w:t>
      </w:r>
      <w:r w:rsidRPr="0E06A029">
        <w:rPr>
          <w:szCs w:val="21"/>
        </w:rPr>
        <w:t>gencies</w:t>
      </w:r>
      <w:proofErr w:type="gramEnd"/>
      <w:r w:rsidRPr="0E06A029">
        <w:rPr>
          <w:szCs w:val="21"/>
        </w:rPr>
        <w:t xml:space="preserve">, including the department, may provide information if reasonably satisfied that the information is reasonably required for the </w:t>
      </w:r>
      <w:r w:rsidRPr="00EA1E6C">
        <w:t>performance</w:t>
      </w:r>
      <w:r w:rsidRPr="0E06A029">
        <w:rPr>
          <w:szCs w:val="21"/>
        </w:rPr>
        <w:t xml:space="preserve"> of the Regulator’s functions.</w:t>
      </w:r>
    </w:p>
    <w:p w14:paraId="0222E224" w14:textId="77777777" w:rsidR="00AA1980" w:rsidRDefault="00AA1980" w:rsidP="00AA1980">
      <w:pPr>
        <w:pStyle w:val="Bullet1"/>
      </w:pPr>
      <w:r>
        <w:t>that t</w:t>
      </w:r>
      <w:r w:rsidRPr="002A79AF">
        <w:t xml:space="preserve">he Regulator </w:t>
      </w:r>
      <w:r w:rsidRPr="0066569A">
        <w:t>is permitted to</w:t>
      </w:r>
      <w:r w:rsidRPr="002A79AF">
        <w:t xml:space="preserve"> share information with </w:t>
      </w:r>
      <w:r>
        <w:t>a</w:t>
      </w:r>
      <w:r w:rsidRPr="002A79AF">
        <w:t xml:space="preserve">gencies, </w:t>
      </w:r>
      <w:r>
        <w:t xml:space="preserve">including </w:t>
      </w:r>
      <w:r w:rsidRPr="002A79AF">
        <w:t xml:space="preserve">the </w:t>
      </w:r>
      <w:r>
        <w:t>d</w:t>
      </w:r>
      <w:r w:rsidRPr="002A79AF">
        <w:t xml:space="preserve">epartment, </w:t>
      </w:r>
      <w:r>
        <w:t>when</w:t>
      </w:r>
      <w:r w:rsidRPr="002A79AF">
        <w:t xml:space="preserve"> required </w:t>
      </w:r>
      <w:r>
        <w:t>to</w:t>
      </w:r>
      <w:r w:rsidRPr="002A79AF">
        <w:t xml:space="preserve"> perform a function that relates to the safe delivery of social services or the protection of service users under the law. </w:t>
      </w:r>
    </w:p>
    <w:p w14:paraId="0F4A29F1" w14:textId="77777777" w:rsidR="00AA1980" w:rsidRPr="002A79AF" w:rsidRDefault="00AA1980" w:rsidP="00AA1980">
      <w:pPr>
        <w:pStyle w:val="Heading1"/>
      </w:pPr>
      <w:bookmarkStart w:id="7" w:name="_Toc191294905"/>
      <w:r w:rsidRPr="002A79AF">
        <w:t>General principles</w:t>
      </w:r>
      <w:bookmarkEnd w:id="7"/>
      <w:r w:rsidRPr="002A79AF">
        <w:t xml:space="preserve"> </w:t>
      </w:r>
    </w:p>
    <w:p w14:paraId="2B37B222" w14:textId="77777777" w:rsidR="00AA1980" w:rsidRPr="002A79AF" w:rsidRDefault="00AA1980" w:rsidP="00AA1980">
      <w:pPr>
        <w:pStyle w:val="Body"/>
      </w:pPr>
      <w:r w:rsidRPr="002A79AF">
        <w:t xml:space="preserve">The guiding principles </w:t>
      </w:r>
      <w:r>
        <w:t xml:space="preserve">of this protocol </w:t>
      </w:r>
      <w:r w:rsidRPr="002A79AF">
        <w:t xml:space="preserve">under which the information will be shared between the Regulator and the </w:t>
      </w:r>
      <w:r>
        <w:t>d</w:t>
      </w:r>
      <w:r w:rsidRPr="002A79AF">
        <w:t xml:space="preserve">epartment are as follows: </w:t>
      </w:r>
    </w:p>
    <w:p w14:paraId="12B999F2" w14:textId="77777777" w:rsidR="00AA1980" w:rsidRDefault="00AA1980" w:rsidP="00033A49">
      <w:pPr>
        <w:pStyle w:val="Numberloweralpha"/>
      </w:pPr>
      <w:r>
        <w:t xml:space="preserve">When possible, the Regulator will obtain information about service providers within its remit and funded by the department directly from the department’s </w:t>
      </w:r>
      <w:r w:rsidRPr="002A79AF">
        <w:t>systems</w:t>
      </w:r>
      <w:r>
        <w:t>.</w:t>
      </w:r>
    </w:p>
    <w:p w14:paraId="75539959" w14:textId="77777777" w:rsidR="00AA1980" w:rsidRDefault="00AA1980" w:rsidP="00033A49">
      <w:pPr>
        <w:pStyle w:val="Numberloweralpha"/>
      </w:pPr>
      <w:r>
        <w:t>T</w:t>
      </w:r>
      <w:r w:rsidRPr="002A79AF">
        <w:t>h</w:t>
      </w:r>
      <w:r>
        <w:t>e Regulator and the department will access</w:t>
      </w:r>
      <w:r w:rsidRPr="002A79AF">
        <w:t xml:space="preserve"> publicly available information as required to meet some of their information needs</w:t>
      </w:r>
      <w:r>
        <w:t>.</w:t>
      </w:r>
    </w:p>
    <w:p w14:paraId="232EF3A1" w14:textId="77777777" w:rsidR="00AA1980" w:rsidRDefault="00AA1980" w:rsidP="00033A49">
      <w:pPr>
        <w:pStyle w:val="Numberloweralpha"/>
      </w:pPr>
      <w:r>
        <w:t>The Regulator and the department will act in accordance with the guiding principles in relation to reducing regulatory burden and duplication.</w:t>
      </w:r>
    </w:p>
    <w:p w14:paraId="5B452A8C" w14:textId="77777777" w:rsidR="00AA1980" w:rsidRPr="002A79AF" w:rsidRDefault="00AA1980" w:rsidP="00033A49">
      <w:pPr>
        <w:pStyle w:val="Numberloweralpha"/>
      </w:pPr>
      <w:r>
        <w:t>The Regulator</w:t>
      </w:r>
      <w:r w:rsidRPr="002A79AF">
        <w:t xml:space="preserve"> and the </w:t>
      </w:r>
      <w:r>
        <w:t>d</w:t>
      </w:r>
      <w:r w:rsidRPr="002A79AF">
        <w:t xml:space="preserve">epartment will only ask for information that is </w:t>
      </w:r>
      <w:r>
        <w:t xml:space="preserve">reasonably </w:t>
      </w:r>
      <w:r w:rsidRPr="002A79AF">
        <w:t>required to undertake their respective roles and responsibilities</w:t>
      </w:r>
      <w:r>
        <w:t>.</w:t>
      </w:r>
    </w:p>
    <w:p w14:paraId="077E2C82" w14:textId="77777777" w:rsidR="00AA1980" w:rsidRPr="002A79AF" w:rsidRDefault="00AA1980" w:rsidP="00033A49">
      <w:pPr>
        <w:pStyle w:val="Numberloweralpha"/>
      </w:pPr>
      <w:r>
        <w:t>T</w:t>
      </w:r>
      <w:r w:rsidRPr="002A79AF">
        <w:t xml:space="preserve">he Regulator will monitor and enforce the legislative obligations on service providers to ensure they </w:t>
      </w:r>
      <w:r>
        <w:t>make notifications and respond to requests for information</w:t>
      </w:r>
      <w:r w:rsidRPr="002A79AF">
        <w:t xml:space="preserve"> where this is required under the </w:t>
      </w:r>
      <w:r>
        <w:t>SSR</w:t>
      </w:r>
      <w:r w:rsidRPr="002A79AF">
        <w:t xml:space="preserve"> Act</w:t>
      </w:r>
      <w:r>
        <w:t xml:space="preserve"> and associated</w:t>
      </w:r>
      <w:r w:rsidRPr="002A79AF">
        <w:t xml:space="preserve"> Regulations</w:t>
      </w:r>
      <w:r>
        <w:t>; or under the Child Safe Standards</w:t>
      </w:r>
      <w:r>
        <w:rPr>
          <w:rStyle w:val="FootnoteReference"/>
        </w:rPr>
        <w:footnoteReference w:id="6"/>
      </w:r>
      <w:r>
        <w:t>.</w:t>
      </w:r>
    </w:p>
    <w:p w14:paraId="0E7E1D12" w14:textId="77777777" w:rsidR="00AA1980" w:rsidRPr="002A79AF" w:rsidRDefault="00AA1980" w:rsidP="00033A49">
      <w:pPr>
        <w:pStyle w:val="Numberloweralpha"/>
      </w:pPr>
      <w:r>
        <w:t>Consideration will be given to Aboriginal data sovereignty principles and self-determination.</w:t>
      </w:r>
    </w:p>
    <w:p w14:paraId="172DE49A" w14:textId="77777777" w:rsidR="00AA1980" w:rsidRPr="002A79AF" w:rsidRDefault="00AA1980" w:rsidP="00033A49">
      <w:pPr>
        <w:pStyle w:val="Numberloweralpha"/>
      </w:pPr>
      <w:r>
        <w:t>T</w:t>
      </w:r>
      <w:r w:rsidRPr="002A79AF">
        <w:t xml:space="preserve">he Regulator and the </w:t>
      </w:r>
      <w:r>
        <w:t>d</w:t>
      </w:r>
      <w:r w:rsidRPr="002A79AF">
        <w:t>epartment will ensure, as far as practicable, that information shared is accurate</w:t>
      </w:r>
      <w:r>
        <w:t>.</w:t>
      </w:r>
    </w:p>
    <w:p w14:paraId="56A7B01A" w14:textId="77777777" w:rsidR="00AA1980" w:rsidRDefault="00AA1980" w:rsidP="00033A49">
      <w:pPr>
        <w:pStyle w:val="Numberloweralpha"/>
      </w:pPr>
      <w:r>
        <w:t xml:space="preserve">Information sharing requests will: </w:t>
      </w:r>
    </w:p>
    <w:p w14:paraId="7A1BAC36" w14:textId="77777777" w:rsidR="00AA1980" w:rsidRDefault="00AA1980" w:rsidP="00033A49">
      <w:pPr>
        <w:pStyle w:val="Bulletafternumbers1"/>
      </w:pPr>
      <w:r>
        <w:t>identify the specific legislative provision(s) authorising the sharing of the information requested</w:t>
      </w:r>
    </w:p>
    <w:p w14:paraId="12AA7A7F" w14:textId="77777777" w:rsidR="00AA1980" w:rsidRDefault="00AA1980" w:rsidP="00033A49">
      <w:pPr>
        <w:pStyle w:val="Bulletafternumbers1"/>
      </w:pPr>
      <w:r>
        <w:t>identify the specific legislative provision(s) containing the functions or powers which require the sharing of the information requested</w:t>
      </w:r>
    </w:p>
    <w:p w14:paraId="312A1CC0" w14:textId="77777777" w:rsidR="00AA1980" w:rsidRDefault="00AA1980" w:rsidP="00033A49">
      <w:pPr>
        <w:pStyle w:val="Bulletafternumbers1"/>
      </w:pPr>
      <w:r>
        <w:t>describe the purpose of the request noting why the information is reasonably required for the identified function or power</w:t>
      </w:r>
    </w:p>
    <w:p w14:paraId="379DB796" w14:textId="77777777" w:rsidR="00AA1980" w:rsidRPr="002A79AF" w:rsidRDefault="00AA1980" w:rsidP="00033A49">
      <w:pPr>
        <w:pStyle w:val="Numberloweralpha"/>
      </w:pPr>
      <w:r>
        <w:t>W</w:t>
      </w:r>
      <w:r w:rsidRPr="002A79AF">
        <w:t xml:space="preserve">here </w:t>
      </w:r>
      <w:r>
        <w:t>possible</w:t>
      </w:r>
      <w:r w:rsidRPr="002A79AF">
        <w:t>, information will be shared in writing</w:t>
      </w:r>
      <w:r>
        <w:t>.</w:t>
      </w:r>
    </w:p>
    <w:p w14:paraId="3898B40F" w14:textId="77777777" w:rsidR="00AA1980" w:rsidRPr="002A79AF" w:rsidRDefault="00AA1980" w:rsidP="00033A49">
      <w:pPr>
        <w:pStyle w:val="Numberloweralpha"/>
      </w:pPr>
      <w:r>
        <w:t xml:space="preserve">This agreement does not apply to the department in its role as a service provider. Information about the department’s service delivery will be shared with the Regulator in accordance with the Regulator’s requirements of service providers.  </w:t>
      </w:r>
    </w:p>
    <w:p w14:paraId="554070A0" w14:textId="77777777" w:rsidR="00AA1980" w:rsidRPr="002A79AF" w:rsidRDefault="00AA1980" w:rsidP="00AA1980">
      <w:pPr>
        <w:pStyle w:val="Heading1"/>
      </w:pPr>
      <w:bookmarkStart w:id="8" w:name="_Toc191294906"/>
      <w:r w:rsidRPr="002A79AF">
        <w:t>Information sharing</w:t>
      </w:r>
      <w:bookmarkEnd w:id="8"/>
      <w:r w:rsidRPr="002A79AF">
        <w:t xml:space="preserve"> </w:t>
      </w:r>
    </w:p>
    <w:p w14:paraId="242D876A" w14:textId="77777777" w:rsidR="00AA1980" w:rsidRPr="002A79AF" w:rsidRDefault="00AA1980" w:rsidP="00AA1980">
      <w:pPr>
        <w:pStyle w:val="Heading2"/>
      </w:pPr>
      <w:bookmarkStart w:id="9" w:name="_Toc191294907"/>
      <w:r w:rsidRPr="002A79AF">
        <w:t>Routine information sharing</w:t>
      </w:r>
      <w:bookmarkEnd w:id="9"/>
      <w:r w:rsidRPr="002A79AF">
        <w:t xml:space="preserve"> </w:t>
      </w:r>
    </w:p>
    <w:p w14:paraId="01B0A675" w14:textId="77777777" w:rsidR="00AA1980" w:rsidRPr="002A79AF" w:rsidRDefault="00AA1980" w:rsidP="00AA1980">
      <w:pPr>
        <w:pStyle w:val="Body"/>
      </w:pPr>
      <w:r w:rsidRPr="002A79AF">
        <w:t xml:space="preserve">This protocol sets out the information that will be routinely shared by the Regulator and the </w:t>
      </w:r>
      <w:r>
        <w:t>d</w:t>
      </w:r>
      <w:r w:rsidRPr="002A79AF">
        <w:t>epartment as part of their usual business</w:t>
      </w:r>
      <w:r>
        <w:t xml:space="preserve"> practices.</w:t>
      </w:r>
      <w:r w:rsidRPr="002A79AF">
        <w:t xml:space="preserve"> The parties will meet every t</w:t>
      </w:r>
      <w:r>
        <w:t>hree</w:t>
      </w:r>
      <w:r w:rsidRPr="002A79AF">
        <w:t xml:space="preserve"> months</w:t>
      </w:r>
      <w:r>
        <w:t>, at a minimum,</w:t>
      </w:r>
      <w:r w:rsidRPr="002A79AF">
        <w:t xml:space="preserve"> to discuss relevant regulatory </w:t>
      </w:r>
      <w:r>
        <w:t xml:space="preserve">and system oversight </w:t>
      </w:r>
      <w:r w:rsidRPr="002A79AF">
        <w:t xml:space="preserve">matters and share information and updates </w:t>
      </w:r>
      <w:r>
        <w:t>important</w:t>
      </w:r>
      <w:r w:rsidRPr="002A79AF">
        <w:t xml:space="preserve"> to the relationship. </w:t>
      </w:r>
    </w:p>
    <w:p w14:paraId="70EE8BC6" w14:textId="77777777" w:rsidR="00AA1980" w:rsidRDefault="00AA1980" w:rsidP="00AA1980">
      <w:pPr>
        <w:pStyle w:val="Body"/>
      </w:pPr>
      <w:r w:rsidRPr="0E06A029">
        <w:rPr>
          <w:b/>
          <w:bCs/>
        </w:rPr>
        <w:t>Addendum 1</w:t>
      </w:r>
      <w:r>
        <w:t xml:space="preserve"> sets out what information will be routinely shared between the Regulator and the department.</w:t>
      </w:r>
    </w:p>
    <w:p w14:paraId="0A7530C2" w14:textId="77777777" w:rsidR="00AA1980" w:rsidRPr="002A79AF" w:rsidRDefault="00AA1980" w:rsidP="00AA1980">
      <w:pPr>
        <w:pStyle w:val="Body"/>
      </w:pPr>
      <w:r>
        <w:t xml:space="preserve">In agreeing to Addendum 1, the department and the Regulator have considered the relevant information privacy principles and the Human Rights Charter. </w:t>
      </w:r>
    </w:p>
    <w:p w14:paraId="4CDC3667" w14:textId="77777777" w:rsidR="00AA1980" w:rsidRPr="00226E33" w:rsidRDefault="00AA1980" w:rsidP="00AA1980">
      <w:pPr>
        <w:pStyle w:val="Body"/>
      </w:pPr>
      <w:r w:rsidRPr="00226E33">
        <w:t>The department and the Regulator agree that the information that will be shared under Addendum 1 is reasonably necessary to be shared for the purposes of each party, and that there is no arbitrary or unjustified interference with a person’s right to privacy.</w:t>
      </w:r>
    </w:p>
    <w:p w14:paraId="371FE28A" w14:textId="77777777" w:rsidR="00AA1980" w:rsidRPr="002A79AF" w:rsidRDefault="00AA1980" w:rsidP="00AA1980">
      <w:pPr>
        <w:pStyle w:val="Heading2"/>
      </w:pPr>
      <w:bookmarkStart w:id="10" w:name="_Toc191294908"/>
      <w:r w:rsidRPr="002A79AF">
        <w:t>Information sharing in exceptional/ad hoc circumstances.</w:t>
      </w:r>
      <w:bookmarkEnd w:id="10"/>
    </w:p>
    <w:p w14:paraId="5D4288CB" w14:textId="77777777" w:rsidR="00AA1980" w:rsidRPr="002A79AF" w:rsidRDefault="00AA1980" w:rsidP="00AA1980">
      <w:pPr>
        <w:pStyle w:val="Body"/>
      </w:pPr>
      <w:r>
        <w:t>E</w:t>
      </w:r>
      <w:r w:rsidRPr="002A79AF">
        <w:t>xceptional and ad hoc circumstances</w:t>
      </w:r>
      <w:r>
        <w:t xml:space="preserve"> may arise</w:t>
      </w:r>
      <w:r w:rsidRPr="002A79AF">
        <w:t xml:space="preserve"> where </w:t>
      </w:r>
      <w:r>
        <w:t xml:space="preserve">urgent </w:t>
      </w:r>
      <w:r w:rsidRPr="002A79AF">
        <w:t xml:space="preserve">information sharing between the Regulator and the </w:t>
      </w:r>
      <w:r>
        <w:t>d</w:t>
      </w:r>
      <w:r w:rsidRPr="002A79AF">
        <w:t>epartment is required to minimise harm to</w:t>
      </w:r>
      <w:r>
        <w:t>,</w:t>
      </w:r>
      <w:r w:rsidRPr="002A79AF">
        <w:t xml:space="preserve"> and ensure the safety and wellbeing of</w:t>
      </w:r>
      <w:r>
        <w:t>, service users</w:t>
      </w:r>
      <w:r w:rsidRPr="002A79AF">
        <w:t xml:space="preserve">. </w:t>
      </w:r>
    </w:p>
    <w:p w14:paraId="5C86CA95" w14:textId="77777777" w:rsidR="00AA1980" w:rsidRDefault="00AA1980" w:rsidP="00AA1980">
      <w:pPr>
        <w:pStyle w:val="Body"/>
      </w:pPr>
      <w:r>
        <w:t xml:space="preserve">There may also be circumstances where information not included in Addendum 1 is required by either the department or the Regulator to enable it to fulfil its obligations. </w:t>
      </w:r>
    </w:p>
    <w:p w14:paraId="3A16931E" w14:textId="77777777" w:rsidR="00AA1980" w:rsidRDefault="00AA1980" w:rsidP="00AA1980">
      <w:pPr>
        <w:pStyle w:val="Body"/>
      </w:pPr>
      <w:r>
        <w:t>S</w:t>
      </w:r>
      <w:r w:rsidRPr="002A79AF">
        <w:t xml:space="preserve">ituations may </w:t>
      </w:r>
      <w:r>
        <w:t xml:space="preserve">also </w:t>
      </w:r>
      <w:r w:rsidRPr="002A79AF">
        <w:t xml:space="preserve">arise </w:t>
      </w:r>
      <w:r>
        <w:t>where,</w:t>
      </w:r>
      <w:r w:rsidRPr="002A79AF">
        <w:t xml:space="preserve"> to make a policy, program or </w:t>
      </w:r>
      <w:r>
        <w:t>r</w:t>
      </w:r>
      <w:r w:rsidRPr="002A79AF">
        <w:t xml:space="preserve">egulatory decision, or brief Ministers and senior </w:t>
      </w:r>
      <w:r>
        <w:t>departmental</w:t>
      </w:r>
      <w:r w:rsidRPr="002A79AF">
        <w:t xml:space="preserve"> executives</w:t>
      </w:r>
      <w:r>
        <w:t xml:space="preserve">, the Regulator or </w:t>
      </w:r>
      <w:r w:rsidRPr="002A79AF">
        <w:t xml:space="preserve">the </w:t>
      </w:r>
      <w:r>
        <w:t>d</w:t>
      </w:r>
      <w:r w:rsidRPr="002A79AF">
        <w:t xml:space="preserve">epartment </w:t>
      </w:r>
      <w:r>
        <w:t>may require access to information not listed in this document.</w:t>
      </w:r>
    </w:p>
    <w:p w14:paraId="0F16A956" w14:textId="77777777" w:rsidR="00AA1980" w:rsidRDefault="00AA1980" w:rsidP="00AA1980">
      <w:pPr>
        <w:pStyle w:val="Body"/>
      </w:pPr>
      <w:r w:rsidRPr="002A79AF">
        <w:t xml:space="preserve">Where </w:t>
      </w:r>
      <w:r>
        <w:t>these circumstances arise:</w:t>
      </w:r>
    </w:p>
    <w:p w14:paraId="736B0DFF" w14:textId="77777777" w:rsidR="00AA1980" w:rsidRDefault="00AA1980" w:rsidP="00AA1980">
      <w:pPr>
        <w:pStyle w:val="Bullet1"/>
      </w:pPr>
      <w:r>
        <w:t xml:space="preserve">the Regulator and the department </w:t>
      </w:r>
      <w:r w:rsidRPr="002A79AF">
        <w:t xml:space="preserve">will decide whether to share information in </w:t>
      </w:r>
      <w:r>
        <w:t>line</w:t>
      </w:r>
      <w:r w:rsidRPr="002A79AF">
        <w:t xml:space="preserve"> with the information sharing principles outlined in section 4 of </w:t>
      </w:r>
      <w:r>
        <w:t xml:space="preserve">this protocol </w:t>
      </w:r>
    </w:p>
    <w:p w14:paraId="6D04F3F5" w14:textId="77777777" w:rsidR="00AA1980" w:rsidRDefault="00AA1980" w:rsidP="00AA1980">
      <w:pPr>
        <w:pStyle w:val="Bullet1"/>
      </w:pPr>
      <w:r w:rsidRPr="002A79AF">
        <w:t xml:space="preserve">the Regulator and the </w:t>
      </w:r>
      <w:r>
        <w:t>d</w:t>
      </w:r>
      <w:r w:rsidRPr="002A79AF">
        <w:t>epartment will ensure that they only share information that is necessary to respond to</w:t>
      </w:r>
      <w:r>
        <w:t>,</w:t>
      </w:r>
      <w:r w:rsidRPr="002A79AF">
        <w:t xml:space="preserve"> or resolve</w:t>
      </w:r>
      <w:r>
        <w:t>,</w:t>
      </w:r>
      <w:r w:rsidRPr="002A79AF">
        <w:t xml:space="preserve"> the situation</w:t>
      </w:r>
    </w:p>
    <w:p w14:paraId="720FF5D0" w14:textId="77777777" w:rsidR="00AA1980" w:rsidRDefault="00AA1980" w:rsidP="00AA1980">
      <w:pPr>
        <w:pStyle w:val="Bullet1"/>
      </w:pPr>
      <w:r>
        <w:t>information shared under these circumstances will have the personal information of service users removed to the extent possible, consistent with the purpose for sharing the information</w:t>
      </w:r>
    </w:p>
    <w:p w14:paraId="6956177C" w14:textId="77777777" w:rsidR="00AA1980" w:rsidRPr="002A79AF" w:rsidRDefault="00AA1980" w:rsidP="00AA1980">
      <w:pPr>
        <w:pStyle w:val="Bullet1"/>
      </w:pPr>
      <w:r>
        <w:t>s</w:t>
      </w:r>
      <w:r w:rsidRPr="002A79AF">
        <w:t>hared information obtained under these circumstances will only be used for the purpose of responding to</w:t>
      </w:r>
      <w:r>
        <w:t>,</w:t>
      </w:r>
      <w:r w:rsidRPr="002A79AF">
        <w:t xml:space="preserve"> or resolving</w:t>
      </w:r>
      <w:r>
        <w:t>,</w:t>
      </w:r>
      <w:r w:rsidRPr="002A79AF">
        <w:t xml:space="preserve"> the stated situation. </w:t>
      </w:r>
      <w:r>
        <w:t>However, themes arising from these matters may be shared to improve risk, safety and support learnings for policy and practice, as relevant.</w:t>
      </w:r>
    </w:p>
    <w:p w14:paraId="26CFD1AE" w14:textId="77777777" w:rsidR="00AA1980" w:rsidRPr="002B7A64" w:rsidRDefault="00AA1980" w:rsidP="00AA1980">
      <w:pPr>
        <w:pStyle w:val="Heading2"/>
      </w:pPr>
      <w:bookmarkStart w:id="11" w:name="_Toc191294909"/>
      <w:r w:rsidRPr="002B7A64">
        <w:t>What information would not normally be shared?</w:t>
      </w:r>
      <w:bookmarkEnd w:id="11"/>
      <w:r w:rsidRPr="002B7A64">
        <w:t xml:space="preserve"> </w:t>
      </w:r>
    </w:p>
    <w:p w14:paraId="0DABCDB1" w14:textId="77777777" w:rsidR="00AA1980" w:rsidRDefault="00AA1980" w:rsidP="00AA1980">
      <w:pPr>
        <w:pStyle w:val="Body"/>
      </w:pPr>
      <w:r>
        <w:t>Information would not normally be shared if:</w:t>
      </w:r>
    </w:p>
    <w:p w14:paraId="12FEABBD" w14:textId="77777777" w:rsidR="00AA1980" w:rsidRDefault="00AA1980" w:rsidP="00AA1980">
      <w:pPr>
        <w:pStyle w:val="Bullet1"/>
      </w:pPr>
      <w:r>
        <w:t>it falls outside of the scope of the roles of the Regulator and the department</w:t>
      </w:r>
    </w:p>
    <w:p w14:paraId="4F0F1A1F" w14:textId="77777777" w:rsidR="00AA1980" w:rsidRDefault="00AA1980" w:rsidP="00AA1980">
      <w:pPr>
        <w:pStyle w:val="Bullet1"/>
      </w:pPr>
      <w:r>
        <w:t>sharing is not supported by relevant legislation</w:t>
      </w:r>
    </w:p>
    <w:p w14:paraId="1169F467" w14:textId="77777777" w:rsidR="00AA1980" w:rsidRDefault="00AA1980" w:rsidP="00AA1980">
      <w:pPr>
        <w:pStyle w:val="Bullet1"/>
      </w:pPr>
      <w:r>
        <w:t>sharing the information conflicts with the principles outlined in Section 4 of this protocol</w:t>
      </w:r>
    </w:p>
    <w:p w14:paraId="28D1BE6E" w14:textId="77777777" w:rsidR="00AA1980" w:rsidRDefault="00AA1980" w:rsidP="00AA1980">
      <w:pPr>
        <w:pStyle w:val="Bullet1"/>
      </w:pPr>
      <w:r>
        <w:t xml:space="preserve">it is subject to legal professional privilege, unless express written consent is provided. </w:t>
      </w:r>
    </w:p>
    <w:p w14:paraId="11833F7B" w14:textId="77777777" w:rsidR="00AA1980" w:rsidRDefault="00AA1980" w:rsidP="00AA1980">
      <w:pPr>
        <w:pStyle w:val="Heading1"/>
      </w:pPr>
      <w:bookmarkStart w:id="12" w:name="_Toc191294910"/>
      <w:r>
        <w:t>Privacy and data protection</w:t>
      </w:r>
      <w:bookmarkEnd w:id="12"/>
    </w:p>
    <w:p w14:paraId="73270A07" w14:textId="77777777" w:rsidR="00AA1980" w:rsidRDefault="00AA1980" w:rsidP="00AA1980">
      <w:pPr>
        <w:pStyle w:val="Body"/>
      </w:pPr>
      <w:r>
        <w:t>The Regulator and the department undertake that any disclosure, use, storage or transfer of information shared under this prot</w:t>
      </w:r>
      <w:r w:rsidRPr="00E66A20">
        <w:t>ocol</w:t>
      </w:r>
      <w:r>
        <w:t xml:space="preserve"> will only be to the extent permitted by law.</w:t>
      </w:r>
    </w:p>
    <w:p w14:paraId="3BB89F29" w14:textId="77777777" w:rsidR="00AA1980" w:rsidRDefault="00AA1980" w:rsidP="00AA1980">
      <w:pPr>
        <w:pStyle w:val="Body"/>
      </w:pPr>
      <w:r>
        <w:t>At all times, the Regulator and the department must take reasonable steps to ensure information received under this protocol is protected from misuse, loss, damage or destruction and from unauthorised access, modification or disclosure and in accordance with privacy and data security laws.</w:t>
      </w:r>
    </w:p>
    <w:p w14:paraId="34BEC209" w14:textId="77777777" w:rsidR="00AA1980" w:rsidRPr="002A79AF" w:rsidRDefault="00AA1980" w:rsidP="00AA1980">
      <w:pPr>
        <w:pStyle w:val="Heading1"/>
      </w:pPr>
      <w:bookmarkStart w:id="13" w:name="_Toc191294911"/>
      <w:r w:rsidRPr="002A79AF">
        <w:t>Organisational contacts</w:t>
      </w:r>
      <w:bookmarkEnd w:id="13"/>
      <w:r w:rsidRPr="002A79AF">
        <w:t xml:space="preserve"> </w:t>
      </w:r>
    </w:p>
    <w:p w14:paraId="15269A74" w14:textId="77777777" w:rsidR="00AA1980" w:rsidRDefault="00AA1980" w:rsidP="00AA1980">
      <w:pPr>
        <w:pStyle w:val="Body"/>
      </w:pPr>
      <w:r>
        <w:t xml:space="preserve">The Regulator and the department will establish and maintain organisational contacts </w:t>
      </w:r>
      <w:r>
        <w:rPr>
          <w:rFonts w:ascii="ArialMT" w:hAnsi="ArialMT" w:cs="ArialMT"/>
        </w:rPr>
        <w:t>to ensure the effective operation of this protocol</w:t>
      </w:r>
      <w:r>
        <w:t>.</w:t>
      </w:r>
    </w:p>
    <w:p w14:paraId="05001D0D" w14:textId="77777777" w:rsidR="00AA1980" w:rsidRDefault="00AA1980" w:rsidP="00AA1980">
      <w:pPr>
        <w:pStyle w:val="Body"/>
      </w:pPr>
      <w:r>
        <w:t>The contact point for the Regulator is the General Counsel, Social Services Regulator.</w:t>
      </w:r>
    </w:p>
    <w:p w14:paraId="70672515" w14:textId="77777777" w:rsidR="00AA1980" w:rsidRDefault="00AA1980" w:rsidP="00AA1980">
      <w:pPr>
        <w:pStyle w:val="Body"/>
      </w:pPr>
      <w:r>
        <w:t>The department’s primary contact point for information sharing is Deputy Secretary COPL.</w:t>
      </w:r>
    </w:p>
    <w:p w14:paraId="40067AA9" w14:textId="77777777" w:rsidR="00AA1980" w:rsidRDefault="00AA1980" w:rsidP="00AA1980">
      <w:pPr>
        <w:pStyle w:val="Body"/>
      </w:pPr>
      <w:r>
        <w:t>The department’s operational contact point for this protocol is Executive Director Service Agreement and Quality Systems.</w:t>
      </w:r>
    </w:p>
    <w:p w14:paraId="539C6BC0" w14:textId="77777777" w:rsidR="00AA1980" w:rsidRDefault="00AA1980" w:rsidP="00AA1980">
      <w:pPr>
        <w:pStyle w:val="Body"/>
      </w:pPr>
      <w:r>
        <w:t>Maintaining this protocol and updating it as necessary is the responsibility of Executive Director of Regulation and Reform.</w:t>
      </w:r>
    </w:p>
    <w:p w14:paraId="32DE9418" w14:textId="77777777" w:rsidR="00AA1980" w:rsidRDefault="00AA1980" w:rsidP="00AA1980">
      <w:pPr>
        <w:pStyle w:val="Body"/>
      </w:pPr>
      <w:r>
        <w:t xml:space="preserve">Any complaints about the operation of this protocol can be made to the department at </w:t>
      </w:r>
      <w:hyperlink r:id="rId16" w:history="1">
        <w:r w:rsidRPr="008428C5">
          <w:rPr>
            <w:rStyle w:val="Hyperlink"/>
          </w:rPr>
          <w:t>feedback@dffh.vic.gov.au</w:t>
        </w:r>
      </w:hyperlink>
      <w:r>
        <w:t xml:space="preserve"> or to the Social Service Regulator at </w:t>
      </w:r>
      <w:hyperlink r:id="rId17" w:history="1">
        <w:r w:rsidRPr="008428C5">
          <w:rPr>
            <w:rStyle w:val="Hyperlink"/>
          </w:rPr>
          <w:t>feedback@ssr.vic.gov.au</w:t>
        </w:r>
      </w:hyperlink>
      <w:r>
        <w:t xml:space="preserve">. </w:t>
      </w:r>
    </w:p>
    <w:p w14:paraId="1FE4336A" w14:textId="77777777" w:rsidR="00AA1980" w:rsidRDefault="00AA1980" w:rsidP="00AA1980">
      <w:pPr>
        <w:pStyle w:val="Heading1"/>
      </w:pPr>
      <w:bookmarkStart w:id="14" w:name="_Toc191294912"/>
      <w:r>
        <w:t>Dispute resolution</w:t>
      </w:r>
      <w:bookmarkEnd w:id="14"/>
    </w:p>
    <w:p w14:paraId="1095230E" w14:textId="77777777" w:rsidR="00AA1980" w:rsidRDefault="00AA1980" w:rsidP="00AA1980">
      <w:pPr>
        <w:pStyle w:val="Body"/>
      </w:pPr>
      <w:r>
        <w:t>For any disputes arising from this protocol, the Regulator and the department agree to act in a timely manner and in good faith to negotiate a resolution for the dispute, nominating a nominee of the Regulator and the department to make determinations in relation to any matters arising that are in dispute.</w:t>
      </w:r>
    </w:p>
    <w:p w14:paraId="446E96BE" w14:textId="77777777" w:rsidR="00AA1980" w:rsidRPr="00D254E7" w:rsidRDefault="00AA1980" w:rsidP="00AA1980">
      <w:pPr>
        <w:pStyle w:val="Body"/>
      </w:pPr>
      <w:r>
        <w:t>Notwithstanding the existence of a dispute, the parties to the dispute will continue to perform any obligations under this protocol.</w:t>
      </w:r>
    </w:p>
    <w:p w14:paraId="6199DBE0" w14:textId="77777777" w:rsidR="00AA1980" w:rsidRPr="002A79AF" w:rsidRDefault="00AA1980" w:rsidP="00AA1980">
      <w:pPr>
        <w:pStyle w:val="Heading1"/>
      </w:pPr>
      <w:bookmarkStart w:id="15" w:name="_Toc191294913"/>
      <w:r>
        <w:t>Review</w:t>
      </w:r>
      <w:r w:rsidRPr="002A79AF">
        <w:t xml:space="preserve"> of protocol</w:t>
      </w:r>
      <w:bookmarkEnd w:id="15"/>
      <w:r w:rsidRPr="002A79AF">
        <w:t xml:space="preserve"> </w:t>
      </w:r>
    </w:p>
    <w:p w14:paraId="66950CF2" w14:textId="77777777" w:rsidR="00AA1980" w:rsidRDefault="00AA1980" w:rsidP="00AA1980">
      <w:pPr>
        <w:pStyle w:val="Body"/>
      </w:pPr>
      <w:r>
        <w:t>This protocol may be varied at any time by agreement of both the Regulator and the department. Any variations must be in writing and signed by both the Regulator and the department.</w:t>
      </w:r>
    </w:p>
    <w:p w14:paraId="7F1E8151" w14:textId="77777777" w:rsidR="00AA1980" w:rsidRDefault="00AA1980" w:rsidP="00AA1980">
      <w:pPr>
        <w:pStyle w:val="Body"/>
      </w:pPr>
      <w:r w:rsidRPr="002A79AF">
        <w:t xml:space="preserve">The protocol will be formally reviewed within </w:t>
      </w:r>
      <w:r>
        <w:t>six</w:t>
      </w:r>
      <w:r w:rsidRPr="002A79AF">
        <w:t xml:space="preserve"> months of commencement and once a year thereafter.</w:t>
      </w:r>
      <w:r>
        <w:t xml:space="preserve"> This protocol may be terminated:</w:t>
      </w:r>
    </w:p>
    <w:p w14:paraId="505405B9" w14:textId="77777777" w:rsidR="00AA1980" w:rsidRDefault="00AA1980" w:rsidP="00AA1980">
      <w:pPr>
        <w:pStyle w:val="Bullet1"/>
      </w:pPr>
      <w:r>
        <w:t>by either the department or the Regulator by providing 30 days’ notice in writing to the other; or</w:t>
      </w:r>
    </w:p>
    <w:p w14:paraId="426C6971" w14:textId="77777777" w:rsidR="00AA1980" w:rsidRDefault="00AA1980" w:rsidP="00AA1980">
      <w:pPr>
        <w:pStyle w:val="Bullet1"/>
      </w:pPr>
      <w:r>
        <w:t>immediately, where both the department and the Regulator mutually agree in writing to withdraw from this protocol.</w:t>
      </w:r>
    </w:p>
    <w:p w14:paraId="5415E8B8" w14:textId="77777777" w:rsidR="00AA1980" w:rsidRDefault="00AA1980" w:rsidP="00AA1980">
      <w:pPr>
        <w:pStyle w:val="Heading1"/>
      </w:pPr>
      <w:bookmarkStart w:id="16" w:name="_Toc191294914"/>
      <w:r>
        <w:t>Glossary</w:t>
      </w:r>
      <w:bookmarkEnd w:id="16"/>
    </w:p>
    <w:p w14:paraId="678DBE6C" w14:textId="77777777" w:rsidR="00AA1980" w:rsidRDefault="00AA1980" w:rsidP="00AA1980">
      <w:pPr>
        <w:pStyle w:val="Body"/>
      </w:pPr>
      <w:r>
        <w:t>In this protocol, the following definitions apply:</w:t>
      </w:r>
    </w:p>
    <w:p w14:paraId="43CF1E6F" w14:textId="77777777" w:rsidR="00AA1980" w:rsidRDefault="00AA1980" w:rsidP="00AA1980">
      <w:pPr>
        <w:pStyle w:val="Body"/>
      </w:pPr>
      <w:r w:rsidRPr="004D60FE">
        <w:rPr>
          <w:b/>
          <w:bCs/>
        </w:rPr>
        <w:t>CIMS</w:t>
      </w:r>
      <w:r>
        <w:t xml:space="preserve"> is the department’s Client Incident Management System</w:t>
      </w:r>
    </w:p>
    <w:p w14:paraId="7BCF630F" w14:textId="77777777" w:rsidR="00AA1980" w:rsidRPr="00053C2C" w:rsidRDefault="00AA1980" w:rsidP="00AA1980">
      <w:pPr>
        <w:pStyle w:val="Body"/>
      </w:pPr>
      <w:r>
        <w:rPr>
          <w:b/>
          <w:bCs/>
        </w:rPr>
        <w:t xml:space="preserve">Department </w:t>
      </w:r>
      <w:r>
        <w:t>means the Department of Families, Fairness and Housing</w:t>
      </w:r>
    </w:p>
    <w:p w14:paraId="5E183560" w14:textId="77777777" w:rsidR="00AA1980" w:rsidRDefault="00AA1980" w:rsidP="00AA1980">
      <w:pPr>
        <w:pStyle w:val="Body"/>
      </w:pPr>
      <w:r w:rsidRPr="00B8527A">
        <w:rPr>
          <w:b/>
          <w:bCs/>
        </w:rPr>
        <w:t>In-scope services</w:t>
      </w:r>
      <w:r>
        <w:t xml:space="preserve"> are department </w:t>
      </w:r>
      <w:proofErr w:type="gramStart"/>
      <w:r>
        <w:t>delivered</w:t>
      </w:r>
      <w:proofErr w:type="gramEnd"/>
      <w:r>
        <w:t xml:space="preserve"> or department funded services that are in scope for CIMS and are registered or required to be registered (including in the future under the staggered registration process) under the SSR Act</w:t>
      </w:r>
    </w:p>
    <w:p w14:paraId="61C498B0" w14:textId="77777777" w:rsidR="00AA1980" w:rsidRDefault="00AA1980" w:rsidP="00AA1980">
      <w:pPr>
        <w:pStyle w:val="Body"/>
      </w:pPr>
      <w:r w:rsidRPr="00053C2C">
        <w:rPr>
          <w:b/>
          <w:bCs/>
        </w:rPr>
        <w:t>Regulator</w:t>
      </w:r>
      <w:r>
        <w:t xml:space="preserve"> means the Social Services Regulator</w:t>
      </w:r>
    </w:p>
    <w:p w14:paraId="4E227898" w14:textId="77777777" w:rsidR="00AA1980" w:rsidRDefault="00AA1980" w:rsidP="00AA1980">
      <w:pPr>
        <w:pStyle w:val="Body"/>
      </w:pPr>
      <w:r w:rsidRPr="004D60FE">
        <w:rPr>
          <w:b/>
          <w:bCs/>
        </w:rPr>
        <w:t>SAMS2</w:t>
      </w:r>
      <w:r>
        <w:t xml:space="preserve"> is the department’s Service Agreement Management System</w:t>
      </w:r>
    </w:p>
    <w:p w14:paraId="1B794533" w14:textId="77777777" w:rsidR="00AA1980" w:rsidRDefault="00AA1980" w:rsidP="00AA1980">
      <w:pPr>
        <w:pStyle w:val="Body"/>
      </w:pPr>
      <w:r w:rsidRPr="004D60FE">
        <w:rPr>
          <w:b/>
          <w:bCs/>
        </w:rPr>
        <w:t>SSR Act</w:t>
      </w:r>
      <w:r>
        <w:t xml:space="preserve"> is the </w:t>
      </w:r>
      <w:r w:rsidRPr="004D60FE">
        <w:rPr>
          <w:i/>
          <w:iCs/>
        </w:rPr>
        <w:t>Social Services Regulation Act 2021</w:t>
      </w:r>
      <w:r>
        <w:t xml:space="preserve"> (Vic)</w:t>
      </w:r>
    </w:p>
    <w:p w14:paraId="551EA61D" w14:textId="77777777" w:rsidR="00153F8F" w:rsidRDefault="00153F8F">
      <w:pPr>
        <w:spacing w:after="0" w:line="240" w:lineRule="auto"/>
        <w:rPr>
          <w:rFonts w:eastAsia="MS Gothic" w:cs="Arial"/>
          <w:bCs/>
          <w:color w:val="201547"/>
          <w:kern w:val="32"/>
          <w:sz w:val="40"/>
          <w:szCs w:val="40"/>
        </w:rPr>
      </w:pPr>
      <w:r>
        <w:br w:type="page"/>
      </w:r>
    </w:p>
    <w:p w14:paraId="3C735753" w14:textId="6F133802" w:rsidR="00071448" w:rsidRDefault="00750C2C" w:rsidP="00DB4454">
      <w:pPr>
        <w:pStyle w:val="Heading1"/>
      </w:pPr>
      <w:bookmarkStart w:id="17" w:name="_Toc191294915"/>
      <w:r w:rsidRPr="00694267">
        <w:t>Addendum</w:t>
      </w:r>
      <w:r w:rsidR="00DB4454">
        <w:t xml:space="preserve">: </w:t>
      </w:r>
      <w:r w:rsidR="00071448">
        <w:t>Information</w:t>
      </w:r>
      <w:r w:rsidR="00BA0301">
        <w:t xml:space="preserve"> </w:t>
      </w:r>
      <w:r w:rsidR="00C918C4">
        <w:t>to be shared</w:t>
      </w:r>
      <w:bookmarkEnd w:id="17"/>
    </w:p>
    <w:p w14:paraId="1912D6A6" w14:textId="5BC8ABCA" w:rsidR="00750C2C" w:rsidRPr="00694267" w:rsidRDefault="00750C2C" w:rsidP="00C918C4">
      <w:pPr>
        <w:pStyle w:val="Heading2"/>
      </w:pPr>
      <w:bookmarkStart w:id="18" w:name="_Toc191294916"/>
      <w:r w:rsidRPr="00694267">
        <w:t>Information the department will share with the Regulator</w:t>
      </w:r>
      <w:bookmarkEnd w:id="18"/>
      <w:r w:rsidRPr="00694267">
        <w:t xml:space="preserve"> </w:t>
      </w:r>
    </w:p>
    <w:p w14:paraId="02C15156" w14:textId="77777777" w:rsidR="00750C2C" w:rsidRPr="00694267" w:rsidRDefault="00750C2C" w:rsidP="00750C2C">
      <w:pPr>
        <w:pStyle w:val="Heading3"/>
      </w:pPr>
      <w:r>
        <w:t xml:space="preserve">Incidents and </w:t>
      </w:r>
      <w:r w:rsidRPr="00750C2C">
        <w:t>information</w:t>
      </w:r>
      <w:r>
        <w:t xml:space="preserve"> about funded entities/service providers</w:t>
      </w:r>
    </w:p>
    <w:tbl>
      <w:tblPr>
        <w:tblStyle w:val="TableGrid"/>
        <w:tblW w:w="10343" w:type="dxa"/>
        <w:tblLook w:val="04A0" w:firstRow="1" w:lastRow="0" w:firstColumn="1" w:lastColumn="0" w:noHBand="0" w:noVBand="1"/>
      </w:tblPr>
      <w:tblGrid>
        <w:gridCol w:w="3447"/>
        <w:gridCol w:w="3448"/>
        <w:gridCol w:w="3448"/>
      </w:tblGrid>
      <w:tr w:rsidR="00750C2C" w:rsidRPr="00694267" w14:paraId="60BCF70F" w14:textId="77777777" w:rsidTr="00750C2C">
        <w:trPr>
          <w:trHeight w:val="195"/>
          <w:tblHeader/>
        </w:trPr>
        <w:tc>
          <w:tcPr>
            <w:tcW w:w="3447" w:type="dxa"/>
          </w:tcPr>
          <w:p w14:paraId="4D59F81B" w14:textId="77777777" w:rsidR="00750C2C" w:rsidRPr="00750C2C" w:rsidRDefault="00750C2C" w:rsidP="00750C2C">
            <w:pPr>
              <w:pStyle w:val="Tablecolhead"/>
            </w:pPr>
            <w:r w:rsidRPr="00750C2C">
              <w:rPr>
                <w:rStyle w:val="Strong"/>
                <w:b/>
                <w:bCs w:val="0"/>
              </w:rPr>
              <w:t>What (information will be shared)</w:t>
            </w:r>
          </w:p>
        </w:tc>
        <w:tc>
          <w:tcPr>
            <w:tcW w:w="3448" w:type="dxa"/>
          </w:tcPr>
          <w:p w14:paraId="0F8FEF91" w14:textId="77777777" w:rsidR="00750C2C" w:rsidRPr="00750C2C" w:rsidRDefault="00750C2C" w:rsidP="00750C2C">
            <w:pPr>
              <w:pStyle w:val="Tablecolhead"/>
              <w:rPr>
                <w:rStyle w:val="Strong"/>
                <w:b/>
                <w:bCs w:val="0"/>
              </w:rPr>
            </w:pPr>
            <w:r w:rsidRPr="00750C2C">
              <w:rPr>
                <w:rStyle w:val="Strong"/>
                <w:b/>
                <w:bCs w:val="0"/>
              </w:rPr>
              <w:t>When (will it be shared)</w:t>
            </w:r>
          </w:p>
        </w:tc>
        <w:tc>
          <w:tcPr>
            <w:tcW w:w="3448" w:type="dxa"/>
          </w:tcPr>
          <w:p w14:paraId="1FE64A4C" w14:textId="77777777" w:rsidR="00750C2C" w:rsidRPr="00750C2C" w:rsidRDefault="00750C2C" w:rsidP="00750C2C">
            <w:pPr>
              <w:pStyle w:val="Tablecolhead"/>
              <w:rPr>
                <w:rStyle w:val="Strong"/>
                <w:b/>
                <w:bCs w:val="0"/>
              </w:rPr>
            </w:pPr>
            <w:r w:rsidRPr="00750C2C">
              <w:rPr>
                <w:rStyle w:val="Strong"/>
                <w:b/>
                <w:bCs w:val="0"/>
              </w:rPr>
              <w:t>Why (will it be shared)</w:t>
            </w:r>
          </w:p>
        </w:tc>
      </w:tr>
      <w:tr w:rsidR="00750C2C" w:rsidRPr="00694267" w14:paraId="659C0420" w14:textId="77777777" w:rsidTr="00750C2C">
        <w:trPr>
          <w:trHeight w:val="300"/>
        </w:trPr>
        <w:tc>
          <w:tcPr>
            <w:tcW w:w="3447" w:type="dxa"/>
          </w:tcPr>
          <w:p w14:paraId="4C5EF628" w14:textId="77777777" w:rsidR="00750C2C" w:rsidRPr="00694267" w:rsidRDefault="00750C2C" w:rsidP="00E46457">
            <w:pPr>
              <w:pStyle w:val="Tabletext"/>
              <w:widowControl w:val="0"/>
              <w:rPr>
                <w:rFonts w:cs="Arial"/>
              </w:rPr>
            </w:pPr>
            <w:r w:rsidRPr="00694267">
              <w:rPr>
                <w:rFonts w:cs="Arial"/>
              </w:rPr>
              <w:t>Client Incident Management System (CIMS) incident notifications from all in-scope services</w:t>
            </w:r>
            <w:r w:rsidRPr="00694267">
              <w:rPr>
                <w:rStyle w:val="FootnoteReference"/>
                <w:rFonts w:cs="Arial"/>
              </w:rPr>
              <w:footnoteReference w:id="7"/>
            </w:r>
            <w:r w:rsidRPr="00694267">
              <w:rPr>
                <w:rFonts w:cs="Arial"/>
              </w:rPr>
              <w:t xml:space="preserve"> relating to:</w:t>
            </w:r>
          </w:p>
          <w:p w14:paraId="72163219" w14:textId="77777777" w:rsidR="00750C2C" w:rsidRPr="00694267" w:rsidRDefault="00750C2C" w:rsidP="00750C2C">
            <w:pPr>
              <w:pStyle w:val="Tablebullet1"/>
              <w:rPr>
                <w:rFonts w:cs="Arial"/>
              </w:rPr>
            </w:pPr>
            <w:r w:rsidRPr="00694267">
              <w:rPr>
                <w:rFonts w:cs="Arial"/>
              </w:rPr>
              <w:t>major impact incidents</w:t>
            </w:r>
          </w:p>
          <w:p w14:paraId="588CD38E" w14:textId="77777777" w:rsidR="00750C2C" w:rsidRPr="00694267" w:rsidRDefault="00750C2C" w:rsidP="00750C2C">
            <w:pPr>
              <w:pStyle w:val="Tablebullet1"/>
              <w:rPr>
                <w:rFonts w:cs="Arial"/>
              </w:rPr>
            </w:pPr>
            <w:r w:rsidRPr="00694267">
              <w:rPr>
                <w:rFonts w:cs="Arial"/>
              </w:rPr>
              <w:t>serious risk incident type – non-major impact</w:t>
            </w:r>
          </w:p>
          <w:p w14:paraId="2D9CCCC6" w14:textId="77777777" w:rsidR="00750C2C" w:rsidRPr="00694267" w:rsidRDefault="00750C2C" w:rsidP="008D60AA">
            <w:pPr>
              <w:pStyle w:val="Tabletext"/>
            </w:pPr>
            <w:r w:rsidRPr="00694267">
              <w:t xml:space="preserve">These categories align with the incidents that registered social service providers must notify the SSR about.  </w:t>
            </w:r>
          </w:p>
        </w:tc>
        <w:tc>
          <w:tcPr>
            <w:tcW w:w="3448" w:type="dxa"/>
          </w:tcPr>
          <w:p w14:paraId="736887C4" w14:textId="77777777" w:rsidR="00750C2C" w:rsidRPr="00694267" w:rsidRDefault="00750C2C" w:rsidP="00750C2C">
            <w:pPr>
              <w:pStyle w:val="Tablebullet1"/>
              <w:rPr>
                <w:rFonts w:cs="Arial"/>
              </w:rPr>
            </w:pPr>
            <w:r w:rsidRPr="00694267">
              <w:rPr>
                <w:rFonts w:cs="Arial"/>
              </w:rPr>
              <w:t>Daily – the department will provide the SSR with relevant notifications from registered in-scope services via a daily download of data.</w:t>
            </w:r>
          </w:p>
          <w:p w14:paraId="0C2D611E" w14:textId="77777777" w:rsidR="00750C2C" w:rsidRPr="00694267" w:rsidRDefault="00750C2C" w:rsidP="00750C2C">
            <w:pPr>
              <w:pStyle w:val="Tablebullet1"/>
              <w:rPr>
                <w:rFonts w:cs="Arial"/>
              </w:rPr>
            </w:pPr>
            <w:r w:rsidRPr="00694267">
              <w:rPr>
                <w:rFonts w:cs="Arial"/>
              </w:rPr>
              <w:t>As organisations are registered, their incident reports will be shared.</w:t>
            </w:r>
          </w:p>
        </w:tc>
        <w:tc>
          <w:tcPr>
            <w:tcW w:w="3448" w:type="dxa"/>
          </w:tcPr>
          <w:p w14:paraId="43F37991" w14:textId="77777777" w:rsidR="00750C2C" w:rsidRPr="00694267" w:rsidRDefault="00750C2C" w:rsidP="00750C2C">
            <w:pPr>
              <w:pStyle w:val="Tablebullet1"/>
              <w:rPr>
                <w:rFonts w:cs="Arial"/>
              </w:rPr>
            </w:pPr>
            <w:r w:rsidRPr="00694267">
              <w:rPr>
                <w:rFonts w:eastAsiaTheme="minorEastAsia" w:cs="Arial"/>
              </w:rPr>
              <w:t xml:space="preserve">The </w:t>
            </w:r>
            <w:r w:rsidRPr="00694267">
              <w:rPr>
                <w:rFonts w:eastAsiaTheme="minorEastAsia" w:cs="Arial"/>
                <w:i/>
              </w:rPr>
              <w:t>Social Services Regulation Act 2021</w:t>
            </w:r>
            <w:r w:rsidRPr="00694267">
              <w:rPr>
                <w:rFonts w:eastAsiaTheme="minorEastAsia" w:cs="Arial"/>
              </w:rPr>
              <w:t xml:space="preserve"> (</w:t>
            </w:r>
            <w:r w:rsidRPr="00694267">
              <w:rPr>
                <w:rFonts w:eastAsiaTheme="minorEastAsia" w:cs="Arial"/>
                <w:b/>
              </w:rPr>
              <w:t>SSR Act</w:t>
            </w:r>
            <w:r w:rsidRPr="00694267">
              <w:rPr>
                <w:rFonts w:eastAsiaTheme="minorEastAsia" w:cs="Arial"/>
              </w:rPr>
              <w:t>) requires social service providers to notify the SSR of serious incidents that occur, or that may pose a serious risk to service users, during the delivery of a social service.</w:t>
            </w:r>
          </w:p>
          <w:p w14:paraId="6E8B75F5" w14:textId="77777777" w:rsidR="00750C2C" w:rsidRPr="00694267" w:rsidDel="000E1C6E" w:rsidRDefault="00750C2C" w:rsidP="00750C2C">
            <w:pPr>
              <w:pStyle w:val="Tablebullet1"/>
              <w:rPr>
                <w:rFonts w:eastAsiaTheme="minorEastAsia" w:cs="Arial"/>
              </w:rPr>
            </w:pPr>
            <w:r w:rsidRPr="00694267">
              <w:rPr>
                <w:rFonts w:eastAsiaTheme="minorEastAsia" w:cs="Arial"/>
              </w:rPr>
              <w:t>Sharing this information enables service providers to meet the legal requirements</w:t>
            </w:r>
            <w:r w:rsidRPr="00694267" w:rsidDel="6F97FDA9">
              <w:rPr>
                <w:rFonts w:eastAsiaTheme="minorEastAsia" w:cs="Arial"/>
              </w:rPr>
              <w:t xml:space="preserve"> </w:t>
            </w:r>
            <w:r w:rsidRPr="00694267">
              <w:rPr>
                <w:rFonts w:eastAsiaTheme="minorEastAsia" w:cs="Arial"/>
              </w:rPr>
              <w:t xml:space="preserve">with a single notification and without </w:t>
            </w:r>
            <w:r w:rsidRPr="00694267">
              <w:rPr>
                <w:rFonts w:cs="Arial"/>
              </w:rPr>
              <w:t>the service providers having</w:t>
            </w:r>
            <w:r w:rsidRPr="00694267">
              <w:rPr>
                <w:rFonts w:eastAsiaTheme="minorEastAsia" w:cs="Arial"/>
              </w:rPr>
              <w:t xml:space="preserve"> to separately share this information with the SSR.</w:t>
            </w:r>
          </w:p>
          <w:p w14:paraId="77392060" w14:textId="77777777" w:rsidR="00750C2C" w:rsidRPr="00694267" w:rsidRDefault="00750C2C" w:rsidP="00750C2C">
            <w:pPr>
              <w:pStyle w:val="Tablebullet1"/>
              <w:rPr>
                <w:rFonts w:cs="Arial"/>
              </w:rPr>
            </w:pPr>
            <w:r w:rsidRPr="00694267">
              <w:rPr>
                <w:rFonts w:eastAsiaTheme="minorEastAsia" w:cs="Arial"/>
              </w:rPr>
              <w:t xml:space="preserve">To reduce regulatory burden for service providers. </w:t>
            </w:r>
          </w:p>
        </w:tc>
      </w:tr>
      <w:tr w:rsidR="00750C2C" w:rsidRPr="00694267" w14:paraId="28DDFE95" w14:textId="77777777" w:rsidTr="00750C2C">
        <w:trPr>
          <w:trHeight w:val="300"/>
        </w:trPr>
        <w:tc>
          <w:tcPr>
            <w:tcW w:w="3447" w:type="dxa"/>
          </w:tcPr>
          <w:p w14:paraId="2D572634" w14:textId="77777777" w:rsidR="00750C2C" w:rsidRPr="00694267" w:rsidRDefault="00750C2C" w:rsidP="00E46457">
            <w:pPr>
              <w:pStyle w:val="Tabletext"/>
              <w:rPr>
                <w:rFonts w:cs="Arial"/>
              </w:rPr>
            </w:pPr>
            <w:r w:rsidRPr="00694267">
              <w:rPr>
                <w:rFonts w:cs="Arial"/>
              </w:rPr>
              <w:t>Funded entity/service provider details, including legal trading name, head of entity and employee details (key contacts).</w:t>
            </w:r>
          </w:p>
        </w:tc>
        <w:tc>
          <w:tcPr>
            <w:tcW w:w="3448" w:type="dxa"/>
          </w:tcPr>
          <w:p w14:paraId="036165EC" w14:textId="77777777" w:rsidR="00750C2C" w:rsidRPr="00694267" w:rsidRDefault="00750C2C" w:rsidP="00750C2C">
            <w:pPr>
              <w:pStyle w:val="Tablebullet1"/>
              <w:rPr>
                <w:rFonts w:cs="Arial"/>
              </w:rPr>
            </w:pPr>
            <w:r w:rsidRPr="00694267">
              <w:rPr>
                <w:rFonts w:cs="Arial"/>
              </w:rPr>
              <w:t xml:space="preserve">Available to the SSR </w:t>
            </w:r>
            <w:proofErr w:type="gramStart"/>
            <w:r w:rsidRPr="00694267">
              <w:rPr>
                <w:rFonts w:cs="Arial"/>
              </w:rPr>
              <w:t>at all times</w:t>
            </w:r>
            <w:proofErr w:type="gramEnd"/>
            <w:r w:rsidRPr="00694267">
              <w:rPr>
                <w:rFonts w:cs="Arial"/>
              </w:rPr>
              <w:t xml:space="preserve"> through access to </w:t>
            </w:r>
            <w:r w:rsidRPr="00694267" w:rsidDel="00CA2DBB">
              <w:rPr>
                <w:rFonts w:cs="Arial"/>
              </w:rPr>
              <w:t xml:space="preserve">the </w:t>
            </w:r>
            <w:r w:rsidRPr="00694267">
              <w:rPr>
                <w:rFonts w:cs="Arial"/>
              </w:rPr>
              <w:t>department’s Services Agreement Monitoring System (</w:t>
            </w:r>
            <w:r w:rsidRPr="00694267">
              <w:rPr>
                <w:rFonts w:cs="Arial"/>
                <w:b/>
              </w:rPr>
              <w:t>SAMS2</w:t>
            </w:r>
            <w:r w:rsidRPr="00694267">
              <w:rPr>
                <w:rFonts w:cs="Arial"/>
              </w:rPr>
              <w:t xml:space="preserve">). </w:t>
            </w:r>
          </w:p>
        </w:tc>
        <w:tc>
          <w:tcPr>
            <w:tcW w:w="3448" w:type="dxa"/>
          </w:tcPr>
          <w:p w14:paraId="4A8FB7B8" w14:textId="77777777" w:rsidR="00750C2C" w:rsidRPr="00694267" w:rsidDel="000E1C6E" w:rsidRDefault="00750C2C" w:rsidP="00750C2C">
            <w:pPr>
              <w:pStyle w:val="Tablebullet1"/>
              <w:rPr>
                <w:rFonts w:cs="Arial"/>
              </w:rPr>
            </w:pPr>
            <w:r w:rsidRPr="00694267">
              <w:rPr>
                <w:rFonts w:cs="Arial"/>
              </w:rPr>
              <w:t xml:space="preserve">To enable the Regulator to validate the information needed for registration under the SSR Act, to support the Regulator to </w:t>
            </w:r>
            <w:proofErr w:type="gramStart"/>
            <w:r w:rsidRPr="00694267">
              <w:rPr>
                <w:rFonts w:cs="Arial"/>
              </w:rPr>
              <w:t>make a decision</w:t>
            </w:r>
            <w:proofErr w:type="gramEnd"/>
            <w:r w:rsidRPr="00694267">
              <w:rPr>
                <w:rFonts w:cs="Arial"/>
              </w:rPr>
              <w:t xml:space="preserve"> regarding a provider’s registration.</w:t>
            </w:r>
          </w:p>
          <w:p w14:paraId="0687F566" w14:textId="77777777" w:rsidR="00750C2C" w:rsidRPr="00694267" w:rsidRDefault="00750C2C" w:rsidP="00750C2C">
            <w:pPr>
              <w:pStyle w:val="Tablebullet1"/>
              <w:rPr>
                <w:rFonts w:cs="Arial"/>
              </w:rPr>
            </w:pPr>
            <w:r w:rsidRPr="00694267">
              <w:rPr>
                <w:rFonts w:eastAsiaTheme="minorEastAsia" w:cs="Arial"/>
              </w:rPr>
              <w:t>To reduce regulatory burden for service providers and the SSR.</w:t>
            </w:r>
          </w:p>
        </w:tc>
      </w:tr>
      <w:tr w:rsidR="00750C2C" w:rsidRPr="00694267" w14:paraId="6F65CA5E" w14:textId="77777777" w:rsidTr="00750C2C">
        <w:trPr>
          <w:trHeight w:val="300"/>
        </w:trPr>
        <w:tc>
          <w:tcPr>
            <w:tcW w:w="3447" w:type="dxa"/>
          </w:tcPr>
          <w:p w14:paraId="677C5A44" w14:textId="77777777" w:rsidR="00750C2C" w:rsidRPr="00694267" w:rsidRDefault="00750C2C" w:rsidP="00E46457">
            <w:pPr>
              <w:pStyle w:val="Tabletext"/>
              <w:widowControl w:val="0"/>
              <w:rPr>
                <w:rFonts w:cs="Arial"/>
              </w:rPr>
            </w:pPr>
            <w:r w:rsidRPr="00694267">
              <w:rPr>
                <w:rFonts w:cs="Arial"/>
              </w:rPr>
              <w:t xml:space="preserve">Funding and contract arrangements for funded service providers that are within the remit of the SSR, including </w:t>
            </w:r>
          </w:p>
          <w:p w14:paraId="289FCF20" w14:textId="77777777" w:rsidR="00750C2C" w:rsidRPr="00694267" w:rsidRDefault="00750C2C" w:rsidP="00750C2C">
            <w:pPr>
              <w:pStyle w:val="Tablebullet1"/>
              <w:widowControl w:val="0"/>
              <w:rPr>
                <w:rFonts w:cs="Arial"/>
              </w:rPr>
            </w:pPr>
            <w:r w:rsidRPr="00694267">
              <w:rPr>
                <w:rFonts w:cs="Arial"/>
              </w:rPr>
              <w:t>funding of new agencies</w:t>
            </w:r>
          </w:p>
          <w:p w14:paraId="15D9D219" w14:textId="77777777" w:rsidR="00750C2C" w:rsidRPr="00694267" w:rsidRDefault="00750C2C" w:rsidP="00750C2C">
            <w:pPr>
              <w:pStyle w:val="Tablebullet1"/>
              <w:widowControl w:val="0"/>
              <w:rPr>
                <w:rFonts w:cs="Arial"/>
              </w:rPr>
            </w:pPr>
            <w:r w:rsidRPr="00694267">
              <w:rPr>
                <w:rFonts w:cs="Arial"/>
              </w:rPr>
              <w:t>what services agencies are funded to deliver</w:t>
            </w:r>
          </w:p>
          <w:p w14:paraId="605DC9E5" w14:textId="77777777" w:rsidR="00750C2C" w:rsidRPr="00694267" w:rsidRDefault="00750C2C" w:rsidP="00750C2C">
            <w:pPr>
              <w:pStyle w:val="Tablebullet1"/>
              <w:widowControl w:val="0"/>
              <w:rPr>
                <w:rFonts w:cs="Arial"/>
              </w:rPr>
            </w:pPr>
            <w:r w:rsidRPr="00694267">
              <w:rPr>
                <w:rFonts w:cs="Arial"/>
              </w:rPr>
              <w:t>changes to funding amounts (increase or decrease)</w:t>
            </w:r>
          </w:p>
          <w:p w14:paraId="0917349B" w14:textId="77777777" w:rsidR="00750C2C" w:rsidRPr="00694267" w:rsidRDefault="00750C2C" w:rsidP="00750C2C">
            <w:pPr>
              <w:pStyle w:val="Tablebullet1"/>
              <w:rPr>
                <w:rFonts w:cs="Arial"/>
              </w:rPr>
            </w:pPr>
            <w:r w:rsidRPr="00694267">
              <w:rPr>
                <w:rFonts w:cs="Arial"/>
              </w:rPr>
              <w:t>changes to funding activities within the remit of the SSR.</w:t>
            </w:r>
          </w:p>
        </w:tc>
        <w:tc>
          <w:tcPr>
            <w:tcW w:w="3448" w:type="dxa"/>
          </w:tcPr>
          <w:p w14:paraId="5A49CCB0" w14:textId="77777777" w:rsidR="00750C2C" w:rsidRPr="00694267" w:rsidRDefault="00750C2C" w:rsidP="00750C2C">
            <w:pPr>
              <w:pStyle w:val="Tablebullet1"/>
              <w:rPr>
                <w:rFonts w:cs="Arial"/>
              </w:rPr>
            </w:pPr>
            <w:r w:rsidRPr="00694267">
              <w:rPr>
                <w:rFonts w:cs="Arial"/>
              </w:rPr>
              <w:t xml:space="preserve">Available to the SSR </w:t>
            </w:r>
            <w:proofErr w:type="gramStart"/>
            <w:r w:rsidRPr="00694267">
              <w:rPr>
                <w:rFonts w:cs="Arial"/>
              </w:rPr>
              <w:t>at all times</w:t>
            </w:r>
            <w:proofErr w:type="gramEnd"/>
            <w:r w:rsidRPr="00694267">
              <w:rPr>
                <w:rFonts w:cs="Arial"/>
              </w:rPr>
              <w:t xml:space="preserve"> through access to the department’s SAMS2.</w:t>
            </w:r>
          </w:p>
        </w:tc>
        <w:tc>
          <w:tcPr>
            <w:tcW w:w="3448" w:type="dxa"/>
          </w:tcPr>
          <w:p w14:paraId="5C3E667C" w14:textId="77777777" w:rsidR="00750C2C" w:rsidRPr="00694267" w:rsidRDefault="00750C2C" w:rsidP="00750C2C">
            <w:pPr>
              <w:pStyle w:val="Tablebullet1"/>
              <w:rPr>
                <w:rFonts w:cs="Arial"/>
              </w:rPr>
            </w:pPr>
            <w:r w:rsidRPr="00694267">
              <w:rPr>
                <w:rFonts w:cs="Arial"/>
              </w:rPr>
              <w:t xml:space="preserve">To enable the Regulator to: </w:t>
            </w:r>
          </w:p>
          <w:p w14:paraId="60EE8820" w14:textId="77777777" w:rsidR="00750C2C" w:rsidRPr="00694267" w:rsidRDefault="00750C2C" w:rsidP="00750C2C">
            <w:pPr>
              <w:pStyle w:val="Tablebullet2"/>
              <w:rPr>
                <w:rFonts w:cs="Arial"/>
              </w:rPr>
            </w:pPr>
            <w:r w:rsidRPr="00694267">
              <w:rPr>
                <w:rFonts w:cs="Arial"/>
              </w:rPr>
              <w:t xml:space="preserve">assess if funded service providers are registered to deliver the services they are providing </w:t>
            </w:r>
          </w:p>
          <w:p w14:paraId="39E90EBD" w14:textId="77777777" w:rsidR="00750C2C" w:rsidRPr="00694267" w:rsidRDefault="00750C2C" w:rsidP="00750C2C">
            <w:pPr>
              <w:pStyle w:val="Tablebullet2"/>
              <w:rPr>
                <w:rFonts w:cs="Arial"/>
              </w:rPr>
            </w:pPr>
            <w:r w:rsidRPr="00694267">
              <w:rPr>
                <w:rFonts w:cs="Arial"/>
              </w:rPr>
              <w:t xml:space="preserve">consider applications for provisional registration in urgent situations </w:t>
            </w:r>
          </w:p>
          <w:p w14:paraId="3CE73DB4" w14:textId="77777777" w:rsidR="00750C2C" w:rsidRPr="00694267" w:rsidRDefault="00750C2C" w:rsidP="00750C2C">
            <w:pPr>
              <w:pStyle w:val="Tablebullet2"/>
              <w:rPr>
                <w:rFonts w:cs="Arial"/>
              </w:rPr>
            </w:pPr>
            <w:r w:rsidRPr="00694267">
              <w:rPr>
                <w:rFonts w:cs="Arial"/>
              </w:rPr>
              <w:t>verify that registered service providers are meeting their obligation to provide timely information to the Regulator about changes in the volume and types of services providers.</w:t>
            </w:r>
          </w:p>
          <w:p w14:paraId="0E370274" w14:textId="77777777" w:rsidR="00750C2C" w:rsidRPr="00694267" w:rsidRDefault="00750C2C" w:rsidP="00750C2C">
            <w:pPr>
              <w:pStyle w:val="Tablebullet1"/>
              <w:rPr>
                <w:rFonts w:cs="Arial"/>
              </w:rPr>
            </w:pPr>
            <w:r w:rsidRPr="00694267">
              <w:rPr>
                <w:rFonts w:cs="Arial"/>
              </w:rPr>
              <w:t>To reduce regulatory burden for service providers and the department.</w:t>
            </w:r>
          </w:p>
        </w:tc>
      </w:tr>
      <w:tr w:rsidR="00750C2C" w:rsidRPr="00694267" w14:paraId="3140F615" w14:textId="77777777" w:rsidTr="00750C2C">
        <w:trPr>
          <w:trHeight w:val="300"/>
        </w:trPr>
        <w:tc>
          <w:tcPr>
            <w:tcW w:w="3447" w:type="dxa"/>
          </w:tcPr>
          <w:p w14:paraId="2F117B20" w14:textId="77777777" w:rsidR="00750C2C" w:rsidRPr="00694267" w:rsidRDefault="00750C2C" w:rsidP="00E46457">
            <w:pPr>
              <w:pStyle w:val="Tabletext"/>
              <w:widowControl w:val="0"/>
              <w:rPr>
                <w:rFonts w:eastAsia="Times" w:cs="Arial"/>
              </w:rPr>
            </w:pPr>
            <w:r w:rsidRPr="00694267">
              <w:rPr>
                <w:rFonts w:eastAsia="Times" w:cs="Arial"/>
              </w:rPr>
              <w:t>Due diligence checklist for new providers. This includes the following, where available to the department:</w:t>
            </w:r>
          </w:p>
          <w:p w14:paraId="4CAD4195" w14:textId="77777777" w:rsidR="00750C2C" w:rsidRPr="00694267" w:rsidRDefault="00750C2C" w:rsidP="00750C2C">
            <w:pPr>
              <w:pStyle w:val="Tablebullet1"/>
              <w:rPr>
                <w:rFonts w:cs="Arial"/>
              </w:rPr>
            </w:pPr>
            <w:r w:rsidRPr="00694267">
              <w:rPr>
                <w:rFonts w:cs="Arial"/>
              </w:rPr>
              <w:t>details of the provider’s current financial position, including assets (property/deeds), income and liabilities via (as applicable)</w:t>
            </w:r>
          </w:p>
          <w:p w14:paraId="2DB9CB7E" w14:textId="77777777" w:rsidR="00750C2C" w:rsidRPr="00694267" w:rsidRDefault="00750C2C" w:rsidP="00750C2C">
            <w:pPr>
              <w:pStyle w:val="Tablebullet1"/>
              <w:rPr>
                <w:rFonts w:cs="Arial"/>
              </w:rPr>
            </w:pPr>
            <w:r w:rsidRPr="00694267">
              <w:rPr>
                <w:rFonts w:cs="Arial"/>
              </w:rPr>
              <w:t>financial reports (balance sheets and profit and loss statements) for the previous two financial years</w:t>
            </w:r>
          </w:p>
          <w:p w14:paraId="4BC07CDC" w14:textId="77777777" w:rsidR="00750C2C" w:rsidRPr="00694267" w:rsidRDefault="00750C2C" w:rsidP="00750C2C">
            <w:pPr>
              <w:pStyle w:val="Tablebullet1"/>
              <w:rPr>
                <w:rFonts w:cs="Arial"/>
              </w:rPr>
            </w:pPr>
            <w:r w:rsidRPr="00694267">
              <w:rPr>
                <w:rFonts w:cs="Arial"/>
              </w:rPr>
              <w:t>analysis (preferably by an independent third party) regarding the financial operations/projections over the forthcoming 12 months or more.</w:t>
            </w:r>
          </w:p>
        </w:tc>
        <w:tc>
          <w:tcPr>
            <w:tcW w:w="3448" w:type="dxa"/>
          </w:tcPr>
          <w:p w14:paraId="3282E6D4" w14:textId="77777777" w:rsidR="00750C2C" w:rsidRPr="00694267" w:rsidRDefault="00750C2C" w:rsidP="00E46457">
            <w:pPr>
              <w:pStyle w:val="Tabletext"/>
              <w:rPr>
                <w:rFonts w:cs="Arial"/>
              </w:rPr>
            </w:pPr>
            <w:r w:rsidRPr="00694267">
              <w:rPr>
                <w:rFonts w:cs="Arial"/>
              </w:rPr>
              <w:t>The department will provide this checklist in response to the Regulator notifying the department that it has received a registration application, and the unregistered provider is funded by the department for the first time to provide services within the remit of the SSR.</w:t>
            </w:r>
          </w:p>
          <w:p w14:paraId="62DE23DD" w14:textId="77777777" w:rsidR="00750C2C" w:rsidRPr="00694267" w:rsidRDefault="00750C2C" w:rsidP="00E46457">
            <w:pPr>
              <w:pStyle w:val="Tabletext"/>
              <w:rPr>
                <w:rFonts w:cs="Arial"/>
              </w:rPr>
            </w:pPr>
            <w:r w:rsidRPr="00694267">
              <w:rPr>
                <w:rFonts w:cs="Arial"/>
              </w:rPr>
              <w:t xml:space="preserve">This does not include any providers already funded by the department </w:t>
            </w:r>
            <w:r w:rsidRPr="00694267">
              <w:rPr>
                <w:rFonts w:cs="Arial"/>
                <w:i/>
                <w:iCs/>
              </w:rPr>
              <w:t>before</w:t>
            </w:r>
            <w:r w:rsidRPr="00694267">
              <w:rPr>
                <w:rFonts w:cs="Arial"/>
              </w:rPr>
              <w:t xml:space="preserve"> that provider is due to be registered under the staggered registration process.</w:t>
            </w:r>
          </w:p>
        </w:tc>
        <w:tc>
          <w:tcPr>
            <w:tcW w:w="3448" w:type="dxa"/>
          </w:tcPr>
          <w:p w14:paraId="7F12AEBF" w14:textId="77777777" w:rsidR="00750C2C" w:rsidRPr="00694267" w:rsidRDefault="00750C2C" w:rsidP="00750C2C">
            <w:pPr>
              <w:pStyle w:val="Tablebullet1"/>
              <w:rPr>
                <w:rFonts w:cs="Arial"/>
              </w:rPr>
            </w:pPr>
            <w:r w:rsidRPr="00694267">
              <w:rPr>
                <w:rFonts w:cs="Arial"/>
              </w:rPr>
              <w:t>To enable the Regulator to make an informed assessment about whether the service providers have the financial capacity to provide the social services(s).</w:t>
            </w:r>
          </w:p>
          <w:p w14:paraId="0AC6D0F2" w14:textId="77777777" w:rsidR="00750C2C" w:rsidRPr="00694267" w:rsidRDefault="00750C2C" w:rsidP="00750C2C">
            <w:pPr>
              <w:pStyle w:val="Tablebullet1"/>
              <w:rPr>
                <w:rFonts w:cs="Arial"/>
              </w:rPr>
            </w:pPr>
            <w:r w:rsidRPr="00694267">
              <w:rPr>
                <w:rFonts w:cs="Arial"/>
              </w:rPr>
              <w:t>To support the</w:t>
            </w:r>
            <w:r w:rsidRPr="00694267" w:rsidDel="6307CC9A">
              <w:rPr>
                <w:rFonts w:cs="Arial"/>
              </w:rPr>
              <w:t xml:space="preserve"> </w:t>
            </w:r>
            <w:r w:rsidRPr="00694267">
              <w:rPr>
                <w:rFonts w:cs="Arial"/>
              </w:rPr>
              <w:t>Regulator to make an informed assessment about whether the service providers have suitable arrangements in place to provide the social service(s).</w:t>
            </w:r>
          </w:p>
          <w:p w14:paraId="084A9BA0" w14:textId="77777777" w:rsidR="00750C2C" w:rsidRPr="00694267" w:rsidRDefault="00750C2C" w:rsidP="00750C2C">
            <w:pPr>
              <w:pStyle w:val="Tablebullet1"/>
              <w:rPr>
                <w:rFonts w:cs="Arial"/>
              </w:rPr>
            </w:pPr>
            <w:r w:rsidRPr="00694267">
              <w:rPr>
                <w:rFonts w:cs="Arial"/>
              </w:rPr>
              <w:t>To reduce regulatory burden for service providers.</w:t>
            </w:r>
          </w:p>
        </w:tc>
      </w:tr>
      <w:tr w:rsidR="00750C2C" w:rsidRPr="00694267" w14:paraId="73A4503B" w14:textId="77777777" w:rsidTr="00750C2C">
        <w:trPr>
          <w:trHeight w:val="300"/>
        </w:trPr>
        <w:tc>
          <w:tcPr>
            <w:tcW w:w="3447" w:type="dxa"/>
          </w:tcPr>
          <w:p w14:paraId="242D5CDF" w14:textId="77777777" w:rsidR="00750C2C" w:rsidRPr="00694267" w:rsidRDefault="00750C2C" w:rsidP="00E46457">
            <w:pPr>
              <w:pStyle w:val="Tabletext"/>
              <w:widowControl w:val="0"/>
              <w:rPr>
                <w:rFonts w:eastAsia="Times" w:cs="Arial"/>
              </w:rPr>
            </w:pPr>
            <w:r w:rsidRPr="00694267">
              <w:rPr>
                <w:rFonts w:eastAsia="Times" w:cs="Arial"/>
              </w:rPr>
              <w:t xml:space="preserve">Contact and performance management information about service providers, including: </w:t>
            </w:r>
          </w:p>
          <w:p w14:paraId="7B50974C" w14:textId="77777777" w:rsidR="00750C2C" w:rsidRPr="00694267" w:rsidRDefault="00750C2C" w:rsidP="00750C2C">
            <w:pPr>
              <w:pStyle w:val="Tablebullet1"/>
              <w:rPr>
                <w:rFonts w:cs="Arial"/>
              </w:rPr>
            </w:pPr>
            <w:r w:rsidRPr="00694267">
              <w:rPr>
                <w:rFonts w:cs="Arial"/>
              </w:rPr>
              <w:t>performance audit reports</w:t>
            </w:r>
          </w:p>
          <w:p w14:paraId="5DC938F7" w14:textId="77777777" w:rsidR="00750C2C" w:rsidRPr="00694267" w:rsidRDefault="00750C2C" w:rsidP="00750C2C">
            <w:pPr>
              <w:pStyle w:val="Tablebullet1"/>
              <w:rPr>
                <w:rFonts w:cs="Arial"/>
              </w:rPr>
            </w:pPr>
            <w:r w:rsidRPr="00694267">
              <w:rPr>
                <w:rFonts w:cs="Arial"/>
              </w:rPr>
              <w:t>funded organisations that are subject to additional Service Agreement monitoring</w:t>
            </w:r>
          </w:p>
        </w:tc>
        <w:tc>
          <w:tcPr>
            <w:tcW w:w="3448" w:type="dxa"/>
          </w:tcPr>
          <w:p w14:paraId="0B9B4D66" w14:textId="77777777" w:rsidR="00750C2C" w:rsidRPr="00694267" w:rsidRDefault="00750C2C" w:rsidP="00E46457">
            <w:pPr>
              <w:pStyle w:val="Tabletext"/>
              <w:rPr>
                <w:rFonts w:cs="Arial"/>
              </w:rPr>
            </w:pPr>
            <w:r w:rsidRPr="00694267">
              <w:rPr>
                <w:rFonts w:cs="Arial"/>
              </w:rPr>
              <w:t xml:space="preserve">The department to provide </w:t>
            </w:r>
            <w:r w:rsidRPr="00694267">
              <w:rPr>
                <w:rFonts w:cs="Arial"/>
                <w:b/>
                <w:bCs/>
              </w:rPr>
              <w:t>if</w:t>
            </w:r>
            <w:r w:rsidRPr="00694267">
              <w:rPr>
                <w:rFonts w:cs="Arial"/>
              </w:rPr>
              <w:t xml:space="preserve"> the performance audit or additional service agreement monitoring results from a systemic issue in service delivery that may breach the Social Service Standards.</w:t>
            </w:r>
          </w:p>
        </w:tc>
        <w:tc>
          <w:tcPr>
            <w:tcW w:w="3448" w:type="dxa"/>
          </w:tcPr>
          <w:p w14:paraId="5FF50A95" w14:textId="77777777" w:rsidR="00750C2C" w:rsidRPr="00694267" w:rsidRDefault="00750C2C" w:rsidP="00750C2C">
            <w:pPr>
              <w:pStyle w:val="Tablebullet1"/>
              <w:rPr>
                <w:rFonts w:cs="Arial"/>
              </w:rPr>
            </w:pPr>
            <w:r w:rsidRPr="00694267">
              <w:rPr>
                <w:rFonts w:cs="Arial"/>
              </w:rPr>
              <w:t>To support the Regulator to assess if a service provider is complying with the Social Services Standards, particularly relating to safe service delivery and governance.</w:t>
            </w:r>
          </w:p>
          <w:p w14:paraId="56A3EFBD" w14:textId="77777777" w:rsidR="00750C2C" w:rsidRPr="00694267" w:rsidRDefault="00750C2C" w:rsidP="00750C2C">
            <w:pPr>
              <w:pStyle w:val="Tablebullet1"/>
              <w:rPr>
                <w:rFonts w:cs="Arial"/>
              </w:rPr>
            </w:pPr>
            <w:r w:rsidRPr="00694267">
              <w:rPr>
                <w:rFonts w:cs="Arial"/>
              </w:rPr>
              <w:t xml:space="preserve">To support the department and the Regulator to work collaboratively to ensure the safe delivery of social services. </w:t>
            </w:r>
          </w:p>
          <w:p w14:paraId="6A30F7EE" w14:textId="77777777" w:rsidR="00750C2C" w:rsidRPr="00694267" w:rsidRDefault="00750C2C" w:rsidP="00750C2C">
            <w:pPr>
              <w:pStyle w:val="Tablebullet1"/>
              <w:rPr>
                <w:rFonts w:cs="Arial"/>
              </w:rPr>
            </w:pPr>
            <w:r w:rsidRPr="00694267">
              <w:rPr>
                <w:rFonts w:cs="Arial"/>
              </w:rPr>
              <w:t>To reduce regulatory burden for service providers.</w:t>
            </w:r>
          </w:p>
        </w:tc>
      </w:tr>
    </w:tbl>
    <w:p w14:paraId="1D4387A2" w14:textId="5485AEC6" w:rsidR="00153F8F" w:rsidRDefault="00153F8F" w:rsidP="00153F8F">
      <w:pPr>
        <w:pStyle w:val="Heading3"/>
      </w:pPr>
      <w:r w:rsidRPr="00694267">
        <w:t>Specific to Child Protection</w:t>
      </w:r>
    </w:p>
    <w:tbl>
      <w:tblPr>
        <w:tblStyle w:val="TableGrid"/>
        <w:tblW w:w="10343" w:type="dxa"/>
        <w:tblLook w:val="0620" w:firstRow="1" w:lastRow="0" w:firstColumn="0" w:lastColumn="0" w:noHBand="1" w:noVBand="1"/>
      </w:tblPr>
      <w:tblGrid>
        <w:gridCol w:w="3447"/>
        <w:gridCol w:w="3448"/>
        <w:gridCol w:w="3448"/>
      </w:tblGrid>
      <w:tr w:rsidR="00153F8F" w:rsidRPr="00694267" w14:paraId="4102247E" w14:textId="77777777" w:rsidTr="00153F8F">
        <w:trPr>
          <w:trHeight w:val="300"/>
          <w:tblHeader/>
        </w:trPr>
        <w:tc>
          <w:tcPr>
            <w:tcW w:w="3447" w:type="dxa"/>
          </w:tcPr>
          <w:p w14:paraId="01A6E16C" w14:textId="55CB1B7B" w:rsidR="00153F8F" w:rsidRPr="00694267" w:rsidRDefault="00153F8F" w:rsidP="00153F8F">
            <w:pPr>
              <w:pStyle w:val="Tablecolhead"/>
              <w:rPr>
                <w:rFonts w:cs="Arial"/>
              </w:rPr>
            </w:pPr>
            <w:r w:rsidRPr="00750C2C">
              <w:rPr>
                <w:rStyle w:val="Strong"/>
                <w:b/>
                <w:bCs w:val="0"/>
              </w:rPr>
              <w:t>What (information will be shared)</w:t>
            </w:r>
          </w:p>
        </w:tc>
        <w:tc>
          <w:tcPr>
            <w:tcW w:w="3448" w:type="dxa"/>
          </w:tcPr>
          <w:p w14:paraId="7A22949E" w14:textId="6BEA2515" w:rsidR="00153F8F" w:rsidRPr="00694267" w:rsidRDefault="00153F8F" w:rsidP="00153F8F">
            <w:pPr>
              <w:pStyle w:val="Tablecolhead"/>
              <w:rPr>
                <w:rFonts w:cs="Arial"/>
              </w:rPr>
            </w:pPr>
            <w:r w:rsidRPr="00750C2C">
              <w:rPr>
                <w:rStyle w:val="Strong"/>
                <w:b/>
                <w:bCs w:val="0"/>
              </w:rPr>
              <w:t>When (will it be shared)</w:t>
            </w:r>
          </w:p>
        </w:tc>
        <w:tc>
          <w:tcPr>
            <w:tcW w:w="3448" w:type="dxa"/>
          </w:tcPr>
          <w:p w14:paraId="1BAC6DEF" w14:textId="109D89F2" w:rsidR="00153F8F" w:rsidRPr="00694267" w:rsidRDefault="00153F8F" w:rsidP="00153F8F">
            <w:pPr>
              <w:pStyle w:val="Tablecolhead"/>
              <w:rPr>
                <w:rFonts w:cs="Arial"/>
              </w:rPr>
            </w:pPr>
            <w:r w:rsidRPr="00750C2C">
              <w:rPr>
                <w:rStyle w:val="Strong"/>
                <w:b/>
                <w:bCs w:val="0"/>
              </w:rPr>
              <w:t>Why (will it be shared)</w:t>
            </w:r>
          </w:p>
        </w:tc>
      </w:tr>
      <w:tr w:rsidR="00153F8F" w:rsidRPr="00694267" w14:paraId="5AFC4F3B" w14:textId="77777777" w:rsidTr="00153F8F">
        <w:trPr>
          <w:trHeight w:val="300"/>
        </w:trPr>
        <w:tc>
          <w:tcPr>
            <w:tcW w:w="3447" w:type="dxa"/>
          </w:tcPr>
          <w:p w14:paraId="0A3ED83C" w14:textId="77777777" w:rsidR="00153F8F" w:rsidRPr="00694267" w:rsidRDefault="00153F8F" w:rsidP="00153F8F">
            <w:pPr>
              <w:pStyle w:val="Tabletext"/>
              <w:keepNext/>
              <w:widowControl w:val="0"/>
              <w:rPr>
                <w:rFonts w:cs="Arial"/>
              </w:rPr>
            </w:pPr>
            <w:r w:rsidRPr="00694267">
              <w:rPr>
                <w:rFonts w:cs="Arial"/>
              </w:rPr>
              <w:t>The following child protection information to support the SSR to conduct carer investigations under the Worker and Carer Exclusion Scheme (WCES).</w:t>
            </w:r>
          </w:p>
          <w:p w14:paraId="27FA1CD6" w14:textId="77777777" w:rsidR="00153F8F" w:rsidRPr="00694267" w:rsidRDefault="00153F8F" w:rsidP="00153F8F">
            <w:pPr>
              <w:pStyle w:val="Tablebullet1"/>
              <w:keepNext/>
              <w:widowControl w:val="0"/>
              <w:rPr>
                <w:rFonts w:cs="Arial"/>
              </w:rPr>
            </w:pPr>
            <w:r w:rsidRPr="00694267">
              <w:rPr>
                <w:rFonts w:cs="Arial"/>
              </w:rPr>
              <w:t>name of carer subject to allegations</w:t>
            </w:r>
          </w:p>
          <w:p w14:paraId="41310992" w14:textId="77777777" w:rsidR="00153F8F" w:rsidRPr="00694267" w:rsidRDefault="00153F8F" w:rsidP="00153F8F">
            <w:pPr>
              <w:pStyle w:val="Tablebullet1"/>
              <w:keepNext/>
              <w:widowControl w:val="0"/>
              <w:rPr>
                <w:rFonts w:cs="Arial"/>
              </w:rPr>
            </w:pPr>
            <w:r w:rsidRPr="00694267">
              <w:rPr>
                <w:rFonts w:cs="Arial"/>
              </w:rPr>
              <w:t>details of carer engagement (dates, agency)</w:t>
            </w:r>
          </w:p>
          <w:p w14:paraId="1148F8FD" w14:textId="77777777" w:rsidR="00153F8F" w:rsidRPr="00694267" w:rsidRDefault="00153F8F" w:rsidP="00153F8F">
            <w:pPr>
              <w:pStyle w:val="Tablebullet1"/>
              <w:keepNext/>
              <w:rPr>
                <w:rFonts w:cs="Arial"/>
              </w:rPr>
            </w:pPr>
            <w:r w:rsidRPr="00694267">
              <w:rPr>
                <w:rFonts w:cs="Arial"/>
              </w:rPr>
              <w:t>confirmation of child’s engagement with carer.</w:t>
            </w:r>
          </w:p>
        </w:tc>
        <w:tc>
          <w:tcPr>
            <w:tcW w:w="3448" w:type="dxa"/>
          </w:tcPr>
          <w:p w14:paraId="3784B84F" w14:textId="77777777" w:rsidR="00153F8F" w:rsidRPr="00694267" w:rsidRDefault="00153F8F" w:rsidP="00153F8F">
            <w:pPr>
              <w:pStyle w:val="Tabletext"/>
              <w:keepNext/>
              <w:rPr>
                <w:rFonts w:cs="Arial"/>
              </w:rPr>
            </w:pPr>
            <w:r w:rsidRPr="00694267">
              <w:rPr>
                <w:rFonts w:cs="Arial"/>
              </w:rPr>
              <w:t xml:space="preserve">The Regulator will request this information when it receives a report about a carer’s conduct under the WCES Scheme. </w:t>
            </w:r>
          </w:p>
          <w:p w14:paraId="799F8397" w14:textId="77777777" w:rsidR="00153F8F" w:rsidRPr="00694267" w:rsidRDefault="00153F8F" w:rsidP="00153F8F">
            <w:pPr>
              <w:pStyle w:val="Tabletext"/>
              <w:keepNext/>
              <w:rPr>
                <w:rFonts w:cs="Arial"/>
              </w:rPr>
            </w:pPr>
          </w:p>
        </w:tc>
        <w:tc>
          <w:tcPr>
            <w:tcW w:w="3448" w:type="dxa"/>
          </w:tcPr>
          <w:p w14:paraId="77883056" w14:textId="77777777" w:rsidR="00153F8F" w:rsidRPr="00694267" w:rsidRDefault="00153F8F" w:rsidP="00153F8F">
            <w:pPr>
              <w:pStyle w:val="Tablebullet1"/>
              <w:keepNext/>
              <w:rPr>
                <w:rFonts w:cs="Arial"/>
              </w:rPr>
            </w:pPr>
            <w:r w:rsidRPr="00694267">
              <w:rPr>
                <w:rFonts w:cs="Arial"/>
              </w:rPr>
              <w:t>To enable the Regulator to determine if conduct is in scope of the WCES scheme, by confirming whether:</w:t>
            </w:r>
          </w:p>
          <w:p w14:paraId="3EB35671" w14:textId="77777777" w:rsidR="00153F8F" w:rsidRPr="00694267" w:rsidRDefault="00153F8F" w:rsidP="00153F8F">
            <w:pPr>
              <w:pStyle w:val="Tablebullet2"/>
              <w:keepNext/>
              <w:rPr>
                <w:rFonts w:cs="Arial"/>
              </w:rPr>
            </w:pPr>
            <w:r w:rsidRPr="00694267">
              <w:rPr>
                <w:rFonts w:cs="Arial"/>
              </w:rPr>
              <w:t>an allegation relates to a person who is within the definition of a WCES worker or carer, and</w:t>
            </w:r>
          </w:p>
          <w:p w14:paraId="010808FE" w14:textId="77777777" w:rsidR="00153F8F" w:rsidRPr="00694267" w:rsidRDefault="00153F8F" w:rsidP="00153F8F">
            <w:pPr>
              <w:pStyle w:val="Tablebullet2"/>
              <w:keepNext/>
              <w:rPr>
                <w:rFonts w:eastAsiaTheme="majorEastAsia" w:cs="Arial"/>
              </w:rPr>
            </w:pPr>
            <w:r w:rsidRPr="00694267">
              <w:rPr>
                <w:rFonts w:cs="Arial"/>
              </w:rPr>
              <w:t xml:space="preserve">the victim of the conduct is </w:t>
            </w:r>
            <w:r w:rsidRPr="00694267">
              <w:rPr>
                <w:rFonts w:eastAsiaTheme="majorEastAsia" w:cs="Arial"/>
              </w:rPr>
              <w:t>a child in care.</w:t>
            </w:r>
          </w:p>
          <w:p w14:paraId="2C4DA6E1" w14:textId="77777777" w:rsidR="00153F8F" w:rsidRPr="00694267" w:rsidRDefault="00153F8F" w:rsidP="00153F8F">
            <w:pPr>
              <w:pStyle w:val="Tablebullet1"/>
              <w:keepNext/>
              <w:rPr>
                <w:rFonts w:cs="Arial"/>
              </w:rPr>
            </w:pPr>
            <w:r w:rsidRPr="00694267">
              <w:rPr>
                <w:rFonts w:cs="Arial"/>
              </w:rPr>
              <w:t>To support</w:t>
            </w:r>
            <w:r w:rsidRPr="00694267" w:rsidDel="00DC3D8F">
              <w:rPr>
                <w:rFonts w:cs="Arial"/>
              </w:rPr>
              <w:t xml:space="preserve"> </w:t>
            </w:r>
            <w:r w:rsidRPr="00694267">
              <w:rPr>
                <w:rFonts w:cs="Arial"/>
              </w:rPr>
              <w:t xml:space="preserve">the Regulator in the investigation of conduct that may lead to exclusion under the WCES scheme. </w:t>
            </w:r>
          </w:p>
          <w:p w14:paraId="3A07DED4" w14:textId="77777777" w:rsidR="00153F8F" w:rsidRPr="00694267" w:rsidRDefault="00153F8F" w:rsidP="00153F8F">
            <w:pPr>
              <w:pStyle w:val="Tablebullet1"/>
              <w:keepNext/>
              <w:rPr>
                <w:rFonts w:cs="Arial"/>
              </w:rPr>
            </w:pPr>
            <w:r w:rsidRPr="00694267">
              <w:rPr>
                <w:rFonts w:cs="Arial"/>
              </w:rPr>
              <w:t>To support the department and the Regulator to work collaboratively to ensure the safe delivery of social services.</w:t>
            </w:r>
          </w:p>
        </w:tc>
      </w:tr>
    </w:tbl>
    <w:p w14:paraId="77070134" w14:textId="19E886DB" w:rsidR="00153F8F" w:rsidRDefault="00153F8F" w:rsidP="00153F8F">
      <w:pPr>
        <w:pStyle w:val="Heading3"/>
      </w:pPr>
      <w:r w:rsidRPr="00694267">
        <w:t>Specific to Supported Residential Service(s) (SRS)</w:t>
      </w:r>
    </w:p>
    <w:tbl>
      <w:tblPr>
        <w:tblStyle w:val="TableGrid"/>
        <w:tblW w:w="10343" w:type="dxa"/>
        <w:tblLook w:val="0620" w:firstRow="1" w:lastRow="0" w:firstColumn="0" w:lastColumn="0" w:noHBand="1" w:noVBand="1"/>
      </w:tblPr>
      <w:tblGrid>
        <w:gridCol w:w="3447"/>
        <w:gridCol w:w="3448"/>
        <w:gridCol w:w="3448"/>
      </w:tblGrid>
      <w:tr w:rsidR="00153F8F" w:rsidRPr="00694267" w14:paraId="4D3AFEFF" w14:textId="77777777" w:rsidTr="00153F8F">
        <w:trPr>
          <w:trHeight w:val="300"/>
          <w:tblHeader/>
        </w:trPr>
        <w:tc>
          <w:tcPr>
            <w:tcW w:w="3447" w:type="dxa"/>
          </w:tcPr>
          <w:p w14:paraId="1C787549" w14:textId="51641AF0" w:rsidR="00153F8F" w:rsidRPr="00694267" w:rsidRDefault="00153F8F" w:rsidP="00153F8F">
            <w:pPr>
              <w:pStyle w:val="Tablecolhead"/>
              <w:rPr>
                <w:rFonts w:cs="Arial"/>
              </w:rPr>
            </w:pPr>
            <w:r w:rsidRPr="00750C2C">
              <w:rPr>
                <w:rStyle w:val="Strong"/>
                <w:b/>
                <w:bCs w:val="0"/>
              </w:rPr>
              <w:t>What (information will be shared)</w:t>
            </w:r>
          </w:p>
        </w:tc>
        <w:tc>
          <w:tcPr>
            <w:tcW w:w="3448" w:type="dxa"/>
          </w:tcPr>
          <w:p w14:paraId="543825BE" w14:textId="086A4C9F" w:rsidR="00153F8F" w:rsidRPr="00694267" w:rsidRDefault="00153F8F" w:rsidP="00153F8F">
            <w:pPr>
              <w:pStyle w:val="Tablecolhead"/>
              <w:rPr>
                <w:rFonts w:cs="Arial"/>
              </w:rPr>
            </w:pPr>
            <w:r w:rsidRPr="00750C2C">
              <w:rPr>
                <w:rStyle w:val="Strong"/>
                <w:b/>
                <w:bCs w:val="0"/>
              </w:rPr>
              <w:t>When (will it be shared)</w:t>
            </w:r>
          </w:p>
        </w:tc>
        <w:tc>
          <w:tcPr>
            <w:tcW w:w="3448" w:type="dxa"/>
          </w:tcPr>
          <w:p w14:paraId="090CDB05" w14:textId="710A24A9" w:rsidR="00153F8F" w:rsidRPr="00694267" w:rsidRDefault="00153F8F" w:rsidP="00153F8F">
            <w:pPr>
              <w:pStyle w:val="Tablecolhead"/>
              <w:rPr>
                <w:rFonts w:cs="Arial"/>
              </w:rPr>
            </w:pPr>
            <w:r w:rsidRPr="00750C2C">
              <w:rPr>
                <w:rStyle w:val="Strong"/>
                <w:b/>
                <w:bCs w:val="0"/>
              </w:rPr>
              <w:t>Why (will it be shared)</w:t>
            </w:r>
          </w:p>
        </w:tc>
      </w:tr>
      <w:tr w:rsidR="00153F8F" w:rsidRPr="00694267" w14:paraId="2DEBA150" w14:textId="77777777" w:rsidTr="00153F8F">
        <w:trPr>
          <w:trHeight w:val="300"/>
        </w:trPr>
        <w:tc>
          <w:tcPr>
            <w:tcW w:w="3447" w:type="dxa"/>
          </w:tcPr>
          <w:p w14:paraId="6B554E9B" w14:textId="77777777" w:rsidR="00153F8F" w:rsidRPr="00694267" w:rsidRDefault="00153F8F" w:rsidP="00153F8F">
            <w:pPr>
              <w:pStyle w:val="Tabletext"/>
              <w:rPr>
                <w:rFonts w:cs="Arial"/>
              </w:rPr>
            </w:pPr>
            <w:r w:rsidRPr="00694267">
              <w:rPr>
                <w:rFonts w:cs="Arial"/>
              </w:rPr>
              <w:t>Notice of the unexpected closure of an SRS</w:t>
            </w:r>
          </w:p>
        </w:tc>
        <w:tc>
          <w:tcPr>
            <w:tcW w:w="3448" w:type="dxa"/>
          </w:tcPr>
          <w:p w14:paraId="42B58592" w14:textId="77777777" w:rsidR="00153F8F" w:rsidRPr="00694267" w:rsidRDefault="00153F8F" w:rsidP="00153F8F">
            <w:pPr>
              <w:pStyle w:val="Tabletext"/>
              <w:rPr>
                <w:rFonts w:cs="Arial"/>
              </w:rPr>
            </w:pPr>
            <w:r w:rsidRPr="00694267">
              <w:rPr>
                <w:rFonts w:cs="Arial"/>
              </w:rPr>
              <w:t>The department to notify the Regulator if it receives indication from an</w:t>
            </w:r>
            <w:r w:rsidRPr="00694267" w:rsidDel="6BAB144D">
              <w:rPr>
                <w:rFonts w:cs="Arial"/>
              </w:rPr>
              <w:t xml:space="preserve"> </w:t>
            </w:r>
            <w:r w:rsidRPr="00694267">
              <w:rPr>
                <w:rFonts w:cs="Arial"/>
              </w:rPr>
              <w:t>SRS that it is likely to close.</w:t>
            </w:r>
          </w:p>
        </w:tc>
        <w:tc>
          <w:tcPr>
            <w:tcW w:w="3448" w:type="dxa"/>
          </w:tcPr>
          <w:p w14:paraId="48D21638" w14:textId="77777777" w:rsidR="00153F8F" w:rsidRPr="00694267" w:rsidRDefault="00153F8F" w:rsidP="00153F8F">
            <w:pPr>
              <w:pStyle w:val="Tablebullet1"/>
              <w:rPr>
                <w:rFonts w:cs="Arial"/>
              </w:rPr>
            </w:pPr>
            <w:r w:rsidRPr="00694267">
              <w:rPr>
                <w:rFonts w:cs="Arial"/>
              </w:rPr>
              <w:t xml:space="preserve">To support the Regulator to assess if an SRS is complying with the Social Services Standards, particularly in relation to safe service delivery. </w:t>
            </w:r>
          </w:p>
          <w:p w14:paraId="3EAB3690" w14:textId="77777777" w:rsidR="00153F8F" w:rsidRPr="00694267" w:rsidRDefault="00153F8F" w:rsidP="00153F8F">
            <w:pPr>
              <w:pStyle w:val="Tablebullet1"/>
              <w:rPr>
                <w:rFonts w:cs="Arial"/>
              </w:rPr>
            </w:pPr>
            <w:r w:rsidRPr="00694267">
              <w:rPr>
                <w:rFonts w:cs="Arial"/>
              </w:rPr>
              <w:t>To support</w:t>
            </w:r>
            <w:r w:rsidRPr="00694267" w:rsidDel="6BAB144D">
              <w:rPr>
                <w:rFonts w:cs="Arial"/>
              </w:rPr>
              <w:t xml:space="preserve"> </w:t>
            </w:r>
            <w:r w:rsidRPr="00694267">
              <w:rPr>
                <w:rFonts w:cs="Arial"/>
              </w:rPr>
              <w:t>the Regulator to assess if an SRS has provided proper notice to vacate to an SRS resident.</w:t>
            </w:r>
          </w:p>
          <w:p w14:paraId="79257AF9" w14:textId="579D5152" w:rsidR="00153F8F" w:rsidRPr="008D60AA" w:rsidRDefault="00153F8F" w:rsidP="008D60AA">
            <w:pPr>
              <w:pStyle w:val="Tablebullet1"/>
              <w:rPr>
                <w:rFonts w:cs="Arial"/>
              </w:rPr>
            </w:pPr>
            <w:r w:rsidRPr="00694267">
              <w:rPr>
                <w:rFonts w:cs="Arial"/>
              </w:rPr>
              <w:t>To support the department and the Regulator to work collaboratively to ensure the safe delivery of social services.</w:t>
            </w:r>
          </w:p>
        </w:tc>
      </w:tr>
      <w:tr w:rsidR="00153F8F" w:rsidRPr="00694267" w14:paraId="773429B4" w14:textId="77777777" w:rsidTr="00153F8F">
        <w:trPr>
          <w:trHeight w:val="300"/>
        </w:trPr>
        <w:tc>
          <w:tcPr>
            <w:tcW w:w="3447" w:type="dxa"/>
          </w:tcPr>
          <w:p w14:paraId="43984178" w14:textId="77777777" w:rsidR="00153F8F" w:rsidRPr="00694267" w:rsidRDefault="00153F8F" w:rsidP="00153F8F">
            <w:pPr>
              <w:pStyle w:val="Tabletext"/>
              <w:rPr>
                <w:rFonts w:cs="Arial"/>
              </w:rPr>
            </w:pPr>
            <w:r w:rsidRPr="00694267">
              <w:rPr>
                <w:rFonts w:cs="Arial"/>
              </w:rPr>
              <w:t>A notice to vacate given to SRS resident by an SRS provider and required to be shared with the Secretary under s259 of the SSR Act.</w:t>
            </w:r>
          </w:p>
        </w:tc>
        <w:tc>
          <w:tcPr>
            <w:tcW w:w="3448" w:type="dxa"/>
          </w:tcPr>
          <w:p w14:paraId="030F3725" w14:textId="7384CD15" w:rsidR="00153F8F" w:rsidRPr="00694267" w:rsidRDefault="00153F8F" w:rsidP="00153F8F">
            <w:pPr>
              <w:pStyle w:val="Tabletext"/>
              <w:rPr>
                <w:rFonts w:cs="Arial"/>
              </w:rPr>
            </w:pPr>
            <w:r w:rsidRPr="00694267">
              <w:rPr>
                <w:rFonts w:cs="Arial"/>
              </w:rPr>
              <w:t>When the department receives a notice to vacate under section 259(2) of the SSR Act.</w:t>
            </w:r>
          </w:p>
        </w:tc>
        <w:tc>
          <w:tcPr>
            <w:tcW w:w="3448" w:type="dxa"/>
          </w:tcPr>
          <w:p w14:paraId="79C3453A" w14:textId="77777777" w:rsidR="00153F8F" w:rsidRPr="00694267" w:rsidRDefault="00153F8F" w:rsidP="00153F8F">
            <w:pPr>
              <w:pStyle w:val="Tablebullet1"/>
              <w:rPr>
                <w:rFonts w:cs="Arial"/>
              </w:rPr>
            </w:pPr>
            <w:r w:rsidRPr="00694267">
              <w:rPr>
                <w:rFonts w:cs="Arial"/>
              </w:rPr>
              <w:t>To enable the Regulator to assess if an SRS has provided proper notice to vacate to an SRS resident.</w:t>
            </w:r>
          </w:p>
          <w:p w14:paraId="5343CA84" w14:textId="77777777" w:rsidR="00153F8F" w:rsidRPr="00694267" w:rsidRDefault="00153F8F" w:rsidP="00153F8F">
            <w:pPr>
              <w:pStyle w:val="Tablebullet1"/>
              <w:rPr>
                <w:rFonts w:cs="Arial"/>
              </w:rPr>
            </w:pPr>
            <w:r w:rsidRPr="00694267">
              <w:rPr>
                <w:rFonts w:cs="Arial"/>
              </w:rPr>
              <w:t>To</w:t>
            </w:r>
            <w:r w:rsidRPr="00694267" w:rsidDel="00B321B0">
              <w:rPr>
                <w:rFonts w:cs="Arial"/>
              </w:rPr>
              <w:t xml:space="preserve"> </w:t>
            </w:r>
            <w:r w:rsidRPr="00694267">
              <w:rPr>
                <w:rFonts w:cs="Arial"/>
              </w:rPr>
              <w:t xml:space="preserve">support the Regulator to assess if an SRS has met the Social Service Standards, particularly in relation to safe service delivery. </w:t>
            </w:r>
          </w:p>
          <w:p w14:paraId="7263BC1A" w14:textId="27E0BC62" w:rsidR="00153F8F" w:rsidRPr="00153F8F" w:rsidRDefault="00153F8F" w:rsidP="00153F8F">
            <w:pPr>
              <w:pStyle w:val="Tablebullet1"/>
              <w:rPr>
                <w:rFonts w:cs="Arial"/>
              </w:rPr>
            </w:pPr>
            <w:r w:rsidRPr="00694267">
              <w:rPr>
                <w:rFonts w:cs="Arial"/>
              </w:rPr>
              <w:t>To support the department and the Regulator to work collaboratively to ensure the safe delivery of social services.</w:t>
            </w:r>
          </w:p>
        </w:tc>
      </w:tr>
      <w:tr w:rsidR="00153F8F" w:rsidRPr="00694267" w14:paraId="7AB125D6" w14:textId="77777777" w:rsidTr="00153F8F">
        <w:trPr>
          <w:trHeight w:val="300"/>
        </w:trPr>
        <w:tc>
          <w:tcPr>
            <w:tcW w:w="3447" w:type="dxa"/>
          </w:tcPr>
          <w:p w14:paraId="2730CCC3" w14:textId="77777777" w:rsidR="00153F8F" w:rsidRPr="00694267" w:rsidRDefault="00153F8F" w:rsidP="00153F8F">
            <w:pPr>
              <w:pStyle w:val="Tabletext"/>
              <w:rPr>
                <w:rFonts w:cs="Arial"/>
              </w:rPr>
            </w:pPr>
            <w:r w:rsidRPr="00694267">
              <w:rPr>
                <w:rFonts w:cs="Arial"/>
              </w:rPr>
              <w:t>Details of Regulator requested assessments of SRS resident health and personal support needs, including:</w:t>
            </w:r>
          </w:p>
          <w:p w14:paraId="162C1DBF" w14:textId="77777777" w:rsidR="00153F8F" w:rsidRPr="00694267" w:rsidRDefault="00153F8F" w:rsidP="00153F8F">
            <w:pPr>
              <w:pStyle w:val="Tablebullet1"/>
              <w:rPr>
                <w:rFonts w:cs="Arial"/>
              </w:rPr>
            </w:pPr>
            <w:r w:rsidRPr="00694267">
              <w:rPr>
                <w:rFonts w:cs="Arial"/>
              </w:rPr>
              <w:t>progress updates</w:t>
            </w:r>
          </w:p>
          <w:p w14:paraId="357DF81D" w14:textId="77777777" w:rsidR="00153F8F" w:rsidRPr="00694267" w:rsidRDefault="00153F8F" w:rsidP="00153F8F">
            <w:pPr>
              <w:pStyle w:val="Tablebullet1"/>
              <w:rPr>
                <w:rFonts w:cs="Arial"/>
              </w:rPr>
            </w:pPr>
            <w:r w:rsidRPr="00694267">
              <w:rPr>
                <w:rFonts w:cs="Arial"/>
              </w:rPr>
              <w:t>assessment outcomes</w:t>
            </w:r>
          </w:p>
        </w:tc>
        <w:tc>
          <w:tcPr>
            <w:tcW w:w="3448" w:type="dxa"/>
          </w:tcPr>
          <w:p w14:paraId="3CA42E34" w14:textId="77777777" w:rsidR="00153F8F" w:rsidRPr="00694267" w:rsidRDefault="00153F8F" w:rsidP="00153F8F">
            <w:pPr>
              <w:pStyle w:val="Tabletext"/>
              <w:rPr>
                <w:rFonts w:cs="Arial"/>
              </w:rPr>
            </w:pPr>
            <w:r w:rsidRPr="00694267">
              <w:rPr>
                <w:rFonts w:cs="Arial"/>
              </w:rPr>
              <w:t>When:</w:t>
            </w:r>
          </w:p>
          <w:p w14:paraId="018D472D" w14:textId="77777777" w:rsidR="00153F8F" w:rsidRPr="00694267" w:rsidRDefault="00153F8F" w:rsidP="008D60AA">
            <w:pPr>
              <w:pStyle w:val="Tablebullet1"/>
            </w:pPr>
            <w:r w:rsidRPr="00694267">
              <w:t xml:space="preserve">the SSR makes a notification to the department that a resident of a supported residential service appears to </w:t>
            </w:r>
            <w:proofErr w:type="gramStart"/>
            <w:r w:rsidRPr="00694267">
              <w:t>be in need of</w:t>
            </w:r>
            <w:proofErr w:type="gramEnd"/>
            <w:r w:rsidRPr="00694267">
              <w:t xml:space="preserve"> health care, personal support or other care that the supported residential service is unable to provide; and</w:t>
            </w:r>
          </w:p>
          <w:p w14:paraId="7C255FD4" w14:textId="7BDC70FC" w:rsidR="00153F8F" w:rsidRPr="008D60AA" w:rsidRDefault="00153F8F" w:rsidP="008D60AA">
            <w:pPr>
              <w:pStyle w:val="Tablebullet1"/>
            </w:pPr>
            <w:r w:rsidRPr="00694267">
              <w:t xml:space="preserve">the Secretary </w:t>
            </w:r>
            <w:proofErr w:type="gramStart"/>
            <w:r w:rsidRPr="00694267">
              <w:t>makes an assessment of</w:t>
            </w:r>
            <w:proofErr w:type="gramEnd"/>
            <w:r w:rsidRPr="00694267">
              <w:t xml:space="preserve"> how the resident’s needs may be best met.</w:t>
            </w:r>
          </w:p>
        </w:tc>
        <w:tc>
          <w:tcPr>
            <w:tcW w:w="3448" w:type="dxa"/>
          </w:tcPr>
          <w:p w14:paraId="40DA473F" w14:textId="77777777" w:rsidR="00153F8F" w:rsidRPr="00694267" w:rsidRDefault="00153F8F" w:rsidP="00153F8F">
            <w:pPr>
              <w:pStyle w:val="Tablebullet1"/>
              <w:rPr>
                <w:rFonts w:cs="Arial"/>
              </w:rPr>
            </w:pPr>
            <w:r w:rsidRPr="00694267">
              <w:rPr>
                <w:rFonts w:cs="Arial"/>
              </w:rPr>
              <w:t>To</w:t>
            </w:r>
            <w:r w:rsidRPr="00694267" w:rsidDel="00543824">
              <w:rPr>
                <w:rFonts w:cs="Arial"/>
              </w:rPr>
              <w:t xml:space="preserve"> </w:t>
            </w:r>
            <w:r w:rsidRPr="00694267">
              <w:rPr>
                <w:rFonts w:cs="Arial"/>
              </w:rPr>
              <w:t>support the Regulator to assess if an SRS has met the</w:t>
            </w:r>
            <w:r w:rsidRPr="00694267" w:rsidDel="00543824">
              <w:rPr>
                <w:rFonts w:cs="Arial"/>
              </w:rPr>
              <w:t xml:space="preserve"> </w:t>
            </w:r>
            <w:r w:rsidRPr="00694267">
              <w:rPr>
                <w:rFonts w:cs="Arial"/>
              </w:rPr>
              <w:t>Social Service Standards, particularly in relation to safe service delivery and service user agency and dignity.</w:t>
            </w:r>
          </w:p>
          <w:p w14:paraId="10EBFFDA" w14:textId="77777777" w:rsidR="00153F8F" w:rsidRPr="00694267" w:rsidRDefault="00153F8F" w:rsidP="00153F8F">
            <w:pPr>
              <w:pStyle w:val="Tablebullet1"/>
              <w:rPr>
                <w:rFonts w:cs="Arial"/>
              </w:rPr>
            </w:pPr>
            <w:r w:rsidRPr="00694267">
              <w:rPr>
                <w:rFonts w:cs="Arial"/>
              </w:rPr>
              <w:t>To support the Regulator to assess if an SRS has provided proper notice to an SRS resident when issuing a notice to vacate when a resident requires more personal support or health care than available.</w:t>
            </w:r>
          </w:p>
          <w:p w14:paraId="48C2F801" w14:textId="77777777" w:rsidR="00153F8F" w:rsidRPr="00694267" w:rsidRDefault="00153F8F" w:rsidP="00153F8F">
            <w:pPr>
              <w:pStyle w:val="Tablebullet1"/>
              <w:rPr>
                <w:rFonts w:cs="Arial"/>
              </w:rPr>
            </w:pPr>
            <w:r w:rsidRPr="00694267">
              <w:rPr>
                <w:rFonts w:cs="Arial"/>
              </w:rPr>
              <w:t>To support the department and the Regulator to work collaboratively to ensure the safe delivery of social services.</w:t>
            </w:r>
          </w:p>
        </w:tc>
      </w:tr>
    </w:tbl>
    <w:p w14:paraId="4281FA2E" w14:textId="0E559988" w:rsidR="00750C2C" w:rsidRPr="00694267" w:rsidRDefault="00750C2C" w:rsidP="00750C2C">
      <w:pPr>
        <w:pStyle w:val="Heading2"/>
        <w:keepLines w:val="0"/>
        <w:widowControl w:val="0"/>
        <w:rPr>
          <w:rFonts w:cs="Arial"/>
        </w:rPr>
      </w:pPr>
      <w:bookmarkStart w:id="19" w:name="_Toc191294917"/>
      <w:r w:rsidRPr="00694267">
        <w:rPr>
          <w:rFonts w:cs="Arial"/>
        </w:rPr>
        <w:t xml:space="preserve">Information that the </w:t>
      </w:r>
      <w:r w:rsidR="00C918C4">
        <w:rPr>
          <w:rFonts w:cs="Arial"/>
        </w:rPr>
        <w:t>Regulator</w:t>
      </w:r>
      <w:r w:rsidRPr="00694267">
        <w:rPr>
          <w:rFonts w:cs="Arial"/>
        </w:rPr>
        <w:t xml:space="preserve"> will share with the department.</w:t>
      </w:r>
      <w:bookmarkEnd w:id="19"/>
      <w:r w:rsidRPr="00694267">
        <w:rPr>
          <w:rFonts w:cs="Arial"/>
        </w:rPr>
        <w:t xml:space="preserve"> </w:t>
      </w:r>
    </w:p>
    <w:p w14:paraId="0F678803" w14:textId="6EC4C450" w:rsidR="00750C2C" w:rsidRPr="00694267" w:rsidRDefault="00750C2C" w:rsidP="00DB4454">
      <w:pPr>
        <w:pStyle w:val="Body"/>
        <w:rPr>
          <w:rFonts w:cs="Arial"/>
        </w:rPr>
      </w:pPr>
      <w:r w:rsidRPr="00DB4454">
        <w:t>As stated in the I</w:t>
      </w:r>
      <w:r w:rsidR="00F576C1">
        <w:t>nformation Sharing Protocol</w:t>
      </w:r>
      <w:r w:rsidRPr="00DB4454">
        <w:t>, these arrangements do not apply when the department is the service provider.</w:t>
      </w:r>
    </w:p>
    <w:tbl>
      <w:tblPr>
        <w:tblStyle w:val="TableGrid"/>
        <w:tblW w:w="10201" w:type="dxa"/>
        <w:tblLook w:val="0620" w:firstRow="1" w:lastRow="0" w:firstColumn="0" w:lastColumn="0" w:noHBand="1" w:noVBand="1"/>
      </w:tblPr>
      <w:tblGrid>
        <w:gridCol w:w="3400"/>
        <w:gridCol w:w="3400"/>
        <w:gridCol w:w="3401"/>
      </w:tblGrid>
      <w:tr w:rsidR="00750C2C" w:rsidRPr="00694267" w14:paraId="7B8A24BE" w14:textId="77777777" w:rsidTr="00153F8F">
        <w:trPr>
          <w:trHeight w:val="300"/>
          <w:tblHeader/>
        </w:trPr>
        <w:tc>
          <w:tcPr>
            <w:tcW w:w="3400" w:type="dxa"/>
          </w:tcPr>
          <w:p w14:paraId="11D991A4" w14:textId="77777777" w:rsidR="00750C2C" w:rsidRPr="00153F8F" w:rsidRDefault="00750C2C" w:rsidP="00153F8F">
            <w:pPr>
              <w:pStyle w:val="Tablecolhead"/>
            </w:pPr>
            <w:r w:rsidRPr="00153F8F">
              <w:rPr>
                <w:rStyle w:val="Strong"/>
                <w:b/>
                <w:bCs w:val="0"/>
              </w:rPr>
              <w:t>What information will be shared</w:t>
            </w:r>
          </w:p>
        </w:tc>
        <w:tc>
          <w:tcPr>
            <w:tcW w:w="3400" w:type="dxa"/>
          </w:tcPr>
          <w:p w14:paraId="62B4FD0B" w14:textId="77777777" w:rsidR="00750C2C" w:rsidRPr="00153F8F" w:rsidRDefault="00750C2C" w:rsidP="00153F8F">
            <w:pPr>
              <w:pStyle w:val="Tablecolhead"/>
            </w:pPr>
            <w:r w:rsidRPr="00153F8F">
              <w:rPr>
                <w:rStyle w:val="Strong"/>
                <w:b/>
                <w:bCs w:val="0"/>
              </w:rPr>
              <w:t xml:space="preserve">When </w:t>
            </w:r>
          </w:p>
        </w:tc>
        <w:tc>
          <w:tcPr>
            <w:tcW w:w="3401" w:type="dxa"/>
          </w:tcPr>
          <w:p w14:paraId="545C7F3D" w14:textId="77777777" w:rsidR="00750C2C" w:rsidRPr="00153F8F" w:rsidRDefault="00750C2C" w:rsidP="00153F8F">
            <w:pPr>
              <w:pStyle w:val="Tablecolhead"/>
              <w:rPr>
                <w:rStyle w:val="Strong"/>
                <w:b/>
                <w:bCs w:val="0"/>
              </w:rPr>
            </w:pPr>
            <w:r w:rsidRPr="00153F8F">
              <w:rPr>
                <w:rStyle w:val="Strong"/>
                <w:b/>
                <w:bCs w:val="0"/>
              </w:rPr>
              <w:t>For what purpose</w:t>
            </w:r>
          </w:p>
        </w:tc>
      </w:tr>
      <w:tr w:rsidR="00750C2C" w:rsidRPr="00694267" w14:paraId="02B50C69" w14:textId="77777777" w:rsidTr="00153F8F">
        <w:trPr>
          <w:trHeight w:val="300"/>
        </w:trPr>
        <w:tc>
          <w:tcPr>
            <w:tcW w:w="3400" w:type="dxa"/>
          </w:tcPr>
          <w:p w14:paraId="7DB08834" w14:textId="77777777" w:rsidR="00750C2C" w:rsidRPr="00694267" w:rsidRDefault="00750C2C" w:rsidP="00E46457">
            <w:pPr>
              <w:pStyle w:val="Tabletext"/>
              <w:rPr>
                <w:rFonts w:cs="Arial"/>
              </w:rPr>
            </w:pPr>
            <w:r w:rsidRPr="00694267">
              <w:rPr>
                <w:rFonts w:cs="Arial"/>
              </w:rPr>
              <w:t>Any conditions that the SSR places on a registration of an in-scope social service provider or an SRS.</w:t>
            </w:r>
          </w:p>
        </w:tc>
        <w:tc>
          <w:tcPr>
            <w:tcW w:w="3400" w:type="dxa"/>
          </w:tcPr>
          <w:p w14:paraId="7ACD3017" w14:textId="7EB90DC9" w:rsidR="00750C2C" w:rsidRPr="00694267" w:rsidRDefault="00750C2C" w:rsidP="00E46457">
            <w:pPr>
              <w:pStyle w:val="Tabletext"/>
              <w:rPr>
                <w:rFonts w:cs="Arial"/>
              </w:rPr>
            </w:pPr>
            <w:r w:rsidRPr="00694267">
              <w:rPr>
                <w:rFonts w:cs="Arial"/>
              </w:rPr>
              <w:t xml:space="preserve">When the Regulator imposes a condition on the registration of a service provider. </w:t>
            </w:r>
          </w:p>
        </w:tc>
        <w:tc>
          <w:tcPr>
            <w:tcW w:w="3401" w:type="dxa"/>
          </w:tcPr>
          <w:p w14:paraId="2CBADD17" w14:textId="77777777" w:rsidR="00750C2C" w:rsidRPr="00694267" w:rsidRDefault="00750C2C" w:rsidP="00750C2C">
            <w:pPr>
              <w:pStyle w:val="Tablebullet1"/>
              <w:rPr>
                <w:rFonts w:cs="Arial"/>
              </w:rPr>
            </w:pPr>
            <w:r w:rsidRPr="00694267">
              <w:rPr>
                <w:rFonts w:cs="Arial"/>
              </w:rPr>
              <w:t>To support the department to make decisions about:</w:t>
            </w:r>
          </w:p>
          <w:p w14:paraId="17C08E9B" w14:textId="77777777" w:rsidR="00750C2C" w:rsidRPr="00694267" w:rsidRDefault="00750C2C" w:rsidP="00750C2C">
            <w:pPr>
              <w:pStyle w:val="Tablebullet2"/>
              <w:rPr>
                <w:rFonts w:cs="Arial"/>
              </w:rPr>
            </w:pPr>
            <w:r w:rsidRPr="00694267">
              <w:rPr>
                <w:rFonts w:cs="Arial"/>
              </w:rPr>
              <w:t>service provider funding arrangements; and</w:t>
            </w:r>
          </w:p>
          <w:p w14:paraId="0C4934C2" w14:textId="1C45A89C" w:rsidR="00750C2C" w:rsidRPr="008D60AA" w:rsidRDefault="00750C2C" w:rsidP="008D60AA">
            <w:pPr>
              <w:pStyle w:val="Tablebullet2"/>
              <w:rPr>
                <w:rFonts w:cs="Arial"/>
              </w:rPr>
            </w:pPr>
            <w:r w:rsidRPr="00694267">
              <w:rPr>
                <w:rFonts w:cs="Arial"/>
              </w:rPr>
              <w:t xml:space="preserve"> placement of clients where relevant.  </w:t>
            </w:r>
          </w:p>
          <w:p w14:paraId="6F79A3BB" w14:textId="77777777" w:rsidR="00750C2C" w:rsidRPr="00694267" w:rsidRDefault="00750C2C" w:rsidP="00750C2C">
            <w:pPr>
              <w:pStyle w:val="Tablebullet1"/>
              <w:rPr>
                <w:rFonts w:cs="Arial"/>
              </w:rPr>
            </w:pPr>
            <w:r w:rsidRPr="00694267">
              <w:rPr>
                <w:rFonts w:cs="Arial"/>
              </w:rPr>
              <w:t xml:space="preserve">To support the department to consider alternative agencies to deliver service in the event of a condition preventing an agency from delivering a funded service. </w:t>
            </w:r>
          </w:p>
          <w:p w14:paraId="288B320C" w14:textId="77777777" w:rsidR="00750C2C" w:rsidRPr="00694267" w:rsidRDefault="00750C2C" w:rsidP="00750C2C">
            <w:pPr>
              <w:pStyle w:val="Tablebullet1"/>
              <w:rPr>
                <w:rFonts w:cs="Arial"/>
              </w:rPr>
            </w:pPr>
            <w:r w:rsidRPr="00694267">
              <w:rPr>
                <w:rFonts w:cs="Arial"/>
              </w:rPr>
              <w:t xml:space="preserve">To support the department and the Regulator to work collaboratively to ensure the safe delivery of social services. </w:t>
            </w:r>
          </w:p>
          <w:p w14:paraId="7F0BCC99" w14:textId="77777777" w:rsidR="00750C2C" w:rsidRPr="00694267" w:rsidRDefault="00750C2C" w:rsidP="00E46457">
            <w:pPr>
              <w:pStyle w:val="Tablebullet2"/>
              <w:numPr>
                <w:ilvl w:val="0"/>
                <w:numId w:val="0"/>
              </w:numPr>
              <w:ind w:left="454"/>
              <w:rPr>
                <w:rFonts w:cs="Arial"/>
              </w:rPr>
            </w:pPr>
          </w:p>
        </w:tc>
      </w:tr>
      <w:tr w:rsidR="00750C2C" w:rsidRPr="00694267" w14:paraId="139B0070" w14:textId="77777777" w:rsidTr="00153F8F">
        <w:trPr>
          <w:trHeight w:val="300"/>
        </w:trPr>
        <w:tc>
          <w:tcPr>
            <w:tcW w:w="3400" w:type="dxa"/>
          </w:tcPr>
          <w:p w14:paraId="76A9D150" w14:textId="77777777" w:rsidR="00750C2C" w:rsidRPr="00694267" w:rsidRDefault="00750C2C" w:rsidP="00E46457">
            <w:pPr>
              <w:pStyle w:val="Tabletext"/>
              <w:rPr>
                <w:rFonts w:cs="Arial"/>
              </w:rPr>
            </w:pPr>
            <w:r w:rsidRPr="00694267">
              <w:rPr>
                <w:rFonts w:cs="Arial"/>
              </w:rPr>
              <w:t>Details of the variation or removal of conditions on a registration of an in-scope social service provider or an SRS</w:t>
            </w:r>
          </w:p>
        </w:tc>
        <w:tc>
          <w:tcPr>
            <w:tcW w:w="3400" w:type="dxa"/>
          </w:tcPr>
          <w:p w14:paraId="6BCFDA9B" w14:textId="77777777" w:rsidR="00750C2C" w:rsidRPr="00694267" w:rsidRDefault="00750C2C" w:rsidP="00E46457">
            <w:pPr>
              <w:pStyle w:val="Tabletext"/>
              <w:rPr>
                <w:rFonts w:cs="Arial"/>
              </w:rPr>
            </w:pPr>
            <w:r w:rsidRPr="00694267">
              <w:rPr>
                <w:rFonts w:cs="Arial"/>
              </w:rPr>
              <w:t>When the Regulator varies or revokes a condition on a service provider.</w:t>
            </w:r>
          </w:p>
        </w:tc>
        <w:tc>
          <w:tcPr>
            <w:tcW w:w="3401" w:type="dxa"/>
          </w:tcPr>
          <w:p w14:paraId="2002567C" w14:textId="77777777" w:rsidR="00750C2C" w:rsidRPr="00694267" w:rsidRDefault="00750C2C" w:rsidP="00E46457">
            <w:pPr>
              <w:pStyle w:val="Tabletext"/>
              <w:rPr>
                <w:rFonts w:cs="Arial"/>
              </w:rPr>
            </w:pPr>
            <w:r w:rsidRPr="00694267">
              <w:rPr>
                <w:rFonts w:cs="Arial"/>
              </w:rPr>
              <w:t>To support the department to make decisions about:</w:t>
            </w:r>
          </w:p>
          <w:p w14:paraId="14BC955D" w14:textId="77777777" w:rsidR="00750C2C" w:rsidRPr="00694267" w:rsidRDefault="00750C2C" w:rsidP="00750C2C">
            <w:pPr>
              <w:pStyle w:val="Tablebullet1"/>
              <w:rPr>
                <w:rFonts w:cs="Arial"/>
              </w:rPr>
            </w:pPr>
            <w:r w:rsidRPr="00694267">
              <w:rPr>
                <w:rFonts w:cs="Arial"/>
              </w:rPr>
              <w:t xml:space="preserve">service provider funding arrangements; and </w:t>
            </w:r>
          </w:p>
          <w:p w14:paraId="21BABABF" w14:textId="77777777" w:rsidR="00750C2C" w:rsidRPr="00694267" w:rsidRDefault="00750C2C" w:rsidP="00750C2C">
            <w:pPr>
              <w:pStyle w:val="Tablebullet1"/>
              <w:rPr>
                <w:rFonts w:cs="Arial"/>
              </w:rPr>
            </w:pPr>
            <w:r w:rsidRPr="00694267">
              <w:rPr>
                <w:rFonts w:cs="Arial"/>
              </w:rPr>
              <w:t>placement of clients where relevant.</w:t>
            </w:r>
          </w:p>
        </w:tc>
      </w:tr>
      <w:tr w:rsidR="00750C2C" w:rsidRPr="00694267" w14:paraId="3D33A9EA" w14:textId="77777777" w:rsidTr="00153F8F">
        <w:trPr>
          <w:trHeight w:val="300"/>
        </w:trPr>
        <w:tc>
          <w:tcPr>
            <w:tcW w:w="3400" w:type="dxa"/>
          </w:tcPr>
          <w:p w14:paraId="3C6C945E" w14:textId="77777777" w:rsidR="00750C2C" w:rsidRPr="00694267" w:rsidRDefault="00750C2C" w:rsidP="00E46457">
            <w:pPr>
              <w:pStyle w:val="Tabletext"/>
              <w:rPr>
                <w:rFonts w:cs="Arial"/>
              </w:rPr>
            </w:pPr>
            <w:r w:rsidRPr="00694267">
              <w:rPr>
                <w:rFonts w:cs="Arial"/>
              </w:rPr>
              <w:t>Exemption of an in-scope social service provider or an SRS from any requirement of registration.</w:t>
            </w:r>
          </w:p>
        </w:tc>
        <w:tc>
          <w:tcPr>
            <w:tcW w:w="3400" w:type="dxa"/>
          </w:tcPr>
          <w:p w14:paraId="2C849F29" w14:textId="77777777" w:rsidR="00750C2C" w:rsidRPr="00694267" w:rsidRDefault="00750C2C" w:rsidP="00E46457">
            <w:pPr>
              <w:pStyle w:val="Tabletext"/>
              <w:rPr>
                <w:rFonts w:cs="Arial"/>
              </w:rPr>
            </w:pPr>
            <w:r w:rsidRPr="00694267">
              <w:rPr>
                <w:rFonts w:cs="Arial"/>
              </w:rPr>
              <w:t>When the Regulator provides written notice of an exemption from a requirement of registration to an applicant</w:t>
            </w:r>
            <w:r w:rsidRPr="00694267" w:rsidDel="28AAB541">
              <w:rPr>
                <w:rFonts w:cs="Arial"/>
              </w:rPr>
              <w:t xml:space="preserve"> </w:t>
            </w:r>
          </w:p>
        </w:tc>
        <w:tc>
          <w:tcPr>
            <w:tcW w:w="3401" w:type="dxa"/>
          </w:tcPr>
          <w:p w14:paraId="76DAA688" w14:textId="77777777" w:rsidR="00750C2C" w:rsidRPr="00694267" w:rsidRDefault="00750C2C" w:rsidP="00E46457">
            <w:pPr>
              <w:pStyle w:val="Tabletext"/>
              <w:rPr>
                <w:rFonts w:cs="Arial"/>
              </w:rPr>
            </w:pPr>
            <w:r w:rsidRPr="00694267">
              <w:rPr>
                <w:rFonts w:cs="Arial"/>
              </w:rPr>
              <w:t>To support the department to make decisions about service provider funding arrangements.</w:t>
            </w:r>
          </w:p>
        </w:tc>
      </w:tr>
      <w:tr w:rsidR="00750C2C" w:rsidRPr="00694267" w14:paraId="6BF47ED9" w14:textId="77777777" w:rsidTr="00153F8F">
        <w:tc>
          <w:tcPr>
            <w:tcW w:w="3400" w:type="dxa"/>
          </w:tcPr>
          <w:p w14:paraId="020A4F40" w14:textId="77777777" w:rsidR="00750C2C" w:rsidRPr="00694267" w:rsidRDefault="00750C2C" w:rsidP="00E46457">
            <w:pPr>
              <w:pStyle w:val="Tabletext"/>
              <w:rPr>
                <w:rFonts w:cs="Arial"/>
              </w:rPr>
            </w:pPr>
            <w:r w:rsidRPr="00694267">
              <w:rPr>
                <w:rFonts w:cs="Arial"/>
              </w:rPr>
              <w:t>Application by a registered in-scope service provider or an SRS for cancellation of its registration.</w:t>
            </w:r>
          </w:p>
          <w:p w14:paraId="608F0A89" w14:textId="77777777" w:rsidR="00750C2C" w:rsidRPr="00694267" w:rsidRDefault="00750C2C" w:rsidP="00E46457">
            <w:pPr>
              <w:pStyle w:val="Tabletext"/>
              <w:rPr>
                <w:rFonts w:cs="Arial"/>
              </w:rPr>
            </w:pPr>
            <w:r w:rsidRPr="00694267">
              <w:rPr>
                <w:rFonts w:cs="Arial"/>
              </w:rPr>
              <w:t xml:space="preserve">Decision by the Regulator to cancel registration of a registered in-scope social service provider or an SRS. </w:t>
            </w:r>
          </w:p>
          <w:p w14:paraId="6A942421" w14:textId="77777777" w:rsidR="00750C2C" w:rsidRPr="00694267" w:rsidRDefault="00750C2C" w:rsidP="00E46457">
            <w:pPr>
              <w:pStyle w:val="Tabletext"/>
              <w:rPr>
                <w:rFonts w:cs="Arial"/>
              </w:rPr>
            </w:pPr>
            <w:r w:rsidRPr="00694267">
              <w:rPr>
                <w:rFonts w:cs="Arial"/>
              </w:rPr>
              <w:t>Winding up of any registered in-scope social service provider or an SRS.</w:t>
            </w:r>
          </w:p>
        </w:tc>
        <w:tc>
          <w:tcPr>
            <w:tcW w:w="3400" w:type="dxa"/>
          </w:tcPr>
          <w:p w14:paraId="503AE838" w14:textId="77777777" w:rsidR="00750C2C" w:rsidRPr="00694267" w:rsidRDefault="00750C2C" w:rsidP="008D60AA">
            <w:pPr>
              <w:pStyle w:val="Tabletext"/>
            </w:pPr>
            <w:r w:rsidRPr="00694267">
              <w:t>When the Regulator:</w:t>
            </w:r>
          </w:p>
          <w:p w14:paraId="7EEB8B33" w14:textId="77777777" w:rsidR="00750C2C" w:rsidRPr="00694267" w:rsidRDefault="00750C2C" w:rsidP="00750C2C">
            <w:pPr>
              <w:pStyle w:val="Tablebullet1"/>
              <w:rPr>
                <w:rFonts w:cs="Arial"/>
              </w:rPr>
            </w:pPr>
            <w:r w:rsidRPr="00694267">
              <w:rPr>
                <w:rFonts w:cs="Arial"/>
              </w:rPr>
              <w:t>receives an application for cancellation of registration</w:t>
            </w:r>
            <w:r w:rsidRPr="00694267" w:rsidDel="28AAB541">
              <w:rPr>
                <w:rFonts w:cs="Arial"/>
              </w:rPr>
              <w:t xml:space="preserve"> </w:t>
            </w:r>
            <w:r w:rsidRPr="00694267">
              <w:rPr>
                <w:rFonts w:cs="Arial"/>
              </w:rPr>
              <w:t>of the social service provider</w:t>
            </w:r>
          </w:p>
          <w:p w14:paraId="2D482215" w14:textId="77777777" w:rsidR="00750C2C" w:rsidRPr="00694267" w:rsidRDefault="00750C2C" w:rsidP="00750C2C">
            <w:pPr>
              <w:pStyle w:val="Tablebullet1"/>
              <w:rPr>
                <w:rFonts w:cs="Arial"/>
              </w:rPr>
            </w:pPr>
            <w:proofErr w:type="gramStart"/>
            <w:r w:rsidRPr="00694267">
              <w:rPr>
                <w:rFonts w:cs="Arial"/>
              </w:rPr>
              <w:t>makes a decision</w:t>
            </w:r>
            <w:proofErr w:type="gramEnd"/>
            <w:r w:rsidRPr="00694267">
              <w:rPr>
                <w:rFonts w:cs="Arial"/>
              </w:rPr>
              <w:t xml:space="preserve"> on application for cancellation of registration</w:t>
            </w:r>
          </w:p>
          <w:p w14:paraId="43505187" w14:textId="77777777" w:rsidR="00750C2C" w:rsidRPr="00694267" w:rsidRDefault="00750C2C" w:rsidP="00750C2C">
            <w:pPr>
              <w:pStyle w:val="Tablebullet1"/>
              <w:rPr>
                <w:rFonts w:cs="Arial"/>
              </w:rPr>
            </w:pPr>
            <w:r w:rsidRPr="00694267">
              <w:rPr>
                <w:rFonts w:cs="Arial"/>
              </w:rPr>
              <w:t xml:space="preserve">receives a notice of winding up a registered social service provider </w:t>
            </w:r>
          </w:p>
          <w:p w14:paraId="7B546FF9" w14:textId="77777777" w:rsidR="00750C2C" w:rsidRPr="00694267" w:rsidRDefault="00750C2C" w:rsidP="00750C2C">
            <w:pPr>
              <w:pStyle w:val="Tablebullet1"/>
              <w:rPr>
                <w:rFonts w:cs="Arial"/>
              </w:rPr>
            </w:pPr>
            <w:r w:rsidRPr="00694267">
              <w:rPr>
                <w:rFonts w:cs="Arial"/>
              </w:rPr>
              <w:t>Receives credible indication that an in-scope service provider or SRS is likely to close (prior to a formal application being received)</w:t>
            </w:r>
          </w:p>
        </w:tc>
        <w:tc>
          <w:tcPr>
            <w:tcW w:w="3401" w:type="dxa"/>
          </w:tcPr>
          <w:p w14:paraId="71588BAE" w14:textId="77777777" w:rsidR="00750C2C" w:rsidRPr="00694267" w:rsidRDefault="00750C2C" w:rsidP="00750C2C">
            <w:pPr>
              <w:pStyle w:val="Tablebullet1"/>
              <w:rPr>
                <w:rFonts w:cs="Arial"/>
              </w:rPr>
            </w:pPr>
            <w:r w:rsidRPr="00694267">
              <w:rPr>
                <w:rFonts w:cs="Arial"/>
              </w:rPr>
              <w:t>To support the department in making decisions about service provider funding arrangements</w:t>
            </w:r>
          </w:p>
          <w:p w14:paraId="6CF38586" w14:textId="77777777" w:rsidR="00750C2C" w:rsidRPr="00694267" w:rsidRDefault="00750C2C" w:rsidP="00750C2C">
            <w:pPr>
              <w:pStyle w:val="Tablebullet1"/>
              <w:rPr>
                <w:rFonts w:cs="Arial"/>
              </w:rPr>
            </w:pPr>
            <w:r w:rsidRPr="00694267">
              <w:rPr>
                <w:rFonts w:cs="Arial"/>
              </w:rPr>
              <w:t>To support the department to make alternative arrangements for safe service delivery.</w:t>
            </w:r>
          </w:p>
          <w:p w14:paraId="5556547F" w14:textId="77777777" w:rsidR="00750C2C" w:rsidRPr="00694267" w:rsidRDefault="00750C2C" w:rsidP="00750C2C">
            <w:pPr>
              <w:pStyle w:val="Tablebullet1"/>
              <w:rPr>
                <w:rFonts w:cs="Arial"/>
              </w:rPr>
            </w:pPr>
            <w:r w:rsidRPr="00694267">
              <w:rPr>
                <w:rFonts w:cs="Arial"/>
              </w:rPr>
              <w:t xml:space="preserve">To support the department to assist in finding alternative accommodation for SRS residents. </w:t>
            </w:r>
          </w:p>
        </w:tc>
      </w:tr>
      <w:tr w:rsidR="00750C2C" w:rsidRPr="00694267" w14:paraId="6EDA317D" w14:textId="77777777" w:rsidTr="00153F8F">
        <w:trPr>
          <w:trHeight w:val="300"/>
        </w:trPr>
        <w:tc>
          <w:tcPr>
            <w:tcW w:w="3400" w:type="dxa"/>
          </w:tcPr>
          <w:p w14:paraId="1DB34E8F" w14:textId="77777777" w:rsidR="00750C2C" w:rsidRPr="00694267" w:rsidRDefault="00750C2C" w:rsidP="00E46457">
            <w:pPr>
              <w:pStyle w:val="Tabletext"/>
              <w:rPr>
                <w:rFonts w:cs="Arial"/>
              </w:rPr>
            </w:pPr>
            <w:r w:rsidRPr="00694267">
              <w:rPr>
                <w:rFonts w:cs="Arial"/>
              </w:rPr>
              <w:t>Enforcement actions against an in-scope provider including:</w:t>
            </w:r>
          </w:p>
          <w:p w14:paraId="02D98404" w14:textId="77777777" w:rsidR="00750C2C" w:rsidRPr="00694267" w:rsidRDefault="00750C2C" w:rsidP="00750C2C">
            <w:pPr>
              <w:pStyle w:val="Tablebullet1"/>
              <w:rPr>
                <w:rFonts w:cs="Arial"/>
              </w:rPr>
            </w:pPr>
            <w:r w:rsidRPr="00694267">
              <w:rPr>
                <w:rFonts w:cs="Arial"/>
              </w:rPr>
              <w:t>Improvement notice</w:t>
            </w:r>
          </w:p>
          <w:p w14:paraId="6DAA4C8A" w14:textId="77777777" w:rsidR="00750C2C" w:rsidRPr="00694267" w:rsidRDefault="00750C2C" w:rsidP="00750C2C">
            <w:pPr>
              <w:pStyle w:val="Tablebullet1"/>
              <w:rPr>
                <w:rFonts w:cs="Arial"/>
              </w:rPr>
            </w:pPr>
            <w:r w:rsidRPr="00694267">
              <w:rPr>
                <w:rFonts w:cs="Arial"/>
              </w:rPr>
              <w:t>Prohibition notice</w:t>
            </w:r>
          </w:p>
          <w:p w14:paraId="39474817" w14:textId="77777777" w:rsidR="00750C2C" w:rsidRPr="00694267" w:rsidRDefault="00750C2C" w:rsidP="00750C2C">
            <w:pPr>
              <w:pStyle w:val="Tablebullet1"/>
              <w:rPr>
                <w:rFonts w:cs="Arial"/>
              </w:rPr>
            </w:pPr>
            <w:r w:rsidRPr="00694267">
              <w:rPr>
                <w:rFonts w:cs="Arial"/>
              </w:rPr>
              <w:t xml:space="preserve">Infringement notice </w:t>
            </w:r>
          </w:p>
          <w:p w14:paraId="7EA571CB" w14:textId="77777777" w:rsidR="00750C2C" w:rsidRPr="00694267" w:rsidRDefault="00750C2C" w:rsidP="00750C2C">
            <w:pPr>
              <w:pStyle w:val="Tablebullet1"/>
              <w:rPr>
                <w:rFonts w:cs="Arial"/>
              </w:rPr>
            </w:pPr>
            <w:r w:rsidRPr="00694267">
              <w:rPr>
                <w:rFonts w:cs="Arial"/>
              </w:rPr>
              <w:t>Enforceable undertaking</w:t>
            </w:r>
          </w:p>
        </w:tc>
        <w:tc>
          <w:tcPr>
            <w:tcW w:w="3400" w:type="dxa"/>
          </w:tcPr>
          <w:p w14:paraId="2C0B77FA" w14:textId="77777777" w:rsidR="00750C2C" w:rsidRPr="00694267" w:rsidRDefault="00750C2C" w:rsidP="00E46457">
            <w:pPr>
              <w:pStyle w:val="Tabletext"/>
              <w:rPr>
                <w:rFonts w:cs="Arial"/>
              </w:rPr>
            </w:pPr>
            <w:r w:rsidRPr="00694267">
              <w:rPr>
                <w:rFonts w:cs="Arial"/>
              </w:rPr>
              <w:t xml:space="preserve">Within a reasonable time after the Regulator issues a notice or undertaking to a service provider or an SRS. </w:t>
            </w:r>
          </w:p>
        </w:tc>
        <w:tc>
          <w:tcPr>
            <w:tcW w:w="3401" w:type="dxa"/>
          </w:tcPr>
          <w:p w14:paraId="4F0675C8" w14:textId="77777777" w:rsidR="00750C2C" w:rsidRPr="00694267" w:rsidRDefault="00750C2C" w:rsidP="00750C2C">
            <w:pPr>
              <w:pStyle w:val="Tablebullet1"/>
              <w:rPr>
                <w:rFonts w:cs="Arial"/>
              </w:rPr>
            </w:pPr>
            <w:r w:rsidRPr="00694267">
              <w:rPr>
                <w:rFonts w:cs="Arial"/>
              </w:rPr>
              <w:t xml:space="preserve">To support the department to monitor compliance with the terms and conditions of the Common Service Agreement (CSA). </w:t>
            </w:r>
          </w:p>
          <w:p w14:paraId="45E149D4" w14:textId="77777777" w:rsidR="00750C2C" w:rsidRPr="00694267" w:rsidRDefault="00750C2C" w:rsidP="00750C2C">
            <w:pPr>
              <w:pStyle w:val="Tablebullet1"/>
              <w:rPr>
                <w:rFonts w:cs="Arial"/>
              </w:rPr>
            </w:pPr>
            <w:r w:rsidRPr="00694267">
              <w:rPr>
                <w:rFonts w:cs="Arial"/>
              </w:rPr>
              <w:t xml:space="preserve">To support the department in its role assisting services to deliver safe and quality services. </w:t>
            </w:r>
          </w:p>
        </w:tc>
      </w:tr>
      <w:tr w:rsidR="00750C2C" w:rsidRPr="00694267" w14:paraId="29D1AD4D" w14:textId="77777777" w:rsidTr="00153F8F">
        <w:trPr>
          <w:trHeight w:val="300"/>
        </w:trPr>
        <w:tc>
          <w:tcPr>
            <w:tcW w:w="3400" w:type="dxa"/>
          </w:tcPr>
          <w:p w14:paraId="43A982B1" w14:textId="77777777" w:rsidR="00750C2C" w:rsidRPr="00694267" w:rsidRDefault="00750C2C" w:rsidP="00E46457">
            <w:pPr>
              <w:pStyle w:val="Tabletext"/>
              <w:rPr>
                <w:rFonts w:cs="Arial"/>
              </w:rPr>
            </w:pPr>
            <w:r w:rsidRPr="00694267">
              <w:rPr>
                <w:rFonts w:cs="Arial"/>
              </w:rPr>
              <w:t>Significant enforcement actions against an in-scope provider or a supported residential service including:</w:t>
            </w:r>
          </w:p>
          <w:p w14:paraId="5907AAEC" w14:textId="77777777" w:rsidR="00750C2C" w:rsidRPr="00694267" w:rsidRDefault="00750C2C" w:rsidP="00750C2C">
            <w:pPr>
              <w:pStyle w:val="Tablebullet1"/>
              <w:rPr>
                <w:rFonts w:cs="Arial"/>
              </w:rPr>
            </w:pPr>
            <w:r w:rsidRPr="00694267">
              <w:rPr>
                <w:rFonts w:cs="Arial"/>
              </w:rPr>
              <w:t>Public warning notice</w:t>
            </w:r>
          </w:p>
          <w:p w14:paraId="16350BC9" w14:textId="77777777" w:rsidR="00750C2C" w:rsidRPr="00694267" w:rsidRDefault="00750C2C" w:rsidP="00750C2C">
            <w:pPr>
              <w:pStyle w:val="Tablebullet1"/>
              <w:rPr>
                <w:rFonts w:cs="Arial"/>
              </w:rPr>
            </w:pPr>
            <w:r w:rsidRPr="00694267">
              <w:rPr>
                <w:rFonts w:cs="Arial"/>
              </w:rPr>
              <w:t>Suspension of intake notice</w:t>
            </w:r>
          </w:p>
          <w:p w14:paraId="0C11CEA7" w14:textId="77777777" w:rsidR="00750C2C" w:rsidRPr="00694267" w:rsidRDefault="00750C2C" w:rsidP="00750C2C">
            <w:pPr>
              <w:pStyle w:val="Tablebullet1"/>
              <w:rPr>
                <w:rFonts w:cs="Arial"/>
              </w:rPr>
            </w:pPr>
            <w:r w:rsidRPr="00694267">
              <w:rPr>
                <w:rFonts w:cs="Arial"/>
              </w:rPr>
              <w:t>Prosecutions</w:t>
            </w:r>
          </w:p>
        </w:tc>
        <w:tc>
          <w:tcPr>
            <w:tcW w:w="3400" w:type="dxa"/>
          </w:tcPr>
          <w:p w14:paraId="22318BBA" w14:textId="77777777" w:rsidR="00750C2C" w:rsidRPr="00F576C1" w:rsidRDefault="00750C2C" w:rsidP="00E46457">
            <w:pPr>
              <w:pStyle w:val="Tabletext"/>
              <w:rPr>
                <w:rStyle w:val="Strong"/>
                <w:rFonts w:cs="Arial"/>
                <w:b w:val="0"/>
                <w:bCs w:val="0"/>
              </w:rPr>
            </w:pPr>
            <w:r w:rsidRPr="00F576C1">
              <w:rPr>
                <w:rStyle w:val="Strong"/>
                <w:rFonts w:cs="Arial"/>
                <w:b w:val="0"/>
                <w:bCs w:val="0"/>
              </w:rPr>
              <w:t>Before issuing enforcement action, unless doing so would create a substantial risk:</w:t>
            </w:r>
          </w:p>
          <w:p w14:paraId="61CA14BE" w14:textId="77777777" w:rsidR="00750C2C" w:rsidRPr="00F576C1" w:rsidRDefault="00750C2C" w:rsidP="00750C2C">
            <w:pPr>
              <w:pStyle w:val="Tablebullet1"/>
              <w:rPr>
                <w:rStyle w:val="Strong"/>
                <w:rFonts w:cs="Arial"/>
                <w:b w:val="0"/>
                <w:bCs w:val="0"/>
              </w:rPr>
            </w:pPr>
            <w:r w:rsidRPr="00F576C1">
              <w:rPr>
                <w:rStyle w:val="Strong"/>
                <w:rFonts w:cs="Arial"/>
                <w:b w:val="0"/>
                <w:bCs w:val="0"/>
              </w:rPr>
              <w:t>to a service user; or</w:t>
            </w:r>
          </w:p>
          <w:p w14:paraId="208AA361" w14:textId="77777777" w:rsidR="00750C2C" w:rsidRPr="00F576C1" w:rsidRDefault="00750C2C" w:rsidP="00750C2C">
            <w:pPr>
              <w:pStyle w:val="Tablebullet1"/>
              <w:rPr>
                <w:rFonts w:cs="Arial"/>
                <w:b/>
                <w:bCs/>
              </w:rPr>
            </w:pPr>
            <w:r w:rsidRPr="00F576C1">
              <w:rPr>
                <w:rStyle w:val="Strong"/>
                <w:rFonts w:cs="Arial"/>
                <w:b w:val="0"/>
                <w:bCs w:val="0"/>
              </w:rPr>
              <w:t xml:space="preserve">that the enforcement action would not be effective.  </w:t>
            </w:r>
          </w:p>
        </w:tc>
        <w:tc>
          <w:tcPr>
            <w:tcW w:w="3401" w:type="dxa"/>
          </w:tcPr>
          <w:p w14:paraId="01AA785D" w14:textId="77777777" w:rsidR="00750C2C" w:rsidRPr="00694267" w:rsidRDefault="00750C2C" w:rsidP="00750C2C">
            <w:pPr>
              <w:pStyle w:val="Tablebullet1"/>
              <w:rPr>
                <w:rFonts w:cs="Arial"/>
              </w:rPr>
            </w:pPr>
            <w:r w:rsidRPr="00694267" w:rsidDel="000A47A5">
              <w:rPr>
                <w:rFonts w:cs="Arial"/>
              </w:rPr>
              <w:t xml:space="preserve">To support the department to make </w:t>
            </w:r>
            <w:r w:rsidRPr="00694267">
              <w:rPr>
                <w:rFonts w:cs="Arial"/>
              </w:rPr>
              <w:t>alternative arrangements for safe service delivery.</w:t>
            </w:r>
          </w:p>
          <w:p w14:paraId="03D83D23" w14:textId="77777777" w:rsidR="00750C2C" w:rsidRPr="00694267" w:rsidRDefault="00750C2C" w:rsidP="00750C2C">
            <w:pPr>
              <w:pStyle w:val="Tablebullet1"/>
              <w:rPr>
                <w:rFonts w:cs="Arial"/>
              </w:rPr>
            </w:pPr>
            <w:r w:rsidRPr="00694267">
              <w:rPr>
                <w:rFonts w:cs="Arial"/>
              </w:rPr>
              <w:t xml:space="preserve">To support the department to monitor compliance with the terms and conditions of the service agreement. </w:t>
            </w:r>
          </w:p>
          <w:p w14:paraId="4938F9BD" w14:textId="36ACE54E" w:rsidR="00750C2C" w:rsidRPr="008D60AA" w:rsidRDefault="00750C2C" w:rsidP="008D60AA">
            <w:pPr>
              <w:pStyle w:val="Tablebullet1"/>
              <w:rPr>
                <w:rFonts w:cs="Arial"/>
              </w:rPr>
            </w:pPr>
            <w:r w:rsidRPr="00694267">
              <w:rPr>
                <w:rFonts w:cs="Arial"/>
              </w:rPr>
              <w:t>To support the department to make decisions about service funding arrangements and to perform its system steward role.</w:t>
            </w:r>
          </w:p>
        </w:tc>
      </w:tr>
      <w:tr w:rsidR="00750C2C" w:rsidRPr="00694267" w14:paraId="6B4907BD" w14:textId="77777777" w:rsidTr="00153F8F">
        <w:trPr>
          <w:trHeight w:val="300"/>
        </w:trPr>
        <w:tc>
          <w:tcPr>
            <w:tcW w:w="3400" w:type="dxa"/>
          </w:tcPr>
          <w:p w14:paraId="6BF238D7" w14:textId="77777777" w:rsidR="00750C2C" w:rsidRPr="00694267" w:rsidRDefault="00750C2C" w:rsidP="00E46457">
            <w:pPr>
              <w:pStyle w:val="Tabletext"/>
              <w:rPr>
                <w:rFonts w:cs="Arial"/>
              </w:rPr>
            </w:pPr>
            <w:r w:rsidRPr="00694267">
              <w:rPr>
                <w:rFonts w:cs="Arial"/>
              </w:rPr>
              <w:t>Suspension or revocation of registration of an in-scope service provider or an SRS.</w:t>
            </w:r>
          </w:p>
        </w:tc>
        <w:tc>
          <w:tcPr>
            <w:tcW w:w="3400" w:type="dxa"/>
          </w:tcPr>
          <w:p w14:paraId="467B7017" w14:textId="77777777" w:rsidR="00750C2C" w:rsidRPr="00F576C1" w:rsidRDefault="00750C2C" w:rsidP="00E46457">
            <w:pPr>
              <w:pStyle w:val="Tabletext"/>
              <w:rPr>
                <w:rStyle w:val="Strong"/>
                <w:rFonts w:cs="Arial"/>
                <w:b w:val="0"/>
                <w:bCs w:val="0"/>
              </w:rPr>
            </w:pPr>
            <w:r w:rsidRPr="00F576C1">
              <w:rPr>
                <w:rStyle w:val="Strong"/>
                <w:rFonts w:cs="Arial"/>
                <w:b w:val="0"/>
                <w:bCs w:val="0"/>
              </w:rPr>
              <w:t>Before suspending or revoking registration, unless doing so would create a substantial risk:</w:t>
            </w:r>
          </w:p>
          <w:p w14:paraId="0887F00F" w14:textId="77777777" w:rsidR="00750C2C" w:rsidRPr="00F576C1" w:rsidRDefault="00750C2C" w:rsidP="00750C2C">
            <w:pPr>
              <w:pStyle w:val="Tablebullet1"/>
              <w:rPr>
                <w:rStyle w:val="Strong"/>
                <w:rFonts w:cs="Arial"/>
                <w:b w:val="0"/>
                <w:bCs w:val="0"/>
              </w:rPr>
            </w:pPr>
            <w:r w:rsidRPr="00F576C1">
              <w:rPr>
                <w:rStyle w:val="Strong"/>
                <w:rFonts w:cs="Arial"/>
                <w:b w:val="0"/>
                <w:bCs w:val="0"/>
              </w:rPr>
              <w:t>to a service user; or</w:t>
            </w:r>
          </w:p>
          <w:p w14:paraId="621130C9" w14:textId="77777777" w:rsidR="00750C2C" w:rsidRPr="00F576C1" w:rsidRDefault="00750C2C" w:rsidP="00750C2C">
            <w:pPr>
              <w:pStyle w:val="Tablebullet1"/>
              <w:rPr>
                <w:rStyle w:val="Strong"/>
                <w:rFonts w:cs="Arial"/>
                <w:b w:val="0"/>
                <w:bCs w:val="0"/>
              </w:rPr>
            </w:pPr>
            <w:r w:rsidRPr="00F576C1">
              <w:rPr>
                <w:rStyle w:val="Strong"/>
                <w:rFonts w:cs="Arial"/>
                <w:b w:val="0"/>
                <w:bCs w:val="0"/>
              </w:rPr>
              <w:t>that the enforcement action would not be effective.</w:t>
            </w:r>
          </w:p>
        </w:tc>
        <w:tc>
          <w:tcPr>
            <w:tcW w:w="3401" w:type="dxa"/>
          </w:tcPr>
          <w:p w14:paraId="488977D8" w14:textId="77777777" w:rsidR="00750C2C" w:rsidRPr="00694267" w:rsidRDefault="00750C2C" w:rsidP="00750C2C">
            <w:pPr>
              <w:pStyle w:val="Tablebullet1"/>
              <w:rPr>
                <w:rFonts w:cs="Arial"/>
              </w:rPr>
            </w:pPr>
            <w:r w:rsidRPr="00694267">
              <w:rPr>
                <w:rFonts w:cs="Arial"/>
              </w:rPr>
              <w:t>To support the department to make decisions about service funding arrangements, managing contracts and in performing its system steward role.</w:t>
            </w:r>
          </w:p>
          <w:p w14:paraId="5CC777BA" w14:textId="77777777" w:rsidR="00750C2C" w:rsidRPr="00694267" w:rsidRDefault="00750C2C" w:rsidP="00750C2C">
            <w:pPr>
              <w:pStyle w:val="Tablebullet1"/>
              <w:rPr>
                <w:rFonts w:cs="Arial"/>
              </w:rPr>
            </w:pPr>
            <w:r w:rsidRPr="00694267">
              <w:rPr>
                <w:rFonts w:cs="Arial"/>
              </w:rPr>
              <w:t>To support the department to make alternative arrangements for safe service delivery.</w:t>
            </w:r>
          </w:p>
        </w:tc>
      </w:tr>
      <w:tr w:rsidR="00750C2C" w:rsidRPr="00694267" w14:paraId="58F60491" w14:textId="77777777" w:rsidTr="00153F8F">
        <w:trPr>
          <w:trHeight w:val="300"/>
        </w:trPr>
        <w:tc>
          <w:tcPr>
            <w:tcW w:w="3400" w:type="dxa"/>
          </w:tcPr>
          <w:p w14:paraId="6BBAD073" w14:textId="77777777" w:rsidR="00750C2C" w:rsidRPr="00694267" w:rsidRDefault="00750C2C" w:rsidP="00E46457">
            <w:pPr>
              <w:pStyle w:val="Tabletext"/>
              <w:rPr>
                <w:rFonts w:cs="Arial"/>
              </w:rPr>
            </w:pPr>
            <w:r w:rsidRPr="00694267">
              <w:rPr>
                <w:rFonts w:cs="Arial"/>
              </w:rPr>
              <w:t>Appointment of an administrator to an in-scope service provider or to an SRS.</w:t>
            </w:r>
          </w:p>
        </w:tc>
        <w:tc>
          <w:tcPr>
            <w:tcW w:w="3400" w:type="dxa"/>
          </w:tcPr>
          <w:p w14:paraId="78DBB01A" w14:textId="77777777" w:rsidR="00750C2C" w:rsidRPr="00F576C1" w:rsidRDefault="00750C2C" w:rsidP="00E46457">
            <w:pPr>
              <w:pStyle w:val="Tabletext"/>
              <w:rPr>
                <w:rStyle w:val="Strong"/>
                <w:rFonts w:cs="Arial"/>
                <w:b w:val="0"/>
                <w:bCs w:val="0"/>
              </w:rPr>
            </w:pPr>
            <w:r w:rsidRPr="00F576C1">
              <w:rPr>
                <w:rStyle w:val="Strong"/>
                <w:rFonts w:cs="Arial"/>
                <w:b w:val="0"/>
                <w:bCs w:val="0"/>
              </w:rPr>
              <w:t xml:space="preserve">When the Regulator gives written notice to the provider of its intention to appoint an administrator. </w:t>
            </w:r>
          </w:p>
        </w:tc>
        <w:tc>
          <w:tcPr>
            <w:tcW w:w="3401" w:type="dxa"/>
          </w:tcPr>
          <w:p w14:paraId="1EFFDE0B" w14:textId="77777777" w:rsidR="00750C2C" w:rsidRPr="00694267" w:rsidRDefault="00750C2C" w:rsidP="00E46457">
            <w:pPr>
              <w:pStyle w:val="Tabletext"/>
              <w:rPr>
                <w:rFonts w:cs="Arial"/>
              </w:rPr>
            </w:pPr>
            <w:r w:rsidRPr="00694267">
              <w:rPr>
                <w:rFonts w:cs="Arial"/>
              </w:rPr>
              <w:t>To support the department to make alternative arrangements for safe service delivery in the event an administrator is appointed for an SRS or a social service provider.</w:t>
            </w:r>
          </w:p>
        </w:tc>
      </w:tr>
    </w:tbl>
    <w:p w14:paraId="1A6C34C9" w14:textId="5BB61EBC" w:rsidR="00153F8F" w:rsidRDefault="00153F8F" w:rsidP="00153F8F">
      <w:pPr>
        <w:pStyle w:val="Heading3"/>
      </w:pPr>
      <w:r w:rsidRPr="00694267">
        <w:t>Specific to Supported Residential Services</w:t>
      </w:r>
    </w:p>
    <w:tbl>
      <w:tblPr>
        <w:tblStyle w:val="TableGrid"/>
        <w:tblW w:w="10201" w:type="dxa"/>
        <w:tblLook w:val="0620" w:firstRow="1" w:lastRow="0" w:firstColumn="0" w:lastColumn="0" w:noHBand="1" w:noVBand="1"/>
      </w:tblPr>
      <w:tblGrid>
        <w:gridCol w:w="3400"/>
        <w:gridCol w:w="3400"/>
        <w:gridCol w:w="3401"/>
      </w:tblGrid>
      <w:tr w:rsidR="00153F8F" w:rsidRPr="00694267" w14:paraId="014FA473" w14:textId="77777777" w:rsidTr="00153F8F">
        <w:trPr>
          <w:trHeight w:val="300"/>
          <w:tblHeader/>
        </w:trPr>
        <w:tc>
          <w:tcPr>
            <w:tcW w:w="3400" w:type="dxa"/>
          </w:tcPr>
          <w:p w14:paraId="711A0DD5" w14:textId="160FD2D0" w:rsidR="00153F8F" w:rsidRPr="00694267" w:rsidRDefault="00153F8F" w:rsidP="00153F8F">
            <w:pPr>
              <w:pStyle w:val="Tablecolhead"/>
              <w:rPr>
                <w:rFonts w:cs="Arial"/>
              </w:rPr>
            </w:pPr>
            <w:r w:rsidRPr="00153F8F">
              <w:rPr>
                <w:rStyle w:val="Strong"/>
                <w:b/>
                <w:bCs w:val="0"/>
              </w:rPr>
              <w:t>What information will be shared</w:t>
            </w:r>
          </w:p>
        </w:tc>
        <w:tc>
          <w:tcPr>
            <w:tcW w:w="3400" w:type="dxa"/>
          </w:tcPr>
          <w:p w14:paraId="0F919872" w14:textId="78172D88" w:rsidR="00153F8F" w:rsidRPr="00694267" w:rsidRDefault="00153F8F" w:rsidP="00153F8F">
            <w:pPr>
              <w:pStyle w:val="Tablecolhead"/>
              <w:rPr>
                <w:rStyle w:val="Strong"/>
                <w:rFonts w:cs="Arial"/>
                <w:b/>
                <w:bCs w:val="0"/>
              </w:rPr>
            </w:pPr>
            <w:r w:rsidRPr="00153F8F">
              <w:rPr>
                <w:rStyle w:val="Strong"/>
                <w:b/>
                <w:bCs w:val="0"/>
              </w:rPr>
              <w:t xml:space="preserve">When </w:t>
            </w:r>
          </w:p>
        </w:tc>
        <w:tc>
          <w:tcPr>
            <w:tcW w:w="3401" w:type="dxa"/>
          </w:tcPr>
          <w:p w14:paraId="5F920ED3" w14:textId="2C3AAE8C" w:rsidR="00153F8F" w:rsidRPr="00694267" w:rsidRDefault="00153F8F" w:rsidP="00153F8F">
            <w:pPr>
              <w:pStyle w:val="Tablecolhead"/>
              <w:rPr>
                <w:rStyle w:val="Strong"/>
                <w:rFonts w:cs="Arial"/>
                <w:b/>
                <w:bCs w:val="0"/>
              </w:rPr>
            </w:pPr>
            <w:r w:rsidRPr="00153F8F">
              <w:rPr>
                <w:rStyle w:val="Strong"/>
                <w:b/>
                <w:bCs w:val="0"/>
              </w:rPr>
              <w:t>For what purpose</w:t>
            </w:r>
          </w:p>
        </w:tc>
      </w:tr>
      <w:tr w:rsidR="00153F8F" w:rsidRPr="00694267" w14:paraId="37302ED5" w14:textId="77777777" w:rsidTr="00153F8F">
        <w:trPr>
          <w:trHeight w:val="300"/>
        </w:trPr>
        <w:tc>
          <w:tcPr>
            <w:tcW w:w="3400" w:type="dxa"/>
          </w:tcPr>
          <w:p w14:paraId="6764838D" w14:textId="77777777" w:rsidR="00153F8F" w:rsidRPr="00694267" w:rsidRDefault="00153F8F" w:rsidP="00153F8F">
            <w:pPr>
              <w:pStyle w:val="Tabletext"/>
              <w:rPr>
                <w:rFonts w:cs="Arial"/>
                <w:b/>
              </w:rPr>
            </w:pPr>
            <w:r w:rsidRPr="00694267">
              <w:rPr>
                <w:rFonts w:cs="Arial"/>
              </w:rPr>
              <w:t>A notification from an SRS provider to the Regulator:</w:t>
            </w:r>
          </w:p>
          <w:p w14:paraId="1617A5C6" w14:textId="77777777" w:rsidR="00153F8F" w:rsidRPr="00694267" w:rsidRDefault="00153F8F" w:rsidP="00153F8F">
            <w:pPr>
              <w:pStyle w:val="Tablebullet1"/>
              <w:rPr>
                <w:rFonts w:cs="Arial"/>
              </w:rPr>
            </w:pPr>
            <w:r w:rsidRPr="00694267">
              <w:rPr>
                <w:rFonts w:cs="Arial"/>
              </w:rPr>
              <w:t xml:space="preserve">of a resident’s health care needs of a resident’s personal support needs </w:t>
            </w:r>
          </w:p>
        </w:tc>
        <w:tc>
          <w:tcPr>
            <w:tcW w:w="3400" w:type="dxa"/>
          </w:tcPr>
          <w:p w14:paraId="243F4AF0" w14:textId="77777777" w:rsidR="00153F8F" w:rsidRPr="00F576C1" w:rsidRDefault="00153F8F" w:rsidP="00153F8F">
            <w:pPr>
              <w:pStyle w:val="Tabletext"/>
              <w:rPr>
                <w:rStyle w:val="Strong"/>
                <w:rFonts w:cs="Arial"/>
                <w:b w:val="0"/>
                <w:bCs w:val="0"/>
              </w:rPr>
            </w:pPr>
            <w:r w:rsidRPr="00F576C1">
              <w:rPr>
                <w:rStyle w:val="Strong"/>
                <w:rFonts w:cs="Arial"/>
                <w:b w:val="0"/>
                <w:bCs w:val="0"/>
              </w:rPr>
              <w:t xml:space="preserve">When a service provider notifies the Regulator that the SSR was unsuccessful in securing appropriate health care for </w:t>
            </w:r>
            <w:proofErr w:type="gramStart"/>
            <w:r w:rsidRPr="00F576C1">
              <w:rPr>
                <w:rStyle w:val="Strong"/>
                <w:rFonts w:cs="Arial"/>
                <w:b w:val="0"/>
                <w:bCs w:val="0"/>
              </w:rPr>
              <w:t>a</w:t>
            </w:r>
            <w:proofErr w:type="gramEnd"/>
            <w:r w:rsidRPr="00F576C1">
              <w:rPr>
                <w:rStyle w:val="Strong"/>
                <w:rFonts w:cs="Arial"/>
                <w:b w:val="0"/>
                <w:bCs w:val="0"/>
              </w:rPr>
              <w:t xml:space="preserve"> SRS resident. </w:t>
            </w:r>
          </w:p>
        </w:tc>
        <w:tc>
          <w:tcPr>
            <w:tcW w:w="3401" w:type="dxa"/>
          </w:tcPr>
          <w:p w14:paraId="2B2AA0E5" w14:textId="77777777" w:rsidR="00153F8F" w:rsidRPr="00F576C1" w:rsidRDefault="00153F8F" w:rsidP="00153F8F">
            <w:pPr>
              <w:pStyle w:val="Tablebullet1"/>
              <w:rPr>
                <w:rStyle w:val="Strong"/>
                <w:rFonts w:cs="Arial"/>
                <w:b w:val="0"/>
                <w:bCs w:val="0"/>
              </w:rPr>
            </w:pPr>
            <w:r w:rsidRPr="00F576C1">
              <w:rPr>
                <w:rStyle w:val="Strong"/>
                <w:rFonts w:cs="Arial"/>
                <w:b w:val="0"/>
                <w:bCs w:val="0"/>
              </w:rPr>
              <w:t xml:space="preserve">To enable the Regulator to provide this information to the Secretary of the department as per </w:t>
            </w:r>
            <w:r w:rsidRPr="00F576C1" w:rsidDel="1FC7EC8D">
              <w:rPr>
                <w:rStyle w:val="Strong"/>
                <w:rFonts w:cs="Arial"/>
                <w:b w:val="0"/>
                <w:bCs w:val="0"/>
              </w:rPr>
              <w:t xml:space="preserve">SSR Act </w:t>
            </w:r>
            <w:r w:rsidRPr="00F576C1">
              <w:rPr>
                <w:rStyle w:val="Strong"/>
                <w:rFonts w:cs="Arial"/>
                <w:b w:val="0"/>
                <w:bCs w:val="0"/>
              </w:rPr>
              <w:t xml:space="preserve">requirements. </w:t>
            </w:r>
          </w:p>
          <w:p w14:paraId="1D6B4484" w14:textId="77777777" w:rsidR="00153F8F" w:rsidRPr="00F576C1" w:rsidRDefault="00153F8F" w:rsidP="00153F8F">
            <w:pPr>
              <w:pStyle w:val="Tablebullet1"/>
              <w:rPr>
                <w:rStyle w:val="Strong"/>
                <w:rFonts w:cs="Arial"/>
                <w:b w:val="0"/>
                <w:bCs w:val="0"/>
              </w:rPr>
            </w:pPr>
            <w:r w:rsidRPr="00F576C1">
              <w:rPr>
                <w:rStyle w:val="Strong"/>
                <w:rFonts w:cs="Arial"/>
                <w:b w:val="0"/>
                <w:bCs w:val="0"/>
              </w:rPr>
              <w:t>To</w:t>
            </w:r>
            <w:r w:rsidRPr="00F576C1" w:rsidDel="1FC7EC8D">
              <w:rPr>
                <w:rStyle w:val="Strong"/>
                <w:rFonts w:cs="Arial"/>
                <w:b w:val="0"/>
                <w:bCs w:val="0"/>
              </w:rPr>
              <w:t xml:space="preserve"> </w:t>
            </w:r>
            <w:r w:rsidRPr="00F576C1">
              <w:rPr>
                <w:rStyle w:val="Strong"/>
                <w:rFonts w:cs="Arial"/>
                <w:b w:val="0"/>
                <w:bCs w:val="0"/>
              </w:rPr>
              <w:t>support the department to meet obligations to assess the SRS resident’s needs.</w:t>
            </w:r>
          </w:p>
        </w:tc>
      </w:tr>
    </w:tbl>
    <w:p w14:paraId="23904191" w14:textId="2D0D22BB" w:rsidR="00750C2C" w:rsidRDefault="00750C2C">
      <w:pPr>
        <w:spacing w:after="0" w:line="240" w:lineRule="auto"/>
        <w:rPr>
          <w:rFonts w:eastAsia="Times"/>
          <w:sz w:val="20"/>
        </w:rPr>
      </w:pPr>
    </w:p>
    <w:p w14:paraId="0D2C7AA3" w14:textId="77777777" w:rsidR="00F2780E" w:rsidRDefault="00F2780E" w:rsidP="008728B2">
      <w:pPr>
        <w:spacing w:after="0" w:line="240" w:lineRule="auto"/>
        <w:rPr>
          <w:rFonts w:eastAsia="Times"/>
          <w:sz w:val="20"/>
        </w:rPr>
      </w:pPr>
    </w:p>
    <w:p w14:paraId="24E22E8D" w14:textId="77777777" w:rsidR="00B964BB" w:rsidRDefault="00B964BB" w:rsidP="00B964BB">
      <w:pPr>
        <w:pStyle w:val="Accessibilitypara"/>
      </w:pPr>
      <w:r>
        <w:t xml:space="preserve">To receive this document in another format, email the </w:t>
      </w:r>
      <w:r w:rsidRPr="00B964BB">
        <w:t xml:space="preserve">Social Services Regulator </w:t>
      </w:r>
      <w:hyperlink r:id="rId18" w:history="1">
        <w:r w:rsidRPr="00B964BB">
          <w:rPr>
            <w:rStyle w:val="Hyperlink"/>
          </w:rPr>
          <w:t>enquiries@ssr.vic.gov.au</w:t>
        </w:r>
      </w:hyperlink>
    </w:p>
    <w:p w14:paraId="1420A500" w14:textId="77777777" w:rsidR="00B964BB" w:rsidRDefault="00B964BB" w:rsidP="00B964BB">
      <w:pPr>
        <w:pStyle w:val="Imprint"/>
        <w:rPr>
          <w:sz w:val="21"/>
          <w:szCs w:val="21"/>
        </w:rPr>
      </w:pPr>
      <w:r>
        <w:rPr>
          <w:sz w:val="21"/>
          <w:szCs w:val="21"/>
        </w:rPr>
        <w:t>Authorised and published by the Victorian Government, 1 Treasury Place, Melbourne.</w:t>
      </w:r>
    </w:p>
    <w:p w14:paraId="4366B94E" w14:textId="77777777" w:rsidR="00B964BB" w:rsidRDefault="00B964BB" w:rsidP="00B964BB">
      <w:pPr>
        <w:pStyle w:val="Imprint"/>
        <w:rPr>
          <w:sz w:val="21"/>
          <w:szCs w:val="21"/>
        </w:rPr>
      </w:pPr>
      <w:r>
        <w:rPr>
          <w:sz w:val="21"/>
          <w:szCs w:val="21"/>
        </w:rPr>
        <w:t xml:space="preserve">© State of Victoria, Australia, Department of Families, Fairness and Housing </w:t>
      </w:r>
      <w:r w:rsidRPr="00B964BB">
        <w:rPr>
          <w:sz w:val="21"/>
          <w:szCs w:val="21"/>
        </w:rPr>
        <w:t>and Social Services Regulator,</w:t>
      </w:r>
      <w:r>
        <w:rPr>
          <w:sz w:val="21"/>
          <w:szCs w:val="21"/>
        </w:rPr>
        <w:t xml:space="preserve"> February 2025.</w:t>
      </w:r>
    </w:p>
    <w:p w14:paraId="0EA30E29" w14:textId="683D5DEA" w:rsidR="00922B83" w:rsidRDefault="00922B83" w:rsidP="00B964BB">
      <w:pPr>
        <w:pStyle w:val="Imprint"/>
        <w:rPr>
          <w:sz w:val="21"/>
          <w:szCs w:val="21"/>
        </w:rPr>
      </w:pPr>
      <w:r>
        <w:rPr>
          <w:sz w:val="21"/>
          <w:szCs w:val="21"/>
        </w:rPr>
        <w:t>In this document, ‘Aboriginal’ refers to both Aboriginal and Torres Strait Islander people. ‘Indigenous’ or ‘Koori/Koorie’ is retained when part of the title of a report, program or quotation.</w:t>
      </w:r>
    </w:p>
    <w:p w14:paraId="6256C044" w14:textId="77777777" w:rsidR="00B964BB" w:rsidRDefault="00B964BB" w:rsidP="00B964BB">
      <w:pPr>
        <w:rPr>
          <w:szCs w:val="21"/>
        </w:rPr>
      </w:pPr>
      <w:r w:rsidRPr="0CB8242D">
        <w:rPr>
          <w:b/>
          <w:bCs/>
          <w:color w:val="000000" w:themeColor="text1"/>
        </w:rPr>
        <w:t xml:space="preserve">ISBN </w:t>
      </w:r>
      <w:r w:rsidRPr="0CB8242D">
        <w:rPr>
          <w:color w:val="000000" w:themeColor="text1"/>
        </w:rPr>
        <w:t xml:space="preserve">978-1-76130-765-2 </w:t>
      </w:r>
      <w:r w:rsidRPr="0CB8242D">
        <w:rPr>
          <w:b/>
          <w:bCs/>
          <w:color w:val="000000" w:themeColor="text1"/>
        </w:rPr>
        <w:t>(pdf/online/MS word)</w:t>
      </w:r>
    </w:p>
    <w:p w14:paraId="4759CFC0" w14:textId="41A997C8" w:rsidR="31AC80CD" w:rsidRDefault="31AC80CD" w:rsidP="0CB8242D">
      <w:r w:rsidRPr="0CB8242D">
        <w:rPr>
          <w:rFonts w:eastAsia="Arial" w:cs="Arial"/>
          <w:szCs w:val="21"/>
        </w:rPr>
        <w:t xml:space="preserve">Available at </w:t>
      </w:r>
      <w:hyperlink r:id="rId19">
        <w:r w:rsidRPr="0CB8242D">
          <w:rPr>
            <w:rStyle w:val="Hyperlink"/>
            <w:rFonts w:eastAsia="Arial" w:cs="Arial"/>
            <w:szCs w:val="21"/>
            <w:u w:val="single"/>
          </w:rPr>
          <w:t>Vic.gov.au – SSR – Agreements with Department of Families, Fairness and Housing</w:t>
        </w:r>
      </w:hyperlink>
      <w:r w:rsidRPr="0CB8242D">
        <w:rPr>
          <w:rFonts w:eastAsia="Arial" w:cs="Arial"/>
          <w:szCs w:val="21"/>
        </w:rPr>
        <w:t xml:space="preserve"> https://www.vic.gov.au/agreements-dffh-and-social-services-regulator and </w:t>
      </w:r>
      <w:hyperlink r:id="rId20">
        <w:r w:rsidRPr="0CB8242D">
          <w:rPr>
            <w:rStyle w:val="Hyperlink"/>
            <w:rFonts w:eastAsia="Arial" w:cs="Arial"/>
            <w:szCs w:val="21"/>
            <w:u w:val="single"/>
          </w:rPr>
          <w:t>DFFH – Agreements with the Social Services Regulator</w:t>
        </w:r>
      </w:hyperlink>
      <w:r w:rsidRPr="0CB8242D">
        <w:rPr>
          <w:rFonts w:eastAsia="Arial" w:cs="Arial"/>
          <w:szCs w:val="21"/>
        </w:rPr>
        <w:t xml:space="preserve"> https://www.dffh.vic.gov.au/publications/agreements-social-services-regulator</w:t>
      </w:r>
    </w:p>
    <w:p w14:paraId="0597F4E7" w14:textId="55B8B043" w:rsidR="008728B2" w:rsidRPr="002661C2" w:rsidRDefault="008728B2" w:rsidP="008728B2">
      <w:pPr>
        <w:spacing w:after="0" w:line="240" w:lineRule="auto"/>
        <w:rPr>
          <w:rFonts w:eastAsia="Times"/>
          <w:sz w:val="20"/>
        </w:rPr>
      </w:pPr>
    </w:p>
    <w:sectPr w:rsidR="008728B2" w:rsidRPr="002661C2"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9ACB" w14:textId="77777777" w:rsidR="008440DC" w:rsidRDefault="008440DC">
      <w:r>
        <w:separator/>
      </w:r>
    </w:p>
    <w:p w14:paraId="082C3CFC" w14:textId="77777777" w:rsidR="008440DC" w:rsidRDefault="008440DC"/>
  </w:endnote>
  <w:endnote w:type="continuationSeparator" w:id="0">
    <w:p w14:paraId="504DB7C6" w14:textId="77777777" w:rsidR="008440DC" w:rsidRDefault="008440DC">
      <w:r>
        <w:continuationSeparator/>
      </w:r>
    </w:p>
    <w:p w14:paraId="50901021" w14:textId="77777777" w:rsidR="008440DC" w:rsidRDefault="008440DC"/>
  </w:endnote>
  <w:endnote w:type="continuationNotice" w:id="1">
    <w:p w14:paraId="21D46423" w14:textId="77777777" w:rsidR="008440DC" w:rsidRDefault="00844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491005417" name="Picture 49100541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081E" w14:textId="77777777" w:rsidR="008440DC" w:rsidRDefault="008440DC" w:rsidP="00207717">
      <w:pPr>
        <w:spacing w:before="120"/>
      </w:pPr>
      <w:r>
        <w:separator/>
      </w:r>
    </w:p>
  </w:footnote>
  <w:footnote w:type="continuationSeparator" w:id="0">
    <w:p w14:paraId="635B51A7" w14:textId="77777777" w:rsidR="008440DC" w:rsidRDefault="008440DC">
      <w:r>
        <w:continuationSeparator/>
      </w:r>
    </w:p>
    <w:p w14:paraId="41584F88" w14:textId="77777777" w:rsidR="008440DC" w:rsidRDefault="008440DC"/>
  </w:footnote>
  <w:footnote w:type="continuationNotice" w:id="1">
    <w:p w14:paraId="54CD8CFE" w14:textId="77777777" w:rsidR="008440DC" w:rsidRDefault="008440DC">
      <w:pPr>
        <w:spacing w:after="0" w:line="240" w:lineRule="auto"/>
      </w:pPr>
    </w:p>
  </w:footnote>
  <w:footnote w:id="2">
    <w:p w14:paraId="176936B9" w14:textId="77777777" w:rsidR="00AA1980" w:rsidRDefault="00AA1980" w:rsidP="00AA1980">
      <w:pPr>
        <w:pStyle w:val="FootnoteText"/>
      </w:pPr>
      <w:r>
        <w:rPr>
          <w:rStyle w:val="FootnoteReference"/>
        </w:rPr>
        <w:footnoteRef/>
      </w:r>
      <w:r>
        <w:t xml:space="preserve"> SSR Act, s191</w:t>
      </w:r>
    </w:p>
  </w:footnote>
  <w:footnote w:id="3">
    <w:p w14:paraId="3A6522BC" w14:textId="77777777" w:rsidR="00AA1980" w:rsidRDefault="00AA1980" w:rsidP="00AA1980">
      <w:pPr>
        <w:pStyle w:val="FootnoteText"/>
      </w:pPr>
      <w:r>
        <w:rPr>
          <w:rStyle w:val="FootnoteReference"/>
        </w:rPr>
        <w:footnoteRef/>
      </w:r>
      <w:r>
        <w:t xml:space="preserve"> SSR Act, s1.</w:t>
      </w:r>
    </w:p>
  </w:footnote>
  <w:footnote w:id="4">
    <w:p w14:paraId="54F263BB" w14:textId="77777777" w:rsidR="00AA1980" w:rsidRDefault="00AA1980" w:rsidP="00AA1980">
      <w:pPr>
        <w:pStyle w:val="FootnoteText"/>
      </w:pPr>
      <w:r>
        <w:rPr>
          <w:rStyle w:val="FootnoteReference"/>
        </w:rPr>
        <w:footnoteRef/>
      </w:r>
      <w:r>
        <w:t xml:space="preserve"> SSR Act, s16</w:t>
      </w:r>
    </w:p>
  </w:footnote>
  <w:footnote w:id="5">
    <w:p w14:paraId="71E8EA2D" w14:textId="77777777" w:rsidR="00AA1980" w:rsidRDefault="00AA1980" w:rsidP="00AA1980">
      <w:pPr>
        <w:pStyle w:val="FootnoteText"/>
      </w:pPr>
      <w:r>
        <w:rPr>
          <w:rStyle w:val="FootnoteReference"/>
        </w:rPr>
        <w:footnoteRef/>
      </w:r>
      <w:r>
        <w:t xml:space="preserve"> SSR Act s7</w:t>
      </w:r>
    </w:p>
  </w:footnote>
  <w:footnote w:id="6">
    <w:p w14:paraId="0F6CBA1C" w14:textId="77777777" w:rsidR="00AA1980" w:rsidRDefault="00AA1980" w:rsidP="00AA1980">
      <w:pPr>
        <w:pStyle w:val="FootnoteText"/>
      </w:pPr>
      <w:r>
        <w:rPr>
          <w:rStyle w:val="FootnoteReference"/>
        </w:rPr>
        <w:footnoteRef/>
      </w:r>
      <w:r>
        <w:t xml:space="preserve"> Under the </w:t>
      </w:r>
      <w:r w:rsidRPr="0099649B">
        <w:rPr>
          <w:i/>
          <w:iCs/>
        </w:rPr>
        <w:t>Child Wellbeing and Safety Act 2005</w:t>
      </w:r>
      <w:r>
        <w:t xml:space="preserve">, Part 6. </w:t>
      </w:r>
    </w:p>
  </w:footnote>
  <w:footnote w:id="7">
    <w:p w14:paraId="3C099C0C" w14:textId="26DE28BC" w:rsidR="00750C2C" w:rsidRPr="00694267" w:rsidRDefault="00750C2C" w:rsidP="00750C2C">
      <w:pPr>
        <w:pStyle w:val="FootnoteText"/>
      </w:pPr>
      <w:r w:rsidRPr="00694267">
        <w:rPr>
          <w:rStyle w:val="FootnoteReference"/>
        </w:rPr>
        <w:footnoteRef/>
      </w:r>
      <w:r w:rsidRPr="00694267">
        <w:t xml:space="preserve"> In-scope services are </w:t>
      </w:r>
      <w:r w:rsidR="006B56AD">
        <w:t>d</w:t>
      </w:r>
      <w:r w:rsidRPr="00694267">
        <w:t xml:space="preserve">epartment </w:t>
      </w:r>
      <w:proofErr w:type="gramStart"/>
      <w:r w:rsidRPr="00694267">
        <w:t>delivered</w:t>
      </w:r>
      <w:proofErr w:type="gramEnd"/>
      <w:r w:rsidRPr="00694267">
        <w:t xml:space="preserve"> or department funded services that are in scope for CIMS and are registered or required to be registered (including in the future under the staggered registration process) under the SSR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CE6AEB1" w:rsidR="00E261B3" w:rsidRPr="0051568D" w:rsidRDefault="00033A49" w:rsidP="00033A49">
    <w:pPr>
      <w:pStyle w:val="Header"/>
    </w:pPr>
    <w:r>
      <w:t xml:space="preserve">Information Sharing Protocol </w:t>
    </w:r>
    <w:r w:rsidR="0057627F">
      <w:br/>
    </w:r>
    <w:r>
      <w:t>Between the Social Services Regulator and the Department of Families, Fairness and Housing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3F43BA7"/>
    <w:multiLevelType w:val="hybridMultilevel"/>
    <w:tmpl w:val="85FA6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065053"/>
    <w:multiLevelType w:val="hybridMultilevel"/>
    <w:tmpl w:val="A6243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2C5681"/>
    <w:multiLevelType w:val="hybridMultilevel"/>
    <w:tmpl w:val="76DC75B6"/>
    <w:lvl w:ilvl="0" w:tplc="5802CBD2">
      <w:start w:val="1"/>
      <w:numFmt w:val="bullet"/>
      <w:pStyle w:val="Hightlightboxbullette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D20626"/>
    <w:multiLevelType w:val="hybridMultilevel"/>
    <w:tmpl w:val="FC5C189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D22D4D"/>
    <w:multiLevelType w:val="hybridMultilevel"/>
    <w:tmpl w:val="5740B19A"/>
    <w:lvl w:ilvl="0" w:tplc="C04CA2FE">
      <w:start w:val="1"/>
      <w:numFmt w:val="bullet"/>
      <w:pStyle w:val="Accessibiitypar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D26617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7FDEFAEE"/>
    <w:styleLink w:val="ZZQuotebullets"/>
    <w:lvl w:ilvl="0">
      <w:start w:val="1"/>
      <w:numFmt w:val="bullet"/>
      <w:pStyle w:val="Quotebullet1"/>
      <w:lvlText w:val=""/>
      <w:lvlJc w:val="left"/>
      <w:pPr>
        <w:ind w:left="927" w:hanging="360"/>
      </w:pPr>
      <w:rPr>
        <w:rFonts w:ascii="Symbol" w:hAnsi="Symbol" w:hint="default"/>
        <w:color w:val="201547"/>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C372ABC"/>
    <w:multiLevelType w:val="hybridMultilevel"/>
    <w:tmpl w:val="F5C2DD40"/>
    <w:lvl w:ilvl="0" w:tplc="94701086">
      <w:start w:val="1"/>
      <w:numFmt w:val="bullet"/>
      <w:lvlText w:val=""/>
      <w:lvlJc w:val="left"/>
      <w:pPr>
        <w:ind w:left="720" w:hanging="360"/>
      </w:pPr>
      <w:rPr>
        <w:rFonts w:ascii="Symbol" w:hAnsi="Symbol" w:hint="default"/>
      </w:rPr>
    </w:lvl>
    <w:lvl w:ilvl="1" w:tplc="4322F620">
      <w:start w:val="1"/>
      <w:numFmt w:val="bullet"/>
      <w:lvlText w:val="o"/>
      <w:lvlJc w:val="left"/>
      <w:pPr>
        <w:ind w:left="1440" w:hanging="360"/>
      </w:pPr>
      <w:rPr>
        <w:rFonts w:ascii="Courier New" w:hAnsi="Courier New" w:hint="default"/>
      </w:rPr>
    </w:lvl>
    <w:lvl w:ilvl="2" w:tplc="DEDC172C">
      <w:start w:val="1"/>
      <w:numFmt w:val="bullet"/>
      <w:lvlText w:val=""/>
      <w:lvlJc w:val="left"/>
      <w:pPr>
        <w:ind w:left="2160" w:hanging="360"/>
      </w:pPr>
      <w:rPr>
        <w:rFonts w:ascii="Wingdings" w:hAnsi="Wingdings" w:hint="default"/>
      </w:rPr>
    </w:lvl>
    <w:lvl w:ilvl="3" w:tplc="445CDF3C">
      <w:start w:val="1"/>
      <w:numFmt w:val="bullet"/>
      <w:lvlText w:val=""/>
      <w:lvlJc w:val="left"/>
      <w:pPr>
        <w:ind w:left="2880" w:hanging="360"/>
      </w:pPr>
      <w:rPr>
        <w:rFonts w:ascii="Symbol" w:hAnsi="Symbol" w:hint="default"/>
      </w:rPr>
    </w:lvl>
    <w:lvl w:ilvl="4" w:tplc="9168D962">
      <w:start w:val="1"/>
      <w:numFmt w:val="bullet"/>
      <w:lvlText w:val="o"/>
      <w:lvlJc w:val="left"/>
      <w:pPr>
        <w:ind w:left="3600" w:hanging="360"/>
      </w:pPr>
      <w:rPr>
        <w:rFonts w:ascii="Courier New" w:hAnsi="Courier New" w:hint="default"/>
      </w:rPr>
    </w:lvl>
    <w:lvl w:ilvl="5" w:tplc="30940AE0">
      <w:start w:val="1"/>
      <w:numFmt w:val="bullet"/>
      <w:lvlText w:val=""/>
      <w:lvlJc w:val="left"/>
      <w:pPr>
        <w:ind w:left="4320" w:hanging="360"/>
      </w:pPr>
      <w:rPr>
        <w:rFonts w:ascii="Wingdings" w:hAnsi="Wingdings" w:hint="default"/>
      </w:rPr>
    </w:lvl>
    <w:lvl w:ilvl="6" w:tplc="8AB25BA4">
      <w:start w:val="1"/>
      <w:numFmt w:val="bullet"/>
      <w:lvlText w:val=""/>
      <w:lvlJc w:val="left"/>
      <w:pPr>
        <w:ind w:left="5040" w:hanging="360"/>
      </w:pPr>
      <w:rPr>
        <w:rFonts w:ascii="Symbol" w:hAnsi="Symbol" w:hint="default"/>
      </w:rPr>
    </w:lvl>
    <w:lvl w:ilvl="7" w:tplc="405A3CA8">
      <w:start w:val="1"/>
      <w:numFmt w:val="bullet"/>
      <w:lvlText w:val="o"/>
      <w:lvlJc w:val="left"/>
      <w:pPr>
        <w:ind w:left="5760" w:hanging="360"/>
      </w:pPr>
      <w:rPr>
        <w:rFonts w:ascii="Courier New" w:hAnsi="Courier New" w:hint="default"/>
      </w:rPr>
    </w:lvl>
    <w:lvl w:ilvl="8" w:tplc="4B660486">
      <w:start w:val="1"/>
      <w:numFmt w:val="bullet"/>
      <w:lvlText w:val=""/>
      <w:lvlJc w:val="left"/>
      <w:pPr>
        <w:ind w:left="6480" w:hanging="360"/>
      </w:pPr>
      <w:rPr>
        <w:rFonts w:ascii="Wingdings" w:hAnsi="Wingding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22"/>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6"/>
  </w:num>
  <w:num w:numId="8" w16cid:durableId="1978801422">
    <w:abstractNumId w:val="21"/>
  </w:num>
  <w:num w:numId="9" w16cid:durableId="2113083680">
    <w:abstractNumId w:val="25"/>
  </w:num>
  <w:num w:numId="10" w16cid:durableId="16707146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7"/>
  </w:num>
  <w:num w:numId="12" w16cid:durableId="19670001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3"/>
  </w:num>
  <w:num w:numId="14" w16cid:durableId="1319770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9"/>
  </w:num>
  <w:num w:numId="19" w16cid:durableId="12383244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6"/>
  </w:num>
  <w:num w:numId="24" w16cid:durableId="869493609">
    <w:abstractNumId w:val="31"/>
  </w:num>
  <w:num w:numId="25" w16cid:durableId="1679652250">
    <w:abstractNumId w:val="28"/>
  </w:num>
  <w:num w:numId="26" w16cid:durableId="1435905434">
    <w:abstractNumId w:val="24"/>
  </w:num>
  <w:num w:numId="27" w16cid:durableId="1999532308">
    <w:abstractNumId w:val="11"/>
  </w:num>
  <w:num w:numId="28" w16cid:durableId="753430641">
    <w:abstractNumId w:val="32"/>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6"/>
  </w:num>
  <w:num w:numId="41" w16cid:durableId="2088839045">
    <w:abstractNumId w:val="26"/>
  </w:num>
  <w:num w:numId="42" w16cid:durableId="1692532892">
    <w:abstractNumId w:val="26"/>
  </w:num>
  <w:num w:numId="43" w16cid:durableId="5060973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7562227">
    <w:abstractNumId w:val="20"/>
  </w:num>
  <w:num w:numId="45" w16cid:durableId="1371682109">
    <w:abstractNumId w:val="18"/>
  </w:num>
  <w:num w:numId="46" w16cid:durableId="104350712">
    <w:abstractNumId w:val="27"/>
  </w:num>
  <w:num w:numId="47" w16cid:durableId="538056132">
    <w:abstractNumId w:val="19"/>
  </w:num>
  <w:num w:numId="48" w16cid:durableId="951012890">
    <w:abstractNumId w:val="15"/>
  </w:num>
  <w:num w:numId="49" w16cid:durableId="575551622">
    <w:abstractNumId w:val="30"/>
  </w:num>
  <w:num w:numId="50" w16cid:durableId="6898407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B6F"/>
    <w:rsid w:val="00002D68"/>
    <w:rsid w:val="00003403"/>
    <w:rsid w:val="00003EB3"/>
    <w:rsid w:val="00004475"/>
    <w:rsid w:val="00005347"/>
    <w:rsid w:val="000072B6"/>
    <w:rsid w:val="0001021B"/>
    <w:rsid w:val="00011D89"/>
    <w:rsid w:val="000154FD"/>
    <w:rsid w:val="00021B42"/>
    <w:rsid w:val="00022271"/>
    <w:rsid w:val="000235E8"/>
    <w:rsid w:val="00024D89"/>
    <w:rsid w:val="000250B6"/>
    <w:rsid w:val="00026335"/>
    <w:rsid w:val="00033A49"/>
    <w:rsid w:val="00033D81"/>
    <w:rsid w:val="00037366"/>
    <w:rsid w:val="00037A6F"/>
    <w:rsid w:val="00041BF0"/>
    <w:rsid w:val="00042C8A"/>
    <w:rsid w:val="000430B4"/>
    <w:rsid w:val="0004536B"/>
    <w:rsid w:val="00045C8B"/>
    <w:rsid w:val="00046B68"/>
    <w:rsid w:val="00046F0A"/>
    <w:rsid w:val="0005188A"/>
    <w:rsid w:val="0005192E"/>
    <w:rsid w:val="000527DD"/>
    <w:rsid w:val="000578B2"/>
    <w:rsid w:val="00060959"/>
    <w:rsid w:val="00060C8F"/>
    <w:rsid w:val="0006298A"/>
    <w:rsid w:val="000643BD"/>
    <w:rsid w:val="00066189"/>
    <w:rsid w:val="000663CD"/>
    <w:rsid w:val="00071448"/>
    <w:rsid w:val="000733FE"/>
    <w:rsid w:val="00074219"/>
    <w:rsid w:val="00074ED5"/>
    <w:rsid w:val="0008508E"/>
    <w:rsid w:val="00086557"/>
    <w:rsid w:val="00087951"/>
    <w:rsid w:val="0009050A"/>
    <w:rsid w:val="0009113B"/>
    <w:rsid w:val="00093402"/>
    <w:rsid w:val="0009488D"/>
    <w:rsid w:val="00094DA3"/>
    <w:rsid w:val="000955B9"/>
    <w:rsid w:val="00096251"/>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7C06"/>
    <w:rsid w:val="000D1242"/>
    <w:rsid w:val="000E040D"/>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588D"/>
    <w:rsid w:val="0010714F"/>
    <w:rsid w:val="00111E6E"/>
    <w:rsid w:val="001120C5"/>
    <w:rsid w:val="00120BD3"/>
    <w:rsid w:val="00122FEA"/>
    <w:rsid w:val="001232BD"/>
    <w:rsid w:val="00124ED5"/>
    <w:rsid w:val="001276FA"/>
    <w:rsid w:val="0013033A"/>
    <w:rsid w:val="00142D55"/>
    <w:rsid w:val="001447B3"/>
    <w:rsid w:val="00152073"/>
    <w:rsid w:val="00153F8F"/>
    <w:rsid w:val="00156598"/>
    <w:rsid w:val="0016037B"/>
    <w:rsid w:val="00161939"/>
    <w:rsid w:val="00161AA0"/>
    <w:rsid w:val="00161D2E"/>
    <w:rsid w:val="00161F3E"/>
    <w:rsid w:val="00162093"/>
    <w:rsid w:val="00162CA9"/>
    <w:rsid w:val="00165459"/>
    <w:rsid w:val="00165A57"/>
    <w:rsid w:val="00167B9D"/>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299D"/>
    <w:rsid w:val="001A2E8E"/>
    <w:rsid w:val="001A3ACE"/>
    <w:rsid w:val="001A4803"/>
    <w:rsid w:val="001B058F"/>
    <w:rsid w:val="001B6B96"/>
    <w:rsid w:val="001B7228"/>
    <w:rsid w:val="001B738B"/>
    <w:rsid w:val="001B73AC"/>
    <w:rsid w:val="001C09DB"/>
    <w:rsid w:val="001C277E"/>
    <w:rsid w:val="001C2A72"/>
    <w:rsid w:val="001C31B7"/>
    <w:rsid w:val="001C3EE4"/>
    <w:rsid w:val="001D0B75"/>
    <w:rsid w:val="001D2C29"/>
    <w:rsid w:val="001D39A5"/>
    <w:rsid w:val="001D3C09"/>
    <w:rsid w:val="001D44E8"/>
    <w:rsid w:val="001D60EC"/>
    <w:rsid w:val="001D6F59"/>
    <w:rsid w:val="001E0B87"/>
    <w:rsid w:val="001E44DF"/>
    <w:rsid w:val="001E68A5"/>
    <w:rsid w:val="001E6BB0"/>
    <w:rsid w:val="001E7282"/>
    <w:rsid w:val="001F0321"/>
    <w:rsid w:val="001F3826"/>
    <w:rsid w:val="001F6E46"/>
    <w:rsid w:val="001F7C91"/>
    <w:rsid w:val="002033B7"/>
    <w:rsid w:val="002040C2"/>
    <w:rsid w:val="0020614C"/>
    <w:rsid w:val="00206463"/>
    <w:rsid w:val="00206F2F"/>
    <w:rsid w:val="00207717"/>
    <w:rsid w:val="0021053D"/>
    <w:rsid w:val="00210A92"/>
    <w:rsid w:val="00212046"/>
    <w:rsid w:val="00212FF6"/>
    <w:rsid w:val="00216C03"/>
    <w:rsid w:val="00220C04"/>
    <w:rsid w:val="0022278D"/>
    <w:rsid w:val="00226ABC"/>
    <w:rsid w:val="0022701F"/>
    <w:rsid w:val="00227C68"/>
    <w:rsid w:val="00233311"/>
    <w:rsid w:val="002333F5"/>
    <w:rsid w:val="00233724"/>
    <w:rsid w:val="002365B4"/>
    <w:rsid w:val="00242378"/>
    <w:rsid w:val="002432E1"/>
    <w:rsid w:val="00246207"/>
    <w:rsid w:val="002463DF"/>
    <w:rsid w:val="00246C5E"/>
    <w:rsid w:val="00250960"/>
    <w:rsid w:val="00250DC4"/>
    <w:rsid w:val="00250EDB"/>
    <w:rsid w:val="00251343"/>
    <w:rsid w:val="002532E3"/>
    <w:rsid w:val="002536A4"/>
    <w:rsid w:val="00254F58"/>
    <w:rsid w:val="00257B12"/>
    <w:rsid w:val="002620BC"/>
    <w:rsid w:val="00262802"/>
    <w:rsid w:val="00263A90"/>
    <w:rsid w:val="0026408B"/>
    <w:rsid w:val="002661C2"/>
    <w:rsid w:val="00267C3E"/>
    <w:rsid w:val="002706AA"/>
    <w:rsid w:val="002709BB"/>
    <w:rsid w:val="0027131C"/>
    <w:rsid w:val="00273BAC"/>
    <w:rsid w:val="00274A6B"/>
    <w:rsid w:val="002763B3"/>
    <w:rsid w:val="002802E3"/>
    <w:rsid w:val="00280C4B"/>
    <w:rsid w:val="0028213D"/>
    <w:rsid w:val="002862F1"/>
    <w:rsid w:val="00290DB7"/>
    <w:rsid w:val="00291373"/>
    <w:rsid w:val="00292272"/>
    <w:rsid w:val="0029597D"/>
    <w:rsid w:val="002962C3"/>
    <w:rsid w:val="0029752B"/>
    <w:rsid w:val="002A0A9C"/>
    <w:rsid w:val="002A483C"/>
    <w:rsid w:val="002A658E"/>
    <w:rsid w:val="002B0AF8"/>
    <w:rsid w:val="002B0C7C"/>
    <w:rsid w:val="002B1729"/>
    <w:rsid w:val="002B1C05"/>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29D7"/>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59A7"/>
    <w:rsid w:val="0037676C"/>
    <w:rsid w:val="00377A1A"/>
    <w:rsid w:val="0038020C"/>
    <w:rsid w:val="00381043"/>
    <w:rsid w:val="003829E5"/>
    <w:rsid w:val="00386109"/>
    <w:rsid w:val="00386944"/>
    <w:rsid w:val="003956CC"/>
    <w:rsid w:val="00395C9A"/>
    <w:rsid w:val="003A04E1"/>
    <w:rsid w:val="003A0853"/>
    <w:rsid w:val="003A49EC"/>
    <w:rsid w:val="003A6B67"/>
    <w:rsid w:val="003B13B6"/>
    <w:rsid w:val="003B14C3"/>
    <w:rsid w:val="003B15E6"/>
    <w:rsid w:val="003B1BDC"/>
    <w:rsid w:val="003B408A"/>
    <w:rsid w:val="003C08A2"/>
    <w:rsid w:val="003C0B9A"/>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491F"/>
    <w:rsid w:val="003F5CB9"/>
    <w:rsid w:val="004013C7"/>
    <w:rsid w:val="00401FCF"/>
    <w:rsid w:val="00406157"/>
    <w:rsid w:val="00406285"/>
    <w:rsid w:val="00410382"/>
    <w:rsid w:val="004148F9"/>
    <w:rsid w:val="004149C4"/>
    <w:rsid w:val="00415EF3"/>
    <w:rsid w:val="0042084E"/>
    <w:rsid w:val="00421EEF"/>
    <w:rsid w:val="00424D65"/>
    <w:rsid w:val="00430393"/>
    <w:rsid w:val="00431806"/>
    <w:rsid w:val="004350F9"/>
    <w:rsid w:val="00437AC5"/>
    <w:rsid w:val="00442C6C"/>
    <w:rsid w:val="00443CBE"/>
    <w:rsid w:val="00443E8A"/>
    <w:rsid w:val="004441BC"/>
    <w:rsid w:val="00446097"/>
    <w:rsid w:val="004468B4"/>
    <w:rsid w:val="0045230A"/>
    <w:rsid w:val="004525A9"/>
    <w:rsid w:val="00454AD0"/>
    <w:rsid w:val="00457337"/>
    <w:rsid w:val="00461B34"/>
    <w:rsid w:val="00462E3D"/>
    <w:rsid w:val="0046440A"/>
    <w:rsid w:val="00466E79"/>
    <w:rsid w:val="00470D7D"/>
    <w:rsid w:val="004731DD"/>
    <w:rsid w:val="0047372D"/>
    <w:rsid w:val="00473BA3"/>
    <w:rsid w:val="004743DD"/>
    <w:rsid w:val="00474CEA"/>
    <w:rsid w:val="00480E4F"/>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33A"/>
    <w:rsid w:val="004B4185"/>
    <w:rsid w:val="004B7F4E"/>
    <w:rsid w:val="004C15DF"/>
    <w:rsid w:val="004C5541"/>
    <w:rsid w:val="004C6EEE"/>
    <w:rsid w:val="004C702B"/>
    <w:rsid w:val="004D0033"/>
    <w:rsid w:val="004D016B"/>
    <w:rsid w:val="004D1B22"/>
    <w:rsid w:val="004D23CC"/>
    <w:rsid w:val="004D36F2"/>
    <w:rsid w:val="004D3DFC"/>
    <w:rsid w:val="004D7E04"/>
    <w:rsid w:val="004D7EA3"/>
    <w:rsid w:val="004E04EF"/>
    <w:rsid w:val="004E1106"/>
    <w:rsid w:val="004E138F"/>
    <w:rsid w:val="004E4649"/>
    <w:rsid w:val="004E5C2B"/>
    <w:rsid w:val="004E6323"/>
    <w:rsid w:val="004F00DD"/>
    <w:rsid w:val="004F082B"/>
    <w:rsid w:val="004F2127"/>
    <w:rsid w:val="004F2133"/>
    <w:rsid w:val="004F5398"/>
    <w:rsid w:val="004F55F1"/>
    <w:rsid w:val="004F6936"/>
    <w:rsid w:val="004F7B35"/>
    <w:rsid w:val="00503DC6"/>
    <w:rsid w:val="0050512F"/>
    <w:rsid w:val="00506F5D"/>
    <w:rsid w:val="00510C37"/>
    <w:rsid w:val="005126D0"/>
    <w:rsid w:val="00513109"/>
    <w:rsid w:val="00514667"/>
    <w:rsid w:val="0051568D"/>
    <w:rsid w:val="00516ECC"/>
    <w:rsid w:val="00520954"/>
    <w:rsid w:val="00526AC7"/>
    <w:rsid w:val="00526C15"/>
    <w:rsid w:val="005273BD"/>
    <w:rsid w:val="00536499"/>
    <w:rsid w:val="00542A03"/>
    <w:rsid w:val="00543903"/>
    <w:rsid w:val="00543F11"/>
    <w:rsid w:val="00546305"/>
    <w:rsid w:val="00547A95"/>
    <w:rsid w:val="0055119B"/>
    <w:rsid w:val="00561202"/>
    <w:rsid w:val="0056667F"/>
    <w:rsid w:val="0056673E"/>
    <w:rsid w:val="00571446"/>
    <w:rsid w:val="00572031"/>
    <w:rsid w:val="00572282"/>
    <w:rsid w:val="00573CE3"/>
    <w:rsid w:val="0057627F"/>
    <w:rsid w:val="00576E84"/>
    <w:rsid w:val="00580394"/>
    <w:rsid w:val="005809CD"/>
    <w:rsid w:val="00582B8C"/>
    <w:rsid w:val="0058757E"/>
    <w:rsid w:val="00593A99"/>
    <w:rsid w:val="00596A4B"/>
    <w:rsid w:val="00597507"/>
    <w:rsid w:val="005A2261"/>
    <w:rsid w:val="005A2AF8"/>
    <w:rsid w:val="005A479D"/>
    <w:rsid w:val="005B1C6D"/>
    <w:rsid w:val="005B21B6"/>
    <w:rsid w:val="005B3A08"/>
    <w:rsid w:val="005B7A63"/>
    <w:rsid w:val="005C0955"/>
    <w:rsid w:val="005C49DA"/>
    <w:rsid w:val="005C50F3"/>
    <w:rsid w:val="005C54B5"/>
    <w:rsid w:val="005C5D80"/>
    <w:rsid w:val="005C5D91"/>
    <w:rsid w:val="005C7000"/>
    <w:rsid w:val="005D07B8"/>
    <w:rsid w:val="005D1125"/>
    <w:rsid w:val="005D36C7"/>
    <w:rsid w:val="005D5B18"/>
    <w:rsid w:val="005D6597"/>
    <w:rsid w:val="005E14E7"/>
    <w:rsid w:val="005E26A3"/>
    <w:rsid w:val="005E2ECB"/>
    <w:rsid w:val="005E447E"/>
    <w:rsid w:val="005E4FD1"/>
    <w:rsid w:val="005F0775"/>
    <w:rsid w:val="005F0CF5"/>
    <w:rsid w:val="005F1711"/>
    <w:rsid w:val="005F21EB"/>
    <w:rsid w:val="005F5533"/>
    <w:rsid w:val="005F64CF"/>
    <w:rsid w:val="006041AD"/>
    <w:rsid w:val="00605908"/>
    <w:rsid w:val="00607850"/>
    <w:rsid w:val="00607E08"/>
    <w:rsid w:val="00610443"/>
    <w:rsid w:val="00610D7C"/>
    <w:rsid w:val="00613414"/>
    <w:rsid w:val="0061485C"/>
    <w:rsid w:val="00616533"/>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0DB"/>
    <w:rsid w:val="006454E6"/>
    <w:rsid w:val="00646235"/>
    <w:rsid w:val="00646A68"/>
    <w:rsid w:val="006505BD"/>
    <w:rsid w:val="006508EA"/>
    <w:rsid w:val="0065092E"/>
    <w:rsid w:val="00651F5D"/>
    <w:rsid w:val="006557A7"/>
    <w:rsid w:val="00656290"/>
    <w:rsid w:val="006601C9"/>
    <w:rsid w:val="006608D8"/>
    <w:rsid w:val="006621D7"/>
    <w:rsid w:val="0066302A"/>
    <w:rsid w:val="006632C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31F1"/>
    <w:rsid w:val="006B56AD"/>
    <w:rsid w:val="006B6180"/>
    <w:rsid w:val="006B6803"/>
    <w:rsid w:val="006C213C"/>
    <w:rsid w:val="006D0F16"/>
    <w:rsid w:val="006D2A3F"/>
    <w:rsid w:val="006D2FBC"/>
    <w:rsid w:val="006E138B"/>
    <w:rsid w:val="006E1867"/>
    <w:rsid w:val="006F0330"/>
    <w:rsid w:val="006F1FDC"/>
    <w:rsid w:val="006F69AC"/>
    <w:rsid w:val="006F6B8C"/>
    <w:rsid w:val="007013EF"/>
    <w:rsid w:val="007055BD"/>
    <w:rsid w:val="007173CA"/>
    <w:rsid w:val="007216AA"/>
    <w:rsid w:val="00721AB5"/>
    <w:rsid w:val="00721CFB"/>
    <w:rsid w:val="00721D11"/>
    <w:rsid w:val="00721DEF"/>
    <w:rsid w:val="00722B42"/>
    <w:rsid w:val="00722CEC"/>
    <w:rsid w:val="00724651"/>
    <w:rsid w:val="00724A43"/>
    <w:rsid w:val="00725239"/>
    <w:rsid w:val="007273AC"/>
    <w:rsid w:val="00731AD4"/>
    <w:rsid w:val="00731CF8"/>
    <w:rsid w:val="007338A2"/>
    <w:rsid w:val="007346E4"/>
    <w:rsid w:val="007353F8"/>
    <w:rsid w:val="00740F22"/>
    <w:rsid w:val="00741977"/>
    <w:rsid w:val="00741CF0"/>
    <w:rsid w:val="00741F1A"/>
    <w:rsid w:val="00743A2C"/>
    <w:rsid w:val="007447DA"/>
    <w:rsid w:val="007450F8"/>
    <w:rsid w:val="0074696E"/>
    <w:rsid w:val="00750135"/>
    <w:rsid w:val="00750C2C"/>
    <w:rsid w:val="00750EC2"/>
    <w:rsid w:val="00752B28"/>
    <w:rsid w:val="007541A9"/>
    <w:rsid w:val="00754E36"/>
    <w:rsid w:val="00757B63"/>
    <w:rsid w:val="00763139"/>
    <w:rsid w:val="00766F80"/>
    <w:rsid w:val="00770F37"/>
    <w:rsid w:val="007711A0"/>
    <w:rsid w:val="00772D5E"/>
    <w:rsid w:val="0077463E"/>
    <w:rsid w:val="00776718"/>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2F0"/>
    <w:rsid w:val="007C1838"/>
    <w:rsid w:val="007C20B9"/>
    <w:rsid w:val="007C7301"/>
    <w:rsid w:val="007C7859"/>
    <w:rsid w:val="007C7B86"/>
    <w:rsid w:val="007C7F28"/>
    <w:rsid w:val="007C7FC5"/>
    <w:rsid w:val="007D1466"/>
    <w:rsid w:val="007D2BDE"/>
    <w:rsid w:val="007D2FB6"/>
    <w:rsid w:val="007D49EB"/>
    <w:rsid w:val="007D5E1C"/>
    <w:rsid w:val="007D7FD9"/>
    <w:rsid w:val="007E0DE2"/>
    <w:rsid w:val="007E3376"/>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0DC"/>
    <w:rsid w:val="00846826"/>
    <w:rsid w:val="008474FE"/>
    <w:rsid w:val="0085232E"/>
    <w:rsid w:val="00853EE4"/>
    <w:rsid w:val="00855535"/>
    <w:rsid w:val="00857C5A"/>
    <w:rsid w:val="008601E9"/>
    <w:rsid w:val="0086255E"/>
    <w:rsid w:val="008633F0"/>
    <w:rsid w:val="00867D9D"/>
    <w:rsid w:val="0087074D"/>
    <w:rsid w:val="008728B2"/>
    <w:rsid w:val="00872C54"/>
    <w:rsid w:val="00872E0A"/>
    <w:rsid w:val="00873594"/>
    <w:rsid w:val="00875285"/>
    <w:rsid w:val="0088466E"/>
    <w:rsid w:val="00884B62"/>
    <w:rsid w:val="0088529C"/>
    <w:rsid w:val="00885CF7"/>
    <w:rsid w:val="00887903"/>
    <w:rsid w:val="0089270A"/>
    <w:rsid w:val="00893AF6"/>
    <w:rsid w:val="00894BC4"/>
    <w:rsid w:val="0089744D"/>
    <w:rsid w:val="008A28A8"/>
    <w:rsid w:val="008A5B32"/>
    <w:rsid w:val="008A5D60"/>
    <w:rsid w:val="008B2029"/>
    <w:rsid w:val="008B2EE4"/>
    <w:rsid w:val="008B3821"/>
    <w:rsid w:val="008B4D3D"/>
    <w:rsid w:val="008B57C7"/>
    <w:rsid w:val="008B5C18"/>
    <w:rsid w:val="008C2F92"/>
    <w:rsid w:val="008C589D"/>
    <w:rsid w:val="008C6804"/>
    <w:rsid w:val="008C6D51"/>
    <w:rsid w:val="008D2846"/>
    <w:rsid w:val="008D4236"/>
    <w:rsid w:val="008D462F"/>
    <w:rsid w:val="008D5C45"/>
    <w:rsid w:val="008D5F13"/>
    <w:rsid w:val="008D60AA"/>
    <w:rsid w:val="008D6DCF"/>
    <w:rsid w:val="008E4376"/>
    <w:rsid w:val="008E481A"/>
    <w:rsid w:val="008E7A0A"/>
    <w:rsid w:val="008E7B49"/>
    <w:rsid w:val="008F59F6"/>
    <w:rsid w:val="00900719"/>
    <w:rsid w:val="009017AC"/>
    <w:rsid w:val="00902A87"/>
    <w:rsid w:val="00902A9A"/>
    <w:rsid w:val="009037E8"/>
    <w:rsid w:val="00904A1C"/>
    <w:rsid w:val="00905030"/>
    <w:rsid w:val="00905FFA"/>
    <w:rsid w:val="00906490"/>
    <w:rsid w:val="009111B2"/>
    <w:rsid w:val="009151F5"/>
    <w:rsid w:val="00922294"/>
    <w:rsid w:val="00922B83"/>
    <w:rsid w:val="00924AE1"/>
    <w:rsid w:val="009257ED"/>
    <w:rsid w:val="009269B1"/>
    <w:rsid w:val="0092724D"/>
    <w:rsid w:val="009272B3"/>
    <w:rsid w:val="009315BE"/>
    <w:rsid w:val="0093173F"/>
    <w:rsid w:val="0093338F"/>
    <w:rsid w:val="009348FE"/>
    <w:rsid w:val="00937BD9"/>
    <w:rsid w:val="00945537"/>
    <w:rsid w:val="00950E2C"/>
    <w:rsid w:val="00951D50"/>
    <w:rsid w:val="009525EB"/>
    <w:rsid w:val="0095470B"/>
    <w:rsid w:val="00954874"/>
    <w:rsid w:val="00954D01"/>
    <w:rsid w:val="0095615A"/>
    <w:rsid w:val="00961400"/>
    <w:rsid w:val="00963646"/>
    <w:rsid w:val="009637B7"/>
    <w:rsid w:val="0096632D"/>
    <w:rsid w:val="00967124"/>
    <w:rsid w:val="00967335"/>
    <w:rsid w:val="00970C07"/>
    <w:rsid w:val="009718C7"/>
    <w:rsid w:val="0097559F"/>
    <w:rsid w:val="009761EA"/>
    <w:rsid w:val="0097761E"/>
    <w:rsid w:val="00982454"/>
    <w:rsid w:val="00982CF0"/>
    <w:rsid w:val="009853E1"/>
    <w:rsid w:val="00986E6B"/>
    <w:rsid w:val="00990032"/>
    <w:rsid w:val="00990B19"/>
    <w:rsid w:val="0099153B"/>
    <w:rsid w:val="00991769"/>
    <w:rsid w:val="00991B31"/>
    <w:rsid w:val="00991CF0"/>
    <w:rsid w:val="0099232C"/>
    <w:rsid w:val="00994386"/>
    <w:rsid w:val="00994791"/>
    <w:rsid w:val="00997E54"/>
    <w:rsid w:val="009A13D8"/>
    <w:rsid w:val="009A279E"/>
    <w:rsid w:val="009A3015"/>
    <w:rsid w:val="009A3490"/>
    <w:rsid w:val="009A5373"/>
    <w:rsid w:val="009B0A6F"/>
    <w:rsid w:val="009B0A94"/>
    <w:rsid w:val="009B2AE8"/>
    <w:rsid w:val="009B5622"/>
    <w:rsid w:val="009B59E9"/>
    <w:rsid w:val="009B70AA"/>
    <w:rsid w:val="009C1A3D"/>
    <w:rsid w:val="009C1CB1"/>
    <w:rsid w:val="009C4CCB"/>
    <w:rsid w:val="009C5E77"/>
    <w:rsid w:val="009C7A7E"/>
    <w:rsid w:val="009D02E8"/>
    <w:rsid w:val="009D51D0"/>
    <w:rsid w:val="009D70A4"/>
    <w:rsid w:val="009D7A52"/>
    <w:rsid w:val="009D7B14"/>
    <w:rsid w:val="009E08D1"/>
    <w:rsid w:val="009E1B95"/>
    <w:rsid w:val="009E496F"/>
    <w:rsid w:val="009E4B0D"/>
    <w:rsid w:val="009E5250"/>
    <w:rsid w:val="009E6776"/>
    <w:rsid w:val="009E7A69"/>
    <w:rsid w:val="009E7F92"/>
    <w:rsid w:val="009F02A3"/>
    <w:rsid w:val="009F19CE"/>
    <w:rsid w:val="009F2F27"/>
    <w:rsid w:val="009F34AA"/>
    <w:rsid w:val="009F3E6B"/>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71F"/>
    <w:rsid w:val="00A32577"/>
    <w:rsid w:val="00A330BB"/>
    <w:rsid w:val="00A34ACD"/>
    <w:rsid w:val="00A36939"/>
    <w:rsid w:val="00A44882"/>
    <w:rsid w:val="00A45125"/>
    <w:rsid w:val="00A50EB7"/>
    <w:rsid w:val="00A513A9"/>
    <w:rsid w:val="00A54715"/>
    <w:rsid w:val="00A6061C"/>
    <w:rsid w:val="00A62D44"/>
    <w:rsid w:val="00A63ACA"/>
    <w:rsid w:val="00A66D26"/>
    <w:rsid w:val="00A67263"/>
    <w:rsid w:val="00A7161C"/>
    <w:rsid w:val="00A750AB"/>
    <w:rsid w:val="00A77AA3"/>
    <w:rsid w:val="00A8236D"/>
    <w:rsid w:val="00A854EB"/>
    <w:rsid w:val="00A872E5"/>
    <w:rsid w:val="00A91406"/>
    <w:rsid w:val="00A96E65"/>
    <w:rsid w:val="00A96ECE"/>
    <w:rsid w:val="00A97139"/>
    <w:rsid w:val="00A97C72"/>
    <w:rsid w:val="00AA1980"/>
    <w:rsid w:val="00AA310B"/>
    <w:rsid w:val="00AA63D4"/>
    <w:rsid w:val="00AB06E8"/>
    <w:rsid w:val="00AB1A4F"/>
    <w:rsid w:val="00AB1CD3"/>
    <w:rsid w:val="00AB297C"/>
    <w:rsid w:val="00AB352F"/>
    <w:rsid w:val="00AB7FBE"/>
    <w:rsid w:val="00AC274B"/>
    <w:rsid w:val="00AC4764"/>
    <w:rsid w:val="00AC6D36"/>
    <w:rsid w:val="00AD0CBA"/>
    <w:rsid w:val="00AD26E2"/>
    <w:rsid w:val="00AD784C"/>
    <w:rsid w:val="00AE0C0A"/>
    <w:rsid w:val="00AE126A"/>
    <w:rsid w:val="00AE1BAE"/>
    <w:rsid w:val="00AE3005"/>
    <w:rsid w:val="00AE3BD5"/>
    <w:rsid w:val="00AE59A0"/>
    <w:rsid w:val="00AE5D9F"/>
    <w:rsid w:val="00AE7145"/>
    <w:rsid w:val="00AF0C57"/>
    <w:rsid w:val="00AF26F3"/>
    <w:rsid w:val="00AF5F04"/>
    <w:rsid w:val="00B00672"/>
    <w:rsid w:val="00B00AC3"/>
    <w:rsid w:val="00B01B4D"/>
    <w:rsid w:val="00B04489"/>
    <w:rsid w:val="00B06571"/>
    <w:rsid w:val="00B06708"/>
    <w:rsid w:val="00B068BA"/>
    <w:rsid w:val="00B07217"/>
    <w:rsid w:val="00B13851"/>
    <w:rsid w:val="00B13B1C"/>
    <w:rsid w:val="00B14B5F"/>
    <w:rsid w:val="00B21F90"/>
    <w:rsid w:val="00B22291"/>
    <w:rsid w:val="00B23F9A"/>
    <w:rsid w:val="00B2417B"/>
    <w:rsid w:val="00B24E6F"/>
    <w:rsid w:val="00B26CB5"/>
    <w:rsid w:val="00B26FD8"/>
    <w:rsid w:val="00B2752E"/>
    <w:rsid w:val="00B307CC"/>
    <w:rsid w:val="00B326B7"/>
    <w:rsid w:val="00B3588E"/>
    <w:rsid w:val="00B4198F"/>
    <w:rsid w:val="00B41F3D"/>
    <w:rsid w:val="00B422A3"/>
    <w:rsid w:val="00B431E8"/>
    <w:rsid w:val="00B45141"/>
    <w:rsid w:val="00B45AA9"/>
    <w:rsid w:val="00B519CD"/>
    <w:rsid w:val="00B5273A"/>
    <w:rsid w:val="00B57329"/>
    <w:rsid w:val="00B60E61"/>
    <w:rsid w:val="00B62B50"/>
    <w:rsid w:val="00B635B7"/>
    <w:rsid w:val="00B63AE8"/>
    <w:rsid w:val="00B65950"/>
    <w:rsid w:val="00B66D83"/>
    <w:rsid w:val="00B672C0"/>
    <w:rsid w:val="00B675D2"/>
    <w:rsid w:val="00B676FD"/>
    <w:rsid w:val="00B678B6"/>
    <w:rsid w:val="00B706E8"/>
    <w:rsid w:val="00B75646"/>
    <w:rsid w:val="00B7629E"/>
    <w:rsid w:val="00B90729"/>
    <w:rsid w:val="00B907DA"/>
    <w:rsid w:val="00B91FFE"/>
    <w:rsid w:val="00B950BC"/>
    <w:rsid w:val="00B95AB9"/>
    <w:rsid w:val="00B964BB"/>
    <w:rsid w:val="00B9714C"/>
    <w:rsid w:val="00BA0301"/>
    <w:rsid w:val="00BA0D38"/>
    <w:rsid w:val="00BA29AD"/>
    <w:rsid w:val="00BA33CF"/>
    <w:rsid w:val="00BA3F8D"/>
    <w:rsid w:val="00BB417F"/>
    <w:rsid w:val="00BB6492"/>
    <w:rsid w:val="00BB7A10"/>
    <w:rsid w:val="00BC60BE"/>
    <w:rsid w:val="00BC7468"/>
    <w:rsid w:val="00BC7D4F"/>
    <w:rsid w:val="00BC7ED7"/>
    <w:rsid w:val="00BD2850"/>
    <w:rsid w:val="00BD6049"/>
    <w:rsid w:val="00BE26B3"/>
    <w:rsid w:val="00BE28D2"/>
    <w:rsid w:val="00BE4A64"/>
    <w:rsid w:val="00BE5E43"/>
    <w:rsid w:val="00BF557D"/>
    <w:rsid w:val="00BF7F58"/>
    <w:rsid w:val="00C01381"/>
    <w:rsid w:val="00C01AB1"/>
    <w:rsid w:val="00C026A0"/>
    <w:rsid w:val="00C03EA4"/>
    <w:rsid w:val="00C04927"/>
    <w:rsid w:val="00C04F42"/>
    <w:rsid w:val="00C06137"/>
    <w:rsid w:val="00C06929"/>
    <w:rsid w:val="00C079B8"/>
    <w:rsid w:val="00C10037"/>
    <w:rsid w:val="00C123EA"/>
    <w:rsid w:val="00C12A49"/>
    <w:rsid w:val="00C133EE"/>
    <w:rsid w:val="00C149D0"/>
    <w:rsid w:val="00C231A0"/>
    <w:rsid w:val="00C24718"/>
    <w:rsid w:val="00C26588"/>
    <w:rsid w:val="00C27DE9"/>
    <w:rsid w:val="00C32989"/>
    <w:rsid w:val="00C33388"/>
    <w:rsid w:val="00C34C37"/>
    <w:rsid w:val="00C35484"/>
    <w:rsid w:val="00C4173A"/>
    <w:rsid w:val="00C432AA"/>
    <w:rsid w:val="00C43596"/>
    <w:rsid w:val="00C45201"/>
    <w:rsid w:val="00C47399"/>
    <w:rsid w:val="00C50DED"/>
    <w:rsid w:val="00C52217"/>
    <w:rsid w:val="00C57BA5"/>
    <w:rsid w:val="00C602A6"/>
    <w:rsid w:val="00C602FF"/>
    <w:rsid w:val="00C61174"/>
    <w:rsid w:val="00C6148F"/>
    <w:rsid w:val="00C621B1"/>
    <w:rsid w:val="00C62F7A"/>
    <w:rsid w:val="00C63B9C"/>
    <w:rsid w:val="00C6682F"/>
    <w:rsid w:val="00C67BF4"/>
    <w:rsid w:val="00C7275E"/>
    <w:rsid w:val="00C745EA"/>
    <w:rsid w:val="00C74C5D"/>
    <w:rsid w:val="00C863C4"/>
    <w:rsid w:val="00C8682D"/>
    <w:rsid w:val="00C918C4"/>
    <w:rsid w:val="00C920EA"/>
    <w:rsid w:val="00C93C3E"/>
    <w:rsid w:val="00CA12E3"/>
    <w:rsid w:val="00CA1476"/>
    <w:rsid w:val="00CA5470"/>
    <w:rsid w:val="00CA6611"/>
    <w:rsid w:val="00CA6AE6"/>
    <w:rsid w:val="00CA782F"/>
    <w:rsid w:val="00CB187B"/>
    <w:rsid w:val="00CB2835"/>
    <w:rsid w:val="00CB3285"/>
    <w:rsid w:val="00CB4500"/>
    <w:rsid w:val="00CC0C72"/>
    <w:rsid w:val="00CC1324"/>
    <w:rsid w:val="00CC2BFD"/>
    <w:rsid w:val="00CD1A9A"/>
    <w:rsid w:val="00CD3476"/>
    <w:rsid w:val="00CD64DF"/>
    <w:rsid w:val="00CD65E9"/>
    <w:rsid w:val="00CD6E78"/>
    <w:rsid w:val="00CE225F"/>
    <w:rsid w:val="00CE7FE2"/>
    <w:rsid w:val="00CF0AED"/>
    <w:rsid w:val="00CF2370"/>
    <w:rsid w:val="00CF2442"/>
    <w:rsid w:val="00CF2F50"/>
    <w:rsid w:val="00CF4148"/>
    <w:rsid w:val="00CF6198"/>
    <w:rsid w:val="00D02919"/>
    <w:rsid w:val="00D04C61"/>
    <w:rsid w:val="00D04F21"/>
    <w:rsid w:val="00D05B8D"/>
    <w:rsid w:val="00D05B9B"/>
    <w:rsid w:val="00D065A2"/>
    <w:rsid w:val="00D06758"/>
    <w:rsid w:val="00D079AA"/>
    <w:rsid w:val="00D07F00"/>
    <w:rsid w:val="00D108CF"/>
    <w:rsid w:val="00D1130F"/>
    <w:rsid w:val="00D15EF1"/>
    <w:rsid w:val="00D17B72"/>
    <w:rsid w:val="00D3185C"/>
    <w:rsid w:val="00D3205F"/>
    <w:rsid w:val="00D3318E"/>
    <w:rsid w:val="00D33E72"/>
    <w:rsid w:val="00D35BD6"/>
    <w:rsid w:val="00D361B5"/>
    <w:rsid w:val="00D402DB"/>
    <w:rsid w:val="00D411A2"/>
    <w:rsid w:val="00D45C98"/>
    <w:rsid w:val="00D4606D"/>
    <w:rsid w:val="00D50B9C"/>
    <w:rsid w:val="00D52D73"/>
    <w:rsid w:val="00D52E58"/>
    <w:rsid w:val="00D55256"/>
    <w:rsid w:val="00D56B20"/>
    <w:rsid w:val="00D578B3"/>
    <w:rsid w:val="00D57E40"/>
    <w:rsid w:val="00D618F4"/>
    <w:rsid w:val="00D714CC"/>
    <w:rsid w:val="00D72B0E"/>
    <w:rsid w:val="00D75EA7"/>
    <w:rsid w:val="00D81ADF"/>
    <w:rsid w:val="00D81F21"/>
    <w:rsid w:val="00D83867"/>
    <w:rsid w:val="00D8423D"/>
    <w:rsid w:val="00D84658"/>
    <w:rsid w:val="00D864F2"/>
    <w:rsid w:val="00D943F8"/>
    <w:rsid w:val="00D94A2D"/>
    <w:rsid w:val="00D95470"/>
    <w:rsid w:val="00D96B55"/>
    <w:rsid w:val="00DA2619"/>
    <w:rsid w:val="00DA2E57"/>
    <w:rsid w:val="00DA4239"/>
    <w:rsid w:val="00DA65DE"/>
    <w:rsid w:val="00DB0B61"/>
    <w:rsid w:val="00DB1474"/>
    <w:rsid w:val="00DB2962"/>
    <w:rsid w:val="00DB4454"/>
    <w:rsid w:val="00DB52FB"/>
    <w:rsid w:val="00DC013B"/>
    <w:rsid w:val="00DC090B"/>
    <w:rsid w:val="00DC1679"/>
    <w:rsid w:val="00DC219B"/>
    <w:rsid w:val="00DC2CF1"/>
    <w:rsid w:val="00DC3755"/>
    <w:rsid w:val="00DC381A"/>
    <w:rsid w:val="00DC3A7C"/>
    <w:rsid w:val="00DC4FCF"/>
    <w:rsid w:val="00DC50E0"/>
    <w:rsid w:val="00DC6386"/>
    <w:rsid w:val="00DC772A"/>
    <w:rsid w:val="00DD1130"/>
    <w:rsid w:val="00DD1951"/>
    <w:rsid w:val="00DD2153"/>
    <w:rsid w:val="00DD487D"/>
    <w:rsid w:val="00DD4E83"/>
    <w:rsid w:val="00DD6628"/>
    <w:rsid w:val="00DD6945"/>
    <w:rsid w:val="00DE2D04"/>
    <w:rsid w:val="00DE3250"/>
    <w:rsid w:val="00DE6028"/>
    <w:rsid w:val="00DE6C85"/>
    <w:rsid w:val="00DE78A3"/>
    <w:rsid w:val="00DF104E"/>
    <w:rsid w:val="00DF1A71"/>
    <w:rsid w:val="00DF50FC"/>
    <w:rsid w:val="00DF68C7"/>
    <w:rsid w:val="00DF731A"/>
    <w:rsid w:val="00E06B75"/>
    <w:rsid w:val="00E11332"/>
    <w:rsid w:val="00E11352"/>
    <w:rsid w:val="00E170DC"/>
    <w:rsid w:val="00E17546"/>
    <w:rsid w:val="00E210B5"/>
    <w:rsid w:val="00E2196E"/>
    <w:rsid w:val="00E261B3"/>
    <w:rsid w:val="00E26657"/>
    <w:rsid w:val="00E26818"/>
    <w:rsid w:val="00E26BD8"/>
    <w:rsid w:val="00E27FFC"/>
    <w:rsid w:val="00E30B15"/>
    <w:rsid w:val="00E33237"/>
    <w:rsid w:val="00E347C9"/>
    <w:rsid w:val="00E40181"/>
    <w:rsid w:val="00E46457"/>
    <w:rsid w:val="00E518D4"/>
    <w:rsid w:val="00E54950"/>
    <w:rsid w:val="00E55FB3"/>
    <w:rsid w:val="00E566DC"/>
    <w:rsid w:val="00E56A01"/>
    <w:rsid w:val="00E629A1"/>
    <w:rsid w:val="00E6794C"/>
    <w:rsid w:val="00E71591"/>
    <w:rsid w:val="00E71CEB"/>
    <w:rsid w:val="00E72ED4"/>
    <w:rsid w:val="00E74194"/>
    <w:rsid w:val="00E7474F"/>
    <w:rsid w:val="00E77901"/>
    <w:rsid w:val="00E80DE3"/>
    <w:rsid w:val="00E82C55"/>
    <w:rsid w:val="00E8787E"/>
    <w:rsid w:val="00E92AC3"/>
    <w:rsid w:val="00E96A83"/>
    <w:rsid w:val="00EA1E6C"/>
    <w:rsid w:val="00EA2F6A"/>
    <w:rsid w:val="00EB00E0"/>
    <w:rsid w:val="00EB05D5"/>
    <w:rsid w:val="00EB1931"/>
    <w:rsid w:val="00EB32F5"/>
    <w:rsid w:val="00EC059F"/>
    <w:rsid w:val="00EC14A2"/>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E563A"/>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4C6D"/>
    <w:rsid w:val="00F101B8"/>
    <w:rsid w:val="00F10C7D"/>
    <w:rsid w:val="00F11037"/>
    <w:rsid w:val="00F16F1B"/>
    <w:rsid w:val="00F21E6B"/>
    <w:rsid w:val="00F250A9"/>
    <w:rsid w:val="00F26064"/>
    <w:rsid w:val="00F267AF"/>
    <w:rsid w:val="00F2780E"/>
    <w:rsid w:val="00F30292"/>
    <w:rsid w:val="00F30892"/>
    <w:rsid w:val="00F30FF4"/>
    <w:rsid w:val="00F3122E"/>
    <w:rsid w:val="00F32368"/>
    <w:rsid w:val="00F331AD"/>
    <w:rsid w:val="00F35287"/>
    <w:rsid w:val="00F40A70"/>
    <w:rsid w:val="00F43A37"/>
    <w:rsid w:val="00F45182"/>
    <w:rsid w:val="00F4641B"/>
    <w:rsid w:val="00F46EB8"/>
    <w:rsid w:val="00F476B8"/>
    <w:rsid w:val="00F50CD1"/>
    <w:rsid w:val="00F511E4"/>
    <w:rsid w:val="00F52D09"/>
    <w:rsid w:val="00F52E08"/>
    <w:rsid w:val="00F53A66"/>
    <w:rsid w:val="00F5462D"/>
    <w:rsid w:val="00F55B21"/>
    <w:rsid w:val="00F56EF6"/>
    <w:rsid w:val="00F576C1"/>
    <w:rsid w:val="00F60082"/>
    <w:rsid w:val="00F61A9F"/>
    <w:rsid w:val="00F61B5F"/>
    <w:rsid w:val="00F64696"/>
    <w:rsid w:val="00F65AA9"/>
    <w:rsid w:val="00F6768F"/>
    <w:rsid w:val="00F72115"/>
    <w:rsid w:val="00F72B1C"/>
    <w:rsid w:val="00F72C2C"/>
    <w:rsid w:val="00F73550"/>
    <w:rsid w:val="00F741F2"/>
    <w:rsid w:val="00F76CAB"/>
    <w:rsid w:val="00F772C6"/>
    <w:rsid w:val="00F77F59"/>
    <w:rsid w:val="00F815B5"/>
    <w:rsid w:val="00F85195"/>
    <w:rsid w:val="00F868E3"/>
    <w:rsid w:val="00F86933"/>
    <w:rsid w:val="00F938BA"/>
    <w:rsid w:val="00F972B1"/>
    <w:rsid w:val="00F97919"/>
    <w:rsid w:val="00FA2C46"/>
    <w:rsid w:val="00FA3525"/>
    <w:rsid w:val="00FA592B"/>
    <w:rsid w:val="00FA5A53"/>
    <w:rsid w:val="00FB3501"/>
    <w:rsid w:val="00FB3FBF"/>
    <w:rsid w:val="00FB4769"/>
    <w:rsid w:val="00FB4CDA"/>
    <w:rsid w:val="00FB5B4E"/>
    <w:rsid w:val="00FB6481"/>
    <w:rsid w:val="00FB6D36"/>
    <w:rsid w:val="00FC0965"/>
    <w:rsid w:val="00FC0F81"/>
    <w:rsid w:val="00FC252F"/>
    <w:rsid w:val="00FC3167"/>
    <w:rsid w:val="00FC395C"/>
    <w:rsid w:val="00FC5E8E"/>
    <w:rsid w:val="00FD3766"/>
    <w:rsid w:val="00FD47C4"/>
    <w:rsid w:val="00FE2DCF"/>
    <w:rsid w:val="00FE3FA7"/>
    <w:rsid w:val="00FE5E91"/>
    <w:rsid w:val="00FF2A4E"/>
    <w:rsid w:val="00FF2FCE"/>
    <w:rsid w:val="00FF4F7D"/>
    <w:rsid w:val="00FF6D9D"/>
    <w:rsid w:val="00FF7AFE"/>
    <w:rsid w:val="00FF7DD5"/>
    <w:rsid w:val="0CB8242D"/>
    <w:rsid w:val="31AC80CD"/>
    <w:rsid w:val="38AD5426"/>
    <w:rsid w:val="5B10DF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6159A23-F2EC-4EC2-BDA3-1DA78E93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1485C"/>
    <w:pPr>
      <w:spacing w:after="80" w:line="520" w:lineRule="atLeast"/>
    </w:pPr>
    <w:rPr>
      <w:rFonts w:ascii="Arial" w:hAnsi="Arial"/>
      <w:b/>
      <w:color w:val="201547"/>
      <w:sz w:val="48"/>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61485C"/>
    <w:pPr>
      <w:spacing w:after="100" w:line="400" w:lineRule="atLeast"/>
    </w:pPr>
    <w:rPr>
      <w:rFonts w:ascii="Arial" w:hAnsi="Arial"/>
      <w:color w:val="201547"/>
      <w:sz w:val="36"/>
      <w:szCs w:val="32"/>
      <w:lang w:eastAsia="en-US"/>
    </w:rPr>
  </w:style>
  <w:style w:type="paragraph" w:styleId="FootnoteText">
    <w:name w:val="footnote text"/>
    <w:basedOn w:val="Normal"/>
    <w:link w:val="FootnoteTextChar"/>
    <w:uiPriority w:val="99"/>
    <w:rsid w:val="00BB417F"/>
    <w:pPr>
      <w:spacing w:before="60" w:after="60" w:line="240" w:lineRule="atLeast"/>
    </w:pPr>
    <w:rPr>
      <w:rFonts w:eastAsia="MS Gothic" w:cs="Arial"/>
      <w:sz w:val="20"/>
      <w:szCs w:val="16"/>
    </w:rPr>
  </w:style>
  <w:style w:type="character" w:customStyle="1" w:styleId="FootnoteTextChar">
    <w:name w:val="Footnote Text Char"/>
    <w:link w:val="FootnoteText"/>
    <w:uiPriority w:val="99"/>
    <w:rsid w:val="00BB417F"/>
    <w:rPr>
      <w:rFonts w:ascii="Arial" w:eastAsia="MS Gothic" w:hAnsi="Arial" w:cs="Arial"/>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qFormat/>
    <w:rsid w:val="005D5B18"/>
    <w:pPr>
      <w:pBdr>
        <w:left w:val="single" w:sz="8" w:space="14" w:color="201547"/>
      </w:pBdr>
      <w:spacing w:before="60" w:after="60" w:line="300" w:lineRule="atLeast"/>
      <w:ind w:left="1134"/>
    </w:pPr>
    <w:rPr>
      <w:color w:val="201547"/>
      <w:sz w:val="26"/>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qFormat/>
    <w:rsid w:val="00E2196E"/>
    <w:pPr>
      <w:numPr>
        <w:numId w:val="11"/>
      </w:numPr>
      <w:spacing w:before="120" w:after="120"/>
      <w:ind w:left="1701" w:hanging="567"/>
    </w:pPr>
  </w:style>
  <w:style w:type="table" w:customStyle="1" w:styleId="DFFHdefaulttable">
    <w:name w:val="DFFH default table"/>
    <w:basedOn w:val="TableNormal"/>
    <w:uiPriority w:val="99"/>
    <w:rsid w:val="007C12F0"/>
    <w:tblPr>
      <w:tblBorders>
        <w:top w:val="single" w:sz="8" w:space="0" w:color="201547"/>
        <w:bottom w:val="single" w:sz="8" w:space="0" w:color="201547"/>
        <w:insideH w:val="single" w:sz="8" w:space="0" w:color="201547"/>
      </w:tblBorders>
    </w:tblPr>
    <w:tblStylePr w:type="firstRow">
      <w:tblPr/>
      <w:tcPr>
        <w:tcBorders>
          <w:top w:val="nil"/>
          <w:left w:val="nil"/>
          <w:bottom w:val="nil"/>
          <w:right w:val="nil"/>
          <w:insideH w:val="nil"/>
          <w:insideV w:val="nil"/>
          <w:tl2br w:val="nil"/>
          <w:tr2bl w:val="nil"/>
        </w:tcBorders>
        <w:shd w:val="clear" w:color="auto" w:fill="CCF0EE"/>
      </w:tcPr>
    </w:tblStyle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Accessibiityparabullet1">
    <w:name w:val="Accessibiity para bullet 1"/>
    <w:basedOn w:val="Accessibilitypara"/>
    <w:uiPriority w:val="11"/>
    <w:rsid w:val="0038020C"/>
    <w:pPr>
      <w:numPr>
        <w:numId w:val="44"/>
      </w:numPr>
      <w:spacing w:line="340" w:lineRule="atLeast"/>
      <w:ind w:left="357" w:hanging="357"/>
    </w:pPr>
    <w:rPr>
      <w:sz w:val="28"/>
    </w:rPr>
  </w:style>
  <w:style w:type="paragraph" w:customStyle="1" w:styleId="Highlightboxtextteal">
    <w:name w:val="Highlight box text teal"/>
    <w:basedOn w:val="Body"/>
    <w:uiPriority w:val="11"/>
    <w:rsid w:val="0020614C"/>
    <w:pPr>
      <w:pBdr>
        <w:top w:val="single" w:sz="4" w:space="12" w:color="CCF0EE"/>
        <w:left w:val="single" w:sz="4" w:space="12" w:color="CCF0EE"/>
        <w:bottom w:val="single" w:sz="4" w:space="12" w:color="CCF0EE"/>
        <w:right w:val="single" w:sz="4" w:space="12" w:color="CCF0EE"/>
      </w:pBdr>
      <w:shd w:val="clear" w:color="auto" w:fill="CCF0EE"/>
      <w:ind w:left="227" w:right="227"/>
    </w:pPr>
    <w:rPr>
      <w:color w:val="201547"/>
      <w:sz w:val="22"/>
    </w:rPr>
  </w:style>
  <w:style w:type="paragraph" w:customStyle="1" w:styleId="HIghlightboxtitleteal">
    <w:name w:val="HIghlight box title teal"/>
    <w:basedOn w:val="Highlightboxtextteal"/>
    <w:uiPriority w:val="11"/>
    <w:rsid w:val="0020614C"/>
    <w:pPr>
      <w:spacing w:before="120" w:line="240" w:lineRule="exact"/>
    </w:pPr>
    <w:rPr>
      <w:b/>
    </w:rPr>
  </w:style>
  <w:style w:type="paragraph" w:customStyle="1" w:styleId="Hightlightboxbulletteal">
    <w:name w:val="Hightlight box bullet teal"/>
    <w:basedOn w:val="Highlightboxtextteal"/>
    <w:uiPriority w:val="11"/>
    <w:qFormat/>
    <w:rsid w:val="0020614C"/>
    <w:pPr>
      <w:numPr>
        <w:numId w:val="45"/>
      </w:numPr>
      <w:spacing w:before="60" w:line="240" w:lineRule="exact"/>
      <w:ind w:left="454" w:hanging="227"/>
    </w:pPr>
  </w:style>
  <w:style w:type="paragraph" w:customStyle="1" w:styleId="Highlightboxtext">
    <w:name w:val="Highlight box text"/>
    <w:basedOn w:val="Highlightboxtextteal"/>
    <w:uiPriority w:val="11"/>
    <w:rsid w:val="007353F8"/>
    <w:pPr>
      <w:pBdr>
        <w:top w:val="single" w:sz="4" w:space="12" w:color="DDDDDE"/>
        <w:left w:val="single" w:sz="4" w:space="12" w:color="DDDDDE"/>
        <w:bottom w:val="single" w:sz="4" w:space="12" w:color="DDDDDE"/>
        <w:right w:val="single" w:sz="4" w:space="12" w:color="DDDDDE"/>
      </w:pBdr>
      <w:shd w:val="clear" w:color="auto" w:fill="DDDDDE"/>
    </w:pPr>
  </w:style>
  <w:style w:type="paragraph" w:customStyle="1" w:styleId="Hightightboxtitle">
    <w:name w:val="Hightight box title"/>
    <w:basedOn w:val="HIghlightboxtitleteal"/>
    <w:uiPriority w:val="11"/>
    <w:rsid w:val="007353F8"/>
    <w:pPr>
      <w:pBdr>
        <w:top w:val="single" w:sz="4" w:space="12" w:color="DDDDDE"/>
        <w:left w:val="single" w:sz="4" w:space="12" w:color="DDDDDE"/>
        <w:bottom w:val="single" w:sz="4" w:space="12" w:color="DDDDDE"/>
        <w:right w:val="single" w:sz="4" w:space="12" w:color="DDDDDE"/>
      </w:pBdr>
      <w:shd w:val="clear" w:color="auto" w:fill="DDDDDE"/>
    </w:pPr>
  </w:style>
  <w:style w:type="paragraph" w:customStyle="1" w:styleId="Highlightbullettext">
    <w:name w:val="Highlight bullet text"/>
    <w:basedOn w:val="Hightlightboxbulletteal"/>
    <w:uiPriority w:val="11"/>
    <w:rsid w:val="007353F8"/>
    <w:pPr>
      <w:pBdr>
        <w:top w:val="single" w:sz="4" w:space="12" w:color="DDDDDE"/>
        <w:left w:val="single" w:sz="4" w:space="12" w:color="DDDDDE"/>
        <w:bottom w:val="single" w:sz="4" w:space="12" w:color="DDDDDE"/>
        <w:right w:val="single" w:sz="4" w:space="12" w:color="DDDDDE"/>
      </w:pBdr>
      <w:shd w:val="clear" w:color="auto" w:fill="DDDDDE"/>
    </w:pPr>
  </w:style>
  <w:style w:type="character" w:customStyle="1" w:styleId="FooterChar">
    <w:name w:val="Footer Char"/>
    <w:basedOn w:val="DefaultParagraphFont"/>
    <w:link w:val="Footer"/>
    <w:uiPriority w:val="8"/>
    <w:rsid w:val="006C213C"/>
    <w:rPr>
      <w:rFonts w:ascii="Arial" w:hAnsi="Arial" w:cs="Arial"/>
      <w:sz w:val="18"/>
      <w:szCs w:val="18"/>
      <w:lang w:eastAsia="en-US"/>
    </w:rPr>
  </w:style>
  <w:style w:type="table" w:styleId="PlainTable1">
    <w:name w:val="Plain Table 1"/>
    <w:basedOn w:val="TableNormal"/>
    <w:uiPriority w:val="41"/>
    <w:rsid w:val="00750C2C"/>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660709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103937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quiries@ssr.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eedback@ssr.vic.gov.au" TargetMode="External"/><Relationship Id="rId2" Type="http://schemas.openxmlformats.org/officeDocument/2006/relationships/customXml" Target="../customXml/item2.xml"/><Relationship Id="rId16" Type="http://schemas.openxmlformats.org/officeDocument/2006/relationships/hyperlink" Target="mailto:feedback@dffh.vic.gov.au" TargetMode="External"/><Relationship Id="rId20" Type="http://schemas.openxmlformats.org/officeDocument/2006/relationships/hyperlink" Target="https://www.dffh.vic.gov.au/publications/agreements-social-services-regul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ic.gov.au/agreements-dffh-and-social-services-regul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4.xml><?xml version="1.0" encoding="utf-8"?>
<ds:datastoreItem xmlns:ds="http://schemas.openxmlformats.org/officeDocument/2006/customXml" ds:itemID="{D5541FE3-611A-4F43-AD2F-005ECA00A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4646</Words>
  <Characters>26486</Characters>
  <Application>Microsoft Office Word</Application>
  <DocSecurity>4</DocSecurity>
  <Lines>220</Lines>
  <Paragraphs>62</Paragraphs>
  <ScaleCrop>false</ScaleCrop>
  <Company>Victoria State Government</Company>
  <LinksUpToDate>false</LinksUpToDate>
  <CharactersWithSpaces>31070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Protocol Between the Social Services Regulator and the Department of Families, Fairness and Housing</dc:title>
  <dc:subject>Information Sharing Protocol Between the Social Services Regulator and the Department of Families, Fairness and Housing</dc:subject>
  <dc:creator>Social Services Regulator and Regulation Reform Branch, Department of Families, Fairness and Housing</dc:creator>
  <cp:keywords>Information Sharing Protocol; Social Services Regulator; SSR; Department of Families, Fairness and Housing; DFFH</cp:keywords>
  <cp:revision>42</cp:revision>
  <cp:lastPrinted>2021-01-30T00:27:00Z</cp:lastPrinted>
  <dcterms:created xsi:type="dcterms:W3CDTF">2025-02-25T13:06:00Z</dcterms:created>
  <dcterms:modified xsi:type="dcterms:W3CDTF">2025-02-24T02:08:00Z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2024v1 04072024</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MediaServiceImageTags">
    <vt:lpwstr/>
  </property>
</Properties>
</file>