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10026" w14:textId="0E9D91D4" w:rsidR="00056EC4" w:rsidRPr="008910EE" w:rsidRDefault="00D03F86" w:rsidP="00D03F86">
      <w:pPr>
        <w:pStyle w:val="Documenttitle"/>
      </w:pPr>
      <w:r w:rsidRPr="008910EE">
        <w:t xml:space="preserve">Department of Families, Fairness and Housing </w:t>
      </w:r>
      <w:r w:rsidR="00F14533" w:rsidRPr="008910EE">
        <w:t xml:space="preserve">2021 </w:t>
      </w:r>
      <w:r w:rsidRPr="008910EE">
        <w:t>strategic plan (accessible)</w:t>
      </w:r>
    </w:p>
    <w:p w14:paraId="0EA4305C" w14:textId="28B86853" w:rsidR="00D03F86" w:rsidRPr="008910EE" w:rsidRDefault="00D03F86" w:rsidP="00D03F86">
      <w:pPr>
        <w:pStyle w:val="Bannermarking"/>
      </w:pPr>
      <w:r w:rsidRPr="008910EE">
        <w:t>OFFICAL</w:t>
      </w:r>
    </w:p>
    <w:p w14:paraId="27CA3140" w14:textId="77777777" w:rsidR="00FE4081" w:rsidRPr="008910EE" w:rsidRDefault="00FE4081" w:rsidP="00FE4081">
      <w:pPr>
        <w:pStyle w:val="Body"/>
      </w:pPr>
    </w:p>
    <w:p w14:paraId="12D0358D" w14:textId="77777777" w:rsidR="00FE4081" w:rsidRPr="008910EE" w:rsidRDefault="00FE4081" w:rsidP="00FE4081">
      <w:pPr>
        <w:pStyle w:val="Body"/>
        <w:sectPr w:rsidR="00FE4081" w:rsidRPr="008910EE" w:rsidSect="00C7008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680" w:footer="851" w:gutter="0"/>
          <w:cols w:space="340"/>
          <w:titlePg/>
          <w:docGrid w:linePitch="360"/>
        </w:sectPr>
      </w:pPr>
    </w:p>
    <w:p w14:paraId="75B35D0F" w14:textId="487F53E4" w:rsidR="000D2ABA" w:rsidRPr="008910EE"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26"/>
      </w:tblGrid>
      <w:tr w:rsidR="009F2182" w:rsidRPr="008910EE" w14:paraId="074C1875" w14:textId="77777777" w:rsidTr="00562507">
        <w:trPr>
          <w:cantSplit/>
          <w:trHeight w:val="7088"/>
        </w:trPr>
        <w:tc>
          <w:tcPr>
            <w:tcW w:w="9288" w:type="dxa"/>
          </w:tcPr>
          <w:p w14:paraId="4A4E0E08" w14:textId="77777777" w:rsidR="00D03F86" w:rsidRPr="008910EE" w:rsidRDefault="00CE5A8E" w:rsidP="00D03F86">
            <w:pPr>
              <w:pStyle w:val="Body"/>
              <w:rPr>
                <w:rStyle w:val="normaltextrun"/>
                <w:b/>
                <w:bCs/>
              </w:rPr>
            </w:pPr>
            <w:r w:rsidRPr="008910EE">
              <w:rPr>
                <w:rStyle w:val="normaltextrun"/>
                <w:b/>
                <w:bCs/>
              </w:rPr>
              <w:t>Acknowledgement</w:t>
            </w:r>
            <w:r w:rsidR="00D03F86" w:rsidRPr="008910EE">
              <w:rPr>
                <w:rStyle w:val="normaltextrun"/>
                <w:b/>
                <w:bCs/>
              </w:rPr>
              <w:t xml:space="preserve"> </w:t>
            </w:r>
            <w:r w:rsidRPr="008910EE">
              <w:rPr>
                <w:rStyle w:val="normaltextrun"/>
                <w:b/>
                <w:bCs/>
              </w:rPr>
              <w:t>of Country</w:t>
            </w:r>
          </w:p>
          <w:p w14:paraId="0B52EC9E" w14:textId="3947E3E3" w:rsidR="009F2182" w:rsidRPr="008910EE" w:rsidRDefault="00CE5A8E" w:rsidP="00C7008F">
            <w:pPr>
              <w:pStyle w:val="Body"/>
            </w:pPr>
            <w:r w:rsidRPr="008910EE">
              <w:rPr>
                <w:rStyle w:val="normaltextrun"/>
              </w:rPr>
              <w:t>The Department of Families, Fairness and Housing</w:t>
            </w:r>
            <w:r w:rsidR="00D03F86" w:rsidRPr="008910EE">
              <w:rPr>
                <w:rStyle w:val="normaltextrun"/>
              </w:rPr>
              <w:t xml:space="preserve"> </w:t>
            </w:r>
            <w:r w:rsidRPr="008910EE">
              <w:rPr>
                <w:rStyle w:val="normaltextrun"/>
              </w:rPr>
              <w:t>proudly</w:t>
            </w:r>
            <w:r w:rsidR="00D03F86" w:rsidRPr="008910EE">
              <w:rPr>
                <w:rStyle w:val="normaltextrun"/>
              </w:rPr>
              <w:t xml:space="preserve"> </w:t>
            </w:r>
            <w:r w:rsidRPr="008910EE">
              <w:rPr>
                <w:rStyle w:val="normaltextrun"/>
              </w:rPr>
              <w:t xml:space="preserve">acknowledges the </w:t>
            </w:r>
            <w:r w:rsidR="00D95597" w:rsidRPr="008910EE">
              <w:rPr>
                <w:rStyle w:val="normaltextrun"/>
              </w:rPr>
              <w:t>T</w:t>
            </w:r>
            <w:r w:rsidRPr="008910EE">
              <w:rPr>
                <w:rStyle w:val="normaltextrun"/>
              </w:rPr>
              <w:t xml:space="preserve">raditional </w:t>
            </w:r>
            <w:r w:rsidR="00D95597" w:rsidRPr="008910EE">
              <w:rPr>
                <w:rStyle w:val="normaltextrun"/>
              </w:rPr>
              <w:t>O</w:t>
            </w:r>
            <w:r w:rsidRPr="008910EE">
              <w:rPr>
                <w:rStyle w:val="normaltextrun"/>
              </w:rPr>
              <w:t>wners of the lands across</w:t>
            </w:r>
            <w:r w:rsidR="00D03F86" w:rsidRPr="008910EE">
              <w:rPr>
                <w:rStyle w:val="normaltextrun"/>
              </w:rPr>
              <w:t xml:space="preserve"> </w:t>
            </w:r>
            <w:r w:rsidRPr="008910EE">
              <w:rPr>
                <w:rStyle w:val="normaltextrun"/>
              </w:rPr>
              <w:t>Victoria and pays its respects to</w:t>
            </w:r>
            <w:r w:rsidR="00D03F86" w:rsidRPr="008910EE">
              <w:rPr>
                <w:rStyle w:val="normaltextrun"/>
              </w:rPr>
              <w:t xml:space="preserve"> </w:t>
            </w:r>
            <w:r w:rsidRPr="008910EE">
              <w:rPr>
                <w:rStyle w:val="normaltextrun"/>
              </w:rPr>
              <w:t xml:space="preserve">all First </w:t>
            </w:r>
            <w:r w:rsidR="00AB3915" w:rsidRPr="008910EE">
              <w:rPr>
                <w:rStyle w:val="normaltextrun"/>
              </w:rPr>
              <w:t>P</w:t>
            </w:r>
            <w:r w:rsidRPr="008910EE">
              <w:rPr>
                <w:rStyle w:val="normaltextrun"/>
              </w:rPr>
              <w:t>eople</w:t>
            </w:r>
            <w:r w:rsidR="00AB3915" w:rsidRPr="008910EE">
              <w:rPr>
                <w:rStyle w:val="normaltextrun"/>
              </w:rPr>
              <w:t>s</w:t>
            </w:r>
            <w:r w:rsidRPr="008910EE">
              <w:rPr>
                <w:rStyle w:val="normaltextrun"/>
              </w:rPr>
              <w:t>.</w:t>
            </w:r>
            <w:r w:rsidR="00D03F86" w:rsidRPr="008910EE">
              <w:rPr>
                <w:rStyle w:val="normaltextrun"/>
              </w:rPr>
              <w:t xml:space="preserve"> </w:t>
            </w:r>
            <w:r w:rsidRPr="008910EE">
              <w:rPr>
                <w:rStyle w:val="normaltextrun"/>
              </w:rPr>
              <w:t>This is Aboriginal land; always</w:t>
            </w:r>
            <w:r w:rsidR="00D03F86" w:rsidRPr="008910EE">
              <w:rPr>
                <w:rStyle w:val="normaltextrun"/>
              </w:rPr>
              <w:t xml:space="preserve"> </w:t>
            </w:r>
            <w:r w:rsidRPr="008910EE">
              <w:rPr>
                <w:rStyle w:val="normaltextrun"/>
              </w:rPr>
              <w:t>was, always will</w:t>
            </w:r>
            <w:r w:rsidR="00BE7661" w:rsidRPr="008910EE">
              <w:rPr>
                <w:rStyle w:val="normaltextrun"/>
              </w:rPr>
              <w:t xml:space="preserve"> </w:t>
            </w:r>
            <w:r w:rsidRPr="008910EE">
              <w:rPr>
                <w:rStyle w:val="normaltextrun"/>
              </w:rPr>
              <w:t>be.</w:t>
            </w:r>
            <w:r w:rsidR="00BE7661" w:rsidRPr="008910EE">
              <w:rPr>
                <w:rStyle w:val="normaltextrun"/>
              </w:rPr>
              <w:t xml:space="preserve"> </w:t>
            </w:r>
            <w:r w:rsidRPr="008910EE">
              <w:rPr>
                <w:rStyle w:val="normaltextrun"/>
              </w:rPr>
              <w:t>We</w:t>
            </w:r>
            <w:r w:rsidR="00BE7661" w:rsidRPr="008910EE">
              <w:rPr>
                <w:rStyle w:val="normaltextrun"/>
              </w:rPr>
              <w:t xml:space="preserve"> </w:t>
            </w:r>
            <w:r w:rsidRPr="008910EE">
              <w:rPr>
                <w:rStyle w:val="normaltextrun"/>
              </w:rPr>
              <w:t>recognise</w:t>
            </w:r>
            <w:r w:rsidR="00BE7661" w:rsidRPr="008910EE">
              <w:rPr>
                <w:rStyle w:val="normaltextrun"/>
              </w:rPr>
              <w:t xml:space="preserve"> </w:t>
            </w:r>
            <w:r w:rsidRPr="008910EE">
              <w:rPr>
                <w:rStyle w:val="normaltextrun"/>
              </w:rPr>
              <w:t>and value the ongoing contribution of Aboriginal people and communities</w:t>
            </w:r>
            <w:r w:rsidR="00D03F86" w:rsidRPr="008910EE">
              <w:rPr>
                <w:rStyle w:val="normaltextrun"/>
              </w:rPr>
              <w:t xml:space="preserve"> </w:t>
            </w:r>
            <w:r w:rsidRPr="008910EE">
              <w:rPr>
                <w:rStyle w:val="normaltextrun"/>
              </w:rPr>
              <w:t>to Victorian life.</w:t>
            </w:r>
          </w:p>
        </w:tc>
      </w:tr>
      <w:tr w:rsidR="009F2182" w:rsidRPr="008910EE" w14:paraId="349E495E" w14:textId="77777777" w:rsidTr="00562507">
        <w:trPr>
          <w:cantSplit/>
          <w:trHeight w:val="5103"/>
        </w:trPr>
        <w:tc>
          <w:tcPr>
            <w:tcW w:w="9288" w:type="dxa"/>
            <w:vAlign w:val="bottom"/>
          </w:tcPr>
          <w:p w14:paraId="0D53022F" w14:textId="03E07E2A" w:rsidR="009F2182" w:rsidRPr="008910EE" w:rsidRDefault="009F2182" w:rsidP="009F2182">
            <w:pPr>
              <w:pStyle w:val="Accessibilitypara"/>
              <w:rPr>
                <w:sz w:val="26"/>
                <w:szCs w:val="26"/>
              </w:rPr>
            </w:pPr>
            <w:r w:rsidRPr="008910EE">
              <w:rPr>
                <w:sz w:val="26"/>
                <w:szCs w:val="26"/>
              </w:rPr>
              <w:t xml:space="preserve">To receive this document in another format </w:t>
            </w:r>
            <w:hyperlink r:id="rId14" w:history="1">
              <w:r w:rsidRPr="008910EE">
                <w:rPr>
                  <w:rStyle w:val="Hyperlink"/>
                  <w:sz w:val="26"/>
                  <w:szCs w:val="26"/>
                </w:rPr>
                <w:t xml:space="preserve">email </w:t>
              </w:r>
              <w:r w:rsidR="00337B77" w:rsidRPr="008910EE">
                <w:rPr>
                  <w:rStyle w:val="Hyperlink"/>
                  <w:sz w:val="26"/>
                  <w:szCs w:val="26"/>
                </w:rPr>
                <w:t>Strategic</w:t>
              </w:r>
              <w:r w:rsidR="003C662C" w:rsidRPr="008910EE">
                <w:rPr>
                  <w:rStyle w:val="Hyperlink"/>
                  <w:sz w:val="26"/>
                  <w:szCs w:val="26"/>
                </w:rPr>
                <w:t xml:space="preserve"> Planning</w:t>
              </w:r>
            </w:hyperlink>
            <w:r w:rsidR="00337B77" w:rsidRPr="008910EE">
              <w:rPr>
                <w:sz w:val="26"/>
                <w:szCs w:val="26"/>
              </w:rPr>
              <w:t xml:space="preserve"> </w:t>
            </w:r>
            <w:r w:rsidRPr="008910EE">
              <w:rPr>
                <w:sz w:val="26"/>
                <w:szCs w:val="26"/>
              </w:rPr>
              <w:t>&lt;</w:t>
            </w:r>
            <w:r w:rsidR="00337B77" w:rsidRPr="008910EE">
              <w:rPr>
                <w:sz w:val="26"/>
                <w:szCs w:val="26"/>
              </w:rPr>
              <w:t>strategy@dffh.vic.gov.au</w:t>
            </w:r>
            <w:r w:rsidRPr="008910EE">
              <w:rPr>
                <w:sz w:val="26"/>
                <w:szCs w:val="26"/>
              </w:rPr>
              <w:t>&gt;.</w:t>
            </w:r>
          </w:p>
          <w:p w14:paraId="44876D59" w14:textId="77777777" w:rsidR="009F2182" w:rsidRPr="008910EE" w:rsidRDefault="009F2182" w:rsidP="009F2182">
            <w:pPr>
              <w:pStyle w:val="Imprint"/>
              <w:rPr>
                <w:sz w:val="24"/>
                <w:szCs w:val="24"/>
              </w:rPr>
            </w:pPr>
            <w:r w:rsidRPr="008910EE">
              <w:rPr>
                <w:sz w:val="24"/>
                <w:szCs w:val="24"/>
              </w:rPr>
              <w:t>Authorised and published by the Victorian Government, 1 Treasury Place, Melbourne.</w:t>
            </w:r>
          </w:p>
          <w:p w14:paraId="1A7ACE3B" w14:textId="50DF3F33" w:rsidR="009F2182" w:rsidRPr="008910EE" w:rsidRDefault="009F2182" w:rsidP="009F2182">
            <w:pPr>
              <w:pStyle w:val="Imprint"/>
              <w:rPr>
                <w:sz w:val="24"/>
                <w:szCs w:val="24"/>
              </w:rPr>
            </w:pPr>
            <w:r w:rsidRPr="008910EE">
              <w:rPr>
                <w:sz w:val="24"/>
                <w:szCs w:val="24"/>
              </w:rPr>
              <w:t>© State of Victoria, Australia, Department of Families, Fairness and Housing,</w:t>
            </w:r>
            <w:r w:rsidR="0020526F" w:rsidRPr="008910EE">
              <w:rPr>
                <w:sz w:val="24"/>
                <w:szCs w:val="24"/>
              </w:rPr>
              <w:t xml:space="preserve"> August 2021</w:t>
            </w:r>
            <w:r w:rsidR="00FB4877" w:rsidRPr="008910EE">
              <w:rPr>
                <w:sz w:val="24"/>
                <w:szCs w:val="24"/>
              </w:rPr>
              <w:t>.</w:t>
            </w:r>
            <w:r w:rsidRPr="008910EE">
              <w:rPr>
                <w:sz w:val="24"/>
                <w:szCs w:val="24"/>
              </w:rPr>
              <w:t xml:space="preserve"> </w:t>
            </w:r>
          </w:p>
          <w:p w14:paraId="4E2857FA" w14:textId="542B9FC8" w:rsidR="009F2182" w:rsidRPr="008910EE" w:rsidRDefault="009F2182" w:rsidP="009F2182">
            <w:pPr>
              <w:pStyle w:val="Imprint"/>
              <w:rPr>
                <w:sz w:val="24"/>
                <w:szCs w:val="24"/>
              </w:rPr>
            </w:pPr>
            <w:bookmarkStart w:id="0" w:name="_Hlk62746129"/>
            <w:r w:rsidRPr="008910EE">
              <w:rPr>
                <w:sz w:val="24"/>
                <w:szCs w:val="24"/>
              </w:rPr>
              <w:t>In this document, ‘Aboriginal’ refers to both Aboriginal and Torres Strait Islander people.</w:t>
            </w:r>
            <w:r w:rsidR="00C04B86" w:rsidRPr="008910EE">
              <w:rPr>
                <w:sz w:val="24"/>
                <w:szCs w:val="24"/>
              </w:rPr>
              <w:t xml:space="preserve"> </w:t>
            </w:r>
          </w:p>
          <w:p w14:paraId="7CC3E42A" w14:textId="7559E8B1" w:rsidR="009F2182" w:rsidRPr="008910EE" w:rsidRDefault="009F2182" w:rsidP="009F2182">
            <w:pPr>
              <w:pStyle w:val="Imprint"/>
              <w:rPr>
                <w:sz w:val="24"/>
                <w:szCs w:val="24"/>
              </w:rPr>
            </w:pPr>
            <w:r w:rsidRPr="008910EE">
              <w:rPr>
                <w:sz w:val="24"/>
                <w:szCs w:val="24"/>
              </w:rPr>
              <w:t>ISBN</w:t>
            </w:r>
            <w:r w:rsidR="00B56993" w:rsidRPr="008910EE">
              <w:rPr>
                <w:sz w:val="24"/>
                <w:szCs w:val="24"/>
              </w:rPr>
              <w:t xml:space="preserve"> 978-1-76096-511-2</w:t>
            </w:r>
            <w:r w:rsidR="00E07ECD" w:rsidRPr="008910EE">
              <w:rPr>
                <w:sz w:val="24"/>
                <w:szCs w:val="24"/>
              </w:rPr>
              <w:t xml:space="preserve"> </w:t>
            </w:r>
            <w:r w:rsidRPr="008910EE">
              <w:rPr>
                <w:sz w:val="24"/>
                <w:szCs w:val="24"/>
              </w:rPr>
              <w:t>(</w:t>
            </w:r>
            <w:r w:rsidR="00AE7CD7" w:rsidRPr="008910EE">
              <w:rPr>
                <w:sz w:val="24"/>
                <w:szCs w:val="24"/>
              </w:rPr>
              <w:t>PDF/</w:t>
            </w:r>
            <w:r w:rsidRPr="008910EE">
              <w:rPr>
                <w:sz w:val="24"/>
                <w:szCs w:val="24"/>
              </w:rPr>
              <w:t>online/</w:t>
            </w:r>
            <w:r w:rsidR="00AE7CD7" w:rsidRPr="008910EE">
              <w:rPr>
                <w:sz w:val="24"/>
                <w:szCs w:val="24"/>
              </w:rPr>
              <w:t xml:space="preserve">MS </w:t>
            </w:r>
            <w:r w:rsidRPr="008910EE">
              <w:rPr>
                <w:sz w:val="24"/>
                <w:szCs w:val="24"/>
              </w:rPr>
              <w:t xml:space="preserve">Word) </w:t>
            </w:r>
          </w:p>
          <w:bookmarkEnd w:id="0"/>
          <w:p w14:paraId="7D39FCA5" w14:textId="7BF41284" w:rsidR="009F2182" w:rsidRPr="008910EE" w:rsidRDefault="009F2182" w:rsidP="009F2182">
            <w:pPr>
              <w:pStyle w:val="Body"/>
            </w:pPr>
            <w:r w:rsidRPr="008910EE">
              <w:t xml:space="preserve">Available </w:t>
            </w:r>
            <w:r w:rsidR="00C7008F" w:rsidRPr="008910EE">
              <w:t xml:space="preserve">from the </w:t>
            </w:r>
            <w:hyperlink r:id="rId15" w:history="1">
              <w:r w:rsidR="00C7008F" w:rsidRPr="008910EE">
                <w:rPr>
                  <w:rStyle w:val="Hyperlink"/>
                </w:rPr>
                <w:t>department’s website</w:t>
              </w:r>
            </w:hyperlink>
            <w:r w:rsidR="00C7008F" w:rsidRPr="008910EE">
              <w:t xml:space="preserve"> </w:t>
            </w:r>
            <w:r w:rsidR="00B93C39" w:rsidRPr="008910EE">
              <w:t>&lt;https://www.vic.gov.au/department-families-fairness-and-housing&gt;</w:t>
            </w:r>
            <w:r w:rsidR="00C7008F" w:rsidRPr="008910EE">
              <w:t>.</w:t>
            </w:r>
          </w:p>
        </w:tc>
      </w:tr>
      <w:tr w:rsidR="0008204A" w:rsidRPr="008910EE" w14:paraId="17C71265" w14:textId="77777777" w:rsidTr="0008204A">
        <w:trPr>
          <w:cantSplit/>
        </w:trPr>
        <w:tc>
          <w:tcPr>
            <w:tcW w:w="9288" w:type="dxa"/>
          </w:tcPr>
          <w:p w14:paraId="37717CA2" w14:textId="77777777" w:rsidR="0008204A" w:rsidRPr="008910EE" w:rsidRDefault="0008204A" w:rsidP="0008204A">
            <w:pPr>
              <w:pStyle w:val="Body"/>
            </w:pPr>
          </w:p>
        </w:tc>
      </w:tr>
    </w:tbl>
    <w:p w14:paraId="4B19615E" w14:textId="77777777" w:rsidR="0008204A" w:rsidRPr="008910EE" w:rsidRDefault="0008204A" w:rsidP="0008204A">
      <w:pPr>
        <w:pStyle w:val="Body"/>
      </w:pPr>
      <w:r w:rsidRPr="008910EE">
        <w:br w:type="page"/>
      </w:r>
    </w:p>
    <w:p w14:paraId="2D567195" w14:textId="77777777" w:rsidR="00D03F86" w:rsidRPr="008910EE" w:rsidRDefault="00D03F86" w:rsidP="00D03F86">
      <w:pPr>
        <w:pStyle w:val="Heading1"/>
        <w:spacing w:before="0"/>
      </w:pPr>
      <w:bookmarkStart w:id="1" w:name="_Toc80708335"/>
      <w:r w:rsidRPr="008910EE">
        <w:t>Secretary’s message</w:t>
      </w:r>
      <w:bookmarkEnd w:id="1"/>
    </w:p>
    <w:p w14:paraId="6850374B" w14:textId="77777777" w:rsidR="00D03F86" w:rsidRPr="008910EE" w:rsidRDefault="00D03F86" w:rsidP="00D03F86">
      <w:pPr>
        <w:pStyle w:val="Body"/>
        <w:rPr>
          <w:rFonts w:eastAsia="Arial" w:cs="Arial"/>
          <w:szCs w:val="21"/>
        </w:rPr>
      </w:pPr>
      <w:r w:rsidRPr="008910EE">
        <w:rPr>
          <w:rFonts w:eastAsia="Arial" w:cs="Arial"/>
          <w:szCs w:val="21"/>
        </w:rPr>
        <w:t>I would like to begin by proudly acknowledging the Traditional Owners of the lands across this great state and paying my respects to all First Peoples. Wherever you are reading this from in Victoria, it is Aboriginal land; always was, always will be.</w:t>
      </w:r>
    </w:p>
    <w:p w14:paraId="6866341A" w14:textId="77777777" w:rsidR="00D03F86" w:rsidRPr="008910EE" w:rsidRDefault="00D03F86" w:rsidP="00D03F86">
      <w:pPr>
        <w:pStyle w:val="Body"/>
        <w:rPr>
          <w:rFonts w:eastAsia="Arial" w:cs="Arial"/>
          <w:szCs w:val="21"/>
        </w:rPr>
      </w:pPr>
      <w:r w:rsidRPr="008910EE">
        <w:rPr>
          <w:rFonts w:eastAsia="Arial" w:cs="Arial"/>
          <w:szCs w:val="21"/>
        </w:rPr>
        <w:t>Our vision as the new Department of Families, Fairness and Housing is to empower communities to build a fairer and safer Victoria. We want a place free from disadvantage and discrimination where all people can build meaningful lives.</w:t>
      </w:r>
    </w:p>
    <w:p w14:paraId="33E9ACF3" w14:textId="36CF0155" w:rsidR="00D03F86" w:rsidRPr="008910EE" w:rsidRDefault="00D03F86" w:rsidP="00D03F86">
      <w:pPr>
        <w:pStyle w:val="Body"/>
        <w:rPr>
          <w:rFonts w:eastAsia="Arial" w:cs="Arial"/>
          <w:szCs w:val="21"/>
        </w:rPr>
      </w:pPr>
      <w:r w:rsidRPr="008910EE">
        <w:rPr>
          <w:rFonts w:eastAsia="Arial" w:cs="Arial"/>
          <w:szCs w:val="21"/>
        </w:rPr>
        <w:t>This strategic plan</w:t>
      </w:r>
      <w:r w:rsidR="00ED72F2" w:rsidRPr="008910EE">
        <w:rPr>
          <w:rFonts w:eastAsia="Arial" w:cs="Arial"/>
          <w:szCs w:val="21"/>
        </w:rPr>
        <w:t xml:space="preserve"> </w:t>
      </w:r>
      <w:r w:rsidR="00F43FD5" w:rsidRPr="008910EE">
        <w:rPr>
          <w:rFonts w:eastAsia="Arial" w:cs="Arial"/>
          <w:szCs w:val="21"/>
        </w:rPr>
        <w:t>–</w:t>
      </w:r>
      <w:r w:rsidR="00ED72F2" w:rsidRPr="008910EE">
        <w:rPr>
          <w:rFonts w:eastAsia="Arial" w:cs="Arial"/>
          <w:szCs w:val="21"/>
        </w:rPr>
        <w:t xml:space="preserve"> our first </w:t>
      </w:r>
      <w:r w:rsidRPr="008910EE">
        <w:rPr>
          <w:rFonts w:eastAsia="Arial" w:cs="Arial"/>
          <w:szCs w:val="21"/>
        </w:rPr>
        <w:t>since the department launched on 1 February 2021</w:t>
      </w:r>
      <w:r w:rsidR="00F43FD5" w:rsidRPr="008910EE">
        <w:rPr>
          <w:rFonts w:eastAsia="Arial" w:cs="Arial"/>
          <w:szCs w:val="21"/>
        </w:rPr>
        <w:t xml:space="preserve"> – </w:t>
      </w:r>
      <w:r w:rsidRPr="008910EE">
        <w:rPr>
          <w:rFonts w:eastAsia="Arial" w:cs="Arial"/>
          <w:szCs w:val="21"/>
        </w:rPr>
        <w:t>sets out our plan for delivering on the government’s priorities and commitments across our portfolios. Our department oversees the portfolios of housing; child protection; disability, ageing and carers; prevention of family violence; women; veterans; youth; multicultural affairs; and equality. In delivering across these portfolios, we work every day to achieve a fairer, safer and more inclusive Victoria. We support people so they can feel empowered, safe and secure. We work hard each day to help Victorians thrive.</w:t>
      </w:r>
    </w:p>
    <w:p w14:paraId="269CC883" w14:textId="77777777" w:rsidR="00D03F86" w:rsidRPr="008910EE" w:rsidRDefault="00D03F86" w:rsidP="00D03F86">
      <w:pPr>
        <w:pStyle w:val="Body"/>
        <w:rPr>
          <w:rFonts w:eastAsia="Arial" w:cs="Arial"/>
          <w:szCs w:val="21"/>
        </w:rPr>
      </w:pPr>
      <w:r w:rsidRPr="008910EE">
        <w:rPr>
          <w:rFonts w:eastAsia="Arial" w:cs="Arial"/>
          <w:szCs w:val="21"/>
        </w:rPr>
        <w:t>We are deeply committed to Aboriginal self-determination and to supporting Victoria’s treaty process. We acknowledge that treaty will have wide implications for the way government departments and agencies do business with Aboriginal Victorians. This is likely to include a framework for transferring decision-making power and resources to support self-determining Aboriginal communities to take control of matters that affect their lives. We aim to create respectful and collaborative partnerships and develop policies and programs that respect Aboriginal self-determination and align with treaty aspirations. Culturally safe practices are also at the centre of our actions.</w:t>
      </w:r>
    </w:p>
    <w:p w14:paraId="67C50215" w14:textId="77777777" w:rsidR="00D03F86" w:rsidRPr="008910EE" w:rsidRDefault="00D03F86" w:rsidP="00D03F86">
      <w:pPr>
        <w:pStyle w:val="Body"/>
        <w:rPr>
          <w:rFonts w:eastAsia="Arial" w:cs="Arial"/>
          <w:szCs w:val="21"/>
        </w:rPr>
      </w:pPr>
      <w:r w:rsidRPr="008910EE">
        <w:rPr>
          <w:rFonts w:eastAsia="Arial" w:cs="Arial"/>
          <w:szCs w:val="21"/>
        </w:rPr>
        <w:t xml:space="preserve">We want Victoria to be a fairer and more equitable society. We want all people to have access to the things they need to flourish. </w:t>
      </w:r>
    </w:p>
    <w:p w14:paraId="0BEDDE30" w14:textId="47DAD382" w:rsidR="00D03F86" w:rsidRPr="008910EE" w:rsidRDefault="00D03F86" w:rsidP="00D03F86">
      <w:pPr>
        <w:pStyle w:val="Body"/>
        <w:rPr>
          <w:rFonts w:eastAsia="Arial" w:cs="Arial"/>
          <w:szCs w:val="21"/>
        </w:rPr>
      </w:pPr>
      <w:r w:rsidRPr="008910EE">
        <w:rPr>
          <w:rFonts w:eastAsia="Arial" w:cs="Arial"/>
          <w:szCs w:val="21"/>
        </w:rPr>
        <w:t>As a foundation, we want all Victorians to have access to safe homes. This means having housing that is accessible, appropriate, affordable and meets peoples’ needs. We are working towards achieving this with an unprecedented investment in social and affordable housing – the $5.3 billion Big Housing Build</w:t>
      </w:r>
      <w:r w:rsidR="001B70E2" w:rsidRPr="008910EE">
        <w:rPr>
          <w:rFonts w:eastAsia="Arial" w:cs="Arial"/>
          <w:szCs w:val="21"/>
        </w:rPr>
        <w:t>.</w:t>
      </w:r>
      <w:r w:rsidRPr="008910EE">
        <w:rPr>
          <w:rStyle w:val="EndnoteReference"/>
          <w:rFonts w:eastAsia="Arial" w:cs="Arial"/>
          <w:szCs w:val="21"/>
        </w:rPr>
        <w:endnoteReference w:id="2"/>
      </w:r>
      <w:r w:rsidRPr="008910EE">
        <w:rPr>
          <w:rFonts w:eastAsia="Arial" w:cs="Arial"/>
          <w:szCs w:val="21"/>
        </w:rPr>
        <w:t xml:space="preserve"> It is a once-in-a-generation opportunity to reshape the social and affordable housing landscape. It is an investment that benefits the whole community.</w:t>
      </w:r>
    </w:p>
    <w:p w14:paraId="3F7182E5" w14:textId="77777777" w:rsidR="00D03F86" w:rsidRPr="008910EE" w:rsidRDefault="00D03F86" w:rsidP="00D03F86">
      <w:pPr>
        <w:pStyle w:val="Body"/>
        <w:rPr>
          <w:rFonts w:eastAsia="Arial" w:cs="Arial"/>
        </w:rPr>
      </w:pPr>
      <w:r w:rsidRPr="008910EE">
        <w:rPr>
          <w:rFonts w:eastAsia="Arial" w:cs="Arial"/>
        </w:rPr>
        <w:t xml:space="preserve">Bringing real change to our community means providing tailored support to all Victorians. This includes culturally diverse communities, Aboriginal people, LGBTIQ+ people, people with disability, women, seniors, carers, veterans, young people and children. Our focus is on building inclusive, engaged communities that contribute to a stronger Victoria. We want all voices to be heard and celebrated, and we will create more opportunities that make everyone feel valued. We will keep working to </w:t>
      </w:r>
      <w:r w:rsidRPr="008910EE">
        <w:rPr>
          <w:rStyle w:val="normaltextrun"/>
          <w:rFonts w:eastAsia="Arial" w:cs="Arial"/>
          <w:lang w:val="en-US"/>
        </w:rPr>
        <w:t xml:space="preserve">reduce inequality and discrimination and to promote accessibility and inclusion. </w:t>
      </w:r>
    </w:p>
    <w:p w14:paraId="00B77286" w14:textId="77777777" w:rsidR="00D03F86" w:rsidRPr="008910EE" w:rsidRDefault="00D03F86" w:rsidP="00F47AD3">
      <w:pPr>
        <w:pStyle w:val="Body"/>
      </w:pPr>
      <w:r w:rsidRPr="008910EE">
        <w:rPr>
          <w:rStyle w:val="xnormaltextrun"/>
          <w:rFonts w:eastAsia="Arial" w:cs="Arial"/>
        </w:rPr>
        <w:t xml:space="preserve">All children, young people and families have a right to be safe and supported. We are helping families to have respectful, strong relationships. We will keep focusing on intervening earlier while also offering intensive family support to help keep families together. </w:t>
      </w:r>
      <w:r w:rsidRPr="008910EE">
        <w:t>This includes leading Victoria’s commitment to end family violence, elder abuse and all forms of violence towards women and children. We have already made extraordinary progress in implementing recommendations from the Royal Commission into Family Violence, including increasing frontline service delivery, building new infrastructure, improving practice and changing legislation. But we know we must continue our work to build a system that supports the safety of people who experience family violence and sexual assault, and holds perpetrators to account. We will also continue delivering improved access to our specialist services and campaigns aimed at ending family violence.</w:t>
      </w:r>
    </w:p>
    <w:p w14:paraId="18B11E4D" w14:textId="77777777" w:rsidR="00D03F86" w:rsidRPr="008910EE" w:rsidRDefault="00D03F86" w:rsidP="00D03F86">
      <w:pPr>
        <w:pStyle w:val="Body"/>
        <w:rPr>
          <w:rFonts w:eastAsia="Arial" w:cs="Arial"/>
          <w:lang w:val="en-US"/>
        </w:rPr>
      </w:pPr>
      <w:r w:rsidRPr="008910EE">
        <w:rPr>
          <w:rFonts w:eastAsia="Arial" w:cs="Arial"/>
          <w:lang w:val="en-US"/>
        </w:rPr>
        <w:t xml:space="preserve">We will keep striving for gender equality and increase women’s economic participation and leadership in Victoria. We will do this by supporting programs and services and removing systemic barriers to ensure a level playing field for people of all genders. </w:t>
      </w:r>
    </w:p>
    <w:p w14:paraId="5DE43C79" w14:textId="77777777" w:rsidR="00D03F86" w:rsidRPr="008910EE" w:rsidRDefault="00D03F86" w:rsidP="00D03F86">
      <w:pPr>
        <w:pStyle w:val="Body"/>
        <w:rPr>
          <w:rFonts w:eastAsia="Arial" w:cs="Arial"/>
          <w:color w:val="000000" w:themeColor="text1"/>
          <w:szCs w:val="21"/>
        </w:rPr>
      </w:pPr>
      <w:r w:rsidRPr="008910EE">
        <w:rPr>
          <w:rFonts w:eastAsia="Arial" w:cs="Arial"/>
          <w:color w:val="000000" w:themeColor="text1"/>
          <w:szCs w:val="21"/>
        </w:rPr>
        <w:t xml:space="preserve">We will keep supporting seniors across Victoria to thrive in their later years. And we will continue advocating for the needs of older people and value their contributions to our communities. </w:t>
      </w:r>
    </w:p>
    <w:p w14:paraId="17F0E4C2" w14:textId="77777777" w:rsidR="00D03F86" w:rsidRPr="008910EE" w:rsidRDefault="00D03F86" w:rsidP="00D03F86">
      <w:pPr>
        <w:pStyle w:val="Body"/>
        <w:rPr>
          <w:rFonts w:eastAsia="Arial" w:cs="Arial"/>
          <w:szCs w:val="21"/>
        </w:rPr>
      </w:pPr>
      <w:r w:rsidRPr="008910EE">
        <w:rPr>
          <w:rFonts w:eastAsia="Arial" w:cs="Arial"/>
          <w:color w:val="000000" w:themeColor="text1"/>
          <w:szCs w:val="21"/>
        </w:rPr>
        <w:t xml:space="preserve">We also know how important it is to </w:t>
      </w:r>
      <w:r w:rsidRPr="008910EE">
        <w:rPr>
          <w:rFonts w:eastAsia="Arial" w:cs="Arial"/>
          <w:szCs w:val="21"/>
          <w:lang w:val="en-US"/>
        </w:rPr>
        <w:t xml:space="preserve">empower young people to fully take part in the social, economic and civic life of our state. We are committed to creating </w:t>
      </w:r>
      <w:r w:rsidRPr="008910EE">
        <w:rPr>
          <w:rFonts w:eastAsia="Arial" w:cs="Arial"/>
          <w:szCs w:val="21"/>
        </w:rPr>
        <w:t xml:space="preserve">fairer access to opportunities and support. We want young people to know their value and that we are listening to what they have to say. </w:t>
      </w:r>
    </w:p>
    <w:p w14:paraId="0F84ACC3" w14:textId="77777777" w:rsidR="00D03F86" w:rsidRPr="008910EE" w:rsidRDefault="00D03F86" w:rsidP="00F47AD3">
      <w:pPr>
        <w:pStyle w:val="Body"/>
      </w:pPr>
      <w:r w:rsidRPr="008910EE">
        <w:rPr>
          <w:rStyle w:val="normaltextrun"/>
          <w:rFonts w:eastAsia="Arial" w:cs="Arial"/>
          <w:lang w:val="en-US"/>
        </w:rPr>
        <w:t xml:space="preserve">Our support for people in our community extends to our veterans. </w:t>
      </w:r>
      <w:r w:rsidRPr="008910EE">
        <w:t>We will continue supporting Victorian veteran wellbeing, recognition and acknowledgement of service through initiatives that support their successful transition to, and involvement in, civilian life.</w:t>
      </w:r>
    </w:p>
    <w:p w14:paraId="6FE476D9" w14:textId="77777777" w:rsidR="00D03F86" w:rsidRPr="008910EE" w:rsidRDefault="00D03F86" w:rsidP="00F47AD3">
      <w:pPr>
        <w:pStyle w:val="Body"/>
      </w:pPr>
      <w:r w:rsidRPr="008910EE">
        <w:t>We will continue advocating for equality and inclusion for LGBTIQ+ communities. Whether that is by opening the Victorian Pride Centre, delivering Melbourne Pride 2021 or developing Victoria’s first LGBTIQ+ strategy, we aim to improve the lives of all LGBTIQ+ Victorians.</w:t>
      </w:r>
    </w:p>
    <w:p w14:paraId="2AB06403" w14:textId="77777777" w:rsidR="00D03F86" w:rsidRPr="008910EE" w:rsidRDefault="00D03F86" w:rsidP="00F47AD3">
      <w:pPr>
        <w:pStyle w:val="Body"/>
      </w:pPr>
      <w:bookmarkStart w:id="2" w:name="_Hlk76635512"/>
      <w:r w:rsidRPr="008910EE">
        <w:t>We know how difficult the coronavirus (COVID-19) pandemic health emergency has been for all Victorians. Other catastrophic events such as the bushfires in early 2020 and the storms and floods in June 2021 have shone a light on those in our community who experience property loss or significant disruption. This is alongside psychological, physical and cultural trauma. We will continue to work across government, with our service partners and communities, to coordinate and deliver our relief services. This will help Victorian communities recover and start to rebuild their lives.</w:t>
      </w:r>
      <w:bookmarkStart w:id="3" w:name="_Hlk76992661"/>
      <w:bookmarkEnd w:id="3"/>
    </w:p>
    <w:bookmarkEnd w:id="2"/>
    <w:p w14:paraId="4BF98042" w14:textId="77777777" w:rsidR="00D03F86" w:rsidRPr="008910EE" w:rsidRDefault="00D03F86" w:rsidP="00F47AD3">
      <w:pPr>
        <w:pStyle w:val="Body"/>
      </w:pPr>
      <w:r w:rsidRPr="008910EE">
        <w:t>We will continue to work closely with Victorian communities. The strength, leadership and resilience of our communities and sector who have responded to the challenges of emergencies has proven how essential collaboration and connection is.</w:t>
      </w:r>
    </w:p>
    <w:p w14:paraId="3DBA5485" w14:textId="77777777" w:rsidR="00D03F86" w:rsidRPr="008910EE" w:rsidRDefault="00D03F86" w:rsidP="00D03F86">
      <w:pPr>
        <w:pStyle w:val="Body"/>
        <w:rPr>
          <w:rFonts w:eastAsia="Arial" w:cs="Arial"/>
          <w:szCs w:val="21"/>
        </w:rPr>
      </w:pPr>
      <w:r w:rsidRPr="008910EE">
        <w:rPr>
          <w:rFonts w:eastAsia="Arial" w:cs="Arial"/>
          <w:szCs w:val="21"/>
        </w:rPr>
        <w:t xml:space="preserve">While our department works with people and communities to overcome challenges, we also have opportunities to make real change. We have a unique footprint – with offices across Victoria – where we will connect services and initiatives in places where people live and work. We will continue building initiatives that are person- and family-centred and that are joined in a way that maximises the impact for communities. </w:t>
      </w:r>
    </w:p>
    <w:p w14:paraId="3049456A" w14:textId="77777777" w:rsidR="00D03F86" w:rsidRPr="008910EE" w:rsidRDefault="00D03F86" w:rsidP="00D03F86">
      <w:pPr>
        <w:pStyle w:val="Body"/>
      </w:pPr>
      <w:r w:rsidRPr="008910EE">
        <w:rPr>
          <w:rFonts w:eastAsia="Times New Roman"/>
        </w:rPr>
        <w:t>We will further our collaboration and connection with the community as we design and roll out our policies and services. This will allow us to deliver better, safer services that prioritise the people they support.</w:t>
      </w:r>
      <w:r w:rsidRPr="008910EE">
        <w:t xml:space="preserve"> We will keep working closely with our partners to respond to demand for these services and supports. This will ensure we are making the changes needed to support and sustain the community services sector.</w:t>
      </w:r>
    </w:p>
    <w:p w14:paraId="05F8B7D9" w14:textId="77777777" w:rsidR="00D03F86" w:rsidRPr="008910EE" w:rsidRDefault="00D03F86" w:rsidP="00D03F86">
      <w:pPr>
        <w:pStyle w:val="Body"/>
        <w:rPr>
          <w:rFonts w:eastAsia="Arial" w:cs="Arial"/>
          <w:szCs w:val="21"/>
        </w:rPr>
      </w:pPr>
      <w:r w:rsidRPr="008910EE">
        <w:rPr>
          <w:rFonts w:eastAsia="Arial" w:cs="Arial"/>
          <w:szCs w:val="21"/>
        </w:rPr>
        <w:t>Victorian people are vibrant and resilient, and we will support them as they move through their lives. I am proud to be the Secretary of this new department and to share our plan to make Victoria a fairer and safer place for everyone who calls it home.</w:t>
      </w:r>
    </w:p>
    <w:p w14:paraId="31B1A61F" w14:textId="77777777" w:rsidR="00D03F86" w:rsidRPr="008910EE" w:rsidRDefault="00D03F86" w:rsidP="00D03F86">
      <w:pPr>
        <w:pStyle w:val="Body"/>
        <w:spacing w:after="0"/>
        <w:rPr>
          <w:b/>
          <w:bCs/>
        </w:rPr>
      </w:pPr>
      <w:r w:rsidRPr="008910EE">
        <w:rPr>
          <w:b/>
          <w:bCs/>
        </w:rPr>
        <w:t>Secretary</w:t>
      </w:r>
    </w:p>
    <w:p w14:paraId="073EC623" w14:textId="77777777" w:rsidR="00D03F86" w:rsidRPr="008910EE" w:rsidRDefault="00D03F86" w:rsidP="00D03F86">
      <w:pPr>
        <w:pStyle w:val="Body"/>
        <w:spacing w:after="0"/>
        <w:rPr>
          <w:b/>
          <w:bCs/>
        </w:rPr>
      </w:pPr>
      <w:r w:rsidRPr="008910EE">
        <w:rPr>
          <w:b/>
          <w:bCs/>
        </w:rPr>
        <w:t>Sandy Pitcher</w:t>
      </w:r>
    </w:p>
    <w:p w14:paraId="27B9213A" w14:textId="7EAC9792" w:rsidR="00AD784C" w:rsidRPr="008910EE" w:rsidRDefault="00AD784C" w:rsidP="002365B4">
      <w:pPr>
        <w:pStyle w:val="TOCheadingreport"/>
      </w:pPr>
      <w:r w:rsidRPr="008910EE">
        <w:t>Contents</w:t>
      </w:r>
    </w:p>
    <w:p w14:paraId="13454C94" w14:textId="1E1E121A" w:rsidR="00C0211B" w:rsidRPr="008910EE" w:rsidRDefault="00AD784C">
      <w:pPr>
        <w:pStyle w:val="TOC1"/>
        <w:rPr>
          <w:rFonts w:asciiTheme="minorHAnsi" w:eastAsiaTheme="minorEastAsia" w:hAnsiTheme="minorHAnsi" w:cstheme="minorBidi"/>
          <w:b w:val="0"/>
          <w:sz w:val="22"/>
          <w:szCs w:val="22"/>
          <w:lang w:eastAsia="en-AU"/>
        </w:rPr>
      </w:pPr>
      <w:r w:rsidRPr="008910EE">
        <w:fldChar w:fldCharType="begin"/>
      </w:r>
      <w:r w:rsidRPr="008910EE">
        <w:instrText xml:space="preserve"> TOC \h \z \t "Heading 1,1,Heading 2,2" </w:instrText>
      </w:r>
      <w:r w:rsidRPr="008910EE">
        <w:fldChar w:fldCharType="separate"/>
      </w:r>
      <w:hyperlink w:anchor="_Toc80708335" w:history="1">
        <w:r w:rsidR="00C0211B" w:rsidRPr="008910EE">
          <w:rPr>
            <w:rStyle w:val="Hyperlink"/>
          </w:rPr>
          <w:t>Secretary’s message</w:t>
        </w:r>
        <w:r w:rsidR="00C0211B" w:rsidRPr="008910EE">
          <w:rPr>
            <w:webHidden/>
          </w:rPr>
          <w:tab/>
        </w:r>
        <w:r w:rsidR="00C0211B" w:rsidRPr="008910EE">
          <w:rPr>
            <w:webHidden/>
          </w:rPr>
          <w:fldChar w:fldCharType="begin"/>
        </w:r>
        <w:r w:rsidR="00C0211B" w:rsidRPr="008910EE">
          <w:rPr>
            <w:webHidden/>
          </w:rPr>
          <w:instrText xml:space="preserve"> PAGEREF _Toc80708335 \h </w:instrText>
        </w:r>
        <w:r w:rsidR="00C0211B" w:rsidRPr="008910EE">
          <w:rPr>
            <w:webHidden/>
          </w:rPr>
        </w:r>
        <w:r w:rsidR="00C0211B" w:rsidRPr="008910EE">
          <w:rPr>
            <w:webHidden/>
          </w:rPr>
          <w:fldChar w:fldCharType="separate"/>
        </w:r>
        <w:r w:rsidR="00C0211B" w:rsidRPr="008910EE">
          <w:rPr>
            <w:webHidden/>
          </w:rPr>
          <w:t>3</w:t>
        </w:r>
        <w:r w:rsidR="00C0211B" w:rsidRPr="008910EE">
          <w:rPr>
            <w:webHidden/>
          </w:rPr>
          <w:fldChar w:fldCharType="end"/>
        </w:r>
      </w:hyperlink>
    </w:p>
    <w:p w14:paraId="649785C8" w14:textId="53CBA3DC" w:rsidR="00C0211B" w:rsidRPr="008910EE" w:rsidRDefault="008C4805">
      <w:pPr>
        <w:pStyle w:val="TOC1"/>
        <w:rPr>
          <w:rFonts w:asciiTheme="minorHAnsi" w:eastAsiaTheme="minorEastAsia" w:hAnsiTheme="minorHAnsi" w:cstheme="minorBidi"/>
          <w:b w:val="0"/>
          <w:sz w:val="22"/>
          <w:szCs w:val="22"/>
          <w:lang w:eastAsia="en-AU"/>
        </w:rPr>
      </w:pPr>
      <w:hyperlink w:anchor="_Toc80708336" w:history="1">
        <w:r w:rsidR="00C0211B" w:rsidRPr="008910EE">
          <w:rPr>
            <w:rStyle w:val="Hyperlink"/>
          </w:rPr>
          <w:t>Our ministers</w:t>
        </w:r>
        <w:r w:rsidR="00C0211B" w:rsidRPr="008910EE">
          <w:rPr>
            <w:webHidden/>
          </w:rPr>
          <w:tab/>
        </w:r>
        <w:r w:rsidR="00C0211B" w:rsidRPr="008910EE">
          <w:rPr>
            <w:webHidden/>
          </w:rPr>
          <w:fldChar w:fldCharType="begin"/>
        </w:r>
        <w:r w:rsidR="00C0211B" w:rsidRPr="008910EE">
          <w:rPr>
            <w:webHidden/>
          </w:rPr>
          <w:instrText xml:space="preserve"> PAGEREF _Toc80708336 \h </w:instrText>
        </w:r>
        <w:r w:rsidR="00C0211B" w:rsidRPr="008910EE">
          <w:rPr>
            <w:webHidden/>
          </w:rPr>
        </w:r>
        <w:r w:rsidR="00C0211B" w:rsidRPr="008910EE">
          <w:rPr>
            <w:webHidden/>
          </w:rPr>
          <w:fldChar w:fldCharType="separate"/>
        </w:r>
        <w:r w:rsidR="00C0211B" w:rsidRPr="008910EE">
          <w:rPr>
            <w:webHidden/>
          </w:rPr>
          <w:t>8</w:t>
        </w:r>
        <w:r w:rsidR="00C0211B" w:rsidRPr="008910EE">
          <w:rPr>
            <w:webHidden/>
          </w:rPr>
          <w:fldChar w:fldCharType="end"/>
        </w:r>
      </w:hyperlink>
    </w:p>
    <w:p w14:paraId="23F43674" w14:textId="748BBF17" w:rsidR="00C0211B" w:rsidRPr="008910EE" w:rsidRDefault="008C4805">
      <w:pPr>
        <w:pStyle w:val="TOC1"/>
        <w:rPr>
          <w:rFonts w:asciiTheme="minorHAnsi" w:eastAsiaTheme="minorEastAsia" w:hAnsiTheme="minorHAnsi" w:cstheme="minorBidi"/>
          <w:b w:val="0"/>
          <w:sz w:val="22"/>
          <w:szCs w:val="22"/>
          <w:lang w:eastAsia="en-AU"/>
        </w:rPr>
      </w:pPr>
      <w:hyperlink w:anchor="_Toc80708337" w:history="1">
        <w:r w:rsidR="00C0211B" w:rsidRPr="008910EE">
          <w:rPr>
            <w:rStyle w:val="Hyperlink"/>
          </w:rPr>
          <w:t>Statement of support for Aboriginal self-determination</w:t>
        </w:r>
        <w:r w:rsidR="00C0211B" w:rsidRPr="008910EE">
          <w:rPr>
            <w:webHidden/>
          </w:rPr>
          <w:tab/>
        </w:r>
        <w:r w:rsidR="00C0211B" w:rsidRPr="008910EE">
          <w:rPr>
            <w:webHidden/>
          </w:rPr>
          <w:fldChar w:fldCharType="begin"/>
        </w:r>
        <w:r w:rsidR="00C0211B" w:rsidRPr="008910EE">
          <w:rPr>
            <w:webHidden/>
          </w:rPr>
          <w:instrText xml:space="preserve"> PAGEREF _Toc80708337 \h </w:instrText>
        </w:r>
        <w:r w:rsidR="00C0211B" w:rsidRPr="008910EE">
          <w:rPr>
            <w:webHidden/>
          </w:rPr>
        </w:r>
        <w:r w:rsidR="00C0211B" w:rsidRPr="008910EE">
          <w:rPr>
            <w:webHidden/>
          </w:rPr>
          <w:fldChar w:fldCharType="separate"/>
        </w:r>
        <w:r w:rsidR="00C0211B" w:rsidRPr="008910EE">
          <w:rPr>
            <w:webHidden/>
          </w:rPr>
          <w:t>9</w:t>
        </w:r>
        <w:r w:rsidR="00C0211B" w:rsidRPr="008910EE">
          <w:rPr>
            <w:webHidden/>
          </w:rPr>
          <w:fldChar w:fldCharType="end"/>
        </w:r>
      </w:hyperlink>
    </w:p>
    <w:p w14:paraId="6AD9D016" w14:textId="69C19628" w:rsidR="00C0211B" w:rsidRPr="008910EE" w:rsidRDefault="008C4805">
      <w:pPr>
        <w:pStyle w:val="TOC1"/>
        <w:rPr>
          <w:rFonts w:asciiTheme="minorHAnsi" w:eastAsiaTheme="minorEastAsia" w:hAnsiTheme="minorHAnsi" w:cstheme="minorBidi"/>
          <w:b w:val="0"/>
          <w:sz w:val="22"/>
          <w:szCs w:val="22"/>
          <w:lang w:eastAsia="en-AU"/>
        </w:rPr>
      </w:pPr>
      <w:hyperlink w:anchor="_Toc80708338" w:history="1">
        <w:r w:rsidR="00C0211B" w:rsidRPr="008910EE">
          <w:rPr>
            <w:rStyle w:val="Hyperlink"/>
          </w:rPr>
          <w:t>Our vision</w:t>
        </w:r>
        <w:r w:rsidR="00C0211B" w:rsidRPr="008910EE">
          <w:rPr>
            <w:webHidden/>
          </w:rPr>
          <w:tab/>
        </w:r>
        <w:r w:rsidR="00C0211B" w:rsidRPr="008910EE">
          <w:rPr>
            <w:webHidden/>
          </w:rPr>
          <w:fldChar w:fldCharType="begin"/>
        </w:r>
        <w:r w:rsidR="00C0211B" w:rsidRPr="008910EE">
          <w:rPr>
            <w:webHidden/>
          </w:rPr>
          <w:instrText xml:space="preserve"> PAGEREF _Toc80708338 \h </w:instrText>
        </w:r>
        <w:r w:rsidR="00C0211B" w:rsidRPr="008910EE">
          <w:rPr>
            <w:webHidden/>
          </w:rPr>
        </w:r>
        <w:r w:rsidR="00C0211B" w:rsidRPr="008910EE">
          <w:rPr>
            <w:webHidden/>
          </w:rPr>
          <w:fldChar w:fldCharType="separate"/>
        </w:r>
        <w:r w:rsidR="00C0211B" w:rsidRPr="008910EE">
          <w:rPr>
            <w:webHidden/>
          </w:rPr>
          <w:t>11</w:t>
        </w:r>
        <w:r w:rsidR="00C0211B" w:rsidRPr="008910EE">
          <w:rPr>
            <w:webHidden/>
          </w:rPr>
          <w:fldChar w:fldCharType="end"/>
        </w:r>
      </w:hyperlink>
    </w:p>
    <w:p w14:paraId="4110D4ED" w14:textId="76B7657B" w:rsidR="00C0211B" w:rsidRPr="008910EE" w:rsidRDefault="008C4805">
      <w:pPr>
        <w:pStyle w:val="TOC1"/>
        <w:rPr>
          <w:rFonts w:asciiTheme="minorHAnsi" w:eastAsiaTheme="minorEastAsia" w:hAnsiTheme="minorHAnsi" w:cstheme="minorBidi"/>
          <w:b w:val="0"/>
          <w:sz w:val="22"/>
          <w:szCs w:val="22"/>
          <w:lang w:eastAsia="en-AU"/>
        </w:rPr>
      </w:pPr>
      <w:hyperlink w:anchor="_Toc80708339" w:history="1">
        <w:r w:rsidR="00C0211B" w:rsidRPr="008910EE">
          <w:rPr>
            <w:rStyle w:val="Hyperlink"/>
          </w:rPr>
          <w:t>Our values</w:t>
        </w:r>
        <w:r w:rsidR="00C0211B" w:rsidRPr="008910EE">
          <w:rPr>
            <w:webHidden/>
          </w:rPr>
          <w:tab/>
        </w:r>
        <w:r w:rsidR="00C0211B" w:rsidRPr="008910EE">
          <w:rPr>
            <w:webHidden/>
          </w:rPr>
          <w:fldChar w:fldCharType="begin"/>
        </w:r>
        <w:r w:rsidR="00C0211B" w:rsidRPr="008910EE">
          <w:rPr>
            <w:webHidden/>
          </w:rPr>
          <w:instrText xml:space="preserve"> PAGEREF _Toc80708339 \h </w:instrText>
        </w:r>
        <w:r w:rsidR="00C0211B" w:rsidRPr="008910EE">
          <w:rPr>
            <w:webHidden/>
          </w:rPr>
        </w:r>
        <w:r w:rsidR="00C0211B" w:rsidRPr="008910EE">
          <w:rPr>
            <w:webHidden/>
          </w:rPr>
          <w:fldChar w:fldCharType="separate"/>
        </w:r>
        <w:r w:rsidR="00C0211B" w:rsidRPr="008910EE">
          <w:rPr>
            <w:webHidden/>
          </w:rPr>
          <w:t>11</w:t>
        </w:r>
        <w:r w:rsidR="00C0211B" w:rsidRPr="008910EE">
          <w:rPr>
            <w:webHidden/>
          </w:rPr>
          <w:fldChar w:fldCharType="end"/>
        </w:r>
      </w:hyperlink>
    </w:p>
    <w:p w14:paraId="3DC56888" w14:textId="29CC484C" w:rsidR="00C0211B" w:rsidRPr="008910EE" w:rsidRDefault="008C4805">
      <w:pPr>
        <w:pStyle w:val="TOC2"/>
        <w:rPr>
          <w:rFonts w:asciiTheme="minorHAnsi" w:eastAsiaTheme="minorEastAsia" w:hAnsiTheme="minorHAnsi" w:cstheme="minorBidi"/>
          <w:sz w:val="22"/>
          <w:szCs w:val="22"/>
          <w:lang w:eastAsia="en-AU"/>
        </w:rPr>
      </w:pPr>
      <w:hyperlink w:anchor="_Toc80708340" w:history="1">
        <w:r w:rsidR="00C0211B" w:rsidRPr="008910EE">
          <w:rPr>
            <w:rStyle w:val="Hyperlink"/>
          </w:rPr>
          <w:t>We are responsive</w:t>
        </w:r>
        <w:r w:rsidR="00C0211B" w:rsidRPr="008910EE">
          <w:rPr>
            <w:webHidden/>
          </w:rPr>
          <w:tab/>
        </w:r>
        <w:r w:rsidR="00C0211B" w:rsidRPr="008910EE">
          <w:rPr>
            <w:webHidden/>
          </w:rPr>
          <w:fldChar w:fldCharType="begin"/>
        </w:r>
        <w:r w:rsidR="00C0211B" w:rsidRPr="008910EE">
          <w:rPr>
            <w:webHidden/>
          </w:rPr>
          <w:instrText xml:space="preserve"> PAGEREF _Toc80708340 \h </w:instrText>
        </w:r>
        <w:r w:rsidR="00C0211B" w:rsidRPr="008910EE">
          <w:rPr>
            <w:webHidden/>
          </w:rPr>
        </w:r>
        <w:r w:rsidR="00C0211B" w:rsidRPr="008910EE">
          <w:rPr>
            <w:webHidden/>
          </w:rPr>
          <w:fldChar w:fldCharType="separate"/>
        </w:r>
        <w:r w:rsidR="00C0211B" w:rsidRPr="008910EE">
          <w:rPr>
            <w:webHidden/>
          </w:rPr>
          <w:t>11</w:t>
        </w:r>
        <w:r w:rsidR="00C0211B" w:rsidRPr="008910EE">
          <w:rPr>
            <w:webHidden/>
          </w:rPr>
          <w:fldChar w:fldCharType="end"/>
        </w:r>
      </w:hyperlink>
    </w:p>
    <w:p w14:paraId="5947FA7A" w14:textId="76883939" w:rsidR="00C0211B" w:rsidRPr="008910EE" w:rsidRDefault="008C4805">
      <w:pPr>
        <w:pStyle w:val="TOC2"/>
        <w:rPr>
          <w:rFonts w:asciiTheme="minorHAnsi" w:eastAsiaTheme="minorEastAsia" w:hAnsiTheme="minorHAnsi" w:cstheme="minorBidi"/>
          <w:sz w:val="22"/>
          <w:szCs w:val="22"/>
          <w:lang w:eastAsia="en-AU"/>
        </w:rPr>
      </w:pPr>
      <w:hyperlink w:anchor="_Toc80708341" w:history="1">
        <w:r w:rsidR="00C0211B" w:rsidRPr="008910EE">
          <w:rPr>
            <w:rStyle w:val="Hyperlink"/>
          </w:rPr>
          <w:t>We have integrity</w:t>
        </w:r>
        <w:r w:rsidR="00C0211B" w:rsidRPr="008910EE">
          <w:rPr>
            <w:webHidden/>
          </w:rPr>
          <w:tab/>
        </w:r>
        <w:r w:rsidR="00C0211B" w:rsidRPr="008910EE">
          <w:rPr>
            <w:webHidden/>
          </w:rPr>
          <w:fldChar w:fldCharType="begin"/>
        </w:r>
        <w:r w:rsidR="00C0211B" w:rsidRPr="008910EE">
          <w:rPr>
            <w:webHidden/>
          </w:rPr>
          <w:instrText xml:space="preserve"> PAGEREF _Toc80708341 \h </w:instrText>
        </w:r>
        <w:r w:rsidR="00C0211B" w:rsidRPr="008910EE">
          <w:rPr>
            <w:webHidden/>
          </w:rPr>
        </w:r>
        <w:r w:rsidR="00C0211B" w:rsidRPr="008910EE">
          <w:rPr>
            <w:webHidden/>
          </w:rPr>
          <w:fldChar w:fldCharType="separate"/>
        </w:r>
        <w:r w:rsidR="00C0211B" w:rsidRPr="008910EE">
          <w:rPr>
            <w:webHidden/>
          </w:rPr>
          <w:t>11</w:t>
        </w:r>
        <w:r w:rsidR="00C0211B" w:rsidRPr="008910EE">
          <w:rPr>
            <w:webHidden/>
          </w:rPr>
          <w:fldChar w:fldCharType="end"/>
        </w:r>
      </w:hyperlink>
    </w:p>
    <w:p w14:paraId="396108B1" w14:textId="5437286C" w:rsidR="00C0211B" w:rsidRPr="008910EE" w:rsidRDefault="008C4805">
      <w:pPr>
        <w:pStyle w:val="TOC2"/>
        <w:rPr>
          <w:rFonts w:asciiTheme="minorHAnsi" w:eastAsiaTheme="minorEastAsia" w:hAnsiTheme="minorHAnsi" w:cstheme="minorBidi"/>
          <w:sz w:val="22"/>
          <w:szCs w:val="22"/>
          <w:lang w:eastAsia="en-AU"/>
        </w:rPr>
      </w:pPr>
      <w:hyperlink w:anchor="_Toc80708342" w:history="1">
        <w:r w:rsidR="00C0211B" w:rsidRPr="008910EE">
          <w:rPr>
            <w:rStyle w:val="Hyperlink"/>
          </w:rPr>
          <w:t>We are impartial</w:t>
        </w:r>
        <w:r w:rsidR="00C0211B" w:rsidRPr="008910EE">
          <w:rPr>
            <w:webHidden/>
          </w:rPr>
          <w:tab/>
        </w:r>
        <w:r w:rsidR="00C0211B" w:rsidRPr="008910EE">
          <w:rPr>
            <w:webHidden/>
          </w:rPr>
          <w:fldChar w:fldCharType="begin"/>
        </w:r>
        <w:r w:rsidR="00C0211B" w:rsidRPr="008910EE">
          <w:rPr>
            <w:webHidden/>
          </w:rPr>
          <w:instrText xml:space="preserve"> PAGEREF _Toc80708342 \h </w:instrText>
        </w:r>
        <w:r w:rsidR="00C0211B" w:rsidRPr="008910EE">
          <w:rPr>
            <w:webHidden/>
          </w:rPr>
        </w:r>
        <w:r w:rsidR="00C0211B" w:rsidRPr="008910EE">
          <w:rPr>
            <w:webHidden/>
          </w:rPr>
          <w:fldChar w:fldCharType="separate"/>
        </w:r>
        <w:r w:rsidR="00C0211B" w:rsidRPr="008910EE">
          <w:rPr>
            <w:webHidden/>
          </w:rPr>
          <w:t>11</w:t>
        </w:r>
        <w:r w:rsidR="00C0211B" w:rsidRPr="008910EE">
          <w:rPr>
            <w:webHidden/>
          </w:rPr>
          <w:fldChar w:fldCharType="end"/>
        </w:r>
      </w:hyperlink>
    </w:p>
    <w:p w14:paraId="5A973721" w14:textId="10A7087E" w:rsidR="00C0211B" w:rsidRPr="008910EE" w:rsidRDefault="008C4805">
      <w:pPr>
        <w:pStyle w:val="TOC2"/>
        <w:rPr>
          <w:rFonts w:asciiTheme="minorHAnsi" w:eastAsiaTheme="minorEastAsia" w:hAnsiTheme="minorHAnsi" w:cstheme="minorBidi"/>
          <w:sz w:val="22"/>
          <w:szCs w:val="22"/>
          <w:lang w:eastAsia="en-AU"/>
        </w:rPr>
      </w:pPr>
      <w:hyperlink w:anchor="_Toc80708343" w:history="1">
        <w:r w:rsidR="00C0211B" w:rsidRPr="008910EE">
          <w:rPr>
            <w:rStyle w:val="Hyperlink"/>
          </w:rPr>
          <w:t>We show respect</w:t>
        </w:r>
        <w:r w:rsidR="00C0211B" w:rsidRPr="008910EE">
          <w:rPr>
            <w:webHidden/>
          </w:rPr>
          <w:tab/>
        </w:r>
        <w:r w:rsidR="00C0211B" w:rsidRPr="008910EE">
          <w:rPr>
            <w:webHidden/>
          </w:rPr>
          <w:fldChar w:fldCharType="begin"/>
        </w:r>
        <w:r w:rsidR="00C0211B" w:rsidRPr="008910EE">
          <w:rPr>
            <w:webHidden/>
          </w:rPr>
          <w:instrText xml:space="preserve"> PAGEREF _Toc80708343 \h </w:instrText>
        </w:r>
        <w:r w:rsidR="00C0211B" w:rsidRPr="008910EE">
          <w:rPr>
            <w:webHidden/>
          </w:rPr>
        </w:r>
        <w:r w:rsidR="00C0211B" w:rsidRPr="008910EE">
          <w:rPr>
            <w:webHidden/>
          </w:rPr>
          <w:fldChar w:fldCharType="separate"/>
        </w:r>
        <w:r w:rsidR="00C0211B" w:rsidRPr="008910EE">
          <w:rPr>
            <w:webHidden/>
          </w:rPr>
          <w:t>12</w:t>
        </w:r>
        <w:r w:rsidR="00C0211B" w:rsidRPr="008910EE">
          <w:rPr>
            <w:webHidden/>
          </w:rPr>
          <w:fldChar w:fldCharType="end"/>
        </w:r>
      </w:hyperlink>
    </w:p>
    <w:p w14:paraId="762ADC1B" w14:textId="51C2FC55" w:rsidR="00C0211B" w:rsidRPr="008910EE" w:rsidRDefault="008C4805">
      <w:pPr>
        <w:pStyle w:val="TOC2"/>
        <w:rPr>
          <w:rFonts w:asciiTheme="minorHAnsi" w:eastAsiaTheme="minorEastAsia" w:hAnsiTheme="minorHAnsi" w:cstheme="minorBidi"/>
          <w:sz w:val="22"/>
          <w:szCs w:val="22"/>
          <w:lang w:eastAsia="en-AU"/>
        </w:rPr>
      </w:pPr>
      <w:hyperlink w:anchor="_Toc80708344" w:history="1">
        <w:r w:rsidR="00C0211B" w:rsidRPr="008910EE">
          <w:rPr>
            <w:rStyle w:val="Hyperlink"/>
          </w:rPr>
          <w:t>We are accountable</w:t>
        </w:r>
        <w:r w:rsidR="00C0211B" w:rsidRPr="008910EE">
          <w:rPr>
            <w:webHidden/>
          </w:rPr>
          <w:tab/>
        </w:r>
        <w:r w:rsidR="00C0211B" w:rsidRPr="008910EE">
          <w:rPr>
            <w:webHidden/>
          </w:rPr>
          <w:fldChar w:fldCharType="begin"/>
        </w:r>
        <w:r w:rsidR="00C0211B" w:rsidRPr="008910EE">
          <w:rPr>
            <w:webHidden/>
          </w:rPr>
          <w:instrText xml:space="preserve"> PAGEREF _Toc80708344 \h </w:instrText>
        </w:r>
        <w:r w:rsidR="00C0211B" w:rsidRPr="008910EE">
          <w:rPr>
            <w:webHidden/>
          </w:rPr>
        </w:r>
        <w:r w:rsidR="00C0211B" w:rsidRPr="008910EE">
          <w:rPr>
            <w:webHidden/>
          </w:rPr>
          <w:fldChar w:fldCharType="separate"/>
        </w:r>
        <w:r w:rsidR="00C0211B" w:rsidRPr="008910EE">
          <w:rPr>
            <w:webHidden/>
          </w:rPr>
          <w:t>12</w:t>
        </w:r>
        <w:r w:rsidR="00C0211B" w:rsidRPr="008910EE">
          <w:rPr>
            <w:webHidden/>
          </w:rPr>
          <w:fldChar w:fldCharType="end"/>
        </w:r>
      </w:hyperlink>
    </w:p>
    <w:p w14:paraId="654ADFF5" w14:textId="4813145F" w:rsidR="00C0211B" w:rsidRPr="008910EE" w:rsidRDefault="008C4805">
      <w:pPr>
        <w:pStyle w:val="TOC2"/>
        <w:rPr>
          <w:rFonts w:asciiTheme="minorHAnsi" w:eastAsiaTheme="minorEastAsia" w:hAnsiTheme="minorHAnsi" w:cstheme="minorBidi"/>
          <w:sz w:val="22"/>
          <w:szCs w:val="22"/>
          <w:lang w:eastAsia="en-AU"/>
        </w:rPr>
      </w:pPr>
      <w:hyperlink w:anchor="_Toc80708345" w:history="1">
        <w:r w:rsidR="00C0211B" w:rsidRPr="008910EE">
          <w:rPr>
            <w:rStyle w:val="Hyperlink"/>
          </w:rPr>
          <w:t>We lead</w:t>
        </w:r>
        <w:r w:rsidR="00C0211B" w:rsidRPr="008910EE">
          <w:rPr>
            <w:webHidden/>
          </w:rPr>
          <w:tab/>
        </w:r>
        <w:r w:rsidR="00C0211B" w:rsidRPr="008910EE">
          <w:rPr>
            <w:webHidden/>
          </w:rPr>
          <w:fldChar w:fldCharType="begin"/>
        </w:r>
        <w:r w:rsidR="00C0211B" w:rsidRPr="008910EE">
          <w:rPr>
            <w:webHidden/>
          </w:rPr>
          <w:instrText xml:space="preserve"> PAGEREF _Toc80708345 \h </w:instrText>
        </w:r>
        <w:r w:rsidR="00C0211B" w:rsidRPr="008910EE">
          <w:rPr>
            <w:webHidden/>
          </w:rPr>
        </w:r>
        <w:r w:rsidR="00C0211B" w:rsidRPr="008910EE">
          <w:rPr>
            <w:webHidden/>
          </w:rPr>
          <w:fldChar w:fldCharType="separate"/>
        </w:r>
        <w:r w:rsidR="00C0211B" w:rsidRPr="008910EE">
          <w:rPr>
            <w:webHidden/>
          </w:rPr>
          <w:t>12</w:t>
        </w:r>
        <w:r w:rsidR="00C0211B" w:rsidRPr="008910EE">
          <w:rPr>
            <w:webHidden/>
          </w:rPr>
          <w:fldChar w:fldCharType="end"/>
        </w:r>
      </w:hyperlink>
    </w:p>
    <w:p w14:paraId="047EA66E" w14:textId="189F37BA" w:rsidR="00C0211B" w:rsidRPr="008910EE" w:rsidRDefault="008C4805">
      <w:pPr>
        <w:pStyle w:val="TOC2"/>
        <w:rPr>
          <w:rFonts w:asciiTheme="minorHAnsi" w:eastAsiaTheme="minorEastAsia" w:hAnsiTheme="minorHAnsi" w:cstheme="minorBidi"/>
          <w:sz w:val="22"/>
          <w:szCs w:val="22"/>
          <w:lang w:eastAsia="en-AU"/>
        </w:rPr>
      </w:pPr>
      <w:hyperlink w:anchor="_Toc80708346" w:history="1">
        <w:r w:rsidR="00C0211B" w:rsidRPr="008910EE">
          <w:rPr>
            <w:rStyle w:val="Hyperlink"/>
          </w:rPr>
          <w:t>We respect human rights</w:t>
        </w:r>
        <w:r w:rsidR="00C0211B" w:rsidRPr="008910EE">
          <w:rPr>
            <w:webHidden/>
          </w:rPr>
          <w:tab/>
        </w:r>
        <w:r w:rsidR="00C0211B" w:rsidRPr="008910EE">
          <w:rPr>
            <w:webHidden/>
          </w:rPr>
          <w:fldChar w:fldCharType="begin"/>
        </w:r>
        <w:r w:rsidR="00C0211B" w:rsidRPr="008910EE">
          <w:rPr>
            <w:webHidden/>
          </w:rPr>
          <w:instrText xml:space="preserve"> PAGEREF _Toc80708346 \h </w:instrText>
        </w:r>
        <w:r w:rsidR="00C0211B" w:rsidRPr="008910EE">
          <w:rPr>
            <w:webHidden/>
          </w:rPr>
        </w:r>
        <w:r w:rsidR="00C0211B" w:rsidRPr="008910EE">
          <w:rPr>
            <w:webHidden/>
          </w:rPr>
          <w:fldChar w:fldCharType="separate"/>
        </w:r>
        <w:r w:rsidR="00C0211B" w:rsidRPr="008910EE">
          <w:rPr>
            <w:webHidden/>
          </w:rPr>
          <w:t>13</w:t>
        </w:r>
        <w:r w:rsidR="00C0211B" w:rsidRPr="008910EE">
          <w:rPr>
            <w:webHidden/>
          </w:rPr>
          <w:fldChar w:fldCharType="end"/>
        </w:r>
      </w:hyperlink>
    </w:p>
    <w:p w14:paraId="09C37712" w14:textId="4DE2B297" w:rsidR="00C0211B" w:rsidRPr="008910EE" w:rsidRDefault="008C4805">
      <w:pPr>
        <w:pStyle w:val="TOC1"/>
        <w:rPr>
          <w:rFonts w:asciiTheme="minorHAnsi" w:eastAsiaTheme="minorEastAsia" w:hAnsiTheme="minorHAnsi" w:cstheme="minorBidi"/>
          <w:b w:val="0"/>
          <w:sz w:val="22"/>
          <w:szCs w:val="22"/>
          <w:lang w:eastAsia="en-AU"/>
        </w:rPr>
      </w:pPr>
      <w:hyperlink w:anchor="_Toc80708347" w:history="1">
        <w:r w:rsidR="00C0211B" w:rsidRPr="008910EE">
          <w:rPr>
            <w:rStyle w:val="Hyperlink"/>
          </w:rPr>
          <w:t>Our department</w:t>
        </w:r>
        <w:r w:rsidR="00C0211B" w:rsidRPr="008910EE">
          <w:rPr>
            <w:webHidden/>
          </w:rPr>
          <w:tab/>
        </w:r>
        <w:r w:rsidR="00C0211B" w:rsidRPr="008910EE">
          <w:rPr>
            <w:webHidden/>
          </w:rPr>
          <w:fldChar w:fldCharType="begin"/>
        </w:r>
        <w:r w:rsidR="00C0211B" w:rsidRPr="008910EE">
          <w:rPr>
            <w:webHidden/>
          </w:rPr>
          <w:instrText xml:space="preserve"> PAGEREF _Toc80708347 \h </w:instrText>
        </w:r>
        <w:r w:rsidR="00C0211B" w:rsidRPr="008910EE">
          <w:rPr>
            <w:webHidden/>
          </w:rPr>
        </w:r>
        <w:r w:rsidR="00C0211B" w:rsidRPr="008910EE">
          <w:rPr>
            <w:webHidden/>
          </w:rPr>
          <w:fldChar w:fldCharType="separate"/>
        </w:r>
        <w:r w:rsidR="00C0211B" w:rsidRPr="008910EE">
          <w:rPr>
            <w:webHidden/>
          </w:rPr>
          <w:t>14</w:t>
        </w:r>
        <w:r w:rsidR="00C0211B" w:rsidRPr="008910EE">
          <w:rPr>
            <w:webHidden/>
          </w:rPr>
          <w:fldChar w:fldCharType="end"/>
        </w:r>
      </w:hyperlink>
    </w:p>
    <w:p w14:paraId="2ABBAE5B" w14:textId="17A66520" w:rsidR="00C0211B" w:rsidRPr="008910EE" w:rsidRDefault="008C4805">
      <w:pPr>
        <w:pStyle w:val="TOC2"/>
        <w:rPr>
          <w:rFonts w:asciiTheme="minorHAnsi" w:eastAsiaTheme="minorEastAsia" w:hAnsiTheme="minorHAnsi" w:cstheme="minorBidi"/>
          <w:sz w:val="22"/>
          <w:szCs w:val="22"/>
          <w:lang w:eastAsia="en-AU"/>
        </w:rPr>
      </w:pPr>
      <w:hyperlink w:anchor="_Toc80708348" w:history="1">
        <w:r w:rsidR="00C0211B" w:rsidRPr="008910EE">
          <w:rPr>
            <w:rStyle w:val="Hyperlink"/>
          </w:rPr>
          <w:t>Our structure</w:t>
        </w:r>
        <w:r w:rsidR="00C0211B" w:rsidRPr="008910EE">
          <w:rPr>
            <w:webHidden/>
          </w:rPr>
          <w:tab/>
        </w:r>
        <w:r w:rsidR="00C0211B" w:rsidRPr="008910EE">
          <w:rPr>
            <w:webHidden/>
          </w:rPr>
          <w:fldChar w:fldCharType="begin"/>
        </w:r>
        <w:r w:rsidR="00C0211B" w:rsidRPr="008910EE">
          <w:rPr>
            <w:webHidden/>
          </w:rPr>
          <w:instrText xml:space="preserve"> PAGEREF _Toc80708348 \h </w:instrText>
        </w:r>
        <w:r w:rsidR="00C0211B" w:rsidRPr="008910EE">
          <w:rPr>
            <w:webHidden/>
          </w:rPr>
        </w:r>
        <w:r w:rsidR="00C0211B" w:rsidRPr="008910EE">
          <w:rPr>
            <w:webHidden/>
          </w:rPr>
          <w:fldChar w:fldCharType="separate"/>
        </w:r>
        <w:r w:rsidR="00C0211B" w:rsidRPr="008910EE">
          <w:rPr>
            <w:webHidden/>
          </w:rPr>
          <w:t>15</w:t>
        </w:r>
        <w:r w:rsidR="00C0211B" w:rsidRPr="008910EE">
          <w:rPr>
            <w:webHidden/>
          </w:rPr>
          <w:fldChar w:fldCharType="end"/>
        </w:r>
      </w:hyperlink>
    </w:p>
    <w:p w14:paraId="7D1C911A" w14:textId="1EA2C9DB" w:rsidR="00C0211B" w:rsidRPr="008910EE" w:rsidRDefault="008C4805">
      <w:pPr>
        <w:pStyle w:val="TOC2"/>
        <w:rPr>
          <w:rFonts w:asciiTheme="minorHAnsi" w:eastAsiaTheme="minorEastAsia" w:hAnsiTheme="minorHAnsi" w:cstheme="minorBidi"/>
          <w:sz w:val="22"/>
          <w:szCs w:val="22"/>
          <w:lang w:eastAsia="en-AU"/>
        </w:rPr>
      </w:pPr>
      <w:hyperlink w:anchor="_Toc80708349" w:history="1">
        <w:r w:rsidR="00C0211B" w:rsidRPr="008910EE">
          <w:rPr>
            <w:rStyle w:val="Hyperlink"/>
          </w:rPr>
          <w:t>Our footprint</w:t>
        </w:r>
        <w:r w:rsidR="00C0211B" w:rsidRPr="008910EE">
          <w:rPr>
            <w:webHidden/>
          </w:rPr>
          <w:tab/>
        </w:r>
        <w:r w:rsidR="00C0211B" w:rsidRPr="008910EE">
          <w:rPr>
            <w:webHidden/>
          </w:rPr>
          <w:fldChar w:fldCharType="begin"/>
        </w:r>
        <w:r w:rsidR="00C0211B" w:rsidRPr="008910EE">
          <w:rPr>
            <w:webHidden/>
          </w:rPr>
          <w:instrText xml:space="preserve"> PAGEREF _Toc80708349 \h </w:instrText>
        </w:r>
        <w:r w:rsidR="00C0211B" w:rsidRPr="008910EE">
          <w:rPr>
            <w:webHidden/>
          </w:rPr>
        </w:r>
        <w:r w:rsidR="00C0211B" w:rsidRPr="008910EE">
          <w:rPr>
            <w:webHidden/>
          </w:rPr>
          <w:fldChar w:fldCharType="separate"/>
        </w:r>
        <w:r w:rsidR="00C0211B" w:rsidRPr="008910EE">
          <w:rPr>
            <w:webHidden/>
          </w:rPr>
          <w:t>15</w:t>
        </w:r>
        <w:r w:rsidR="00C0211B" w:rsidRPr="008910EE">
          <w:rPr>
            <w:webHidden/>
          </w:rPr>
          <w:fldChar w:fldCharType="end"/>
        </w:r>
      </w:hyperlink>
    </w:p>
    <w:p w14:paraId="4BF78D8D" w14:textId="3BCB9FD1" w:rsidR="00C0211B" w:rsidRPr="008910EE" w:rsidRDefault="008C4805">
      <w:pPr>
        <w:pStyle w:val="TOC2"/>
        <w:rPr>
          <w:rFonts w:asciiTheme="minorHAnsi" w:eastAsiaTheme="minorEastAsia" w:hAnsiTheme="minorHAnsi" w:cstheme="minorBidi"/>
          <w:sz w:val="22"/>
          <w:szCs w:val="22"/>
          <w:lang w:eastAsia="en-AU"/>
        </w:rPr>
      </w:pPr>
      <w:hyperlink w:anchor="_Toc80708350" w:history="1">
        <w:r w:rsidR="00C0211B" w:rsidRPr="008910EE">
          <w:rPr>
            <w:rStyle w:val="Hyperlink"/>
          </w:rPr>
          <w:t>Our services</w:t>
        </w:r>
        <w:r w:rsidR="00C0211B" w:rsidRPr="008910EE">
          <w:rPr>
            <w:webHidden/>
          </w:rPr>
          <w:tab/>
        </w:r>
        <w:r w:rsidR="00C0211B" w:rsidRPr="008910EE">
          <w:rPr>
            <w:webHidden/>
          </w:rPr>
          <w:fldChar w:fldCharType="begin"/>
        </w:r>
        <w:r w:rsidR="00C0211B" w:rsidRPr="008910EE">
          <w:rPr>
            <w:webHidden/>
          </w:rPr>
          <w:instrText xml:space="preserve"> PAGEREF _Toc80708350 \h </w:instrText>
        </w:r>
        <w:r w:rsidR="00C0211B" w:rsidRPr="008910EE">
          <w:rPr>
            <w:webHidden/>
          </w:rPr>
        </w:r>
        <w:r w:rsidR="00C0211B" w:rsidRPr="008910EE">
          <w:rPr>
            <w:webHidden/>
          </w:rPr>
          <w:fldChar w:fldCharType="separate"/>
        </w:r>
        <w:r w:rsidR="00C0211B" w:rsidRPr="008910EE">
          <w:rPr>
            <w:webHidden/>
          </w:rPr>
          <w:t>16</w:t>
        </w:r>
        <w:r w:rsidR="00C0211B" w:rsidRPr="008910EE">
          <w:rPr>
            <w:webHidden/>
          </w:rPr>
          <w:fldChar w:fldCharType="end"/>
        </w:r>
      </w:hyperlink>
    </w:p>
    <w:p w14:paraId="72FE44D8" w14:textId="63FB92B6" w:rsidR="00C0211B" w:rsidRPr="008910EE" w:rsidRDefault="008C4805">
      <w:pPr>
        <w:pStyle w:val="TOC2"/>
        <w:rPr>
          <w:rFonts w:asciiTheme="minorHAnsi" w:eastAsiaTheme="minorEastAsia" w:hAnsiTheme="minorHAnsi" w:cstheme="minorBidi"/>
          <w:sz w:val="22"/>
          <w:szCs w:val="22"/>
          <w:lang w:eastAsia="en-AU"/>
        </w:rPr>
      </w:pPr>
      <w:hyperlink w:anchor="_Toc80708351" w:history="1">
        <w:r w:rsidR="00C0211B" w:rsidRPr="008910EE">
          <w:rPr>
            <w:rStyle w:val="Hyperlink"/>
          </w:rPr>
          <w:t>Our funded initiatives 2020-21</w:t>
        </w:r>
        <w:r w:rsidR="00C0211B" w:rsidRPr="008910EE">
          <w:rPr>
            <w:webHidden/>
          </w:rPr>
          <w:tab/>
        </w:r>
        <w:r w:rsidR="00C0211B" w:rsidRPr="008910EE">
          <w:rPr>
            <w:webHidden/>
          </w:rPr>
          <w:fldChar w:fldCharType="begin"/>
        </w:r>
        <w:r w:rsidR="00C0211B" w:rsidRPr="008910EE">
          <w:rPr>
            <w:webHidden/>
          </w:rPr>
          <w:instrText xml:space="preserve"> PAGEREF _Toc80708351 \h </w:instrText>
        </w:r>
        <w:r w:rsidR="00C0211B" w:rsidRPr="008910EE">
          <w:rPr>
            <w:webHidden/>
          </w:rPr>
        </w:r>
        <w:r w:rsidR="00C0211B" w:rsidRPr="008910EE">
          <w:rPr>
            <w:webHidden/>
          </w:rPr>
          <w:fldChar w:fldCharType="separate"/>
        </w:r>
        <w:r w:rsidR="00C0211B" w:rsidRPr="008910EE">
          <w:rPr>
            <w:webHidden/>
          </w:rPr>
          <w:t>16</w:t>
        </w:r>
        <w:r w:rsidR="00C0211B" w:rsidRPr="008910EE">
          <w:rPr>
            <w:webHidden/>
          </w:rPr>
          <w:fldChar w:fldCharType="end"/>
        </w:r>
      </w:hyperlink>
    </w:p>
    <w:p w14:paraId="1FA3FE85" w14:textId="1C06D1B4" w:rsidR="00C0211B" w:rsidRPr="008910EE" w:rsidRDefault="008C4805">
      <w:pPr>
        <w:pStyle w:val="TOC1"/>
        <w:rPr>
          <w:rFonts w:asciiTheme="minorHAnsi" w:eastAsiaTheme="minorEastAsia" w:hAnsiTheme="minorHAnsi" w:cstheme="minorBidi"/>
          <w:b w:val="0"/>
          <w:sz w:val="22"/>
          <w:szCs w:val="22"/>
          <w:lang w:eastAsia="en-AU"/>
        </w:rPr>
      </w:pPr>
      <w:hyperlink w:anchor="_Toc80708352" w:history="1">
        <w:r w:rsidR="00C0211B" w:rsidRPr="008910EE">
          <w:rPr>
            <w:rStyle w:val="Hyperlink"/>
          </w:rPr>
          <w:t>Our communities</w:t>
        </w:r>
        <w:r w:rsidR="00C0211B" w:rsidRPr="008910EE">
          <w:rPr>
            <w:webHidden/>
          </w:rPr>
          <w:tab/>
        </w:r>
        <w:r w:rsidR="00C0211B" w:rsidRPr="008910EE">
          <w:rPr>
            <w:webHidden/>
          </w:rPr>
          <w:fldChar w:fldCharType="begin"/>
        </w:r>
        <w:r w:rsidR="00C0211B" w:rsidRPr="008910EE">
          <w:rPr>
            <w:webHidden/>
          </w:rPr>
          <w:instrText xml:space="preserve"> PAGEREF _Toc80708352 \h </w:instrText>
        </w:r>
        <w:r w:rsidR="00C0211B" w:rsidRPr="008910EE">
          <w:rPr>
            <w:webHidden/>
          </w:rPr>
        </w:r>
        <w:r w:rsidR="00C0211B" w:rsidRPr="008910EE">
          <w:rPr>
            <w:webHidden/>
          </w:rPr>
          <w:fldChar w:fldCharType="separate"/>
        </w:r>
        <w:r w:rsidR="00C0211B" w:rsidRPr="008910EE">
          <w:rPr>
            <w:webHidden/>
          </w:rPr>
          <w:t>21</w:t>
        </w:r>
        <w:r w:rsidR="00C0211B" w:rsidRPr="008910EE">
          <w:rPr>
            <w:webHidden/>
          </w:rPr>
          <w:fldChar w:fldCharType="end"/>
        </w:r>
      </w:hyperlink>
    </w:p>
    <w:p w14:paraId="7167E518" w14:textId="408A3435" w:rsidR="00C0211B" w:rsidRPr="008910EE" w:rsidRDefault="008C4805">
      <w:pPr>
        <w:pStyle w:val="TOC1"/>
        <w:rPr>
          <w:rFonts w:asciiTheme="minorHAnsi" w:eastAsiaTheme="minorEastAsia" w:hAnsiTheme="minorHAnsi" w:cstheme="minorBidi"/>
          <w:b w:val="0"/>
          <w:sz w:val="22"/>
          <w:szCs w:val="22"/>
          <w:lang w:eastAsia="en-AU"/>
        </w:rPr>
      </w:pPr>
      <w:hyperlink w:anchor="_Toc80708353" w:history="1">
        <w:r w:rsidR="00C0211B" w:rsidRPr="008910EE">
          <w:rPr>
            <w:rStyle w:val="Hyperlink"/>
          </w:rPr>
          <w:t>Our outcomes</w:t>
        </w:r>
        <w:r w:rsidR="00C0211B" w:rsidRPr="008910EE">
          <w:rPr>
            <w:webHidden/>
          </w:rPr>
          <w:tab/>
        </w:r>
        <w:r w:rsidR="00C0211B" w:rsidRPr="008910EE">
          <w:rPr>
            <w:webHidden/>
          </w:rPr>
          <w:fldChar w:fldCharType="begin"/>
        </w:r>
        <w:r w:rsidR="00C0211B" w:rsidRPr="008910EE">
          <w:rPr>
            <w:webHidden/>
          </w:rPr>
          <w:instrText xml:space="preserve"> PAGEREF _Toc80708353 \h </w:instrText>
        </w:r>
        <w:r w:rsidR="00C0211B" w:rsidRPr="008910EE">
          <w:rPr>
            <w:webHidden/>
          </w:rPr>
        </w:r>
        <w:r w:rsidR="00C0211B" w:rsidRPr="008910EE">
          <w:rPr>
            <w:webHidden/>
          </w:rPr>
          <w:fldChar w:fldCharType="separate"/>
        </w:r>
        <w:r w:rsidR="00C0211B" w:rsidRPr="008910EE">
          <w:rPr>
            <w:webHidden/>
          </w:rPr>
          <w:t>23</w:t>
        </w:r>
        <w:r w:rsidR="00C0211B" w:rsidRPr="008910EE">
          <w:rPr>
            <w:webHidden/>
          </w:rPr>
          <w:fldChar w:fldCharType="end"/>
        </w:r>
      </w:hyperlink>
    </w:p>
    <w:p w14:paraId="39CCAD13" w14:textId="2BBF6701" w:rsidR="00C0211B" w:rsidRPr="008910EE" w:rsidRDefault="008C4805">
      <w:pPr>
        <w:pStyle w:val="TOC2"/>
        <w:rPr>
          <w:rFonts w:asciiTheme="minorHAnsi" w:eastAsiaTheme="minorEastAsia" w:hAnsiTheme="minorHAnsi" w:cstheme="minorBidi"/>
          <w:sz w:val="22"/>
          <w:szCs w:val="22"/>
          <w:lang w:eastAsia="en-AU"/>
        </w:rPr>
      </w:pPr>
      <w:hyperlink w:anchor="_Toc80708354" w:history="1">
        <w:r w:rsidR="00C0211B" w:rsidRPr="008910EE">
          <w:rPr>
            <w:rStyle w:val="Hyperlink"/>
          </w:rPr>
          <w:t>Outcomes framework</w:t>
        </w:r>
        <w:r w:rsidR="00C0211B" w:rsidRPr="008910EE">
          <w:rPr>
            <w:webHidden/>
          </w:rPr>
          <w:tab/>
        </w:r>
        <w:r w:rsidR="00C0211B" w:rsidRPr="008910EE">
          <w:rPr>
            <w:webHidden/>
          </w:rPr>
          <w:fldChar w:fldCharType="begin"/>
        </w:r>
        <w:r w:rsidR="00C0211B" w:rsidRPr="008910EE">
          <w:rPr>
            <w:webHidden/>
          </w:rPr>
          <w:instrText xml:space="preserve"> PAGEREF _Toc80708354 \h </w:instrText>
        </w:r>
        <w:r w:rsidR="00C0211B" w:rsidRPr="008910EE">
          <w:rPr>
            <w:webHidden/>
          </w:rPr>
        </w:r>
        <w:r w:rsidR="00C0211B" w:rsidRPr="008910EE">
          <w:rPr>
            <w:webHidden/>
          </w:rPr>
          <w:fldChar w:fldCharType="separate"/>
        </w:r>
        <w:r w:rsidR="00C0211B" w:rsidRPr="008910EE">
          <w:rPr>
            <w:webHidden/>
          </w:rPr>
          <w:t>23</w:t>
        </w:r>
        <w:r w:rsidR="00C0211B" w:rsidRPr="008910EE">
          <w:rPr>
            <w:webHidden/>
          </w:rPr>
          <w:fldChar w:fldCharType="end"/>
        </w:r>
      </w:hyperlink>
    </w:p>
    <w:p w14:paraId="7C188658" w14:textId="0C5A71E5" w:rsidR="00C0211B" w:rsidRPr="008910EE" w:rsidRDefault="008C4805">
      <w:pPr>
        <w:pStyle w:val="TOC2"/>
        <w:rPr>
          <w:rFonts w:asciiTheme="minorHAnsi" w:eastAsiaTheme="minorEastAsia" w:hAnsiTheme="minorHAnsi" w:cstheme="minorBidi"/>
          <w:sz w:val="22"/>
          <w:szCs w:val="22"/>
          <w:lang w:eastAsia="en-AU"/>
        </w:rPr>
      </w:pPr>
      <w:hyperlink w:anchor="_Toc80708355" w:history="1">
        <w:r w:rsidR="00C0211B" w:rsidRPr="008910EE">
          <w:rPr>
            <w:rStyle w:val="Hyperlink"/>
          </w:rPr>
          <w:t>Headline outcome measures</w:t>
        </w:r>
        <w:r w:rsidR="00C0211B" w:rsidRPr="008910EE">
          <w:rPr>
            <w:webHidden/>
          </w:rPr>
          <w:tab/>
        </w:r>
        <w:r w:rsidR="00C0211B" w:rsidRPr="008910EE">
          <w:rPr>
            <w:webHidden/>
          </w:rPr>
          <w:fldChar w:fldCharType="begin"/>
        </w:r>
        <w:r w:rsidR="00C0211B" w:rsidRPr="008910EE">
          <w:rPr>
            <w:webHidden/>
          </w:rPr>
          <w:instrText xml:space="preserve"> PAGEREF _Toc80708355 \h </w:instrText>
        </w:r>
        <w:r w:rsidR="00C0211B" w:rsidRPr="008910EE">
          <w:rPr>
            <w:webHidden/>
          </w:rPr>
        </w:r>
        <w:r w:rsidR="00C0211B" w:rsidRPr="008910EE">
          <w:rPr>
            <w:webHidden/>
          </w:rPr>
          <w:fldChar w:fldCharType="separate"/>
        </w:r>
        <w:r w:rsidR="00C0211B" w:rsidRPr="008910EE">
          <w:rPr>
            <w:webHidden/>
          </w:rPr>
          <w:t>26</w:t>
        </w:r>
        <w:r w:rsidR="00C0211B" w:rsidRPr="008910EE">
          <w:rPr>
            <w:webHidden/>
          </w:rPr>
          <w:fldChar w:fldCharType="end"/>
        </w:r>
      </w:hyperlink>
    </w:p>
    <w:p w14:paraId="53E6D302" w14:textId="7322B154" w:rsidR="00C0211B" w:rsidRPr="008910EE" w:rsidRDefault="008C4805">
      <w:pPr>
        <w:pStyle w:val="TOC1"/>
        <w:rPr>
          <w:rFonts w:asciiTheme="minorHAnsi" w:eastAsiaTheme="minorEastAsia" w:hAnsiTheme="minorHAnsi" w:cstheme="minorBidi"/>
          <w:b w:val="0"/>
          <w:sz w:val="22"/>
          <w:szCs w:val="22"/>
          <w:lang w:eastAsia="en-AU"/>
        </w:rPr>
      </w:pPr>
      <w:hyperlink w:anchor="_Toc80708356" w:history="1">
        <w:r w:rsidR="00C0211B" w:rsidRPr="008910EE">
          <w:rPr>
            <w:rStyle w:val="Hyperlink"/>
          </w:rPr>
          <w:t>Our challenges</w:t>
        </w:r>
        <w:r w:rsidR="00C0211B" w:rsidRPr="008910EE">
          <w:rPr>
            <w:webHidden/>
          </w:rPr>
          <w:tab/>
        </w:r>
        <w:r w:rsidR="00C0211B" w:rsidRPr="008910EE">
          <w:rPr>
            <w:webHidden/>
          </w:rPr>
          <w:fldChar w:fldCharType="begin"/>
        </w:r>
        <w:r w:rsidR="00C0211B" w:rsidRPr="008910EE">
          <w:rPr>
            <w:webHidden/>
          </w:rPr>
          <w:instrText xml:space="preserve"> PAGEREF _Toc80708356 \h </w:instrText>
        </w:r>
        <w:r w:rsidR="00C0211B" w:rsidRPr="008910EE">
          <w:rPr>
            <w:webHidden/>
          </w:rPr>
        </w:r>
        <w:r w:rsidR="00C0211B" w:rsidRPr="008910EE">
          <w:rPr>
            <w:webHidden/>
          </w:rPr>
          <w:fldChar w:fldCharType="separate"/>
        </w:r>
        <w:r w:rsidR="00C0211B" w:rsidRPr="008910EE">
          <w:rPr>
            <w:webHidden/>
          </w:rPr>
          <w:t>28</w:t>
        </w:r>
        <w:r w:rsidR="00C0211B" w:rsidRPr="008910EE">
          <w:rPr>
            <w:webHidden/>
          </w:rPr>
          <w:fldChar w:fldCharType="end"/>
        </w:r>
      </w:hyperlink>
    </w:p>
    <w:p w14:paraId="5939C313" w14:textId="6E6E28DD" w:rsidR="00C0211B" w:rsidRPr="008910EE" w:rsidRDefault="008C4805">
      <w:pPr>
        <w:pStyle w:val="TOC2"/>
        <w:rPr>
          <w:rFonts w:asciiTheme="minorHAnsi" w:eastAsiaTheme="minorEastAsia" w:hAnsiTheme="minorHAnsi" w:cstheme="minorBidi"/>
          <w:sz w:val="22"/>
          <w:szCs w:val="22"/>
          <w:lang w:eastAsia="en-AU"/>
        </w:rPr>
      </w:pPr>
      <w:hyperlink w:anchor="_Toc80708357" w:history="1">
        <w:r w:rsidR="00C0211B" w:rsidRPr="008910EE">
          <w:rPr>
            <w:rStyle w:val="Hyperlink"/>
          </w:rPr>
          <w:t>Population change</w:t>
        </w:r>
        <w:r w:rsidR="00C0211B" w:rsidRPr="008910EE">
          <w:rPr>
            <w:webHidden/>
          </w:rPr>
          <w:tab/>
        </w:r>
        <w:r w:rsidR="00C0211B" w:rsidRPr="008910EE">
          <w:rPr>
            <w:webHidden/>
          </w:rPr>
          <w:fldChar w:fldCharType="begin"/>
        </w:r>
        <w:r w:rsidR="00C0211B" w:rsidRPr="008910EE">
          <w:rPr>
            <w:webHidden/>
          </w:rPr>
          <w:instrText xml:space="preserve"> PAGEREF _Toc80708357 \h </w:instrText>
        </w:r>
        <w:r w:rsidR="00C0211B" w:rsidRPr="008910EE">
          <w:rPr>
            <w:webHidden/>
          </w:rPr>
        </w:r>
        <w:r w:rsidR="00C0211B" w:rsidRPr="008910EE">
          <w:rPr>
            <w:webHidden/>
          </w:rPr>
          <w:fldChar w:fldCharType="separate"/>
        </w:r>
        <w:r w:rsidR="00C0211B" w:rsidRPr="008910EE">
          <w:rPr>
            <w:webHidden/>
          </w:rPr>
          <w:t>29</w:t>
        </w:r>
        <w:r w:rsidR="00C0211B" w:rsidRPr="008910EE">
          <w:rPr>
            <w:webHidden/>
          </w:rPr>
          <w:fldChar w:fldCharType="end"/>
        </w:r>
      </w:hyperlink>
    </w:p>
    <w:p w14:paraId="17FD9775" w14:textId="1BE8AC95" w:rsidR="00C0211B" w:rsidRPr="008910EE" w:rsidRDefault="008C4805">
      <w:pPr>
        <w:pStyle w:val="TOC2"/>
        <w:rPr>
          <w:rFonts w:asciiTheme="minorHAnsi" w:eastAsiaTheme="minorEastAsia" w:hAnsiTheme="minorHAnsi" w:cstheme="minorBidi"/>
          <w:sz w:val="22"/>
          <w:szCs w:val="22"/>
          <w:lang w:eastAsia="en-AU"/>
        </w:rPr>
      </w:pPr>
      <w:hyperlink w:anchor="_Toc80708358" w:history="1">
        <w:r w:rsidR="00C0211B" w:rsidRPr="008910EE">
          <w:rPr>
            <w:rStyle w:val="Hyperlink"/>
          </w:rPr>
          <w:t>Geographical change</w:t>
        </w:r>
        <w:r w:rsidR="00C0211B" w:rsidRPr="008910EE">
          <w:rPr>
            <w:webHidden/>
          </w:rPr>
          <w:tab/>
        </w:r>
        <w:r w:rsidR="00C0211B" w:rsidRPr="008910EE">
          <w:rPr>
            <w:webHidden/>
          </w:rPr>
          <w:fldChar w:fldCharType="begin"/>
        </w:r>
        <w:r w:rsidR="00C0211B" w:rsidRPr="008910EE">
          <w:rPr>
            <w:webHidden/>
          </w:rPr>
          <w:instrText xml:space="preserve"> PAGEREF _Toc80708358 \h </w:instrText>
        </w:r>
        <w:r w:rsidR="00C0211B" w:rsidRPr="008910EE">
          <w:rPr>
            <w:webHidden/>
          </w:rPr>
        </w:r>
        <w:r w:rsidR="00C0211B" w:rsidRPr="008910EE">
          <w:rPr>
            <w:webHidden/>
          </w:rPr>
          <w:fldChar w:fldCharType="separate"/>
        </w:r>
        <w:r w:rsidR="00C0211B" w:rsidRPr="008910EE">
          <w:rPr>
            <w:webHidden/>
          </w:rPr>
          <w:t>29</w:t>
        </w:r>
        <w:r w:rsidR="00C0211B" w:rsidRPr="008910EE">
          <w:rPr>
            <w:webHidden/>
          </w:rPr>
          <w:fldChar w:fldCharType="end"/>
        </w:r>
      </w:hyperlink>
    </w:p>
    <w:p w14:paraId="76A81807" w14:textId="35F59422" w:rsidR="00C0211B" w:rsidRPr="008910EE" w:rsidRDefault="008C4805">
      <w:pPr>
        <w:pStyle w:val="TOC2"/>
        <w:rPr>
          <w:rFonts w:asciiTheme="minorHAnsi" w:eastAsiaTheme="minorEastAsia" w:hAnsiTheme="minorHAnsi" w:cstheme="minorBidi"/>
          <w:sz w:val="22"/>
          <w:szCs w:val="22"/>
          <w:lang w:eastAsia="en-AU"/>
        </w:rPr>
      </w:pPr>
      <w:hyperlink w:anchor="_Toc80708359" w:history="1">
        <w:r w:rsidR="00C0211B" w:rsidRPr="008910EE">
          <w:rPr>
            <w:rStyle w:val="Hyperlink"/>
          </w:rPr>
          <w:t>Preparing, responding and recovering</w:t>
        </w:r>
        <w:r w:rsidR="00C0211B" w:rsidRPr="008910EE">
          <w:rPr>
            <w:webHidden/>
          </w:rPr>
          <w:tab/>
        </w:r>
        <w:r w:rsidR="00C0211B" w:rsidRPr="008910EE">
          <w:rPr>
            <w:webHidden/>
          </w:rPr>
          <w:fldChar w:fldCharType="begin"/>
        </w:r>
        <w:r w:rsidR="00C0211B" w:rsidRPr="008910EE">
          <w:rPr>
            <w:webHidden/>
          </w:rPr>
          <w:instrText xml:space="preserve"> PAGEREF _Toc80708359 \h </w:instrText>
        </w:r>
        <w:r w:rsidR="00C0211B" w:rsidRPr="008910EE">
          <w:rPr>
            <w:webHidden/>
          </w:rPr>
        </w:r>
        <w:r w:rsidR="00C0211B" w:rsidRPr="008910EE">
          <w:rPr>
            <w:webHidden/>
          </w:rPr>
          <w:fldChar w:fldCharType="separate"/>
        </w:r>
        <w:r w:rsidR="00C0211B" w:rsidRPr="008910EE">
          <w:rPr>
            <w:webHidden/>
          </w:rPr>
          <w:t>30</w:t>
        </w:r>
        <w:r w:rsidR="00C0211B" w:rsidRPr="008910EE">
          <w:rPr>
            <w:webHidden/>
          </w:rPr>
          <w:fldChar w:fldCharType="end"/>
        </w:r>
      </w:hyperlink>
    </w:p>
    <w:p w14:paraId="29AEAB0C" w14:textId="3D72AEC5" w:rsidR="00C0211B" w:rsidRPr="008910EE" w:rsidRDefault="008C4805">
      <w:pPr>
        <w:pStyle w:val="TOC1"/>
        <w:rPr>
          <w:rFonts w:asciiTheme="minorHAnsi" w:eastAsiaTheme="minorEastAsia" w:hAnsiTheme="minorHAnsi" w:cstheme="minorBidi"/>
          <w:b w:val="0"/>
          <w:sz w:val="22"/>
          <w:szCs w:val="22"/>
          <w:lang w:eastAsia="en-AU"/>
        </w:rPr>
      </w:pPr>
      <w:hyperlink w:anchor="_Toc80708360" w:history="1">
        <w:r w:rsidR="00C0211B" w:rsidRPr="008910EE">
          <w:rPr>
            <w:rStyle w:val="Hyperlink"/>
          </w:rPr>
          <w:t>Our opportunities</w:t>
        </w:r>
        <w:r w:rsidR="00C0211B" w:rsidRPr="008910EE">
          <w:rPr>
            <w:webHidden/>
          </w:rPr>
          <w:tab/>
        </w:r>
        <w:r w:rsidR="00C0211B" w:rsidRPr="008910EE">
          <w:rPr>
            <w:webHidden/>
          </w:rPr>
          <w:fldChar w:fldCharType="begin"/>
        </w:r>
        <w:r w:rsidR="00C0211B" w:rsidRPr="008910EE">
          <w:rPr>
            <w:webHidden/>
          </w:rPr>
          <w:instrText xml:space="preserve"> PAGEREF _Toc80708360 \h </w:instrText>
        </w:r>
        <w:r w:rsidR="00C0211B" w:rsidRPr="008910EE">
          <w:rPr>
            <w:webHidden/>
          </w:rPr>
        </w:r>
        <w:r w:rsidR="00C0211B" w:rsidRPr="008910EE">
          <w:rPr>
            <w:webHidden/>
          </w:rPr>
          <w:fldChar w:fldCharType="separate"/>
        </w:r>
        <w:r w:rsidR="00C0211B" w:rsidRPr="008910EE">
          <w:rPr>
            <w:webHidden/>
          </w:rPr>
          <w:t>32</w:t>
        </w:r>
        <w:r w:rsidR="00C0211B" w:rsidRPr="008910EE">
          <w:rPr>
            <w:webHidden/>
          </w:rPr>
          <w:fldChar w:fldCharType="end"/>
        </w:r>
      </w:hyperlink>
    </w:p>
    <w:p w14:paraId="2CE4B16B" w14:textId="22F5DBD6" w:rsidR="00C0211B" w:rsidRPr="008910EE" w:rsidRDefault="008C4805">
      <w:pPr>
        <w:pStyle w:val="TOC1"/>
        <w:rPr>
          <w:rFonts w:asciiTheme="minorHAnsi" w:eastAsiaTheme="minorEastAsia" w:hAnsiTheme="minorHAnsi" w:cstheme="minorBidi"/>
          <w:b w:val="0"/>
          <w:sz w:val="22"/>
          <w:szCs w:val="22"/>
          <w:lang w:eastAsia="en-AU"/>
        </w:rPr>
      </w:pPr>
      <w:hyperlink w:anchor="_Toc80708361" w:history="1">
        <w:r w:rsidR="00C0211B" w:rsidRPr="008910EE">
          <w:rPr>
            <w:rStyle w:val="Hyperlink"/>
          </w:rPr>
          <w:t>Our focus areas</w:t>
        </w:r>
        <w:r w:rsidR="00C0211B" w:rsidRPr="008910EE">
          <w:rPr>
            <w:webHidden/>
          </w:rPr>
          <w:tab/>
        </w:r>
        <w:r w:rsidR="00C0211B" w:rsidRPr="008910EE">
          <w:rPr>
            <w:webHidden/>
          </w:rPr>
          <w:fldChar w:fldCharType="begin"/>
        </w:r>
        <w:r w:rsidR="00C0211B" w:rsidRPr="008910EE">
          <w:rPr>
            <w:webHidden/>
          </w:rPr>
          <w:instrText xml:space="preserve"> PAGEREF _Toc80708361 \h </w:instrText>
        </w:r>
        <w:r w:rsidR="00C0211B" w:rsidRPr="008910EE">
          <w:rPr>
            <w:webHidden/>
          </w:rPr>
        </w:r>
        <w:r w:rsidR="00C0211B" w:rsidRPr="008910EE">
          <w:rPr>
            <w:webHidden/>
          </w:rPr>
          <w:fldChar w:fldCharType="separate"/>
        </w:r>
        <w:r w:rsidR="00C0211B" w:rsidRPr="008910EE">
          <w:rPr>
            <w:webHidden/>
          </w:rPr>
          <w:t>33</w:t>
        </w:r>
        <w:r w:rsidR="00C0211B" w:rsidRPr="008910EE">
          <w:rPr>
            <w:webHidden/>
          </w:rPr>
          <w:fldChar w:fldCharType="end"/>
        </w:r>
      </w:hyperlink>
    </w:p>
    <w:p w14:paraId="5C772957" w14:textId="3EC347ED" w:rsidR="00C0211B" w:rsidRPr="008910EE" w:rsidRDefault="008C4805">
      <w:pPr>
        <w:pStyle w:val="TOC2"/>
        <w:rPr>
          <w:rFonts w:asciiTheme="minorHAnsi" w:eastAsiaTheme="minorEastAsia" w:hAnsiTheme="minorHAnsi" w:cstheme="minorBidi"/>
          <w:sz w:val="22"/>
          <w:szCs w:val="22"/>
          <w:lang w:eastAsia="en-AU"/>
        </w:rPr>
      </w:pPr>
      <w:hyperlink w:anchor="_Toc80708362" w:history="1">
        <w:r w:rsidR="00C0211B" w:rsidRPr="008910EE">
          <w:rPr>
            <w:rStyle w:val="Hyperlink"/>
          </w:rPr>
          <w:t>Children, young people and families are safe, strong and supported</w:t>
        </w:r>
        <w:r w:rsidR="00C0211B" w:rsidRPr="008910EE">
          <w:rPr>
            <w:webHidden/>
          </w:rPr>
          <w:tab/>
        </w:r>
        <w:r w:rsidR="00C0211B" w:rsidRPr="008910EE">
          <w:rPr>
            <w:webHidden/>
          </w:rPr>
          <w:fldChar w:fldCharType="begin"/>
        </w:r>
        <w:r w:rsidR="00C0211B" w:rsidRPr="008910EE">
          <w:rPr>
            <w:webHidden/>
          </w:rPr>
          <w:instrText xml:space="preserve"> PAGEREF _Toc80708362 \h </w:instrText>
        </w:r>
        <w:r w:rsidR="00C0211B" w:rsidRPr="008910EE">
          <w:rPr>
            <w:webHidden/>
          </w:rPr>
        </w:r>
        <w:r w:rsidR="00C0211B" w:rsidRPr="008910EE">
          <w:rPr>
            <w:webHidden/>
          </w:rPr>
          <w:fldChar w:fldCharType="separate"/>
        </w:r>
        <w:r w:rsidR="00C0211B" w:rsidRPr="008910EE">
          <w:rPr>
            <w:webHidden/>
          </w:rPr>
          <w:t>33</w:t>
        </w:r>
        <w:r w:rsidR="00C0211B" w:rsidRPr="008910EE">
          <w:rPr>
            <w:webHidden/>
          </w:rPr>
          <w:fldChar w:fldCharType="end"/>
        </w:r>
      </w:hyperlink>
    </w:p>
    <w:p w14:paraId="6279D5C8" w14:textId="65DBECD0" w:rsidR="00C0211B" w:rsidRPr="008910EE" w:rsidRDefault="008C4805">
      <w:pPr>
        <w:pStyle w:val="TOC2"/>
        <w:rPr>
          <w:rFonts w:asciiTheme="minorHAnsi" w:eastAsiaTheme="minorEastAsia" w:hAnsiTheme="minorHAnsi" w:cstheme="minorBidi"/>
          <w:sz w:val="22"/>
          <w:szCs w:val="22"/>
          <w:lang w:eastAsia="en-AU"/>
        </w:rPr>
      </w:pPr>
      <w:hyperlink w:anchor="_Toc80708363" w:history="1">
        <w:r w:rsidR="00C0211B" w:rsidRPr="008910EE">
          <w:rPr>
            <w:rStyle w:val="Hyperlink"/>
          </w:rPr>
          <w:t>Victorian communities are safe, fair, inclusive and resilient</w:t>
        </w:r>
        <w:r w:rsidR="00C0211B" w:rsidRPr="008910EE">
          <w:rPr>
            <w:webHidden/>
          </w:rPr>
          <w:tab/>
        </w:r>
        <w:r w:rsidR="00C0211B" w:rsidRPr="008910EE">
          <w:rPr>
            <w:webHidden/>
          </w:rPr>
          <w:fldChar w:fldCharType="begin"/>
        </w:r>
        <w:r w:rsidR="00C0211B" w:rsidRPr="008910EE">
          <w:rPr>
            <w:webHidden/>
          </w:rPr>
          <w:instrText xml:space="preserve"> PAGEREF _Toc80708363 \h </w:instrText>
        </w:r>
        <w:r w:rsidR="00C0211B" w:rsidRPr="008910EE">
          <w:rPr>
            <w:webHidden/>
          </w:rPr>
        </w:r>
        <w:r w:rsidR="00C0211B" w:rsidRPr="008910EE">
          <w:rPr>
            <w:webHidden/>
          </w:rPr>
          <w:fldChar w:fldCharType="separate"/>
        </w:r>
        <w:r w:rsidR="00C0211B" w:rsidRPr="008910EE">
          <w:rPr>
            <w:webHidden/>
          </w:rPr>
          <w:t>39</w:t>
        </w:r>
        <w:r w:rsidR="00C0211B" w:rsidRPr="008910EE">
          <w:rPr>
            <w:webHidden/>
          </w:rPr>
          <w:fldChar w:fldCharType="end"/>
        </w:r>
      </w:hyperlink>
    </w:p>
    <w:p w14:paraId="770B3810" w14:textId="377E81E0" w:rsidR="00C0211B" w:rsidRPr="008910EE" w:rsidRDefault="008C4805">
      <w:pPr>
        <w:pStyle w:val="TOC2"/>
        <w:rPr>
          <w:rFonts w:asciiTheme="minorHAnsi" w:eastAsiaTheme="minorEastAsia" w:hAnsiTheme="minorHAnsi" w:cstheme="minorBidi"/>
          <w:sz w:val="22"/>
          <w:szCs w:val="22"/>
          <w:lang w:eastAsia="en-AU"/>
        </w:rPr>
      </w:pPr>
      <w:hyperlink w:anchor="_Toc80708364" w:history="1">
        <w:r w:rsidR="00C0211B" w:rsidRPr="008910EE">
          <w:rPr>
            <w:rStyle w:val="Hyperlink"/>
          </w:rPr>
          <w:t>All Victorians have stable, affordable and appropriate housing</w:t>
        </w:r>
        <w:r w:rsidR="00C0211B" w:rsidRPr="008910EE">
          <w:rPr>
            <w:webHidden/>
          </w:rPr>
          <w:tab/>
        </w:r>
        <w:r w:rsidR="00C0211B" w:rsidRPr="008910EE">
          <w:rPr>
            <w:webHidden/>
          </w:rPr>
          <w:fldChar w:fldCharType="begin"/>
        </w:r>
        <w:r w:rsidR="00C0211B" w:rsidRPr="008910EE">
          <w:rPr>
            <w:webHidden/>
          </w:rPr>
          <w:instrText xml:space="preserve"> PAGEREF _Toc80708364 \h </w:instrText>
        </w:r>
        <w:r w:rsidR="00C0211B" w:rsidRPr="008910EE">
          <w:rPr>
            <w:webHidden/>
          </w:rPr>
        </w:r>
        <w:r w:rsidR="00C0211B" w:rsidRPr="008910EE">
          <w:rPr>
            <w:webHidden/>
          </w:rPr>
          <w:fldChar w:fldCharType="separate"/>
        </w:r>
        <w:r w:rsidR="00C0211B" w:rsidRPr="008910EE">
          <w:rPr>
            <w:webHidden/>
          </w:rPr>
          <w:t>47</w:t>
        </w:r>
        <w:r w:rsidR="00C0211B" w:rsidRPr="008910EE">
          <w:rPr>
            <w:webHidden/>
          </w:rPr>
          <w:fldChar w:fldCharType="end"/>
        </w:r>
      </w:hyperlink>
    </w:p>
    <w:p w14:paraId="0472B8EC" w14:textId="35E5C911" w:rsidR="00C0211B" w:rsidRPr="008910EE" w:rsidRDefault="008C4805">
      <w:pPr>
        <w:pStyle w:val="TOC2"/>
        <w:rPr>
          <w:rFonts w:asciiTheme="minorHAnsi" w:eastAsiaTheme="minorEastAsia" w:hAnsiTheme="minorHAnsi" w:cstheme="minorBidi"/>
          <w:sz w:val="22"/>
          <w:szCs w:val="22"/>
          <w:lang w:eastAsia="en-AU"/>
        </w:rPr>
      </w:pPr>
      <w:hyperlink w:anchor="_Toc80708365" w:history="1">
        <w:r w:rsidR="00C0211B" w:rsidRPr="008910EE">
          <w:rPr>
            <w:rStyle w:val="Hyperlink"/>
          </w:rPr>
          <w:t>Aboriginal voice, knowledge and cultural leadership drive Aboriginal policy, legislation and system reform</w:t>
        </w:r>
        <w:r w:rsidR="00C0211B" w:rsidRPr="008910EE">
          <w:rPr>
            <w:webHidden/>
          </w:rPr>
          <w:tab/>
        </w:r>
        <w:r w:rsidR="00C0211B" w:rsidRPr="008910EE">
          <w:rPr>
            <w:webHidden/>
          </w:rPr>
          <w:fldChar w:fldCharType="begin"/>
        </w:r>
        <w:r w:rsidR="00C0211B" w:rsidRPr="008910EE">
          <w:rPr>
            <w:webHidden/>
          </w:rPr>
          <w:instrText xml:space="preserve"> PAGEREF _Toc80708365 \h </w:instrText>
        </w:r>
        <w:r w:rsidR="00C0211B" w:rsidRPr="008910EE">
          <w:rPr>
            <w:webHidden/>
          </w:rPr>
        </w:r>
        <w:r w:rsidR="00C0211B" w:rsidRPr="008910EE">
          <w:rPr>
            <w:webHidden/>
          </w:rPr>
          <w:fldChar w:fldCharType="separate"/>
        </w:r>
        <w:r w:rsidR="00C0211B" w:rsidRPr="008910EE">
          <w:rPr>
            <w:webHidden/>
          </w:rPr>
          <w:t>49</w:t>
        </w:r>
        <w:r w:rsidR="00C0211B" w:rsidRPr="008910EE">
          <w:rPr>
            <w:webHidden/>
          </w:rPr>
          <w:fldChar w:fldCharType="end"/>
        </w:r>
      </w:hyperlink>
    </w:p>
    <w:p w14:paraId="402CF9FF" w14:textId="26D5CFA4" w:rsidR="00C0211B" w:rsidRPr="008910EE" w:rsidRDefault="008C4805">
      <w:pPr>
        <w:pStyle w:val="TOC2"/>
        <w:rPr>
          <w:rFonts w:asciiTheme="minorHAnsi" w:eastAsiaTheme="minorEastAsia" w:hAnsiTheme="minorHAnsi" w:cstheme="minorBidi"/>
          <w:sz w:val="22"/>
          <w:szCs w:val="22"/>
          <w:lang w:eastAsia="en-AU"/>
        </w:rPr>
      </w:pPr>
      <w:hyperlink w:anchor="_Toc80708366" w:history="1">
        <w:r w:rsidR="00C0211B" w:rsidRPr="008910EE">
          <w:rPr>
            <w:rStyle w:val="Hyperlink"/>
          </w:rPr>
          <w:t>Our systems are high performing and responsive, meeting the needs of all Victorians</w:t>
        </w:r>
        <w:r w:rsidR="00C0211B" w:rsidRPr="008910EE">
          <w:rPr>
            <w:webHidden/>
          </w:rPr>
          <w:tab/>
        </w:r>
        <w:r w:rsidR="00C0211B" w:rsidRPr="008910EE">
          <w:rPr>
            <w:webHidden/>
          </w:rPr>
          <w:fldChar w:fldCharType="begin"/>
        </w:r>
        <w:r w:rsidR="00C0211B" w:rsidRPr="008910EE">
          <w:rPr>
            <w:webHidden/>
          </w:rPr>
          <w:instrText xml:space="preserve"> PAGEREF _Toc80708366 \h </w:instrText>
        </w:r>
        <w:r w:rsidR="00C0211B" w:rsidRPr="008910EE">
          <w:rPr>
            <w:webHidden/>
          </w:rPr>
        </w:r>
        <w:r w:rsidR="00C0211B" w:rsidRPr="008910EE">
          <w:rPr>
            <w:webHidden/>
          </w:rPr>
          <w:fldChar w:fldCharType="separate"/>
        </w:r>
        <w:r w:rsidR="00C0211B" w:rsidRPr="008910EE">
          <w:rPr>
            <w:webHidden/>
          </w:rPr>
          <w:t>51</w:t>
        </w:r>
        <w:r w:rsidR="00C0211B" w:rsidRPr="008910EE">
          <w:rPr>
            <w:webHidden/>
          </w:rPr>
          <w:fldChar w:fldCharType="end"/>
        </w:r>
      </w:hyperlink>
    </w:p>
    <w:p w14:paraId="187F7153" w14:textId="2BDAABE8" w:rsidR="00C0211B" w:rsidRPr="008910EE" w:rsidRDefault="008C4805">
      <w:pPr>
        <w:pStyle w:val="TOC1"/>
        <w:rPr>
          <w:rFonts w:asciiTheme="minorHAnsi" w:eastAsiaTheme="minorEastAsia" w:hAnsiTheme="minorHAnsi" w:cstheme="minorBidi"/>
          <w:b w:val="0"/>
          <w:sz w:val="22"/>
          <w:szCs w:val="22"/>
          <w:lang w:eastAsia="en-AU"/>
        </w:rPr>
      </w:pPr>
      <w:hyperlink w:anchor="_Toc80708367" w:history="1">
        <w:r w:rsidR="00C0211B" w:rsidRPr="008910EE">
          <w:rPr>
            <w:rStyle w:val="Hyperlink"/>
          </w:rPr>
          <w:t>Our results</w:t>
        </w:r>
        <w:r w:rsidR="00C0211B" w:rsidRPr="008910EE">
          <w:rPr>
            <w:webHidden/>
          </w:rPr>
          <w:tab/>
        </w:r>
        <w:r w:rsidR="00C0211B" w:rsidRPr="008910EE">
          <w:rPr>
            <w:webHidden/>
          </w:rPr>
          <w:fldChar w:fldCharType="begin"/>
        </w:r>
        <w:r w:rsidR="00C0211B" w:rsidRPr="008910EE">
          <w:rPr>
            <w:webHidden/>
          </w:rPr>
          <w:instrText xml:space="preserve"> PAGEREF _Toc80708367 \h </w:instrText>
        </w:r>
        <w:r w:rsidR="00C0211B" w:rsidRPr="008910EE">
          <w:rPr>
            <w:webHidden/>
          </w:rPr>
        </w:r>
        <w:r w:rsidR="00C0211B" w:rsidRPr="008910EE">
          <w:rPr>
            <w:webHidden/>
          </w:rPr>
          <w:fldChar w:fldCharType="separate"/>
        </w:r>
        <w:r w:rsidR="00C0211B" w:rsidRPr="008910EE">
          <w:rPr>
            <w:webHidden/>
          </w:rPr>
          <w:t>55</w:t>
        </w:r>
        <w:r w:rsidR="00C0211B" w:rsidRPr="008910EE">
          <w:rPr>
            <w:webHidden/>
          </w:rPr>
          <w:fldChar w:fldCharType="end"/>
        </w:r>
      </w:hyperlink>
    </w:p>
    <w:p w14:paraId="6C2B2DC7" w14:textId="5855C7DF" w:rsidR="00C0211B" w:rsidRPr="008910EE" w:rsidRDefault="008C4805">
      <w:pPr>
        <w:pStyle w:val="TOC1"/>
        <w:rPr>
          <w:rFonts w:asciiTheme="minorHAnsi" w:eastAsiaTheme="minorEastAsia" w:hAnsiTheme="minorHAnsi" w:cstheme="minorBidi"/>
          <w:b w:val="0"/>
          <w:sz w:val="22"/>
          <w:szCs w:val="22"/>
          <w:lang w:eastAsia="en-AU"/>
        </w:rPr>
      </w:pPr>
      <w:hyperlink w:anchor="_Toc80708368" w:history="1">
        <w:r w:rsidR="00C0211B" w:rsidRPr="008910EE">
          <w:rPr>
            <w:rStyle w:val="Hyperlink"/>
          </w:rPr>
          <w:t>Endnotes</w:t>
        </w:r>
        <w:r w:rsidR="00C0211B" w:rsidRPr="008910EE">
          <w:rPr>
            <w:webHidden/>
          </w:rPr>
          <w:tab/>
        </w:r>
        <w:r w:rsidR="00C0211B" w:rsidRPr="008910EE">
          <w:rPr>
            <w:webHidden/>
          </w:rPr>
          <w:fldChar w:fldCharType="begin"/>
        </w:r>
        <w:r w:rsidR="00C0211B" w:rsidRPr="008910EE">
          <w:rPr>
            <w:webHidden/>
          </w:rPr>
          <w:instrText xml:space="preserve"> PAGEREF _Toc80708368 \h </w:instrText>
        </w:r>
        <w:r w:rsidR="00C0211B" w:rsidRPr="008910EE">
          <w:rPr>
            <w:webHidden/>
          </w:rPr>
        </w:r>
        <w:r w:rsidR="00C0211B" w:rsidRPr="008910EE">
          <w:rPr>
            <w:webHidden/>
          </w:rPr>
          <w:fldChar w:fldCharType="separate"/>
        </w:r>
        <w:r w:rsidR="00C0211B" w:rsidRPr="008910EE">
          <w:rPr>
            <w:webHidden/>
          </w:rPr>
          <w:t>56</w:t>
        </w:r>
        <w:r w:rsidR="00C0211B" w:rsidRPr="008910EE">
          <w:rPr>
            <w:webHidden/>
          </w:rPr>
          <w:fldChar w:fldCharType="end"/>
        </w:r>
      </w:hyperlink>
    </w:p>
    <w:p w14:paraId="3BE5E43C" w14:textId="4F882713" w:rsidR="00FB1F6E" w:rsidRPr="008910EE" w:rsidRDefault="00AD784C" w:rsidP="00D03F86">
      <w:pPr>
        <w:pStyle w:val="Body"/>
      </w:pPr>
      <w:r w:rsidRPr="008910EE">
        <w:fldChar w:fldCharType="end"/>
      </w:r>
      <w:r w:rsidR="00FB1F6E" w:rsidRPr="008910EE">
        <w:br w:type="page"/>
      </w:r>
    </w:p>
    <w:p w14:paraId="068CE36E" w14:textId="68AF7AA9" w:rsidR="00BE32BB" w:rsidRPr="008910EE" w:rsidRDefault="005E4E2B" w:rsidP="00EE0DA7">
      <w:pPr>
        <w:pStyle w:val="Heading1"/>
      </w:pPr>
      <w:bookmarkStart w:id="4" w:name="_Toc80708336"/>
      <w:r w:rsidRPr="008910EE">
        <w:t xml:space="preserve">Our </w:t>
      </w:r>
      <w:r w:rsidR="005B7703" w:rsidRPr="008910EE">
        <w:t>m</w:t>
      </w:r>
      <w:r w:rsidRPr="008910EE">
        <w:t>inisters</w:t>
      </w:r>
      <w:bookmarkEnd w:id="4"/>
    </w:p>
    <w:p w14:paraId="6EBBA910" w14:textId="003A786F" w:rsidR="006946CC" w:rsidRPr="008910EE" w:rsidRDefault="00A11C21" w:rsidP="00EE0DA7">
      <w:pPr>
        <w:pStyle w:val="Body"/>
      </w:pPr>
      <w:r w:rsidRPr="008910EE">
        <w:t>The Department of Famil</w:t>
      </w:r>
      <w:r w:rsidR="00A74D8B" w:rsidRPr="008910EE">
        <w:t>ies</w:t>
      </w:r>
      <w:r w:rsidRPr="008910EE">
        <w:t xml:space="preserve">, Fairness and Housing </w:t>
      </w:r>
      <w:r w:rsidR="000407DD" w:rsidRPr="008910EE">
        <w:t>supports</w:t>
      </w:r>
      <w:r w:rsidRPr="008910EE">
        <w:t xml:space="preserve"> six </w:t>
      </w:r>
      <w:r w:rsidR="005B7703" w:rsidRPr="008910EE">
        <w:t>m</w:t>
      </w:r>
      <w:r w:rsidRPr="008910EE">
        <w:t xml:space="preserve">inisters and </w:t>
      </w:r>
      <w:r w:rsidR="009D47D9" w:rsidRPr="008910EE">
        <w:t xml:space="preserve">nine portfolios. </w:t>
      </w:r>
    </w:p>
    <w:p w14:paraId="51A2BF8B" w14:textId="7FD5FABF" w:rsidR="006C0707" w:rsidRPr="008910EE" w:rsidRDefault="006C0707" w:rsidP="00EE0DA7">
      <w:pPr>
        <w:pStyle w:val="Body"/>
      </w:pPr>
      <w:r w:rsidRPr="008910EE">
        <w:t>The Hon</w:t>
      </w:r>
      <w:r w:rsidR="005B7703" w:rsidRPr="008910EE">
        <w:t>.</w:t>
      </w:r>
      <w:r w:rsidRPr="008910EE">
        <w:t xml:space="preserve"> Richard Wynne MP</w:t>
      </w:r>
    </w:p>
    <w:p w14:paraId="6B9B0A84" w14:textId="77777777" w:rsidR="006C0707" w:rsidRPr="008910EE" w:rsidRDefault="006C0707" w:rsidP="00F47AD3">
      <w:pPr>
        <w:pStyle w:val="Bullet1"/>
      </w:pPr>
      <w:r w:rsidRPr="008910EE">
        <w:t>Minister for Housing</w:t>
      </w:r>
    </w:p>
    <w:p w14:paraId="35EF4DAF" w14:textId="4F0165E6" w:rsidR="006C0707" w:rsidRPr="008910EE" w:rsidRDefault="006C0707" w:rsidP="00F47AD3">
      <w:pPr>
        <w:pStyle w:val="Bodyafterbullets"/>
      </w:pPr>
      <w:r w:rsidRPr="008910EE">
        <w:t>The Hon</w:t>
      </w:r>
      <w:r w:rsidR="005B7703" w:rsidRPr="008910EE">
        <w:t>.</w:t>
      </w:r>
      <w:r w:rsidRPr="008910EE">
        <w:t xml:space="preserve"> Luke Donnellan MP</w:t>
      </w:r>
    </w:p>
    <w:p w14:paraId="3884036C" w14:textId="77777777" w:rsidR="006C0707" w:rsidRPr="008910EE" w:rsidRDefault="006C0707" w:rsidP="00F47AD3">
      <w:pPr>
        <w:pStyle w:val="Bullet1"/>
      </w:pPr>
      <w:r w:rsidRPr="008910EE">
        <w:t>Minister for Child Protection</w:t>
      </w:r>
    </w:p>
    <w:p w14:paraId="3B841FB3" w14:textId="6580CEF6" w:rsidR="006C0707" w:rsidRPr="008910EE" w:rsidRDefault="006C0707" w:rsidP="00F47AD3">
      <w:pPr>
        <w:pStyle w:val="Bullet1"/>
      </w:pPr>
      <w:r w:rsidRPr="008910EE">
        <w:t>Minister for Disability, Ageing and Carers</w:t>
      </w:r>
    </w:p>
    <w:p w14:paraId="56C0EB38" w14:textId="7ACE200B" w:rsidR="006C0707" w:rsidRPr="008910EE" w:rsidRDefault="006C0707" w:rsidP="00F47AD3">
      <w:pPr>
        <w:pStyle w:val="Bodyafterbullets"/>
      </w:pPr>
      <w:r w:rsidRPr="008910EE">
        <w:t>The Hon. Ros Spence MP</w:t>
      </w:r>
    </w:p>
    <w:p w14:paraId="420CB157" w14:textId="77777777" w:rsidR="006C0707" w:rsidRPr="008910EE" w:rsidRDefault="006C0707" w:rsidP="00F47AD3">
      <w:pPr>
        <w:pStyle w:val="Bullet1"/>
      </w:pPr>
      <w:r w:rsidRPr="008910EE">
        <w:t>Minister for Multicultural Affairs</w:t>
      </w:r>
    </w:p>
    <w:p w14:paraId="7BFC22F4" w14:textId="77777777" w:rsidR="006C0707" w:rsidRPr="008910EE" w:rsidRDefault="006C0707" w:rsidP="00F47AD3">
      <w:pPr>
        <w:pStyle w:val="Bullet1"/>
      </w:pPr>
      <w:r w:rsidRPr="008910EE">
        <w:t>Minister for Youth</w:t>
      </w:r>
    </w:p>
    <w:p w14:paraId="12D5EE5E" w14:textId="067E8D16" w:rsidR="006C0707" w:rsidRPr="008910EE" w:rsidRDefault="006C0707" w:rsidP="00F47AD3">
      <w:pPr>
        <w:pStyle w:val="Bodyafterbullets"/>
      </w:pPr>
      <w:r w:rsidRPr="008910EE">
        <w:t>Gabrielle Williams MP</w:t>
      </w:r>
    </w:p>
    <w:p w14:paraId="34264C37" w14:textId="77777777" w:rsidR="006C0707" w:rsidRPr="008910EE" w:rsidRDefault="006C0707" w:rsidP="00F47AD3">
      <w:pPr>
        <w:pStyle w:val="Bullet1"/>
      </w:pPr>
      <w:r w:rsidRPr="008910EE">
        <w:t>Minister for Prevention of Family Violence</w:t>
      </w:r>
    </w:p>
    <w:p w14:paraId="3C469912" w14:textId="77777777" w:rsidR="006C0707" w:rsidRPr="008910EE" w:rsidRDefault="006C0707" w:rsidP="00F47AD3">
      <w:pPr>
        <w:pStyle w:val="Bullet1"/>
      </w:pPr>
      <w:r w:rsidRPr="008910EE">
        <w:t>Minister for Women</w:t>
      </w:r>
    </w:p>
    <w:p w14:paraId="7B6B1F20" w14:textId="03AF13C8" w:rsidR="006C0707" w:rsidRPr="008910EE" w:rsidRDefault="006C0707" w:rsidP="00F47AD3">
      <w:pPr>
        <w:pStyle w:val="Bodyafterbullets"/>
      </w:pPr>
      <w:r w:rsidRPr="008910EE">
        <w:t>The Hon</w:t>
      </w:r>
      <w:r w:rsidR="005B7703" w:rsidRPr="008910EE">
        <w:t>.</w:t>
      </w:r>
      <w:r w:rsidRPr="008910EE">
        <w:t xml:space="preserve"> Shaun Leane MP</w:t>
      </w:r>
    </w:p>
    <w:p w14:paraId="57961BCA" w14:textId="50870244" w:rsidR="006C0707" w:rsidRPr="008910EE" w:rsidRDefault="006C0707" w:rsidP="00F47AD3">
      <w:pPr>
        <w:pStyle w:val="Bullet1"/>
      </w:pPr>
      <w:r w:rsidRPr="008910EE">
        <w:t>Minister for Veterans</w:t>
      </w:r>
      <w:bookmarkStart w:id="5" w:name="_Hlk72432544"/>
      <w:bookmarkEnd w:id="5"/>
      <w:r w:rsidR="00D56AEA" w:rsidRPr="008910EE">
        <w:t xml:space="preserve"> </w:t>
      </w:r>
    </w:p>
    <w:p w14:paraId="34B4F651" w14:textId="793151CD" w:rsidR="006C0707" w:rsidRPr="008910EE" w:rsidRDefault="006C0707" w:rsidP="00F47AD3">
      <w:pPr>
        <w:pStyle w:val="Bodyafterbullets"/>
      </w:pPr>
      <w:r w:rsidRPr="008910EE">
        <w:t>Martin Foley MP</w:t>
      </w:r>
    </w:p>
    <w:p w14:paraId="1D5A446A" w14:textId="77777777" w:rsidR="006C0707" w:rsidRPr="008910EE" w:rsidRDefault="006C0707" w:rsidP="00F47AD3">
      <w:pPr>
        <w:pStyle w:val="Bullet1"/>
      </w:pPr>
      <w:r w:rsidRPr="008910EE">
        <w:t>Minister for Equality</w:t>
      </w:r>
    </w:p>
    <w:p w14:paraId="2CCBD424" w14:textId="77777777" w:rsidR="000F5F7A" w:rsidRPr="008910EE" w:rsidRDefault="000F5F7A" w:rsidP="00BA475E">
      <w:pPr>
        <w:pStyle w:val="Body"/>
        <w:rPr>
          <w:rFonts w:eastAsia="MS Gothic" w:cs="Arial"/>
          <w:color w:val="201547"/>
          <w:kern w:val="32"/>
          <w:sz w:val="44"/>
          <w:szCs w:val="44"/>
        </w:rPr>
      </w:pPr>
      <w:bookmarkStart w:id="6" w:name="_Toc74069865"/>
      <w:r w:rsidRPr="008910EE">
        <w:br w:type="page"/>
      </w:r>
    </w:p>
    <w:p w14:paraId="1CC39C9B" w14:textId="7372C27B" w:rsidR="00711C3B" w:rsidRPr="008910EE" w:rsidRDefault="000E43A4" w:rsidP="00EE0DA7">
      <w:pPr>
        <w:pStyle w:val="Heading1"/>
        <w:spacing w:before="0" w:after="120"/>
        <w:rPr>
          <w:rStyle w:val="normaltextrun"/>
          <w:color w:val="auto"/>
        </w:rPr>
      </w:pPr>
      <w:bookmarkStart w:id="7" w:name="_Toc80708337"/>
      <w:r w:rsidRPr="008910EE">
        <w:t xml:space="preserve">Statement of support for Aboriginal </w:t>
      </w:r>
      <w:r w:rsidR="005B7703" w:rsidRPr="008910EE">
        <w:t>s</w:t>
      </w:r>
      <w:r w:rsidRPr="008910EE">
        <w:t>elf</w:t>
      </w:r>
      <w:r w:rsidR="005B7703" w:rsidRPr="008910EE">
        <w:t>-d</w:t>
      </w:r>
      <w:r w:rsidRPr="008910EE">
        <w:t>etermination</w:t>
      </w:r>
      <w:bookmarkEnd w:id="6"/>
      <w:bookmarkEnd w:id="7"/>
      <w:r w:rsidR="00645A90" w:rsidRPr="008910EE">
        <w:t xml:space="preserve"> </w:t>
      </w:r>
    </w:p>
    <w:p w14:paraId="6419BE20" w14:textId="6FED621B" w:rsidR="00AF7EF9" w:rsidRPr="008910EE" w:rsidRDefault="00AF7EF9" w:rsidP="00F47AD3">
      <w:pPr>
        <w:pStyle w:val="Body"/>
        <w:rPr>
          <w:lang w:val="en-US"/>
        </w:rPr>
      </w:pPr>
      <w:bookmarkStart w:id="8" w:name="_Toc74069867"/>
      <w:r w:rsidRPr="008910EE">
        <w:t>There have been significant steps to advance Aboriginal self-determination in Victoria through both the Treaty and formal Truth-telling process</w:t>
      </w:r>
      <w:r w:rsidR="00B74227" w:rsidRPr="008910EE">
        <w:t xml:space="preserve"> through the Yoo-rrook Commission</w:t>
      </w:r>
      <w:r w:rsidRPr="008910EE">
        <w:t>. Victoria has also signed up to a National Agreement on Closing the Gap</w:t>
      </w:r>
      <w:r w:rsidR="4A04C56C" w:rsidRPr="008910EE">
        <w:t>,</w:t>
      </w:r>
      <w:r w:rsidRPr="008910EE">
        <w:t xml:space="preserve"> with a strong theme around partnership and shared decision making. </w:t>
      </w:r>
    </w:p>
    <w:p w14:paraId="4A9FC610" w14:textId="2AA89CDE" w:rsidR="00AF7EF9" w:rsidRPr="008910EE" w:rsidRDefault="00AF7EF9" w:rsidP="00F47AD3">
      <w:pPr>
        <w:pStyle w:val="Body"/>
        <w:rPr>
          <w:lang w:val="en"/>
        </w:rPr>
      </w:pPr>
      <w:r w:rsidRPr="008910EE">
        <w:rPr>
          <w:lang w:val="en"/>
        </w:rPr>
        <w:t>As co-chair of the Department of Fairness, Families and Housing’s Korin Korin Balit</w:t>
      </w:r>
      <w:r w:rsidR="00FF1C7E" w:rsidRPr="008910EE">
        <w:rPr>
          <w:lang w:val="en"/>
        </w:rPr>
        <w:t>-</w:t>
      </w:r>
      <w:r w:rsidRPr="008910EE">
        <w:rPr>
          <w:lang w:val="en"/>
        </w:rPr>
        <w:t xml:space="preserve">Djak Aboriginal Governance Committee I write this statement to express the criticality of our individual and collective roles in delivering on the commitments and actions both within the </w:t>
      </w:r>
      <w:r w:rsidR="003E46A6" w:rsidRPr="008910EE">
        <w:rPr>
          <w:lang w:val="en"/>
        </w:rPr>
        <w:t>department’s</w:t>
      </w:r>
      <w:r w:rsidRPr="008910EE">
        <w:rPr>
          <w:lang w:val="en"/>
        </w:rPr>
        <w:t xml:space="preserve"> agreements and strategies</w:t>
      </w:r>
      <w:r w:rsidR="0243143A" w:rsidRPr="008910EE">
        <w:rPr>
          <w:lang w:val="en"/>
        </w:rPr>
        <w:t>,</w:t>
      </w:r>
      <w:r w:rsidRPr="008910EE">
        <w:rPr>
          <w:lang w:val="en"/>
        </w:rPr>
        <w:t xml:space="preserve"> and in system transformation.</w:t>
      </w:r>
      <w:r w:rsidR="003D0A9F" w:rsidRPr="008910EE">
        <w:rPr>
          <w:lang w:val="en"/>
        </w:rPr>
        <w:t xml:space="preserve"> </w:t>
      </w:r>
    </w:p>
    <w:p w14:paraId="6E7E37FD" w14:textId="6C35A146" w:rsidR="00AF7EF9" w:rsidRPr="008910EE" w:rsidRDefault="00AF7EF9" w:rsidP="00F47AD3">
      <w:pPr>
        <w:pStyle w:val="Body"/>
        <w:rPr>
          <w:lang w:val="en-US"/>
        </w:rPr>
      </w:pPr>
      <w:r w:rsidRPr="008910EE">
        <w:t>Much has been done to nation-build Aboriginal Victoria</w:t>
      </w:r>
      <w:r w:rsidR="00075C7C" w:rsidRPr="008910EE">
        <w:t>,</w:t>
      </w:r>
      <w:r w:rsidRPr="008910EE">
        <w:t xml:space="preserve"> and we now have environments where we are managing our own resources, have enterprises, organisations with skilled administration and highly functioning service providers delivering across a broad spectrum of services to Aboriginal people </w:t>
      </w:r>
      <w:r w:rsidR="0983A641" w:rsidRPr="008910EE">
        <w:t>throughout</w:t>
      </w:r>
      <w:r w:rsidRPr="008910EE">
        <w:t xml:space="preserve"> our state. Victoria’s</w:t>
      </w:r>
      <w:r w:rsidRPr="008910EE">
        <w:rPr>
          <w:lang w:val="en-US"/>
        </w:rPr>
        <w:t xml:space="preserve"> Aboriginal community-controlled sector can be seen as a contemporary expression of Aboriginal peoples’ rights to self-government and self-determination.</w:t>
      </w:r>
    </w:p>
    <w:p w14:paraId="7B36DF7D" w14:textId="4FA51AB2" w:rsidR="00AF7EF9" w:rsidRPr="008910EE" w:rsidRDefault="00AF7EF9" w:rsidP="00F47AD3">
      <w:pPr>
        <w:pStyle w:val="Body"/>
      </w:pPr>
      <w:r w:rsidRPr="008910EE">
        <w:t>For Aboriginal people</w:t>
      </w:r>
      <w:r w:rsidR="4D30F411" w:rsidRPr="008910EE">
        <w:t>,</w:t>
      </w:r>
      <w:r w:rsidRPr="008910EE">
        <w:t xml:space="preserve"> culture matters for self-determination and self-management. By culture we mean the shared values, meanings, ways of understanding the world, and beliefs of an Aboriginal nation that inform their everyday practice. </w:t>
      </w:r>
      <w:r w:rsidR="47D6465B" w:rsidRPr="008910EE">
        <w:t>Culture</w:t>
      </w:r>
      <w:r w:rsidRPr="008910EE">
        <w:t xml:space="preserve"> underpins the way people work together in our communities and organisations, and it flows through our governance arrangements in persistent and innovative ways. It is clearly relevant both as a dimension and object of our display of self-determination and self-management, and as an explanatory variable for differences in the operation and in achieving outcomes. </w:t>
      </w:r>
    </w:p>
    <w:p w14:paraId="0328C4E9" w14:textId="2E2CF798" w:rsidR="00AF7EF9" w:rsidRPr="008910EE" w:rsidRDefault="00AF7EF9" w:rsidP="00F47AD3">
      <w:pPr>
        <w:pStyle w:val="Body"/>
        <w:rPr>
          <w:lang w:val="en-US"/>
        </w:rPr>
      </w:pPr>
      <w:r w:rsidRPr="008910EE">
        <w:t>Self-determination will require us to build ourselves as First Peoples into a strong positional power, be representational and ensure that we pursue the self-determination rights of our peoples. Why do we do this</w:t>
      </w:r>
      <w:r w:rsidR="710AB01D" w:rsidRPr="008910EE">
        <w:t>?</w:t>
      </w:r>
      <w:r w:rsidRPr="008910EE">
        <w:t xml:space="preserve"> </w:t>
      </w:r>
      <w:r w:rsidR="39F8A3FC" w:rsidRPr="008910EE">
        <w:t>B</w:t>
      </w:r>
      <w:r w:rsidRPr="008910EE">
        <w:t xml:space="preserve">ecause self-determination works and is the key lever to address Aboriginal vulnerability. </w:t>
      </w:r>
      <w:r w:rsidRPr="008910EE">
        <w:rPr>
          <w:lang w:val="en-US"/>
        </w:rPr>
        <w:t>Self-determination in our practice and service response is about helping our people make informed choices and decisions that affect their own li</w:t>
      </w:r>
      <w:r w:rsidR="68F95189" w:rsidRPr="008910EE">
        <w:rPr>
          <w:lang w:val="en-US"/>
        </w:rPr>
        <w:t>v</w:t>
      </w:r>
      <w:r w:rsidRPr="008910EE">
        <w:rPr>
          <w:lang w:val="en-US"/>
        </w:rPr>
        <w:t>e</w:t>
      </w:r>
      <w:r w:rsidR="76AB7E2E" w:rsidRPr="008910EE">
        <w:rPr>
          <w:lang w:val="en-US"/>
        </w:rPr>
        <w:t>s</w:t>
      </w:r>
      <w:r w:rsidRPr="008910EE">
        <w:rPr>
          <w:lang w:val="en-US"/>
        </w:rPr>
        <w:t xml:space="preserve">. </w:t>
      </w:r>
    </w:p>
    <w:p w14:paraId="4E16D3EB" w14:textId="2B00227A" w:rsidR="00AF7EF9" w:rsidRPr="008910EE" w:rsidRDefault="00AF7EF9" w:rsidP="00F47AD3">
      <w:pPr>
        <w:pStyle w:val="Body"/>
        <w:rPr>
          <w:rFonts w:cs="Arial"/>
        </w:rPr>
      </w:pPr>
      <w:r w:rsidRPr="008910EE">
        <w:t xml:space="preserve">Our work with the </w:t>
      </w:r>
      <w:r w:rsidR="003E46A6" w:rsidRPr="008910EE">
        <w:t>department</w:t>
      </w:r>
      <w:r w:rsidRPr="008910EE">
        <w:t xml:space="preserve"> commits us to three key principles: Aboriginal-led collective action</w:t>
      </w:r>
      <w:r w:rsidR="00A60911" w:rsidRPr="008910EE">
        <w:t>,</w:t>
      </w:r>
      <w:r w:rsidRPr="008910EE">
        <w:t xml:space="preserve"> Aboriginal </w:t>
      </w:r>
      <w:r w:rsidR="00FB3A75" w:rsidRPr="008910EE">
        <w:t>self-determination</w:t>
      </w:r>
      <w:r w:rsidRPr="008910EE">
        <w:t xml:space="preserve"> and </w:t>
      </w:r>
      <w:r w:rsidR="7C802B24" w:rsidRPr="008910EE">
        <w:t>s</w:t>
      </w:r>
      <w:r w:rsidRPr="008910EE">
        <w:t>ystemic change.</w:t>
      </w:r>
      <w:r w:rsidR="003D0A9F" w:rsidRPr="008910EE">
        <w:t xml:space="preserve"> </w:t>
      </w:r>
    </w:p>
    <w:p w14:paraId="5CCCBDD5" w14:textId="758CBBC7" w:rsidR="00AF7EF9" w:rsidRPr="008910EE" w:rsidRDefault="00AF7EF9" w:rsidP="00F47AD3">
      <w:pPr>
        <w:pStyle w:val="Body"/>
        <w:rPr>
          <w:rFonts w:cs="Arial"/>
        </w:rPr>
      </w:pPr>
      <w:r w:rsidRPr="008910EE">
        <w:t>Our collective efforts in building monitoring, evaluation and accountabilities into government agreements and strategies provides clarity of the work ahead. Most exciting is our work on system transformation</w:t>
      </w:r>
      <w:r w:rsidR="05F37501" w:rsidRPr="008910EE">
        <w:t>,</w:t>
      </w:r>
      <w:r w:rsidRPr="008910EE">
        <w:t xml:space="preserve"> which is premised on government taking on greater responsibility in addressing systemic bias and institutional racism</w:t>
      </w:r>
      <w:r w:rsidR="718EE23F" w:rsidRPr="008910EE">
        <w:t>,</w:t>
      </w:r>
      <w:r w:rsidRPr="008910EE">
        <w:t xml:space="preserve"> and in giving greater control to Aboriginal people across </w:t>
      </w:r>
      <w:r w:rsidR="00DA4FE2" w:rsidRPr="008910EE">
        <w:t xml:space="preserve">the </w:t>
      </w:r>
      <w:r w:rsidR="003E46A6" w:rsidRPr="008910EE">
        <w:t>department’s</w:t>
      </w:r>
      <w:r w:rsidRPr="008910EE">
        <w:t xml:space="preserve"> operations. </w:t>
      </w:r>
      <w:r w:rsidRPr="008910EE">
        <w:rPr>
          <w:rFonts w:cs="Arial"/>
        </w:rPr>
        <w:t>Further</w:t>
      </w:r>
      <w:r w:rsidR="3A5AC63E" w:rsidRPr="008910EE">
        <w:rPr>
          <w:rFonts w:cs="Arial"/>
        </w:rPr>
        <w:t>,</w:t>
      </w:r>
      <w:r w:rsidRPr="008910EE">
        <w:rPr>
          <w:rFonts w:cs="Arial"/>
        </w:rPr>
        <w:t xml:space="preserve"> it commits Aboriginal voice to be in key decision-making roles and commits government to transfer proportional funding and resources across all </w:t>
      </w:r>
      <w:r w:rsidR="00DA4FE2" w:rsidRPr="008910EE">
        <w:t xml:space="preserve">the </w:t>
      </w:r>
      <w:r w:rsidR="003E46A6" w:rsidRPr="008910EE">
        <w:t>department’s</w:t>
      </w:r>
      <w:r w:rsidRPr="008910EE">
        <w:rPr>
          <w:rFonts w:cs="Arial"/>
        </w:rPr>
        <w:t xml:space="preserve"> portfolios to enable greater self-determination.</w:t>
      </w:r>
    </w:p>
    <w:p w14:paraId="48BB0D14" w14:textId="4A4EB86C" w:rsidR="00AF7EF9" w:rsidRPr="008910EE" w:rsidRDefault="00AF7EF9" w:rsidP="00F47AD3">
      <w:pPr>
        <w:pStyle w:val="Body"/>
        <w:rPr>
          <w:rFonts w:cs="Arial"/>
        </w:rPr>
      </w:pPr>
      <w:r w:rsidRPr="008910EE">
        <w:rPr>
          <w:rFonts w:cs="Arial"/>
        </w:rPr>
        <w:t>We cannot look back on this period of time, read of our aspirations and commitments and then not ask ourselves</w:t>
      </w:r>
      <w:r w:rsidR="00A60911" w:rsidRPr="008910EE">
        <w:rPr>
          <w:rFonts w:cs="Arial"/>
        </w:rPr>
        <w:t>:</w:t>
      </w:r>
      <w:r w:rsidRPr="008910EE">
        <w:rPr>
          <w:rFonts w:cs="Arial"/>
        </w:rPr>
        <w:t xml:space="preserve"> </w:t>
      </w:r>
      <w:r w:rsidR="00A60911" w:rsidRPr="008910EE">
        <w:rPr>
          <w:rFonts w:cs="Arial"/>
        </w:rPr>
        <w:t>D</w:t>
      </w:r>
      <w:r w:rsidRPr="008910EE">
        <w:rPr>
          <w:rFonts w:cs="Arial"/>
        </w:rPr>
        <w:t>id I do my part in furthering self-determination</w:t>
      </w:r>
      <w:r w:rsidR="00A60911" w:rsidRPr="008910EE">
        <w:rPr>
          <w:rFonts w:cs="Arial"/>
        </w:rPr>
        <w:t>?</w:t>
      </w:r>
      <w:r w:rsidRPr="008910EE">
        <w:rPr>
          <w:rFonts w:cs="Arial"/>
        </w:rPr>
        <w:t xml:space="preserve"> </w:t>
      </w:r>
    </w:p>
    <w:p w14:paraId="359B6E98" w14:textId="429705C1" w:rsidR="00AF7EF9" w:rsidRPr="008910EE" w:rsidRDefault="00AF7EF9" w:rsidP="00F47AD3">
      <w:pPr>
        <w:pStyle w:val="Body"/>
      </w:pPr>
      <w:r w:rsidRPr="008910EE">
        <w:t>The journey is a shared one that I urge us all to work together to realise.</w:t>
      </w:r>
    </w:p>
    <w:p w14:paraId="79AC584A" w14:textId="374D61CC" w:rsidR="007E2414" w:rsidRPr="008910EE" w:rsidRDefault="00B57751" w:rsidP="00F47AD3">
      <w:pPr>
        <w:pStyle w:val="Body"/>
        <w:rPr>
          <w:b/>
          <w:bCs/>
        </w:rPr>
      </w:pPr>
      <w:r w:rsidRPr="008910EE">
        <w:rPr>
          <w:b/>
          <w:bCs/>
        </w:rPr>
        <w:t xml:space="preserve">Adjunct Professor </w:t>
      </w:r>
      <w:r w:rsidR="00145CC1" w:rsidRPr="008910EE">
        <w:rPr>
          <w:b/>
          <w:bCs/>
        </w:rPr>
        <w:t>Muriel Bamblett</w:t>
      </w:r>
      <w:r w:rsidRPr="008910EE">
        <w:rPr>
          <w:b/>
          <w:bCs/>
        </w:rPr>
        <w:t xml:space="preserve"> Hon DLitt SW AO</w:t>
      </w:r>
    </w:p>
    <w:p w14:paraId="36808C9D" w14:textId="69DBD661" w:rsidR="005C7BB3" w:rsidRPr="008910EE" w:rsidRDefault="005C7BB3" w:rsidP="00F47AD3">
      <w:pPr>
        <w:pStyle w:val="Body"/>
      </w:pPr>
      <w:r w:rsidRPr="008910EE">
        <w:rPr>
          <w:b/>
          <w:bCs/>
        </w:rPr>
        <w:t xml:space="preserve">Co-Chair </w:t>
      </w:r>
      <w:r w:rsidRPr="008910EE">
        <w:rPr>
          <w:rStyle w:val="normaltextrun"/>
          <w:b/>
          <w:bCs/>
          <w:szCs w:val="21"/>
        </w:rPr>
        <w:t xml:space="preserve">of </w:t>
      </w:r>
      <w:r w:rsidR="003D7135" w:rsidRPr="008910EE">
        <w:rPr>
          <w:rStyle w:val="normaltextrun"/>
          <w:b/>
          <w:bCs/>
          <w:szCs w:val="21"/>
        </w:rPr>
        <w:t xml:space="preserve">the </w:t>
      </w:r>
      <w:r w:rsidR="003D7135" w:rsidRPr="008910EE">
        <w:rPr>
          <w:rFonts w:cstheme="minorHAnsi"/>
          <w:b/>
          <w:bCs/>
          <w:lang w:val="en"/>
        </w:rPr>
        <w:t>Korin Korin Balit</w:t>
      </w:r>
      <w:r w:rsidR="00FF1C7E" w:rsidRPr="008910EE">
        <w:rPr>
          <w:rFonts w:cstheme="minorHAnsi"/>
          <w:b/>
          <w:bCs/>
          <w:lang w:val="en"/>
        </w:rPr>
        <w:t>-</w:t>
      </w:r>
      <w:r w:rsidR="003D7135" w:rsidRPr="008910EE">
        <w:rPr>
          <w:rFonts w:cstheme="minorHAnsi"/>
          <w:b/>
          <w:bCs/>
          <w:lang w:val="en"/>
        </w:rPr>
        <w:t>Djak Aboriginal Governance Committee</w:t>
      </w:r>
      <w:r w:rsidR="003D7135" w:rsidRPr="008910EE">
        <w:rPr>
          <w:rStyle w:val="normaltextrun"/>
          <w:b/>
          <w:bCs/>
          <w:szCs w:val="21"/>
        </w:rPr>
        <w:t xml:space="preserve"> </w:t>
      </w:r>
      <w:r w:rsidRPr="008910EE">
        <w:rPr>
          <w:rStyle w:val="normaltextrun"/>
          <w:b/>
          <w:bCs/>
          <w:szCs w:val="21"/>
        </w:rPr>
        <w:t>and CEO VACCA</w:t>
      </w:r>
    </w:p>
    <w:p w14:paraId="55C75480" w14:textId="77777777" w:rsidR="00F47AD3" w:rsidRPr="008910EE" w:rsidRDefault="00F47AD3" w:rsidP="00BA475E">
      <w:pPr>
        <w:pStyle w:val="Body"/>
        <w:rPr>
          <w:rFonts w:eastAsia="MS Gothic" w:cs="Arial"/>
          <w:color w:val="201547"/>
          <w:kern w:val="32"/>
          <w:sz w:val="44"/>
          <w:szCs w:val="44"/>
        </w:rPr>
      </w:pPr>
      <w:r w:rsidRPr="008910EE">
        <w:br w:type="page"/>
      </w:r>
    </w:p>
    <w:p w14:paraId="44DCE3A4" w14:textId="2EAD9F5C" w:rsidR="001466A7" w:rsidRPr="008910EE" w:rsidRDefault="000A5E30" w:rsidP="00894FF6">
      <w:pPr>
        <w:pStyle w:val="Heading1"/>
      </w:pPr>
      <w:bookmarkStart w:id="9" w:name="_Toc80708338"/>
      <w:r w:rsidRPr="008910EE">
        <w:t>Our v</w:t>
      </w:r>
      <w:r w:rsidR="001466A7" w:rsidRPr="008910EE">
        <w:t>ision</w:t>
      </w:r>
      <w:bookmarkEnd w:id="9"/>
    </w:p>
    <w:p w14:paraId="0595A951" w14:textId="4EA4B891" w:rsidR="001466A7" w:rsidRPr="008910EE" w:rsidRDefault="006C3243" w:rsidP="00526693">
      <w:pPr>
        <w:pStyle w:val="Body"/>
      </w:pPr>
      <w:r w:rsidRPr="008910EE">
        <w:t>Empowering communities to build a fairer and safer Victoria</w:t>
      </w:r>
      <w:r w:rsidR="00526693" w:rsidRPr="008910EE">
        <w:t>.</w:t>
      </w:r>
    </w:p>
    <w:p w14:paraId="713C5DF1" w14:textId="3707B513" w:rsidR="00F47AD3" w:rsidRPr="008910EE" w:rsidRDefault="00F47AD3" w:rsidP="00526693">
      <w:pPr>
        <w:pStyle w:val="Heading1"/>
      </w:pPr>
      <w:bookmarkStart w:id="10" w:name="_Toc80708339"/>
      <w:r w:rsidRPr="008910EE">
        <w:t>Our values</w:t>
      </w:r>
      <w:bookmarkEnd w:id="10"/>
    </w:p>
    <w:p w14:paraId="19699BB2" w14:textId="77777777" w:rsidR="00F47AD3" w:rsidRPr="008910EE" w:rsidRDefault="00F47AD3" w:rsidP="00526693">
      <w:pPr>
        <w:pStyle w:val="Heading2"/>
      </w:pPr>
      <w:bookmarkStart w:id="11" w:name="_Toc80708340"/>
      <w:r w:rsidRPr="008910EE">
        <w:t>We are responsive</w:t>
      </w:r>
      <w:bookmarkEnd w:id="11"/>
    </w:p>
    <w:p w14:paraId="63470F3D" w14:textId="77777777" w:rsidR="00F47AD3" w:rsidRPr="008910EE" w:rsidRDefault="00F47AD3" w:rsidP="00526693">
      <w:pPr>
        <w:pStyle w:val="Bullet1"/>
      </w:pPr>
      <w:r w:rsidRPr="008910EE">
        <w:t>We provide frank, impartial and timely advice to the Victorian Government.</w:t>
      </w:r>
    </w:p>
    <w:p w14:paraId="38206FBA" w14:textId="77777777" w:rsidR="00F47AD3" w:rsidRPr="008910EE" w:rsidRDefault="00F47AD3" w:rsidP="00526693">
      <w:pPr>
        <w:pStyle w:val="Bullet1"/>
      </w:pPr>
      <w:r w:rsidRPr="008910EE">
        <w:t>We provide high-quality services to the Victorian community.</w:t>
      </w:r>
    </w:p>
    <w:p w14:paraId="4F6B00DF" w14:textId="3E30E8B9" w:rsidR="00F47AD3" w:rsidRPr="008910EE" w:rsidRDefault="00F47AD3" w:rsidP="00526693">
      <w:pPr>
        <w:pStyle w:val="Bullet1"/>
      </w:pPr>
      <w:r w:rsidRPr="008910EE">
        <w:t>We identify and promote best practice.</w:t>
      </w:r>
    </w:p>
    <w:p w14:paraId="755CC517" w14:textId="16D935CB" w:rsidR="00526693" w:rsidRPr="008910EE" w:rsidRDefault="00526693" w:rsidP="00247498">
      <w:pPr>
        <w:pStyle w:val="Heading3"/>
      </w:pPr>
      <w:r w:rsidRPr="008910EE">
        <w:t>Behaviours</w:t>
      </w:r>
    </w:p>
    <w:p w14:paraId="4E12D0CF" w14:textId="77777777" w:rsidR="00526693" w:rsidRPr="008910EE" w:rsidRDefault="00526693" w:rsidP="00526693">
      <w:pPr>
        <w:pStyle w:val="Bullet1"/>
      </w:pPr>
      <w:r w:rsidRPr="008910EE">
        <w:t>We listen to people and communities and respond to their needs.</w:t>
      </w:r>
    </w:p>
    <w:p w14:paraId="42E18465" w14:textId="77777777" w:rsidR="00526693" w:rsidRPr="008910EE" w:rsidRDefault="00526693" w:rsidP="00526693">
      <w:pPr>
        <w:pStyle w:val="Bullet1"/>
      </w:pPr>
      <w:r w:rsidRPr="008910EE">
        <w:t>We use person-centred approaches to service and program delivery. </w:t>
      </w:r>
    </w:p>
    <w:p w14:paraId="6CC32D07" w14:textId="60A0DF72" w:rsidR="00F47AD3" w:rsidRPr="008910EE" w:rsidRDefault="00526693" w:rsidP="00526693">
      <w:pPr>
        <w:pStyle w:val="Bullet1"/>
      </w:pPr>
      <w:r w:rsidRPr="008910EE">
        <w:t>We promote a culture of learning and continuous improvement. </w:t>
      </w:r>
    </w:p>
    <w:p w14:paraId="16A3666C" w14:textId="77777777" w:rsidR="00F47AD3" w:rsidRPr="008910EE" w:rsidRDefault="00F47AD3" w:rsidP="00526693">
      <w:pPr>
        <w:pStyle w:val="Heading2"/>
      </w:pPr>
      <w:bookmarkStart w:id="12" w:name="_Toc80708341"/>
      <w:r w:rsidRPr="008910EE">
        <w:t>We have integrity</w:t>
      </w:r>
      <w:bookmarkEnd w:id="12"/>
    </w:p>
    <w:p w14:paraId="43382BDB" w14:textId="77777777" w:rsidR="00F47AD3" w:rsidRPr="008910EE" w:rsidRDefault="00F47AD3" w:rsidP="00526693">
      <w:pPr>
        <w:pStyle w:val="Bullet1"/>
      </w:pPr>
      <w:r w:rsidRPr="008910EE">
        <w:t>We are honest, open and transparent in our dealings.</w:t>
      </w:r>
    </w:p>
    <w:p w14:paraId="5CF74227" w14:textId="77777777" w:rsidR="00F47AD3" w:rsidRPr="008910EE" w:rsidRDefault="00F47AD3" w:rsidP="00526693">
      <w:pPr>
        <w:pStyle w:val="Bullet1"/>
      </w:pPr>
      <w:r w:rsidRPr="008910EE">
        <w:t>We use powers responsibly.</w:t>
      </w:r>
    </w:p>
    <w:p w14:paraId="14B1CAF5" w14:textId="77777777" w:rsidR="00F47AD3" w:rsidRPr="008910EE" w:rsidRDefault="00F47AD3" w:rsidP="00526693">
      <w:pPr>
        <w:pStyle w:val="Bullet1"/>
      </w:pPr>
      <w:r w:rsidRPr="008910EE">
        <w:t>We report improper conduct.</w:t>
      </w:r>
    </w:p>
    <w:p w14:paraId="03C3C4FE" w14:textId="77777777" w:rsidR="00F47AD3" w:rsidRPr="008910EE" w:rsidRDefault="00F47AD3" w:rsidP="00526693">
      <w:pPr>
        <w:pStyle w:val="Bullet1"/>
      </w:pPr>
      <w:r w:rsidRPr="008910EE">
        <w:t>We avoid any real or apparent conflicts of interest.</w:t>
      </w:r>
    </w:p>
    <w:p w14:paraId="3DBA7DA2" w14:textId="2C7441FA" w:rsidR="00F47AD3" w:rsidRPr="008910EE" w:rsidRDefault="00F47AD3" w:rsidP="00526693">
      <w:pPr>
        <w:pStyle w:val="Bullet1"/>
      </w:pPr>
      <w:r w:rsidRPr="008910EE">
        <w:t>We strive to earn and sustain public trust.</w:t>
      </w:r>
    </w:p>
    <w:p w14:paraId="2AF0C7D7" w14:textId="77777777" w:rsidR="00526693" w:rsidRPr="008910EE" w:rsidRDefault="00526693" w:rsidP="00247498">
      <w:pPr>
        <w:pStyle w:val="Heading3"/>
      </w:pPr>
      <w:r w:rsidRPr="008910EE">
        <w:t>Behaviours</w:t>
      </w:r>
    </w:p>
    <w:p w14:paraId="2C8E2A11" w14:textId="77777777" w:rsidR="00526693" w:rsidRPr="008910EE" w:rsidRDefault="00526693" w:rsidP="00526693">
      <w:pPr>
        <w:pStyle w:val="Bullet1"/>
      </w:pPr>
      <w:r w:rsidRPr="008910EE">
        <w:t>We are trustworthy, and we do what we say we will do.</w:t>
      </w:r>
    </w:p>
    <w:p w14:paraId="64F0A637" w14:textId="77777777" w:rsidR="00526693" w:rsidRPr="008910EE" w:rsidRDefault="00526693" w:rsidP="00526693">
      <w:pPr>
        <w:pStyle w:val="Bullet1"/>
      </w:pPr>
      <w:r w:rsidRPr="008910EE">
        <w:t>We stay true to our values when it is easy and when it is difficult.</w:t>
      </w:r>
    </w:p>
    <w:p w14:paraId="0313D576" w14:textId="488FC5D1" w:rsidR="00526693" w:rsidRPr="008910EE" w:rsidRDefault="00526693" w:rsidP="00F47AD3">
      <w:pPr>
        <w:pStyle w:val="Bullet1"/>
      </w:pPr>
      <w:r w:rsidRPr="008910EE">
        <w:t>We value a broad range of evidence and knowledge systems.</w:t>
      </w:r>
    </w:p>
    <w:p w14:paraId="2DB99DD3" w14:textId="77777777" w:rsidR="00F47AD3" w:rsidRPr="008910EE" w:rsidRDefault="00F47AD3" w:rsidP="00526693">
      <w:pPr>
        <w:pStyle w:val="Heading2"/>
      </w:pPr>
      <w:bookmarkStart w:id="13" w:name="_Toc80708342"/>
      <w:r w:rsidRPr="008910EE">
        <w:t>We are impartial</w:t>
      </w:r>
      <w:bookmarkEnd w:id="13"/>
    </w:p>
    <w:p w14:paraId="26D0AF8B" w14:textId="77777777" w:rsidR="00F47AD3" w:rsidRPr="008910EE" w:rsidRDefault="00F47AD3" w:rsidP="00526693">
      <w:pPr>
        <w:pStyle w:val="Bullet1"/>
      </w:pPr>
      <w:r w:rsidRPr="008910EE">
        <w:t>We make decisions and provide advice on merit and without bias, caprice, favouritism or self-interest.</w:t>
      </w:r>
    </w:p>
    <w:p w14:paraId="2EEB240A" w14:textId="77777777" w:rsidR="00F47AD3" w:rsidRPr="008910EE" w:rsidRDefault="00F47AD3" w:rsidP="00526693">
      <w:pPr>
        <w:pStyle w:val="Bullet1"/>
      </w:pPr>
      <w:r w:rsidRPr="008910EE">
        <w:t>We act fairly by objectively considering all relevant facts and fair criteria.</w:t>
      </w:r>
    </w:p>
    <w:p w14:paraId="0DD2647C" w14:textId="1C3ECD6A" w:rsidR="00F47AD3" w:rsidRPr="008910EE" w:rsidRDefault="00F47AD3" w:rsidP="00526693">
      <w:pPr>
        <w:pStyle w:val="Bullet1"/>
      </w:pPr>
      <w:r w:rsidRPr="008910EE">
        <w:t>We implement Victorian Government policies and programs equitably.</w:t>
      </w:r>
    </w:p>
    <w:p w14:paraId="309FA81E" w14:textId="77777777" w:rsidR="00526693" w:rsidRPr="008910EE" w:rsidRDefault="00526693" w:rsidP="00247498">
      <w:pPr>
        <w:pStyle w:val="Heading3"/>
      </w:pPr>
      <w:r w:rsidRPr="008910EE">
        <w:t>Behaviours</w:t>
      </w:r>
    </w:p>
    <w:p w14:paraId="653C7D7F" w14:textId="77777777" w:rsidR="00526693" w:rsidRPr="008910EE" w:rsidRDefault="00526693" w:rsidP="00526693">
      <w:pPr>
        <w:pStyle w:val="Bullet1"/>
      </w:pPr>
      <w:r w:rsidRPr="008910EE">
        <w:t>We consider data and evidence and community feedback in our advice.</w:t>
      </w:r>
    </w:p>
    <w:p w14:paraId="5CA75D68" w14:textId="77777777" w:rsidR="00526693" w:rsidRPr="008910EE" w:rsidRDefault="00526693" w:rsidP="00526693">
      <w:pPr>
        <w:pStyle w:val="Bullet1"/>
      </w:pPr>
      <w:r w:rsidRPr="008910EE">
        <w:t>We check for unconscious bias and provide safe spaces for different perspectives.</w:t>
      </w:r>
    </w:p>
    <w:p w14:paraId="305B10C8" w14:textId="19F9A67E" w:rsidR="00526693" w:rsidRPr="008910EE" w:rsidRDefault="00526693" w:rsidP="00526693">
      <w:pPr>
        <w:pStyle w:val="Bullet1"/>
      </w:pPr>
      <w:r w:rsidRPr="008910EE">
        <w:t>We consider all options, and once a decision is made we work as one.</w:t>
      </w:r>
    </w:p>
    <w:p w14:paraId="750DB6E0" w14:textId="77777777" w:rsidR="00F47AD3" w:rsidRPr="008910EE" w:rsidRDefault="00F47AD3" w:rsidP="00526693">
      <w:pPr>
        <w:pStyle w:val="Heading2"/>
      </w:pPr>
      <w:bookmarkStart w:id="14" w:name="_Toc80708343"/>
      <w:r w:rsidRPr="008910EE">
        <w:t>We show respect</w:t>
      </w:r>
      <w:bookmarkEnd w:id="14"/>
    </w:p>
    <w:p w14:paraId="36A707A6" w14:textId="77777777" w:rsidR="00F47AD3" w:rsidRPr="008910EE" w:rsidRDefault="00F47AD3" w:rsidP="00526693">
      <w:pPr>
        <w:pStyle w:val="Bullet1"/>
      </w:pPr>
      <w:r w:rsidRPr="008910EE">
        <w:t>We show respect for colleagues, other public officials and members of the Victorian community.</w:t>
      </w:r>
    </w:p>
    <w:p w14:paraId="40DD4AC3" w14:textId="77777777" w:rsidR="00F47AD3" w:rsidRPr="008910EE" w:rsidRDefault="00F47AD3" w:rsidP="00526693">
      <w:pPr>
        <w:pStyle w:val="Bullet1"/>
      </w:pPr>
      <w:r w:rsidRPr="008910EE">
        <w:t xml:space="preserve">We treat our colleagues, other public officials and members of the Victorian community fairly and objectively. </w:t>
      </w:r>
    </w:p>
    <w:p w14:paraId="048A046B" w14:textId="77777777" w:rsidR="00F47AD3" w:rsidRPr="008910EE" w:rsidRDefault="00F47AD3" w:rsidP="00526693">
      <w:pPr>
        <w:pStyle w:val="Bullet1"/>
      </w:pPr>
      <w:r w:rsidRPr="008910EE">
        <w:t>We ensure freedom from discrimination, harassment and bullying.</w:t>
      </w:r>
    </w:p>
    <w:p w14:paraId="3DD82DBA" w14:textId="6484EB63" w:rsidR="00F47AD3" w:rsidRPr="008910EE" w:rsidRDefault="00F47AD3" w:rsidP="00526693">
      <w:pPr>
        <w:pStyle w:val="Bullet1"/>
        <w:rPr>
          <w:sz w:val="21"/>
        </w:rPr>
      </w:pPr>
      <w:r w:rsidRPr="008910EE">
        <w:t>We use colleagues, other public officials and members of the Victorian community’s views to improve outcomes on an ongoing basis.</w:t>
      </w:r>
    </w:p>
    <w:p w14:paraId="75882A0E" w14:textId="77777777" w:rsidR="00526693" w:rsidRPr="008910EE" w:rsidRDefault="00526693" w:rsidP="00247498">
      <w:pPr>
        <w:pStyle w:val="Heading3"/>
      </w:pPr>
      <w:r w:rsidRPr="008910EE">
        <w:t>Behaviours</w:t>
      </w:r>
    </w:p>
    <w:p w14:paraId="68DDED95" w14:textId="77777777" w:rsidR="00526693" w:rsidRPr="008910EE" w:rsidRDefault="00526693" w:rsidP="00526693">
      <w:pPr>
        <w:pStyle w:val="Bullet1"/>
      </w:pPr>
      <w:r w:rsidRPr="008910EE">
        <w:t>We are connected to community and we listen to their perspectives.</w:t>
      </w:r>
    </w:p>
    <w:p w14:paraId="24F04ACB" w14:textId="77777777" w:rsidR="00526693" w:rsidRPr="008910EE" w:rsidRDefault="00526693" w:rsidP="00526693">
      <w:pPr>
        <w:pStyle w:val="Bullet1"/>
      </w:pPr>
      <w:r w:rsidRPr="008910EE">
        <w:t>We create partnerships with local people and organisations.</w:t>
      </w:r>
    </w:p>
    <w:p w14:paraId="3172032C" w14:textId="77777777" w:rsidR="00526693" w:rsidRPr="008910EE" w:rsidRDefault="00526693" w:rsidP="00526693">
      <w:pPr>
        <w:pStyle w:val="Bullet1"/>
      </w:pPr>
      <w:r w:rsidRPr="008910EE">
        <w:t>We empower communities by building capacity and resilience.</w:t>
      </w:r>
    </w:p>
    <w:p w14:paraId="7DF07603" w14:textId="77777777" w:rsidR="00526693" w:rsidRPr="008910EE" w:rsidRDefault="00526693" w:rsidP="00526693">
      <w:pPr>
        <w:pStyle w:val="Bullet1"/>
      </w:pPr>
      <w:r w:rsidRPr="008910EE">
        <w:t>We use humanising and strengths-based language.</w:t>
      </w:r>
    </w:p>
    <w:p w14:paraId="0CEC58CA" w14:textId="77777777" w:rsidR="00526693" w:rsidRPr="008910EE" w:rsidRDefault="00526693" w:rsidP="00526693">
      <w:pPr>
        <w:pStyle w:val="Bullet1"/>
      </w:pPr>
      <w:r w:rsidRPr="008910EE">
        <w:t>We respect a diversity of perspectives.</w:t>
      </w:r>
    </w:p>
    <w:p w14:paraId="5A471F49" w14:textId="606160E8" w:rsidR="00526693" w:rsidRPr="008910EE" w:rsidRDefault="00526693" w:rsidP="00526693">
      <w:pPr>
        <w:pStyle w:val="Bullet1"/>
      </w:pPr>
      <w:r w:rsidRPr="008910EE">
        <w:t>We create safe spaces to seek out and hear the voices of people with lived experience.</w:t>
      </w:r>
    </w:p>
    <w:p w14:paraId="5E35059C" w14:textId="77777777" w:rsidR="00F47AD3" w:rsidRPr="008910EE" w:rsidRDefault="00F47AD3" w:rsidP="00526693">
      <w:pPr>
        <w:pStyle w:val="Heading2"/>
      </w:pPr>
      <w:bookmarkStart w:id="15" w:name="_Toc80708344"/>
      <w:r w:rsidRPr="008910EE">
        <w:t>We are accountable</w:t>
      </w:r>
      <w:bookmarkEnd w:id="15"/>
    </w:p>
    <w:p w14:paraId="3000A936" w14:textId="77777777" w:rsidR="00F47AD3" w:rsidRPr="008910EE" w:rsidRDefault="00F47AD3" w:rsidP="00526693">
      <w:pPr>
        <w:pStyle w:val="Bullet1"/>
      </w:pPr>
      <w:r w:rsidRPr="008910EE">
        <w:t>We work to clear objectives in a transparent manner.</w:t>
      </w:r>
    </w:p>
    <w:p w14:paraId="24684214" w14:textId="77777777" w:rsidR="00F47AD3" w:rsidRPr="008910EE" w:rsidRDefault="00F47AD3" w:rsidP="00526693">
      <w:pPr>
        <w:pStyle w:val="Bullet1"/>
      </w:pPr>
      <w:r w:rsidRPr="008910EE">
        <w:t>We accept responsibility for our decisions and actions.</w:t>
      </w:r>
    </w:p>
    <w:p w14:paraId="4EBBBB5A" w14:textId="77777777" w:rsidR="00F47AD3" w:rsidRPr="008910EE" w:rsidRDefault="00F47AD3" w:rsidP="00526693">
      <w:pPr>
        <w:pStyle w:val="Bullet1"/>
      </w:pPr>
      <w:r w:rsidRPr="008910EE">
        <w:t>We seek to achieve the best use of resources.</w:t>
      </w:r>
    </w:p>
    <w:p w14:paraId="61BD4C9F" w14:textId="4E80624E" w:rsidR="00F47AD3" w:rsidRPr="008910EE" w:rsidRDefault="00F47AD3" w:rsidP="00526693">
      <w:pPr>
        <w:pStyle w:val="Bullet1"/>
      </w:pPr>
      <w:r w:rsidRPr="008910EE">
        <w:t>We submit ourselves to appropriate scrutiny.</w:t>
      </w:r>
    </w:p>
    <w:p w14:paraId="242FDB06" w14:textId="77777777" w:rsidR="00526693" w:rsidRPr="008910EE" w:rsidRDefault="00526693" w:rsidP="00247498">
      <w:pPr>
        <w:pStyle w:val="Heading3"/>
      </w:pPr>
      <w:r w:rsidRPr="008910EE">
        <w:t>Behaviours</w:t>
      </w:r>
    </w:p>
    <w:p w14:paraId="0358B2B7" w14:textId="77777777" w:rsidR="00526693" w:rsidRPr="008910EE" w:rsidRDefault="00526693" w:rsidP="00526693">
      <w:pPr>
        <w:pStyle w:val="Bullet1"/>
      </w:pPr>
      <w:r w:rsidRPr="008910EE">
        <w:t>We aim to make a tangible difference.</w:t>
      </w:r>
    </w:p>
    <w:p w14:paraId="7CCCD797" w14:textId="77777777" w:rsidR="00526693" w:rsidRPr="008910EE" w:rsidRDefault="00526693" w:rsidP="00526693">
      <w:pPr>
        <w:pStyle w:val="Bullet1"/>
      </w:pPr>
      <w:r w:rsidRPr="008910EE">
        <w:t>We aim to improve equality of opportunity and outcomes for Victorians.</w:t>
      </w:r>
    </w:p>
    <w:p w14:paraId="5977B623" w14:textId="77777777" w:rsidR="00526693" w:rsidRPr="008910EE" w:rsidRDefault="00526693" w:rsidP="00526693">
      <w:pPr>
        <w:pStyle w:val="Bullet1"/>
      </w:pPr>
      <w:r w:rsidRPr="008910EE">
        <w:t>We make best use of government resources.</w:t>
      </w:r>
    </w:p>
    <w:p w14:paraId="5AF24C8B" w14:textId="70736B25" w:rsidR="00526693" w:rsidRPr="008910EE" w:rsidRDefault="00526693" w:rsidP="00526693">
      <w:pPr>
        <w:pStyle w:val="Bullet1"/>
      </w:pPr>
      <w:r w:rsidRPr="008910EE">
        <w:t>We aim to provide support at the right time and in the right place for people who need it.</w:t>
      </w:r>
    </w:p>
    <w:p w14:paraId="4005A4EB" w14:textId="77777777" w:rsidR="00F47AD3" w:rsidRPr="008910EE" w:rsidRDefault="00F47AD3" w:rsidP="00526693">
      <w:pPr>
        <w:pStyle w:val="Heading2"/>
      </w:pPr>
      <w:bookmarkStart w:id="16" w:name="_Toc80708345"/>
      <w:r w:rsidRPr="008910EE">
        <w:t>We lead</w:t>
      </w:r>
      <w:bookmarkEnd w:id="16"/>
    </w:p>
    <w:p w14:paraId="6AA3C27E" w14:textId="1C6F68C2" w:rsidR="00F47AD3" w:rsidRPr="008910EE" w:rsidRDefault="00F47AD3" w:rsidP="00526693">
      <w:pPr>
        <w:pStyle w:val="Bullet1"/>
      </w:pPr>
      <w:r w:rsidRPr="008910EE">
        <w:t>We actively implement, promote and support these values.</w:t>
      </w:r>
    </w:p>
    <w:p w14:paraId="5AED5801" w14:textId="77777777" w:rsidR="00526693" w:rsidRPr="008910EE" w:rsidRDefault="00526693" w:rsidP="00247498">
      <w:pPr>
        <w:pStyle w:val="Heading3"/>
      </w:pPr>
      <w:r w:rsidRPr="008910EE">
        <w:t>Behaviours</w:t>
      </w:r>
    </w:p>
    <w:p w14:paraId="574E32E5" w14:textId="77777777" w:rsidR="00526693" w:rsidRPr="008910EE" w:rsidRDefault="00526693" w:rsidP="00526693">
      <w:pPr>
        <w:pStyle w:val="Bullet1"/>
      </w:pPr>
      <w:r w:rsidRPr="008910EE">
        <w:t>We celebrate success and learn from our experiences.</w:t>
      </w:r>
    </w:p>
    <w:p w14:paraId="6E0354E1" w14:textId="77777777" w:rsidR="00526693" w:rsidRPr="008910EE" w:rsidRDefault="00526693" w:rsidP="00526693">
      <w:pPr>
        <w:pStyle w:val="Bullet1"/>
      </w:pPr>
      <w:r w:rsidRPr="008910EE">
        <w:t>We remove barriers to participation whenever we can.</w:t>
      </w:r>
    </w:p>
    <w:p w14:paraId="10DC25D7" w14:textId="77777777" w:rsidR="00526693" w:rsidRPr="008910EE" w:rsidRDefault="00526693" w:rsidP="00526693">
      <w:pPr>
        <w:pStyle w:val="Bullet1"/>
      </w:pPr>
      <w:r w:rsidRPr="008910EE">
        <w:t>We demonstrate our values in our interactions.</w:t>
      </w:r>
    </w:p>
    <w:p w14:paraId="46776630" w14:textId="33A089ED" w:rsidR="00F47AD3" w:rsidRPr="008910EE" w:rsidRDefault="00526693" w:rsidP="00526693">
      <w:pPr>
        <w:pStyle w:val="Bullet1"/>
      </w:pPr>
      <w:r w:rsidRPr="008910EE">
        <w:t>We have a supportive and collaborative culture.</w:t>
      </w:r>
    </w:p>
    <w:p w14:paraId="6D980784" w14:textId="77777777" w:rsidR="00F47AD3" w:rsidRPr="008910EE" w:rsidRDefault="00F47AD3" w:rsidP="00526693">
      <w:pPr>
        <w:pStyle w:val="Heading2"/>
      </w:pPr>
      <w:bookmarkStart w:id="17" w:name="_Toc80708346"/>
      <w:r w:rsidRPr="008910EE">
        <w:t>We respect human rights</w:t>
      </w:r>
      <w:bookmarkEnd w:id="17"/>
    </w:p>
    <w:p w14:paraId="54B2C89B" w14:textId="77777777" w:rsidR="00F47AD3" w:rsidRPr="008910EE" w:rsidRDefault="00F47AD3" w:rsidP="00526693">
      <w:pPr>
        <w:pStyle w:val="Bullet1"/>
      </w:pPr>
      <w:r w:rsidRPr="008910EE">
        <w:t>We respect and promote the human rights set out in the Victorian</w:t>
      </w:r>
      <w:r w:rsidRPr="008910EE">
        <w:rPr>
          <w:i/>
          <w:iCs/>
        </w:rPr>
        <w:t xml:space="preserve"> Charter of Human Rights and Responsibilities Act 2006.</w:t>
      </w:r>
    </w:p>
    <w:p w14:paraId="69C6D1E0" w14:textId="77777777" w:rsidR="00F47AD3" w:rsidRPr="008910EE" w:rsidRDefault="00F47AD3" w:rsidP="00526693">
      <w:pPr>
        <w:pStyle w:val="Bullet1"/>
      </w:pPr>
      <w:r w:rsidRPr="008910EE">
        <w:t>We make decisions and provide advice consistent with human rights.</w:t>
      </w:r>
    </w:p>
    <w:p w14:paraId="0B6E69FA" w14:textId="26F10898" w:rsidR="00F47AD3" w:rsidRPr="008910EE" w:rsidRDefault="00F47AD3" w:rsidP="00526693">
      <w:pPr>
        <w:pStyle w:val="Bullet1"/>
      </w:pPr>
      <w:r w:rsidRPr="008910EE">
        <w:t>We actively implement, promote and support human rights.</w:t>
      </w:r>
    </w:p>
    <w:p w14:paraId="3BFA398F" w14:textId="77777777" w:rsidR="00526693" w:rsidRPr="008910EE" w:rsidRDefault="00526693" w:rsidP="00247498">
      <w:pPr>
        <w:pStyle w:val="Heading3"/>
      </w:pPr>
      <w:r w:rsidRPr="008910EE">
        <w:t>Behaviours</w:t>
      </w:r>
    </w:p>
    <w:p w14:paraId="4391AA41" w14:textId="77777777" w:rsidR="00526693" w:rsidRPr="008910EE" w:rsidRDefault="00526693" w:rsidP="00526693">
      <w:pPr>
        <w:pStyle w:val="Bullet1"/>
      </w:pPr>
      <w:r w:rsidRPr="008910EE">
        <w:t>We are inclusive. </w:t>
      </w:r>
    </w:p>
    <w:p w14:paraId="463D4EBD" w14:textId="77777777" w:rsidR="00526693" w:rsidRPr="008910EE" w:rsidRDefault="00526693" w:rsidP="00526693">
      <w:pPr>
        <w:pStyle w:val="Bullet1"/>
      </w:pPr>
      <w:r w:rsidRPr="008910EE">
        <w:t>Aboriginal people and communities determine how services will be delivered to them.</w:t>
      </w:r>
    </w:p>
    <w:p w14:paraId="39027B4F" w14:textId="77777777" w:rsidR="00526693" w:rsidRPr="008910EE" w:rsidRDefault="00526693" w:rsidP="00526693">
      <w:pPr>
        <w:pStyle w:val="Bullet1"/>
      </w:pPr>
      <w:r w:rsidRPr="008910EE">
        <w:t>We work with Aboriginal communities, LGBTIQ+ communities, culturally and linguistically diverse (CALD) communities, young people, older people, women, veterans and people with disability to end discrimination.</w:t>
      </w:r>
    </w:p>
    <w:p w14:paraId="30E6881E" w14:textId="116E4326" w:rsidR="001466A7" w:rsidRPr="008910EE" w:rsidRDefault="00526693" w:rsidP="00526693">
      <w:pPr>
        <w:pStyle w:val="Bullet1"/>
      </w:pPr>
      <w:r w:rsidRPr="008910EE">
        <w:t>We promote gender equality and diversity in the workforce.</w:t>
      </w:r>
      <w:r w:rsidR="001466A7" w:rsidRPr="008910EE">
        <w:br w:type="page"/>
      </w:r>
    </w:p>
    <w:p w14:paraId="3B46259D" w14:textId="36C48E7C" w:rsidR="006F5261" w:rsidRPr="008910EE" w:rsidRDefault="006F5261" w:rsidP="00894FF6">
      <w:pPr>
        <w:pStyle w:val="Heading1"/>
      </w:pPr>
      <w:bookmarkStart w:id="18" w:name="_Toc80708347"/>
      <w:bookmarkEnd w:id="8"/>
      <w:r w:rsidRPr="008910EE">
        <w:t xml:space="preserve">Our </w:t>
      </w:r>
      <w:r w:rsidR="68867049" w:rsidRPr="008910EE">
        <w:t>department</w:t>
      </w:r>
      <w:bookmarkEnd w:id="18"/>
      <w:r w:rsidR="001872FC" w:rsidRPr="008910EE">
        <w:t xml:space="preserve"> </w:t>
      </w:r>
    </w:p>
    <w:p w14:paraId="52983FE1" w14:textId="4F9E97FC" w:rsidR="007E2247" w:rsidRPr="008910EE" w:rsidRDefault="4847A033" w:rsidP="00B64C46">
      <w:pPr>
        <w:pStyle w:val="Body"/>
        <w:rPr>
          <w:rFonts w:eastAsia="Arial" w:cs="Arial"/>
          <w:szCs w:val="21"/>
        </w:rPr>
      </w:pPr>
      <w:r w:rsidRPr="008910EE">
        <w:rPr>
          <w:rFonts w:eastAsia="Arial" w:cs="Arial"/>
          <w:szCs w:val="21"/>
        </w:rPr>
        <w:t xml:space="preserve">Our department </w:t>
      </w:r>
      <w:r w:rsidR="2A0D54F4" w:rsidRPr="008910EE">
        <w:rPr>
          <w:rFonts w:eastAsia="Arial" w:cs="Arial"/>
          <w:szCs w:val="21"/>
        </w:rPr>
        <w:t xml:space="preserve">works </w:t>
      </w:r>
      <w:r w:rsidR="0071422B" w:rsidRPr="008910EE">
        <w:rPr>
          <w:rFonts w:eastAsia="Arial" w:cs="Arial"/>
          <w:szCs w:val="21"/>
        </w:rPr>
        <w:t xml:space="preserve">to </w:t>
      </w:r>
      <w:r w:rsidR="00FA71DD" w:rsidRPr="008910EE">
        <w:rPr>
          <w:rFonts w:eastAsia="Arial" w:cs="Arial"/>
          <w:szCs w:val="21"/>
        </w:rPr>
        <w:t>create</w:t>
      </w:r>
      <w:r w:rsidR="00B64C46" w:rsidRPr="008910EE">
        <w:rPr>
          <w:rFonts w:eastAsia="Arial" w:cs="Arial"/>
          <w:szCs w:val="21"/>
        </w:rPr>
        <w:t xml:space="preserve"> a more </w:t>
      </w:r>
      <w:r w:rsidR="009E03FD" w:rsidRPr="008910EE">
        <w:rPr>
          <w:rFonts w:eastAsia="Arial" w:cs="Arial"/>
          <w:szCs w:val="21"/>
        </w:rPr>
        <w:t>inclusive</w:t>
      </w:r>
      <w:r w:rsidR="00B64C46" w:rsidRPr="008910EE">
        <w:rPr>
          <w:rFonts w:eastAsia="Arial" w:cs="Arial"/>
          <w:szCs w:val="21"/>
        </w:rPr>
        <w:t xml:space="preserve"> society</w:t>
      </w:r>
      <w:r w:rsidR="00FF7866" w:rsidRPr="008910EE">
        <w:rPr>
          <w:rFonts w:eastAsia="Arial" w:cs="Arial"/>
          <w:szCs w:val="21"/>
        </w:rPr>
        <w:t>,</w:t>
      </w:r>
      <w:r w:rsidR="00C40276" w:rsidRPr="008910EE">
        <w:rPr>
          <w:rFonts w:eastAsia="Arial" w:cs="Arial"/>
          <w:szCs w:val="21"/>
        </w:rPr>
        <w:t xml:space="preserve"> </w:t>
      </w:r>
      <w:r w:rsidR="00FF7866" w:rsidRPr="008910EE">
        <w:rPr>
          <w:rFonts w:eastAsia="Arial" w:cs="Arial"/>
          <w:szCs w:val="21"/>
        </w:rPr>
        <w:t>o</w:t>
      </w:r>
      <w:r w:rsidR="003E6CBE" w:rsidRPr="008910EE">
        <w:rPr>
          <w:rFonts w:eastAsia="Arial" w:cs="Arial"/>
          <w:szCs w:val="21"/>
        </w:rPr>
        <w:t>ne in which people feel safe</w:t>
      </w:r>
      <w:r w:rsidR="00F93595" w:rsidRPr="008910EE">
        <w:rPr>
          <w:rFonts w:eastAsia="Arial" w:cs="Arial"/>
          <w:szCs w:val="21"/>
        </w:rPr>
        <w:t xml:space="preserve"> and </w:t>
      </w:r>
      <w:r w:rsidR="00FF7866" w:rsidRPr="008910EE">
        <w:rPr>
          <w:rFonts w:eastAsia="Arial" w:cs="Arial"/>
          <w:szCs w:val="21"/>
        </w:rPr>
        <w:t>can</w:t>
      </w:r>
      <w:r w:rsidR="00F93595" w:rsidRPr="008910EE">
        <w:rPr>
          <w:rFonts w:eastAsia="Arial" w:cs="Arial"/>
          <w:szCs w:val="21"/>
        </w:rPr>
        <w:t xml:space="preserve"> </w:t>
      </w:r>
      <w:r w:rsidR="007721D6" w:rsidRPr="008910EE">
        <w:rPr>
          <w:rFonts w:eastAsia="Arial" w:cs="Arial"/>
          <w:szCs w:val="21"/>
        </w:rPr>
        <w:t xml:space="preserve">take part </w:t>
      </w:r>
      <w:r w:rsidR="00F93595" w:rsidRPr="008910EE">
        <w:rPr>
          <w:rFonts w:eastAsia="Arial" w:cs="Arial"/>
          <w:szCs w:val="21"/>
        </w:rPr>
        <w:t>equally.</w:t>
      </w:r>
      <w:r w:rsidR="00C40276" w:rsidRPr="008910EE">
        <w:rPr>
          <w:rFonts w:eastAsia="Arial" w:cs="Arial"/>
          <w:szCs w:val="21"/>
        </w:rPr>
        <w:t xml:space="preserve"> </w:t>
      </w:r>
    </w:p>
    <w:p w14:paraId="3AF7F66C" w14:textId="0BD18872" w:rsidR="00B05FC1" w:rsidRPr="008910EE" w:rsidRDefault="001153D3" w:rsidP="00B64C46">
      <w:pPr>
        <w:pStyle w:val="Body"/>
        <w:rPr>
          <w:rFonts w:eastAsia="Arial" w:cs="Arial"/>
          <w:szCs w:val="21"/>
        </w:rPr>
      </w:pPr>
      <w:r w:rsidRPr="008910EE">
        <w:rPr>
          <w:rFonts w:eastAsia="Arial" w:cs="Arial"/>
          <w:szCs w:val="21"/>
        </w:rPr>
        <w:t>We do this every</w:t>
      </w:r>
      <w:r w:rsidR="00BC5851" w:rsidRPr="008910EE">
        <w:rPr>
          <w:rFonts w:eastAsia="Arial" w:cs="Arial"/>
          <w:szCs w:val="21"/>
        </w:rPr>
        <w:t xml:space="preserve"> </w:t>
      </w:r>
      <w:r w:rsidRPr="008910EE">
        <w:rPr>
          <w:rFonts w:eastAsia="Arial" w:cs="Arial"/>
          <w:szCs w:val="21"/>
        </w:rPr>
        <w:t>day by</w:t>
      </w:r>
      <w:r w:rsidR="00B05FC1" w:rsidRPr="008910EE">
        <w:rPr>
          <w:rFonts w:eastAsia="Arial" w:cs="Arial"/>
          <w:szCs w:val="21"/>
        </w:rPr>
        <w:t xml:space="preserve"> </w:t>
      </w:r>
      <w:r w:rsidRPr="008910EE">
        <w:rPr>
          <w:rFonts w:eastAsia="Arial" w:cs="Arial"/>
          <w:szCs w:val="21"/>
        </w:rPr>
        <w:t>supporting people and communities to</w:t>
      </w:r>
      <w:r w:rsidR="00B05FC1" w:rsidRPr="008910EE">
        <w:rPr>
          <w:rFonts w:eastAsia="Arial" w:cs="Arial"/>
          <w:szCs w:val="21"/>
        </w:rPr>
        <w:t>:</w:t>
      </w:r>
      <w:r w:rsidRPr="008910EE">
        <w:rPr>
          <w:rFonts w:eastAsia="Arial" w:cs="Arial"/>
          <w:szCs w:val="21"/>
        </w:rPr>
        <w:t xml:space="preserve"> </w:t>
      </w:r>
    </w:p>
    <w:p w14:paraId="503DD013" w14:textId="3E4B60B5" w:rsidR="00B05FC1" w:rsidRPr="008910EE" w:rsidRDefault="001153D3" w:rsidP="001B7925">
      <w:pPr>
        <w:pStyle w:val="Bullet1"/>
      </w:pPr>
      <w:r w:rsidRPr="008910EE">
        <w:t>have equ</w:t>
      </w:r>
      <w:r w:rsidR="009974C2" w:rsidRPr="008910EE">
        <w:t>itable</w:t>
      </w:r>
      <w:r w:rsidRPr="008910EE">
        <w:t xml:space="preserve"> access to opportunities</w:t>
      </w:r>
    </w:p>
    <w:p w14:paraId="249C2CA9" w14:textId="024CBB6D" w:rsidR="00B05FC1" w:rsidRPr="008910EE" w:rsidRDefault="001153D3" w:rsidP="001B7925">
      <w:pPr>
        <w:pStyle w:val="Bullet1"/>
      </w:pPr>
      <w:r w:rsidRPr="008910EE">
        <w:t>overcome struggles and hardships</w:t>
      </w:r>
    </w:p>
    <w:p w14:paraId="7C72D161" w14:textId="77777777" w:rsidR="00B05FC1" w:rsidRPr="008910EE" w:rsidRDefault="001153D3" w:rsidP="001B7925">
      <w:pPr>
        <w:pStyle w:val="Bullet1"/>
      </w:pPr>
      <w:r w:rsidRPr="008910EE">
        <w:t>recover from adversity.</w:t>
      </w:r>
      <w:r w:rsidR="00221328" w:rsidRPr="008910EE">
        <w:t xml:space="preserve"> </w:t>
      </w:r>
    </w:p>
    <w:p w14:paraId="50770C8E" w14:textId="2E3E57BD" w:rsidR="00B64C46" w:rsidRPr="008910EE" w:rsidRDefault="00221328" w:rsidP="001B7925">
      <w:pPr>
        <w:pStyle w:val="Bodyafterbullets"/>
      </w:pPr>
      <w:r w:rsidRPr="008910EE">
        <w:t xml:space="preserve">We do this by </w:t>
      </w:r>
      <w:r w:rsidR="007E2247" w:rsidRPr="008910EE">
        <w:t>taking steps</w:t>
      </w:r>
      <w:r w:rsidR="006E48D7" w:rsidRPr="008910EE">
        <w:t xml:space="preserve"> </w:t>
      </w:r>
      <w:r w:rsidR="007E2247" w:rsidRPr="008910EE">
        <w:t xml:space="preserve">to </w:t>
      </w:r>
      <w:r w:rsidR="001B7925" w:rsidRPr="008910EE">
        <w:t>end</w:t>
      </w:r>
      <w:r w:rsidR="006E48D7" w:rsidRPr="008910EE">
        <w:t xml:space="preserve"> issues like homelessness and family violence.</w:t>
      </w:r>
    </w:p>
    <w:p w14:paraId="568477D9" w14:textId="6B7BFB88" w:rsidR="00965F70" w:rsidRPr="008910EE" w:rsidRDefault="00281276" w:rsidP="00894FF6">
      <w:pPr>
        <w:pStyle w:val="Body"/>
        <w:rPr>
          <w:rFonts w:eastAsia="Arial" w:cs="Arial"/>
          <w:szCs w:val="21"/>
        </w:rPr>
      </w:pPr>
      <w:r w:rsidRPr="008910EE">
        <w:rPr>
          <w:rFonts w:eastAsia="Arial" w:cs="Arial"/>
          <w:szCs w:val="21"/>
        </w:rPr>
        <w:t>We</w:t>
      </w:r>
      <w:r w:rsidR="4847A033" w:rsidRPr="008910EE">
        <w:rPr>
          <w:rFonts w:eastAsia="Arial" w:cs="Arial"/>
          <w:szCs w:val="21"/>
        </w:rPr>
        <w:t xml:space="preserve"> </w:t>
      </w:r>
      <w:r w:rsidR="2A0D54F4" w:rsidRPr="008910EE">
        <w:rPr>
          <w:rFonts w:eastAsia="Arial" w:cs="Arial"/>
          <w:szCs w:val="21"/>
        </w:rPr>
        <w:t>wor</w:t>
      </w:r>
      <w:r w:rsidRPr="008910EE">
        <w:rPr>
          <w:rFonts w:eastAsia="Arial" w:cs="Arial"/>
          <w:szCs w:val="21"/>
        </w:rPr>
        <w:t>k</w:t>
      </w:r>
      <w:r w:rsidR="2A0D54F4" w:rsidRPr="008910EE">
        <w:rPr>
          <w:rFonts w:eastAsia="Arial" w:cs="Arial"/>
          <w:szCs w:val="21"/>
        </w:rPr>
        <w:t xml:space="preserve"> with people and communities to overcome challenges, </w:t>
      </w:r>
      <w:r w:rsidR="00806F66" w:rsidRPr="008910EE">
        <w:rPr>
          <w:rFonts w:eastAsia="Arial" w:cs="Arial"/>
          <w:szCs w:val="21"/>
        </w:rPr>
        <w:t>create</w:t>
      </w:r>
      <w:r w:rsidR="2A0D54F4" w:rsidRPr="008910EE">
        <w:rPr>
          <w:rFonts w:eastAsia="Arial" w:cs="Arial"/>
          <w:szCs w:val="21"/>
        </w:rPr>
        <w:t xml:space="preserve"> opportunities</w:t>
      </w:r>
      <w:r w:rsidR="4C66511A" w:rsidRPr="008910EE">
        <w:rPr>
          <w:rFonts w:eastAsia="Arial" w:cs="Arial"/>
          <w:szCs w:val="21"/>
        </w:rPr>
        <w:t xml:space="preserve"> and build a </w:t>
      </w:r>
      <w:r w:rsidR="00965F70" w:rsidRPr="008910EE">
        <w:rPr>
          <w:rFonts w:eastAsia="Arial" w:cs="Arial"/>
          <w:szCs w:val="21"/>
        </w:rPr>
        <w:t>fairer and safer</w:t>
      </w:r>
      <w:r w:rsidR="4C66511A" w:rsidRPr="008910EE">
        <w:rPr>
          <w:rFonts w:eastAsia="Arial" w:cs="Arial"/>
          <w:szCs w:val="21"/>
        </w:rPr>
        <w:t xml:space="preserve"> Victoria, where everyone </w:t>
      </w:r>
      <w:r w:rsidR="00F93595" w:rsidRPr="008910EE">
        <w:rPr>
          <w:rFonts w:eastAsia="Arial" w:cs="Arial"/>
          <w:szCs w:val="21"/>
        </w:rPr>
        <w:t>is</w:t>
      </w:r>
      <w:r w:rsidR="4ED107AC" w:rsidRPr="008910EE">
        <w:rPr>
          <w:rFonts w:eastAsia="Arial" w:cs="Arial"/>
          <w:szCs w:val="21"/>
        </w:rPr>
        <w:t xml:space="preserve"> valued</w:t>
      </w:r>
      <w:r w:rsidR="4C66511A" w:rsidRPr="008910EE">
        <w:rPr>
          <w:rFonts w:eastAsia="Arial" w:cs="Arial"/>
          <w:szCs w:val="21"/>
        </w:rPr>
        <w:t>.</w:t>
      </w:r>
      <w:r w:rsidR="786A56E5" w:rsidRPr="008910EE">
        <w:rPr>
          <w:rFonts w:eastAsia="Arial" w:cs="Arial"/>
          <w:szCs w:val="21"/>
        </w:rPr>
        <w:t xml:space="preserve"> </w:t>
      </w:r>
    </w:p>
    <w:p w14:paraId="09FC0BD3" w14:textId="1360E34D" w:rsidR="00965F70" w:rsidRPr="008910EE" w:rsidRDefault="786A56E5" w:rsidP="00894FF6">
      <w:pPr>
        <w:pStyle w:val="Body"/>
        <w:rPr>
          <w:rFonts w:eastAsia="Arial" w:cs="Arial"/>
          <w:szCs w:val="21"/>
        </w:rPr>
      </w:pPr>
      <w:r w:rsidRPr="008910EE">
        <w:rPr>
          <w:rFonts w:eastAsia="Arial" w:cs="Arial"/>
          <w:szCs w:val="21"/>
        </w:rPr>
        <w:t xml:space="preserve">We approach our work with </w:t>
      </w:r>
      <w:r w:rsidR="5E235FE2" w:rsidRPr="008910EE">
        <w:rPr>
          <w:rFonts w:eastAsia="Arial" w:cs="Arial"/>
          <w:szCs w:val="21"/>
        </w:rPr>
        <w:t xml:space="preserve">the knowledge that </w:t>
      </w:r>
      <w:r w:rsidRPr="008910EE">
        <w:rPr>
          <w:rFonts w:eastAsia="Arial" w:cs="Arial"/>
          <w:szCs w:val="21"/>
        </w:rPr>
        <w:t>collaborati</w:t>
      </w:r>
      <w:r w:rsidR="00AF59A6" w:rsidRPr="008910EE">
        <w:rPr>
          <w:rFonts w:eastAsia="Arial" w:cs="Arial"/>
          <w:szCs w:val="21"/>
        </w:rPr>
        <w:t>on</w:t>
      </w:r>
      <w:r w:rsidRPr="008910EE">
        <w:rPr>
          <w:rFonts w:eastAsia="Arial" w:cs="Arial"/>
          <w:szCs w:val="21"/>
        </w:rPr>
        <w:t xml:space="preserve"> and connection </w:t>
      </w:r>
      <w:r w:rsidR="17C30A33" w:rsidRPr="008910EE">
        <w:rPr>
          <w:rFonts w:eastAsia="Arial" w:cs="Arial"/>
          <w:szCs w:val="21"/>
        </w:rPr>
        <w:t>are essential to our success</w:t>
      </w:r>
      <w:r w:rsidR="7354021C" w:rsidRPr="008910EE">
        <w:rPr>
          <w:rFonts w:eastAsia="Arial" w:cs="Arial"/>
          <w:szCs w:val="21"/>
        </w:rPr>
        <w:t>. This means</w:t>
      </w:r>
      <w:r w:rsidRPr="008910EE">
        <w:rPr>
          <w:rFonts w:eastAsia="Arial" w:cs="Arial"/>
          <w:szCs w:val="21"/>
        </w:rPr>
        <w:t xml:space="preserve"> with both the </w:t>
      </w:r>
      <w:r w:rsidR="3FAF0654" w:rsidRPr="008910EE">
        <w:rPr>
          <w:rFonts w:eastAsia="Arial" w:cs="Arial"/>
          <w:szCs w:val="21"/>
        </w:rPr>
        <w:t>communities</w:t>
      </w:r>
      <w:r w:rsidRPr="008910EE">
        <w:rPr>
          <w:rFonts w:eastAsia="Arial" w:cs="Arial"/>
          <w:szCs w:val="21"/>
        </w:rPr>
        <w:t xml:space="preserve"> we serve and the people </w:t>
      </w:r>
      <w:r w:rsidR="41FE200B" w:rsidRPr="008910EE">
        <w:rPr>
          <w:rFonts w:eastAsia="Arial" w:cs="Arial"/>
          <w:szCs w:val="21"/>
        </w:rPr>
        <w:t>with</w:t>
      </w:r>
      <w:r w:rsidRPr="008910EE">
        <w:rPr>
          <w:rFonts w:eastAsia="Arial" w:cs="Arial"/>
          <w:szCs w:val="21"/>
        </w:rPr>
        <w:t>in our workforce.</w:t>
      </w:r>
      <w:r w:rsidR="00965F70" w:rsidRPr="008910EE">
        <w:rPr>
          <w:rFonts w:eastAsia="Arial" w:cs="Arial"/>
          <w:szCs w:val="21"/>
        </w:rPr>
        <w:t xml:space="preserve"> </w:t>
      </w:r>
    </w:p>
    <w:p w14:paraId="41F7632A" w14:textId="0E08364E" w:rsidR="7C02E49C" w:rsidRPr="008910EE" w:rsidRDefault="00B05FC1" w:rsidP="00894FF6">
      <w:pPr>
        <w:pStyle w:val="Body"/>
        <w:rPr>
          <w:szCs w:val="21"/>
        </w:rPr>
      </w:pPr>
      <w:r w:rsidRPr="008910EE">
        <w:rPr>
          <w:rFonts w:eastAsia="Arial" w:cs="Arial"/>
          <w:szCs w:val="21"/>
        </w:rPr>
        <w:t xml:space="preserve">We </w:t>
      </w:r>
      <w:r w:rsidR="7C02E49C" w:rsidRPr="008910EE">
        <w:rPr>
          <w:rFonts w:eastAsia="Arial" w:cs="Arial"/>
          <w:szCs w:val="21"/>
        </w:rPr>
        <w:t xml:space="preserve">bring together our services and initiatives to support people at critical points in their lives and </w:t>
      </w:r>
      <w:r w:rsidR="0040114A" w:rsidRPr="008910EE">
        <w:rPr>
          <w:rFonts w:eastAsia="Arial" w:cs="Arial"/>
          <w:szCs w:val="21"/>
        </w:rPr>
        <w:t>support</w:t>
      </w:r>
      <w:r w:rsidR="4882091F" w:rsidRPr="008910EE">
        <w:rPr>
          <w:rFonts w:eastAsia="Arial" w:cs="Arial"/>
          <w:szCs w:val="21"/>
        </w:rPr>
        <w:t xml:space="preserve"> all Victorians</w:t>
      </w:r>
      <w:r w:rsidR="0040114A" w:rsidRPr="008910EE">
        <w:rPr>
          <w:rFonts w:eastAsia="Arial" w:cs="Arial"/>
          <w:szCs w:val="21"/>
        </w:rPr>
        <w:t xml:space="preserve"> to </w:t>
      </w:r>
      <w:r w:rsidR="007721D6" w:rsidRPr="008910EE">
        <w:rPr>
          <w:rFonts w:eastAsia="Arial" w:cs="Arial"/>
          <w:szCs w:val="21"/>
        </w:rPr>
        <w:t xml:space="preserve">get involved </w:t>
      </w:r>
      <w:r w:rsidR="0040114A" w:rsidRPr="008910EE">
        <w:rPr>
          <w:rFonts w:eastAsia="Arial" w:cs="Arial"/>
          <w:szCs w:val="21"/>
        </w:rPr>
        <w:t>equally</w:t>
      </w:r>
      <w:r w:rsidR="4882091F" w:rsidRPr="008910EE">
        <w:rPr>
          <w:rFonts w:eastAsia="Arial" w:cs="Arial"/>
          <w:szCs w:val="21"/>
        </w:rPr>
        <w:t xml:space="preserve">. </w:t>
      </w:r>
      <w:r w:rsidRPr="008910EE">
        <w:rPr>
          <w:rFonts w:eastAsia="Arial" w:cs="Arial"/>
          <w:szCs w:val="21"/>
        </w:rPr>
        <w:t>This is how we make a difference.</w:t>
      </w:r>
    </w:p>
    <w:p w14:paraId="1108F1FD" w14:textId="3AF2D6DE" w:rsidR="7C02E49C" w:rsidRPr="008910EE" w:rsidRDefault="7C02E49C" w:rsidP="00E67582">
      <w:pPr>
        <w:pStyle w:val="Body"/>
      </w:pPr>
      <w:r w:rsidRPr="008910EE">
        <w:t>Th</w:t>
      </w:r>
      <w:r w:rsidR="4E8E7BA2" w:rsidRPr="008910EE">
        <w:t>is</w:t>
      </w:r>
      <w:r w:rsidR="75B42148" w:rsidRPr="008910EE">
        <w:t xml:space="preserve"> </w:t>
      </w:r>
      <w:r w:rsidRPr="008910EE">
        <w:t xml:space="preserve">connection of service delivery, supports and initiatives benefits every Victorian. </w:t>
      </w:r>
      <w:r w:rsidR="036C0568" w:rsidRPr="008910EE">
        <w:t>It</w:t>
      </w:r>
      <w:r w:rsidRPr="008910EE">
        <w:t xml:space="preserve"> is why we</w:t>
      </w:r>
      <w:r w:rsidR="00ED4375" w:rsidRPr="008910EE">
        <w:t xml:space="preserve"> ha</w:t>
      </w:r>
      <w:r w:rsidRPr="008910EE">
        <w:t xml:space="preserve">ve </w:t>
      </w:r>
      <w:r w:rsidR="00ED4375" w:rsidRPr="008910EE">
        <w:t>brought these portfolios</w:t>
      </w:r>
      <w:r w:rsidRPr="008910EE">
        <w:t xml:space="preserve"> together</w:t>
      </w:r>
      <w:r w:rsidR="00ED4375" w:rsidRPr="008910EE">
        <w:t xml:space="preserve"> into one department</w:t>
      </w:r>
      <w:r w:rsidRPr="008910EE">
        <w:t>.</w:t>
      </w:r>
    </w:p>
    <w:p w14:paraId="3DFF774D" w14:textId="72B6C3BC" w:rsidR="703FBC67" w:rsidRPr="008910EE" w:rsidRDefault="008C4795" w:rsidP="00E67582">
      <w:pPr>
        <w:pStyle w:val="Body"/>
        <w:rPr>
          <w:u w:val="single"/>
        </w:rPr>
      </w:pPr>
      <w:r w:rsidRPr="008910EE">
        <w:t>W</w:t>
      </w:r>
      <w:r w:rsidR="7C02E49C" w:rsidRPr="008910EE">
        <w:t>e develop, drive and deliver whole-of-government policy that has the wellbeing of all Victorians at its heart.</w:t>
      </w:r>
    </w:p>
    <w:p w14:paraId="238F6275" w14:textId="7CD607B8" w:rsidR="008C4795" w:rsidRPr="008910EE" w:rsidRDefault="7C02E49C" w:rsidP="00E67582">
      <w:pPr>
        <w:pStyle w:val="Body"/>
      </w:pPr>
      <w:r w:rsidRPr="008910EE">
        <w:t xml:space="preserve">We drive key reform agendas across gender, equality, </w:t>
      </w:r>
      <w:r w:rsidR="6267CD8B" w:rsidRPr="008910EE">
        <w:t xml:space="preserve">prevention of </w:t>
      </w:r>
      <w:r w:rsidRPr="008910EE">
        <w:t>family violence, housing, children</w:t>
      </w:r>
      <w:r w:rsidR="39121B7D" w:rsidRPr="008910EE">
        <w:t xml:space="preserve"> and</w:t>
      </w:r>
      <w:r w:rsidRPr="008910EE">
        <w:t xml:space="preserve"> inclusion</w:t>
      </w:r>
      <w:r w:rsidR="008C4795" w:rsidRPr="008910EE">
        <w:t xml:space="preserve">. </w:t>
      </w:r>
    </w:p>
    <w:p w14:paraId="1B4D7C59" w14:textId="28B6DF95" w:rsidR="008C4795" w:rsidRPr="008910EE" w:rsidRDefault="008C4795" w:rsidP="00E67582">
      <w:pPr>
        <w:pStyle w:val="Body"/>
      </w:pPr>
      <w:r w:rsidRPr="008910EE">
        <w:t xml:space="preserve">We </w:t>
      </w:r>
      <w:r w:rsidR="7C02E49C" w:rsidRPr="008910EE">
        <w:t xml:space="preserve">partner with sectors and listen to the voices of </w:t>
      </w:r>
      <w:r w:rsidR="0A9CE62C" w:rsidRPr="008910EE">
        <w:t xml:space="preserve">those with </w:t>
      </w:r>
      <w:r w:rsidR="7C02E49C" w:rsidRPr="008910EE">
        <w:t>lived experience</w:t>
      </w:r>
      <w:r w:rsidR="1C9979B1" w:rsidRPr="008910EE">
        <w:t xml:space="preserve"> in </w:t>
      </w:r>
      <w:r w:rsidR="394685E0" w:rsidRPr="008910EE">
        <w:t>these areas.</w:t>
      </w:r>
    </w:p>
    <w:p w14:paraId="571642A8" w14:textId="1FC60DC6" w:rsidR="3803FD02" w:rsidRPr="008910EE" w:rsidRDefault="008C4795" w:rsidP="00E67582">
      <w:pPr>
        <w:pStyle w:val="Body"/>
      </w:pPr>
      <w:r w:rsidRPr="008910EE">
        <w:t xml:space="preserve">We respond </w:t>
      </w:r>
      <w:r w:rsidR="6BF26F76" w:rsidRPr="008910EE">
        <w:t xml:space="preserve">to </w:t>
      </w:r>
      <w:r w:rsidR="55A599CE" w:rsidRPr="008910EE">
        <w:t>emergencies</w:t>
      </w:r>
      <w:r w:rsidR="437A3AE6" w:rsidRPr="008910EE">
        <w:t>, including</w:t>
      </w:r>
      <w:r w:rsidR="55A599CE" w:rsidRPr="008910EE">
        <w:t xml:space="preserve"> </w:t>
      </w:r>
      <w:r w:rsidR="06983A5F" w:rsidRPr="008910EE">
        <w:rPr>
          <w:rFonts w:cstheme="minorBidi"/>
        </w:rPr>
        <w:t>large-scale social and economic changes</w:t>
      </w:r>
      <w:r w:rsidR="35746532" w:rsidRPr="008910EE">
        <w:rPr>
          <w:rFonts w:cstheme="minorBidi"/>
        </w:rPr>
        <w:t>.</w:t>
      </w:r>
      <w:r w:rsidR="56D1E2C0" w:rsidRPr="008910EE">
        <w:rPr>
          <w:rFonts w:cstheme="minorBidi"/>
        </w:rPr>
        <w:t xml:space="preserve"> We </w:t>
      </w:r>
      <w:r w:rsidR="007E16D2" w:rsidRPr="008910EE">
        <w:t xml:space="preserve">offer </w:t>
      </w:r>
      <w:r w:rsidR="56D1E2C0" w:rsidRPr="008910EE">
        <w:t>immediate and ongoing relief</w:t>
      </w:r>
      <w:r w:rsidR="007E16D2" w:rsidRPr="008910EE">
        <w:t>. We</w:t>
      </w:r>
      <w:r w:rsidR="56D1E2C0" w:rsidRPr="008910EE">
        <w:t xml:space="preserve"> </w:t>
      </w:r>
      <w:r w:rsidR="06983A5F" w:rsidRPr="008910EE">
        <w:t xml:space="preserve">partner with communities to coordinate and tailor services for support and recovery. </w:t>
      </w:r>
    </w:p>
    <w:p w14:paraId="77796878" w14:textId="4A9B17A4" w:rsidR="7C02E49C" w:rsidRPr="008910EE" w:rsidRDefault="00965F70" w:rsidP="00894FF6">
      <w:pPr>
        <w:pStyle w:val="Body"/>
        <w:rPr>
          <w:b/>
          <w:bCs/>
        </w:rPr>
      </w:pPr>
      <w:r w:rsidRPr="008910EE">
        <w:t xml:space="preserve">We serve </w:t>
      </w:r>
      <w:r w:rsidR="00235BFC" w:rsidRPr="008910EE">
        <w:t>and support</w:t>
      </w:r>
      <w:r w:rsidRPr="008910EE">
        <w:t xml:space="preserve"> </w:t>
      </w:r>
      <w:r w:rsidR="6408EE50" w:rsidRPr="008910EE">
        <w:t>children and families,</w:t>
      </w:r>
      <w:r w:rsidR="0051072D" w:rsidRPr="008910EE">
        <w:t xml:space="preserve"> people experiencing family violence,</w:t>
      </w:r>
      <w:r w:rsidR="6408EE50" w:rsidRPr="008910EE">
        <w:t xml:space="preserve"> housing and disability clients</w:t>
      </w:r>
      <w:r w:rsidR="148D9D32" w:rsidRPr="008910EE">
        <w:t xml:space="preserve"> across the state</w:t>
      </w:r>
      <w:r w:rsidR="1DD1D579" w:rsidRPr="008910EE">
        <w:t>,</w:t>
      </w:r>
      <w:r w:rsidR="4AC85D86" w:rsidRPr="008910EE">
        <w:t xml:space="preserve"> </w:t>
      </w:r>
      <w:r w:rsidR="6408EE50" w:rsidRPr="008910EE">
        <w:t>improving outcomes</w:t>
      </w:r>
      <w:r w:rsidR="43750474" w:rsidRPr="008910EE">
        <w:t xml:space="preserve"> and creating a fairer and stronger Victoria.</w:t>
      </w:r>
      <w:r w:rsidR="6408EE50" w:rsidRPr="008910EE">
        <w:t xml:space="preserve"> </w:t>
      </w:r>
      <w:r w:rsidR="2A8A5A52" w:rsidRPr="008910EE">
        <w:t>W</w:t>
      </w:r>
      <w:r w:rsidR="5687BB33" w:rsidRPr="008910EE">
        <w:t>e work every</w:t>
      </w:r>
      <w:r w:rsidR="1DAD698C" w:rsidRPr="008910EE">
        <w:t xml:space="preserve"> </w:t>
      </w:r>
      <w:r w:rsidR="5687BB33" w:rsidRPr="008910EE">
        <w:t xml:space="preserve">day to </w:t>
      </w:r>
      <w:r w:rsidR="6408EE50" w:rsidRPr="008910EE">
        <w:t>keep</w:t>
      </w:r>
      <w:r w:rsidR="5E7EB9BC" w:rsidRPr="008910EE">
        <w:t xml:space="preserve"> </w:t>
      </w:r>
      <w:r w:rsidR="005346BD" w:rsidRPr="008910EE">
        <w:t xml:space="preserve">individuals, </w:t>
      </w:r>
      <w:r w:rsidR="5E7EB9BC" w:rsidRPr="008910EE">
        <w:t>children and families</w:t>
      </w:r>
      <w:r w:rsidR="6408EE50" w:rsidRPr="008910EE">
        <w:t xml:space="preserve"> safe. </w:t>
      </w:r>
    </w:p>
    <w:p w14:paraId="293ACD4A" w14:textId="2493E287" w:rsidR="7C02E49C" w:rsidRPr="008910EE" w:rsidRDefault="7C02E49C" w:rsidP="00E67582">
      <w:pPr>
        <w:pStyle w:val="Body"/>
        <w:rPr>
          <w:u w:val="single"/>
        </w:rPr>
      </w:pPr>
      <w:r w:rsidRPr="008910EE">
        <w:t xml:space="preserve">We are a complex department, with a wide reach across </w:t>
      </w:r>
      <w:r w:rsidR="38DD2BA4" w:rsidRPr="008910EE">
        <w:t>urban and regional areas</w:t>
      </w:r>
      <w:r w:rsidRPr="008910EE">
        <w:t>. Our complexity is one of our strengths</w:t>
      </w:r>
      <w:r w:rsidR="6D0BBA56" w:rsidRPr="008910EE">
        <w:t>.</w:t>
      </w:r>
      <w:r w:rsidRPr="008910EE">
        <w:t xml:space="preserve"> </w:t>
      </w:r>
      <w:r w:rsidR="69B099CF" w:rsidRPr="008910EE">
        <w:t>It</w:t>
      </w:r>
      <w:r w:rsidRPr="008910EE">
        <w:t xml:space="preserve"> allows us to </w:t>
      </w:r>
      <w:r w:rsidR="7CCDD05F" w:rsidRPr="008910EE">
        <w:t>meet</w:t>
      </w:r>
      <w:r w:rsidRPr="008910EE">
        <w:t xml:space="preserve"> the </w:t>
      </w:r>
      <w:r w:rsidR="00907CEF" w:rsidRPr="008910EE">
        <w:t>different</w:t>
      </w:r>
      <w:r w:rsidRPr="008910EE">
        <w:t xml:space="preserve"> needs of our </w:t>
      </w:r>
      <w:r w:rsidR="008C4795" w:rsidRPr="008910EE">
        <w:t>communities and</w:t>
      </w:r>
      <w:r w:rsidR="7FBB4B60" w:rsidRPr="008910EE">
        <w:t xml:space="preserve"> gives us the ability to build our supports to meet people where they are.</w:t>
      </w:r>
    </w:p>
    <w:p w14:paraId="2E51D323" w14:textId="6B3A471F" w:rsidR="7C02E49C" w:rsidRPr="008910EE" w:rsidRDefault="4D2E16DD" w:rsidP="00E67582">
      <w:pPr>
        <w:pStyle w:val="Body"/>
        <w:rPr>
          <w:szCs w:val="21"/>
        </w:rPr>
      </w:pPr>
      <w:r w:rsidRPr="008910EE">
        <w:t xml:space="preserve">Our department funds agencies, delivers </w:t>
      </w:r>
      <w:r w:rsidR="00185A2D" w:rsidRPr="008910EE">
        <w:t>services</w:t>
      </w:r>
      <w:r w:rsidRPr="008910EE">
        <w:t xml:space="preserve"> directly and works with </w:t>
      </w:r>
      <w:r w:rsidR="007E16D2" w:rsidRPr="008910EE">
        <w:t>c</w:t>
      </w:r>
      <w:r w:rsidR="007A0012" w:rsidRPr="008910EE">
        <w:t xml:space="preserve">ommissions, </w:t>
      </w:r>
      <w:r w:rsidRPr="008910EE">
        <w:t xml:space="preserve">peak bodies and other community organisations to provide a range of advice and supports. We work across the Victorian Government and with other governments in Australia to </w:t>
      </w:r>
      <w:r w:rsidR="00904FB1" w:rsidRPr="008910EE">
        <w:t xml:space="preserve">give </w:t>
      </w:r>
      <w:r w:rsidRPr="008910EE">
        <w:t>high-quality and informed advice.</w:t>
      </w:r>
      <w:r w:rsidR="1AF53D30" w:rsidRPr="008910EE">
        <w:t xml:space="preserve"> We also </w:t>
      </w:r>
      <w:r w:rsidR="00904FB1" w:rsidRPr="008910EE">
        <w:t xml:space="preserve">give </w:t>
      </w:r>
      <w:r w:rsidR="1AF53D30" w:rsidRPr="008910EE">
        <w:t xml:space="preserve">clear and unbiased advice to our </w:t>
      </w:r>
      <w:r w:rsidR="007E16D2" w:rsidRPr="008910EE">
        <w:t>m</w:t>
      </w:r>
      <w:r w:rsidR="1AF53D30" w:rsidRPr="008910EE">
        <w:t>inisters to assist in effective decision making.</w:t>
      </w:r>
    </w:p>
    <w:p w14:paraId="7212829B" w14:textId="73272F15" w:rsidR="7C02E49C" w:rsidRPr="008910EE" w:rsidRDefault="7C02E49C" w:rsidP="00675C0A">
      <w:pPr>
        <w:pStyle w:val="Body"/>
      </w:pPr>
      <w:r w:rsidRPr="008910EE">
        <w:t xml:space="preserve">We strive to </w:t>
      </w:r>
      <w:r w:rsidR="000E78D8" w:rsidRPr="008910EE">
        <w:t xml:space="preserve">keep </w:t>
      </w:r>
      <w:r w:rsidRPr="008910EE">
        <w:t>improv</w:t>
      </w:r>
      <w:r w:rsidR="000E78D8" w:rsidRPr="008910EE">
        <w:t>ing</w:t>
      </w:r>
      <w:r w:rsidRPr="008910EE">
        <w:t xml:space="preserve"> the quality and safety of our services and listen to the voices and experiences of those who use the</w:t>
      </w:r>
      <w:r w:rsidR="08C9DE48" w:rsidRPr="008910EE">
        <w:t>m</w:t>
      </w:r>
      <w:r w:rsidRPr="008910EE">
        <w:t>. We also monitor, assure quality and regulate these initiatives to support safe, effective, person-centred, connected delivery.</w:t>
      </w:r>
    </w:p>
    <w:p w14:paraId="6CF6BED6" w14:textId="59883E91" w:rsidR="2D81BD5C" w:rsidRPr="008910EE" w:rsidRDefault="00965F70" w:rsidP="00675C0A">
      <w:pPr>
        <w:pStyle w:val="Body"/>
      </w:pPr>
      <w:r w:rsidRPr="008910EE">
        <w:t>W</w:t>
      </w:r>
      <w:r w:rsidR="2D81BD5C" w:rsidRPr="008910EE">
        <w:t>e</w:t>
      </w:r>
      <w:r w:rsidR="004B7511" w:rsidRPr="008910EE">
        <w:t xml:space="preserve"> </w:t>
      </w:r>
      <w:r w:rsidR="00904FB1" w:rsidRPr="008910EE">
        <w:t xml:space="preserve">aim </w:t>
      </w:r>
      <w:r w:rsidR="004B7511" w:rsidRPr="008910EE">
        <w:t xml:space="preserve">to </w:t>
      </w:r>
      <w:r w:rsidR="00136A82" w:rsidRPr="008910EE">
        <w:t>use all</w:t>
      </w:r>
      <w:r w:rsidR="42C0DD73" w:rsidRPr="008910EE">
        <w:t xml:space="preserve"> </w:t>
      </w:r>
      <w:r w:rsidR="00CD6976" w:rsidRPr="008910EE">
        <w:t>parts</w:t>
      </w:r>
      <w:r w:rsidR="42C0DD73" w:rsidRPr="008910EE">
        <w:t xml:space="preserve"> of our organisation</w:t>
      </w:r>
      <w:r w:rsidR="00136A82" w:rsidRPr="008910EE">
        <w:t xml:space="preserve"> to</w:t>
      </w:r>
      <w:r w:rsidR="42C0DD73" w:rsidRPr="008910EE">
        <w:t xml:space="preserve"> </w:t>
      </w:r>
      <w:r w:rsidR="004B7511" w:rsidRPr="008910EE">
        <w:t xml:space="preserve">improve outcomes </w:t>
      </w:r>
      <w:r w:rsidR="621CA69A" w:rsidRPr="008910EE">
        <w:t>and better the lives of</w:t>
      </w:r>
      <w:r w:rsidR="2D81BD5C" w:rsidRPr="008910EE">
        <w:t xml:space="preserve"> the </w:t>
      </w:r>
      <w:r w:rsidR="57C37232" w:rsidRPr="008910EE">
        <w:t>people,</w:t>
      </w:r>
      <w:r w:rsidR="004B7511" w:rsidRPr="008910EE">
        <w:t xml:space="preserve"> families, communities and clients we serve.</w:t>
      </w:r>
    </w:p>
    <w:p w14:paraId="5ACFFF64" w14:textId="77777777" w:rsidR="00471335" w:rsidRPr="008910EE" w:rsidRDefault="00965F70" w:rsidP="00894FF6">
      <w:pPr>
        <w:pStyle w:val="Body"/>
      </w:pPr>
      <w:r w:rsidRPr="008910EE">
        <w:t>Together we strive to build a</w:t>
      </w:r>
      <w:r w:rsidR="2438E162" w:rsidRPr="008910EE">
        <w:t xml:space="preserve"> fairer and safer Victoria for all.</w:t>
      </w:r>
    </w:p>
    <w:p w14:paraId="7383284F" w14:textId="040D80CE" w:rsidR="00553A95" w:rsidRPr="008910EE" w:rsidRDefault="00553A95" w:rsidP="003D7A00">
      <w:pPr>
        <w:pStyle w:val="Heading2"/>
      </w:pPr>
      <w:bookmarkStart w:id="19" w:name="_Toc80708348"/>
      <w:r w:rsidRPr="008910EE">
        <w:t>Our structure</w:t>
      </w:r>
      <w:bookmarkEnd w:id="19"/>
    </w:p>
    <w:p w14:paraId="15131071" w14:textId="384AF3DE" w:rsidR="00147F49" w:rsidRPr="008910EE" w:rsidRDefault="00147F49" w:rsidP="00147F49">
      <w:pPr>
        <w:pStyle w:val="Body"/>
      </w:pPr>
      <w:r w:rsidRPr="008910EE">
        <w:t>Reporting to the Secretary are:</w:t>
      </w:r>
    </w:p>
    <w:p w14:paraId="6DAB0ED4" w14:textId="77777777" w:rsidR="00147F49" w:rsidRPr="008910EE" w:rsidRDefault="00147F49" w:rsidP="00147F49">
      <w:pPr>
        <w:pStyle w:val="Bullet1"/>
      </w:pPr>
      <w:r w:rsidRPr="008910EE">
        <w:t>Community Services Operations</w:t>
      </w:r>
    </w:p>
    <w:p w14:paraId="2E7A5501" w14:textId="48780C1B" w:rsidR="00147F49" w:rsidRPr="008910EE" w:rsidRDefault="00147F49" w:rsidP="00147F49">
      <w:pPr>
        <w:pStyle w:val="Bullet2"/>
      </w:pPr>
      <w:r w:rsidRPr="008910EE">
        <w:t>North Division</w:t>
      </w:r>
    </w:p>
    <w:p w14:paraId="6FFF30F8" w14:textId="2C2B03CD" w:rsidR="00147F49" w:rsidRPr="008910EE" w:rsidRDefault="00621C3A" w:rsidP="00147F49">
      <w:pPr>
        <w:pStyle w:val="Bullet2"/>
      </w:pPr>
      <w:r w:rsidRPr="008910EE">
        <w:t>South</w:t>
      </w:r>
      <w:r w:rsidR="00147F49" w:rsidRPr="008910EE">
        <w:t xml:space="preserve"> Division</w:t>
      </w:r>
    </w:p>
    <w:p w14:paraId="2C069CD8" w14:textId="2E8A7411" w:rsidR="00147F49" w:rsidRPr="008910EE" w:rsidRDefault="00621C3A" w:rsidP="00147F49">
      <w:pPr>
        <w:pStyle w:val="Bullet2"/>
      </w:pPr>
      <w:r w:rsidRPr="008910EE">
        <w:t>East</w:t>
      </w:r>
      <w:r w:rsidR="00147F49" w:rsidRPr="008910EE">
        <w:t xml:space="preserve"> Division</w:t>
      </w:r>
    </w:p>
    <w:p w14:paraId="40755308" w14:textId="79191A71" w:rsidR="00147F49" w:rsidRPr="008910EE" w:rsidRDefault="00621C3A" w:rsidP="00621C3A">
      <w:pPr>
        <w:pStyle w:val="Bullet2"/>
      </w:pPr>
      <w:r w:rsidRPr="008910EE">
        <w:t>West</w:t>
      </w:r>
      <w:r w:rsidR="00147F49" w:rsidRPr="008910EE">
        <w:t xml:space="preserve"> Division</w:t>
      </w:r>
    </w:p>
    <w:p w14:paraId="21E0E452" w14:textId="428FD9A8" w:rsidR="00147F49" w:rsidRPr="008910EE" w:rsidRDefault="00147F49" w:rsidP="00147F49">
      <w:pPr>
        <w:pStyle w:val="Bullet1"/>
      </w:pPr>
      <w:r w:rsidRPr="008910EE">
        <w:t xml:space="preserve">Children, Families, Communities </w:t>
      </w:r>
      <w:r w:rsidR="00AF5DDB" w:rsidRPr="008910EE">
        <w:t>and</w:t>
      </w:r>
      <w:r w:rsidRPr="008910EE">
        <w:t xml:space="preserve"> Disability</w:t>
      </w:r>
    </w:p>
    <w:p w14:paraId="406E48F9" w14:textId="77777777" w:rsidR="00147F49" w:rsidRPr="008910EE" w:rsidRDefault="00147F49" w:rsidP="00147F49">
      <w:pPr>
        <w:pStyle w:val="Bullet1"/>
      </w:pPr>
      <w:r w:rsidRPr="008910EE">
        <w:t>Fairer Victoria</w:t>
      </w:r>
    </w:p>
    <w:p w14:paraId="307849B6" w14:textId="1AE95889" w:rsidR="00147F49" w:rsidRPr="008910EE" w:rsidRDefault="00147F49" w:rsidP="00147F49">
      <w:pPr>
        <w:pStyle w:val="Bullet1"/>
      </w:pPr>
      <w:r w:rsidRPr="008910EE">
        <w:t xml:space="preserve">Readiness, Response </w:t>
      </w:r>
      <w:r w:rsidR="0057293C" w:rsidRPr="008910EE">
        <w:t>and</w:t>
      </w:r>
      <w:r w:rsidRPr="008910EE">
        <w:t xml:space="preserve"> Emergency Management</w:t>
      </w:r>
    </w:p>
    <w:p w14:paraId="769EED14" w14:textId="77777777" w:rsidR="00147F49" w:rsidRPr="008910EE" w:rsidRDefault="00147F49" w:rsidP="00147F49">
      <w:pPr>
        <w:pStyle w:val="Bullet1"/>
      </w:pPr>
      <w:r w:rsidRPr="008910EE">
        <w:t>Corporate and Delivery Services</w:t>
      </w:r>
    </w:p>
    <w:p w14:paraId="21160894" w14:textId="21E7A9FF" w:rsidR="00147F49" w:rsidRPr="008910EE" w:rsidRDefault="00147F49" w:rsidP="00147F49">
      <w:pPr>
        <w:pStyle w:val="Bullet1"/>
      </w:pPr>
      <w:r w:rsidRPr="008910EE">
        <w:t xml:space="preserve">Strategy </w:t>
      </w:r>
      <w:r w:rsidR="0057293C" w:rsidRPr="008910EE">
        <w:t>and</w:t>
      </w:r>
      <w:r w:rsidRPr="008910EE">
        <w:t xml:space="preserve"> Regulation</w:t>
      </w:r>
    </w:p>
    <w:p w14:paraId="2D0FBB2C" w14:textId="27FF6637" w:rsidR="00147F49" w:rsidRPr="008910EE" w:rsidRDefault="00147F49" w:rsidP="00147F49">
      <w:pPr>
        <w:pStyle w:val="Bullet1"/>
      </w:pPr>
      <w:r w:rsidRPr="008910EE">
        <w:t>Homes Victoria (Public Non-financial Corporation) and Associate Secretary</w:t>
      </w:r>
    </w:p>
    <w:p w14:paraId="1E467251" w14:textId="77777777" w:rsidR="00FF7897" w:rsidRPr="008910EE" w:rsidRDefault="00FF7897" w:rsidP="00FF7897">
      <w:pPr>
        <w:pStyle w:val="Bullet2"/>
      </w:pPr>
      <w:r w:rsidRPr="008910EE">
        <w:t>Executive Services</w:t>
      </w:r>
    </w:p>
    <w:p w14:paraId="0F9C3F8E" w14:textId="77777777" w:rsidR="00FF7897" w:rsidRPr="008910EE" w:rsidRDefault="00FF7897" w:rsidP="00FF7897">
      <w:pPr>
        <w:pStyle w:val="Bullet2"/>
      </w:pPr>
      <w:r w:rsidRPr="008910EE">
        <w:t>Legal Services</w:t>
      </w:r>
    </w:p>
    <w:p w14:paraId="54D7F2EC" w14:textId="6BAA12FA" w:rsidR="00147F49" w:rsidRPr="008910EE" w:rsidRDefault="00147F49" w:rsidP="00147F49">
      <w:pPr>
        <w:pStyle w:val="Bullet1"/>
      </w:pPr>
      <w:r w:rsidRPr="008910EE">
        <w:t>Engag</w:t>
      </w:r>
      <w:r w:rsidR="00C04B86" w:rsidRPr="008910EE">
        <w:t>e</w:t>
      </w:r>
      <w:r w:rsidRPr="008910EE">
        <w:t xml:space="preserve">ment </w:t>
      </w:r>
      <w:r w:rsidR="00AF5DDB" w:rsidRPr="008910EE">
        <w:t>and</w:t>
      </w:r>
      <w:r w:rsidRPr="008910EE">
        <w:t xml:space="preserve"> Reform</w:t>
      </w:r>
    </w:p>
    <w:p w14:paraId="5BF80701" w14:textId="5B9F9C0C" w:rsidR="00147F49" w:rsidRPr="008910EE" w:rsidRDefault="00147F49" w:rsidP="00147F49">
      <w:pPr>
        <w:pStyle w:val="Bullet1"/>
      </w:pPr>
      <w:r w:rsidRPr="008910EE">
        <w:t>Family Safety Victoria (Administrative Office)</w:t>
      </w:r>
    </w:p>
    <w:p w14:paraId="54C603B8" w14:textId="426D546F" w:rsidR="00147F49" w:rsidRPr="008910EE" w:rsidRDefault="00147F49" w:rsidP="00147F49">
      <w:pPr>
        <w:pStyle w:val="Bullet1"/>
      </w:pPr>
      <w:r w:rsidRPr="008910EE">
        <w:t xml:space="preserve">Analytics </w:t>
      </w:r>
      <w:r w:rsidR="00AF5DDB" w:rsidRPr="008910EE">
        <w:t>and</w:t>
      </w:r>
      <w:r w:rsidRPr="008910EE">
        <w:t xml:space="preserve"> Evidence (shared with Department of Health)</w:t>
      </w:r>
      <w:r w:rsidR="00C04B86" w:rsidRPr="008910EE">
        <w:t>.</w:t>
      </w:r>
    </w:p>
    <w:p w14:paraId="78858740" w14:textId="3B6A7901" w:rsidR="00471335" w:rsidRPr="008910EE" w:rsidRDefault="00471335" w:rsidP="00614C72">
      <w:pPr>
        <w:pStyle w:val="Heading2"/>
      </w:pPr>
      <w:bookmarkStart w:id="20" w:name="_Toc80708349"/>
      <w:r w:rsidRPr="008910EE">
        <w:t>Our footprint</w:t>
      </w:r>
      <w:bookmarkEnd w:id="20"/>
    </w:p>
    <w:p w14:paraId="65956A0D" w14:textId="56EA97C3" w:rsidR="00624676" w:rsidRPr="008910EE" w:rsidRDefault="00624676" w:rsidP="00E67582">
      <w:pPr>
        <w:pStyle w:val="Bullet1"/>
      </w:pPr>
      <w:bookmarkStart w:id="21" w:name="_Hlk78444483"/>
      <w:r w:rsidRPr="008910EE">
        <w:t xml:space="preserve">We have staff </w:t>
      </w:r>
      <w:r w:rsidR="006C37A3" w:rsidRPr="008910EE">
        <w:t>in</w:t>
      </w:r>
      <w:r w:rsidRPr="008910EE">
        <w:t xml:space="preserve"> offices </w:t>
      </w:r>
      <w:r w:rsidR="00630C08" w:rsidRPr="008910EE">
        <w:t xml:space="preserve">right </w:t>
      </w:r>
      <w:r w:rsidR="006C37A3" w:rsidRPr="008910EE">
        <w:t>across</w:t>
      </w:r>
      <w:r w:rsidRPr="008910EE">
        <w:t xml:space="preserve"> </w:t>
      </w:r>
      <w:r w:rsidR="001854AB" w:rsidRPr="008910EE">
        <w:t xml:space="preserve">metropolitan and regional </w:t>
      </w:r>
      <w:r w:rsidRPr="008910EE">
        <w:t>Victoria</w:t>
      </w:r>
      <w:r w:rsidR="007E16D2" w:rsidRPr="008910EE">
        <w:t>.</w:t>
      </w:r>
      <w:r w:rsidRPr="008910EE">
        <w:t xml:space="preserve"> </w:t>
      </w:r>
      <w:bookmarkEnd w:id="21"/>
    </w:p>
    <w:p w14:paraId="2E0640B4" w14:textId="2EF369DB" w:rsidR="00471335" w:rsidRPr="008910EE" w:rsidRDefault="00471335" w:rsidP="00602E79">
      <w:pPr>
        <w:pStyle w:val="Heading2"/>
        <w:rPr>
          <w:rFonts w:eastAsiaTheme="minorEastAsia"/>
        </w:rPr>
      </w:pPr>
      <w:bookmarkStart w:id="22" w:name="_Toc80708350"/>
      <w:r w:rsidRPr="008910EE">
        <w:t>Our services</w:t>
      </w:r>
      <w:bookmarkEnd w:id="22"/>
    </w:p>
    <w:p w14:paraId="30E51B65" w14:textId="49332AEE" w:rsidR="00D0323D" w:rsidRPr="008910EE" w:rsidRDefault="00850DFF" w:rsidP="00E67582">
      <w:pPr>
        <w:pStyle w:val="Bullet1"/>
      </w:pPr>
      <w:r w:rsidRPr="008910EE">
        <w:t>In 2021</w:t>
      </w:r>
      <w:r w:rsidR="000E78D8" w:rsidRPr="008910EE">
        <w:t>–</w:t>
      </w:r>
      <w:r w:rsidRPr="008910EE">
        <w:t>22 we are providing more than $1.</w:t>
      </w:r>
      <w:r w:rsidR="00D74C58" w:rsidRPr="008910EE">
        <w:t>46</w:t>
      </w:r>
      <w:r w:rsidRPr="008910EE">
        <w:t xml:space="preserve"> billion in service agreement funding to </w:t>
      </w:r>
      <w:r w:rsidR="00690390" w:rsidRPr="008910EE">
        <w:t>920</w:t>
      </w:r>
      <w:r w:rsidRPr="008910EE">
        <w:t xml:space="preserve"> agencies</w:t>
      </w:r>
      <w:r w:rsidR="007E16D2" w:rsidRPr="008910EE">
        <w:t>.</w:t>
      </w:r>
      <w:r w:rsidRPr="008910EE">
        <w:rPr>
          <w:rStyle w:val="EndnoteReference"/>
        </w:rPr>
        <w:endnoteReference w:id="3"/>
      </w:r>
      <w:r w:rsidR="0084582F" w:rsidRPr="008910EE">
        <w:rPr>
          <w:vertAlign w:val="superscript"/>
        </w:rPr>
        <w:t xml:space="preserve"> </w:t>
      </w:r>
    </w:p>
    <w:p w14:paraId="617803F1" w14:textId="003F5649" w:rsidR="00DD3AF6" w:rsidRPr="008910EE" w:rsidRDefault="00DD3AF6" w:rsidP="00E67582">
      <w:pPr>
        <w:pStyle w:val="Bullet1"/>
      </w:pPr>
      <w:r w:rsidRPr="008910EE">
        <w:t xml:space="preserve">We invest </w:t>
      </w:r>
      <w:r w:rsidR="006A6698" w:rsidRPr="008910EE">
        <w:t xml:space="preserve">about </w:t>
      </w:r>
      <w:r w:rsidRPr="008910EE">
        <w:t>$</w:t>
      </w:r>
      <w:r w:rsidR="0000248B" w:rsidRPr="008910EE">
        <w:t>2</w:t>
      </w:r>
      <w:r w:rsidRPr="008910EE">
        <w:t>.</w:t>
      </w:r>
      <w:r w:rsidR="00AC41A3" w:rsidRPr="008910EE">
        <w:t>8</w:t>
      </w:r>
      <w:r w:rsidRPr="008910EE">
        <w:t xml:space="preserve"> billion</w:t>
      </w:r>
      <w:r w:rsidR="0000248B" w:rsidRPr="008910EE">
        <w:t xml:space="preserve"> </w:t>
      </w:r>
      <w:r w:rsidRPr="008910EE">
        <w:t>per year in the National Disability Insurance Scheme</w:t>
      </w:r>
      <w:r w:rsidR="00EF5DF3" w:rsidRPr="008910EE">
        <w:t xml:space="preserve"> (</w:t>
      </w:r>
      <w:r w:rsidR="007E16D2" w:rsidRPr="008910EE">
        <w:t>NDIS</w:t>
      </w:r>
      <w:r w:rsidR="00EF5DF3" w:rsidRPr="008910EE">
        <w:t>)</w:t>
      </w:r>
      <w:r w:rsidR="009154BD" w:rsidRPr="008910EE">
        <w:t>.</w:t>
      </w:r>
      <w:r w:rsidR="007E4042" w:rsidRPr="008910EE">
        <w:rPr>
          <w:rStyle w:val="EndnoteReference"/>
        </w:rPr>
        <w:endnoteReference w:id="4"/>
      </w:r>
    </w:p>
    <w:p w14:paraId="23ECCC5D" w14:textId="434329A7" w:rsidR="00850DFF" w:rsidRPr="008910EE" w:rsidRDefault="00D0323D" w:rsidP="009E3C36">
      <w:pPr>
        <w:pStyle w:val="Bullet1"/>
      </w:pPr>
      <w:r w:rsidRPr="008910EE">
        <w:t xml:space="preserve">We </w:t>
      </w:r>
      <w:r w:rsidR="006A6698" w:rsidRPr="008910EE">
        <w:t xml:space="preserve">give </w:t>
      </w:r>
      <w:r w:rsidR="0022453A" w:rsidRPr="008910EE">
        <w:t xml:space="preserve">grants funding to </w:t>
      </w:r>
      <w:r w:rsidR="00A81E8B" w:rsidRPr="008910EE">
        <w:t>more than 2</w:t>
      </w:r>
      <w:r w:rsidR="0022453A" w:rsidRPr="008910EE">
        <w:t xml:space="preserve">,000 multicultural community </w:t>
      </w:r>
      <w:r w:rsidRPr="008910EE">
        <w:t>organisations</w:t>
      </w:r>
      <w:r w:rsidR="007E16D2" w:rsidRPr="008910EE">
        <w:t>.</w:t>
      </w:r>
      <w:r w:rsidR="004E169D" w:rsidRPr="008910EE">
        <w:rPr>
          <w:rStyle w:val="EndnoteReference"/>
        </w:rPr>
        <w:endnoteReference w:id="5"/>
      </w:r>
    </w:p>
    <w:p w14:paraId="4E68D25E" w14:textId="618710BD" w:rsidR="00850DFF" w:rsidRPr="008910EE" w:rsidRDefault="00850DFF" w:rsidP="009E3C36">
      <w:pPr>
        <w:pStyle w:val="Bullet1"/>
      </w:pPr>
      <w:r w:rsidRPr="008910EE">
        <w:rPr>
          <w:rStyle w:val="xnormaltextrun"/>
          <w:rFonts w:eastAsia="Arial" w:cs="Arial"/>
        </w:rPr>
        <w:t>In 2019</w:t>
      </w:r>
      <w:r w:rsidR="000E78D8" w:rsidRPr="008910EE">
        <w:rPr>
          <w:rStyle w:val="xnormaltextrun"/>
          <w:rFonts w:eastAsia="Arial" w:cs="Arial"/>
        </w:rPr>
        <w:t>–</w:t>
      </w:r>
      <w:r w:rsidRPr="008910EE">
        <w:rPr>
          <w:rStyle w:val="xnormaltextrun"/>
          <w:rFonts w:eastAsia="Arial" w:cs="Arial"/>
        </w:rPr>
        <w:t xml:space="preserve">20 our Secretary had parental responsibility for 12,727 children </w:t>
      </w:r>
      <w:r w:rsidR="00DB54FC" w:rsidRPr="008910EE">
        <w:rPr>
          <w:rStyle w:val="xnormaltextrun"/>
          <w:rFonts w:eastAsia="Arial" w:cs="Arial"/>
        </w:rPr>
        <w:t xml:space="preserve">and young people </w:t>
      </w:r>
      <w:r w:rsidRPr="008910EE">
        <w:rPr>
          <w:rStyle w:val="xnormaltextrun"/>
          <w:rFonts w:eastAsia="Arial" w:cs="Arial"/>
        </w:rPr>
        <w:t>in our child protection system</w:t>
      </w:r>
      <w:r w:rsidR="007E16D2" w:rsidRPr="008910EE">
        <w:rPr>
          <w:rStyle w:val="xnormaltextrun"/>
          <w:rFonts w:eastAsia="Arial" w:cs="Arial"/>
        </w:rPr>
        <w:t>.</w:t>
      </w:r>
      <w:r w:rsidRPr="008910EE">
        <w:rPr>
          <w:rStyle w:val="EndnoteReference"/>
          <w:rFonts w:eastAsia="Arial" w:cs="Arial"/>
        </w:rPr>
        <w:endnoteReference w:id="6"/>
      </w:r>
    </w:p>
    <w:p w14:paraId="265B3E09" w14:textId="4ADE5A08" w:rsidR="00850DFF" w:rsidRPr="008910EE" w:rsidRDefault="00850DFF" w:rsidP="009E3C36">
      <w:pPr>
        <w:pStyle w:val="Bullet1"/>
      </w:pPr>
      <w:r w:rsidRPr="008910EE">
        <w:t>In 2019</w:t>
      </w:r>
      <w:r w:rsidR="000E78D8" w:rsidRPr="008910EE">
        <w:t>–</w:t>
      </w:r>
      <w:r w:rsidRPr="008910EE">
        <w:t xml:space="preserve">20 we </w:t>
      </w:r>
      <w:r w:rsidR="006A6698" w:rsidRPr="008910EE">
        <w:t xml:space="preserve">helped </w:t>
      </w:r>
      <w:r w:rsidRPr="008910EE">
        <w:t>115,168 clients to address and prevent homelessness, with almost half of these seeking support due to family violence</w:t>
      </w:r>
      <w:r w:rsidR="007E16D2" w:rsidRPr="008910EE">
        <w:t>.</w:t>
      </w:r>
      <w:r w:rsidRPr="008910EE">
        <w:rPr>
          <w:rStyle w:val="EndnoteReference"/>
        </w:rPr>
        <w:endnoteReference w:id="7"/>
      </w:r>
    </w:p>
    <w:p w14:paraId="2A9DC30D" w14:textId="651C46F3" w:rsidR="002365F3" w:rsidRPr="008910EE" w:rsidRDefault="00256963" w:rsidP="009E3C36">
      <w:pPr>
        <w:pStyle w:val="Bullet1"/>
      </w:pPr>
      <w:r w:rsidRPr="008910EE">
        <w:t>Since 2018 T</w:t>
      </w:r>
      <w:r w:rsidR="008B1021" w:rsidRPr="008910EE">
        <w:t>he Orange Door network has helped more than 140,000 Victorians, including more than 55,000 children</w:t>
      </w:r>
      <w:r w:rsidR="007E16D2" w:rsidRPr="008910EE">
        <w:t>.</w:t>
      </w:r>
      <w:r w:rsidR="008B1021" w:rsidRPr="008910EE">
        <w:rPr>
          <w:rStyle w:val="EndnoteReference"/>
          <w:rFonts w:eastAsia="Calibri" w:cs="Arial"/>
          <w:color w:val="201F1E"/>
          <w:szCs w:val="21"/>
        </w:rPr>
        <w:endnoteReference w:id="8"/>
      </w:r>
    </w:p>
    <w:p w14:paraId="54BABE64" w14:textId="144F4B8A" w:rsidR="00D651CF" w:rsidRPr="008910EE" w:rsidRDefault="00D651CF" w:rsidP="009E3C36">
      <w:pPr>
        <w:pStyle w:val="Bullet1"/>
      </w:pPr>
      <w:r w:rsidRPr="008910EE">
        <w:t>In 2019</w:t>
      </w:r>
      <w:r w:rsidR="000E78D8" w:rsidRPr="008910EE">
        <w:t>–</w:t>
      </w:r>
      <w:r w:rsidRPr="008910EE">
        <w:t>20 the elder abuse statewide helpline received 3,303 calls for support, information referral or advice</w:t>
      </w:r>
      <w:r w:rsidR="007E16D2" w:rsidRPr="008910EE">
        <w:t>.</w:t>
      </w:r>
      <w:r w:rsidRPr="008910EE">
        <w:rPr>
          <w:rStyle w:val="EndnoteReference"/>
          <w:rFonts w:eastAsia="Arial" w:cs="Arial"/>
          <w:szCs w:val="21"/>
        </w:rPr>
        <w:endnoteReference w:id="9"/>
      </w:r>
    </w:p>
    <w:p w14:paraId="0130DF2E" w14:textId="7B4D1C90" w:rsidR="00850DFF" w:rsidRPr="008910EE" w:rsidRDefault="00850DFF" w:rsidP="009E3C36">
      <w:pPr>
        <w:pStyle w:val="Bullet1"/>
      </w:pPr>
      <w:r w:rsidRPr="008910EE">
        <w:t xml:space="preserve">We </w:t>
      </w:r>
      <w:r w:rsidR="006A6698" w:rsidRPr="008910EE">
        <w:t xml:space="preserve">helped in </w:t>
      </w:r>
      <w:r w:rsidRPr="008910EE">
        <w:t xml:space="preserve">40,451 family services </w:t>
      </w:r>
      <w:r w:rsidR="00575624" w:rsidRPr="008910EE">
        <w:t>cases</w:t>
      </w:r>
      <w:r w:rsidRPr="008910EE">
        <w:t xml:space="preserve"> in 2019</w:t>
      </w:r>
      <w:r w:rsidR="000E78D8" w:rsidRPr="008910EE">
        <w:t>–</w:t>
      </w:r>
      <w:r w:rsidRPr="008910EE">
        <w:t>20</w:t>
      </w:r>
      <w:r w:rsidR="007E16D2" w:rsidRPr="008910EE">
        <w:t>.</w:t>
      </w:r>
      <w:r w:rsidRPr="008910EE">
        <w:rPr>
          <w:rStyle w:val="EndnoteReference"/>
        </w:rPr>
        <w:endnoteReference w:id="10"/>
      </w:r>
    </w:p>
    <w:p w14:paraId="4AEE8D2D" w14:textId="33CF583B" w:rsidR="00850DFF" w:rsidRPr="008910EE" w:rsidRDefault="001C7A26" w:rsidP="009E3C36">
      <w:pPr>
        <w:pStyle w:val="Bullet1"/>
      </w:pPr>
      <w:r w:rsidRPr="008910EE">
        <w:t>W</w:t>
      </w:r>
      <w:r w:rsidR="00850DFF" w:rsidRPr="008910EE">
        <w:t xml:space="preserve">e supported community members affected by emergencies with </w:t>
      </w:r>
      <w:r w:rsidR="00BE7661" w:rsidRPr="008910EE">
        <w:t xml:space="preserve">more than </w:t>
      </w:r>
      <w:r w:rsidR="00850DFF" w:rsidRPr="008910EE">
        <w:t>$</w:t>
      </w:r>
      <w:r w:rsidR="00830B7B" w:rsidRPr="008910EE">
        <w:t>1.1</w:t>
      </w:r>
      <w:r w:rsidR="00850DFF" w:rsidRPr="008910EE">
        <w:t xml:space="preserve"> million in Personal Hardship Assistance Payments</w:t>
      </w:r>
      <w:r w:rsidR="00F75B5A" w:rsidRPr="008910EE">
        <w:t xml:space="preserve"> across 2020</w:t>
      </w:r>
      <w:r w:rsidR="00B50D88" w:rsidRPr="008910EE">
        <w:t>–</w:t>
      </w:r>
      <w:r w:rsidR="00F75B5A" w:rsidRPr="008910EE">
        <w:t>21</w:t>
      </w:r>
      <w:r w:rsidR="007E16D2" w:rsidRPr="008910EE">
        <w:t>.</w:t>
      </w:r>
      <w:r w:rsidR="001629FE" w:rsidRPr="008910EE">
        <w:rPr>
          <w:rStyle w:val="EndnoteReference"/>
        </w:rPr>
        <w:endnoteReference w:id="11"/>
      </w:r>
    </w:p>
    <w:p w14:paraId="7CFD5130" w14:textId="0A5D0230" w:rsidR="006D4DBB" w:rsidRPr="008910EE" w:rsidRDefault="006D4DBB" w:rsidP="00D84187">
      <w:pPr>
        <w:pStyle w:val="Heading2"/>
      </w:pPr>
      <w:bookmarkStart w:id="23" w:name="_Toc80708351"/>
      <w:r w:rsidRPr="008910EE">
        <w:t>Our funded initiatives</w:t>
      </w:r>
      <w:r w:rsidR="00050ADA" w:rsidRPr="008910EE">
        <w:t xml:space="preserve"> 2020-21</w:t>
      </w:r>
      <w:bookmarkEnd w:id="23"/>
    </w:p>
    <w:p w14:paraId="070B4FFC" w14:textId="2BB39321" w:rsidR="006D4DBB" w:rsidRPr="008910EE" w:rsidRDefault="00562384" w:rsidP="00D84187">
      <w:pPr>
        <w:pStyle w:val="Heading3"/>
      </w:pPr>
      <w:r w:rsidRPr="008910EE">
        <w:t>Victorian State Budget 2020-21 o</w:t>
      </w:r>
      <w:r w:rsidR="006D4DBB" w:rsidRPr="008910EE">
        <w:t>utput initiatives</w:t>
      </w:r>
      <w:r w:rsidR="009E3C36" w:rsidRPr="008910EE">
        <w:t xml:space="preserve"> – Department of Families, Fairness and Housing ($ million)</w:t>
      </w:r>
      <w:r w:rsidR="003059B7" w:rsidRPr="008910EE">
        <w:rPr>
          <w:rStyle w:val="EndnoteReference"/>
        </w:rPr>
        <w:endnoteReference w:id="12"/>
      </w:r>
    </w:p>
    <w:p w14:paraId="58082B72" w14:textId="752E7FAB" w:rsidR="006D4DBB" w:rsidRPr="008910EE" w:rsidRDefault="009E3C36" w:rsidP="009E3C36">
      <w:pPr>
        <w:pStyle w:val="Tablecaption"/>
      </w:pPr>
      <w:r w:rsidRPr="008910EE">
        <w:t>Child protection and family services</w:t>
      </w:r>
    </w:p>
    <w:tbl>
      <w:tblPr>
        <w:tblStyle w:val="TableGrid"/>
        <w:tblW w:w="9124" w:type="dxa"/>
        <w:tblLayout w:type="fixed"/>
        <w:tblLook w:val="06E0" w:firstRow="1" w:lastRow="1" w:firstColumn="1" w:lastColumn="0" w:noHBand="1" w:noVBand="1"/>
      </w:tblPr>
      <w:tblGrid>
        <w:gridCol w:w="4199"/>
        <w:gridCol w:w="987"/>
        <w:gridCol w:w="984"/>
        <w:gridCol w:w="985"/>
        <w:gridCol w:w="984"/>
        <w:gridCol w:w="985"/>
      </w:tblGrid>
      <w:tr w:rsidR="0014672F" w:rsidRPr="008910EE" w14:paraId="22BD4F70" w14:textId="77777777" w:rsidTr="00C92D8C">
        <w:trPr>
          <w:tblHeader/>
        </w:trPr>
        <w:tc>
          <w:tcPr>
            <w:tcW w:w="4199" w:type="dxa"/>
          </w:tcPr>
          <w:p w14:paraId="4C779765" w14:textId="20EDC248" w:rsidR="006D4DBB" w:rsidRPr="008910EE" w:rsidRDefault="00C92D8C" w:rsidP="00C92D8C">
            <w:pPr>
              <w:pStyle w:val="Tablecolhead"/>
            </w:pPr>
            <w:r w:rsidRPr="008910EE">
              <w:t>Initiative</w:t>
            </w:r>
          </w:p>
        </w:tc>
        <w:tc>
          <w:tcPr>
            <w:tcW w:w="987" w:type="dxa"/>
          </w:tcPr>
          <w:p w14:paraId="22F7D582" w14:textId="193FDC7B" w:rsidR="006D4DBB" w:rsidRPr="008910EE" w:rsidRDefault="006D4DBB" w:rsidP="00C92D8C">
            <w:pPr>
              <w:pStyle w:val="Tablecolhead"/>
            </w:pPr>
            <w:r w:rsidRPr="008910EE">
              <w:t>2020</w:t>
            </w:r>
            <w:r w:rsidR="000E78D8" w:rsidRPr="008910EE">
              <w:t>–</w:t>
            </w:r>
            <w:r w:rsidRPr="008910EE">
              <w:t>21</w:t>
            </w:r>
          </w:p>
        </w:tc>
        <w:tc>
          <w:tcPr>
            <w:tcW w:w="984" w:type="dxa"/>
          </w:tcPr>
          <w:p w14:paraId="18C6B193" w14:textId="41FA1727" w:rsidR="006D4DBB" w:rsidRPr="008910EE" w:rsidRDefault="006D4DBB" w:rsidP="00C92D8C">
            <w:pPr>
              <w:pStyle w:val="Tablecolhead"/>
            </w:pPr>
            <w:r w:rsidRPr="008910EE">
              <w:t>2021</w:t>
            </w:r>
            <w:r w:rsidR="000E78D8" w:rsidRPr="008910EE">
              <w:t>–</w:t>
            </w:r>
            <w:r w:rsidRPr="008910EE">
              <w:t>22</w:t>
            </w:r>
          </w:p>
        </w:tc>
        <w:tc>
          <w:tcPr>
            <w:tcW w:w="985" w:type="dxa"/>
          </w:tcPr>
          <w:p w14:paraId="1997039C" w14:textId="3256FD0C" w:rsidR="006D4DBB" w:rsidRPr="008910EE" w:rsidRDefault="006D4DBB" w:rsidP="00C92D8C">
            <w:pPr>
              <w:pStyle w:val="Tablecolhead"/>
            </w:pPr>
            <w:r w:rsidRPr="008910EE">
              <w:t>2022</w:t>
            </w:r>
            <w:r w:rsidR="000E78D8" w:rsidRPr="008910EE">
              <w:t>–</w:t>
            </w:r>
            <w:r w:rsidRPr="008910EE">
              <w:t>23</w:t>
            </w:r>
          </w:p>
        </w:tc>
        <w:tc>
          <w:tcPr>
            <w:tcW w:w="984" w:type="dxa"/>
          </w:tcPr>
          <w:p w14:paraId="51723BC8" w14:textId="4E3692F2" w:rsidR="006D4DBB" w:rsidRPr="008910EE" w:rsidRDefault="006D4DBB" w:rsidP="00C92D8C">
            <w:pPr>
              <w:pStyle w:val="Tablecolhead"/>
            </w:pPr>
            <w:r w:rsidRPr="008910EE">
              <w:t>2023</w:t>
            </w:r>
            <w:r w:rsidR="000E78D8" w:rsidRPr="008910EE">
              <w:t>–</w:t>
            </w:r>
            <w:r w:rsidRPr="008910EE">
              <w:t>24</w:t>
            </w:r>
          </w:p>
        </w:tc>
        <w:tc>
          <w:tcPr>
            <w:tcW w:w="985" w:type="dxa"/>
          </w:tcPr>
          <w:p w14:paraId="266C45C5" w14:textId="1EB022BC" w:rsidR="006D4DBB" w:rsidRPr="008910EE" w:rsidRDefault="006D4DBB" w:rsidP="00C92D8C">
            <w:pPr>
              <w:pStyle w:val="Tablecolhead"/>
            </w:pPr>
            <w:r w:rsidRPr="008910EE">
              <w:t>2024</w:t>
            </w:r>
            <w:r w:rsidR="000E78D8" w:rsidRPr="008910EE">
              <w:t>–</w:t>
            </w:r>
            <w:r w:rsidRPr="008910EE">
              <w:t>25</w:t>
            </w:r>
          </w:p>
        </w:tc>
      </w:tr>
      <w:tr w:rsidR="006D4DBB" w:rsidRPr="008910EE" w14:paraId="460D1CB2" w14:textId="77777777" w:rsidTr="009E3C36">
        <w:tc>
          <w:tcPr>
            <w:tcW w:w="4199" w:type="dxa"/>
          </w:tcPr>
          <w:p w14:paraId="6A833EC9" w14:textId="77777777" w:rsidR="006D4DBB" w:rsidRPr="008910EE" w:rsidRDefault="006D4DBB" w:rsidP="009E3C36">
            <w:pPr>
              <w:pStyle w:val="Tabletext"/>
            </w:pPr>
            <w:r w:rsidRPr="008910EE">
              <w:t>Early interve</w:t>
            </w:r>
            <w:bookmarkStart w:id="24" w:name="RowTitle_Initiative_ChildFamilyServices"/>
            <w:bookmarkEnd w:id="24"/>
            <w:r w:rsidRPr="008910EE">
              <w:t>ntion and diversion</w:t>
            </w:r>
          </w:p>
        </w:tc>
        <w:tc>
          <w:tcPr>
            <w:tcW w:w="987" w:type="dxa"/>
          </w:tcPr>
          <w:p w14:paraId="480C8647" w14:textId="2B02F57B" w:rsidR="006D4DBB" w:rsidRPr="008910EE" w:rsidRDefault="00C92D8C" w:rsidP="009E3C36">
            <w:pPr>
              <w:pStyle w:val="Tabletext"/>
            </w:pPr>
            <w:r w:rsidRPr="008910EE">
              <w:t>–</w:t>
            </w:r>
            <w:bookmarkStart w:id="25" w:name="RowTitle_2020_21_ChildFamilyServices"/>
            <w:bookmarkEnd w:id="25"/>
          </w:p>
        </w:tc>
        <w:tc>
          <w:tcPr>
            <w:tcW w:w="984" w:type="dxa"/>
          </w:tcPr>
          <w:p w14:paraId="238839CC" w14:textId="77777777" w:rsidR="006D4DBB" w:rsidRPr="008910EE" w:rsidRDefault="006D4DBB" w:rsidP="009E3C36">
            <w:pPr>
              <w:pStyle w:val="Tabletext"/>
            </w:pPr>
            <w:r w:rsidRPr="008910EE">
              <w:t>15.</w:t>
            </w:r>
            <w:bookmarkStart w:id="26" w:name="RowTitle_2021_22_ChildFamilyServices"/>
            <w:bookmarkEnd w:id="26"/>
            <w:r w:rsidRPr="008910EE">
              <w:t>6</w:t>
            </w:r>
          </w:p>
        </w:tc>
        <w:tc>
          <w:tcPr>
            <w:tcW w:w="985" w:type="dxa"/>
          </w:tcPr>
          <w:p w14:paraId="3C1DFF15" w14:textId="77777777" w:rsidR="006D4DBB" w:rsidRPr="008910EE" w:rsidRDefault="006D4DBB" w:rsidP="009E3C36">
            <w:pPr>
              <w:pStyle w:val="Tabletext"/>
            </w:pPr>
            <w:r w:rsidRPr="008910EE">
              <w:t>25.</w:t>
            </w:r>
            <w:bookmarkStart w:id="27" w:name="RowTitle_2022_23_ChildFamilyServices"/>
            <w:bookmarkEnd w:id="27"/>
            <w:r w:rsidRPr="008910EE">
              <w:t>9</w:t>
            </w:r>
          </w:p>
        </w:tc>
        <w:tc>
          <w:tcPr>
            <w:tcW w:w="984" w:type="dxa"/>
          </w:tcPr>
          <w:p w14:paraId="65CF9667" w14:textId="77777777" w:rsidR="006D4DBB" w:rsidRPr="008910EE" w:rsidRDefault="006D4DBB" w:rsidP="009E3C36">
            <w:pPr>
              <w:pStyle w:val="Tabletext"/>
            </w:pPr>
            <w:r w:rsidRPr="008910EE">
              <w:t>16.5</w:t>
            </w:r>
            <w:bookmarkStart w:id="28" w:name="RowTitle_2023_24_ChildFamilyServices"/>
            <w:bookmarkEnd w:id="28"/>
          </w:p>
        </w:tc>
        <w:tc>
          <w:tcPr>
            <w:tcW w:w="985" w:type="dxa"/>
          </w:tcPr>
          <w:p w14:paraId="67C9DC16" w14:textId="77777777" w:rsidR="006D4DBB" w:rsidRPr="008910EE" w:rsidRDefault="006D4DBB" w:rsidP="009E3C36">
            <w:pPr>
              <w:pStyle w:val="Tabletext"/>
            </w:pPr>
            <w:r w:rsidRPr="008910EE">
              <w:t>12</w:t>
            </w:r>
            <w:bookmarkStart w:id="29" w:name="RowTitle_2024_25_ChildFamilyServices"/>
            <w:bookmarkEnd w:id="29"/>
            <w:r w:rsidRPr="008910EE">
              <w:t>.3</w:t>
            </w:r>
          </w:p>
        </w:tc>
      </w:tr>
      <w:tr w:rsidR="006D4DBB" w:rsidRPr="008910EE" w14:paraId="61B50948" w14:textId="77777777" w:rsidTr="009E3C36">
        <w:tc>
          <w:tcPr>
            <w:tcW w:w="4199" w:type="dxa"/>
          </w:tcPr>
          <w:p w14:paraId="0012B74D" w14:textId="77777777" w:rsidR="006D4DBB" w:rsidRPr="008910EE" w:rsidRDefault="006D4DBB" w:rsidP="009E3C36">
            <w:pPr>
              <w:pStyle w:val="Tabletext"/>
            </w:pPr>
            <w:r w:rsidRPr="008910EE">
              <w:t>Maintaining the foundations of the children and families system</w:t>
            </w:r>
          </w:p>
        </w:tc>
        <w:tc>
          <w:tcPr>
            <w:tcW w:w="987" w:type="dxa"/>
          </w:tcPr>
          <w:p w14:paraId="690EC842" w14:textId="56732D1B" w:rsidR="006D4DBB" w:rsidRPr="008910EE" w:rsidRDefault="00C92D8C" w:rsidP="009E3C36">
            <w:pPr>
              <w:pStyle w:val="Tabletext"/>
            </w:pPr>
            <w:r w:rsidRPr="008910EE">
              <w:t>–</w:t>
            </w:r>
          </w:p>
        </w:tc>
        <w:tc>
          <w:tcPr>
            <w:tcW w:w="984" w:type="dxa"/>
          </w:tcPr>
          <w:p w14:paraId="77256A29" w14:textId="77777777" w:rsidR="006D4DBB" w:rsidRPr="008910EE" w:rsidRDefault="006D4DBB" w:rsidP="009E3C36">
            <w:pPr>
              <w:pStyle w:val="Tabletext"/>
            </w:pPr>
            <w:r w:rsidRPr="008910EE">
              <w:t>263.9</w:t>
            </w:r>
          </w:p>
        </w:tc>
        <w:tc>
          <w:tcPr>
            <w:tcW w:w="985" w:type="dxa"/>
          </w:tcPr>
          <w:p w14:paraId="71669ABB" w14:textId="77777777" w:rsidR="006D4DBB" w:rsidRPr="008910EE" w:rsidRDefault="006D4DBB" w:rsidP="009E3C36">
            <w:pPr>
              <w:pStyle w:val="Tabletext"/>
            </w:pPr>
            <w:r w:rsidRPr="008910EE">
              <w:t>243.0</w:t>
            </w:r>
          </w:p>
        </w:tc>
        <w:tc>
          <w:tcPr>
            <w:tcW w:w="984" w:type="dxa"/>
          </w:tcPr>
          <w:p w14:paraId="084AF13F" w14:textId="77777777" w:rsidR="006D4DBB" w:rsidRPr="008910EE" w:rsidRDefault="006D4DBB" w:rsidP="009E3C36">
            <w:pPr>
              <w:pStyle w:val="Tabletext"/>
            </w:pPr>
            <w:r w:rsidRPr="008910EE">
              <w:t>249.5</w:t>
            </w:r>
          </w:p>
        </w:tc>
        <w:tc>
          <w:tcPr>
            <w:tcW w:w="985" w:type="dxa"/>
          </w:tcPr>
          <w:p w14:paraId="3E15B45C" w14:textId="77777777" w:rsidR="006D4DBB" w:rsidRPr="008910EE" w:rsidRDefault="006D4DBB" w:rsidP="009E3C36">
            <w:pPr>
              <w:pStyle w:val="Tabletext"/>
            </w:pPr>
            <w:r w:rsidRPr="008910EE">
              <w:t>247.4</w:t>
            </w:r>
          </w:p>
        </w:tc>
      </w:tr>
      <w:tr w:rsidR="006D4DBB" w:rsidRPr="008910EE" w14:paraId="022EAFD4" w14:textId="77777777" w:rsidTr="009E3C36">
        <w:tc>
          <w:tcPr>
            <w:tcW w:w="4199" w:type="dxa"/>
          </w:tcPr>
          <w:p w14:paraId="79320384" w14:textId="77777777" w:rsidR="006D4DBB" w:rsidRPr="008910EE" w:rsidRDefault="006D4DBB" w:rsidP="009E3C36">
            <w:pPr>
              <w:pStyle w:val="Tabletext"/>
            </w:pPr>
            <w:r w:rsidRPr="008910EE">
              <w:t>Putting Families First</w:t>
            </w:r>
          </w:p>
        </w:tc>
        <w:tc>
          <w:tcPr>
            <w:tcW w:w="987" w:type="dxa"/>
          </w:tcPr>
          <w:p w14:paraId="0EBDE288" w14:textId="6E13964B" w:rsidR="006D4DBB" w:rsidRPr="008910EE" w:rsidRDefault="00C92D8C" w:rsidP="009E3C36">
            <w:pPr>
              <w:pStyle w:val="Tabletext"/>
            </w:pPr>
            <w:r w:rsidRPr="008910EE">
              <w:t>–</w:t>
            </w:r>
          </w:p>
        </w:tc>
        <w:tc>
          <w:tcPr>
            <w:tcW w:w="984" w:type="dxa"/>
          </w:tcPr>
          <w:p w14:paraId="25A82D63" w14:textId="77777777" w:rsidR="006D4DBB" w:rsidRPr="008910EE" w:rsidRDefault="006D4DBB" w:rsidP="009E3C36">
            <w:pPr>
              <w:pStyle w:val="Tabletext"/>
            </w:pPr>
            <w:r w:rsidRPr="008910EE">
              <w:t>5.3</w:t>
            </w:r>
          </w:p>
        </w:tc>
        <w:tc>
          <w:tcPr>
            <w:tcW w:w="985" w:type="dxa"/>
          </w:tcPr>
          <w:p w14:paraId="3FE1E85C" w14:textId="77777777" w:rsidR="006D4DBB" w:rsidRPr="008910EE" w:rsidRDefault="006D4DBB" w:rsidP="009E3C36">
            <w:pPr>
              <w:pStyle w:val="Tabletext"/>
            </w:pPr>
            <w:r w:rsidRPr="008910EE">
              <w:t>6.2</w:t>
            </w:r>
          </w:p>
        </w:tc>
        <w:tc>
          <w:tcPr>
            <w:tcW w:w="984" w:type="dxa"/>
          </w:tcPr>
          <w:p w14:paraId="589BF081" w14:textId="77777777" w:rsidR="006D4DBB" w:rsidRPr="008910EE" w:rsidRDefault="006D4DBB" w:rsidP="009E3C36">
            <w:pPr>
              <w:pStyle w:val="Tabletext"/>
            </w:pPr>
            <w:r w:rsidRPr="008910EE">
              <w:t>6.3</w:t>
            </w:r>
          </w:p>
        </w:tc>
        <w:tc>
          <w:tcPr>
            <w:tcW w:w="985" w:type="dxa"/>
          </w:tcPr>
          <w:p w14:paraId="716671F5" w14:textId="56C037A1" w:rsidR="006D4DBB" w:rsidRPr="008910EE" w:rsidRDefault="00C92D8C" w:rsidP="009E3C36">
            <w:pPr>
              <w:pStyle w:val="Tabletext"/>
            </w:pPr>
            <w:r w:rsidRPr="008910EE">
              <w:t>–</w:t>
            </w:r>
          </w:p>
        </w:tc>
      </w:tr>
      <w:tr w:rsidR="006D4DBB" w:rsidRPr="008910EE" w14:paraId="3B21EC1B" w14:textId="77777777" w:rsidTr="009E3C36">
        <w:tc>
          <w:tcPr>
            <w:tcW w:w="4199" w:type="dxa"/>
          </w:tcPr>
          <w:p w14:paraId="541C1A2D" w14:textId="77777777" w:rsidR="006D4DBB" w:rsidRPr="008910EE" w:rsidRDefault="006D4DBB" w:rsidP="00C92D8C">
            <w:pPr>
              <w:pStyle w:val="Tabletext"/>
            </w:pPr>
            <w:r w:rsidRPr="008910EE">
              <w:t>Reforming care services</w:t>
            </w:r>
          </w:p>
        </w:tc>
        <w:tc>
          <w:tcPr>
            <w:tcW w:w="987" w:type="dxa"/>
          </w:tcPr>
          <w:p w14:paraId="55251919" w14:textId="020821B8" w:rsidR="006D4DBB" w:rsidRPr="008910EE" w:rsidRDefault="00C92D8C" w:rsidP="00C92D8C">
            <w:pPr>
              <w:pStyle w:val="Tabletext"/>
            </w:pPr>
            <w:r w:rsidRPr="008910EE">
              <w:t>–</w:t>
            </w:r>
          </w:p>
        </w:tc>
        <w:tc>
          <w:tcPr>
            <w:tcW w:w="984" w:type="dxa"/>
          </w:tcPr>
          <w:p w14:paraId="0B40C261" w14:textId="77777777" w:rsidR="006D4DBB" w:rsidRPr="008910EE" w:rsidRDefault="006D4DBB" w:rsidP="00C92D8C">
            <w:pPr>
              <w:pStyle w:val="Tabletext"/>
            </w:pPr>
            <w:r w:rsidRPr="008910EE">
              <w:t>53.4</w:t>
            </w:r>
          </w:p>
        </w:tc>
        <w:tc>
          <w:tcPr>
            <w:tcW w:w="985" w:type="dxa"/>
          </w:tcPr>
          <w:p w14:paraId="4E6DC51A" w14:textId="77777777" w:rsidR="006D4DBB" w:rsidRPr="008910EE" w:rsidRDefault="006D4DBB" w:rsidP="00C92D8C">
            <w:pPr>
              <w:pStyle w:val="Tabletext"/>
            </w:pPr>
            <w:r w:rsidRPr="008910EE">
              <w:t>13.2</w:t>
            </w:r>
          </w:p>
        </w:tc>
        <w:tc>
          <w:tcPr>
            <w:tcW w:w="984" w:type="dxa"/>
          </w:tcPr>
          <w:p w14:paraId="642F4352" w14:textId="77777777" w:rsidR="006D4DBB" w:rsidRPr="008910EE" w:rsidRDefault="006D4DBB" w:rsidP="00C92D8C">
            <w:pPr>
              <w:pStyle w:val="Tabletext"/>
            </w:pPr>
            <w:r w:rsidRPr="008910EE">
              <w:t>16.5</w:t>
            </w:r>
          </w:p>
        </w:tc>
        <w:tc>
          <w:tcPr>
            <w:tcW w:w="985" w:type="dxa"/>
          </w:tcPr>
          <w:p w14:paraId="04368892" w14:textId="77777777" w:rsidR="006D4DBB" w:rsidRPr="008910EE" w:rsidRDefault="006D4DBB" w:rsidP="00C92D8C">
            <w:pPr>
              <w:pStyle w:val="Tabletext"/>
            </w:pPr>
            <w:r w:rsidRPr="008910EE">
              <w:t>18.6</w:t>
            </w:r>
          </w:p>
        </w:tc>
      </w:tr>
    </w:tbl>
    <w:p w14:paraId="70D720C8" w14:textId="7F4B506B" w:rsidR="009E3C36" w:rsidRPr="008910EE" w:rsidRDefault="009E3C36" w:rsidP="009E3C36">
      <w:pPr>
        <w:pStyle w:val="Tablecaption"/>
      </w:pPr>
      <w:r w:rsidRPr="008910EE">
        <w:t>Community participation</w:t>
      </w:r>
    </w:p>
    <w:tbl>
      <w:tblPr>
        <w:tblStyle w:val="TableGrid"/>
        <w:tblW w:w="9085" w:type="dxa"/>
        <w:tblLayout w:type="fixed"/>
        <w:tblLook w:val="06E0" w:firstRow="1" w:lastRow="1" w:firstColumn="1" w:lastColumn="0" w:noHBand="1" w:noVBand="1"/>
      </w:tblPr>
      <w:tblGrid>
        <w:gridCol w:w="4199"/>
        <w:gridCol w:w="987"/>
        <w:gridCol w:w="984"/>
        <w:gridCol w:w="985"/>
        <w:gridCol w:w="984"/>
        <w:gridCol w:w="946"/>
      </w:tblGrid>
      <w:tr w:rsidR="00C92D8C" w:rsidRPr="008910EE" w14:paraId="638A0246" w14:textId="77777777" w:rsidTr="00BA475E">
        <w:trPr>
          <w:tblHeader/>
        </w:trPr>
        <w:tc>
          <w:tcPr>
            <w:tcW w:w="4199" w:type="dxa"/>
          </w:tcPr>
          <w:p w14:paraId="1F6BA1F3" w14:textId="4134FC94" w:rsidR="00C92D8C" w:rsidRPr="008910EE" w:rsidRDefault="00C92D8C" w:rsidP="00BA475E">
            <w:pPr>
              <w:pStyle w:val="Tablecolhead"/>
            </w:pPr>
            <w:r w:rsidRPr="008910EE">
              <w:t>Initiative</w:t>
            </w:r>
          </w:p>
        </w:tc>
        <w:tc>
          <w:tcPr>
            <w:tcW w:w="987" w:type="dxa"/>
          </w:tcPr>
          <w:p w14:paraId="7F30AE75" w14:textId="28CA843F" w:rsidR="00C92D8C" w:rsidRPr="008910EE" w:rsidRDefault="00C92D8C" w:rsidP="00BA475E">
            <w:pPr>
              <w:pStyle w:val="Tablecolhead"/>
            </w:pPr>
            <w:r w:rsidRPr="008910EE">
              <w:t>2020–21</w:t>
            </w:r>
          </w:p>
        </w:tc>
        <w:tc>
          <w:tcPr>
            <w:tcW w:w="984" w:type="dxa"/>
          </w:tcPr>
          <w:p w14:paraId="09A1ADC7" w14:textId="7C402D7D" w:rsidR="00C92D8C" w:rsidRPr="008910EE" w:rsidRDefault="00C92D8C" w:rsidP="00BA475E">
            <w:pPr>
              <w:pStyle w:val="Tablecolhead"/>
            </w:pPr>
            <w:r w:rsidRPr="008910EE">
              <w:t>2021–22</w:t>
            </w:r>
          </w:p>
        </w:tc>
        <w:tc>
          <w:tcPr>
            <w:tcW w:w="985" w:type="dxa"/>
          </w:tcPr>
          <w:p w14:paraId="1A9454BB" w14:textId="451E14FD" w:rsidR="00C92D8C" w:rsidRPr="008910EE" w:rsidRDefault="00C92D8C" w:rsidP="00BA475E">
            <w:pPr>
              <w:pStyle w:val="Tablecolhead"/>
            </w:pPr>
            <w:r w:rsidRPr="008910EE">
              <w:t>2022–23</w:t>
            </w:r>
          </w:p>
        </w:tc>
        <w:tc>
          <w:tcPr>
            <w:tcW w:w="984" w:type="dxa"/>
          </w:tcPr>
          <w:p w14:paraId="47834E91" w14:textId="2E17FC10" w:rsidR="00C92D8C" w:rsidRPr="008910EE" w:rsidRDefault="00C92D8C" w:rsidP="00BA475E">
            <w:pPr>
              <w:pStyle w:val="Tablecolhead"/>
            </w:pPr>
            <w:r w:rsidRPr="008910EE">
              <w:t>2023–24</w:t>
            </w:r>
          </w:p>
        </w:tc>
        <w:tc>
          <w:tcPr>
            <w:tcW w:w="946" w:type="dxa"/>
          </w:tcPr>
          <w:p w14:paraId="1369F934" w14:textId="692DB698" w:rsidR="00C92D8C" w:rsidRPr="008910EE" w:rsidRDefault="00C92D8C" w:rsidP="00BA475E">
            <w:pPr>
              <w:pStyle w:val="Tablecolhead"/>
            </w:pPr>
            <w:r w:rsidRPr="008910EE">
              <w:t>2024–25</w:t>
            </w:r>
          </w:p>
        </w:tc>
      </w:tr>
      <w:tr w:rsidR="006D4DBB" w:rsidRPr="008910EE" w14:paraId="2FDCA1C3" w14:textId="77777777" w:rsidTr="00BA475E">
        <w:tc>
          <w:tcPr>
            <w:tcW w:w="4199" w:type="dxa"/>
          </w:tcPr>
          <w:p w14:paraId="40863516" w14:textId="77777777" w:rsidR="006D4DBB" w:rsidRPr="008910EE" w:rsidRDefault="006D4DBB" w:rsidP="00C92D8C">
            <w:pPr>
              <w:pStyle w:val="Tabletext"/>
            </w:pPr>
            <w:r w:rsidRPr="008910EE">
              <w:t>Building bett</w:t>
            </w:r>
            <w:bookmarkStart w:id="30" w:name="RowTitle_Initiative_CommunityParticip"/>
            <w:bookmarkEnd w:id="30"/>
            <w:r w:rsidRPr="008910EE">
              <w:t>er connected communities</w:t>
            </w:r>
          </w:p>
        </w:tc>
        <w:tc>
          <w:tcPr>
            <w:tcW w:w="987" w:type="dxa"/>
          </w:tcPr>
          <w:p w14:paraId="77AF57EB" w14:textId="28BB4B09" w:rsidR="006D4DBB" w:rsidRPr="008910EE" w:rsidRDefault="00C92D8C" w:rsidP="00C92D8C">
            <w:pPr>
              <w:pStyle w:val="Tabletext"/>
            </w:pPr>
            <w:r w:rsidRPr="008910EE">
              <w:t>–</w:t>
            </w:r>
            <w:bookmarkStart w:id="31" w:name="RowTitle_2020_21_CommunityParticipation"/>
            <w:bookmarkEnd w:id="31"/>
          </w:p>
        </w:tc>
        <w:tc>
          <w:tcPr>
            <w:tcW w:w="984" w:type="dxa"/>
          </w:tcPr>
          <w:p w14:paraId="1CCCC4CA" w14:textId="77777777" w:rsidR="006D4DBB" w:rsidRPr="008910EE" w:rsidRDefault="006D4DBB" w:rsidP="00C92D8C">
            <w:pPr>
              <w:pStyle w:val="Tabletext"/>
            </w:pPr>
            <w:r w:rsidRPr="008910EE">
              <w:t>1.8</w:t>
            </w:r>
            <w:bookmarkStart w:id="32" w:name="RowTitle_2021_22_CommunityParticipation"/>
            <w:bookmarkEnd w:id="32"/>
          </w:p>
        </w:tc>
        <w:tc>
          <w:tcPr>
            <w:tcW w:w="985" w:type="dxa"/>
          </w:tcPr>
          <w:p w14:paraId="76A63AF1" w14:textId="77777777" w:rsidR="006D4DBB" w:rsidRPr="008910EE" w:rsidRDefault="006D4DBB" w:rsidP="00C92D8C">
            <w:pPr>
              <w:pStyle w:val="Tabletext"/>
            </w:pPr>
            <w:r w:rsidRPr="008910EE">
              <w:t>0.</w:t>
            </w:r>
            <w:bookmarkStart w:id="33" w:name="RowTitle_2022_23_CommunityParticipation"/>
            <w:bookmarkEnd w:id="33"/>
            <w:r w:rsidRPr="008910EE">
              <w:t>4</w:t>
            </w:r>
          </w:p>
        </w:tc>
        <w:tc>
          <w:tcPr>
            <w:tcW w:w="984" w:type="dxa"/>
          </w:tcPr>
          <w:p w14:paraId="62302D47" w14:textId="77777777" w:rsidR="006D4DBB" w:rsidRPr="008910EE" w:rsidRDefault="006D4DBB" w:rsidP="00C92D8C">
            <w:pPr>
              <w:pStyle w:val="Tabletext"/>
            </w:pPr>
            <w:r w:rsidRPr="008910EE">
              <w:t>0.4</w:t>
            </w:r>
            <w:bookmarkStart w:id="34" w:name="RowTitle_2023_24_CommunityParticipation"/>
            <w:bookmarkEnd w:id="34"/>
          </w:p>
        </w:tc>
        <w:tc>
          <w:tcPr>
            <w:tcW w:w="946" w:type="dxa"/>
          </w:tcPr>
          <w:p w14:paraId="6D45F533" w14:textId="77777777" w:rsidR="006D4DBB" w:rsidRPr="008910EE" w:rsidRDefault="006D4DBB" w:rsidP="00C92D8C">
            <w:pPr>
              <w:pStyle w:val="Tabletext"/>
            </w:pPr>
            <w:r w:rsidRPr="008910EE">
              <w:t>0.</w:t>
            </w:r>
            <w:bookmarkStart w:id="35" w:name="RowTitle_2024_25_CommunityParticipation"/>
            <w:bookmarkEnd w:id="35"/>
            <w:r w:rsidRPr="008910EE">
              <w:t>4</w:t>
            </w:r>
          </w:p>
        </w:tc>
      </w:tr>
      <w:tr w:rsidR="006D4DBB" w:rsidRPr="008910EE" w14:paraId="1A992E22" w14:textId="77777777" w:rsidTr="00BA475E">
        <w:tc>
          <w:tcPr>
            <w:tcW w:w="4199" w:type="dxa"/>
          </w:tcPr>
          <w:p w14:paraId="3E366F9C" w14:textId="77777777" w:rsidR="006D4DBB" w:rsidRPr="008910EE" w:rsidRDefault="006D4DBB" w:rsidP="00C92D8C">
            <w:pPr>
              <w:pStyle w:val="Tabletext"/>
            </w:pPr>
            <w:r w:rsidRPr="008910EE">
              <w:t>Good Money</w:t>
            </w:r>
          </w:p>
        </w:tc>
        <w:tc>
          <w:tcPr>
            <w:tcW w:w="987" w:type="dxa"/>
          </w:tcPr>
          <w:p w14:paraId="49648F3C" w14:textId="41353200" w:rsidR="006D4DBB" w:rsidRPr="008910EE" w:rsidRDefault="00C92D8C" w:rsidP="00C92D8C">
            <w:pPr>
              <w:pStyle w:val="Tabletext"/>
            </w:pPr>
            <w:r w:rsidRPr="008910EE">
              <w:t>–</w:t>
            </w:r>
          </w:p>
        </w:tc>
        <w:tc>
          <w:tcPr>
            <w:tcW w:w="984" w:type="dxa"/>
          </w:tcPr>
          <w:p w14:paraId="31D7C94A" w14:textId="77777777" w:rsidR="006D4DBB" w:rsidRPr="008910EE" w:rsidRDefault="006D4DBB" w:rsidP="00C92D8C">
            <w:pPr>
              <w:pStyle w:val="Tabletext"/>
            </w:pPr>
            <w:r w:rsidRPr="008910EE">
              <w:t>3.8</w:t>
            </w:r>
          </w:p>
        </w:tc>
        <w:tc>
          <w:tcPr>
            <w:tcW w:w="985" w:type="dxa"/>
          </w:tcPr>
          <w:p w14:paraId="3E51E337" w14:textId="77777777" w:rsidR="006D4DBB" w:rsidRPr="008910EE" w:rsidRDefault="006D4DBB" w:rsidP="00C92D8C">
            <w:pPr>
              <w:pStyle w:val="Tabletext"/>
            </w:pPr>
            <w:r w:rsidRPr="008910EE">
              <w:t>3.5</w:t>
            </w:r>
          </w:p>
        </w:tc>
        <w:tc>
          <w:tcPr>
            <w:tcW w:w="984" w:type="dxa"/>
          </w:tcPr>
          <w:p w14:paraId="66868BD2" w14:textId="77777777" w:rsidR="006D4DBB" w:rsidRPr="008910EE" w:rsidRDefault="006D4DBB" w:rsidP="00C92D8C">
            <w:pPr>
              <w:pStyle w:val="Tabletext"/>
            </w:pPr>
            <w:r w:rsidRPr="008910EE">
              <w:t>3.6</w:t>
            </w:r>
          </w:p>
        </w:tc>
        <w:tc>
          <w:tcPr>
            <w:tcW w:w="946" w:type="dxa"/>
          </w:tcPr>
          <w:p w14:paraId="52AEE522" w14:textId="77777777" w:rsidR="006D4DBB" w:rsidRPr="008910EE" w:rsidRDefault="006D4DBB" w:rsidP="00C92D8C">
            <w:pPr>
              <w:pStyle w:val="Tabletext"/>
            </w:pPr>
            <w:r w:rsidRPr="008910EE">
              <w:t>3.7</w:t>
            </w:r>
          </w:p>
        </w:tc>
      </w:tr>
      <w:tr w:rsidR="006D4DBB" w:rsidRPr="008910EE" w14:paraId="0368BD3A" w14:textId="77777777" w:rsidTr="00BA475E">
        <w:tc>
          <w:tcPr>
            <w:tcW w:w="4199" w:type="dxa"/>
          </w:tcPr>
          <w:p w14:paraId="018B8D98" w14:textId="77777777" w:rsidR="006D4DBB" w:rsidRPr="008910EE" w:rsidRDefault="006D4DBB" w:rsidP="00C92D8C">
            <w:pPr>
              <w:pStyle w:val="Tabletext"/>
            </w:pPr>
            <w:r w:rsidRPr="008910EE">
              <w:t>Public health and local place</w:t>
            </w:r>
            <w:r w:rsidRPr="008910EE">
              <w:noBreakHyphen/>
              <w:t>based delivery</w:t>
            </w:r>
          </w:p>
        </w:tc>
        <w:tc>
          <w:tcPr>
            <w:tcW w:w="987" w:type="dxa"/>
          </w:tcPr>
          <w:p w14:paraId="61C3BF62" w14:textId="1B9E4932" w:rsidR="006D4DBB" w:rsidRPr="008910EE" w:rsidRDefault="00C92D8C" w:rsidP="00C92D8C">
            <w:pPr>
              <w:pStyle w:val="Tabletext"/>
            </w:pPr>
            <w:r w:rsidRPr="008910EE">
              <w:t>–</w:t>
            </w:r>
          </w:p>
        </w:tc>
        <w:tc>
          <w:tcPr>
            <w:tcW w:w="984" w:type="dxa"/>
          </w:tcPr>
          <w:p w14:paraId="2D91F12A" w14:textId="77777777" w:rsidR="006D4DBB" w:rsidRPr="008910EE" w:rsidRDefault="006D4DBB" w:rsidP="00C92D8C">
            <w:pPr>
              <w:pStyle w:val="Tabletext"/>
            </w:pPr>
            <w:r w:rsidRPr="008910EE">
              <w:t>152.9</w:t>
            </w:r>
          </w:p>
        </w:tc>
        <w:tc>
          <w:tcPr>
            <w:tcW w:w="985" w:type="dxa"/>
          </w:tcPr>
          <w:p w14:paraId="52DDA00A" w14:textId="74D06D85" w:rsidR="006D4DBB" w:rsidRPr="008910EE" w:rsidRDefault="00C92D8C" w:rsidP="00C92D8C">
            <w:pPr>
              <w:pStyle w:val="Tabletext"/>
            </w:pPr>
            <w:r w:rsidRPr="008910EE">
              <w:t>–</w:t>
            </w:r>
          </w:p>
        </w:tc>
        <w:tc>
          <w:tcPr>
            <w:tcW w:w="984" w:type="dxa"/>
          </w:tcPr>
          <w:p w14:paraId="1B5179ED" w14:textId="44338EF1" w:rsidR="006D4DBB" w:rsidRPr="008910EE" w:rsidRDefault="00C92D8C" w:rsidP="00C92D8C">
            <w:pPr>
              <w:pStyle w:val="Tabletext"/>
            </w:pPr>
            <w:r w:rsidRPr="008910EE">
              <w:t>–</w:t>
            </w:r>
          </w:p>
        </w:tc>
        <w:tc>
          <w:tcPr>
            <w:tcW w:w="946" w:type="dxa"/>
          </w:tcPr>
          <w:p w14:paraId="1FBF27DB" w14:textId="5124ACE0" w:rsidR="006D4DBB" w:rsidRPr="008910EE" w:rsidRDefault="00C92D8C" w:rsidP="00C92D8C">
            <w:pPr>
              <w:pStyle w:val="Tabletext"/>
            </w:pPr>
            <w:r w:rsidRPr="008910EE">
              <w:t>–</w:t>
            </w:r>
          </w:p>
        </w:tc>
      </w:tr>
      <w:tr w:rsidR="00BA475E" w:rsidRPr="008910EE" w14:paraId="70CCFBA1" w14:textId="77777777" w:rsidTr="00BA475E">
        <w:tc>
          <w:tcPr>
            <w:tcW w:w="4199" w:type="dxa"/>
          </w:tcPr>
          <w:p w14:paraId="057714A6" w14:textId="1C945A17" w:rsidR="00BA475E" w:rsidRPr="008910EE" w:rsidRDefault="00BA475E" w:rsidP="00BA475E">
            <w:pPr>
              <w:pStyle w:val="Tabletext"/>
            </w:pPr>
            <w:r w:rsidRPr="008910EE">
              <w:t>Responding to community</w:t>
            </w:r>
            <w:r w:rsidRPr="008910EE">
              <w:noBreakHyphen/>
              <w:t>based healthcare demand</w:t>
            </w:r>
          </w:p>
        </w:tc>
        <w:tc>
          <w:tcPr>
            <w:tcW w:w="987" w:type="dxa"/>
          </w:tcPr>
          <w:p w14:paraId="445FE438" w14:textId="0250DE81" w:rsidR="00BA475E" w:rsidRPr="008910EE" w:rsidRDefault="00BA475E" w:rsidP="00BA475E">
            <w:pPr>
              <w:pStyle w:val="Tabletext"/>
            </w:pPr>
            <w:r w:rsidRPr="008910EE">
              <w:t>–</w:t>
            </w:r>
          </w:p>
        </w:tc>
        <w:tc>
          <w:tcPr>
            <w:tcW w:w="984" w:type="dxa"/>
          </w:tcPr>
          <w:p w14:paraId="2DC30FDD" w14:textId="7374AC8A" w:rsidR="00BA475E" w:rsidRPr="008910EE" w:rsidRDefault="00BA475E" w:rsidP="00BA475E">
            <w:pPr>
              <w:pStyle w:val="Tabletext"/>
            </w:pPr>
            <w:r w:rsidRPr="008910EE">
              <w:t>2.2</w:t>
            </w:r>
          </w:p>
        </w:tc>
        <w:tc>
          <w:tcPr>
            <w:tcW w:w="985" w:type="dxa"/>
          </w:tcPr>
          <w:p w14:paraId="2F444AC2" w14:textId="5E0C1462" w:rsidR="00BA475E" w:rsidRPr="008910EE" w:rsidRDefault="00BA475E" w:rsidP="00BA475E">
            <w:pPr>
              <w:pStyle w:val="Tabletext"/>
            </w:pPr>
            <w:r w:rsidRPr="008910EE">
              <w:t>1.1</w:t>
            </w:r>
          </w:p>
        </w:tc>
        <w:tc>
          <w:tcPr>
            <w:tcW w:w="984" w:type="dxa"/>
          </w:tcPr>
          <w:p w14:paraId="69F4B42A" w14:textId="1076D3E3" w:rsidR="00BA475E" w:rsidRPr="008910EE" w:rsidRDefault="00BA475E" w:rsidP="00BA475E">
            <w:pPr>
              <w:pStyle w:val="Tabletext"/>
            </w:pPr>
            <w:r w:rsidRPr="008910EE">
              <w:t>1.1</w:t>
            </w:r>
          </w:p>
        </w:tc>
        <w:tc>
          <w:tcPr>
            <w:tcW w:w="946" w:type="dxa"/>
          </w:tcPr>
          <w:p w14:paraId="6BB0983B" w14:textId="39AB6E9A" w:rsidR="00BA475E" w:rsidRPr="008910EE" w:rsidRDefault="00BA475E" w:rsidP="00BA475E">
            <w:pPr>
              <w:pStyle w:val="Tabletext"/>
            </w:pPr>
            <w:r w:rsidRPr="008910EE">
              <w:t>1.1</w:t>
            </w:r>
          </w:p>
        </w:tc>
      </w:tr>
    </w:tbl>
    <w:p w14:paraId="08119232" w14:textId="09AEC4C0" w:rsidR="009E3C36" w:rsidRPr="008910EE" w:rsidRDefault="009E3C36" w:rsidP="009E3C36">
      <w:pPr>
        <w:pStyle w:val="Tablecaption"/>
      </w:pPr>
      <w:r w:rsidRPr="008910EE">
        <w:t>Disability services</w:t>
      </w:r>
    </w:p>
    <w:tbl>
      <w:tblPr>
        <w:tblStyle w:val="TableGrid"/>
        <w:tblW w:w="9085" w:type="dxa"/>
        <w:tblLayout w:type="fixed"/>
        <w:tblLook w:val="06E0" w:firstRow="1" w:lastRow="1" w:firstColumn="1" w:lastColumn="0" w:noHBand="1" w:noVBand="1"/>
      </w:tblPr>
      <w:tblGrid>
        <w:gridCol w:w="4199"/>
        <w:gridCol w:w="977"/>
        <w:gridCol w:w="977"/>
        <w:gridCol w:w="977"/>
        <w:gridCol w:w="977"/>
        <w:gridCol w:w="978"/>
      </w:tblGrid>
      <w:tr w:rsidR="00C92D8C" w:rsidRPr="008910EE" w14:paraId="3ADE09C1" w14:textId="77777777" w:rsidTr="00BA475E">
        <w:tc>
          <w:tcPr>
            <w:tcW w:w="4199" w:type="dxa"/>
          </w:tcPr>
          <w:p w14:paraId="62FAC898" w14:textId="3892B1E7" w:rsidR="00C92D8C" w:rsidRPr="008910EE" w:rsidRDefault="00C92D8C" w:rsidP="00BA475E">
            <w:pPr>
              <w:pStyle w:val="Tablecolhead"/>
            </w:pPr>
            <w:r w:rsidRPr="008910EE">
              <w:t>Initiative</w:t>
            </w:r>
          </w:p>
        </w:tc>
        <w:tc>
          <w:tcPr>
            <w:tcW w:w="977" w:type="dxa"/>
          </w:tcPr>
          <w:p w14:paraId="49EE5C64" w14:textId="6EBFB026" w:rsidR="00C92D8C" w:rsidRPr="008910EE" w:rsidRDefault="00C92D8C" w:rsidP="00BA475E">
            <w:pPr>
              <w:pStyle w:val="Tablecolhead"/>
            </w:pPr>
            <w:r w:rsidRPr="008910EE">
              <w:t>2020–21</w:t>
            </w:r>
          </w:p>
        </w:tc>
        <w:tc>
          <w:tcPr>
            <w:tcW w:w="977" w:type="dxa"/>
          </w:tcPr>
          <w:p w14:paraId="585B34C1" w14:textId="4AD59BB6" w:rsidR="00C92D8C" w:rsidRPr="008910EE" w:rsidRDefault="00C92D8C" w:rsidP="00BA475E">
            <w:pPr>
              <w:pStyle w:val="Tablecolhead"/>
            </w:pPr>
            <w:r w:rsidRPr="008910EE">
              <w:t>2021–22</w:t>
            </w:r>
          </w:p>
        </w:tc>
        <w:tc>
          <w:tcPr>
            <w:tcW w:w="977" w:type="dxa"/>
          </w:tcPr>
          <w:p w14:paraId="3E03B471" w14:textId="7FC38355" w:rsidR="00C92D8C" w:rsidRPr="008910EE" w:rsidRDefault="00C92D8C" w:rsidP="00BA475E">
            <w:pPr>
              <w:pStyle w:val="Tablecolhead"/>
            </w:pPr>
            <w:r w:rsidRPr="008910EE">
              <w:t>2022–23</w:t>
            </w:r>
          </w:p>
        </w:tc>
        <w:tc>
          <w:tcPr>
            <w:tcW w:w="977" w:type="dxa"/>
          </w:tcPr>
          <w:p w14:paraId="2F2E3535" w14:textId="0A925B81" w:rsidR="00C92D8C" w:rsidRPr="008910EE" w:rsidRDefault="00C92D8C" w:rsidP="00BA475E">
            <w:pPr>
              <w:pStyle w:val="Tablecolhead"/>
            </w:pPr>
            <w:r w:rsidRPr="008910EE">
              <w:t>2023–24</w:t>
            </w:r>
          </w:p>
        </w:tc>
        <w:tc>
          <w:tcPr>
            <w:tcW w:w="978" w:type="dxa"/>
          </w:tcPr>
          <w:p w14:paraId="1ABC0A26" w14:textId="2BCD0EA6" w:rsidR="00C92D8C" w:rsidRPr="008910EE" w:rsidRDefault="00C92D8C" w:rsidP="00BA475E">
            <w:pPr>
              <w:pStyle w:val="Tablecolhead"/>
            </w:pPr>
            <w:r w:rsidRPr="008910EE">
              <w:t>2024–25</w:t>
            </w:r>
            <w:bookmarkStart w:id="36" w:name="RowTitle_20234_25_DisabilityServices"/>
            <w:bookmarkStart w:id="37" w:name="RowTitle_2024_25_DisabilityServices"/>
            <w:bookmarkEnd w:id="36"/>
            <w:bookmarkEnd w:id="37"/>
          </w:p>
        </w:tc>
      </w:tr>
      <w:tr w:rsidR="006D4DBB" w:rsidRPr="008910EE" w14:paraId="18ACF784" w14:textId="77777777" w:rsidTr="00BA475E">
        <w:tc>
          <w:tcPr>
            <w:tcW w:w="4199" w:type="dxa"/>
          </w:tcPr>
          <w:p w14:paraId="7329028F" w14:textId="77777777" w:rsidR="006D4DBB" w:rsidRPr="008910EE" w:rsidRDefault="006D4DBB" w:rsidP="00C92D8C">
            <w:pPr>
              <w:pStyle w:val="Tabletext"/>
            </w:pPr>
            <w:r w:rsidRPr="008910EE">
              <w:t>Changing Places</w:t>
            </w:r>
            <w:bookmarkStart w:id="38" w:name="RowTitle_Initiative_DisabilityServices"/>
            <w:bookmarkEnd w:id="38"/>
          </w:p>
        </w:tc>
        <w:tc>
          <w:tcPr>
            <w:tcW w:w="977" w:type="dxa"/>
          </w:tcPr>
          <w:p w14:paraId="075412CD" w14:textId="7C7015C1" w:rsidR="006D4DBB" w:rsidRPr="008910EE" w:rsidRDefault="00C92D8C" w:rsidP="00C92D8C">
            <w:pPr>
              <w:pStyle w:val="Tabletext"/>
            </w:pPr>
            <w:r w:rsidRPr="008910EE">
              <w:t>–</w:t>
            </w:r>
            <w:bookmarkStart w:id="39" w:name="RowTitle_2020_21_DisabilityServices"/>
            <w:bookmarkEnd w:id="39"/>
          </w:p>
        </w:tc>
        <w:tc>
          <w:tcPr>
            <w:tcW w:w="977" w:type="dxa"/>
          </w:tcPr>
          <w:p w14:paraId="3F61F6D9" w14:textId="77777777" w:rsidR="006D4DBB" w:rsidRPr="008910EE" w:rsidRDefault="006D4DBB" w:rsidP="00C92D8C">
            <w:pPr>
              <w:pStyle w:val="Tabletext"/>
            </w:pPr>
            <w:r w:rsidRPr="008910EE">
              <w:t>2.5</w:t>
            </w:r>
            <w:bookmarkStart w:id="40" w:name="RowTitle_2021_22_DisabilityServices"/>
            <w:bookmarkEnd w:id="40"/>
          </w:p>
        </w:tc>
        <w:tc>
          <w:tcPr>
            <w:tcW w:w="977" w:type="dxa"/>
          </w:tcPr>
          <w:p w14:paraId="2C47BB66" w14:textId="522D7EF7" w:rsidR="006D4DBB" w:rsidRPr="008910EE" w:rsidRDefault="00C92D8C" w:rsidP="00C92D8C">
            <w:pPr>
              <w:pStyle w:val="Tabletext"/>
            </w:pPr>
            <w:r w:rsidRPr="008910EE">
              <w:t>–</w:t>
            </w:r>
            <w:bookmarkStart w:id="41" w:name="RowTitle_2022_23_DisabilityServices"/>
            <w:bookmarkEnd w:id="41"/>
          </w:p>
        </w:tc>
        <w:tc>
          <w:tcPr>
            <w:tcW w:w="977" w:type="dxa"/>
          </w:tcPr>
          <w:p w14:paraId="56ED065B" w14:textId="0338CDC8" w:rsidR="006D4DBB" w:rsidRPr="008910EE" w:rsidRDefault="00C92D8C" w:rsidP="00C92D8C">
            <w:pPr>
              <w:pStyle w:val="Tabletext"/>
            </w:pPr>
            <w:r w:rsidRPr="008910EE">
              <w:t>–</w:t>
            </w:r>
            <w:bookmarkStart w:id="42" w:name="RowTitle_2023_24_DisabilityServices"/>
            <w:bookmarkEnd w:id="42"/>
          </w:p>
        </w:tc>
        <w:tc>
          <w:tcPr>
            <w:tcW w:w="978" w:type="dxa"/>
          </w:tcPr>
          <w:p w14:paraId="5E19A3C7" w14:textId="37D02941" w:rsidR="006D4DBB" w:rsidRPr="008910EE" w:rsidRDefault="00C92D8C" w:rsidP="00C92D8C">
            <w:pPr>
              <w:pStyle w:val="Tabletext"/>
            </w:pPr>
            <w:r w:rsidRPr="008910EE">
              <w:t>–</w:t>
            </w:r>
          </w:p>
        </w:tc>
      </w:tr>
      <w:tr w:rsidR="006D4DBB" w:rsidRPr="008910EE" w14:paraId="7DDE0847" w14:textId="77777777" w:rsidTr="00BA475E">
        <w:tc>
          <w:tcPr>
            <w:tcW w:w="4199" w:type="dxa"/>
          </w:tcPr>
          <w:p w14:paraId="3EA03DD9" w14:textId="77777777" w:rsidR="006D4DBB" w:rsidRPr="008910EE" w:rsidRDefault="006D4DBB" w:rsidP="00C92D8C">
            <w:pPr>
              <w:pStyle w:val="Tabletext"/>
            </w:pPr>
            <w:r w:rsidRPr="008910EE">
              <w:t>Support for regulators and complaints handling bodies</w:t>
            </w:r>
          </w:p>
        </w:tc>
        <w:tc>
          <w:tcPr>
            <w:tcW w:w="977" w:type="dxa"/>
          </w:tcPr>
          <w:p w14:paraId="24717ED5" w14:textId="61058741" w:rsidR="006D4DBB" w:rsidRPr="008910EE" w:rsidRDefault="00C92D8C" w:rsidP="00C92D8C">
            <w:pPr>
              <w:pStyle w:val="Tabletext"/>
            </w:pPr>
            <w:r w:rsidRPr="008910EE">
              <w:t>–</w:t>
            </w:r>
          </w:p>
        </w:tc>
        <w:tc>
          <w:tcPr>
            <w:tcW w:w="977" w:type="dxa"/>
          </w:tcPr>
          <w:p w14:paraId="311B726B" w14:textId="77777777" w:rsidR="006D4DBB" w:rsidRPr="008910EE" w:rsidRDefault="006D4DBB" w:rsidP="00C92D8C">
            <w:pPr>
              <w:pStyle w:val="Tabletext"/>
            </w:pPr>
            <w:r w:rsidRPr="008910EE">
              <w:t>12.4</w:t>
            </w:r>
          </w:p>
        </w:tc>
        <w:tc>
          <w:tcPr>
            <w:tcW w:w="977" w:type="dxa"/>
          </w:tcPr>
          <w:p w14:paraId="05013FD4" w14:textId="77777777" w:rsidR="006D4DBB" w:rsidRPr="008910EE" w:rsidRDefault="006D4DBB" w:rsidP="00C92D8C">
            <w:pPr>
              <w:pStyle w:val="Tabletext"/>
            </w:pPr>
            <w:r w:rsidRPr="008910EE">
              <w:t>11.0</w:t>
            </w:r>
          </w:p>
        </w:tc>
        <w:tc>
          <w:tcPr>
            <w:tcW w:w="977" w:type="dxa"/>
          </w:tcPr>
          <w:p w14:paraId="1BFA4A09" w14:textId="4C11BC06" w:rsidR="006D4DBB" w:rsidRPr="008910EE" w:rsidRDefault="00C92D8C" w:rsidP="00C92D8C">
            <w:pPr>
              <w:pStyle w:val="Tabletext"/>
            </w:pPr>
            <w:r w:rsidRPr="008910EE">
              <w:t>–</w:t>
            </w:r>
          </w:p>
        </w:tc>
        <w:tc>
          <w:tcPr>
            <w:tcW w:w="978" w:type="dxa"/>
          </w:tcPr>
          <w:p w14:paraId="6BF70093" w14:textId="0D25A5EF" w:rsidR="006D4DBB" w:rsidRPr="008910EE" w:rsidRDefault="00C92D8C" w:rsidP="00C92D8C">
            <w:pPr>
              <w:pStyle w:val="Tabletext"/>
            </w:pPr>
            <w:r w:rsidRPr="008910EE">
              <w:t>–</w:t>
            </w:r>
          </w:p>
        </w:tc>
      </w:tr>
    </w:tbl>
    <w:p w14:paraId="25222D41" w14:textId="28966260" w:rsidR="009E3C36" w:rsidRPr="008910EE" w:rsidRDefault="009E3C36" w:rsidP="009E3C36">
      <w:pPr>
        <w:pStyle w:val="Tablecaption"/>
      </w:pPr>
      <w:r w:rsidRPr="008910EE">
        <w:t>Family violence service delivery</w:t>
      </w:r>
    </w:p>
    <w:tbl>
      <w:tblPr>
        <w:tblStyle w:val="TableGrid"/>
        <w:tblW w:w="9124" w:type="dxa"/>
        <w:tblLayout w:type="fixed"/>
        <w:tblLook w:val="06E0" w:firstRow="1" w:lastRow="1" w:firstColumn="1" w:lastColumn="0" w:noHBand="1" w:noVBand="1"/>
      </w:tblPr>
      <w:tblGrid>
        <w:gridCol w:w="4199"/>
        <w:gridCol w:w="987"/>
        <w:gridCol w:w="984"/>
        <w:gridCol w:w="985"/>
        <w:gridCol w:w="984"/>
        <w:gridCol w:w="985"/>
      </w:tblGrid>
      <w:tr w:rsidR="00C92D8C" w:rsidRPr="008910EE" w14:paraId="3DF2F956" w14:textId="77777777" w:rsidTr="00BA475E">
        <w:trPr>
          <w:tblHeader/>
        </w:trPr>
        <w:tc>
          <w:tcPr>
            <w:tcW w:w="4199" w:type="dxa"/>
          </w:tcPr>
          <w:p w14:paraId="49F075D1" w14:textId="1B708D4B" w:rsidR="00C92D8C" w:rsidRPr="008910EE" w:rsidRDefault="00C92D8C" w:rsidP="00BA475E">
            <w:pPr>
              <w:pStyle w:val="Tablecolhead"/>
            </w:pPr>
            <w:r w:rsidRPr="008910EE">
              <w:t>Initiative</w:t>
            </w:r>
          </w:p>
        </w:tc>
        <w:tc>
          <w:tcPr>
            <w:tcW w:w="987" w:type="dxa"/>
          </w:tcPr>
          <w:p w14:paraId="28E4ADAA" w14:textId="47E93E07" w:rsidR="00C92D8C" w:rsidRPr="008910EE" w:rsidRDefault="00C92D8C" w:rsidP="00BA475E">
            <w:pPr>
              <w:pStyle w:val="Tablecolhead"/>
            </w:pPr>
            <w:r w:rsidRPr="008910EE">
              <w:t>2020–21</w:t>
            </w:r>
          </w:p>
        </w:tc>
        <w:tc>
          <w:tcPr>
            <w:tcW w:w="984" w:type="dxa"/>
          </w:tcPr>
          <w:p w14:paraId="67E72B52" w14:textId="59FD6CD5" w:rsidR="00C92D8C" w:rsidRPr="008910EE" w:rsidRDefault="00C92D8C" w:rsidP="00BA475E">
            <w:pPr>
              <w:pStyle w:val="Tablecolhead"/>
            </w:pPr>
            <w:r w:rsidRPr="008910EE">
              <w:t>2021–22</w:t>
            </w:r>
          </w:p>
        </w:tc>
        <w:tc>
          <w:tcPr>
            <w:tcW w:w="985" w:type="dxa"/>
          </w:tcPr>
          <w:p w14:paraId="2A75DD74" w14:textId="6A44FC7F" w:rsidR="00C92D8C" w:rsidRPr="008910EE" w:rsidRDefault="00C92D8C" w:rsidP="00BA475E">
            <w:pPr>
              <w:pStyle w:val="Tablecolhead"/>
            </w:pPr>
            <w:r w:rsidRPr="008910EE">
              <w:t>2022–23</w:t>
            </w:r>
          </w:p>
        </w:tc>
        <w:tc>
          <w:tcPr>
            <w:tcW w:w="984" w:type="dxa"/>
          </w:tcPr>
          <w:p w14:paraId="06BD7DDE" w14:textId="73977B29" w:rsidR="00C92D8C" w:rsidRPr="008910EE" w:rsidRDefault="00C92D8C" w:rsidP="00BA475E">
            <w:pPr>
              <w:pStyle w:val="Tablecolhead"/>
            </w:pPr>
            <w:r w:rsidRPr="008910EE">
              <w:t>2023–24</w:t>
            </w:r>
          </w:p>
        </w:tc>
        <w:tc>
          <w:tcPr>
            <w:tcW w:w="985" w:type="dxa"/>
          </w:tcPr>
          <w:p w14:paraId="2E924F25" w14:textId="155CCABC" w:rsidR="00C92D8C" w:rsidRPr="008910EE" w:rsidRDefault="00C92D8C" w:rsidP="00BA475E">
            <w:pPr>
              <w:pStyle w:val="Tablecolhead"/>
            </w:pPr>
            <w:r w:rsidRPr="008910EE">
              <w:t>2024–25</w:t>
            </w:r>
          </w:p>
        </w:tc>
      </w:tr>
      <w:tr w:rsidR="006D4DBB" w:rsidRPr="008910EE" w14:paraId="07156A13" w14:textId="77777777" w:rsidTr="009E3C36">
        <w:tc>
          <w:tcPr>
            <w:tcW w:w="4199" w:type="dxa"/>
          </w:tcPr>
          <w:p w14:paraId="2D54293E" w14:textId="77777777" w:rsidR="006D4DBB" w:rsidRPr="008910EE" w:rsidRDefault="006D4DBB" w:rsidP="00C92D8C">
            <w:pPr>
              <w:pStyle w:val="Tabletext"/>
            </w:pPr>
            <w:r w:rsidRPr="008910EE">
              <w:t>Central Information Point</w:t>
            </w:r>
          </w:p>
        </w:tc>
        <w:tc>
          <w:tcPr>
            <w:tcW w:w="987" w:type="dxa"/>
          </w:tcPr>
          <w:p w14:paraId="10BEF090" w14:textId="695C295F" w:rsidR="006D4DBB" w:rsidRPr="008910EE" w:rsidRDefault="00C92D8C" w:rsidP="00C92D8C">
            <w:pPr>
              <w:pStyle w:val="Tabletext"/>
            </w:pPr>
            <w:r w:rsidRPr="008910EE">
              <w:t>–</w:t>
            </w:r>
            <w:bookmarkStart w:id="43" w:name="RowTitle_2020_21_FamViolServices"/>
            <w:bookmarkEnd w:id="43"/>
          </w:p>
        </w:tc>
        <w:tc>
          <w:tcPr>
            <w:tcW w:w="984" w:type="dxa"/>
          </w:tcPr>
          <w:p w14:paraId="081F9145" w14:textId="77777777" w:rsidR="006D4DBB" w:rsidRPr="008910EE" w:rsidRDefault="006D4DBB" w:rsidP="00C92D8C">
            <w:pPr>
              <w:pStyle w:val="Tabletext"/>
            </w:pPr>
            <w:r w:rsidRPr="008910EE">
              <w:t>12</w:t>
            </w:r>
            <w:bookmarkStart w:id="44" w:name="RowTitle_2021_22_FamViolServices"/>
            <w:bookmarkEnd w:id="44"/>
            <w:r w:rsidRPr="008910EE">
              <w:t>.9</w:t>
            </w:r>
          </w:p>
        </w:tc>
        <w:tc>
          <w:tcPr>
            <w:tcW w:w="985" w:type="dxa"/>
          </w:tcPr>
          <w:p w14:paraId="3E14A616" w14:textId="597F3C30" w:rsidR="006D4DBB" w:rsidRPr="008910EE" w:rsidRDefault="00C92D8C" w:rsidP="00C92D8C">
            <w:pPr>
              <w:pStyle w:val="Tabletext"/>
            </w:pPr>
            <w:r w:rsidRPr="008910EE">
              <w:t>–</w:t>
            </w:r>
            <w:bookmarkStart w:id="45" w:name="RowTitle_2022_23_FamViolServices"/>
            <w:bookmarkEnd w:id="45"/>
          </w:p>
        </w:tc>
        <w:tc>
          <w:tcPr>
            <w:tcW w:w="984" w:type="dxa"/>
          </w:tcPr>
          <w:p w14:paraId="39345F4D" w14:textId="62535A8D" w:rsidR="006D4DBB" w:rsidRPr="008910EE" w:rsidRDefault="00C92D8C" w:rsidP="00C92D8C">
            <w:pPr>
              <w:pStyle w:val="Tabletext"/>
            </w:pPr>
            <w:r w:rsidRPr="008910EE">
              <w:t>–</w:t>
            </w:r>
            <w:bookmarkStart w:id="46" w:name="RowTitle_2023_24_FamViolServices"/>
            <w:bookmarkEnd w:id="46"/>
          </w:p>
        </w:tc>
        <w:tc>
          <w:tcPr>
            <w:tcW w:w="985" w:type="dxa"/>
          </w:tcPr>
          <w:p w14:paraId="2938E77D" w14:textId="66A983A2" w:rsidR="006D4DBB" w:rsidRPr="008910EE" w:rsidRDefault="00C92D8C" w:rsidP="00C92D8C">
            <w:pPr>
              <w:pStyle w:val="Tabletext"/>
            </w:pPr>
            <w:r w:rsidRPr="008910EE">
              <w:t>–</w:t>
            </w:r>
            <w:bookmarkStart w:id="47" w:name="RowTitle_2024_25_FamViolServices"/>
            <w:bookmarkEnd w:id="47"/>
          </w:p>
        </w:tc>
      </w:tr>
      <w:tr w:rsidR="006D4DBB" w:rsidRPr="008910EE" w14:paraId="2727817E" w14:textId="77777777" w:rsidTr="009E3C36">
        <w:tc>
          <w:tcPr>
            <w:tcW w:w="4199" w:type="dxa"/>
          </w:tcPr>
          <w:p w14:paraId="5B930F33" w14:textId="77777777" w:rsidR="006D4DBB" w:rsidRPr="008910EE" w:rsidRDefault="006D4DBB" w:rsidP="00C92D8C">
            <w:pPr>
              <w:pStyle w:val="Tabletext"/>
            </w:pPr>
            <w:r w:rsidRPr="008910EE">
              <w:t>Family Violence Graduat</w:t>
            </w:r>
            <w:bookmarkStart w:id="48" w:name="RowTitle_Initiative_FamViolServices"/>
            <w:bookmarkEnd w:id="48"/>
            <w:r w:rsidRPr="008910EE">
              <w:t>e Program</w:t>
            </w:r>
          </w:p>
        </w:tc>
        <w:tc>
          <w:tcPr>
            <w:tcW w:w="987" w:type="dxa"/>
          </w:tcPr>
          <w:p w14:paraId="33BB0F7D" w14:textId="7B8E4C4D" w:rsidR="006D4DBB" w:rsidRPr="008910EE" w:rsidRDefault="00C92D8C" w:rsidP="00C92D8C">
            <w:pPr>
              <w:pStyle w:val="Tabletext"/>
            </w:pPr>
            <w:r w:rsidRPr="008910EE">
              <w:t>–</w:t>
            </w:r>
          </w:p>
        </w:tc>
        <w:tc>
          <w:tcPr>
            <w:tcW w:w="984" w:type="dxa"/>
          </w:tcPr>
          <w:p w14:paraId="2A4E00D5" w14:textId="77777777" w:rsidR="006D4DBB" w:rsidRPr="008910EE" w:rsidRDefault="006D4DBB" w:rsidP="00C92D8C">
            <w:pPr>
              <w:pStyle w:val="Tabletext"/>
            </w:pPr>
            <w:r w:rsidRPr="008910EE">
              <w:t>0.5</w:t>
            </w:r>
          </w:p>
        </w:tc>
        <w:tc>
          <w:tcPr>
            <w:tcW w:w="985" w:type="dxa"/>
          </w:tcPr>
          <w:p w14:paraId="0D82BDBA" w14:textId="77777777" w:rsidR="006D4DBB" w:rsidRPr="008910EE" w:rsidRDefault="006D4DBB" w:rsidP="00C92D8C">
            <w:pPr>
              <w:pStyle w:val="Tabletext"/>
            </w:pPr>
            <w:r w:rsidRPr="008910EE">
              <w:t>0.7</w:t>
            </w:r>
          </w:p>
        </w:tc>
        <w:tc>
          <w:tcPr>
            <w:tcW w:w="984" w:type="dxa"/>
          </w:tcPr>
          <w:p w14:paraId="6BB553F2" w14:textId="5B8EC6AF" w:rsidR="006D4DBB" w:rsidRPr="008910EE" w:rsidRDefault="00C92D8C" w:rsidP="00C92D8C">
            <w:pPr>
              <w:pStyle w:val="Tabletext"/>
            </w:pPr>
            <w:r w:rsidRPr="008910EE">
              <w:t>–</w:t>
            </w:r>
          </w:p>
        </w:tc>
        <w:tc>
          <w:tcPr>
            <w:tcW w:w="985" w:type="dxa"/>
          </w:tcPr>
          <w:p w14:paraId="266260C7" w14:textId="4B7924E5" w:rsidR="006D4DBB" w:rsidRPr="008910EE" w:rsidRDefault="00C92D8C" w:rsidP="00C92D8C">
            <w:pPr>
              <w:pStyle w:val="Tabletext"/>
            </w:pPr>
            <w:r w:rsidRPr="008910EE">
              <w:t>–</w:t>
            </w:r>
          </w:p>
        </w:tc>
      </w:tr>
      <w:tr w:rsidR="006D4DBB" w:rsidRPr="008910EE" w14:paraId="24BB3F1E" w14:textId="77777777" w:rsidTr="009E3C36">
        <w:tc>
          <w:tcPr>
            <w:tcW w:w="4199" w:type="dxa"/>
          </w:tcPr>
          <w:p w14:paraId="319F9864" w14:textId="77777777" w:rsidR="006D4DBB" w:rsidRPr="008910EE" w:rsidRDefault="006D4DBB" w:rsidP="00C92D8C">
            <w:pPr>
              <w:pStyle w:val="Tabletext"/>
            </w:pPr>
            <w:r w:rsidRPr="008910EE">
              <w:t>Information sharing and family violence risk assessment and management reform</w:t>
            </w:r>
          </w:p>
        </w:tc>
        <w:tc>
          <w:tcPr>
            <w:tcW w:w="987" w:type="dxa"/>
          </w:tcPr>
          <w:p w14:paraId="52A5F118" w14:textId="0804D5F0" w:rsidR="006D4DBB" w:rsidRPr="008910EE" w:rsidRDefault="00C92D8C" w:rsidP="00C92D8C">
            <w:pPr>
              <w:pStyle w:val="Tabletext"/>
            </w:pPr>
            <w:r w:rsidRPr="008910EE">
              <w:t>–</w:t>
            </w:r>
          </w:p>
        </w:tc>
        <w:tc>
          <w:tcPr>
            <w:tcW w:w="984" w:type="dxa"/>
          </w:tcPr>
          <w:p w14:paraId="431F0B79" w14:textId="77777777" w:rsidR="006D4DBB" w:rsidRPr="008910EE" w:rsidRDefault="006D4DBB" w:rsidP="00C92D8C">
            <w:pPr>
              <w:pStyle w:val="Tabletext"/>
            </w:pPr>
            <w:r w:rsidRPr="008910EE">
              <w:t>26.9</w:t>
            </w:r>
          </w:p>
        </w:tc>
        <w:tc>
          <w:tcPr>
            <w:tcW w:w="985" w:type="dxa"/>
          </w:tcPr>
          <w:p w14:paraId="1907EE10" w14:textId="77777777" w:rsidR="006D4DBB" w:rsidRPr="008910EE" w:rsidRDefault="006D4DBB" w:rsidP="00C92D8C">
            <w:pPr>
              <w:pStyle w:val="Tabletext"/>
            </w:pPr>
            <w:r w:rsidRPr="008910EE">
              <w:t>28.6</w:t>
            </w:r>
          </w:p>
        </w:tc>
        <w:tc>
          <w:tcPr>
            <w:tcW w:w="984" w:type="dxa"/>
          </w:tcPr>
          <w:p w14:paraId="60448BC4" w14:textId="77777777" w:rsidR="006D4DBB" w:rsidRPr="008910EE" w:rsidRDefault="006D4DBB" w:rsidP="00C92D8C">
            <w:pPr>
              <w:pStyle w:val="Tabletext"/>
            </w:pPr>
            <w:r w:rsidRPr="008910EE">
              <w:t>23.5</w:t>
            </w:r>
          </w:p>
        </w:tc>
        <w:tc>
          <w:tcPr>
            <w:tcW w:w="985" w:type="dxa"/>
          </w:tcPr>
          <w:p w14:paraId="40B2C1A2" w14:textId="77777777" w:rsidR="006D4DBB" w:rsidRPr="008910EE" w:rsidRDefault="006D4DBB" w:rsidP="00C92D8C">
            <w:pPr>
              <w:pStyle w:val="Tabletext"/>
            </w:pPr>
            <w:r w:rsidRPr="008910EE">
              <w:t>18.0</w:t>
            </w:r>
          </w:p>
        </w:tc>
      </w:tr>
      <w:tr w:rsidR="006D4DBB" w:rsidRPr="008910EE" w14:paraId="68FFB176" w14:textId="77777777" w:rsidTr="009E3C36">
        <w:tc>
          <w:tcPr>
            <w:tcW w:w="4199" w:type="dxa"/>
          </w:tcPr>
          <w:p w14:paraId="3E711E84" w14:textId="77777777" w:rsidR="006D4DBB" w:rsidRPr="008910EE" w:rsidRDefault="006D4DBB" w:rsidP="00C92D8C">
            <w:pPr>
              <w:pStyle w:val="Tabletext"/>
            </w:pPr>
            <w:r w:rsidRPr="008910EE">
              <w:t>Intervening early to prevent family violence</w:t>
            </w:r>
          </w:p>
        </w:tc>
        <w:tc>
          <w:tcPr>
            <w:tcW w:w="987" w:type="dxa"/>
          </w:tcPr>
          <w:p w14:paraId="14AC85C6" w14:textId="7C9AFBBF" w:rsidR="006D4DBB" w:rsidRPr="008910EE" w:rsidRDefault="00C92D8C" w:rsidP="00C92D8C">
            <w:pPr>
              <w:pStyle w:val="Tabletext"/>
            </w:pPr>
            <w:r w:rsidRPr="008910EE">
              <w:t>–</w:t>
            </w:r>
          </w:p>
        </w:tc>
        <w:tc>
          <w:tcPr>
            <w:tcW w:w="984" w:type="dxa"/>
          </w:tcPr>
          <w:p w14:paraId="3994ABE9" w14:textId="77777777" w:rsidR="006D4DBB" w:rsidRPr="008910EE" w:rsidRDefault="006D4DBB" w:rsidP="00C92D8C">
            <w:pPr>
              <w:pStyle w:val="Tabletext"/>
            </w:pPr>
            <w:r w:rsidRPr="008910EE">
              <w:t>1.2</w:t>
            </w:r>
          </w:p>
        </w:tc>
        <w:tc>
          <w:tcPr>
            <w:tcW w:w="985" w:type="dxa"/>
          </w:tcPr>
          <w:p w14:paraId="1793DF37" w14:textId="77777777" w:rsidR="006D4DBB" w:rsidRPr="008910EE" w:rsidRDefault="006D4DBB" w:rsidP="00C92D8C">
            <w:pPr>
              <w:pStyle w:val="Tabletext"/>
            </w:pPr>
            <w:r w:rsidRPr="008910EE">
              <w:t>1.2</w:t>
            </w:r>
          </w:p>
        </w:tc>
        <w:tc>
          <w:tcPr>
            <w:tcW w:w="984" w:type="dxa"/>
          </w:tcPr>
          <w:p w14:paraId="1EE70518" w14:textId="2E081AF3" w:rsidR="006D4DBB" w:rsidRPr="008910EE" w:rsidRDefault="00C92D8C" w:rsidP="00C92D8C">
            <w:pPr>
              <w:pStyle w:val="Tabletext"/>
            </w:pPr>
            <w:r w:rsidRPr="008910EE">
              <w:t>–</w:t>
            </w:r>
          </w:p>
        </w:tc>
        <w:tc>
          <w:tcPr>
            <w:tcW w:w="985" w:type="dxa"/>
          </w:tcPr>
          <w:p w14:paraId="1FBB2178" w14:textId="4FF121D7" w:rsidR="006D4DBB" w:rsidRPr="008910EE" w:rsidRDefault="00C92D8C" w:rsidP="00C92D8C">
            <w:pPr>
              <w:pStyle w:val="Tabletext"/>
            </w:pPr>
            <w:r w:rsidRPr="008910EE">
              <w:t>–</w:t>
            </w:r>
          </w:p>
        </w:tc>
      </w:tr>
      <w:tr w:rsidR="006D4DBB" w:rsidRPr="008910EE" w14:paraId="646B7B58" w14:textId="77777777" w:rsidTr="009E3C36">
        <w:tc>
          <w:tcPr>
            <w:tcW w:w="4199" w:type="dxa"/>
          </w:tcPr>
          <w:p w14:paraId="3447F6E7" w14:textId="77777777" w:rsidR="006D4DBB" w:rsidRPr="008910EE" w:rsidRDefault="006D4DBB" w:rsidP="00C92D8C">
            <w:pPr>
              <w:pStyle w:val="Tabletext"/>
            </w:pPr>
            <w:r w:rsidRPr="008910EE">
              <w:t>Perpetrator accountability</w:t>
            </w:r>
          </w:p>
        </w:tc>
        <w:tc>
          <w:tcPr>
            <w:tcW w:w="987" w:type="dxa"/>
          </w:tcPr>
          <w:p w14:paraId="47D7B922" w14:textId="13BD8BFA" w:rsidR="006D4DBB" w:rsidRPr="008910EE" w:rsidRDefault="00C92D8C" w:rsidP="00C92D8C">
            <w:pPr>
              <w:pStyle w:val="Tabletext"/>
            </w:pPr>
            <w:r w:rsidRPr="008910EE">
              <w:t>–</w:t>
            </w:r>
          </w:p>
        </w:tc>
        <w:tc>
          <w:tcPr>
            <w:tcW w:w="984" w:type="dxa"/>
          </w:tcPr>
          <w:p w14:paraId="39E6368D" w14:textId="77777777" w:rsidR="006D4DBB" w:rsidRPr="008910EE" w:rsidRDefault="006D4DBB" w:rsidP="00C92D8C">
            <w:pPr>
              <w:pStyle w:val="Tabletext"/>
            </w:pPr>
            <w:r w:rsidRPr="008910EE">
              <w:t>12.8</w:t>
            </w:r>
          </w:p>
        </w:tc>
        <w:tc>
          <w:tcPr>
            <w:tcW w:w="985" w:type="dxa"/>
          </w:tcPr>
          <w:p w14:paraId="4FC799F6" w14:textId="77777777" w:rsidR="006D4DBB" w:rsidRPr="008910EE" w:rsidRDefault="006D4DBB" w:rsidP="00C92D8C">
            <w:pPr>
              <w:pStyle w:val="Tabletext"/>
            </w:pPr>
            <w:r w:rsidRPr="008910EE">
              <w:t>1.7</w:t>
            </w:r>
          </w:p>
        </w:tc>
        <w:tc>
          <w:tcPr>
            <w:tcW w:w="984" w:type="dxa"/>
          </w:tcPr>
          <w:p w14:paraId="376A4AEF" w14:textId="77777777" w:rsidR="006D4DBB" w:rsidRPr="008910EE" w:rsidRDefault="006D4DBB" w:rsidP="00C92D8C">
            <w:pPr>
              <w:pStyle w:val="Tabletext"/>
            </w:pPr>
            <w:r w:rsidRPr="008910EE">
              <w:t>1.8</w:t>
            </w:r>
          </w:p>
        </w:tc>
        <w:tc>
          <w:tcPr>
            <w:tcW w:w="985" w:type="dxa"/>
          </w:tcPr>
          <w:p w14:paraId="03C98121" w14:textId="77777777" w:rsidR="006D4DBB" w:rsidRPr="008910EE" w:rsidRDefault="006D4DBB" w:rsidP="00C92D8C">
            <w:pPr>
              <w:pStyle w:val="Tabletext"/>
            </w:pPr>
            <w:r w:rsidRPr="008910EE">
              <w:t>1.8</w:t>
            </w:r>
          </w:p>
        </w:tc>
      </w:tr>
      <w:tr w:rsidR="006D4DBB" w:rsidRPr="008910EE" w14:paraId="33B36E79" w14:textId="77777777" w:rsidTr="009E3C36">
        <w:tc>
          <w:tcPr>
            <w:tcW w:w="4199" w:type="dxa"/>
          </w:tcPr>
          <w:p w14:paraId="0A67CD31" w14:textId="77777777" w:rsidR="006D4DBB" w:rsidRPr="008910EE" w:rsidRDefault="006D4DBB" w:rsidP="00C92D8C">
            <w:pPr>
              <w:pStyle w:val="Tabletext"/>
            </w:pPr>
            <w:r w:rsidRPr="008910EE">
              <w:t>Pets in refuges and crisis accommodation</w:t>
            </w:r>
          </w:p>
        </w:tc>
        <w:tc>
          <w:tcPr>
            <w:tcW w:w="987" w:type="dxa"/>
          </w:tcPr>
          <w:p w14:paraId="4B378BB2" w14:textId="14CA8598" w:rsidR="006D4DBB" w:rsidRPr="008910EE" w:rsidRDefault="00C92D8C" w:rsidP="00C92D8C">
            <w:pPr>
              <w:pStyle w:val="Tabletext"/>
            </w:pPr>
            <w:r w:rsidRPr="008910EE">
              <w:t>–</w:t>
            </w:r>
          </w:p>
        </w:tc>
        <w:tc>
          <w:tcPr>
            <w:tcW w:w="984" w:type="dxa"/>
          </w:tcPr>
          <w:p w14:paraId="2CF6FCAA" w14:textId="77777777" w:rsidR="006D4DBB" w:rsidRPr="008910EE" w:rsidRDefault="006D4DBB" w:rsidP="00C92D8C">
            <w:pPr>
              <w:pStyle w:val="Tabletext"/>
            </w:pPr>
            <w:r w:rsidRPr="008910EE">
              <w:t>0.6</w:t>
            </w:r>
          </w:p>
        </w:tc>
        <w:tc>
          <w:tcPr>
            <w:tcW w:w="985" w:type="dxa"/>
          </w:tcPr>
          <w:p w14:paraId="1A47C6CC" w14:textId="77777777" w:rsidR="006D4DBB" w:rsidRPr="008910EE" w:rsidRDefault="006D4DBB" w:rsidP="00C92D8C">
            <w:pPr>
              <w:pStyle w:val="Tabletext"/>
            </w:pPr>
            <w:r w:rsidRPr="008910EE">
              <w:t>0.2</w:t>
            </w:r>
          </w:p>
        </w:tc>
        <w:tc>
          <w:tcPr>
            <w:tcW w:w="984" w:type="dxa"/>
          </w:tcPr>
          <w:p w14:paraId="4EA24D0F" w14:textId="77777777" w:rsidR="006D4DBB" w:rsidRPr="008910EE" w:rsidRDefault="006D4DBB" w:rsidP="00C92D8C">
            <w:pPr>
              <w:pStyle w:val="Tabletext"/>
            </w:pPr>
            <w:r w:rsidRPr="008910EE">
              <w:t>0.2</w:t>
            </w:r>
          </w:p>
        </w:tc>
        <w:tc>
          <w:tcPr>
            <w:tcW w:w="985" w:type="dxa"/>
          </w:tcPr>
          <w:p w14:paraId="43732731" w14:textId="77777777" w:rsidR="006D4DBB" w:rsidRPr="008910EE" w:rsidRDefault="006D4DBB" w:rsidP="00C92D8C">
            <w:pPr>
              <w:pStyle w:val="Tabletext"/>
            </w:pPr>
            <w:r w:rsidRPr="008910EE">
              <w:t>0.2</w:t>
            </w:r>
          </w:p>
        </w:tc>
      </w:tr>
      <w:tr w:rsidR="006D4DBB" w:rsidRPr="008910EE" w14:paraId="4FD0268F" w14:textId="77777777" w:rsidTr="009E3C36">
        <w:tc>
          <w:tcPr>
            <w:tcW w:w="4199" w:type="dxa"/>
          </w:tcPr>
          <w:p w14:paraId="05A1F279" w14:textId="77777777" w:rsidR="006D4DBB" w:rsidRPr="008910EE" w:rsidRDefault="006D4DBB" w:rsidP="00C92D8C">
            <w:pPr>
              <w:pStyle w:val="Tabletext"/>
            </w:pPr>
            <w:r w:rsidRPr="008910EE">
              <w:t>Responses for children and young people impacted by family violence and sexual assault </w:t>
            </w:r>
          </w:p>
        </w:tc>
        <w:tc>
          <w:tcPr>
            <w:tcW w:w="987" w:type="dxa"/>
          </w:tcPr>
          <w:p w14:paraId="30DFCF9E" w14:textId="4C350A87" w:rsidR="006D4DBB" w:rsidRPr="008910EE" w:rsidRDefault="00C92D8C" w:rsidP="00C92D8C">
            <w:pPr>
              <w:pStyle w:val="Tabletext"/>
            </w:pPr>
            <w:r w:rsidRPr="008910EE">
              <w:t>–</w:t>
            </w:r>
          </w:p>
        </w:tc>
        <w:tc>
          <w:tcPr>
            <w:tcW w:w="984" w:type="dxa"/>
          </w:tcPr>
          <w:p w14:paraId="152CBB11" w14:textId="77777777" w:rsidR="006D4DBB" w:rsidRPr="008910EE" w:rsidRDefault="006D4DBB" w:rsidP="00C92D8C">
            <w:pPr>
              <w:pStyle w:val="Tabletext"/>
            </w:pPr>
            <w:r w:rsidRPr="008910EE">
              <w:t>14.1</w:t>
            </w:r>
          </w:p>
        </w:tc>
        <w:tc>
          <w:tcPr>
            <w:tcW w:w="985" w:type="dxa"/>
          </w:tcPr>
          <w:p w14:paraId="70112668" w14:textId="77777777" w:rsidR="006D4DBB" w:rsidRPr="008910EE" w:rsidRDefault="006D4DBB" w:rsidP="00C92D8C">
            <w:pPr>
              <w:pStyle w:val="Tabletext"/>
            </w:pPr>
            <w:r w:rsidRPr="008910EE">
              <w:t>9.7</w:t>
            </w:r>
          </w:p>
        </w:tc>
        <w:tc>
          <w:tcPr>
            <w:tcW w:w="984" w:type="dxa"/>
          </w:tcPr>
          <w:p w14:paraId="5CFB5C90" w14:textId="77777777" w:rsidR="006D4DBB" w:rsidRPr="008910EE" w:rsidRDefault="006D4DBB" w:rsidP="00C92D8C">
            <w:pPr>
              <w:pStyle w:val="Tabletext"/>
            </w:pPr>
            <w:r w:rsidRPr="008910EE">
              <w:t>10.0</w:t>
            </w:r>
          </w:p>
        </w:tc>
        <w:tc>
          <w:tcPr>
            <w:tcW w:w="985" w:type="dxa"/>
          </w:tcPr>
          <w:p w14:paraId="321AF906" w14:textId="77777777" w:rsidR="006D4DBB" w:rsidRPr="008910EE" w:rsidRDefault="006D4DBB" w:rsidP="00C92D8C">
            <w:pPr>
              <w:pStyle w:val="Tabletext"/>
            </w:pPr>
            <w:r w:rsidRPr="008910EE">
              <w:t>10.3</w:t>
            </w:r>
          </w:p>
        </w:tc>
      </w:tr>
      <w:tr w:rsidR="006D4DBB" w:rsidRPr="008910EE" w14:paraId="60C8EFC4" w14:textId="77777777" w:rsidTr="009E3C36">
        <w:tc>
          <w:tcPr>
            <w:tcW w:w="4199" w:type="dxa"/>
          </w:tcPr>
          <w:p w14:paraId="7F640B72" w14:textId="77777777" w:rsidR="006D4DBB" w:rsidRPr="008910EE" w:rsidRDefault="006D4DBB" w:rsidP="00C92D8C">
            <w:pPr>
              <w:pStyle w:val="Tabletext"/>
            </w:pPr>
            <w:r w:rsidRPr="008910EE">
              <w:t>Support for victim survivors of family violence and sexual assault</w:t>
            </w:r>
          </w:p>
        </w:tc>
        <w:tc>
          <w:tcPr>
            <w:tcW w:w="987" w:type="dxa"/>
          </w:tcPr>
          <w:p w14:paraId="3C1809E7" w14:textId="52E15165" w:rsidR="006D4DBB" w:rsidRPr="008910EE" w:rsidRDefault="00C92D8C" w:rsidP="00C92D8C">
            <w:pPr>
              <w:pStyle w:val="Tabletext"/>
            </w:pPr>
            <w:r w:rsidRPr="008910EE">
              <w:t>–</w:t>
            </w:r>
          </w:p>
        </w:tc>
        <w:tc>
          <w:tcPr>
            <w:tcW w:w="984" w:type="dxa"/>
          </w:tcPr>
          <w:p w14:paraId="0140B591" w14:textId="77777777" w:rsidR="006D4DBB" w:rsidRPr="008910EE" w:rsidRDefault="006D4DBB" w:rsidP="00C92D8C">
            <w:pPr>
              <w:pStyle w:val="Tabletext"/>
            </w:pPr>
            <w:r w:rsidRPr="008910EE">
              <w:t>21.9</w:t>
            </w:r>
          </w:p>
        </w:tc>
        <w:tc>
          <w:tcPr>
            <w:tcW w:w="985" w:type="dxa"/>
          </w:tcPr>
          <w:p w14:paraId="2A823C91" w14:textId="77777777" w:rsidR="006D4DBB" w:rsidRPr="008910EE" w:rsidRDefault="006D4DBB" w:rsidP="00C92D8C">
            <w:pPr>
              <w:pStyle w:val="Tabletext"/>
            </w:pPr>
            <w:r w:rsidRPr="008910EE">
              <w:t>9.1</w:t>
            </w:r>
          </w:p>
        </w:tc>
        <w:tc>
          <w:tcPr>
            <w:tcW w:w="984" w:type="dxa"/>
          </w:tcPr>
          <w:p w14:paraId="615A45B1" w14:textId="77777777" w:rsidR="006D4DBB" w:rsidRPr="008910EE" w:rsidRDefault="006D4DBB" w:rsidP="00C92D8C">
            <w:pPr>
              <w:pStyle w:val="Tabletext"/>
            </w:pPr>
            <w:r w:rsidRPr="008910EE">
              <w:t>9.3</w:t>
            </w:r>
          </w:p>
        </w:tc>
        <w:tc>
          <w:tcPr>
            <w:tcW w:w="985" w:type="dxa"/>
          </w:tcPr>
          <w:p w14:paraId="5F30736C" w14:textId="77777777" w:rsidR="006D4DBB" w:rsidRPr="008910EE" w:rsidRDefault="006D4DBB" w:rsidP="00C92D8C">
            <w:pPr>
              <w:pStyle w:val="Tabletext"/>
            </w:pPr>
            <w:r w:rsidRPr="008910EE">
              <w:t>8.7</w:t>
            </w:r>
          </w:p>
        </w:tc>
      </w:tr>
    </w:tbl>
    <w:p w14:paraId="2B2EED15" w14:textId="2060FD7F" w:rsidR="009E3C36" w:rsidRPr="008910EE" w:rsidRDefault="009E3C36" w:rsidP="009E3C36">
      <w:pPr>
        <w:pStyle w:val="Tablecaption"/>
      </w:pPr>
      <w:r w:rsidRPr="008910EE">
        <w:t>Housing assistance</w:t>
      </w:r>
    </w:p>
    <w:tbl>
      <w:tblPr>
        <w:tblStyle w:val="TableGrid"/>
        <w:tblW w:w="9124" w:type="dxa"/>
        <w:tblLayout w:type="fixed"/>
        <w:tblLook w:val="06E0" w:firstRow="1" w:lastRow="1" w:firstColumn="1" w:lastColumn="0" w:noHBand="1" w:noVBand="1"/>
      </w:tblPr>
      <w:tblGrid>
        <w:gridCol w:w="4199"/>
        <w:gridCol w:w="987"/>
        <w:gridCol w:w="984"/>
        <w:gridCol w:w="985"/>
        <w:gridCol w:w="984"/>
        <w:gridCol w:w="985"/>
      </w:tblGrid>
      <w:tr w:rsidR="00C92D8C" w:rsidRPr="008910EE" w14:paraId="3A92AA38" w14:textId="77777777" w:rsidTr="00BA475E">
        <w:trPr>
          <w:tblHeader/>
        </w:trPr>
        <w:tc>
          <w:tcPr>
            <w:tcW w:w="4199" w:type="dxa"/>
          </w:tcPr>
          <w:p w14:paraId="17A323DF" w14:textId="055FAF96" w:rsidR="00C92D8C" w:rsidRPr="008910EE" w:rsidRDefault="00C92D8C" w:rsidP="00BA475E">
            <w:pPr>
              <w:pStyle w:val="Tablecolhead"/>
            </w:pPr>
            <w:r w:rsidRPr="008910EE">
              <w:t>Initiative</w:t>
            </w:r>
          </w:p>
        </w:tc>
        <w:tc>
          <w:tcPr>
            <w:tcW w:w="987" w:type="dxa"/>
          </w:tcPr>
          <w:p w14:paraId="68A3EA8A" w14:textId="42DFC131" w:rsidR="00C92D8C" w:rsidRPr="008910EE" w:rsidRDefault="00C92D8C" w:rsidP="00BA475E">
            <w:pPr>
              <w:pStyle w:val="Tablecolhead"/>
            </w:pPr>
            <w:r w:rsidRPr="008910EE">
              <w:t>2020–21</w:t>
            </w:r>
          </w:p>
        </w:tc>
        <w:tc>
          <w:tcPr>
            <w:tcW w:w="984" w:type="dxa"/>
          </w:tcPr>
          <w:p w14:paraId="7369A9BD" w14:textId="1D035B61" w:rsidR="00C92D8C" w:rsidRPr="008910EE" w:rsidRDefault="00C92D8C" w:rsidP="00BA475E">
            <w:pPr>
              <w:pStyle w:val="Tablecolhead"/>
            </w:pPr>
            <w:r w:rsidRPr="008910EE">
              <w:t>2021–22</w:t>
            </w:r>
          </w:p>
        </w:tc>
        <w:tc>
          <w:tcPr>
            <w:tcW w:w="985" w:type="dxa"/>
          </w:tcPr>
          <w:p w14:paraId="37A1B04C" w14:textId="24D56544" w:rsidR="00C92D8C" w:rsidRPr="008910EE" w:rsidRDefault="00C92D8C" w:rsidP="00BA475E">
            <w:pPr>
              <w:pStyle w:val="Tablecolhead"/>
            </w:pPr>
            <w:r w:rsidRPr="008910EE">
              <w:t>2022–23</w:t>
            </w:r>
          </w:p>
        </w:tc>
        <w:tc>
          <w:tcPr>
            <w:tcW w:w="984" w:type="dxa"/>
          </w:tcPr>
          <w:p w14:paraId="50F5182B" w14:textId="299AB10E" w:rsidR="00C92D8C" w:rsidRPr="008910EE" w:rsidRDefault="00C92D8C" w:rsidP="00BA475E">
            <w:pPr>
              <w:pStyle w:val="Tablecolhead"/>
            </w:pPr>
            <w:r w:rsidRPr="008910EE">
              <w:t>2023–24</w:t>
            </w:r>
          </w:p>
        </w:tc>
        <w:tc>
          <w:tcPr>
            <w:tcW w:w="985" w:type="dxa"/>
          </w:tcPr>
          <w:p w14:paraId="65AD0B2D" w14:textId="2E872746" w:rsidR="00C92D8C" w:rsidRPr="008910EE" w:rsidRDefault="00C92D8C" w:rsidP="00BA475E">
            <w:pPr>
              <w:pStyle w:val="Tablecolhead"/>
            </w:pPr>
            <w:r w:rsidRPr="008910EE">
              <w:t>2024–25</w:t>
            </w:r>
          </w:p>
        </w:tc>
      </w:tr>
      <w:tr w:rsidR="006D4DBB" w:rsidRPr="008910EE" w14:paraId="262BF6D0" w14:textId="77777777" w:rsidTr="009E3C36">
        <w:tc>
          <w:tcPr>
            <w:tcW w:w="4199" w:type="dxa"/>
          </w:tcPr>
          <w:p w14:paraId="2798FD43" w14:textId="77777777" w:rsidR="006D4DBB" w:rsidRPr="008910EE" w:rsidRDefault="006D4DBB" w:rsidP="00C92D8C">
            <w:pPr>
              <w:pStyle w:val="Tabletext"/>
            </w:pPr>
            <w:r w:rsidRPr="008910EE">
              <w:t xml:space="preserve">Critical additional responses for people experiencing </w:t>
            </w:r>
            <w:bookmarkStart w:id="49" w:name="RowTitle_Initiative_HousingAssist"/>
            <w:bookmarkEnd w:id="49"/>
            <w:r w:rsidRPr="008910EE">
              <w:t>homelessness placed in hotels during the coronavirus (COVID</w:t>
            </w:r>
            <w:r w:rsidRPr="008910EE">
              <w:noBreakHyphen/>
              <w:t>19) pandemic</w:t>
            </w:r>
          </w:p>
        </w:tc>
        <w:tc>
          <w:tcPr>
            <w:tcW w:w="987" w:type="dxa"/>
          </w:tcPr>
          <w:p w14:paraId="3338C1CA" w14:textId="77777777" w:rsidR="006D4DBB" w:rsidRPr="008910EE" w:rsidRDefault="006D4DBB" w:rsidP="00C92D8C">
            <w:pPr>
              <w:pStyle w:val="Tabletext"/>
            </w:pPr>
            <w:r w:rsidRPr="008910EE">
              <w:t>19.5</w:t>
            </w:r>
            <w:bookmarkStart w:id="50" w:name="RowTitle_2020_21_HousingAssist"/>
            <w:bookmarkEnd w:id="50"/>
          </w:p>
        </w:tc>
        <w:tc>
          <w:tcPr>
            <w:tcW w:w="984" w:type="dxa"/>
          </w:tcPr>
          <w:p w14:paraId="236F430B" w14:textId="77777777" w:rsidR="006D4DBB" w:rsidRPr="008910EE" w:rsidRDefault="006D4DBB" w:rsidP="00C92D8C">
            <w:pPr>
              <w:pStyle w:val="Tabletext"/>
            </w:pPr>
            <w:r w:rsidRPr="008910EE">
              <w:t>11.5</w:t>
            </w:r>
            <w:bookmarkStart w:id="51" w:name="RowTitle_2021_22_HousingAssist"/>
            <w:bookmarkEnd w:id="51"/>
          </w:p>
        </w:tc>
        <w:tc>
          <w:tcPr>
            <w:tcW w:w="985" w:type="dxa"/>
          </w:tcPr>
          <w:p w14:paraId="7E6BBC9B" w14:textId="77777777" w:rsidR="006D4DBB" w:rsidRPr="008910EE" w:rsidRDefault="006D4DBB" w:rsidP="00C92D8C">
            <w:pPr>
              <w:pStyle w:val="Tabletext"/>
            </w:pPr>
            <w:r w:rsidRPr="008910EE">
              <w:t>(1</w:t>
            </w:r>
            <w:bookmarkStart w:id="52" w:name="RowTitle_2022_23_HousingAssist"/>
            <w:bookmarkEnd w:id="52"/>
            <w:r w:rsidRPr="008910EE">
              <w:t>1.6)</w:t>
            </w:r>
          </w:p>
        </w:tc>
        <w:tc>
          <w:tcPr>
            <w:tcW w:w="984" w:type="dxa"/>
          </w:tcPr>
          <w:p w14:paraId="062F8EAF" w14:textId="77777777" w:rsidR="006D4DBB" w:rsidRPr="008910EE" w:rsidRDefault="006D4DBB" w:rsidP="00C92D8C">
            <w:pPr>
              <w:pStyle w:val="Tabletext"/>
            </w:pPr>
            <w:r w:rsidRPr="008910EE">
              <w:t>(2.5</w:t>
            </w:r>
            <w:bookmarkStart w:id="53" w:name="RowTitle_2023_24_HousingAssist"/>
            <w:bookmarkEnd w:id="53"/>
            <w:r w:rsidRPr="008910EE">
              <w:t>)</w:t>
            </w:r>
          </w:p>
        </w:tc>
        <w:tc>
          <w:tcPr>
            <w:tcW w:w="985" w:type="dxa"/>
          </w:tcPr>
          <w:p w14:paraId="6981732A" w14:textId="76639855" w:rsidR="006D4DBB" w:rsidRPr="008910EE" w:rsidRDefault="00C92D8C" w:rsidP="00C92D8C">
            <w:pPr>
              <w:pStyle w:val="Tabletext"/>
            </w:pPr>
            <w:r w:rsidRPr="008910EE">
              <w:t>–</w:t>
            </w:r>
            <w:bookmarkStart w:id="54" w:name="RowTitle_2024_25_HousingAssist"/>
            <w:bookmarkEnd w:id="54"/>
          </w:p>
        </w:tc>
      </w:tr>
      <w:tr w:rsidR="006D4DBB" w:rsidRPr="008910EE" w14:paraId="0B66A2F7" w14:textId="77777777" w:rsidTr="009E3C36">
        <w:tc>
          <w:tcPr>
            <w:tcW w:w="4199" w:type="dxa"/>
          </w:tcPr>
          <w:p w14:paraId="7FA85A42" w14:textId="77777777" w:rsidR="006D4DBB" w:rsidRPr="008910EE" w:rsidRDefault="006D4DBB" w:rsidP="00C92D8C">
            <w:pPr>
              <w:pStyle w:val="Tabletext"/>
            </w:pPr>
            <w:r w:rsidRPr="008910EE">
              <w:t>Homelessness services</w:t>
            </w:r>
          </w:p>
        </w:tc>
        <w:tc>
          <w:tcPr>
            <w:tcW w:w="987" w:type="dxa"/>
          </w:tcPr>
          <w:p w14:paraId="789B87DD" w14:textId="2A0CEAED" w:rsidR="006D4DBB" w:rsidRPr="008910EE" w:rsidRDefault="00C92D8C" w:rsidP="00C92D8C">
            <w:pPr>
              <w:pStyle w:val="Tabletext"/>
            </w:pPr>
            <w:r w:rsidRPr="008910EE">
              <w:t>–</w:t>
            </w:r>
          </w:p>
        </w:tc>
        <w:tc>
          <w:tcPr>
            <w:tcW w:w="984" w:type="dxa"/>
          </w:tcPr>
          <w:p w14:paraId="01B82D17" w14:textId="77777777" w:rsidR="006D4DBB" w:rsidRPr="008910EE" w:rsidRDefault="006D4DBB" w:rsidP="00C92D8C">
            <w:pPr>
              <w:pStyle w:val="Tabletext"/>
            </w:pPr>
            <w:r w:rsidRPr="008910EE">
              <w:t>46.7</w:t>
            </w:r>
          </w:p>
        </w:tc>
        <w:tc>
          <w:tcPr>
            <w:tcW w:w="985" w:type="dxa"/>
          </w:tcPr>
          <w:p w14:paraId="11A66BF4" w14:textId="77777777" w:rsidR="006D4DBB" w:rsidRPr="008910EE" w:rsidRDefault="006D4DBB" w:rsidP="00C92D8C">
            <w:pPr>
              <w:pStyle w:val="Tabletext"/>
            </w:pPr>
            <w:r w:rsidRPr="008910EE">
              <w:t>53.0</w:t>
            </w:r>
          </w:p>
        </w:tc>
        <w:tc>
          <w:tcPr>
            <w:tcW w:w="984" w:type="dxa"/>
          </w:tcPr>
          <w:p w14:paraId="388823A5" w14:textId="77777777" w:rsidR="006D4DBB" w:rsidRPr="008910EE" w:rsidRDefault="006D4DBB" w:rsidP="00C92D8C">
            <w:pPr>
              <w:pStyle w:val="Tabletext"/>
            </w:pPr>
            <w:r w:rsidRPr="008910EE">
              <w:t>46.4</w:t>
            </w:r>
          </w:p>
        </w:tc>
        <w:tc>
          <w:tcPr>
            <w:tcW w:w="985" w:type="dxa"/>
          </w:tcPr>
          <w:p w14:paraId="59CC3DAB" w14:textId="77777777" w:rsidR="006D4DBB" w:rsidRPr="008910EE" w:rsidRDefault="006D4DBB" w:rsidP="00C92D8C">
            <w:pPr>
              <w:pStyle w:val="Tabletext"/>
            </w:pPr>
            <w:r w:rsidRPr="008910EE">
              <w:t>47.6</w:t>
            </w:r>
          </w:p>
        </w:tc>
      </w:tr>
      <w:tr w:rsidR="006D4DBB" w:rsidRPr="008910EE" w14:paraId="60929D3B" w14:textId="77777777" w:rsidTr="009E3C36">
        <w:tc>
          <w:tcPr>
            <w:tcW w:w="4199" w:type="dxa"/>
          </w:tcPr>
          <w:p w14:paraId="7B868909" w14:textId="77777777" w:rsidR="006D4DBB" w:rsidRPr="008910EE" w:rsidRDefault="006D4DBB" w:rsidP="00C92D8C">
            <w:pPr>
              <w:pStyle w:val="Tabletext"/>
            </w:pPr>
            <w:r w:rsidRPr="008910EE">
              <w:t>Paving the Way Forward: pathway to recovery at North Melbourne and Flemington housing estates</w:t>
            </w:r>
          </w:p>
        </w:tc>
        <w:tc>
          <w:tcPr>
            <w:tcW w:w="987" w:type="dxa"/>
          </w:tcPr>
          <w:p w14:paraId="73441E05" w14:textId="4C736BFD" w:rsidR="006D4DBB" w:rsidRPr="008910EE" w:rsidRDefault="00C92D8C" w:rsidP="00C92D8C">
            <w:pPr>
              <w:pStyle w:val="Tabletext"/>
            </w:pPr>
            <w:r w:rsidRPr="008910EE">
              <w:t>–</w:t>
            </w:r>
          </w:p>
        </w:tc>
        <w:tc>
          <w:tcPr>
            <w:tcW w:w="984" w:type="dxa"/>
          </w:tcPr>
          <w:p w14:paraId="17409A7C" w14:textId="77777777" w:rsidR="006D4DBB" w:rsidRPr="008910EE" w:rsidRDefault="006D4DBB" w:rsidP="00C92D8C">
            <w:pPr>
              <w:pStyle w:val="Tabletext"/>
            </w:pPr>
            <w:r w:rsidRPr="008910EE">
              <w:t>2.4</w:t>
            </w:r>
          </w:p>
        </w:tc>
        <w:tc>
          <w:tcPr>
            <w:tcW w:w="985" w:type="dxa"/>
          </w:tcPr>
          <w:p w14:paraId="2473337B" w14:textId="77777777" w:rsidR="006D4DBB" w:rsidRPr="008910EE" w:rsidRDefault="006D4DBB" w:rsidP="00C92D8C">
            <w:pPr>
              <w:pStyle w:val="Tabletext"/>
            </w:pPr>
            <w:r w:rsidRPr="008910EE">
              <w:t>3.1</w:t>
            </w:r>
          </w:p>
        </w:tc>
        <w:tc>
          <w:tcPr>
            <w:tcW w:w="984" w:type="dxa"/>
          </w:tcPr>
          <w:p w14:paraId="728AC481" w14:textId="77777777" w:rsidR="006D4DBB" w:rsidRPr="008910EE" w:rsidRDefault="006D4DBB" w:rsidP="00C92D8C">
            <w:pPr>
              <w:pStyle w:val="Tabletext"/>
            </w:pPr>
            <w:r w:rsidRPr="008910EE">
              <w:t>0.5</w:t>
            </w:r>
          </w:p>
        </w:tc>
        <w:tc>
          <w:tcPr>
            <w:tcW w:w="985" w:type="dxa"/>
          </w:tcPr>
          <w:p w14:paraId="50A18C5D" w14:textId="77777777" w:rsidR="006D4DBB" w:rsidRPr="008910EE" w:rsidRDefault="006D4DBB" w:rsidP="00C92D8C">
            <w:pPr>
              <w:pStyle w:val="Tabletext"/>
            </w:pPr>
            <w:r w:rsidRPr="008910EE">
              <w:t>0.5</w:t>
            </w:r>
          </w:p>
        </w:tc>
      </w:tr>
      <w:tr w:rsidR="006D4DBB" w:rsidRPr="008910EE" w14:paraId="26D953AA" w14:textId="77777777" w:rsidTr="009E3C36">
        <w:tc>
          <w:tcPr>
            <w:tcW w:w="4199" w:type="dxa"/>
          </w:tcPr>
          <w:p w14:paraId="73A6CB47" w14:textId="77777777" w:rsidR="006D4DBB" w:rsidRPr="008910EE" w:rsidRDefault="006D4DBB" w:rsidP="00C92D8C">
            <w:pPr>
              <w:pStyle w:val="Tabletext"/>
            </w:pPr>
            <w:r w:rsidRPr="008910EE">
              <w:t>Tackling rough sleeping</w:t>
            </w:r>
          </w:p>
        </w:tc>
        <w:tc>
          <w:tcPr>
            <w:tcW w:w="987" w:type="dxa"/>
          </w:tcPr>
          <w:p w14:paraId="60D163BE" w14:textId="17B74B16" w:rsidR="006D4DBB" w:rsidRPr="008910EE" w:rsidRDefault="00C92D8C" w:rsidP="00C92D8C">
            <w:pPr>
              <w:pStyle w:val="Tabletext"/>
            </w:pPr>
            <w:r w:rsidRPr="008910EE">
              <w:t>–</w:t>
            </w:r>
          </w:p>
        </w:tc>
        <w:tc>
          <w:tcPr>
            <w:tcW w:w="984" w:type="dxa"/>
          </w:tcPr>
          <w:p w14:paraId="5BEC6117" w14:textId="77777777" w:rsidR="006D4DBB" w:rsidRPr="008910EE" w:rsidRDefault="006D4DBB" w:rsidP="00C92D8C">
            <w:pPr>
              <w:pStyle w:val="Tabletext"/>
            </w:pPr>
            <w:r w:rsidRPr="008910EE">
              <w:t>5.9</w:t>
            </w:r>
          </w:p>
        </w:tc>
        <w:tc>
          <w:tcPr>
            <w:tcW w:w="985" w:type="dxa"/>
          </w:tcPr>
          <w:p w14:paraId="16558CDE" w14:textId="77777777" w:rsidR="006D4DBB" w:rsidRPr="008910EE" w:rsidRDefault="006D4DBB" w:rsidP="00C92D8C">
            <w:pPr>
              <w:pStyle w:val="Tabletext"/>
            </w:pPr>
            <w:r w:rsidRPr="008910EE">
              <w:t>8.1</w:t>
            </w:r>
          </w:p>
        </w:tc>
        <w:tc>
          <w:tcPr>
            <w:tcW w:w="984" w:type="dxa"/>
          </w:tcPr>
          <w:p w14:paraId="6B09EE7F" w14:textId="77777777" w:rsidR="006D4DBB" w:rsidRPr="008910EE" w:rsidRDefault="006D4DBB" w:rsidP="00C92D8C">
            <w:pPr>
              <w:pStyle w:val="Tabletext"/>
            </w:pPr>
            <w:r w:rsidRPr="008910EE">
              <w:t>10.2</w:t>
            </w:r>
          </w:p>
        </w:tc>
        <w:tc>
          <w:tcPr>
            <w:tcW w:w="985" w:type="dxa"/>
          </w:tcPr>
          <w:p w14:paraId="770F73C5" w14:textId="77777777" w:rsidR="006D4DBB" w:rsidRPr="008910EE" w:rsidRDefault="006D4DBB" w:rsidP="00C92D8C">
            <w:pPr>
              <w:pStyle w:val="Tabletext"/>
            </w:pPr>
            <w:r w:rsidRPr="008910EE">
              <w:t>2.0</w:t>
            </w:r>
          </w:p>
        </w:tc>
      </w:tr>
    </w:tbl>
    <w:p w14:paraId="424A09A2" w14:textId="4058BE63" w:rsidR="009E3C36" w:rsidRPr="008910EE" w:rsidRDefault="009E3C36" w:rsidP="009E3C36">
      <w:pPr>
        <w:pStyle w:val="Tablecaption"/>
      </w:pPr>
      <w:r w:rsidRPr="008910EE">
        <w:t>LGBTIQ+ equality policy and programs</w:t>
      </w:r>
    </w:p>
    <w:tbl>
      <w:tblPr>
        <w:tblStyle w:val="TableGrid"/>
        <w:tblW w:w="9124" w:type="dxa"/>
        <w:tblLayout w:type="fixed"/>
        <w:tblLook w:val="06E0" w:firstRow="1" w:lastRow="1" w:firstColumn="1" w:lastColumn="0" w:noHBand="1" w:noVBand="1"/>
      </w:tblPr>
      <w:tblGrid>
        <w:gridCol w:w="4199"/>
        <w:gridCol w:w="987"/>
        <w:gridCol w:w="984"/>
        <w:gridCol w:w="985"/>
        <w:gridCol w:w="984"/>
        <w:gridCol w:w="985"/>
      </w:tblGrid>
      <w:tr w:rsidR="00C92D8C" w:rsidRPr="008910EE" w14:paraId="6679AC2A" w14:textId="77777777" w:rsidTr="00BA475E">
        <w:trPr>
          <w:tblHeader/>
        </w:trPr>
        <w:tc>
          <w:tcPr>
            <w:tcW w:w="4199" w:type="dxa"/>
          </w:tcPr>
          <w:p w14:paraId="7A6B6769" w14:textId="582E3358" w:rsidR="00C92D8C" w:rsidRPr="008910EE" w:rsidRDefault="00C92D8C" w:rsidP="00BA475E">
            <w:pPr>
              <w:pStyle w:val="Tablecolhead"/>
            </w:pPr>
            <w:r w:rsidRPr="008910EE">
              <w:t>Initiative</w:t>
            </w:r>
          </w:p>
        </w:tc>
        <w:tc>
          <w:tcPr>
            <w:tcW w:w="987" w:type="dxa"/>
          </w:tcPr>
          <w:p w14:paraId="056B325D" w14:textId="7F74A350" w:rsidR="00C92D8C" w:rsidRPr="008910EE" w:rsidRDefault="00C92D8C" w:rsidP="00BA475E">
            <w:pPr>
              <w:pStyle w:val="Tablecolhead"/>
            </w:pPr>
            <w:r w:rsidRPr="008910EE">
              <w:t>2020–21</w:t>
            </w:r>
          </w:p>
        </w:tc>
        <w:tc>
          <w:tcPr>
            <w:tcW w:w="984" w:type="dxa"/>
          </w:tcPr>
          <w:p w14:paraId="7C77E024" w14:textId="38AA26EE" w:rsidR="00C92D8C" w:rsidRPr="008910EE" w:rsidRDefault="00C92D8C" w:rsidP="00BA475E">
            <w:pPr>
              <w:pStyle w:val="Tablecolhead"/>
            </w:pPr>
            <w:r w:rsidRPr="008910EE">
              <w:t>2021–22</w:t>
            </w:r>
          </w:p>
        </w:tc>
        <w:tc>
          <w:tcPr>
            <w:tcW w:w="985" w:type="dxa"/>
          </w:tcPr>
          <w:p w14:paraId="1DDEB46D" w14:textId="72A43D78" w:rsidR="00C92D8C" w:rsidRPr="008910EE" w:rsidRDefault="00C92D8C" w:rsidP="00BA475E">
            <w:pPr>
              <w:pStyle w:val="Tablecolhead"/>
            </w:pPr>
            <w:r w:rsidRPr="008910EE">
              <w:t>2022–23</w:t>
            </w:r>
          </w:p>
        </w:tc>
        <w:tc>
          <w:tcPr>
            <w:tcW w:w="984" w:type="dxa"/>
          </w:tcPr>
          <w:p w14:paraId="03BC6A15" w14:textId="21D70999" w:rsidR="00C92D8C" w:rsidRPr="008910EE" w:rsidRDefault="00C92D8C" w:rsidP="00BA475E">
            <w:pPr>
              <w:pStyle w:val="Tablecolhead"/>
            </w:pPr>
            <w:r w:rsidRPr="008910EE">
              <w:t>2023–24</w:t>
            </w:r>
          </w:p>
        </w:tc>
        <w:tc>
          <w:tcPr>
            <w:tcW w:w="985" w:type="dxa"/>
          </w:tcPr>
          <w:p w14:paraId="6E3E48BF" w14:textId="519806BA" w:rsidR="00C92D8C" w:rsidRPr="008910EE" w:rsidRDefault="00C92D8C" w:rsidP="00BA475E">
            <w:pPr>
              <w:pStyle w:val="Tablecolhead"/>
            </w:pPr>
            <w:r w:rsidRPr="008910EE">
              <w:t>2024–25</w:t>
            </w:r>
          </w:p>
        </w:tc>
      </w:tr>
      <w:tr w:rsidR="006D4DBB" w:rsidRPr="008910EE" w14:paraId="7BB0AC16" w14:textId="77777777" w:rsidTr="009E3C36">
        <w:tc>
          <w:tcPr>
            <w:tcW w:w="4199" w:type="dxa"/>
          </w:tcPr>
          <w:p w14:paraId="64CEACEF" w14:textId="77777777" w:rsidR="006D4DBB" w:rsidRPr="008910EE" w:rsidRDefault="006D4DBB" w:rsidP="00C92D8C">
            <w:pPr>
              <w:pStyle w:val="Tabletext"/>
            </w:pPr>
            <w:r w:rsidRPr="008910EE">
              <w:t>LGBTIQ+ Grants Pr</w:t>
            </w:r>
            <w:bookmarkStart w:id="55" w:name="RowTitle_Initiative_LGBTIQ"/>
            <w:bookmarkEnd w:id="55"/>
            <w:r w:rsidRPr="008910EE">
              <w:t>ogram</w:t>
            </w:r>
          </w:p>
        </w:tc>
        <w:tc>
          <w:tcPr>
            <w:tcW w:w="987" w:type="dxa"/>
          </w:tcPr>
          <w:p w14:paraId="67CD3951" w14:textId="3A3BDA4A" w:rsidR="006D4DBB" w:rsidRPr="008910EE" w:rsidRDefault="00C92D8C" w:rsidP="00C92D8C">
            <w:pPr>
              <w:pStyle w:val="Tabletext"/>
            </w:pPr>
            <w:r w:rsidRPr="008910EE">
              <w:t>–</w:t>
            </w:r>
            <w:bookmarkStart w:id="56" w:name="RowTitle_2020_21_LGBTIQ"/>
            <w:bookmarkEnd w:id="56"/>
          </w:p>
        </w:tc>
        <w:tc>
          <w:tcPr>
            <w:tcW w:w="984" w:type="dxa"/>
          </w:tcPr>
          <w:p w14:paraId="471CD93A" w14:textId="77777777" w:rsidR="006D4DBB" w:rsidRPr="008910EE" w:rsidRDefault="006D4DBB" w:rsidP="00C92D8C">
            <w:pPr>
              <w:pStyle w:val="Tabletext"/>
            </w:pPr>
            <w:r w:rsidRPr="008910EE">
              <w:t>1.0</w:t>
            </w:r>
            <w:bookmarkStart w:id="57" w:name="RowTitle_2021_22_LGBTIQ"/>
            <w:bookmarkEnd w:id="57"/>
          </w:p>
        </w:tc>
        <w:tc>
          <w:tcPr>
            <w:tcW w:w="985" w:type="dxa"/>
          </w:tcPr>
          <w:p w14:paraId="38C66920" w14:textId="0ED56B9B" w:rsidR="006D4DBB" w:rsidRPr="008910EE" w:rsidRDefault="00C92D8C" w:rsidP="00C92D8C">
            <w:pPr>
              <w:pStyle w:val="Tabletext"/>
            </w:pPr>
            <w:r w:rsidRPr="008910EE">
              <w:t>–</w:t>
            </w:r>
            <w:bookmarkStart w:id="58" w:name="RowTitle_2022_23_LGBTIQ"/>
            <w:bookmarkEnd w:id="58"/>
          </w:p>
        </w:tc>
        <w:tc>
          <w:tcPr>
            <w:tcW w:w="984" w:type="dxa"/>
          </w:tcPr>
          <w:p w14:paraId="2EBBCF69" w14:textId="5A4326AB" w:rsidR="006D4DBB" w:rsidRPr="008910EE" w:rsidRDefault="00C92D8C" w:rsidP="00C92D8C">
            <w:pPr>
              <w:pStyle w:val="Tabletext"/>
            </w:pPr>
            <w:r w:rsidRPr="008910EE">
              <w:t>–</w:t>
            </w:r>
            <w:bookmarkStart w:id="59" w:name="RowTitle_2023_24_LGBTIQ"/>
            <w:bookmarkEnd w:id="59"/>
          </w:p>
        </w:tc>
        <w:tc>
          <w:tcPr>
            <w:tcW w:w="985" w:type="dxa"/>
          </w:tcPr>
          <w:p w14:paraId="7610C05D" w14:textId="7C3E5F23" w:rsidR="006D4DBB" w:rsidRPr="008910EE" w:rsidRDefault="00C92D8C" w:rsidP="00C92D8C">
            <w:pPr>
              <w:pStyle w:val="Tabletext"/>
            </w:pPr>
            <w:r w:rsidRPr="008910EE">
              <w:t>–</w:t>
            </w:r>
            <w:bookmarkStart w:id="60" w:name="RowTitle_2024_25_LGBTIQ"/>
            <w:bookmarkEnd w:id="60"/>
          </w:p>
        </w:tc>
      </w:tr>
      <w:tr w:rsidR="006D4DBB" w:rsidRPr="008910EE" w14:paraId="7BD00892" w14:textId="77777777" w:rsidTr="009E3C36">
        <w:tc>
          <w:tcPr>
            <w:tcW w:w="4199" w:type="dxa"/>
          </w:tcPr>
          <w:p w14:paraId="43C6D562" w14:textId="77777777" w:rsidR="006D4DBB" w:rsidRPr="008910EE" w:rsidRDefault="006D4DBB" w:rsidP="00C92D8C">
            <w:pPr>
              <w:pStyle w:val="Tabletext"/>
            </w:pPr>
            <w:r w:rsidRPr="008910EE">
              <w:t>Melbourne Pride 2021</w:t>
            </w:r>
          </w:p>
        </w:tc>
        <w:tc>
          <w:tcPr>
            <w:tcW w:w="987" w:type="dxa"/>
          </w:tcPr>
          <w:p w14:paraId="3DF4E126" w14:textId="1E14FDA8" w:rsidR="006D4DBB" w:rsidRPr="008910EE" w:rsidRDefault="00C92D8C" w:rsidP="00C92D8C">
            <w:pPr>
              <w:pStyle w:val="Tabletext"/>
            </w:pPr>
            <w:r w:rsidRPr="008910EE">
              <w:t>–</w:t>
            </w:r>
          </w:p>
        </w:tc>
        <w:tc>
          <w:tcPr>
            <w:tcW w:w="984" w:type="dxa"/>
          </w:tcPr>
          <w:p w14:paraId="766E52C2" w14:textId="77777777" w:rsidR="006D4DBB" w:rsidRPr="008910EE" w:rsidRDefault="006D4DBB" w:rsidP="00C92D8C">
            <w:pPr>
              <w:pStyle w:val="Tabletext"/>
            </w:pPr>
            <w:r w:rsidRPr="008910EE">
              <w:t>1.0</w:t>
            </w:r>
          </w:p>
        </w:tc>
        <w:tc>
          <w:tcPr>
            <w:tcW w:w="985" w:type="dxa"/>
          </w:tcPr>
          <w:p w14:paraId="0169C229" w14:textId="7B8DE20B" w:rsidR="006D4DBB" w:rsidRPr="008910EE" w:rsidRDefault="00C92D8C" w:rsidP="00C92D8C">
            <w:pPr>
              <w:pStyle w:val="Tabletext"/>
            </w:pPr>
            <w:r w:rsidRPr="008910EE">
              <w:t>–</w:t>
            </w:r>
          </w:p>
        </w:tc>
        <w:tc>
          <w:tcPr>
            <w:tcW w:w="984" w:type="dxa"/>
          </w:tcPr>
          <w:p w14:paraId="514A3EBD" w14:textId="7DAFA63C" w:rsidR="006D4DBB" w:rsidRPr="008910EE" w:rsidRDefault="00C92D8C" w:rsidP="00C92D8C">
            <w:pPr>
              <w:pStyle w:val="Tabletext"/>
            </w:pPr>
            <w:r w:rsidRPr="008910EE">
              <w:t>–</w:t>
            </w:r>
          </w:p>
        </w:tc>
        <w:tc>
          <w:tcPr>
            <w:tcW w:w="985" w:type="dxa"/>
          </w:tcPr>
          <w:p w14:paraId="2855BA12" w14:textId="6B5817C7" w:rsidR="006D4DBB" w:rsidRPr="008910EE" w:rsidRDefault="00C92D8C" w:rsidP="00C92D8C">
            <w:pPr>
              <w:pStyle w:val="Tabletext"/>
            </w:pPr>
            <w:r w:rsidRPr="008910EE">
              <w:t>–</w:t>
            </w:r>
          </w:p>
        </w:tc>
      </w:tr>
    </w:tbl>
    <w:p w14:paraId="6147BB56" w14:textId="17EACFD3" w:rsidR="009E3C36" w:rsidRPr="008910EE" w:rsidRDefault="009E3C36" w:rsidP="00C92D8C">
      <w:pPr>
        <w:pStyle w:val="Tablecaption"/>
      </w:pPr>
      <w:r w:rsidRPr="008910EE">
        <w:t>Multicultural affairs policy and programs</w:t>
      </w:r>
    </w:p>
    <w:tbl>
      <w:tblPr>
        <w:tblStyle w:val="TableGrid"/>
        <w:tblW w:w="9062" w:type="dxa"/>
        <w:tblLayout w:type="fixed"/>
        <w:tblLook w:val="06E0" w:firstRow="1" w:lastRow="1" w:firstColumn="1" w:lastColumn="0" w:noHBand="1" w:noVBand="1"/>
      </w:tblPr>
      <w:tblGrid>
        <w:gridCol w:w="4199"/>
        <w:gridCol w:w="987"/>
        <w:gridCol w:w="996"/>
        <w:gridCol w:w="896"/>
        <w:gridCol w:w="990"/>
        <w:gridCol w:w="994"/>
      </w:tblGrid>
      <w:tr w:rsidR="00C92D8C" w:rsidRPr="008910EE" w14:paraId="0C0A1793" w14:textId="77777777" w:rsidTr="00BA475E">
        <w:trPr>
          <w:tblHeader/>
        </w:trPr>
        <w:tc>
          <w:tcPr>
            <w:tcW w:w="4199" w:type="dxa"/>
          </w:tcPr>
          <w:p w14:paraId="158CCFB4" w14:textId="6F4AE819" w:rsidR="00C92D8C" w:rsidRPr="008910EE" w:rsidRDefault="00C92D8C" w:rsidP="00BA475E">
            <w:pPr>
              <w:pStyle w:val="Tablecolhead"/>
            </w:pPr>
            <w:r w:rsidRPr="008910EE">
              <w:t>Initiative</w:t>
            </w:r>
          </w:p>
        </w:tc>
        <w:tc>
          <w:tcPr>
            <w:tcW w:w="987" w:type="dxa"/>
          </w:tcPr>
          <w:p w14:paraId="5608E3D6" w14:textId="27B6F30E" w:rsidR="00C92D8C" w:rsidRPr="008910EE" w:rsidRDefault="00C92D8C" w:rsidP="00BA475E">
            <w:pPr>
              <w:pStyle w:val="Tablecolhead"/>
            </w:pPr>
            <w:r w:rsidRPr="008910EE">
              <w:t>2020–21</w:t>
            </w:r>
          </w:p>
        </w:tc>
        <w:tc>
          <w:tcPr>
            <w:tcW w:w="996" w:type="dxa"/>
          </w:tcPr>
          <w:p w14:paraId="2E197278" w14:textId="30973030" w:rsidR="00C92D8C" w:rsidRPr="008910EE" w:rsidRDefault="00C92D8C" w:rsidP="00BA475E">
            <w:pPr>
              <w:pStyle w:val="Tablecolhead"/>
            </w:pPr>
            <w:r w:rsidRPr="008910EE">
              <w:t>2021–22</w:t>
            </w:r>
          </w:p>
        </w:tc>
        <w:tc>
          <w:tcPr>
            <w:tcW w:w="896" w:type="dxa"/>
          </w:tcPr>
          <w:p w14:paraId="21492463" w14:textId="33205B95" w:rsidR="00C92D8C" w:rsidRPr="008910EE" w:rsidRDefault="00C92D8C" w:rsidP="00BA475E">
            <w:pPr>
              <w:pStyle w:val="Tablecolhead"/>
            </w:pPr>
            <w:r w:rsidRPr="008910EE">
              <w:t>2022–23</w:t>
            </w:r>
          </w:p>
        </w:tc>
        <w:tc>
          <w:tcPr>
            <w:tcW w:w="990" w:type="dxa"/>
          </w:tcPr>
          <w:p w14:paraId="0E05A5B0" w14:textId="7B663B2B" w:rsidR="00C92D8C" w:rsidRPr="008910EE" w:rsidRDefault="00C92D8C" w:rsidP="00BA475E">
            <w:pPr>
              <w:pStyle w:val="Tablecolhead"/>
            </w:pPr>
            <w:r w:rsidRPr="008910EE">
              <w:t>2023–24</w:t>
            </w:r>
          </w:p>
        </w:tc>
        <w:tc>
          <w:tcPr>
            <w:tcW w:w="994" w:type="dxa"/>
          </w:tcPr>
          <w:p w14:paraId="09B1FB80" w14:textId="1BF8CADF" w:rsidR="00C92D8C" w:rsidRPr="008910EE" w:rsidRDefault="00C92D8C" w:rsidP="00BA475E">
            <w:pPr>
              <w:pStyle w:val="Tablecolhead"/>
            </w:pPr>
            <w:r w:rsidRPr="008910EE">
              <w:t>2024–25</w:t>
            </w:r>
          </w:p>
        </w:tc>
      </w:tr>
      <w:tr w:rsidR="006D4DBB" w:rsidRPr="008910EE" w14:paraId="7C377940" w14:textId="77777777" w:rsidTr="009E3C36">
        <w:tc>
          <w:tcPr>
            <w:tcW w:w="4199" w:type="dxa"/>
          </w:tcPr>
          <w:p w14:paraId="3470ED36" w14:textId="778F5153" w:rsidR="006D4DBB" w:rsidRPr="008910EE" w:rsidRDefault="006D4DBB" w:rsidP="00C92D8C">
            <w:pPr>
              <w:pStyle w:val="Tabletext"/>
            </w:pPr>
            <w:r w:rsidRPr="008910EE">
              <w:t>Enhanced engagement approach with CALD communities a</w:t>
            </w:r>
            <w:bookmarkStart w:id="61" w:name="RowTitle_Initiative_Multicultural"/>
            <w:bookmarkEnd w:id="61"/>
            <w:r w:rsidRPr="008910EE">
              <w:t>nd complex families</w:t>
            </w:r>
          </w:p>
        </w:tc>
        <w:tc>
          <w:tcPr>
            <w:tcW w:w="987" w:type="dxa"/>
          </w:tcPr>
          <w:p w14:paraId="6B49110C" w14:textId="77777777" w:rsidR="006D4DBB" w:rsidRPr="008910EE" w:rsidRDefault="006D4DBB" w:rsidP="00C92D8C">
            <w:pPr>
              <w:pStyle w:val="Tabletext"/>
            </w:pPr>
            <w:r w:rsidRPr="008910EE">
              <w:t>23.8</w:t>
            </w:r>
            <w:bookmarkStart w:id="62" w:name="RowTitle_2020_21_Multicultural"/>
            <w:bookmarkEnd w:id="62"/>
          </w:p>
        </w:tc>
        <w:tc>
          <w:tcPr>
            <w:tcW w:w="996" w:type="dxa"/>
          </w:tcPr>
          <w:p w14:paraId="6D1FF0CB" w14:textId="4CD46BEB" w:rsidR="006D4DBB" w:rsidRPr="008910EE" w:rsidRDefault="00C92D8C" w:rsidP="00C92D8C">
            <w:pPr>
              <w:pStyle w:val="Tabletext"/>
            </w:pPr>
            <w:bookmarkStart w:id="63" w:name="RowTitle_2021_22_Multicultural"/>
            <w:bookmarkEnd w:id="63"/>
            <w:r w:rsidRPr="008910EE">
              <w:t>–</w:t>
            </w:r>
          </w:p>
        </w:tc>
        <w:tc>
          <w:tcPr>
            <w:tcW w:w="896" w:type="dxa"/>
          </w:tcPr>
          <w:p w14:paraId="7D658A43" w14:textId="1953B3BB" w:rsidR="006D4DBB" w:rsidRPr="008910EE" w:rsidRDefault="00C92D8C" w:rsidP="00C92D8C">
            <w:pPr>
              <w:pStyle w:val="Tabletext"/>
            </w:pPr>
            <w:r w:rsidRPr="008910EE">
              <w:t>–</w:t>
            </w:r>
            <w:bookmarkStart w:id="64" w:name="RowTitle_2022_23_Multicultural"/>
            <w:bookmarkEnd w:id="64"/>
          </w:p>
        </w:tc>
        <w:tc>
          <w:tcPr>
            <w:tcW w:w="990" w:type="dxa"/>
          </w:tcPr>
          <w:p w14:paraId="3B76298C" w14:textId="415B9560" w:rsidR="006D4DBB" w:rsidRPr="008910EE" w:rsidRDefault="00C92D8C" w:rsidP="00C92D8C">
            <w:pPr>
              <w:pStyle w:val="Tabletext"/>
            </w:pPr>
            <w:r w:rsidRPr="008910EE">
              <w:t>–</w:t>
            </w:r>
            <w:bookmarkStart w:id="65" w:name="RowTitle_2023_24_Multicultural"/>
            <w:bookmarkEnd w:id="65"/>
          </w:p>
        </w:tc>
        <w:tc>
          <w:tcPr>
            <w:tcW w:w="994" w:type="dxa"/>
          </w:tcPr>
          <w:p w14:paraId="3F24A76B" w14:textId="160F3BFA" w:rsidR="006D4DBB" w:rsidRPr="008910EE" w:rsidRDefault="00C92D8C" w:rsidP="00C92D8C">
            <w:pPr>
              <w:pStyle w:val="Tabletext"/>
            </w:pPr>
            <w:r w:rsidRPr="008910EE">
              <w:t>–</w:t>
            </w:r>
            <w:bookmarkStart w:id="66" w:name="RowTitle_2024_25_Multicultural"/>
            <w:bookmarkEnd w:id="66"/>
          </w:p>
        </w:tc>
      </w:tr>
      <w:tr w:rsidR="006D4DBB" w:rsidRPr="008910EE" w14:paraId="7389A9C0" w14:textId="77777777" w:rsidTr="009E3C36">
        <w:tc>
          <w:tcPr>
            <w:tcW w:w="4199" w:type="dxa"/>
          </w:tcPr>
          <w:p w14:paraId="77339418" w14:textId="77777777" w:rsidR="006D4DBB" w:rsidRPr="008910EE" w:rsidRDefault="006D4DBB" w:rsidP="00C92D8C">
            <w:pPr>
              <w:pStyle w:val="Tabletext"/>
            </w:pPr>
            <w:r w:rsidRPr="008910EE">
              <w:t>Multicultural Festivals and Events Program</w:t>
            </w:r>
          </w:p>
        </w:tc>
        <w:tc>
          <w:tcPr>
            <w:tcW w:w="987" w:type="dxa"/>
          </w:tcPr>
          <w:p w14:paraId="10C542B3" w14:textId="05B57767" w:rsidR="006D4DBB" w:rsidRPr="008910EE" w:rsidRDefault="00C92D8C" w:rsidP="00C92D8C">
            <w:pPr>
              <w:pStyle w:val="Tabletext"/>
            </w:pPr>
            <w:r w:rsidRPr="008910EE">
              <w:t>–</w:t>
            </w:r>
          </w:p>
        </w:tc>
        <w:tc>
          <w:tcPr>
            <w:tcW w:w="996" w:type="dxa"/>
          </w:tcPr>
          <w:p w14:paraId="7A9C88BE" w14:textId="77777777" w:rsidR="006D4DBB" w:rsidRPr="008910EE" w:rsidRDefault="006D4DBB" w:rsidP="00C92D8C">
            <w:pPr>
              <w:pStyle w:val="Tabletext"/>
            </w:pPr>
            <w:r w:rsidRPr="008910EE">
              <w:t>1.1</w:t>
            </w:r>
          </w:p>
        </w:tc>
        <w:tc>
          <w:tcPr>
            <w:tcW w:w="896" w:type="dxa"/>
          </w:tcPr>
          <w:p w14:paraId="6236D84F" w14:textId="608957B0" w:rsidR="006D4DBB" w:rsidRPr="008910EE" w:rsidRDefault="00C92D8C" w:rsidP="00C92D8C">
            <w:pPr>
              <w:pStyle w:val="Tabletext"/>
            </w:pPr>
            <w:r w:rsidRPr="008910EE">
              <w:t>–</w:t>
            </w:r>
          </w:p>
        </w:tc>
        <w:tc>
          <w:tcPr>
            <w:tcW w:w="990" w:type="dxa"/>
          </w:tcPr>
          <w:p w14:paraId="6D152F21" w14:textId="6643D8B4" w:rsidR="006D4DBB" w:rsidRPr="008910EE" w:rsidRDefault="00C92D8C" w:rsidP="00C92D8C">
            <w:pPr>
              <w:pStyle w:val="Tabletext"/>
            </w:pPr>
            <w:r w:rsidRPr="008910EE">
              <w:t>–</w:t>
            </w:r>
          </w:p>
        </w:tc>
        <w:tc>
          <w:tcPr>
            <w:tcW w:w="994" w:type="dxa"/>
          </w:tcPr>
          <w:p w14:paraId="60BDFC6C" w14:textId="6D67D369" w:rsidR="006D4DBB" w:rsidRPr="008910EE" w:rsidRDefault="00C92D8C" w:rsidP="00C92D8C">
            <w:pPr>
              <w:pStyle w:val="Tabletext"/>
            </w:pPr>
            <w:r w:rsidRPr="008910EE">
              <w:t>–</w:t>
            </w:r>
          </w:p>
        </w:tc>
      </w:tr>
      <w:tr w:rsidR="006D4DBB" w:rsidRPr="008910EE" w14:paraId="4FF167CD" w14:textId="77777777" w:rsidTr="009E3C36">
        <w:tc>
          <w:tcPr>
            <w:tcW w:w="4199" w:type="dxa"/>
          </w:tcPr>
          <w:p w14:paraId="034227E2" w14:textId="77777777" w:rsidR="006D4DBB" w:rsidRPr="008910EE" w:rsidRDefault="006D4DBB" w:rsidP="00C92D8C">
            <w:pPr>
              <w:pStyle w:val="Tabletext"/>
            </w:pPr>
            <w:r w:rsidRPr="008910EE">
              <w:t>Multicultural seniors grants</w:t>
            </w:r>
          </w:p>
        </w:tc>
        <w:tc>
          <w:tcPr>
            <w:tcW w:w="987" w:type="dxa"/>
          </w:tcPr>
          <w:p w14:paraId="1C00C9C4" w14:textId="3198EC45" w:rsidR="006D4DBB" w:rsidRPr="008910EE" w:rsidRDefault="00C92D8C" w:rsidP="00C92D8C">
            <w:pPr>
              <w:pStyle w:val="Tabletext"/>
            </w:pPr>
            <w:r w:rsidRPr="008910EE">
              <w:t>–</w:t>
            </w:r>
          </w:p>
        </w:tc>
        <w:tc>
          <w:tcPr>
            <w:tcW w:w="996" w:type="dxa"/>
          </w:tcPr>
          <w:p w14:paraId="654934AD" w14:textId="77777777" w:rsidR="006D4DBB" w:rsidRPr="008910EE" w:rsidRDefault="006D4DBB" w:rsidP="00C92D8C">
            <w:pPr>
              <w:pStyle w:val="Tabletext"/>
            </w:pPr>
            <w:r w:rsidRPr="008910EE">
              <w:t>2.0</w:t>
            </w:r>
          </w:p>
        </w:tc>
        <w:tc>
          <w:tcPr>
            <w:tcW w:w="896" w:type="dxa"/>
          </w:tcPr>
          <w:p w14:paraId="4476C4D6" w14:textId="77777777" w:rsidR="006D4DBB" w:rsidRPr="008910EE" w:rsidRDefault="006D4DBB" w:rsidP="00C92D8C">
            <w:pPr>
              <w:pStyle w:val="Tabletext"/>
            </w:pPr>
            <w:r w:rsidRPr="008910EE">
              <w:t>2.0</w:t>
            </w:r>
          </w:p>
        </w:tc>
        <w:tc>
          <w:tcPr>
            <w:tcW w:w="990" w:type="dxa"/>
          </w:tcPr>
          <w:p w14:paraId="1B6A267A" w14:textId="77777777" w:rsidR="006D4DBB" w:rsidRPr="008910EE" w:rsidRDefault="006D4DBB" w:rsidP="00C92D8C">
            <w:pPr>
              <w:pStyle w:val="Tabletext"/>
            </w:pPr>
            <w:r w:rsidRPr="008910EE">
              <w:t>2.0</w:t>
            </w:r>
          </w:p>
        </w:tc>
        <w:tc>
          <w:tcPr>
            <w:tcW w:w="994" w:type="dxa"/>
          </w:tcPr>
          <w:p w14:paraId="5252DCE7" w14:textId="77777777" w:rsidR="006D4DBB" w:rsidRPr="008910EE" w:rsidRDefault="006D4DBB" w:rsidP="00C92D8C">
            <w:pPr>
              <w:pStyle w:val="Tabletext"/>
            </w:pPr>
            <w:r w:rsidRPr="008910EE">
              <w:t>2.0</w:t>
            </w:r>
          </w:p>
        </w:tc>
      </w:tr>
      <w:tr w:rsidR="006D4DBB" w:rsidRPr="008910EE" w14:paraId="12053F31" w14:textId="77777777" w:rsidTr="009E3C36">
        <w:tc>
          <w:tcPr>
            <w:tcW w:w="4199" w:type="dxa"/>
          </w:tcPr>
          <w:p w14:paraId="7B281429" w14:textId="77777777" w:rsidR="006D4DBB" w:rsidRPr="008910EE" w:rsidRDefault="006D4DBB" w:rsidP="00C92D8C">
            <w:pPr>
              <w:pStyle w:val="Tabletext"/>
            </w:pPr>
            <w:r w:rsidRPr="008910EE">
              <w:t>Recovery together: jobs and stimulus initiatives for Victoria’s multicultural communities</w:t>
            </w:r>
          </w:p>
        </w:tc>
        <w:tc>
          <w:tcPr>
            <w:tcW w:w="987" w:type="dxa"/>
          </w:tcPr>
          <w:p w14:paraId="4B9A704A" w14:textId="4FC4298C" w:rsidR="006D4DBB" w:rsidRPr="008910EE" w:rsidRDefault="00C92D8C" w:rsidP="00C92D8C">
            <w:pPr>
              <w:pStyle w:val="Tabletext"/>
            </w:pPr>
            <w:r w:rsidRPr="008910EE">
              <w:t>–</w:t>
            </w:r>
          </w:p>
        </w:tc>
        <w:tc>
          <w:tcPr>
            <w:tcW w:w="996" w:type="dxa"/>
          </w:tcPr>
          <w:p w14:paraId="7ED2A969" w14:textId="77777777" w:rsidR="006D4DBB" w:rsidRPr="008910EE" w:rsidRDefault="006D4DBB" w:rsidP="00C92D8C">
            <w:pPr>
              <w:pStyle w:val="Tabletext"/>
            </w:pPr>
            <w:r w:rsidRPr="008910EE">
              <w:t>4.4</w:t>
            </w:r>
          </w:p>
        </w:tc>
        <w:tc>
          <w:tcPr>
            <w:tcW w:w="896" w:type="dxa"/>
          </w:tcPr>
          <w:p w14:paraId="72BA1BE0" w14:textId="77777777" w:rsidR="006D4DBB" w:rsidRPr="008910EE" w:rsidRDefault="006D4DBB" w:rsidP="00C92D8C">
            <w:pPr>
              <w:pStyle w:val="Tabletext"/>
            </w:pPr>
            <w:r w:rsidRPr="008910EE">
              <w:t>0.1</w:t>
            </w:r>
          </w:p>
        </w:tc>
        <w:tc>
          <w:tcPr>
            <w:tcW w:w="990" w:type="dxa"/>
          </w:tcPr>
          <w:p w14:paraId="68CC4E98" w14:textId="063B7951" w:rsidR="006D4DBB" w:rsidRPr="008910EE" w:rsidRDefault="00C92D8C" w:rsidP="00C92D8C">
            <w:pPr>
              <w:pStyle w:val="Tabletext"/>
            </w:pPr>
            <w:r w:rsidRPr="008910EE">
              <w:t>–</w:t>
            </w:r>
          </w:p>
        </w:tc>
        <w:tc>
          <w:tcPr>
            <w:tcW w:w="994" w:type="dxa"/>
          </w:tcPr>
          <w:p w14:paraId="00EFFE8E" w14:textId="3514A4B5" w:rsidR="006D4DBB" w:rsidRPr="008910EE" w:rsidRDefault="00C92D8C" w:rsidP="00C92D8C">
            <w:pPr>
              <w:pStyle w:val="Tabletext"/>
            </w:pPr>
            <w:r w:rsidRPr="008910EE">
              <w:t>–</w:t>
            </w:r>
          </w:p>
        </w:tc>
      </w:tr>
      <w:tr w:rsidR="006D4DBB" w:rsidRPr="008910EE" w14:paraId="26D86AAB" w14:textId="77777777" w:rsidTr="009E3C36">
        <w:tc>
          <w:tcPr>
            <w:tcW w:w="4199" w:type="dxa"/>
          </w:tcPr>
          <w:p w14:paraId="6E55F7B7" w14:textId="77777777" w:rsidR="006D4DBB" w:rsidRPr="008910EE" w:rsidRDefault="006D4DBB" w:rsidP="00C92D8C">
            <w:pPr>
              <w:pStyle w:val="Tabletext"/>
            </w:pPr>
            <w:r w:rsidRPr="008910EE">
              <w:t xml:space="preserve">Supporting improved settlement outcomes </w:t>
            </w:r>
          </w:p>
        </w:tc>
        <w:tc>
          <w:tcPr>
            <w:tcW w:w="987" w:type="dxa"/>
          </w:tcPr>
          <w:p w14:paraId="730D26AB" w14:textId="2A361C71" w:rsidR="006D4DBB" w:rsidRPr="008910EE" w:rsidRDefault="00C92D8C" w:rsidP="00C92D8C">
            <w:pPr>
              <w:pStyle w:val="Tabletext"/>
            </w:pPr>
            <w:r w:rsidRPr="008910EE">
              <w:t>–</w:t>
            </w:r>
          </w:p>
        </w:tc>
        <w:tc>
          <w:tcPr>
            <w:tcW w:w="996" w:type="dxa"/>
          </w:tcPr>
          <w:p w14:paraId="5A916807" w14:textId="77777777" w:rsidR="006D4DBB" w:rsidRPr="008910EE" w:rsidRDefault="006D4DBB" w:rsidP="00C92D8C">
            <w:pPr>
              <w:pStyle w:val="Tabletext"/>
            </w:pPr>
            <w:r w:rsidRPr="008910EE">
              <w:t>4.5</w:t>
            </w:r>
          </w:p>
        </w:tc>
        <w:tc>
          <w:tcPr>
            <w:tcW w:w="896" w:type="dxa"/>
          </w:tcPr>
          <w:p w14:paraId="1750C2C4" w14:textId="77777777" w:rsidR="006D4DBB" w:rsidRPr="008910EE" w:rsidRDefault="006D4DBB" w:rsidP="00C92D8C">
            <w:pPr>
              <w:pStyle w:val="Tabletext"/>
            </w:pPr>
            <w:r w:rsidRPr="008910EE">
              <w:t>1.4</w:t>
            </w:r>
          </w:p>
        </w:tc>
        <w:tc>
          <w:tcPr>
            <w:tcW w:w="990" w:type="dxa"/>
          </w:tcPr>
          <w:p w14:paraId="104C941A" w14:textId="77777777" w:rsidR="006D4DBB" w:rsidRPr="008910EE" w:rsidRDefault="006D4DBB" w:rsidP="00C92D8C">
            <w:pPr>
              <w:pStyle w:val="Tabletext"/>
            </w:pPr>
            <w:r w:rsidRPr="008910EE">
              <w:t>1.4</w:t>
            </w:r>
          </w:p>
        </w:tc>
        <w:tc>
          <w:tcPr>
            <w:tcW w:w="994" w:type="dxa"/>
          </w:tcPr>
          <w:p w14:paraId="64DA5414" w14:textId="77777777" w:rsidR="006D4DBB" w:rsidRPr="008910EE" w:rsidRDefault="006D4DBB" w:rsidP="00C92D8C">
            <w:pPr>
              <w:pStyle w:val="Tabletext"/>
            </w:pPr>
            <w:r w:rsidRPr="008910EE">
              <w:t>1.4</w:t>
            </w:r>
          </w:p>
        </w:tc>
      </w:tr>
      <w:tr w:rsidR="006D4DBB" w:rsidRPr="008910EE" w14:paraId="410068B4" w14:textId="77777777" w:rsidTr="009E3C36">
        <w:tc>
          <w:tcPr>
            <w:tcW w:w="4199" w:type="dxa"/>
          </w:tcPr>
          <w:p w14:paraId="5780EF12" w14:textId="77777777" w:rsidR="006D4DBB" w:rsidRPr="008910EE" w:rsidRDefault="006D4DBB" w:rsidP="00C92D8C">
            <w:pPr>
              <w:pStyle w:val="Tabletext"/>
            </w:pPr>
            <w:r w:rsidRPr="008910EE">
              <w:t>Tackling racism in Victoria head</w:t>
            </w:r>
            <w:r w:rsidRPr="008910EE">
              <w:noBreakHyphen/>
              <w:t>on</w:t>
            </w:r>
          </w:p>
        </w:tc>
        <w:tc>
          <w:tcPr>
            <w:tcW w:w="987" w:type="dxa"/>
          </w:tcPr>
          <w:p w14:paraId="08607449" w14:textId="58018CBA" w:rsidR="006D4DBB" w:rsidRPr="008910EE" w:rsidRDefault="00C92D8C" w:rsidP="00C92D8C">
            <w:pPr>
              <w:pStyle w:val="Tabletext"/>
            </w:pPr>
            <w:r w:rsidRPr="008910EE">
              <w:t>–</w:t>
            </w:r>
          </w:p>
        </w:tc>
        <w:tc>
          <w:tcPr>
            <w:tcW w:w="996" w:type="dxa"/>
          </w:tcPr>
          <w:p w14:paraId="7759D9D3" w14:textId="77777777" w:rsidR="006D4DBB" w:rsidRPr="008910EE" w:rsidRDefault="006D4DBB" w:rsidP="00C92D8C">
            <w:pPr>
              <w:pStyle w:val="Tabletext"/>
            </w:pPr>
            <w:r w:rsidRPr="008910EE">
              <w:t>0.6</w:t>
            </w:r>
          </w:p>
        </w:tc>
        <w:tc>
          <w:tcPr>
            <w:tcW w:w="896" w:type="dxa"/>
          </w:tcPr>
          <w:p w14:paraId="4D067487" w14:textId="77777777" w:rsidR="006D4DBB" w:rsidRPr="008910EE" w:rsidRDefault="006D4DBB" w:rsidP="00C92D8C">
            <w:pPr>
              <w:pStyle w:val="Tabletext"/>
            </w:pPr>
            <w:r w:rsidRPr="008910EE">
              <w:t>0.6</w:t>
            </w:r>
          </w:p>
        </w:tc>
        <w:tc>
          <w:tcPr>
            <w:tcW w:w="990" w:type="dxa"/>
          </w:tcPr>
          <w:p w14:paraId="0BB14912" w14:textId="77777777" w:rsidR="006D4DBB" w:rsidRPr="008910EE" w:rsidRDefault="006D4DBB" w:rsidP="00C92D8C">
            <w:pPr>
              <w:pStyle w:val="Tabletext"/>
            </w:pPr>
            <w:r w:rsidRPr="008910EE">
              <w:t>0.3</w:t>
            </w:r>
          </w:p>
        </w:tc>
        <w:tc>
          <w:tcPr>
            <w:tcW w:w="994" w:type="dxa"/>
          </w:tcPr>
          <w:p w14:paraId="2B4CEBD7" w14:textId="3A1DFEB5" w:rsidR="006D4DBB" w:rsidRPr="008910EE" w:rsidRDefault="00C92D8C" w:rsidP="00C92D8C">
            <w:pPr>
              <w:pStyle w:val="Tabletext"/>
            </w:pPr>
            <w:r w:rsidRPr="008910EE">
              <w:t>–</w:t>
            </w:r>
          </w:p>
        </w:tc>
      </w:tr>
    </w:tbl>
    <w:p w14:paraId="411AABA4" w14:textId="51BD021D" w:rsidR="009E3C36" w:rsidRPr="008910EE" w:rsidRDefault="009E3C36" w:rsidP="00C92D8C">
      <w:pPr>
        <w:pStyle w:val="Tablecaption"/>
      </w:pPr>
      <w:r w:rsidRPr="008910EE">
        <w:t>Office for Disability</w:t>
      </w:r>
    </w:p>
    <w:tbl>
      <w:tblPr>
        <w:tblStyle w:val="TableGrid"/>
        <w:tblW w:w="9062" w:type="dxa"/>
        <w:tblLayout w:type="fixed"/>
        <w:tblLook w:val="06E0" w:firstRow="1" w:lastRow="1" w:firstColumn="1" w:lastColumn="0" w:noHBand="1" w:noVBand="1"/>
      </w:tblPr>
      <w:tblGrid>
        <w:gridCol w:w="4199"/>
        <w:gridCol w:w="987"/>
        <w:gridCol w:w="996"/>
        <w:gridCol w:w="896"/>
        <w:gridCol w:w="990"/>
        <w:gridCol w:w="994"/>
      </w:tblGrid>
      <w:tr w:rsidR="00C92D8C" w:rsidRPr="008910EE" w14:paraId="3A5E3B9B" w14:textId="77777777" w:rsidTr="00BA475E">
        <w:trPr>
          <w:tblHeader/>
        </w:trPr>
        <w:tc>
          <w:tcPr>
            <w:tcW w:w="4199" w:type="dxa"/>
          </w:tcPr>
          <w:p w14:paraId="47BD93D0" w14:textId="1A80277F" w:rsidR="00C92D8C" w:rsidRPr="008910EE" w:rsidRDefault="00C92D8C" w:rsidP="00BA475E">
            <w:pPr>
              <w:pStyle w:val="Tablecolhead"/>
            </w:pPr>
            <w:r w:rsidRPr="008910EE">
              <w:t>Initiative</w:t>
            </w:r>
          </w:p>
        </w:tc>
        <w:tc>
          <w:tcPr>
            <w:tcW w:w="987" w:type="dxa"/>
          </w:tcPr>
          <w:p w14:paraId="4EDC64E8" w14:textId="41780569" w:rsidR="00C92D8C" w:rsidRPr="008910EE" w:rsidRDefault="00C92D8C" w:rsidP="00BA475E">
            <w:pPr>
              <w:pStyle w:val="Tablecolhead"/>
            </w:pPr>
            <w:r w:rsidRPr="008910EE">
              <w:t>2020–21</w:t>
            </w:r>
          </w:p>
        </w:tc>
        <w:tc>
          <w:tcPr>
            <w:tcW w:w="996" w:type="dxa"/>
          </w:tcPr>
          <w:p w14:paraId="78180A05" w14:textId="3474518E" w:rsidR="00C92D8C" w:rsidRPr="008910EE" w:rsidRDefault="00C92D8C" w:rsidP="00BA475E">
            <w:pPr>
              <w:pStyle w:val="Tablecolhead"/>
            </w:pPr>
            <w:r w:rsidRPr="008910EE">
              <w:t>2021–22</w:t>
            </w:r>
          </w:p>
        </w:tc>
        <w:tc>
          <w:tcPr>
            <w:tcW w:w="896" w:type="dxa"/>
          </w:tcPr>
          <w:p w14:paraId="4D4557AE" w14:textId="6D698834" w:rsidR="00C92D8C" w:rsidRPr="008910EE" w:rsidRDefault="00C92D8C" w:rsidP="00BA475E">
            <w:pPr>
              <w:pStyle w:val="Tablecolhead"/>
            </w:pPr>
            <w:r w:rsidRPr="008910EE">
              <w:t>2022–23</w:t>
            </w:r>
          </w:p>
        </w:tc>
        <w:tc>
          <w:tcPr>
            <w:tcW w:w="990" w:type="dxa"/>
          </w:tcPr>
          <w:p w14:paraId="78417D68" w14:textId="049B2802" w:rsidR="00C92D8C" w:rsidRPr="008910EE" w:rsidRDefault="00C92D8C" w:rsidP="00BA475E">
            <w:pPr>
              <w:pStyle w:val="Tablecolhead"/>
            </w:pPr>
            <w:r w:rsidRPr="008910EE">
              <w:t>2023–24</w:t>
            </w:r>
          </w:p>
        </w:tc>
        <w:tc>
          <w:tcPr>
            <w:tcW w:w="994" w:type="dxa"/>
          </w:tcPr>
          <w:p w14:paraId="0374FEC3" w14:textId="4F5A849B" w:rsidR="00C92D8C" w:rsidRPr="008910EE" w:rsidRDefault="00C92D8C" w:rsidP="00BA475E">
            <w:pPr>
              <w:pStyle w:val="Tablecolhead"/>
            </w:pPr>
            <w:r w:rsidRPr="008910EE">
              <w:t>2024–25</w:t>
            </w:r>
          </w:p>
        </w:tc>
      </w:tr>
      <w:tr w:rsidR="006D4DBB" w:rsidRPr="008910EE" w14:paraId="20925947" w14:textId="77777777" w:rsidTr="009E3C36">
        <w:tc>
          <w:tcPr>
            <w:tcW w:w="4199" w:type="dxa"/>
          </w:tcPr>
          <w:p w14:paraId="4C218F10" w14:textId="77777777" w:rsidR="006D4DBB" w:rsidRPr="008910EE" w:rsidRDefault="006D4DBB" w:rsidP="00C92D8C">
            <w:pPr>
              <w:pStyle w:val="Tabletext"/>
            </w:pPr>
            <w:r w:rsidRPr="008910EE">
              <w:t>Building inclusive and safe communities for Victorians with disability</w:t>
            </w:r>
            <w:bookmarkStart w:id="67" w:name="RowTitle_Initiative_OfficeDisability"/>
            <w:bookmarkEnd w:id="67"/>
          </w:p>
        </w:tc>
        <w:tc>
          <w:tcPr>
            <w:tcW w:w="987" w:type="dxa"/>
          </w:tcPr>
          <w:p w14:paraId="3E7A25EA" w14:textId="2FD9BA15" w:rsidR="006D4DBB" w:rsidRPr="008910EE" w:rsidRDefault="00C92D8C" w:rsidP="00C92D8C">
            <w:pPr>
              <w:pStyle w:val="Tabletext"/>
            </w:pPr>
            <w:r w:rsidRPr="008910EE">
              <w:t>–</w:t>
            </w:r>
            <w:bookmarkStart w:id="68" w:name="RowTitle_2020_21_OfficeDisability"/>
            <w:bookmarkEnd w:id="68"/>
          </w:p>
        </w:tc>
        <w:tc>
          <w:tcPr>
            <w:tcW w:w="996" w:type="dxa"/>
          </w:tcPr>
          <w:p w14:paraId="6F0D5853" w14:textId="77777777" w:rsidR="006D4DBB" w:rsidRPr="008910EE" w:rsidRDefault="006D4DBB" w:rsidP="00C92D8C">
            <w:pPr>
              <w:pStyle w:val="Tabletext"/>
            </w:pPr>
            <w:r w:rsidRPr="008910EE">
              <w:t>8.1</w:t>
            </w:r>
            <w:bookmarkStart w:id="69" w:name="RowTitle_2021_22_OfficeDisability"/>
            <w:bookmarkEnd w:id="69"/>
          </w:p>
        </w:tc>
        <w:tc>
          <w:tcPr>
            <w:tcW w:w="896" w:type="dxa"/>
          </w:tcPr>
          <w:p w14:paraId="6E024B94" w14:textId="77777777" w:rsidR="006D4DBB" w:rsidRPr="008910EE" w:rsidRDefault="006D4DBB" w:rsidP="00C92D8C">
            <w:pPr>
              <w:pStyle w:val="Tabletext"/>
            </w:pPr>
            <w:r w:rsidRPr="008910EE">
              <w:t>0.3</w:t>
            </w:r>
            <w:bookmarkStart w:id="70" w:name="RowTitle_2022_23_OfficeDisability"/>
            <w:bookmarkEnd w:id="70"/>
          </w:p>
        </w:tc>
        <w:tc>
          <w:tcPr>
            <w:tcW w:w="990" w:type="dxa"/>
          </w:tcPr>
          <w:p w14:paraId="691A6E77" w14:textId="77777777" w:rsidR="006D4DBB" w:rsidRPr="008910EE" w:rsidRDefault="006D4DBB" w:rsidP="00C92D8C">
            <w:pPr>
              <w:pStyle w:val="Tabletext"/>
            </w:pPr>
            <w:r w:rsidRPr="008910EE">
              <w:t>0.4</w:t>
            </w:r>
            <w:bookmarkStart w:id="71" w:name="RowTitle_2023_24_OfficeDisability"/>
            <w:bookmarkEnd w:id="71"/>
          </w:p>
        </w:tc>
        <w:tc>
          <w:tcPr>
            <w:tcW w:w="994" w:type="dxa"/>
          </w:tcPr>
          <w:p w14:paraId="360CB541" w14:textId="77777777" w:rsidR="006D4DBB" w:rsidRPr="008910EE" w:rsidRDefault="006D4DBB" w:rsidP="00C92D8C">
            <w:pPr>
              <w:pStyle w:val="Tabletext"/>
            </w:pPr>
            <w:r w:rsidRPr="008910EE">
              <w:t>0.4</w:t>
            </w:r>
            <w:bookmarkStart w:id="72" w:name="RowTitle_2024_25_OfficeDisability"/>
            <w:bookmarkEnd w:id="72"/>
          </w:p>
        </w:tc>
      </w:tr>
    </w:tbl>
    <w:p w14:paraId="3737945C" w14:textId="1F1A677C" w:rsidR="009E3C36" w:rsidRPr="008910EE" w:rsidRDefault="009E3C36" w:rsidP="00C92D8C">
      <w:pPr>
        <w:pStyle w:val="Tablecaption"/>
      </w:pPr>
      <w:r w:rsidRPr="008910EE">
        <w:t>Seniors programs and participation</w:t>
      </w:r>
    </w:p>
    <w:tbl>
      <w:tblPr>
        <w:tblStyle w:val="TableGrid"/>
        <w:tblW w:w="9062" w:type="dxa"/>
        <w:tblLayout w:type="fixed"/>
        <w:tblLook w:val="06E0" w:firstRow="1" w:lastRow="1" w:firstColumn="1" w:lastColumn="0" w:noHBand="1" w:noVBand="1"/>
      </w:tblPr>
      <w:tblGrid>
        <w:gridCol w:w="4199"/>
        <w:gridCol w:w="987"/>
        <w:gridCol w:w="996"/>
        <w:gridCol w:w="896"/>
        <w:gridCol w:w="990"/>
        <w:gridCol w:w="994"/>
      </w:tblGrid>
      <w:tr w:rsidR="00C92D8C" w:rsidRPr="008910EE" w14:paraId="3A35F947" w14:textId="77777777" w:rsidTr="00BA475E">
        <w:trPr>
          <w:tblHeader/>
        </w:trPr>
        <w:tc>
          <w:tcPr>
            <w:tcW w:w="4199" w:type="dxa"/>
          </w:tcPr>
          <w:p w14:paraId="2977CA64" w14:textId="045DB1A4" w:rsidR="00C92D8C" w:rsidRPr="008910EE" w:rsidRDefault="00C92D8C" w:rsidP="00BA475E">
            <w:pPr>
              <w:pStyle w:val="Tablecolhead"/>
            </w:pPr>
            <w:r w:rsidRPr="008910EE">
              <w:t>Initiative</w:t>
            </w:r>
          </w:p>
        </w:tc>
        <w:tc>
          <w:tcPr>
            <w:tcW w:w="987" w:type="dxa"/>
          </w:tcPr>
          <w:p w14:paraId="739C30BF" w14:textId="19748DEA" w:rsidR="00C92D8C" w:rsidRPr="008910EE" w:rsidRDefault="00C92D8C" w:rsidP="00BA475E">
            <w:pPr>
              <w:pStyle w:val="Tablecolhead"/>
            </w:pPr>
            <w:r w:rsidRPr="008910EE">
              <w:t>2020–21</w:t>
            </w:r>
          </w:p>
        </w:tc>
        <w:tc>
          <w:tcPr>
            <w:tcW w:w="996" w:type="dxa"/>
          </w:tcPr>
          <w:p w14:paraId="4A070819" w14:textId="2774F95D" w:rsidR="00C92D8C" w:rsidRPr="008910EE" w:rsidRDefault="00C92D8C" w:rsidP="00BA475E">
            <w:pPr>
              <w:pStyle w:val="Tablecolhead"/>
            </w:pPr>
            <w:r w:rsidRPr="008910EE">
              <w:t>2021–22</w:t>
            </w:r>
          </w:p>
        </w:tc>
        <w:tc>
          <w:tcPr>
            <w:tcW w:w="896" w:type="dxa"/>
          </w:tcPr>
          <w:p w14:paraId="0ACE728A" w14:textId="4D8F36D5" w:rsidR="00C92D8C" w:rsidRPr="008910EE" w:rsidRDefault="00C92D8C" w:rsidP="00BA475E">
            <w:pPr>
              <w:pStyle w:val="Tablecolhead"/>
            </w:pPr>
            <w:r w:rsidRPr="008910EE">
              <w:t>2022–23</w:t>
            </w:r>
          </w:p>
        </w:tc>
        <w:tc>
          <w:tcPr>
            <w:tcW w:w="990" w:type="dxa"/>
          </w:tcPr>
          <w:p w14:paraId="2D0CC83D" w14:textId="0A375F40" w:rsidR="00C92D8C" w:rsidRPr="008910EE" w:rsidRDefault="00C92D8C" w:rsidP="00BA475E">
            <w:pPr>
              <w:pStyle w:val="Tablecolhead"/>
            </w:pPr>
            <w:r w:rsidRPr="008910EE">
              <w:t>2023–24</w:t>
            </w:r>
          </w:p>
        </w:tc>
        <w:tc>
          <w:tcPr>
            <w:tcW w:w="994" w:type="dxa"/>
          </w:tcPr>
          <w:p w14:paraId="5E6A9729" w14:textId="094DD3E0" w:rsidR="00C92D8C" w:rsidRPr="008910EE" w:rsidRDefault="00C92D8C" w:rsidP="00BA475E">
            <w:pPr>
              <w:pStyle w:val="Tablecolhead"/>
            </w:pPr>
            <w:r w:rsidRPr="008910EE">
              <w:t>2024–25</w:t>
            </w:r>
          </w:p>
        </w:tc>
      </w:tr>
      <w:tr w:rsidR="006D4DBB" w:rsidRPr="008910EE" w14:paraId="29564E54" w14:textId="77777777" w:rsidTr="009E3C36">
        <w:tc>
          <w:tcPr>
            <w:tcW w:w="4199" w:type="dxa"/>
          </w:tcPr>
          <w:p w14:paraId="43A8FC86" w14:textId="77777777" w:rsidR="006D4DBB" w:rsidRPr="008910EE" w:rsidRDefault="006D4DBB" w:rsidP="00C92D8C">
            <w:pPr>
              <w:pStyle w:val="Tabletext"/>
            </w:pPr>
            <w:r w:rsidRPr="008910EE">
              <w:t>Elder abuse primary prevention, health service response and early intervention</w:t>
            </w:r>
          </w:p>
        </w:tc>
        <w:tc>
          <w:tcPr>
            <w:tcW w:w="987" w:type="dxa"/>
          </w:tcPr>
          <w:p w14:paraId="44EC7174" w14:textId="63169C68" w:rsidR="006D4DBB" w:rsidRPr="008910EE" w:rsidRDefault="00C92D8C" w:rsidP="00C92D8C">
            <w:pPr>
              <w:pStyle w:val="Tabletext"/>
            </w:pPr>
            <w:r w:rsidRPr="008910EE">
              <w:t>–</w:t>
            </w:r>
            <w:bookmarkStart w:id="73" w:name="RowTitle_2020_21_Seniors"/>
            <w:bookmarkEnd w:id="73"/>
          </w:p>
        </w:tc>
        <w:tc>
          <w:tcPr>
            <w:tcW w:w="996" w:type="dxa"/>
          </w:tcPr>
          <w:p w14:paraId="3DC941A3" w14:textId="77777777" w:rsidR="006D4DBB" w:rsidRPr="008910EE" w:rsidRDefault="006D4DBB" w:rsidP="00C92D8C">
            <w:pPr>
              <w:pStyle w:val="Tabletext"/>
            </w:pPr>
            <w:r w:rsidRPr="008910EE">
              <w:t>1.0</w:t>
            </w:r>
            <w:bookmarkStart w:id="74" w:name="RowTitle_2021_22_Seniors"/>
            <w:bookmarkEnd w:id="74"/>
          </w:p>
        </w:tc>
        <w:tc>
          <w:tcPr>
            <w:tcW w:w="896" w:type="dxa"/>
          </w:tcPr>
          <w:p w14:paraId="6CE7E387" w14:textId="10DF1D6B" w:rsidR="006D4DBB" w:rsidRPr="008910EE" w:rsidRDefault="00C92D8C" w:rsidP="00C92D8C">
            <w:pPr>
              <w:pStyle w:val="Tabletext"/>
            </w:pPr>
            <w:r w:rsidRPr="008910EE">
              <w:t>–</w:t>
            </w:r>
            <w:bookmarkStart w:id="75" w:name="RowTitle_2022_23_Seniors"/>
            <w:bookmarkEnd w:id="75"/>
          </w:p>
        </w:tc>
        <w:tc>
          <w:tcPr>
            <w:tcW w:w="990" w:type="dxa"/>
          </w:tcPr>
          <w:p w14:paraId="17109FAA" w14:textId="5245C1CC" w:rsidR="006D4DBB" w:rsidRPr="008910EE" w:rsidRDefault="00C92D8C" w:rsidP="00C92D8C">
            <w:pPr>
              <w:pStyle w:val="Tabletext"/>
            </w:pPr>
            <w:r w:rsidRPr="008910EE">
              <w:t>–</w:t>
            </w:r>
            <w:bookmarkStart w:id="76" w:name="RowTitle_2023_24_Seniors"/>
            <w:bookmarkEnd w:id="76"/>
          </w:p>
        </w:tc>
        <w:tc>
          <w:tcPr>
            <w:tcW w:w="994" w:type="dxa"/>
          </w:tcPr>
          <w:p w14:paraId="73CA0CB4" w14:textId="04C9D08E" w:rsidR="006D4DBB" w:rsidRPr="008910EE" w:rsidRDefault="00C92D8C" w:rsidP="00C92D8C">
            <w:pPr>
              <w:pStyle w:val="Tabletext"/>
            </w:pPr>
            <w:r w:rsidRPr="008910EE">
              <w:t>–</w:t>
            </w:r>
            <w:bookmarkStart w:id="77" w:name="RowTitle_2024_25_Seniors"/>
            <w:bookmarkEnd w:id="77"/>
          </w:p>
        </w:tc>
      </w:tr>
    </w:tbl>
    <w:p w14:paraId="6A4368D5" w14:textId="06778EE9" w:rsidR="009E3C36" w:rsidRPr="008910EE" w:rsidRDefault="009E3C36" w:rsidP="00C92D8C">
      <w:pPr>
        <w:pStyle w:val="Tablecaption"/>
      </w:pPr>
      <w:r w:rsidRPr="008910EE">
        <w:t>Support to veterans in Vict</w:t>
      </w:r>
      <w:bookmarkStart w:id="78" w:name="RowTitle_Initiative_Seniors"/>
      <w:bookmarkEnd w:id="78"/>
      <w:r w:rsidRPr="008910EE">
        <w:t>oria</w:t>
      </w:r>
    </w:p>
    <w:tbl>
      <w:tblPr>
        <w:tblStyle w:val="TableGrid"/>
        <w:tblW w:w="9062" w:type="dxa"/>
        <w:tblLayout w:type="fixed"/>
        <w:tblLook w:val="06E0" w:firstRow="1" w:lastRow="1" w:firstColumn="1" w:lastColumn="0" w:noHBand="1" w:noVBand="1"/>
      </w:tblPr>
      <w:tblGrid>
        <w:gridCol w:w="4199"/>
        <w:gridCol w:w="987"/>
        <w:gridCol w:w="996"/>
        <w:gridCol w:w="896"/>
        <w:gridCol w:w="990"/>
        <w:gridCol w:w="994"/>
      </w:tblGrid>
      <w:tr w:rsidR="00C92D8C" w:rsidRPr="008910EE" w14:paraId="18E9C462" w14:textId="77777777" w:rsidTr="00BA475E">
        <w:trPr>
          <w:tblHeader/>
        </w:trPr>
        <w:tc>
          <w:tcPr>
            <w:tcW w:w="4199" w:type="dxa"/>
          </w:tcPr>
          <w:p w14:paraId="6F07A695" w14:textId="751D0BE7" w:rsidR="00C92D8C" w:rsidRPr="008910EE" w:rsidRDefault="00C92D8C" w:rsidP="00C92D8C">
            <w:pPr>
              <w:pStyle w:val="Tablecolhead"/>
            </w:pPr>
            <w:r w:rsidRPr="008910EE">
              <w:t>Initiative</w:t>
            </w:r>
          </w:p>
        </w:tc>
        <w:tc>
          <w:tcPr>
            <w:tcW w:w="987" w:type="dxa"/>
          </w:tcPr>
          <w:p w14:paraId="138E9991" w14:textId="765E9EEA" w:rsidR="00C92D8C" w:rsidRPr="008910EE" w:rsidRDefault="00C92D8C" w:rsidP="00C92D8C">
            <w:pPr>
              <w:pStyle w:val="Tablecolhead"/>
            </w:pPr>
            <w:r w:rsidRPr="008910EE">
              <w:t>2020–21</w:t>
            </w:r>
          </w:p>
        </w:tc>
        <w:tc>
          <w:tcPr>
            <w:tcW w:w="996" w:type="dxa"/>
          </w:tcPr>
          <w:p w14:paraId="60A617D4" w14:textId="27037CE8" w:rsidR="00C92D8C" w:rsidRPr="008910EE" w:rsidRDefault="00C92D8C" w:rsidP="00C92D8C">
            <w:pPr>
              <w:pStyle w:val="Tablecolhead"/>
            </w:pPr>
            <w:r w:rsidRPr="008910EE">
              <w:t>2021–22</w:t>
            </w:r>
          </w:p>
        </w:tc>
        <w:tc>
          <w:tcPr>
            <w:tcW w:w="896" w:type="dxa"/>
          </w:tcPr>
          <w:p w14:paraId="5EED1D25" w14:textId="4BDB9A89" w:rsidR="00C92D8C" w:rsidRPr="008910EE" w:rsidRDefault="00C92D8C" w:rsidP="00C92D8C">
            <w:pPr>
              <w:pStyle w:val="Tablecolhead"/>
            </w:pPr>
            <w:r w:rsidRPr="008910EE">
              <w:t>2022–23</w:t>
            </w:r>
          </w:p>
        </w:tc>
        <w:tc>
          <w:tcPr>
            <w:tcW w:w="990" w:type="dxa"/>
          </w:tcPr>
          <w:p w14:paraId="4983FB51" w14:textId="42C453D5" w:rsidR="00C92D8C" w:rsidRPr="008910EE" w:rsidRDefault="00C92D8C" w:rsidP="00C92D8C">
            <w:pPr>
              <w:pStyle w:val="Tablecolhead"/>
            </w:pPr>
            <w:r w:rsidRPr="008910EE">
              <w:t>2023–24</w:t>
            </w:r>
          </w:p>
        </w:tc>
        <w:tc>
          <w:tcPr>
            <w:tcW w:w="994" w:type="dxa"/>
          </w:tcPr>
          <w:p w14:paraId="674D3B53" w14:textId="00D0F8F6" w:rsidR="00C92D8C" w:rsidRPr="008910EE" w:rsidRDefault="00C92D8C" w:rsidP="00C92D8C">
            <w:pPr>
              <w:pStyle w:val="Tablecolhead"/>
            </w:pPr>
            <w:r w:rsidRPr="008910EE">
              <w:t>2024–25</w:t>
            </w:r>
          </w:p>
        </w:tc>
      </w:tr>
      <w:tr w:rsidR="006D4DBB" w:rsidRPr="008910EE" w14:paraId="4381688E" w14:textId="77777777" w:rsidTr="009E3C36">
        <w:tc>
          <w:tcPr>
            <w:tcW w:w="4199" w:type="dxa"/>
          </w:tcPr>
          <w:p w14:paraId="5B1FA649" w14:textId="77777777" w:rsidR="006D4DBB" w:rsidRPr="008910EE" w:rsidRDefault="006D4DBB" w:rsidP="00C92D8C">
            <w:pPr>
              <w:pStyle w:val="Tabletext"/>
            </w:pPr>
            <w:r w:rsidRPr="008910EE">
              <w:t>Shrine of Remembranc</w:t>
            </w:r>
            <w:bookmarkStart w:id="79" w:name="RowTitle_Initiative_Veterans"/>
            <w:bookmarkEnd w:id="79"/>
            <w:r w:rsidRPr="008910EE">
              <w:t>e</w:t>
            </w:r>
          </w:p>
        </w:tc>
        <w:tc>
          <w:tcPr>
            <w:tcW w:w="987" w:type="dxa"/>
          </w:tcPr>
          <w:p w14:paraId="683B31AF" w14:textId="71F5BEC2" w:rsidR="006D4DBB" w:rsidRPr="008910EE" w:rsidRDefault="00C92D8C" w:rsidP="00C92D8C">
            <w:pPr>
              <w:pStyle w:val="Tabletext"/>
            </w:pPr>
            <w:r w:rsidRPr="008910EE">
              <w:t>–</w:t>
            </w:r>
            <w:bookmarkStart w:id="80" w:name="RowTitle_2020_21_Veterans"/>
            <w:bookmarkEnd w:id="80"/>
          </w:p>
        </w:tc>
        <w:tc>
          <w:tcPr>
            <w:tcW w:w="996" w:type="dxa"/>
          </w:tcPr>
          <w:p w14:paraId="41EDE762" w14:textId="77777777" w:rsidR="006D4DBB" w:rsidRPr="008910EE" w:rsidRDefault="006D4DBB" w:rsidP="00C92D8C">
            <w:pPr>
              <w:pStyle w:val="Tabletext"/>
            </w:pPr>
            <w:r w:rsidRPr="008910EE">
              <w:t>3.</w:t>
            </w:r>
            <w:bookmarkStart w:id="81" w:name="RowTitle_2021_22_Veterans"/>
            <w:bookmarkEnd w:id="81"/>
            <w:r w:rsidRPr="008910EE">
              <w:t>3</w:t>
            </w:r>
          </w:p>
        </w:tc>
        <w:tc>
          <w:tcPr>
            <w:tcW w:w="896" w:type="dxa"/>
          </w:tcPr>
          <w:p w14:paraId="5ED26827" w14:textId="77777777" w:rsidR="006D4DBB" w:rsidRPr="008910EE" w:rsidRDefault="006D4DBB" w:rsidP="00C92D8C">
            <w:pPr>
              <w:pStyle w:val="Tabletext"/>
            </w:pPr>
            <w:r w:rsidRPr="008910EE">
              <w:t>2.7</w:t>
            </w:r>
            <w:bookmarkStart w:id="82" w:name="RowTitle_2022_23_Veterans"/>
            <w:bookmarkEnd w:id="82"/>
          </w:p>
        </w:tc>
        <w:tc>
          <w:tcPr>
            <w:tcW w:w="990" w:type="dxa"/>
          </w:tcPr>
          <w:p w14:paraId="48F279EF" w14:textId="608A6602" w:rsidR="006D4DBB" w:rsidRPr="008910EE" w:rsidRDefault="00C92D8C" w:rsidP="00C92D8C">
            <w:pPr>
              <w:pStyle w:val="Tabletext"/>
            </w:pPr>
            <w:r w:rsidRPr="008910EE">
              <w:t>–</w:t>
            </w:r>
            <w:bookmarkStart w:id="83" w:name="RowTitle_2023_24_Veterans"/>
            <w:bookmarkEnd w:id="83"/>
          </w:p>
        </w:tc>
        <w:tc>
          <w:tcPr>
            <w:tcW w:w="994" w:type="dxa"/>
          </w:tcPr>
          <w:p w14:paraId="193C9088" w14:textId="7A7F0290" w:rsidR="006D4DBB" w:rsidRPr="008910EE" w:rsidRDefault="00C92D8C" w:rsidP="00C92D8C">
            <w:pPr>
              <w:pStyle w:val="Tabletext"/>
            </w:pPr>
            <w:r w:rsidRPr="008910EE">
              <w:t>–</w:t>
            </w:r>
            <w:bookmarkStart w:id="84" w:name="RowTitle_2024_25_Veterans"/>
            <w:bookmarkEnd w:id="84"/>
          </w:p>
        </w:tc>
      </w:tr>
      <w:tr w:rsidR="006D4DBB" w:rsidRPr="008910EE" w14:paraId="52AF4B2D" w14:textId="77777777" w:rsidTr="009E3C36">
        <w:tc>
          <w:tcPr>
            <w:tcW w:w="4199" w:type="dxa"/>
          </w:tcPr>
          <w:p w14:paraId="5694DD6F" w14:textId="77777777" w:rsidR="006D4DBB" w:rsidRPr="008910EE" w:rsidRDefault="006D4DBB" w:rsidP="00C92D8C">
            <w:pPr>
              <w:pStyle w:val="Tabletext"/>
            </w:pPr>
            <w:r w:rsidRPr="008910EE">
              <w:t>Supporting veterans</w:t>
            </w:r>
          </w:p>
        </w:tc>
        <w:tc>
          <w:tcPr>
            <w:tcW w:w="987" w:type="dxa"/>
          </w:tcPr>
          <w:p w14:paraId="27FFE0F7" w14:textId="08A1724A" w:rsidR="006D4DBB" w:rsidRPr="008910EE" w:rsidRDefault="00C92D8C" w:rsidP="00C92D8C">
            <w:pPr>
              <w:pStyle w:val="Tabletext"/>
            </w:pPr>
            <w:r w:rsidRPr="008910EE">
              <w:t>–</w:t>
            </w:r>
          </w:p>
        </w:tc>
        <w:tc>
          <w:tcPr>
            <w:tcW w:w="996" w:type="dxa"/>
          </w:tcPr>
          <w:p w14:paraId="1E661DF4" w14:textId="77777777" w:rsidR="006D4DBB" w:rsidRPr="008910EE" w:rsidRDefault="006D4DBB" w:rsidP="00C92D8C">
            <w:pPr>
              <w:pStyle w:val="Tabletext"/>
            </w:pPr>
            <w:r w:rsidRPr="008910EE">
              <w:t>0.8</w:t>
            </w:r>
          </w:p>
        </w:tc>
        <w:tc>
          <w:tcPr>
            <w:tcW w:w="896" w:type="dxa"/>
          </w:tcPr>
          <w:p w14:paraId="4E97D249" w14:textId="77777777" w:rsidR="006D4DBB" w:rsidRPr="008910EE" w:rsidRDefault="006D4DBB" w:rsidP="00C92D8C">
            <w:pPr>
              <w:pStyle w:val="Tabletext"/>
            </w:pPr>
            <w:r w:rsidRPr="008910EE">
              <w:t>0.7</w:t>
            </w:r>
          </w:p>
        </w:tc>
        <w:tc>
          <w:tcPr>
            <w:tcW w:w="990" w:type="dxa"/>
          </w:tcPr>
          <w:p w14:paraId="316B20A6" w14:textId="77777777" w:rsidR="006D4DBB" w:rsidRPr="008910EE" w:rsidRDefault="006D4DBB" w:rsidP="00C92D8C">
            <w:pPr>
              <w:pStyle w:val="Tabletext"/>
            </w:pPr>
            <w:r w:rsidRPr="008910EE">
              <w:t>0.4</w:t>
            </w:r>
          </w:p>
        </w:tc>
        <w:tc>
          <w:tcPr>
            <w:tcW w:w="994" w:type="dxa"/>
          </w:tcPr>
          <w:p w14:paraId="75D049E2" w14:textId="77777777" w:rsidR="006D4DBB" w:rsidRPr="008910EE" w:rsidRDefault="006D4DBB" w:rsidP="00C92D8C">
            <w:pPr>
              <w:pStyle w:val="Tabletext"/>
            </w:pPr>
            <w:r w:rsidRPr="008910EE">
              <w:t>0.4</w:t>
            </w:r>
          </w:p>
        </w:tc>
      </w:tr>
    </w:tbl>
    <w:p w14:paraId="3719A44C" w14:textId="0F88CE2D" w:rsidR="009E3C36" w:rsidRPr="008910EE" w:rsidRDefault="009E3C36" w:rsidP="00C92D8C">
      <w:pPr>
        <w:pStyle w:val="Tablecaption"/>
      </w:pPr>
      <w:r w:rsidRPr="008910EE">
        <w:t>Women’s policy</w:t>
      </w:r>
    </w:p>
    <w:tbl>
      <w:tblPr>
        <w:tblStyle w:val="TableGrid"/>
        <w:tblW w:w="9062" w:type="dxa"/>
        <w:tblLayout w:type="fixed"/>
        <w:tblLook w:val="06E0" w:firstRow="1" w:lastRow="1" w:firstColumn="1" w:lastColumn="0" w:noHBand="1" w:noVBand="1"/>
      </w:tblPr>
      <w:tblGrid>
        <w:gridCol w:w="4199"/>
        <w:gridCol w:w="987"/>
        <w:gridCol w:w="996"/>
        <w:gridCol w:w="896"/>
        <w:gridCol w:w="990"/>
        <w:gridCol w:w="994"/>
      </w:tblGrid>
      <w:tr w:rsidR="00C92D8C" w:rsidRPr="008910EE" w14:paraId="7855A3B7" w14:textId="77777777" w:rsidTr="00BA475E">
        <w:trPr>
          <w:tblHeader/>
        </w:trPr>
        <w:tc>
          <w:tcPr>
            <w:tcW w:w="4199" w:type="dxa"/>
          </w:tcPr>
          <w:p w14:paraId="29E3E2BA" w14:textId="5CA57087" w:rsidR="00C92D8C" w:rsidRPr="008910EE" w:rsidRDefault="00C92D8C" w:rsidP="00C92D8C">
            <w:pPr>
              <w:pStyle w:val="Tablecolhead"/>
            </w:pPr>
            <w:r w:rsidRPr="008910EE">
              <w:t>Initiative</w:t>
            </w:r>
          </w:p>
        </w:tc>
        <w:tc>
          <w:tcPr>
            <w:tcW w:w="987" w:type="dxa"/>
          </w:tcPr>
          <w:p w14:paraId="267DCA32" w14:textId="51DACC13" w:rsidR="00C92D8C" w:rsidRPr="008910EE" w:rsidRDefault="00C92D8C" w:rsidP="00C92D8C">
            <w:pPr>
              <w:pStyle w:val="Tablecolhead"/>
            </w:pPr>
            <w:r w:rsidRPr="008910EE">
              <w:t>2020–21</w:t>
            </w:r>
          </w:p>
        </w:tc>
        <w:tc>
          <w:tcPr>
            <w:tcW w:w="996" w:type="dxa"/>
          </w:tcPr>
          <w:p w14:paraId="42C2A4B9" w14:textId="51D3D75B" w:rsidR="00C92D8C" w:rsidRPr="008910EE" w:rsidRDefault="00C92D8C" w:rsidP="00C92D8C">
            <w:pPr>
              <w:pStyle w:val="Tablecolhead"/>
            </w:pPr>
            <w:r w:rsidRPr="008910EE">
              <w:t>2021–22</w:t>
            </w:r>
          </w:p>
        </w:tc>
        <w:tc>
          <w:tcPr>
            <w:tcW w:w="896" w:type="dxa"/>
          </w:tcPr>
          <w:p w14:paraId="40362EC4" w14:textId="46F9B1D3" w:rsidR="00C92D8C" w:rsidRPr="008910EE" w:rsidRDefault="00C92D8C" w:rsidP="00C92D8C">
            <w:pPr>
              <w:pStyle w:val="Tablecolhead"/>
            </w:pPr>
            <w:r w:rsidRPr="008910EE">
              <w:t>2022–23</w:t>
            </w:r>
          </w:p>
        </w:tc>
        <w:tc>
          <w:tcPr>
            <w:tcW w:w="990" w:type="dxa"/>
          </w:tcPr>
          <w:p w14:paraId="79ACDBB5" w14:textId="7427B77A" w:rsidR="00C92D8C" w:rsidRPr="008910EE" w:rsidRDefault="00C92D8C" w:rsidP="00C92D8C">
            <w:pPr>
              <w:pStyle w:val="Tablecolhead"/>
            </w:pPr>
            <w:r w:rsidRPr="008910EE">
              <w:t>2023–24</w:t>
            </w:r>
          </w:p>
        </w:tc>
        <w:tc>
          <w:tcPr>
            <w:tcW w:w="994" w:type="dxa"/>
          </w:tcPr>
          <w:p w14:paraId="7775AC08" w14:textId="32B6BCA1" w:rsidR="00C92D8C" w:rsidRPr="008910EE" w:rsidRDefault="00C92D8C" w:rsidP="00C92D8C">
            <w:pPr>
              <w:pStyle w:val="Tablecolhead"/>
            </w:pPr>
            <w:r w:rsidRPr="008910EE">
              <w:t>2024–25</w:t>
            </w:r>
          </w:p>
        </w:tc>
      </w:tr>
      <w:tr w:rsidR="006D4DBB" w:rsidRPr="008910EE" w14:paraId="662D8573" w14:textId="77777777" w:rsidTr="009E3C36">
        <w:tc>
          <w:tcPr>
            <w:tcW w:w="4199" w:type="dxa"/>
          </w:tcPr>
          <w:p w14:paraId="0876AA94" w14:textId="77777777" w:rsidR="006D4DBB" w:rsidRPr="008910EE" w:rsidRDefault="006D4DBB" w:rsidP="00C92D8C">
            <w:pPr>
              <w:pStyle w:val="Tabletext"/>
            </w:pPr>
            <w:r w:rsidRPr="008910EE">
              <w:t>Improving outcomes fo</w:t>
            </w:r>
            <w:bookmarkStart w:id="85" w:name="RowTitle_Initiative_Womens"/>
            <w:bookmarkStart w:id="86" w:name="RowTitle_Initiative_WomensPolicy"/>
            <w:bookmarkEnd w:id="85"/>
            <w:bookmarkEnd w:id="86"/>
            <w:r w:rsidRPr="008910EE">
              <w:t>r women in Victoria: strengthening Victoria’s economic recovery through women’s participation</w:t>
            </w:r>
          </w:p>
        </w:tc>
        <w:tc>
          <w:tcPr>
            <w:tcW w:w="987" w:type="dxa"/>
          </w:tcPr>
          <w:p w14:paraId="4B7AB66C" w14:textId="027EE9E3" w:rsidR="006D4DBB" w:rsidRPr="008910EE" w:rsidRDefault="00C92D8C" w:rsidP="00C92D8C">
            <w:pPr>
              <w:pStyle w:val="Tabletext"/>
            </w:pPr>
            <w:r w:rsidRPr="008910EE">
              <w:t>–</w:t>
            </w:r>
            <w:bookmarkStart w:id="87" w:name="RowTitle_2020_21_WomensPolicy"/>
            <w:bookmarkEnd w:id="87"/>
          </w:p>
        </w:tc>
        <w:tc>
          <w:tcPr>
            <w:tcW w:w="996" w:type="dxa"/>
          </w:tcPr>
          <w:p w14:paraId="3DB53217" w14:textId="77777777" w:rsidR="006D4DBB" w:rsidRPr="008910EE" w:rsidRDefault="006D4DBB" w:rsidP="00C92D8C">
            <w:pPr>
              <w:pStyle w:val="Tabletext"/>
            </w:pPr>
            <w:r w:rsidRPr="008910EE">
              <w:t>2.1</w:t>
            </w:r>
            <w:bookmarkStart w:id="88" w:name="RowTitle_2021_22_WomensPolicy"/>
            <w:bookmarkEnd w:id="88"/>
          </w:p>
        </w:tc>
        <w:tc>
          <w:tcPr>
            <w:tcW w:w="896" w:type="dxa"/>
          </w:tcPr>
          <w:p w14:paraId="6B4F6290" w14:textId="77777777" w:rsidR="006D4DBB" w:rsidRPr="008910EE" w:rsidRDefault="006D4DBB" w:rsidP="00C92D8C">
            <w:pPr>
              <w:pStyle w:val="Tabletext"/>
            </w:pPr>
            <w:r w:rsidRPr="008910EE">
              <w:t>2.1</w:t>
            </w:r>
            <w:bookmarkStart w:id="89" w:name="RowTitle_2022_23_WomensPolicy"/>
            <w:bookmarkEnd w:id="89"/>
          </w:p>
        </w:tc>
        <w:tc>
          <w:tcPr>
            <w:tcW w:w="990" w:type="dxa"/>
          </w:tcPr>
          <w:p w14:paraId="5F850FB8" w14:textId="6B1F82A7" w:rsidR="006D4DBB" w:rsidRPr="008910EE" w:rsidRDefault="00C92D8C" w:rsidP="00C92D8C">
            <w:pPr>
              <w:pStyle w:val="Tabletext"/>
            </w:pPr>
            <w:r w:rsidRPr="008910EE">
              <w:t>–</w:t>
            </w:r>
            <w:bookmarkStart w:id="90" w:name="RowTitle_2023_24_WomensPolicy"/>
            <w:bookmarkEnd w:id="90"/>
          </w:p>
        </w:tc>
        <w:tc>
          <w:tcPr>
            <w:tcW w:w="994" w:type="dxa"/>
          </w:tcPr>
          <w:p w14:paraId="0EB8E4C8" w14:textId="74DF5347" w:rsidR="006D4DBB" w:rsidRPr="008910EE" w:rsidRDefault="00C92D8C" w:rsidP="00C92D8C">
            <w:pPr>
              <w:pStyle w:val="Tabletext"/>
            </w:pPr>
            <w:r w:rsidRPr="008910EE">
              <w:t>–</w:t>
            </w:r>
            <w:bookmarkStart w:id="91" w:name="RowTitle_2024_25_WomensPolicy"/>
            <w:bookmarkEnd w:id="91"/>
          </w:p>
        </w:tc>
      </w:tr>
    </w:tbl>
    <w:p w14:paraId="6DC0C72E" w14:textId="396A26A4" w:rsidR="009E3C36" w:rsidRPr="008910EE" w:rsidRDefault="009E3C36" w:rsidP="00C92D8C">
      <w:pPr>
        <w:pStyle w:val="Tablecaption"/>
      </w:pPr>
      <w:r w:rsidRPr="008910EE">
        <w:t>Youth</w:t>
      </w:r>
    </w:p>
    <w:tbl>
      <w:tblPr>
        <w:tblStyle w:val="TableGrid"/>
        <w:tblW w:w="9062" w:type="dxa"/>
        <w:tblLayout w:type="fixed"/>
        <w:tblLook w:val="06E0" w:firstRow="1" w:lastRow="1" w:firstColumn="1" w:lastColumn="0" w:noHBand="1" w:noVBand="1"/>
      </w:tblPr>
      <w:tblGrid>
        <w:gridCol w:w="4199"/>
        <w:gridCol w:w="987"/>
        <w:gridCol w:w="996"/>
        <w:gridCol w:w="896"/>
        <w:gridCol w:w="990"/>
        <w:gridCol w:w="994"/>
      </w:tblGrid>
      <w:tr w:rsidR="00C92D8C" w:rsidRPr="008910EE" w14:paraId="5D2E1F7D" w14:textId="77777777" w:rsidTr="00BA475E">
        <w:tc>
          <w:tcPr>
            <w:tcW w:w="4199" w:type="dxa"/>
          </w:tcPr>
          <w:p w14:paraId="7B6580D7" w14:textId="2ADA4FFF" w:rsidR="00C92D8C" w:rsidRPr="008910EE" w:rsidRDefault="00C92D8C" w:rsidP="00C92D8C">
            <w:pPr>
              <w:pStyle w:val="Tablecolhead"/>
              <w:rPr>
                <w:rFonts w:cs="Arial"/>
                <w:sz w:val="18"/>
                <w:szCs w:val="18"/>
              </w:rPr>
            </w:pPr>
            <w:r w:rsidRPr="008910EE">
              <w:t>Initiative</w:t>
            </w:r>
          </w:p>
        </w:tc>
        <w:tc>
          <w:tcPr>
            <w:tcW w:w="987" w:type="dxa"/>
          </w:tcPr>
          <w:p w14:paraId="000C9FCF" w14:textId="143BC367" w:rsidR="00C92D8C" w:rsidRPr="008910EE" w:rsidRDefault="00C92D8C" w:rsidP="00C92D8C">
            <w:pPr>
              <w:pStyle w:val="Tablecolhead"/>
              <w:rPr>
                <w:rFonts w:cs="Arial"/>
                <w:sz w:val="18"/>
                <w:szCs w:val="18"/>
              </w:rPr>
            </w:pPr>
            <w:r w:rsidRPr="008910EE">
              <w:t>2020–21</w:t>
            </w:r>
          </w:p>
        </w:tc>
        <w:tc>
          <w:tcPr>
            <w:tcW w:w="996" w:type="dxa"/>
          </w:tcPr>
          <w:p w14:paraId="7F5B8AA8" w14:textId="53C4111F" w:rsidR="00C92D8C" w:rsidRPr="008910EE" w:rsidRDefault="00C92D8C" w:rsidP="00C92D8C">
            <w:pPr>
              <w:pStyle w:val="Tablecolhead"/>
              <w:rPr>
                <w:rFonts w:cs="Arial"/>
                <w:sz w:val="18"/>
                <w:szCs w:val="18"/>
              </w:rPr>
            </w:pPr>
            <w:r w:rsidRPr="008910EE">
              <w:t>2021–22</w:t>
            </w:r>
          </w:p>
        </w:tc>
        <w:tc>
          <w:tcPr>
            <w:tcW w:w="896" w:type="dxa"/>
          </w:tcPr>
          <w:p w14:paraId="75E353A7" w14:textId="23D1AFC6" w:rsidR="00C92D8C" w:rsidRPr="008910EE" w:rsidRDefault="00C92D8C" w:rsidP="00C92D8C">
            <w:pPr>
              <w:pStyle w:val="Tablecolhead"/>
              <w:rPr>
                <w:rFonts w:cs="Arial"/>
                <w:sz w:val="18"/>
                <w:szCs w:val="18"/>
              </w:rPr>
            </w:pPr>
            <w:r w:rsidRPr="008910EE">
              <w:t>2022–23</w:t>
            </w:r>
          </w:p>
        </w:tc>
        <w:tc>
          <w:tcPr>
            <w:tcW w:w="990" w:type="dxa"/>
          </w:tcPr>
          <w:p w14:paraId="2D0D28A0" w14:textId="3E510CC8" w:rsidR="00C92D8C" w:rsidRPr="008910EE" w:rsidRDefault="00C92D8C" w:rsidP="00C92D8C">
            <w:pPr>
              <w:pStyle w:val="Tablecolhead"/>
              <w:rPr>
                <w:rFonts w:cs="Arial"/>
                <w:sz w:val="18"/>
                <w:szCs w:val="18"/>
              </w:rPr>
            </w:pPr>
            <w:r w:rsidRPr="008910EE">
              <w:t>2023–24</w:t>
            </w:r>
          </w:p>
        </w:tc>
        <w:tc>
          <w:tcPr>
            <w:tcW w:w="994" w:type="dxa"/>
          </w:tcPr>
          <w:p w14:paraId="6CDC5ECF" w14:textId="466423EE" w:rsidR="00C92D8C" w:rsidRPr="008910EE" w:rsidRDefault="00C92D8C" w:rsidP="00C92D8C">
            <w:pPr>
              <w:pStyle w:val="Tablecolhead"/>
              <w:rPr>
                <w:rFonts w:cs="Arial"/>
                <w:sz w:val="18"/>
                <w:szCs w:val="18"/>
              </w:rPr>
            </w:pPr>
            <w:r w:rsidRPr="008910EE">
              <w:t>2024–25</w:t>
            </w:r>
          </w:p>
        </w:tc>
      </w:tr>
      <w:tr w:rsidR="006D4DBB" w:rsidRPr="008910EE" w14:paraId="552E6F49" w14:textId="77777777" w:rsidTr="00BA475E">
        <w:tc>
          <w:tcPr>
            <w:tcW w:w="4199" w:type="dxa"/>
          </w:tcPr>
          <w:p w14:paraId="4D7AD4A7" w14:textId="77777777" w:rsidR="006D4DBB" w:rsidRPr="008910EE" w:rsidRDefault="006D4DBB" w:rsidP="00C92D8C">
            <w:pPr>
              <w:pStyle w:val="Tabletext"/>
            </w:pPr>
            <w:r w:rsidRPr="008910EE">
              <w:t>Engaging and supporting at</w:t>
            </w:r>
            <w:r w:rsidRPr="008910EE">
              <w:noBreakHyphen/>
              <w:t>risk young people</w:t>
            </w:r>
            <w:bookmarkStart w:id="92" w:name="RowTitle_Initiative_Youth"/>
            <w:bookmarkEnd w:id="92"/>
          </w:p>
        </w:tc>
        <w:tc>
          <w:tcPr>
            <w:tcW w:w="987" w:type="dxa"/>
          </w:tcPr>
          <w:p w14:paraId="7C3CE720" w14:textId="032AA687" w:rsidR="006D4DBB" w:rsidRPr="008910EE" w:rsidRDefault="00C92D8C" w:rsidP="00C92D8C">
            <w:pPr>
              <w:pStyle w:val="Tabletext"/>
            </w:pPr>
            <w:r w:rsidRPr="008910EE">
              <w:t>–</w:t>
            </w:r>
            <w:bookmarkStart w:id="93" w:name="RowTitle_2020_21_Youth"/>
            <w:bookmarkEnd w:id="93"/>
          </w:p>
        </w:tc>
        <w:tc>
          <w:tcPr>
            <w:tcW w:w="996" w:type="dxa"/>
          </w:tcPr>
          <w:p w14:paraId="477BBC5F" w14:textId="77777777" w:rsidR="006D4DBB" w:rsidRPr="008910EE" w:rsidRDefault="006D4DBB" w:rsidP="00C92D8C">
            <w:pPr>
              <w:pStyle w:val="Tabletext"/>
            </w:pPr>
            <w:bookmarkStart w:id="94" w:name="RowTitle_2021_22_Youth"/>
            <w:bookmarkEnd w:id="94"/>
            <w:r w:rsidRPr="008910EE">
              <w:t>9.2</w:t>
            </w:r>
          </w:p>
        </w:tc>
        <w:tc>
          <w:tcPr>
            <w:tcW w:w="896" w:type="dxa"/>
          </w:tcPr>
          <w:p w14:paraId="70F66B31" w14:textId="77777777" w:rsidR="006D4DBB" w:rsidRPr="008910EE" w:rsidRDefault="006D4DBB" w:rsidP="00C92D8C">
            <w:pPr>
              <w:pStyle w:val="Tabletext"/>
            </w:pPr>
            <w:r w:rsidRPr="008910EE">
              <w:t>9.2</w:t>
            </w:r>
            <w:bookmarkStart w:id="95" w:name="RowTitle_2022_23_Youth"/>
            <w:bookmarkEnd w:id="95"/>
          </w:p>
        </w:tc>
        <w:tc>
          <w:tcPr>
            <w:tcW w:w="990" w:type="dxa"/>
          </w:tcPr>
          <w:p w14:paraId="387B191C" w14:textId="2A84425E" w:rsidR="006D4DBB" w:rsidRPr="008910EE" w:rsidRDefault="00C92D8C" w:rsidP="00C92D8C">
            <w:pPr>
              <w:pStyle w:val="Tabletext"/>
            </w:pPr>
            <w:r w:rsidRPr="008910EE">
              <w:t>–</w:t>
            </w:r>
            <w:bookmarkStart w:id="96" w:name="RowTitle_2023_24_Youth"/>
            <w:bookmarkEnd w:id="96"/>
          </w:p>
        </w:tc>
        <w:tc>
          <w:tcPr>
            <w:tcW w:w="994" w:type="dxa"/>
          </w:tcPr>
          <w:p w14:paraId="657F06A2" w14:textId="3344976B" w:rsidR="006D4DBB" w:rsidRPr="008910EE" w:rsidRDefault="00C92D8C" w:rsidP="00C92D8C">
            <w:pPr>
              <w:pStyle w:val="Tabletext"/>
            </w:pPr>
            <w:r w:rsidRPr="008910EE">
              <w:t>–</w:t>
            </w:r>
            <w:bookmarkStart w:id="97" w:name="RowTitle_2024_25_Youth"/>
            <w:bookmarkEnd w:id="97"/>
          </w:p>
        </w:tc>
      </w:tr>
      <w:tr w:rsidR="006D4DBB" w:rsidRPr="008910EE" w14:paraId="4FBAD091" w14:textId="77777777" w:rsidTr="00BA475E">
        <w:tc>
          <w:tcPr>
            <w:tcW w:w="4199" w:type="dxa"/>
          </w:tcPr>
          <w:p w14:paraId="717015B7" w14:textId="77777777" w:rsidR="006D4DBB" w:rsidRPr="008910EE" w:rsidRDefault="006D4DBB" w:rsidP="00C92D8C">
            <w:pPr>
              <w:pStyle w:val="Tabletext"/>
            </w:pPr>
            <w:r w:rsidRPr="008910EE">
              <w:t>Strengthening youth participation and connection</w:t>
            </w:r>
          </w:p>
        </w:tc>
        <w:tc>
          <w:tcPr>
            <w:tcW w:w="987" w:type="dxa"/>
          </w:tcPr>
          <w:p w14:paraId="73FDF148" w14:textId="48DB9F92" w:rsidR="006D4DBB" w:rsidRPr="008910EE" w:rsidRDefault="00C92D8C" w:rsidP="00C92D8C">
            <w:pPr>
              <w:pStyle w:val="Tabletext"/>
            </w:pPr>
            <w:r w:rsidRPr="008910EE">
              <w:t>–</w:t>
            </w:r>
          </w:p>
        </w:tc>
        <w:tc>
          <w:tcPr>
            <w:tcW w:w="996" w:type="dxa"/>
          </w:tcPr>
          <w:p w14:paraId="701E5542" w14:textId="77777777" w:rsidR="006D4DBB" w:rsidRPr="008910EE" w:rsidRDefault="006D4DBB" w:rsidP="00C92D8C">
            <w:pPr>
              <w:pStyle w:val="Tabletext"/>
            </w:pPr>
            <w:r w:rsidRPr="008910EE">
              <w:t>3.7</w:t>
            </w:r>
          </w:p>
        </w:tc>
        <w:tc>
          <w:tcPr>
            <w:tcW w:w="896" w:type="dxa"/>
          </w:tcPr>
          <w:p w14:paraId="56B9B9CA" w14:textId="77777777" w:rsidR="006D4DBB" w:rsidRPr="008910EE" w:rsidRDefault="006D4DBB" w:rsidP="00C92D8C">
            <w:pPr>
              <w:pStyle w:val="Tabletext"/>
            </w:pPr>
            <w:r w:rsidRPr="008910EE">
              <w:t>3.2</w:t>
            </w:r>
          </w:p>
        </w:tc>
        <w:tc>
          <w:tcPr>
            <w:tcW w:w="990" w:type="dxa"/>
          </w:tcPr>
          <w:p w14:paraId="2E195B1E" w14:textId="15AB8FE6" w:rsidR="006D4DBB" w:rsidRPr="008910EE" w:rsidRDefault="00C92D8C" w:rsidP="00C92D8C">
            <w:pPr>
              <w:pStyle w:val="Tabletext"/>
            </w:pPr>
            <w:r w:rsidRPr="008910EE">
              <w:t>–</w:t>
            </w:r>
          </w:p>
        </w:tc>
        <w:tc>
          <w:tcPr>
            <w:tcW w:w="994" w:type="dxa"/>
          </w:tcPr>
          <w:p w14:paraId="1DC9547C" w14:textId="5B9C0AC3" w:rsidR="006D4DBB" w:rsidRPr="008910EE" w:rsidRDefault="00C92D8C" w:rsidP="00C92D8C">
            <w:pPr>
              <w:pStyle w:val="Tabletext"/>
            </w:pPr>
            <w:r w:rsidRPr="008910EE">
              <w:t>–</w:t>
            </w:r>
          </w:p>
        </w:tc>
      </w:tr>
      <w:tr w:rsidR="006D4DBB" w:rsidRPr="008910EE" w14:paraId="17AEC840" w14:textId="77777777" w:rsidTr="00BA475E">
        <w:tc>
          <w:tcPr>
            <w:tcW w:w="4199" w:type="dxa"/>
          </w:tcPr>
          <w:p w14:paraId="4CE03B5E" w14:textId="70650E28" w:rsidR="006D4DBB" w:rsidRPr="008910EE" w:rsidRDefault="006D4DBB" w:rsidP="00C92D8C">
            <w:pPr>
              <w:pStyle w:val="Tabletext"/>
            </w:pPr>
            <w:r w:rsidRPr="008910EE">
              <w:t>Total output initiatives</w:t>
            </w:r>
          </w:p>
        </w:tc>
        <w:tc>
          <w:tcPr>
            <w:tcW w:w="987" w:type="dxa"/>
          </w:tcPr>
          <w:p w14:paraId="5152662E" w14:textId="77777777" w:rsidR="006D4DBB" w:rsidRPr="008910EE" w:rsidRDefault="006D4DBB" w:rsidP="00C92D8C">
            <w:pPr>
              <w:pStyle w:val="Tabletext"/>
            </w:pPr>
            <w:r w:rsidRPr="008910EE">
              <w:t>43.3</w:t>
            </w:r>
          </w:p>
        </w:tc>
        <w:tc>
          <w:tcPr>
            <w:tcW w:w="996" w:type="dxa"/>
          </w:tcPr>
          <w:p w14:paraId="6126D52A" w14:textId="77777777" w:rsidR="006D4DBB" w:rsidRPr="008910EE" w:rsidRDefault="006D4DBB" w:rsidP="00C92D8C">
            <w:pPr>
              <w:pStyle w:val="Tabletext"/>
            </w:pPr>
            <w:r w:rsidRPr="008910EE">
              <w:t>714.0</w:t>
            </w:r>
          </w:p>
        </w:tc>
        <w:tc>
          <w:tcPr>
            <w:tcW w:w="896" w:type="dxa"/>
          </w:tcPr>
          <w:p w14:paraId="29CCA006" w14:textId="77777777" w:rsidR="006D4DBB" w:rsidRPr="008910EE" w:rsidRDefault="006D4DBB" w:rsidP="00C92D8C">
            <w:pPr>
              <w:pStyle w:val="Tabletext"/>
            </w:pPr>
            <w:r w:rsidRPr="008910EE">
              <w:t>430.3</w:t>
            </w:r>
          </w:p>
        </w:tc>
        <w:tc>
          <w:tcPr>
            <w:tcW w:w="990" w:type="dxa"/>
          </w:tcPr>
          <w:p w14:paraId="2A23D202" w14:textId="77777777" w:rsidR="006D4DBB" w:rsidRPr="008910EE" w:rsidRDefault="006D4DBB" w:rsidP="00C92D8C">
            <w:pPr>
              <w:pStyle w:val="Tabletext"/>
            </w:pPr>
            <w:r w:rsidRPr="008910EE">
              <w:t>397.7</w:t>
            </w:r>
          </w:p>
        </w:tc>
        <w:tc>
          <w:tcPr>
            <w:tcW w:w="994" w:type="dxa"/>
          </w:tcPr>
          <w:p w14:paraId="3B3C69AC" w14:textId="77777777" w:rsidR="006D4DBB" w:rsidRPr="008910EE" w:rsidRDefault="006D4DBB" w:rsidP="00C92D8C">
            <w:pPr>
              <w:pStyle w:val="Tabletext"/>
            </w:pPr>
            <w:r w:rsidRPr="008910EE">
              <w:t>376.9</w:t>
            </w:r>
          </w:p>
        </w:tc>
      </w:tr>
    </w:tbl>
    <w:p w14:paraId="2744EDC8" w14:textId="77777777" w:rsidR="006D4DBB" w:rsidRPr="008910EE" w:rsidRDefault="006D4DBB" w:rsidP="00C92D8C">
      <w:pPr>
        <w:pStyle w:val="Tablefigurenote"/>
      </w:pPr>
      <w:r w:rsidRPr="008910EE">
        <w:t>Source: Department of Treasury and Finance</w:t>
      </w:r>
    </w:p>
    <w:p w14:paraId="5EC92621" w14:textId="43C7482B" w:rsidR="006D4DBB" w:rsidRPr="008910EE" w:rsidRDefault="006D4DBB" w:rsidP="00C92D8C">
      <w:pPr>
        <w:pStyle w:val="Tablefigurenote"/>
      </w:pPr>
      <w:r w:rsidRPr="008910EE">
        <w:t>Note: Table may not add due to rounding.</w:t>
      </w:r>
    </w:p>
    <w:p w14:paraId="7FD219D2" w14:textId="77777777" w:rsidR="00863057" w:rsidRPr="008910EE" w:rsidRDefault="00863057">
      <w:pPr>
        <w:spacing w:after="0" w:line="240" w:lineRule="auto"/>
        <w:rPr>
          <w:rFonts w:eastAsia="MS Gothic"/>
          <w:bCs/>
          <w:color w:val="201547"/>
          <w:sz w:val="30"/>
          <w:szCs w:val="26"/>
        </w:rPr>
      </w:pPr>
      <w:r w:rsidRPr="008910EE">
        <w:br w:type="page"/>
      </w:r>
    </w:p>
    <w:p w14:paraId="25A2A5EA" w14:textId="3B0A2A51" w:rsidR="00F96514" w:rsidRPr="008910EE" w:rsidRDefault="00041CBA" w:rsidP="00FC42C4">
      <w:pPr>
        <w:pStyle w:val="Heading3"/>
      </w:pPr>
      <w:r w:rsidRPr="008910EE">
        <w:t>Victorian State Budget 2020-21 a</w:t>
      </w:r>
      <w:r w:rsidR="00F96514" w:rsidRPr="008910EE">
        <w:t>sset initiatives</w:t>
      </w:r>
      <w:r w:rsidR="009E3C36" w:rsidRPr="008910EE">
        <w:t xml:space="preserve"> – Department of Families, Fairness and Housing </w:t>
      </w:r>
      <w:r w:rsidR="009E3C36" w:rsidRPr="008910EE">
        <w:tab/>
        <w:t>($ million)</w:t>
      </w:r>
      <w:r w:rsidR="00EF4E84" w:rsidRPr="008910EE">
        <w:rPr>
          <w:rStyle w:val="EndnoteReference"/>
        </w:rPr>
        <w:endnoteReference w:id="13"/>
      </w:r>
    </w:p>
    <w:p w14:paraId="6BC3C418" w14:textId="04E2997A" w:rsidR="00F96514" w:rsidRPr="008910EE" w:rsidRDefault="009E3C36" w:rsidP="009E3C36">
      <w:pPr>
        <w:pStyle w:val="Tablecaption"/>
      </w:pPr>
      <w:r w:rsidRPr="008910EE">
        <w:t>Child protection and family services</w:t>
      </w:r>
    </w:p>
    <w:tbl>
      <w:tblPr>
        <w:tblStyle w:val="TableGrid"/>
        <w:tblW w:w="9062" w:type="dxa"/>
        <w:tblLayout w:type="fixed"/>
        <w:tblLook w:val="06E0" w:firstRow="1" w:lastRow="1" w:firstColumn="1" w:lastColumn="0" w:noHBand="1" w:noVBand="1"/>
      </w:tblPr>
      <w:tblGrid>
        <w:gridCol w:w="3842"/>
        <w:gridCol w:w="870"/>
        <w:gridCol w:w="870"/>
        <w:gridCol w:w="870"/>
        <w:gridCol w:w="870"/>
        <w:gridCol w:w="870"/>
        <w:gridCol w:w="870"/>
      </w:tblGrid>
      <w:tr w:rsidR="00C92D8C" w:rsidRPr="008910EE" w14:paraId="7B345223" w14:textId="77777777" w:rsidTr="00C92D8C">
        <w:trPr>
          <w:tblHeader/>
        </w:trPr>
        <w:tc>
          <w:tcPr>
            <w:tcW w:w="3842" w:type="dxa"/>
          </w:tcPr>
          <w:p w14:paraId="5046AE80" w14:textId="13424AB8" w:rsidR="00C92D8C" w:rsidRPr="008910EE" w:rsidRDefault="00C92D8C" w:rsidP="00C92D8C">
            <w:pPr>
              <w:pStyle w:val="Tablecolhead"/>
              <w:rPr>
                <w:sz w:val="18"/>
                <w:szCs w:val="18"/>
              </w:rPr>
            </w:pPr>
            <w:r w:rsidRPr="008910EE">
              <w:t>Initiative</w:t>
            </w:r>
          </w:p>
        </w:tc>
        <w:tc>
          <w:tcPr>
            <w:tcW w:w="870" w:type="dxa"/>
          </w:tcPr>
          <w:p w14:paraId="42A13FFD" w14:textId="3AF1AAC3" w:rsidR="00C92D8C" w:rsidRPr="008910EE" w:rsidRDefault="00C92D8C" w:rsidP="00C92D8C">
            <w:pPr>
              <w:pStyle w:val="Tablecolhead"/>
              <w:rPr>
                <w:sz w:val="18"/>
                <w:szCs w:val="18"/>
              </w:rPr>
            </w:pPr>
            <w:r w:rsidRPr="008910EE">
              <w:t>2020–21</w:t>
            </w:r>
          </w:p>
        </w:tc>
        <w:tc>
          <w:tcPr>
            <w:tcW w:w="870" w:type="dxa"/>
          </w:tcPr>
          <w:p w14:paraId="3F209E6F" w14:textId="3D53CBCD" w:rsidR="00C92D8C" w:rsidRPr="008910EE" w:rsidRDefault="00C92D8C" w:rsidP="00C92D8C">
            <w:pPr>
              <w:pStyle w:val="Tablecolhead"/>
              <w:rPr>
                <w:sz w:val="18"/>
                <w:szCs w:val="18"/>
              </w:rPr>
            </w:pPr>
            <w:r w:rsidRPr="008910EE">
              <w:t>2021–22</w:t>
            </w:r>
          </w:p>
        </w:tc>
        <w:tc>
          <w:tcPr>
            <w:tcW w:w="870" w:type="dxa"/>
          </w:tcPr>
          <w:p w14:paraId="616AD3C6" w14:textId="6A36BC40" w:rsidR="00C92D8C" w:rsidRPr="008910EE" w:rsidRDefault="00C92D8C" w:rsidP="00C92D8C">
            <w:pPr>
              <w:pStyle w:val="Tablecolhead"/>
              <w:rPr>
                <w:sz w:val="18"/>
                <w:szCs w:val="18"/>
              </w:rPr>
            </w:pPr>
            <w:r w:rsidRPr="008910EE">
              <w:t>2022–23</w:t>
            </w:r>
          </w:p>
        </w:tc>
        <w:tc>
          <w:tcPr>
            <w:tcW w:w="870" w:type="dxa"/>
          </w:tcPr>
          <w:p w14:paraId="5A4B4FC2" w14:textId="5B2A115A" w:rsidR="00C92D8C" w:rsidRPr="008910EE" w:rsidRDefault="00C92D8C" w:rsidP="00C92D8C">
            <w:pPr>
              <w:pStyle w:val="Tablecolhead"/>
              <w:rPr>
                <w:sz w:val="18"/>
                <w:szCs w:val="18"/>
              </w:rPr>
            </w:pPr>
            <w:r w:rsidRPr="008910EE">
              <w:t>2023–24</w:t>
            </w:r>
          </w:p>
        </w:tc>
        <w:tc>
          <w:tcPr>
            <w:tcW w:w="870" w:type="dxa"/>
          </w:tcPr>
          <w:p w14:paraId="163FB6D9" w14:textId="2E0AF071" w:rsidR="00C92D8C" w:rsidRPr="008910EE" w:rsidRDefault="00C92D8C" w:rsidP="00C92D8C">
            <w:pPr>
              <w:pStyle w:val="Tablecolhead"/>
              <w:rPr>
                <w:sz w:val="18"/>
                <w:szCs w:val="18"/>
              </w:rPr>
            </w:pPr>
            <w:r w:rsidRPr="008910EE">
              <w:t>2024–25</w:t>
            </w:r>
          </w:p>
        </w:tc>
        <w:tc>
          <w:tcPr>
            <w:tcW w:w="870" w:type="dxa"/>
          </w:tcPr>
          <w:p w14:paraId="25564F7E" w14:textId="77777777" w:rsidR="00C92D8C" w:rsidRPr="008910EE" w:rsidRDefault="00C92D8C" w:rsidP="00C92D8C">
            <w:pPr>
              <w:pStyle w:val="Tablecolhead"/>
              <w:rPr>
                <w:szCs w:val="24"/>
              </w:rPr>
            </w:pPr>
            <w:r w:rsidRPr="008910EE">
              <w:rPr>
                <w:szCs w:val="24"/>
              </w:rPr>
              <w:t>TEI</w:t>
            </w:r>
          </w:p>
        </w:tc>
      </w:tr>
      <w:tr w:rsidR="00F96514" w:rsidRPr="008910EE" w14:paraId="322811D2" w14:textId="77777777" w:rsidTr="009E3C36">
        <w:tc>
          <w:tcPr>
            <w:tcW w:w="3842" w:type="dxa"/>
          </w:tcPr>
          <w:p w14:paraId="7FC06486" w14:textId="77777777" w:rsidR="00F96514" w:rsidRPr="008910EE" w:rsidRDefault="00F96514" w:rsidP="00C92D8C">
            <w:pPr>
              <w:pStyle w:val="Tabletext"/>
            </w:pPr>
            <w:r w:rsidRPr="008910EE">
              <w:t>Maintaining the foundations of the children and familie</w:t>
            </w:r>
            <w:bookmarkStart w:id="98" w:name="RowTitle_Initiative_ChildProtection"/>
            <w:bookmarkEnd w:id="98"/>
            <w:r w:rsidRPr="008910EE">
              <w:t>s system</w:t>
            </w:r>
          </w:p>
        </w:tc>
        <w:tc>
          <w:tcPr>
            <w:tcW w:w="870" w:type="dxa"/>
          </w:tcPr>
          <w:p w14:paraId="12DD5D7F" w14:textId="523D23A3" w:rsidR="00F96514" w:rsidRPr="008910EE" w:rsidRDefault="00C92D8C" w:rsidP="00C92D8C">
            <w:pPr>
              <w:pStyle w:val="Tabletext"/>
            </w:pPr>
            <w:r w:rsidRPr="008910EE">
              <w:t>–</w:t>
            </w:r>
            <w:bookmarkStart w:id="99" w:name="RowTitle_2020_21_ChildProtection"/>
            <w:bookmarkEnd w:id="99"/>
          </w:p>
        </w:tc>
        <w:tc>
          <w:tcPr>
            <w:tcW w:w="870" w:type="dxa"/>
          </w:tcPr>
          <w:p w14:paraId="51588B81" w14:textId="77777777" w:rsidR="00F96514" w:rsidRPr="008910EE" w:rsidRDefault="00F96514" w:rsidP="00C92D8C">
            <w:pPr>
              <w:pStyle w:val="Tabletext"/>
            </w:pPr>
            <w:r w:rsidRPr="008910EE">
              <w:t>1.5</w:t>
            </w:r>
            <w:bookmarkStart w:id="100" w:name="RowTitle_2021_22_ChildProtection"/>
            <w:bookmarkEnd w:id="100"/>
          </w:p>
        </w:tc>
        <w:tc>
          <w:tcPr>
            <w:tcW w:w="870" w:type="dxa"/>
          </w:tcPr>
          <w:p w14:paraId="4CECC0CF" w14:textId="77777777" w:rsidR="00F96514" w:rsidRPr="008910EE" w:rsidRDefault="00F96514" w:rsidP="00C92D8C">
            <w:pPr>
              <w:pStyle w:val="Tabletext"/>
            </w:pPr>
            <w:r w:rsidRPr="008910EE">
              <w:t>1.5</w:t>
            </w:r>
            <w:bookmarkStart w:id="101" w:name="RowTitle_2022_23_ChildProtection"/>
            <w:bookmarkEnd w:id="101"/>
          </w:p>
        </w:tc>
        <w:tc>
          <w:tcPr>
            <w:tcW w:w="870" w:type="dxa"/>
          </w:tcPr>
          <w:p w14:paraId="31ADA316" w14:textId="77777777" w:rsidR="00F96514" w:rsidRPr="008910EE" w:rsidRDefault="00F96514" w:rsidP="00C92D8C">
            <w:pPr>
              <w:pStyle w:val="Tabletext"/>
            </w:pPr>
            <w:r w:rsidRPr="008910EE">
              <w:t>1.6</w:t>
            </w:r>
            <w:bookmarkStart w:id="102" w:name="RowTitle_2023_24_ChildProtection"/>
            <w:bookmarkEnd w:id="102"/>
          </w:p>
        </w:tc>
        <w:tc>
          <w:tcPr>
            <w:tcW w:w="870" w:type="dxa"/>
          </w:tcPr>
          <w:p w14:paraId="6D564D52" w14:textId="5245ED65" w:rsidR="00F96514" w:rsidRPr="008910EE" w:rsidRDefault="00C92D8C" w:rsidP="00C92D8C">
            <w:pPr>
              <w:pStyle w:val="Tabletext"/>
            </w:pPr>
            <w:r w:rsidRPr="008910EE">
              <w:t>–</w:t>
            </w:r>
            <w:bookmarkStart w:id="103" w:name="RowTitle_2024_25_ChildProtection"/>
            <w:bookmarkEnd w:id="103"/>
          </w:p>
        </w:tc>
        <w:tc>
          <w:tcPr>
            <w:tcW w:w="870" w:type="dxa"/>
          </w:tcPr>
          <w:p w14:paraId="22E123D3" w14:textId="77777777" w:rsidR="00F96514" w:rsidRPr="008910EE" w:rsidRDefault="00F96514" w:rsidP="00C92D8C">
            <w:pPr>
              <w:pStyle w:val="Tabletext"/>
            </w:pPr>
            <w:r w:rsidRPr="008910EE">
              <w:t>4.6</w:t>
            </w:r>
            <w:bookmarkStart w:id="104" w:name="RowTitle_TEI_ChildProtection"/>
            <w:bookmarkEnd w:id="104"/>
          </w:p>
        </w:tc>
      </w:tr>
      <w:tr w:rsidR="00F96514" w:rsidRPr="008910EE" w14:paraId="530A4E82" w14:textId="77777777" w:rsidTr="009E3C36">
        <w:tc>
          <w:tcPr>
            <w:tcW w:w="3842" w:type="dxa"/>
          </w:tcPr>
          <w:p w14:paraId="464079A9" w14:textId="77777777" w:rsidR="00F96514" w:rsidRPr="008910EE" w:rsidRDefault="00F96514" w:rsidP="00C92D8C">
            <w:pPr>
              <w:pStyle w:val="Tabletext"/>
            </w:pPr>
            <w:r w:rsidRPr="008910EE">
              <w:t xml:space="preserve">Total asset initiatives </w:t>
            </w:r>
          </w:p>
        </w:tc>
        <w:tc>
          <w:tcPr>
            <w:tcW w:w="870" w:type="dxa"/>
          </w:tcPr>
          <w:p w14:paraId="3288101A" w14:textId="28B34726" w:rsidR="00F96514" w:rsidRPr="008910EE" w:rsidRDefault="00C92D8C" w:rsidP="00C92D8C">
            <w:pPr>
              <w:pStyle w:val="Tabletext"/>
            </w:pPr>
            <w:r w:rsidRPr="008910EE">
              <w:t>–</w:t>
            </w:r>
          </w:p>
        </w:tc>
        <w:tc>
          <w:tcPr>
            <w:tcW w:w="870" w:type="dxa"/>
          </w:tcPr>
          <w:p w14:paraId="28DE88C4" w14:textId="77777777" w:rsidR="00F96514" w:rsidRPr="008910EE" w:rsidRDefault="00F96514" w:rsidP="00C92D8C">
            <w:pPr>
              <w:pStyle w:val="Tabletext"/>
            </w:pPr>
            <w:r w:rsidRPr="008910EE">
              <w:t>1.5</w:t>
            </w:r>
          </w:p>
        </w:tc>
        <w:tc>
          <w:tcPr>
            <w:tcW w:w="870" w:type="dxa"/>
          </w:tcPr>
          <w:p w14:paraId="7C31A070" w14:textId="77777777" w:rsidR="00F96514" w:rsidRPr="008910EE" w:rsidRDefault="00F96514" w:rsidP="00C92D8C">
            <w:pPr>
              <w:pStyle w:val="Tabletext"/>
            </w:pPr>
            <w:r w:rsidRPr="008910EE">
              <w:t>1.5</w:t>
            </w:r>
          </w:p>
        </w:tc>
        <w:tc>
          <w:tcPr>
            <w:tcW w:w="870" w:type="dxa"/>
          </w:tcPr>
          <w:p w14:paraId="16E4F5B5" w14:textId="77777777" w:rsidR="00F96514" w:rsidRPr="008910EE" w:rsidRDefault="00F96514" w:rsidP="00C92D8C">
            <w:pPr>
              <w:pStyle w:val="Tabletext"/>
            </w:pPr>
            <w:r w:rsidRPr="008910EE">
              <w:t>1.6</w:t>
            </w:r>
          </w:p>
        </w:tc>
        <w:tc>
          <w:tcPr>
            <w:tcW w:w="870" w:type="dxa"/>
          </w:tcPr>
          <w:p w14:paraId="68B2CE88" w14:textId="765C3B88" w:rsidR="00F96514" w:rsidRPr="008910EE" w:rsidRDefault="00C92D8C" w:rsidP="00C92D8C">
            <w:pPr>
              <w:pStyle w:val="Tabletext"/>
            </w:pPr>
            <w:r w:rsidRPr="008910EE">
              <w:t>–</w:t>
            </w:r>
          </w:p>
        </w:tc>
        <w:tc>
          <w:tcPr>
            <w:tcW w:w="870" w:type="dxa"/>
          </w:tcPr>
          <w:p w14:paraId="2EAA36F0" w14:textId="77777777" w:rsidR="00F96514" w:rsidRPr="008910EE" w:rsidRDefault="00F96514" w:rsidP="00C92D8C">
            <w:pPr>
              <w:pStyle w:val="Tabletext"/>
            </w:pPr>
            <w:r w:rsidRPr="008910EE">
              <w:t>4.6</w:t>
            </w:r>
          </w:p>
        </w:tc>
      </w:tr>
    </w:tbl>
    <w:p w14:paraId="4D72A957" w14:textId="77777777" w:rsidR="00F96514" w:rsidRPr="008910EE" w:rsidRDefault="00F96514" w:rsidP="00C92D8C">
      <w:pPr>
        <w:pStyle w:val="Tablefigurenote"/>
      </w:pPr>
      <w:r w:rsidRPr="008910EE">
        <w:t>Source: Department of Treasury and Finance</w:t>
      </w:r>
    </w:p>
    <w:p w14:paraId="145B3740" w14:textId="3A359835" w:rsidR="004F6CCF" w:rsidRPr="008910EE" w:rsidRDefault="004F6CCF" w:rsidP="00863057">
      <w:pPr>
        <w:pStyle w:val="Body"/>
      </w:pPr>
    </w:p>
    <w:tbl>
      <w:tblPr>
        <w:tblStyle w:val="TableGrid"/>
        <w:tblW w:w="9630" w:type="dxa"/>
        <w:tblInd w:w="-2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30"/>
      </w:tblGrid>
      <w:tr w:rsidR="00BA475E" w:rsidRPr="008910EE" w14:paraId="2D0D1549" w14:textId="77777777" w:rsidTr="00BA475E">
        <w:tc>
          <w:tcPr>
            <w:tcW w:w="9630" w:type="dxa"/>
          </w:tcPr>
          <w:p w14:paraId="5C535ADA" w14:textId="77777777" w:rsidR="00BA475E" w:rsidRPr="008910EE" w:rsidRDefault="00BA475E" w:rsidP="00BA475E">
            <w:pPr>
              <w:pStyle w:val="Heading4"/>
            </w:pPr>
            <w:r w:rsidRPr="008910EE">
              <w:t>Our stories – High-Risk Accommodation Response</w:t>
            </w:r>
          </w:p>
          <w:p w14:paraId="6C7500B1" w14:textId="77777777" w:rsidR="00BA475E" w:rsidRPr="008910EE" w:rsidRDefault="00BA475E" w:rsidP="00BA475E">
            <w:pPr>
              <w:pStyle w:val="Body"/>
            </w:pPr>
            <w:r w:rsidRPr="008910EE">
              <w:t>The High-Risk Accommodation Response</w:t>
            </w:r>
            <w:r w:rsidRPr="008910EE">
              <w:rPr>
                <w:b/>
                <w:bCs/>
              </w:rPr>
              <w:t xml:space="preserve"> </w:t>
            </w:r>
            <w:r w:rsidRPr="008910EE">
              <w:t xml:space="preserve">(HRAR) is the department’s primary program supporting accommodation where the risk of coronavirus (COVID-19) transmission is higher. This includes public housing estates. </w:t>
            </w:r>
          </w:p>
          <w:p w14:paraId="5FA88873" w14:textId="6083CBBC" w:rsidR="00BA475E" w:rsidRPr="008910EE" w:rsidRDefault="00BA475E" w:rsidP="00BA475E">
            <w:pPr>
              <w:pStyle w:val="Body"/>
            </w:pPr>
            <w:r w:rsidRPr="008910EE">
              <w:t>As of August 2021</w:t>
            </w:r>
            <w:r w:rsidRPr="008910EE">
              <w:rPr>
                <w:rStyle w:val="EndnoteReference"/>
              </w:rPr>
              <w:endnoteReference w:id="14"/>
            </w:r>
            <w:r w:rsidRPr="008910EE">
              <w:t xml:space="preserve"> this encompasses around 30,000 </w:t>
            </w:r>
            <w:r w:rsidR="00CE5BF2" w:rsidRPr="008910EE">
              <w:t>facilities and dwellings</w:t>
            </w:r>
            <w:r w:rsidRPr="008910EE">
              <w:t xml:space="preserve"> including: </w:t>
            </w:r>
          </w:p>
          <w:p w14:paraId="5F87913F" w14:textId="77777777" w:rsidR="00BA475E" w:rsidRPr="008910EE" w:rsidRDefault="00BA475E" w:rsidP="00BA475E">
            <w:pPr>
              <w:pStyle w:val="Bullet1"/>
            </w:pPr>
            <w:r w:rsidRPr="008910EE">
              <w:t>57 high-rise public housing towers</w:t>
            </w:r>
          </w:p>
          <w:p w14:paraId="6EDC062F" w14:textId="77777777" w:rsidR="00BA475E" w:rsidRPr="008910EE" w:rsidRDefault="00BA475E" w:rsidP="00BA475E">
            <w:pPr>
              <w:pStyle w:val="Bullet1"/>
            </w:pPr>
            <w:r w:rsidRPr="008910EE">
              <w:t>more than 1,400 other public housing locations</w:t>
            </w:r>
          </w:p>
          <w:p w14:paraId="09E63349" w14:textId="77777777" w:rsidR="00BA475E" w:rsidRPr="008910EE" w:rsidRDefault="00BA475E" w:rsidP="00BA475E">
            <w:pPr>
              <w:pStyle w:val="Bullet1"/>
            </w:pPr>
            <w:r w:rsidRPr="008910EE">
              <w:t xml:space="preserve">117 Supported Residential Services. </w:t>
            </w:r>
          </w:p>
          <w:p w14:paraId="5F4A34E2" w14:textId="77777777" w:rsidR="00BA475E" w:rsidRPr="008910EE" w:rsidRDefault="00BA475E" w:rsidP="00BA475E">
            <w:pPr>
              <w:pStyle w:val="Bodyafterbullets"/>
            </w:pPr>
            <w:r w:rsidRPr="008910EE">
              <w:t>It also includes community housing residences, rooming houses, disability residential settings in collaboration with the Commonwealth and caravan parks with long-term residents.</w:t>
            </w:r>
          </w:p>
          <w:p w14:paraId="3CDBB93D" w14:textId="77777777" w:rsidR="00BA475E" w:rsidRPr="008910EE" w:rsidRDefault="00BA475E" w:rsidP="00BA475E">
            <w:pPr>
              <w:pStyle w:val="Body"/>
            </w:pPr>
            <w:r w:rsidRPr="008910EE">
              <w:t>We work with 24 community health providers across 31 local catchments to ensure public health measures are always in place. These measures protect the safety and wellbeing of residents. We also work to ensure residents and facility managers get</w:t>
            </w:r>
            <w:r w:rsidRPr="008910EE" w:rsidDel="00BE7661">
              <w:t xml:space="preserve"> </w:t>
            </w:r>
            <w:r w:rsidRPr="008910EE">
              <w:t>timely, culturally appropriate and accessible services. This includes health and social services, infection prevention control, cleaning, coronavirus (COVID-19) testing, food and essential supplies, and community engagement strategies.</w:t>
            </w:r>
          </w:p>
          <w:p w14:paraId="22A4F30E" w14:textId="3560F68A" w:rsidR="00BA475E" w:rsidRPr="008910EE" w:rsidRDefault="00BA475E" w:rsidP="00BA475E">
            <w:pPr>
              <w:pStyle w:val="Body"/>
            </w:pPr>
            <w:r w:rsidRPr="008910EE">
              <w:t xml:space="preserve">Genuine community engagement is the core of the HRAR program. The program works with residents who are best placed to identify, communicate and manage the risks of coronavirus (COVID-19) transmission in their community. The approach aims to support residents to make informed public health–related decisions. To do this, we provide public health and service information that is clear, accessible and culturally, linguistically and religiously appropriate. </w:t>
            </w:r>
          </w:p>
        </w:tc>
      </w:tr>
    </w:tbl>
    <w:p w14:paraId="771B8E57" w14:textId="77777777" w:rsidR="00B50D88" w:rsidRPr="008910EE" w:rsidRDefault="00B50D88" w:rsidP="00987A42">
      <w:pPr>
        <w:pStyle w:val="Body"/>
        <w:rPr>
          <w:rFonts w:eastAsia="MS Gothic" w:cs="Arial"/>
          <w:color w:val="201547"/>
          <w:kern w:val="32"/>
          <w:sz w:val="44"/>
          <w:szCs w:val="44"/>
        </w:rPr>
      </w:pPr>
      <w:r w:rsidRPr="008910EE">
        <w:br w:type="page"/>
      </w:r>
    </w:p>
    <w:p w14:paraId="393E4E11" w14:textId="63315876" w:rsidR="008A4533" w:rsidRPr="008910EE" w:rsidRDefault="008A4533" w:rsidP="00894FF6">
      <w:pPr>
        <w:pStyle w:val="Heading1"/>
      </w:pPr>
      <w:bookmarkStart w:id="105" w:name="_Toc80708352"/>
      <w:r w:rsidRPr="008910EE">
        <w:t xml:space="preserve">Our </w:t>
      </w:r>
      <w:r w:rsidR="00C03185" w:rsidRPr="008910EE">
        <w:t>communities</w:t>
      </w:r>
      <w:bookmarkEnd w:id="105"/>
    </w:p>
    <w:p w14:paraId="36ED243A" w14:textId="1751E139" w:rsidR="5B017B69" w:rsidRPr="008910EE" w:rsidRDefault="5B017B69" w:rsidP="00BA475E">
      <w:pPr>
        <w:pStyle w:val="Body"/>
      </w:pPr>
      <w:r w:rsidRPr="008910EE">
        <w:t xml:space="preserve">Our communities reflect the diversity and strengths of Victoria. </w:t>
      </w:r>
      <w:r w:rsidR="1506B108" w:rsidRPr="008910EE">
        <w:t>This diversity is essential to</w:t>
      </w:r>
      <w:r w:rsidRPr="008910EE">
        <w:t xml:space="preserve"> </w:t>
      </w:r>
      <w:r w:rsidR="52C59219" w:rsidRPr="008910EE">
        <w:t xml:space="preserve">the </w:t>
      </w:r>
      <w:r w:rsidRPr="008910EE">
        <w:t xml:space="preserve">social and economic </w:t>
      </w:r>
      <w:r w:rsidR="0C016B1E" w:rsidRPr="008910EE">
        <w:t>s</w:t>
      </w:r>
      <w:r w:rsidR="0BC6F22D" w:rsidRPr="008910EE">
        <w:t>trength</w:t>
      </w:r>
      <w:r w:rsidR="0C016B1E" w:rsidRPr="008910EE">
        <w:t xml:space="preserve"> of our state.</w:t>
      </w:r>
    </w:p>
    <w:p w14:paraId="59A38C2B" w14:textId="77777777" w:rsidR="00001C34" w:rsidRPr="008910EE" w:rsidRDefault="00001C34" w:rsidP="00B50D88">
      <w:pPr>
        <w:pStyle w:val="Body"/>
        <w:rPr>
          <w:b/>
        </w:rPr>
      </w:pPr>
      <w:r w:rsidRPr="008910EE">
        <w:t>LGBTIQ+</w:t>
      </w:r>
    </w:p>
    <w:p w14:paraId="7245353F" w14:textId="72286884" w:rsidR="00001C34" w:rsidRPr="008910EE" w:rsidRDefault="00001C34" w:rsidP="00B50D88">
      <w:pPr>
        <w:pStyle w:val="Bullet1"/>
      </w:pPr>
      <w:r w:rsidRPr="008910EE">
        <w:t>5.7 per cent of Victorian adults identify as LGBTIQ+</w:t>
      </w:r>
      <w:r w:rsidR="00476055" w:rsidRPr="008910EE">
        <w:t>.</w:t>
      </w:r>
      <w:r w:rsidRPr="008910EE">
        <w:rPr>
          <w:rStyle w:val="EndnoteReference"/>
          <w:rFonts w:eastAsia="Arial" w:cs="Arial"/>
          <w:szCs w:val="21"/>
        </w:rPr>
        <w:endnoteReference w:id="15"/>
      </w:r>
    </w:p>
    <w:p w14:paraId="641893BE" w14:textId="77777777" w:rsidR="00001C34" w:rsidRPr="008910EE" w:rsidRDefault="00001C34" w:rsidP="00B50D88">
      <w:pPr>
        <w:pStyle w:val="Bodyafterbullets"/>
        <w:rPr>
          <w:b/>
        </w:rPr>
      </w:pPr>
      <w:r w:rsidRPr="008910EE">
        <w:t>Young people</w:t>
      </w:r>
    </w:p>
    <w:p w14:paraId="1DE8C28E" w14:textId="61EEC0D4" w:rsidR="00001C34" w:rsidRPr="008910EE" w:rsidRDefault="00001C34" w:rsidP="00B50D88">
      <w:pPr>
        <w:pStyle w:val="Bullet1"/>
        <w:rPr>
          <w:szCs w:val="21"/>
        </w:rPr>
      </w:pPr>
      <w:r w:rsidRPr="008910EE">
        <w:t xml:space="preserve">There are </w:t>
      </w:r>
      <w:r w:rsidR="001628FB" w:rsidRPr="008910EE">
        <w:t xml:space="preserve">more than </w:t>
      </w:r>
      <w:r w:rsidRPr="008910EE">
        <w:t>1.2 million people aged 12</w:t>
      </w:r>
      <w:r w:rsidR="001628FB" w:rsidRPr="008910EE">
        <w:t xml:space="preserve"> to </w:t>
      </w:r>
      <w:r w:rsidRPr="008910EE">
        <w:t>25 in Victoria</w:t>
      </w:r>
      <w:r w:rsidR="00476055" w:rsidRPr="008910EE">
        <w:t>.</w:t>
      </w:r>
      <w:r w:rsidRPr="008910EE">
        <w:rPr>
          <w:rStyle w:val="EndnoteReference"/>
          <w:rFonts w:eastAsia="Arial" w:cs="Arial"/>
        </w:rPr>
        <w:endnoteReference w:id="16"/>
      </w:r>
    </w:p>
    <w:p w14:paraId="057C95F6" w14:textId="73DE8E01" w:rsidR="00001C34" w:rsidRPr="008910EE" w:rsidRDefault="00476055" w:rsidP="00B50D88">
      <w:pPr>
        <w:pStyle w:val="Bullet1"/>
      </w:pPr>
      <w:r w:rsidRPr="008910EE">
        <w:t>More than</w:t>
      </w:r>
      <w:r w:rsidR="00001C34" w:rsidRPr="008910EE">
        <w:t xml:space="preserve"> 17,000 young Aboriginal and Torres Strait Islander people live in Victoria</w:t>
      </w:r>
      <w:r w:rsidRPr="008910EE">
        <w:t>.</w:t>
      </w:r>
      <w:r w:rsidR="00001C34" w:rsidRPr="008910EE">
        <w:rPr>
          <w:rStyle w:val="EndnoteReference"/>
          <w:rFonts w:eastAsia="Arial" w:cs="Arial"/>
          <w:szCs w:val="21"/>
        </w:rPr>
        <w:endnoteReference w:id="17"/>
      </w:r>
      <w:r w:rsidR="00001C34" w:rsidRPr="008910EE">
        <w:t xml:space="preserve"> </w:t>
      </w:r>
    </w:p>
    <w:p w14:paraId="17919FB7" w14:textId="1E51AAAA" w:rsidR="00001C34" w:rsidRPr="008910EE" w:rsidRDefault="00B67754" w:rsidP="00B50D88">
      <w:pPr>
        <w:pStyle w:val="Bodyafterbullets"/>
        <w:rPr>
          <w:b/>
        </w:rPr>
      </w:pPr>
      <w:r w:rsidRPr="008910EE">
        <w:t>CALD</w:t>
      </w:r>
      <w:r w:rsidR="00001C34" w:rsidRPr="008910EE">
        <w:t xml:space="preserve"> communities</w:t>
      </w:r>
    </w:p>
    <w:p w14:paraId="48A8DC70" w14:textId="1B5B70BB" w:rsidR="00001C34" w:rsidRPr="008910EE" w:rsidRDefault="004B5BFE" w:rsidP="009F54DF">
      <w:pPr>
        <w:pStyle w:val="Bullet1"/>
      </w:pPr>
      <w:r w:rsidRPr="008910EE">
        <w:t>About half</w:t>
      </w:r>
      <w:r w:rsidR="00001C34" w:rsidRPr="008910EE">
        <w:t xml:space="preserve"> of all Victorians</w:t>
      </w:r>
      <w:r w:rsidR="009F54DF" w:rsidRPr="008910EE">
        <w:t xml:space="preserve"> </w:t>
      </w:r>
      <w:r w:rsidR="00452A4F" w:rsidRPr="008910EE">
        <w:t>were born overseas or had a parent born overseas</w:t>
      </w:r>
      <w:r w:rsidR="00476055" w:rsidRPr="008910EE">
        <w:t>.</w:t>
      </w:r>
      <w:r w:rsidR="00001C34" w:rsidRPr="008910EE">
        <w:rPr>
          <w:rStyle w:val="EndnoteReference"/>
          <w:rFonts w:eastAsia="Arial" w:cs="Arial"/>
        </w:rPr>
        <w:endnoteReference w:id="18"/>
      </w:r>
    </w:p>
    <w:p w14:paraId="111D8DEE" w14:textId="77777777" w:rsidR="00001C34" w:rsidRPr="008910EE" w:rsidRDefault="00001C34" w:rsidP="00B50D88">
      <w:pPr>
        <w:pStyle w:val="Bodyafterbullets"/>
      </w:pPr>
      <w:r w:rsidRPr="008910EE">
        <w:t>Women</w:t>
      </w:r>
    </w:p>
    <w:p w14:paraId="35DAA3C0" w14:textId="048520F4" w:rsidR="00001C34" w:rsidRPr="008910EE" w:rsidRDefault="008B3CE0" w:rsidP="00B50D88">
      <w:pPr>
        <w:pStyle w:val="Bullet1"/>
      </w:pPr>
      <w:r w:rsidRPr="008910EE">
        <w:t>Women make up more than half of the Victorian population</w:t>
      </w:r>
      <w:r w:rsidR="00476055" w:rsidRPr="008910EE">
        <w:t>.</w:t>
      </w:r>
      <w:r w:rsidR="001D32DB" w:rsidRPr="008910EE">
        <w:rPr>
          <w:rStyle w:val="EndnoteReference"/>
          <w:rFonts w:eastAsia="Arial" w:cs="Arial"/>
          <w:szCs w:val="21"/>
        </w:rPr>
        <w:endnoteReference w:id="19"/>
      </w:r>
      <w:r w:rsidR="003D0A9F" w:rsidRPr="008910EE">
        <w:t xml:space="preserve"> </w:t>
      </w:r>
    </w:p>
    <w:p w14:paraId="1FC8D0BF" w14:textId="77777777" w:rsidR="00001C34" w:rsidRPr="008910EE" w:rsidRDefault="00001C34" w:rsidP="00B50D88">
      <w:pPr>
        <w:pStyle w:val="Bodyafterbullets"/>
        <w:rPr>
          <w:b/>
        </w:rPr>
      </w:pPr>
      <w:r w:rsidRPr="008910EE">
        <w:t>Veterans</w:t>
      </w:r>
    </w:p>
    <w:p w14:paraId="75FCFA9D" w14:textId="3EAE468A" w:rsidR="00001C34" w:rsidRPr="008910EE" w:rsidDel="00741BCF" w:rsidRDefault="001608DD" w:rsidP="00B50D88">
      <w:pPr>
        <w:pStyle w:val="Bullet1"/>
        <w:rPr>
          <w:rStyle w:val="normaltextrun"/>
          <w:rFonts w:eastAsia="MS Mincho" w:cs="Arial"/>
        </w:rPr>
      </w:pPr>
      <w:bookmarkStart w:id="106" w:name="_Hlk78442942"/>
      <w:r w:rsidRPr="008910EE">
        <w:t>A</w:t>
      </w:r>
      <w:r w:rsidR="00001C34" w:rsidRPr="008910EE" w:rsidDel="00D422BF">
        <w:t xml:space="preserve">bout 500 new veterans </w:t>
      </w:r>
      <w:r w:rsidRPr="008910EE">
        <w:t xml:space="preserve">move </w:t>
      </w:r>
      <w:r w:rsidR="00745A0A" w:rsidRPr="008910EE">
        <w:t>to</w:t>
      </w:r>
      <w:r w:rsidR="00745A0A" w:rsidRPr="008910EE" w:rsidDel="00D422BF">
        <w:t xml:space="preserve"> </w:t>
      </w:r>
      <w:r w:rsidR="00001C34" w:rsidRPr="008910EE" w:rsidDel="00D422BF">
        <w:t>Victoria each year</w:t>
      </w:r>
      <w:r w:rsidR="00476055" w:rsidRPr="008910EE">
        <w:t>.</w:t>
      </w:r>
      <w:r w:rsidR="00001C34" w:rsidRPr="008910EE">
        <w:rPr>
          <w:rStyle w:val="EndnoteReference"/>
          <w:rFonts w:eastAsia="MS Gothic" w:cs="Arial"/>
        </w:rPr>
        <w:endnoteReference w:id="20"/>
      </w:r>
    </w:p>
    <w:bookmarkEnd w:id="106"/>
    <w:p w14:paraId="052740F7" w14:textId="77777777" w:rsidR="00001C34" w:rsidRPr="008910EE" w:rsidRDefault="00001C34" w:rsidP="00B50D88">
      <w:pPr>
        <w:pStyle w:val="Bodyafterbullets"/>
        <w:rPr>
          <w:b/>
          <w:bCs/>
        </w:rPr>
      </w:pPr>
      <w:r w:rsidRPr="008910EE">
        <w:t>Senior Victorians</w:t>
      </w:r>
    </w:p>
    <w:p w14:paraId="4DF3F4CF" w14:textId="064C25E3" w:rsidR="00001C34" w:rsidRPr="008910EE" w:rsidRDefault="000C527C" w:rsidP="00B50D88">
      <w:pPr>
        <w:pStyle w:val="Bullet1"/>
      </w:pPr>
      <w:r w:rsidRPr="008910EE">
        <w:t xml:space="preserve">About one-quarter of </w:t>
      </w:r>
      <w:r w:rsidR="00005C62" w:rsidRPr="008910EE">
        <w:t>Victorians</w:t>
      </w:r>
      <w:r w:rsidRPr="008910EE">
        <w:t xml:space="preserve"> will be</w:t>
      </w:r>
      <w:r w:rsidR="00005C62" w:rsidRPr="008910EE">
        <w:t xml:space="preserve"> aged over 60</w:t>
      </w:r>
      <w:r w:rsidRPr="008910EE">
        <w:t xml:space="preserve"> by 2056</w:t>
      </w:r>
      <w:r w:rsidR="00476055" w:rsidRPr="008910EE">
        <w:t>.</w:t>
      </w:r>
      <w:r w:rsidR="00001C34" w:rsidRPr="008910EE">
        <w:rPr>
          <w:rStyle w:val="EndnoteReference"/>
        </w:rPr>
        <w:endnoteReference w:id="21"/>
      </w:r>
    </w:p>
    <w:p w14:paraId="23038211" w14:textId="77777777" w:rsidR="00001C34" w:rsidRPr="008910EE" w:rsidRDefault="00001C34" w:rsidP="00B50D88">
      <w:pPr>
        <w:pStyle w:val="Bodyafterbullets"/>
        <w:rPr>
          <w:b/>
        </w:rPr>
      </w:pPr>
      <w:r w:rsidRPr="008910EE">
        <w:t>Carers</w:t>
      </w:r>
    </w:p>
    <w:p w14:paraId="4A731C23" w14:textId="7084DE62" w:rsidR="00912530" w:rsidRPr="008910EE" w:rsidRDefault="001628FB" w:rsidP="00B50D88">
      <w:pPr>
        <w:pStyle w:val="Bullet1"/>
      </w:pPr>
      <w:r w:rsidRPr="008910EE">
        <w:t>Victoria has more than</w:t>
      </w:r>
      <w:r w:rsidR="00912530" w:rsidRPr="008910EE">
        <w:t xml:space="preserve"> 730,000 carers</w:t>
      </w:r>
      <w:r w:rsidR="00476055" w:rsidRPr="008910EE">
        <w:t>.</w:t>
      </w:r>
      <w:r w:rsidR="001137B6" w:rsidRPr="008910EE">
        <w:rPr>
          <w:rStyle w:val="EndnoteReference"/>
          <w:rFonts w:eastAsia="Arial" w:cs="Arial"/>
          <w:szCs w:val="21"/>
        </w:rPr>
        <w:endnoteReference w:id="22"/>
      </w:r>
    </w:p>
    <w:p w14:paraId="48377126" w14:textId="77777777" w:rsidR="00001C34" w:rsidRPr="008910EE" w:rsidRDefault="00001C34" w:rsidP="00B50D88">
      <w:pPr>
        <w:pStyle w:val="Bodyafterbullets"/>
        <w:rPr>
          <w:b/>
        </w:rPr>
      </w:pPr>
      <w:r w:rsidRPr="008910EE">
        <w:t>People with disability</w:t>
      </w:r>
    </w:p>
    <w:p w14:paraId="11FC882A" w14:textId="037F0EBF" w:rsidR="00001C34" w:rsidRPr="008910EE" w:rsidRDefault="00001C34" w:rsidP="00B50D88">
      <w:pPr>
        <w:pStyle w:val="Bullet1"/>
        <w:rPr>
          <w:b/>
        </w:rPr>
      </w:pPr>
      <w:r w:rsidRPr="008910EE">
        <w:t xml:space="preserve">One in </w:t>
      </w:r>
      <w:r w:rsidR="00A274D9" w:rsidRPr="008910EE">
        <w:t>six</w:t>
      </w:r>
      <w:r w:rsidRPr="008910EE">
        <w:t xml:space="preserve"> Victorians</w:t>
      </w:r>
      <w:r w:rsidR="009F54DF" w:rsidRPr="008910EE">
        <w:t xml:space="preserve"> </w:t>
      </w:r>
      <w:r w:rsidR="001628FB" w:rsidRPr="008910EE">
        <w:t>live</w:t>
      </w:r>
      <w:r w:rsidRPr="008910EE">
        <w:t xml:space="preserve"> with disability</w:t>
      </w:r>
      <w:r w:rsidR="00476055" w:rsidRPr="008910EE">
        <w:t>.</w:t>
      </w:r>
      <w:r w:rsidR="00A274D9" w:rsidRPr="008910EE">
        <w:rPr>
          <w:rStyle w:val="EndnoteReference"/>
          <w:bCs/>
        </w:rPr>
        <w:endnoteReference w:id="23"/>
      </w:r>
    </w:p>
    <w:p w14:paraId="060F0FE4" w14:textId="47C53D68" w:rsidR="00476055" w:rsidRPr="008910EE" w:rsidRDefault="00476055" w:rsidP="00BC13A1">
      <w:pPr>
        <w:pStyle w:val="Body"/>
      </w:pPr>
    </w:p>
    <w:tbl>
      <w:tblPr>
        <w:tblStyle w:val="TableGrid"/>
        <w:tblW w:w="9630" w:type="dxa"/>
        <w:tblInd w:w="-2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30"/>
      </w:tblGrid>
      <w:tr w:rsidR="00BA475E" w:rsidRPr="008910EE" w14:paraId="7F0BA67D" w14:textId="77777777" w:rsidTr="00034E24">
        <w:tc>
          <w:tcPr>
            <w:tcW w:w="9630" w:type="dxa"/>
          </w:tcPr>
          <w:p w14:paraId="374A1E84" w14:textId="300A6671" w:rsidR="00BA475E" w:rsidRPr="008910EE" w:rsidRDefault="00BA475E" w:rsidP="00BA475E">
            <w:pPr>
              <w:pStyle w:val="Heading4"/>
            </w:pPr>
            <w:r w:rsidRPr="008910EE">
              <w:t>Our stories –</w:t>
            </w:r>
            <w:r w:rsidR="0074382D" w:rsidRPr="008910EE">
              <w:t xml:space="preserve"> </w:t>
            </w:r>
            <w:r w:rsidRPr="008910EE">
              <w:t>CALD Communities Taskforce</w:t>
            </w:r>
          </w:p>
          <w:p w14:paraId="31817270" w14:textId="14C09A40" w:rsidR="00BA475E" w:rsidRPr="008910EE" w:rsidRDefault="00BA475E" w:rsidP="00BA475E">
            <w:pPr>
              <w:pStyle w:val="Body"/>
              <w:spacing w:before="120"/>
            </w:pPr>
            <w:r w:rsidRPr="008910EE">
              <w:t>Set up in 2020, the CALD Communities Taskforce</w:t>
            </w:r>
            <w:r w:rsidRPr="008910EE">
              <w:rPr>
                <w:b/>
                <w:bCs/>
              </w:rPr>
              <w:t xml:space="preserve"> </w:t>
            </w:r>
            <w:r w:rsidRPr="008910EE">
              <w:t>is</w:t>
            </w:r>
            <w:r w:rsidRPr="008910EE">
              <w:rPr>
                <w:b/>
                <w:bCs/>
              </w:rPr>
              <w:t xml:space="preserve"> </w:t>
            </w:r>
            <w:r w:rsidRPr="008910EE">
              <w:t xml:space="preserve">working in partnership with Victoria’s multicultural communities during the coronavirus (COVID-19) pandemic. </w:t>
            </w:r>
          </w:p>
          <w:p w14:paraId="266EADBB" w14:textId="4E100D46" w:rsidR="00BA475E" w:rsidRPr="008910EE" w:rsidRDefault="00BA475E" w:rsidP="00BA475E">
            <w:pPr>
              <w:pStyle w:val="Body"/>
            </w:pPr>
            <w:r w:rsidRPr="008910EE">
              <w:t>Through this taskforce we have worked with more than 326 community partners to offer immediate and ongoing relief to those most affected by the pandemic. This partnership helped deliver more than 304,016 culturally appropriate meals and 165,186 food kits to those in need. It also placed more than 29,803 outreach calls and created more than 1,300 online activities with over 66,361 participants to help keep communities connected.</w:t>
            </w:r>
            <w:r w:rsidRPr="008910EE">
              <w:rPr>
                <w:rStyle w:val="EndnoteReference"/>
              </w:rPr>
              <w:endnoteReference w:id="24"/>
            </w:r>
            <w:r w:rsidRPr="008910EE">
              <w:t xml:space="preserve"> Through these community partnerships, we are working to build a stronger and better prepared sector that can continue to support diverse communities.  </w:t>
            </w:r>
          </w:p>
        </w:tc>
      </w:tr>
    </w:tbl>
    <w:p w14:paraId="1F5458BB" w14:textId="31236E45" w:rsidR="00476AA8" w:rsidRPr="008910EE" w:rsidRDefault="00476AA8" w:rsidP="00654381">
      <w:pPr>
        <w:pStyle w:val="Body"/>
        <w:spacing w:before="120"/>
        <w:rPr>
          <w:rFonts w:eastAsia="MS Gothic" w:cs="Arial"/>
          <w:bCs/>
          <w:color w:val="201547"/>
          <w:kern w:val="32"/>
          <w:sz w:val="44"/>
          <w:szCs w:val="44"/>
        </w:rPr>
      </w:pPr>
      <w:r w:rsidRPr="008910EE">
        <w:br w:type="page"/>
      </w:r>
    </w:p>
    <w:p w14:paraId="3B6F5ADD" w14:textId="77777777" w:rsidR="00BA4853" w:rsidRPr="008910EE" w:rsidRDefault="00BA4853" w:rsidP="00BA4853">
      <w:pPr>
        <w:pStyle w:val="Heading1"/>
      </w:pPr>
      <w:bookmarkStart w:id="107" w:name="_Toc77154006"/>
      <w:bookmarkStart w:id="108" w:name="_Toc80708353"/>
      <w:bookmarkStart w:id="109" w:name="_Toc74069868"/>
      <w:r w:rsidRPr="008910EE">
        <w:t>Our outcomes</w:t>
      </w:r>
      <w:bookmarkEnd w:id="107"/>
      <w:bookmarkEnd w:id="108"/>
    </w:p>
    <w:p w14:paraId="39FDADF2" w14:textId="77777777" w:rsidR="00BA4853" w:rsidRPr="008910EE" w:rsidRDefault="00BA4853" w:rsidP="00125F43">
      <w:pPr>
        <w:pStyle w:val="Body"/>
      </w:pPr>
      <w:r w:rsidRPr="008910EE">
        <w:t>This strategic plan describes what our department is doing and will continue to do to achieve our aims.</w:t>
      </w:r>
    </w:p>
    <w:p w14:paraId="5406F8B3" w14:textId="77777777" w:rsidR="00BA4853" w:rsidRPr="008910EE" w:rsidRDefault="00BA4853" w:rsidP="00125F43">
      <w:pPr>
        <w:pStyle w:val="Body"/>
      </w:pPr>
      <w:r w:rsidRPr="008910EE">
        <w:t xml:space="preserve">The department’s outcomes framework describes what we aim to achieve, and what we are doing to make progress.  </w:t>
      </w:r>
    </w:p>
    <w:p w14:paraId="2A7FD86D" w14:textId="77777777" w:rsidR="00BA4853" w:rsidRPr="008910EE" w:rsidRDefault="00BA4853" w:rsidP="00BA4853">
      <w:pPr>
        <w:pStyle w:val="Heading2"/>
      </w:pPr>
      <w:bookmarkStart w:id="110" w:name="_Toc76463231"/>
      <w:bookmarkStart w:id="111" w:name="_Toc77154007"/>
      <w:bookmarkStart w:id="112" w:name="_Toc80708354"/>
      <w:r w:rsidRPr="008910EE">
        <w:t>Outcomes framework</w:t>
      </w:r>
      <w:bookmarkEnd w:id="110"/>
      <w:bookmarkEnd w:id="111"/>
      <w:bookmarkEnd w:id="112"/>
    </w:p>
    <w:p w14:paraId="2DE9FAA5" w14:textId="77777777" w:rsidR="00BA4853" w:rsidRPr="008910EE" w:rsidRDefault="00BA4853" w:rsidP="00125F43">
      <w:pPr>
        <w:pStyle w:val="Heading3"/>
      </w:pPr>
      <w:r w:rsidRPr="008910EE">
        <w:t>Our outcome goal is: Children, young people and families are safe, strong and supported</w:t>
      </w:r>
    </w:p>
    <w:p w14:paraId="044148DD" w14:textId="77777777" w:rsidR="00BA4853" w:rsidRPr="008910EE" w:rsidRDefault="00BA4853" w:rsidP="00125F43">
      <w:pPr>
        <w:pStyle w:val="Heading4"/>
      </w:pPr>
      <w:r w:rsidRPr="008910EE">
        <w:t>Description</w:t>
      </w:r>
    </w:p>
    <w:p w14:paraId="5794ED3F" w14:textId="77777777" w:rsidR="00BA4853" w:rsidRPr="008910EE" w:rsidRDefault="00BA4853" w:rsidP="00125F43">
      <w:pPr>
        <w:pStyle w:val="Body"/>
      </w:pPr>
      <w:r w:rsidRPr="008910EE">
        <w:t>Victorian families, carers and individuals have supportive and respectful relationships and are safe from harm, fear and neglect in their homes. This includes:</w:t>
      </w:r>
    </w:p>
    <w:p w14:paraId="075E751D" w14:textId="77777777" w:rsidR="00BA4853" w:rsidRPr="008910EE" w:rsidRDefault="00BA4853" w:rsidP="00125F43">
      <w:pPr>
        <w:pStyle w:val="Bullet1"/>
      </w:pPr>
      <w:r w:rsidRPr="008910EE">
        <w:t>addressing the compounding effects of abuse and violence</w:t>
      </w:r>
    </w:p>
    <w:p w14:paraId="4DBF8A3D" w14:textId="77777777" w:rsidR="00BA4853" w:rsidRPr="008910EE" w:rsidRDefault="00BA4853" w:rsidP="00125F43">
      <w:pPr>
        <w:pStyle w:val="Bullet1"/>
      </w:pPr>
      <w:r w:rsidRPr="008910EE">
        <w:t>improving support and recovery for both victim-survivors and perpetrators</w:t>
      </w:r>
    </w:p>
    <w:p w14:paraId="4827228C" w14:textId="77777777" w:rsidR="00BA4853" w:rsidRPr="008910EE" w:rsidRDefault="00BA4853" w:rsidP="00125F43">
      <w:pPr>
        <w:pStyle w:val="Bullet1"/>
      </w:pPr>
      <w:r w:rsidRPr="008910EE">
        <w:t xml:space="preserve">ensuring the wellbeing of children and young people in care. </w:t>
      </w:r>
    </w:p>
    <w:p w14:paraId="20652D47" w14:textId="77777777" w:rsidR="00BA4853" w:rsidRPr="008910EE" w:rsidRDefault="00BA4853" w:rsidP="00BA4853">
      <w:pPr>
        <w:pStyle w:val="Heading4"/>
      </w:pPr>
      <w:r w:rsidRPr="008910EE">
        <w:t>Indicators</w:t>
      </w:r>
    </w:p>
    <w:p w14:paraId="6486BD28" w14:textId="77777777" w:rsidR="00BA4853" w:rsidRPr="008910EE" w:rsidRDefault="00BA4853" w:rsidP="00BA4853">
      <w:pPr>
        <w:pStyle w:val="Body"/>
      </w:pPr>
      <w:r w:rsidRPr="008910EE">
        <w:t>To succeed we will:</w:t>
      </w:r>
    </w:p>
    <w:p w14:paraId="2013827F" w14:textId="77777777" w:rsidR="00BA4853" w:rsidRPr="008910EE" w:rsidRDefault="00BA4853" w:rsidP="00125F43">
      <w:pPr>
        <w:pStyle w:val="Bullet1"/>
      </w:pPr>
      <w:r w:rsidRPr="008910EE">
        <w:t>reduce abuse and neglect of children and young people</w:t>
      </w:r>
    </w:p>
    <w:p w14:paraId="2782093F" w14:textId="77777777" w:rsidR="00BA4853" w:rsidRPr="008910EE" w:rsidRDefault="00BA4853" w:rsidP="00125F43">
      <w:pPr>
        <w:pStyle w:val="Bullet1"/>
      </w:pPr>
      <w:r w:rsidRPr="008910EE">
        <w:t>increase safe, respectful family relationships</w:t>
      </w:r>
    </w:p>
    <w:p w14:paraId="42A977D3" w14:textId="77777777" w:rsidR="00BA4853" w:rsidRPr="008910EE" w:rsidRDefault="00BA4853" w:rsidP="00125F43">
      <w:pPr>
        <w:pStyle w:val="Bullet1"/>
      </w:pPr>
      <w:r w:rsidRPr="008910EE">
        <w:t>improve development and wellbeing for children and young people</w:t>
      </w:r>
    </w:p>
    <w:p w14:paraId="7A66AD7E" w14:textId="77777777" w:rsidR="00BA4853" w:rsidRPr="008910EE" w:rsidRDefault="00BA4853" w:rsidP="00125F43">
      <w:pPr>
        <w:pStyle w:val="Bullet1"/>
      </w:pPr>
      <w:r w:rsidRPr="008910EE">
        <w:t>increase the stability of care services placements</w:t>
      </w:r>
    </w:p>
    <w:p w14:paraId="501AC4CA" w14:textId="7FE50044" w:rsidR="00BA4853" w:rsidRPr="008910EE" w:rsidRDefault="00BA4853" w:rsidP="00125F43">
      <w:pPr>
        <w:pStyle w:val="Bullet1"/>
      </w:pPr>
      <w:r w:rsidRPr="008910EE">
        <w:t>increase connections to culture, family and kinship systems for Aboriginal families, including for Aboriginal children in care</w:t>
      </w:r>
      <w:r w:rsidR="003E357B" w:rsidRPr="008910EE">
        <w:t>*</w:t>
      </w:r>
    </w:p>
    <w:p w14:paraId="2DFC69B4" w14:textId="0AA6E896" w:rsidR="00BA4853" w:rsidRPr="008910EE" w:rsidRDefault="00BA4853" w:rsidP="00125F43">
      <w:pPr>
        <w:pStyle w:val="Bullet1"/>
      </w:pPr>
      <w:r w:rsidRPr="008910EE">
        <w:t>reduce over-representation of Aboriginal children and young people in care services</w:t>
      </w:r>
      <w:r w:rsidR="003E357B" w:rsidRPr="008910EE">
        <w:t>*</w:t>
      </w:r>
    </w:p>
    <w:p w14:paraId="476FDC95" w14:textId="77777777" w:rsidR="00BA4853" w:rsidRPr="008910EE" w:rsidRDefault="00BA4853" w:rsidP="00125F43">
      <w:pPr>
        <w:pStyle w:val="Bullet1"/>
      </w:pPr>
      <w:r w:rsidRPr="008910EE">
        <w:t>increase safety for victim-survivors of family violence</w:t>
      </w:r>
    </w:p>
    <w:p w14:paraId="296E10D4" w14:textId="77777777" w:rsidR="00BA4853" w:rsidRPr="008910EE" w:rsidRDefault="00BA4853" w:rsidP="00125F43">
      <w:pPr>
        <w:pStyle w:val="Bullet1"/>
      </w:pPr>
      <w:r w:rsidRPr="008910EE">
        <w:t>reduce family violence</w:t>
      </w:r>
    </w:p>
    <w:p w14:paraId="7E88608A" w14:textId="1ADAE5B2" w:rsidR="00BA4853" w:rsidRPr="008910EE" w:rsidRDefault="00BA4853" w:rsidP="00125F43">
      <w:pPr>
        <w:pStyle w:val="Bullet1"/>
      </w:pPr>
      <w:r w:rsidRPr="008910EE">
        <w:t>reduce family violence and abuse against Aboriginal women and children</w:t>
      </w:r>
      <w:r w:rsidR="005E7673" w:rsidRPr="008910EE">
        <w:t>.</w:t>
      </w:r>
      <w:r w:rsidR="003E357B" w:rsidRPr="008910EE">
        <w:t>*</w:t>
      </w:r>
    </w:p>
    <w:p w14:paraId="50EC91EE" w14:textId="633487E3" w:rsidR="008A4424" w:rsidRPr="008910EE" w:rsidRDefault="00BA4853" w:rsidP="00125F43">
      <w:pPr>
        <w:pStyle w:val="Heading3"/>
        <w:rPr>
          <w:szCs w:val="30"/>
        </w:rPr>
      </w:pPr>
      <w:r w:rsidRPr="008910EE">
        <w:rPr>
          <w:szCs w:val="30"/>
        </w:rPr>
        <w:t xml:space="preserve">Our outcome </w:t>
      </w:r>
      <w:r w:rsidRPr="008910EE">
        <w:t>goal</w:t>
      </w:r>
      <w:r w:rsidRPr="008910EE">
        <w:rPr>
          <w:szCs w:val="30"/>
        </w:rPr>
        <w:t xml:space="preserve"> is: </w:t>
      </w:r>
      <w:r w:rsidRPr="008910EE">
        <w:t>Victorian communities</w:t>
      </w:r>
      <w:r w:rsidR="00C927DB" w:rsidRPr="008910EE">
        <w:rPr>
          <w:rStyle w:val="FootnoteReference"/>
        </w:rPr>
        <w:footnoteReference w:id="2"/>
      </w:r>
      <w:r w:rsidR="008A4424" w:rsidRPr="008910EE">
        <w:t xml:space="preserve"> are safe, fair, inclusive and resilient</w:t>
      </w:r>
    </w:p>
    <w:p w14:paraId="1EA744C9" w14:textId="77777777" w:rsidR="008A4424" w:rsidRPr="008910EE" w:rsidRDefault="008A4424" w:rsidP="00BA4853">
      <w:pPr>
        <w:pStyle w:val="Heading4"/>
      </w:pPr>
      <w:r w:rsidRPr="008910EE">
        <w:t>Description</w:t>
      </w:r>
    </w:p>
    <w:p w14:paraId="12068706" w14:textId="77777777" w:rsidR="008A4424" w:rsidRPr="008910EE" w:rsidRDefault="008A4424" w:rsidP="00125F43">
      <w:pPr>
        <w:pStyle w:val="Body"/>
      </w:pPr>
      <w:r w:rsidRPr="008910EE">
        <w:t>Victorians are socially involved in their community and participation helps their wellbeing. Communities foster social inclusion and participation, and diversity is celebrated and enabled. Victorians from intersectional communities can safely identify with their culture, express their identity and build support networks with people they trust. Communities are strong and resilient in times of emergency.</w:t>
      </w:r>
    </w:p>
    <w:p w14:paraId="1F76A6E8" w14:textId="77777777" w:rsidR="008A4424" w:rsidRPr="008910EE" w:rsidRDefault="008A4424" w:rsidP="00BA4853">
      <w:pPr>
        <w:pStyle w:val="Heading4"/>
      </w:pPr>
      <w:r w:rsidRPr="008910EE">
        <w:t>Indicators</w:t>
      </w:r>
    </w:p>
    <w:p w14:paraId="25EDCED3" w14:textId="77777777" w:rsidR="008A4424" w:rsidRPr="008910EE" w:rsidRDefault="008A4424" w:rsidP="00BA4853">
      <w:pPr>
        <w:pStyle w:val="Body"/>
      </w:pPr>
      <w:r w:rsidRPr="008910EE">
        <w:t>To succeed we will:</w:t>
      </w:r>
    </w:p>
    <w:p w14:paraId="2F244580" w14:textId="4A614C8E" w:rsidR="008A4424" w:rsidRPr="008910EE" w:rsidRDefault="008A4424" w:rsidP="00125F43">
      <w:pPr>
        <w:pStyle w:val="Bullet1"/>
      </w:pPr>
      <w:r w:rsidRPr="008910EE">
        <w:t>increase social, economic and community inclusion and participation, including for women, people with disability, Aboriginal Victorians and other communities</w:t>
      </w:r>
      <w:r w:rsidR="00A9288F" w:rsidRPr="008910EE">
        <w:t>*</w:t>
      </w:r>
    </w:p>
    <w:p w14:paraId="1D8B18F8" w14:textId="77777777" w:rsidR="008A4424" w:rsidRPr="008910EE" w:rsidRDefault="008A4424" w:rsidP="00125F43">
      <w:pPr>
        <w:pStyle w:val="Bullet1"/>
      </w:pPr>
      <w:r w:rsidRPr="008910EE">
        <w:t>decrease experiences of discrimination and racism</w:t>
      </w:r>
    </w:p>
    <w:p w14:paraId="7C4990EC" w14:textId="77777777" w:rsidR="008A4424" w:rsidRPr="008910EE" w:rsidRDefault="008A4424" w:rsidP="00125F43">
      <w:pPr>
        <w:pStyle w:val="Bullet1"/>
      </w:pPr>
      <w:r w:rsidRPr="008910EE">
        <w:t>increase safety where people live, work, learn and play</w:t>
      </w:r>
    </w:p>
    <w:p w14:paraId="2D499BBB" w14:textId="11C2CD76" w:rsidR="008A4424" w:rsidRPr="008910EE" w:rsidRDefault="008A4424" w:rsidP="00125F43">
      <w:pPr>
        <w:pStyle w:val="Bullet1"/>
      </w:pPr>
      <w:r w:rsidRPr="008910EE">
        <w:t>increase wellbeing for Aboriginal Victorians, including safety to connect with and express culture</w:t>
      </w:r>
      <w:r w:rsidR="00A9288F" w:rsidRPr="008910EE">
        <w:t>*</w:t>
      </w:r>
    </w:p>
    <w:p w14:paraId="7BE82148" w14:textId="77777777" w:rsidR="008A4424" w:rsidRPr="008910EE" w:rsidRDefault="008A4424" w:rsidP="00125F43">
      <w:pPr>
        <w:pStyle w:val="Bullet1"/>
      </w:pPr>
      <w:r w:rsidRPr="008910EE">
        <w:t>increase capacity for senior Victorians to age well</w:t>
      </w:r>
    </w:p>
    <w:p w14:paraId="1351CAE2" w14:textId="77777777" w:rsidR="008A4424" w:rsidRPr="008910EE" w:rsidRDefault="008A4424" w:rsidP="00125F43">
      <w:pPr>
        <w:pStyle w:val="Bullet1"/>
      </w:pPr>
      <w:r w:rsidRPr="008910EE">
        <w:t>increase supports for people with complex needs</w:t>
      </w:r>
    </w:p>
    <w:p w14:paraId="43E1002A" w14:textId="77777777" w:rsidR="008A4424" w:rsidRPr="008910EE" w:rsidRDefault="008A4424" w:rsidP="00125F43">
      <w:pPr>
        <w:pStyle w:val="Bullet1"/>
      </w:pPr>
      <w:r w:rsidRPr="008910EE">
        <w:t>increase social capital and community connection</w:t>
      </w:r>
    </w:p>
    <w:p w14:paraId="29D030B6" w14:textId="77777777" w:rsidR="008A4424" w:rsidRPr="008910EE" w:rsidRDefault="008A4424" w:rsidP="00125F43">
      <w:pPr>
        <w:pStyle w:val="Bullet1"/>
      </w:pPr>
      <w:r w:rsidRPr="008910EE">
        <w:t>increase community resilience</w:t>
      </w:r>
    </w:p>
    <w:p w14:paraId="32E98DB6" w14:textId="63DED1F7" w:rsidR="008A4424" w:rsidRPr="008910EE" w:rsidRDefault="008A4424" w:rsidP="00125F43">
      <w:pPr>
        <w:pStyle w:val="Bullet1"/>
      </w:pPr>
      <w:r w:rsidRPr="008910EE">
        <w:t>improve social recovery following emergencies</w:t>
      </w:r>
      <w:r w:rsidR="00C04B86" w:rsidRPr="008910EE">
        <w:t>.</w:t>
      </w:r>
    </w:p>
    <w:p w14:paraId="44EE3F8E" w14:textId="77777777" w:rsidR="008A4424" w:rsidRPr="008910EE" w:rsidRDefault="008A4424" w:rsidP="00125F43">
      <w:pPr>
        <w:pStyle w:val="Heading3"/>
      </w:pPr>
      <w:r w:rsidRPr="008910EE">
        <w:t>Our outcome goal is: All Victorians have stable, affordable and appropriate housing</w:t>
      </w:r>
    </w:p>
    <w:p w14:paraId="03090C85" w14:textId="77777777" w:rsidR="008A4424" w:rsidRPr="008910EE" w:rsidRDefault="008A4424" w:rsidP="00BA4853">
      <w:pPr>
        <w:pStyle w:val="Heading4"/>
      </w:pPr>
      <w:r w:rsidRPr="008910EE">
        <w:t>Description</w:t>
      </w:r>
    </w:p>
    <w:p w14:paraId="0D320D4E" w14:textId="42FEFBD9" w:rsidR="008A4424" w:rsidRPr="008910EE" w:rsidRDefault="008A4424" w:rsidP="00125F43">
      <w:pPr>
        <w:pStyle w:val="Body"/>
      </w:pPr>
      <w:r w:rsidRPr="008910EE">
        <w:t>Victorians have safe homes that provide emotional and physical sanctuary. Victorians have security of tenure in housing that is accessible, appropriate, affordable and tailored to them. This outcome includes supports to address and reduce housing insecurity and homelessness, to enable suitable housing for all.</w:t>
      </w:r>
    </w:p>
    <w:p w14:paraId="54352BA6" w14:textId="77777777" w:rsidR="008A4424" w:rsidRPr="008910EE" w:rsidRDefault="008A4424" w:rsidP="00BA4853">
      <w:pPr>
        <w:pStyle w:val="Heading4"/>
      </w:pPr>
      <w:r w:rsidRPr="008910EE">
        <w:t>Indicators</w:t>
      </w:r>
    </w:p>
    <w:p w14:paraId="16D866A0" w14:textId="77777777" w:rsidR="008A4424" w:rsidRPr="008910EE" w:rsidRDefault="008A4424" w:rsidP="00BA4853">
      <w:pPr>
        <w:pStyle w:val="Body"/>
      </w:pPr>
      <w:r w:rsidRPr="008910EE">
        <w:t>To succeed we will:</w:t>
      </w:r>
    </w:p>
    <w:p w14:paraId="06E5BED4" w14:textId="77777777" w:rsidR="008A4424" w:rsidRPr="008910EE" w:rsidRDefault="008A4424" w:rsidP="00125F43">
      <w:pPr>
        <w:pStyle w:val="Bullet1"/>
      </w:pPr>
      <w:r w:rsidRPr="008910EE">
        <w:t>increase the supply and availability of affordable and high-quality housing</w:t>
      </w:r>
    </w:p>
    <w:p w14:paraId="36D66F0F" w14:textId="77777777" w:rsidR="008A4424" w:rsidRPr="008910EE" w:rsidRDefault="008A4424" w:rsidP="00125F43">
      <w:pPr>
        <w:pStyle w:val="Bullet1"/>
      </w:pPr>
      <w:r w:rsidRPr="008910EE">
        <w:t>improve the quality, environmental sustainability, appropriateness and accessibility of existing housing</w:t>
      </w:r>
    </w:p>
    <w:p w14:paraId="2FD068B0" w14:textId="77777777" w:rsidR="00A24891" w:rsidRPr="008910EE" w:rsidRDefault="00A24891" w:rsidP="00A24891">
      <w:pPr>
        <w:pStyle w:val="Bullet1"/>
      </w:pPr>
      <w:r w:rsidRPr="008910EE">
        <w:t>increase housing stability for people experiencing or at risk of rough sleeping, homelessness, and other insecure housing arrangements</w:t>
      </w:r>
    </w:p>
    <w:p w14:paraId="694CFE67" w14:textId="77777777" w:rsidR="00A24891" w:rsidRPr="008910EE" w:rsidRDefault="00A24891" w:rsidP="00A24891">
      <w:pPr>
        <w:pStyle w:val="Bullet1"/>
      </w:pPr>
      <w:r w:rsidRPr="008910EE">
        <w:t>increase financial ability to access and maintain housing and utility services</w:t>
      </w:r>
    </w:p>
    <w:p w14:paraId="5B6F5416" w14:textId="1F64A259" w:rsidR="008A4424" w:rsidRPr="008910EE" w:rsidRDefault="008A4424" w:rsidP="00125F43">
      <w:pPr>
        <w:pStyle w:val="Bullet1"/>
      </w:pPr>
      <w:r w:rsidRPr="008910EE">
        <w:t>increase Aboriginal residents’ connection to community, culture and place</w:t>
      </w:r>
      <w:r w:rsidR="001035E8" w:rsidRPr="008910EE">
        <w:t>*</w:t>
      </w:r>
      <w:r w:rsidRPr="008910EE">
        <w:t xml:space="preserve"> </w:t>
      </w:r>
    </w:p>
    <w:p w14:paraId="58F9AE53" w14:textId="0A0D2102" w:rsidR="008A4424" w:rsidRPr="008910EE" w:rsidRDefault="008A4424" w:rsidP="00125F43">
      <w:pPr>
        <w:pStyle w:val="Bullet1"/>
      </w:pPr>
      <w:r w:rsidRPr="008910EE">
        <w:t>increase the proportion of Aboriginal people living in appropriately sized (not overcrowded) housing</w:t>
      </w:r>
      <w:r w:rsidR="001035E8" w:rsidRPr="008910EE">
        <w:t>*</w:t>
      </w:r>
    </w:p>
    <w:p w14:paraId="5C2DC100" w14:textId="199E945E" w:rsidR="008A4424" w:rsidRPr="008910EE" w:rsidRDefault="008A4424" w:rsidP="00125F43">
      <w:pPr>
        <w:pStyle w:val="Bullet1"/>
      </w:pPr>
      <w:r w:rsidRPr="008910EE">
        <w:t>improve transitions to independent living arrangements</w:t>
      </w:r>
      <w:r w:rsidR="00C04B86" w:rsidRPr="008910EE">
        <w:t>.</w:t>
      </w:r>
      <w:r w:rsidR="00F33E30" w:rsidRPr="008910EE">
        <w:rPr>
          <w:rStyle w:val="FootnoteReference"/>
        </w:rPr>
        <w:footnoteReference w:id="3"/>
      </w:r>
    </w:p>
    <w:p w14:paraId="0A040785" w14:textId="4A5E7FDF" w:rsidR="00BA4853" w:rsidRPr="008910EE" w:rsidRDefault="00BA4853" w:rsidP="00147F49">
      <w:pPr>
        <w:pStyle w:val="Heading3"/>
      </w:pPr>
      <w:r w:rsidRPr="008910EE">
        <w:t>Our outcome goal is: Aboriginal voice, knowledge and cultural leadership drive Aboriginal policy, legislation and system reform</w:t>
      </w:r>
    </w:p>
    <w:p w14:paraId="57A135C8" w14:textId="77777777" w:rsidR="00BA4853" w:rsidRPr="008910EE" w:rsidRDefault="00BA4853" w:rsidP="00BA4853">
      <w:pPr>
        <w:pStyle w:val="Heading4"/>
      </w:pPr>
      <w:r w:rsidRPr="008910EE">
        <w:t>Description</w:t>
      </w:r>
    </w:p>
    <w:p w14:paraId="5E9929E6" w14:textId="77777777" w:rsidR="00BA4853" w:rsidRPr="008910EE" w:rsidRDefault="00BA4853" w:rsidP="00125F43">
      <w:pPr>
        <w:pStyle w:val="Body"/>
      </w:pPr>
      <w:r w:rsidRPr="008910EE">
        <w:t>Self-determination enables the wellbeing of Aboriginal Victorians. Systems and structures that inhibit self-determination are actively addressed with the partnership and leadership of the Victorian Aboriginal community.</w:t>
      </w:r>
    </w:p>
    <w:p w14:paraId="34E93A24" w14:textId="3DF68192" w:rsidR="00BA4853" w:rsidRPr="008910EE" w:rsidRDefault="00BA4853" w:rsidP="00BA4853">
      <w:pPr>
        <w:pStyle w:val="Heading4"/>
      </w:pPr>
      <w:r w:rsidRPr="008910EE">
        <w:t>Indicators</w:t>
      </w:r>
    </w:p>
    <w:p w14:paraId="34D59B7A" w14:textId="75148167" w:rsidR="00C04B86" w:rsidRPr="008910EE" w:rsidRDefault="00C04B86" w:rsidP="009C25D2">
      <w:pPr>
        <w:pStyle w:val="Body"/>
      </w:pPr>
      <w:r w:rsidRPr="008910EE">
        <w:t>To succeed we will:</w:t>
      </w:r>
    </w:p>
    <w:p w14:paraId="72684BE5" w14:textId="284F5C70" w:rsidR="00BA4853" w:rsidRPr="008910EE" w:rsidRDefault="00BA4853" w:rsidP="00125F43">
      <w:pPr>
        <w:pStyle w:val="Bullet1"/>
      </w:pPr>
      <w:r w:rsidRPr="008910EE">
        <w:t>increase the transfer of decision-making power and resources to Aboriginal organisations</w:t>
      </w:r>
      <w:r w:rsidR="00E912F0" w:rsidRPr="008910EE">
        <w:t>*</w:t>
      </w:r>
    </w:p>
    <w:p w14:paraId="263481B6" w14:textId="36B441B3" w:rsidR="00BA4853" w:rsidRPr="008910EE" w:rsidRDefault="00BA4853" w:rsidP="00125F43">
      <w:pPr>
        <w:pStyle w:val="Bullet1"/>
      </w:pPr>
      <w:r w:rsidRPr="008910EE">
        <w:t>increase use of Aboriginal knowledge and evidence in policy program and service planning, design, delivery and evaluation under Aboriginal leadership</w:t>
      </w:r>
      <w:r w:rsidR="00E912F0" w:rsidRPr="008910EE">
        <w:t>*</w:t>
      </w:r>
    </w:p>
    <w:p w14:paraId="4760DDC9" w14:textId="5EA1697D" w:rsidR="00BA4853" w:rsidRPr="008910EE" w:rsidRDefault="00BA4853" w:rsidP="00125F43">
      <w:pPr>
        <w:pStyle w:val="Bullet1"/>
      </w:pPr>
      <w:r w:rsidRPr="008910EE">
        <w:t>improve flexible funding practices to empower Aboriginal organisations to meet the diverse needs of the community</w:t>
      </w:r>
      <w:r w:rsidR="00E912F0" w:rsidRPr="008910EE">
        <w:t>*</w:t>
      </w:r>
      <w:r w:rsidRPr="008910EE">
        <w:t xml:space="preserve"> </w:t>
      </w:r>
    </w:p>
    <w:p w14:paraId="6A294A79" w14:textId="75DF448C" w:rsidR="00BA4853" w:rsidRPr="008910EE" w:rsidRDefault="00BA4853" w:rsidP="00125F43">
      <w:pPr>
        <w:pStyle w:val="Bullet1"/>
      </w:pPr>
      <w:r w:rsidRPr="008910EE">
        <w:t>increase investment in the Aboriginal workforce to support the Aboriginal community-controlled organisation sector to excel in practice, partnership, and service delivery</w:t>
      </w:r>
      <w:r w:rsidR="00E912F0" w:rsidRPr="008910EE">
        <w:t>*</w:t>
      </w:r>
      <w:r w:rsidRPr="008910EE">
        <w:t xml:space="preserve">   </w:t>
      </w:r>
    </w:p>
    <w:p w14:paraId="4D1AF7B9" w14:textId="1BBFF1E0" w:rsidR="00BA4853" w:rsidRPr="008910EE" w:rsidRDefault="00BA4853" w:rsidP="00125F43">
      <w:pPr>
        <w:pStyle w:val="Bullet1"/>
      </w:pPr>
      <w:r w:rsidRPr="008910EE">
        <w:t xml:space="preserve">increase the cultural competence of the </w:t>
      </w:r>
      <w:r w:rsidRPr="008910EE">
        <w:rPr>
          <w:lang w:val="en-US"/>
        </w:rPr>
        <w:t>non-Aboriginal workforce across all service functions to embed practices and process</w:t>
      </w:r>
      <w:r w:rsidR="00E8114F" w:rsidRPr="008910EE">
        <w:rPr>
          <w:lang w:val="en-US"/>
        </w:rPr>
        <w:t>es</w:t>
      </w:r>
      <w:r w:rsidRPr="008910EE">
        <w:rPr>
          <w:lang w:val="en-US"/>
        </w:rPr>
        <w:t xml:space="preserve"> that respect Aboriginal ways of working, knowledge </w:t>
      </w:r>
      <w:r w:rsidRPr="008910EE">
        <w:t>and evidence</w:t>
      </w:r>
      <w:r w:rsidR="00E912F0" w:rsidRPr="008910EE">
        <w:t>*</w:t>
      </w:r>
    </w:p>
    <w:p w14:paraId="1E9E4009" w14:textId="31D672BE" w:rsidR="00BA4853" w:rsidRPr="008910EE" w:rsidRDefault="00BA4853" w:rsidP="00125F43">
      <w:pPr>
        <w:pStyle w:val="Bullet1"/>
      </w:pPr>
      <w:r w:rsidRPr="008910EE">
        <w:t>increase protection and promotion of Aboriginal knowledge and Aboriginal intellectual property</w:t>
      </w:r>
      <w:r w:rsidR="00916AF6" w:rsidRPr="008910EE">
        <w:t>.</w:t>
      </w:r>
      <w:r w:rsidR="00E912F0" w:rsidRPr="008910EE">
        <w:t>*</w:t>
      </w:r>
    </w:p>
    <w:p w14:paraId="380B6C37" w14:textId="77777777" w:rsidR="00BA4853" w:rsidRPr="008910EE" w:rsidRDefault="00BA4853" w:rsidP="00125F43">
      <w:pPr>
        <w:pStyle w:val="Bodyafterbullets"/>
      </w:pPr>
      <w:r w:rsidRPr="008910EE">
        <w:t xml:space="preserve">Note: Self-determination indicators are subject to testing with Aboriginal communities. </w:t>
      </w:r>
    </w:p>
    <w:p w14:paraId="294356BE" w14:textId="77777777" w:rsidR="00BA4853" w:rsidRPr="008910EE" w:rsidRDefault="00BA4853" w:rsidP="00125F43">
      <w:pPr>
        <w:pStyle w:val="Heading3"/>
      </w:pPr>
      <w:r w:rsidRPr="008910EE">
        <w:t>Our outcome goal is: Our systems are high performing and responsive, meeting the needs of all Victorians</w:t>
      </w:r>
    </w:p>
    <w:p w14:paraId="17638BEC" w14:textId="77777777" w:rsidR="00BA4853" w:rsidRPr="008910EE" w:rsidRDefault="00BA4853" w:rsidP="00BA4853">
      <w:pPr>
        <w:pStyle w:val="Heading4"/>
      </w:pPr>
      <w:r w:rsidRPr="008910EE">
        <w:t>Description</w:t>
      </w:r>
    </w:p>
    <w:p w14:paraId="60FB887E" w14:textId="77777777" w:rsidR="00BA4853" w:rsidRPr="008910EE" w:rsidRDefault="00BA4853" w:rsidP="00125F43">
      <w:pPr>
        <w:pStyle w:val="Body"/>
      </w:pPr>
      <w:r w:rsidRPr="008910EE">
        <w:t xml:space="preserve">Services are person centred, inclusive, and effective. The department connects with communities across the state and responds to their needs, preferences and circumstances. The system is known for: </w:t>
      </w:r>
    </w:p>
    <w:p w14:paraId="2CB0269C" w14:textId="77777777" w:rsidR="00BA4853" w:rsidRPr="008910EE" w:rsidRDefault="00BA4853" w:rsidP="00125F43">
      <w:pPr>
        <w:pStyle w:val="Bullet1"/>
      </w:pPr>
      <w:r w:rsidRPr="008910EE">
        <w:t xml:space="preserve">delivering services safely </w:t>
      </w:r>
    </w:p>
    <w:p w14:paraId="7CC60A88" w14:textId="77777777" w:rsidR="00BA4853" w:rsidRPr="008910EE" w:rsidRDefault="00BA4853" w:rsidP="00125F43">
      <w:pPr>
        <w:pStyle w:val="Bullet1"/>
      </w:pPr>
      <w:r w:rsidRPr="008910EE">
        <w:t xml:space="preserve">strong leadership and workplace cultures </w:t>
      </w:r>
    </w:p>
    <w:p w14:paraId="548EF7C5" w14:textId="77777777" w:rsidR="00BA4853" w:rsidRPr="008910EE" w:rsidRDefault="00BA4853" w:rsidP="00125F43">
      <w:pPr>
        <w:pStyle w:val="Bullet1"/>
      </w:pPr>
      <w:r w:rsidRPr="008910EE">
        <w:t>a skilled workforce</w:t>
      </w:r>
    </w:p>
    <w:p w14:paraId="0BC41DDB" w14:textId="77777777" w:rsidR="00BA4853" w:rsidRPr="008910EE" w:rsidRDefault="00BA4853" w:rsidP="00125F43">
      <w:pPr>
        <w:pStyle w:val="Bullet1"/>
      </w:pPr>
      <w:r w:rsidRPr="008910EE">
        <w:t xml:space="preserve">broad-based risk management </w:t>
      </w:r>
    </w:p>
    <w:p w14:paraId="7DBA1380" w14:textId="77777777" w:rsidR="00BA4853" w:rsidRPr="008910EE" w:rsidRDefault="00BA4853" w:rsidP="00125F43">
      <w:pPr>
        <w:pStyle w:val="Bullet1"/>
      </w:pPr>
      <w:r w:rsidRPr="008910EE">
        <w:t>a culture of continuous improvement and evidence-informed practice.</w:t>
      </w:r>
    </w:p>
    <w:p w14:paraId="668B1780" w14:textId="7B2F8E2E" w:rsidR="00BA4853" w:rsidRPr="008910EE" w:rsidRDefault="00BA4853" w:rsidP="00BA4853">
      <w:pPr>
        <w:pStyle w:val="Heading4"/>
      </w:pPr>
      <w:r w:rsidRPr="008910EE">
        <w:t>Indicators</w:t>
      </w:r>
    </w:p>
    <w:p w14:paraId="29B0A8BA" w14:textId="77777777" w:rsidR="00C04B86" w:rsidRPr="008910EE" w:rsidRDefault="00C04B86" w:rsidP="00C04B86">
      <w:pPr>
        <w:pStyle w:val="Body"/>
      </w:pPr>
      <w:r w:rsidRPr="008910EE">
        <w:t>To succeed we will:</w:t>
      </w:r>
    </w:p>
    <w:p w14:paraId="0111690A" w14:textId="77777777" w:rsidR="00BA4853" w:rsidRPr="008910EE" w:rsidRDefault="00BA4853" w:rsidP="00125F43">
      <w:pPr>
        <w:pStyle w:val="Bullet1"/>
        <w:rPr>
          <w:lang w:val="en-US"/>
        </w:rPr>
      </w:pPr>
      <w:r w:rsidRPr="008910EE">
        <w:rPr>
          <w:lang w:val="en-US"/>
        </w:rPr>
        <w:t>improve the quality, safety and effectiveness of service delivery</w:t>
      </w:r>
    </w:p>
    <w:p w14:paraId="13F74874" w14:textId="77777777" w:rsidR="00BA4853" w:rsidRPr="008910EE" w:rsidRDefault="00BA4853" w:rsidP="00125F43">
      <w:pPr>
        <w:pStyle w:val="Bullet1"/>
        <w:rPr>
          <w:lang w:val="en-US"/>
        </w:rPr>
      </w:pPr>
      <w:r w:rsidRPr="008910EE">
        <w:rPr>
          <w:lang w:val="en-US"/>
        </w:rPr>
        <w:t xml:space="preserve">increase responsiveness of services and systems to diversity and intersectionality, including equity of access </w:t>
      </w:r>
    </w:p>
    <w:p w14:paraId="10A336E1" w14:textId="77777777" w:rsidR="00BA4853" w:rsidRPr="008910EE" w:rsidRDefault="00BA4853" w:rsidP="00125F43">
      <w:pPr>
        <w:pStyle w:val="Bullet1"/>
        <w:rPr>
          <w:lang w:val="en-US"/>
        </w:rPr>
      </w:pPr>
      <w:r w:rsidRPr="008910EE">
        <w:rPr>
          <w:lang w:val="en-US"/>
        </w:rPr>
        <w:t>increase the voice of clients, people with lived experience and diverse communities when we design, deliver and evaluate policies, programs and services</w:t>
      </w:r>
    </w:p>
    <w:p w14:paraId="607CFF36" w14:textId="77777777" w:rsidR="00BA4853" w:rsidRPr="008910EE" w:rsidRDefault="00BA4853" w:rsidP="00125F43">
      <w:pPr>
        <w:pStyle w:val="Bullet1"/>
        <w:rPr>
          <w:lang w:val="en-US"/>
        </w:rPr>
      </w:pPr>
      <w:r w:rsidRPr="008910EE">
        <w:rPr>
          <w:lang w:val="en-US"/>
        </w:rPr>
        <w:t xml:space="preserve">improve organisational oversight, governance and financial management </w:t>
      </w:r>
    </w:p>
    <w:p w14:paraId="365795EB" w14:textId="77777777" w:rsidR="00BA4853" w:rsidRPr="008910EE" w:rsidRDefault="00BA4853" w:rsidP="00125F43">
      <w:pPr>
        <w:pStyle w:val="Bullet1"/>
        <w:rPr>
          <w:lang w:val="en-US"/>
        </w:rPr>
      </w:pPr>
      <w:r w:rsidRPr="008910EE">
        <w:rPr>
          <w:lang w:val="en-US"/>
        </w:rPr>
        <w:t>increase system resilience, responsiveness and agility, including effective use of technology</w:t>
      </w:r>
    </w:p>
    <w:p w14:paraId="591F2BB1" w14:textId="77777777" w:rsidR="00BA4853" w:rsidRPr="008910EE" w:rsidRDefault="00BA4853" w:rsidP="00125F43">
      <w:pPr>
        <w:pStyle w:val="Bullet1"/>
        <w:rPr>
          <w:lang w:val="en-US"/>
        </w:rPr>
      </w:pPr>
      <w:r w:rsidRPr="008910EE">
        <w:rPr>
          <w:lang w:val="en-US"/>
        </w:rPr>
        <w:t>improve workforce health, safety, wellbeing, capability and diversity</w:t>
      </w:r>
    </w:p>
    <w:p w14:paraId="1BDBFE8B" w14:textId="4015D1D6" w:rsidR="00BA4853" w:rsidRPr="008910EE" w:rsidRDefault="00BA4853" w:rsidP="00125F43">
      <w:pPr>
        <w:pStyle w:val="Bullet1"/>
        <w:rPr>
          <w:lang w:val="en-US"/>
        </w:rPr>
      </w:pPr>
      <w:r w:rsidRPr="008910EE">
        <w:rPr>
          <w:lang w:val="en-US"/>
        </w:rPr>
        <w:t>increase measurement of departmental impact and use of data and evidence to inform decision making and policy design</w:t>
      </w:r>
      <w:r w:rsidR="00E7146D" w:rsidRPr="008910EE">
        <w:rPr>
          <w:lang w:val="en-US"/>
        </w:rPr>
        <w:t>.</w:t>
      </w:r>
    </w:p>
    <w:p w14:paraId="61C0DAC8" w14:textId="77777777" w:rsidR="00BA4853" w:rsidRPr="008910EE" w:rsidRDefault="00BA4853" w:rsidP="00BA4853">
      <w:pPr>
        <w:pStyle w:val="Heading2"/>
      </w:pPr>
      <w:bookmarkStart w:id="113" w:name="_Toc76463232"/>
      <w:bookmarkStart w:id="114" w:name="_Toc77154008"/>
      <w:bookmarkStart w:id="115" w:name="_Toc80708355"/>
      <w:r w:rsidRPr="008910EE">
        <w:t>Headline outcome measures</w:t>
      </w:r>
      <w:bookmarkEnd w:id="113"/>
      <w:bookmarkEnd w:id="114"/>
      <w:bookmarkEnd w:id="115"/>
    </w:p>
    <w:p w14:paraId="3E962504" w14:textId="3EBB72C9" w:rsidR="00BA4853" w:rsidRPr="008910EE" w:rsidRDefault="00BA4853" w:rsidP="00BA475E">
      <w:pPr>
        <w:pStyle w:val="Body"/>
      </w:pPr>
      <w:r w:rsidRPr="008910EE">
        <w:t xml:space="preserve">Headline measures will give a snapshot of the context in which the department works. We </w:t>
      </w:r>
      <w:r w:rsidR="00255417" w:rsidRPr="008910EE">
        <w:t xml:space="preserve">have </w:t>
      </w:r>
      <w:r w:rsidRPr="008910EE">
        <w:t xml:space="preserve">proposed an initial list for each outcome below. We will expand on this over time. </w:t>
      </w:r>
    </w:p>
    <w:p w14:paraId="2116D5AF" w14:textId="77777777" w:rsidR="00BA4853" w:rsidRPr="008910EE" w:rsidRDefault="00BA4853" w:rsidP="00BA4853">
      <w:pPr>
        <w:pStyle w:val="Heading3"/>
      </w:pPr>
      <w:r w:rsidRPr="008910EE">
        <w:t>Children, young people and families are safe, strong and supported</w:t>
      </w:r>
    </w:p>
    <w:p w14:paraId="04105C24" w14:textId="77777777" w:rsidR="00BA4853" w:rsidRPr="008910EE" w:rsidRDefault="00BA4853" w:rsidP="00125F43">
      <w:pPr>
        <w:pStyle w:val="Bullet1"/>
      </w:pPr>
      <w:r w:rsidRPr="008910EE">
        <w:t>Rate of children and young people who were the subject of a child abuse or neglect substantiation</w:t>
      </w:r>
    </w:p>
    <w:p w14:paraId="02AB8216" w14:textId="77777777" w:rsidR="00BA4853" w:rsidRPr="008910EE" w:rsidRDefault="00BA4853" w:rsidP="00125F43">
      <w:pPr>
        <w:pStyle w:val="Bullet1"/>
      </w:pPr>
      <w:r w:rsidRPr="008910EE">
        <w:t>Rate of entries to care</w:t>
      </w:r>
    </w:p>
    <w:p w14:paraId="08AA3187" w14:textId="77777777" w:rsidR="00BA4853" w:rsidRPr="008910EE" w:rsidRDefault="00BA4853" w:rsidP="00125F43">
      <w:pPr>
        <w:pStyle w:val="Bullet1"/>
      </w:pPr>
      <w:r w:rsidRPr="008910EE">
        <w:t>Rate of family violence incidents</w:t>
      </w:r>
    </w:p>
    <w:p w14:paraId="043ACFFB" w14:textId="77777777" w:rsidR="00BA4853" w:rsidRPr="008910EE" w:rsidRDefault="00BA4853" w:rsidP="00BA4853">
      <w:pPr>
        <w:pStyle w:val="Heading3"/>
      </w:pPr>
      <w:r w:rsidRPr="008910EE">
        <w:t>Victorian communities are safe, fair, inclusive and resilient</w:t>
      </w:r>
    </w:p>
    <w:p w14:paraId="5F4982AD" w14:textId="77777777" w:rsidR="00BA4853" w:rsidRPr="008910EE" w:rsidRDefault="00BA4853" w:rsidP="00125F43">
      <w:pPr>
        <w:pStyle w:val="Bullet1"/>
      </w:pPr>
      <w:r w:rsidRPr="008910EE">
        <w:t>Rate of reported crimes against the person</w:t>
      </w:r>
    </w:p>
    <w:p w14:paraId="222701C4" w14:textId="77777777" w:rsidR="00BA4853" w:rsidRPr="008910EE" w:rsidRDefault="00BA4853" w:rsidP="00125F43">
      <w:pPr>
        <w:pStyle w:val="Bullet1"/>
      </w:pPr>
      <w:r w:rsidRPr="008910EE">
        <w:t>Rate of participation in community activities over the reporting period</w:t>
      </w:r>
    </w:p>
    <w:p w14:paraId="4D7B83C2" w14:textId="77777777" w:rsidR="00BA4853" w:rsidRPr="008910EE" w:rsidRDefault="00BA4853" w:rsidP="00125F43">
      <w:pPr>
        <w:pStyle w:val="Bullet1"/>
      </w:pPr>
      <w:r w:rsidRPr="008910EE">
        <w:t>Proportion of senior Victorians who report feeling valued by society</w:t>
      </w:r>
    </w:p>
    <w:p w14:paraId="167A953A" w14:textId="77777777" w:rsidR="00BA4853" w:rsidRPr="008910EE" w:rsidRDefault="00BA4853" w:rsidP="00125F43">
      <w:pPr>
        <w:pStyle w:val="Bullet1"/>
      </w:pPr>
      <w:r w:rsidRPr="008910EE">
        <w:t>Number of discrimination enquiries</w:t>
      </w:r>
    </w:p>
    <w:p w14:paraId="77BB8D30" w14:textId="77777777" w:rsidR="00BA4853" w:rsidRPr="008910EE" w:rsidRDefault="00BA4853" w:rsidP="00BA4853">
      <w:pPr>
        <w:pStyle w:val="Heading3"/>
      </w:pPr>
      <w:r w:rsidRPr="008910EE">
        <w:t>All Victorians have stable, affordable and appropriate housing</w:t>
      </w:r>
    </w:p>
    <w:p w14:paraId="71245056" w14:textId="77777777" w:rsidR="00BA4853" w:rsidRPr="008910EE" w:rsidRDefault="00BA4853" w:rsidP="00125F43">
      <w:pPr>
        <w:pStyle w:val="Bullet1"/>
      </w:pPr>
      <w:r w:rsidRPr="008910EE">
        <w:t xml:space="preserve">Proportion of people presenting with an identified need for accommodation who are provided with accommodation </w:t>
      </w:r>
    </w:p>
    <w:p w14:paraId="192AF4A5" w14:textId="77777777" w:rsidR="00BA4853" w:rsidRPr="008910EE" w:rsidRDefault="00BA4853" w:rsidP="00125F43">
      <w:pPr>
        <w:pStyle w:val="Bullet1"/>
      </w:pPr>
      <w:r w:rsidRPr="008910EE">
        <w:t>Number of social housing dwellings per 1,000 population</w:t>
      </w:r>
    </w:p>
    <w:p w14:paraId="1FF82C18" w14:textId="77777777" w:rsidR="00BA4853" w:rsidRPr="008910EE" w:rsidRDefault="00BA4853" w:rsidP="00125F43">
      <w:pPr>
        <w:pStyle w:val="Bullet1"/>
      </w:pPr>
      <w:r w:rsidRPr="008910EE">
        <w:t>Proportion of low-income Victorians accessing RentAssist</w:t>
      </w:r>
    </w:p>
    <w:p w14:paraId="0EC05982" w14:textId="44E2EBE8" w:rsidR="00BA4853" w:rsidRPr="008910EE" w:rsidRDefault="00BA4853" w:rsidP="00BA4853">
      <w:pPr>
        <w:pStyle w:val="Heading3"/>
      </w:pPr>
      <w:r w:rsidRPr="008910EE">
        <w:t>Aboriginal voice, knowledge and cultural leadership drive Aboriginal policy, legislation and system reform</w:t>
      </w:r>
    </w:p>
    <w:p w14:paraId="043679F7" w14:textId="77777777" w:rsidR="00BA4853" w:rsidRPr="008910EE" w:rsidRDefault="00BA4853" w:rsidP="00125F43">
      <w:pPr>
        <w:pStyle w:val="Bullet1"/>
        <w:rPr>
          <w:i/>
        </w:rPr>
      </w:pPr>
      <w:r w:rsidRPr="008910EE">
        <w:t xml:space="preserve">Proportion of governance structures that transfer decision-making and resource control to Aboriginal organisations. This relates to designing, implementing and evaluating policies, programs and services for Aboriginal people and communities </w:t>
      </w:r>
      <w:r w:rsidRPr="008910EE">
        <w:rPr>
          <w:i/>
          <w:iCs/>
        </w:rPr>
        <w:t>(subject to testing and iteration with community, for example, through Koorie Caucus, the First Peoples’ Assembly or a future treaty representative body)</w:t>
      </w:r>
    </w:p>
    <w:p w14:paraId="38F1B2E0" w14:textId="7133FEE6" w:rsidR="00BA4853" w:rsidRPr="008910EE" w:rsidRDefault="00BA4853" w:rsidP="00125F43">
      <w:pPr>
        <w:pStyle w:val="Bullet1"/>
        <w:rPr>
          <w:i/>
        </w:rPr>
      </w:pPr>
      <w:r w:rsidRPr="008910EE">
        <w:t xml:space="preserve">Number of long-term outcomes-based funding arrangements in place for Aboriginal organisations that meet Aboriginal community-defined need </w:t>
      </w:r>
      <w:r w:rsidRPr="008910EE">
        <w:rPr>
          <w:i/>
          <w:iCs/>
        </w:rPr>
        <w:t>(subject iteration and testing with community, for example, through Koorie Caucus, the First Peoples’ Assembly or a future treaty representative body)</w:t>
      </w:r>
    </w:p>
    <w:p w14:paraId="2B68136B" w14:textId="77777777" w:rsidR="00BA4853" w:rsidRPr="008910EE" w:rsidRDefault="00BA4853" w:rsidP="00BA4853">
      <w:pPr>
        <w:pStyle w:val="Heading3"/>
      </w:pPr>
      <w:r w:rsidRPr="008910EE">
        <w:t>Our systems are high performing and responsive, meeting the needs of all Victorians</w:t>
      </w:r>
    </w:p>
    <w:p w14:paraId="52BDB3C1" w14:textId="77777777" w:rsidR="00BA4853" w:rsidRPr="008910EE" w:rsidRDefault="00BA4853" w:rsidP="00125F43">
      <w:pPr>
        <w:pStyle w:val="Bullet1"/>
      </w:pPr>
      <w:r w:rsidRPr="008910EE">
        <w:t>Timeliness of responding to or closing out of client complaints</w:t>
      </w:r>
    </w:p>
    <w:p w14:paraId="52A5E2AE" w14:textId="77777777" w:rsidR="00BA4853" w:rsidRPr="008910EE" w:rsidRDefault="00BA4853" w:rsidP="00125F43">
      <w:pPr>
        <w:pStyle w:val="Bullet1"/>
      </w:pPr>
      <w:r w:rsidRPr="008910EE">
        <w:t>Proportion of organisations successfully completing a review against departmental standards</w:t>
      </w:r>
    </w:p>
    <w:p w14:paraId="2A8DF2B4" w14:textId="77777777" w:rsidR="004F04DE" w:rsidRPr="008910EE" w:rsidRDefault="004F04DE" w:rsidP="00BA475E">
      <w:pPr>
        <w:pStyle w:val="Body"/>
        <w:rPr>
          <w:rFonts w:eastAsia="MS Gothic" w:cs="Arial"/>
          <w:color w:val="201547"/>
          <w:kern w:val="32"/>
          <w:sz w:val="44"/>
          <w:szCs w:val="44"/>
        </w:rPr>
      </w:pPr>
      <w:r w:rsidRPr="008910EE">
        <w:br w:type="page"/>
      </w:r>
    </w:p>
    <w:p w14:paraId="078E3700" w14:textId="6AE33C51" w:rsidR="00476AA8" w:rsidRPr="008910EE" w:rsidRDefault="00476AA8" w:rsidP="00165B48">
      <w:pPr>
        <w:pStyle w:val="Heading1"/>
      </w:pPr>
      <w:bookmarkStart w:id="116" w:name="_Toc80708356"/>
      <w:r w:rsidRPr="008910EE">
        <w:t>Our challenges</w:t>
      </w:r>
      <w:bookmarkEnd w:id="116"/>
      <w:r w:rsidRPr="008910EE">
        <w:t xml:space="preserve"> </w:t>
      </w:r>
      <w:bookmarkEnd w:id="109"/>
    </w:p>
    <w:p w14:paraId="23BCEBC5" w14:textId="39EA05C5" w:rsidR="00476AA8" w:rsidRPr="008910EE" w:rsidRDefault="00476AA8" w:rsidP="00DA52CB">
      <w:pPr>
        <w:pStyle w:val="Body"/>
        <w:spacing w:before="120"/>
        <w:rPr>
          <w:rFonts w:cstheme="minorHAnsi"/>
        </w:rPr>
      </w:pPr>
      <w:r w:rsidRPr="008910EE">
        <w:rPr>
          <w:rFonts w:cstheme="minorHAnsi"/>
          <w:b/>
        </w:rPr>
        <w:t>Victoria’s people and communities are</w:t>
      </w:r>
      <w:r w:rsidRPr="008910EE" w:rsidDel="001B6C8F">
        <w:rPr>
          <w:rFonts w:cstheme="minorHAnsi"/>
          <w:b/>
        </w:rPr>
        <w:t xml:space="preserve"> </w:t>
      </w:r>
      <w:r w:rsidR="00B82D24" w:rsidRPr="008910EE">
        <w:rPr>
          <w:rFonts w:cstheme="minorHAnsi"/>
          <w:b/>
        </w:rPr>
        <w:t xml:space="preserve">our </w:t>
      </w:r>
      <w:r w:rsidRPr="008910EE">
        <w:rPr>
          <w:rFonts w:cstheme="minorHAnsi"/>
          <w:b/>
        </w:rPr>
        <w:t>greatest strength</w:t>
      </w:r>
      <w:r w:rsidR="000E184E" w:rsidRPr="008910EE">
        <w:rPr>
          <w:rFonts w:cstheme="minorHAnsi"/>
          <w:b/>
        </w:rPr>
        <w:t>.</w:t>
      </w:r>
      <w:r w:rsidRPr="008910EE">
        <w:rPr>
          <w:rFonts w:cstheme="minorHAnsi"/>
        </w:rPr>
        <w:t xml:space="preserve"> </w:t>
      </w:r>
      <w:r w:rsidR="000E184E" w:rsidRPr="008910EE">
        <w:rPr>
          <w:rFonts w:cstheme="minorHAnsi"/>
          <w:bCs/>
        </w:rPr>
        <w:t>O</w:t>
      </w:r>
      <w:r w:rsidRPr="008910EE">
        <w:rPr>
          <w:rFonts w:cstheme="minorHAnsi"/>
          <w:bCs/>
        </w:rPr>
        <w:t>ur diverse</w:t>
      </w:r>
      <w:r w:rsidRPr="008910EE" w:rsidDel="00584961">
        <w:rPr>
          <w:rFonts w:cstheme="minorHAnsi"/>
          <w:bCs/>
        </w:rPr>
        <w:t xml:space="preserve"> </w:t>
      </w:r>
      <w:r w:rsidRPr="008910EE">
        <w:rPr>
          <w:rFonts w:cstheme="minorHAnsi"/>
          <w:bCs/>
        </w:rPr>
        <w:t xml:space="preserve">communities </w:t>
      </w:r>
      <w:r w:rsidR="00F05DCE" w:rsidRPr="008910EE">
        <w:rPr>
          <w:rFonts w:cstheme="minorHAnsi"/>
          <w:bCs/>
        </w:rPr>
        <w:t xml:space="preserve">greatly </w:t>
      </w:r>
      <w:r w:rsidRPr="008910EE">
        <w:rPr>
          <w:rFonts w:cstheme="minorHAnsi"/>
          <w:bCs/>
        </w:rPr>
        <w:t xml:space="preserve">contribute to the state and make Victoria one of the best places </w:t>
      </w:r>
      <w:r w:rsidR="00F05DCE" w:rsidRPr="008910EE">
        <w:rPr>
          <w:rFonts w:cstheme="minorHAnsi"/>
          <w:bCs/>
        </w:rPr>
        <w:t xml:space="preserve">in the world </w:t>
      </w:r>
      <w:r w:rsidRPr="008910EE">
        <w:rPr>
          <w:rFonts w:cstheme="minorHAnsi"/>
          <w:bCs/>
        </w:rPr>
        <w:t>to live.</w:t>
      </w:r>
    </w:p>
    <w:p w14:paraId="7F2141CF" w14:textId="39F9292C" w:rsidR="00476AA8" w:rsidRPr="008910EE" w:rsidRDefault="00476AA8" w:rsidP="06983A5F">
      <w:pPr>
        <w:pStyle w:val="Body"/>
        <w:spacing w:before="120"/>
      </w:pPr>
      <w:r w:rsidRPr="008910EE">
        <w:rPr>
          <w:rFonts w:cstheme="minorBidi"/>
        </w:rPr>
        <w:t xml:space="preserve">Acknowledging the strength and value of our diversity does not mean we can overlook </w:t>
      </w:r>
      <w:r w:rsidR="000E184E" w:rsidRPr="008910EE">
        <w:rPr>
          <w:rFonts w:cstheme="minorBidi"/>
        </w:rPr>
        <w:t>barriers. M</w:t>
      </w:r>
      <w:r w:rsidRPr="008910EE">
        <w:rPr>
          <w:rFonts w:cstheme="minorBidi"/>
        </w:rPr>
        <w:t xml:space="preserve">any people in Victoria face longstanding barriers to safety, inclusion, wellbeing and participation </w:t>
      </w:r>
      <w:r w:rsidR="00F05DCE" w:rsidRPr="008910EE">
        <w:rPr>
          <w:rFonts w:cstheme="minorBidi"/>
        </w:rPr>
        <w:t>because of</w:t>
      </w:r>
      <w:r w:rsidR="00357D96" w:rsidRPr="008910EE">
        <w:rPr>
          <w:rFonts w:cstheme="minorBidi"/>
        </w:rPr>
        <w:t xml:space="preserve"> di</w:t>
      </w:r>
      <w:r w:rsidR="000F7455" w:rsidRPr="008910EE">
        <w:rPr>
          <w:rFonts w:cstheme="minorBidi"/>
        </w:rPr>
        <w:t>scrimination and</w:t>
      </w:r>
      <w:r w:rsidRPr="008910EE">
        <w:rPr>
          <w:rFonts w:cstheme="minorBidi"/>
        </w:rPr>
        <w:t xml:space="preserve"> inequality. </w:t>
      </w:r>
    </w:p>
    <w:p w14:paraId="4FAC7F85" w14:textId="4DD23027" w:rsidR="00476AA8" w:rsidRPr="008910EE" w:rsidRDefault="00476AA8" w:rsidP="00687AB2">
      <w:pPr>
        <w:pStyle w:val="Body"/>
        <w:spacing w:before="120"/>
        <w:rPr>
          <w:rFonts w:cstheme="minorBidi"/>
        </w:rPr>
      </w:pPr>
      <w:r w:rsidRPr="008910EE">
        <w:rPr>
          <w:rFonts w:cstheme="minorBidi"/>
        </w:rPr>
        <w:t xml:space="preserve">Our department </w:t>
      </w:r>
      <w:r w:rsidR="003B340F" w:rsidRPr="008910EE">
        <w:rPr>
          <w:rFonts w:cstheme="minorBidi"/>
        </w:rPr>
        <w:t xml:space="preserve">delivers </w:t>
      </w:r>
      <w:r w:rsidRPr="008910EE">
        <w:rPr>
          <w:rFonts w:cstheme="minorBidi"/>
        </w:rPr>
        <w:t>services to many people</w:t>
      </w:r>
      <w:r w:rsidR="00F05DCE" w:rsidRPr="008910EE">
        <w:rPr>
          <w:rFonts w:cstheme="minorBidi"/>
        </w:rPr>
        <w:t>.</w:t>
      </w:r>
      <w:r w:rsidRPr="008910EE">
        <w:rPr>
          <w:rFonts w:cstheme="minorBidi"/>
        </w:rPr>
        <w:t xml:space="preserve"> </w:t>
      </w:r>
      <w:r w:rsidR="00F05DCE" w:rsidRPr="008910EE">
        <w:rPr>
          <w:rFonts w:cstheme="minorBidi"/>
        </w:rPr>
        <w:t>We have</w:t>
      </w:r>
      <w:r w:rsidRPr="008910EE">
        <w:rPr>
          <w:rFonts w:cstheme="minorBidi"/>
        </w:rPr>
        <w:t xml:space="preserve"> a broad focus on supporting children, young people, people with disability, </w:t>
      </w:r>
      <w:r w:rsidR="000F59F8" w:rsidRPr="008910EE">
        <w:rPr>
          <w:rFonts w:cstheme="minorBidi"/>
        </w:rPr>
        <w:t xml:space="preserve">carers, older people, </w:t>
      </w:r>
      <w:r w:rsidRPr="008910EE">
        <w:rPr>
          <w:rFonts w:cstheme="minorBidi"/>
        </w:rPr>
        <w:t xml:space="preserve">families and communities experiencing challenges. </w:t>
      </w:r>
      <w:r w:rsidR="000E184E" w:rsidRPr="008910EE">
        <w:rPr>
          <w:rFonts w:cstheme="minorBidi"/>
        </w:rPr>
        <w:t>We must shape o</w:t>
      </w:r>
      <w:r w:rsidRPr="008910EE">
        <w:rPr>
          <w:rFonts w:cstheme="minorBidi"/>
        </w:rPr>
        <w:t xml:space="preserve">ur initiatives to meet the different types and frequency of </w:t>
      </w:r>
      <w:r w:rsidR="00F05DCE" w:rsidRPr="008910EE">
        <w:rPr>
          <w:rFonts w:cstheme="minorBidi"/>
        </w:rPr>
        <w:t>our interactions</w:t>
      </w:r>
      <w:r w:rsidRPr="008910EE">
        <w:rPr>
          <w:rFonts w:cstheme="minorBidi"/>
        </w:rPr>
        <w:t>.</w:t>
      </w:r>
    </w:p>
    <w:p w14:paraId="4F9FA763" w14:textId="6FC97A4E" w:rsidR="000E184E" w:rsidRPr="008910EE" w:rsidRDefault="00476AA8" w:rsidP="00687AB2">
      <w:pPr>
        <w:pStyle w:val="Body"/>
        <w:spacing w:before="120"/>
        <w:rPr>
          <w:rFonts w:cstheme="minorBidi"/>
        </w:rPr>
      </w:pPr>
      <w:r w:rsidRPr="008910EE">
        <w:rPr>
          <w:rFonts w:cstheme="minorBidi"/>
        </w:rPr>
        <w:t xml:space="preserve">Our aim is to create a </w:t>
      </w:r>
      <w:r w:rsidR="00E16477" w:rsidRPr="008910EE">
        <w:rPr>
          <w:rFonts w:cstheme="minorBidi"/>
        </w:rPr>
        <w:t xml:space="preserve">fairer </w:t>
      </w:r>
      <w:r w:rsidRPr="008910EE">
        <w:rPr>
          <w:rFonts w:cstheme="minorBidi"/>
        </w:rPr>
        <w:t>Victoria by</w:t>
      </w:r>
      <w:r w:rsidR="000E184E" w:rsidRPr="008910EE">
        <w:rPr>
          <w:rFonts w:cstheme="minorBidi"/>
        </w:rPr>
        <w:t>:</w:t>
      </w:r>
      <w:r w:rsidRPr="008910EE">
        <w:rPr>
          <w:rFonts w:cstheme="minorBidi"/>
        </w:rPr>
        <w:t xml:space="preserve"> </w:t>
      </w:r>
    </w:p>
    <w:p w14:paraId="643FB5A4" w14:textId="550F401E" w:rsidR="000E184E" w:rsidRPr="008910EE" w:rsidRDefault="00476AA8" w:rsidP="00BB41D4">
      <w:pPr>
        <w:pStyle w:val="Bullet1"/>
      </w:pPr>
      <w:r w:rsidRPr="008910EE">
        <w:t xml:space="preserve">removing barriers to </w:t>
      </w:r>
      <w:r w:rsidR="00263647" w:rsidRPr="008910EE">
        <w:t>getting involved</w:t>
      </w:r>
    </w:p>
    <w:p w14:paraId="51443CA0" w14:textId="451BAB18" w:rsidR="000E184E" w:rsidRPr="008910EE" w:rsidRDefault="00476AA8" w:rsidP="00BB41D4">
      <w:pPr>
        <w:pStyle w:val="Bullet1"/>
      </w:pPr>
      <w:r w:rsidRPr="008910EE">
        <w:t xml:space="preserve">helping people and communities recover from </w:t>
      </w:r>
      <w:r w:rsidR="003B340F" w:rsidRPr="008910EE">
        <w:t>hard times</w:t>
      </w:r>
    </w:p>
    <w:p w14:paraId="1B7F9107" w14:textId="517F9CA5" w:rsidR="00476AA8" w:rsidRPr="008910EE" w:rsidRDefault="00476AA8" w:rsidP="00BB41D4">
      <w:pPr>
        <w:pStyle w:val="Bullet1"/>
      </w:pPr>
      <w:r w:rsidRPr="008910EE">
        <w:t>support</w:t>
      </w:r>
      <w:r w:rsidR="000E184E" w:rsidRPr="008910EE">
        <w:t>ing</w:t>
      </w:r>
      <w:r w:rsidRPr="008910EE">
        <w:t xml:space="preserve"> people to safely contribute to society in a way they choose.</w:t>
      </w:r>
    </w:p>
    <w:p w14:paraId="1C91C574" w14:textId="64DCF70D" w:rsidR="00476AA8" w:rsidRPr="008910EE" w:rsidRDefault="00476AA8" w:rsidP="00125F43">
      <w:pPr>
        <w:pStyle w:val="Bodyafterbullets"/>
      </w:pPr>
      <w:r w:rsidRPr="008910EE">
        <w:t xml:space="preserve">Sometimes our support is short term as people overcome emergencies or temporary </w:t>
      </w:r>
      <w:r w:rsidR="00F05DCE" w:rsidRPr="008910EE">
        <w:t>hardships</w:t>
      </w:r>
      <w:r w:rsidRPr="008910EE">
        <w:t xml:space="preserve">. For some people, </w:t>
      </w:r>
      <w:r w:rsidR="00F05DCE" w:rsidRPr="008910EE">
        <w:t>we offer</w:t>
      </w:r>
      <w:r w:rsidRPr="008910EE">
        <w:t xml:space="preserve"> support for a much longer period. </w:t>
      </w:r>
    </w:p>
    <w:p w14:paraId="2349BE49" w14:textId="0084FF31" w:rsidR="00476AA8" w:rsidRPr="008910EE" w:rsidRDefault="00476AA8" w:rsidP="06983A5F">
      <w:pPr>
        <w:pStyle w:val="Body"/>
        <w:spacing w:before="120"/>
        <w:rPr>
          <w:szCs w:val="21"/>
        </w:rPr>
      </w:pPr>
      <w:r w:rsidRPr="008910EE">
        <w:rPr>
          <w:rFonts w:cstheme="minorBidi"/>
        </w:rPr>
        <w:t xml:space="preserve">As the world becomes more complex, so do the challenges people face. We can respond to these pressures by changing how we </w:t>
      </w:r>
      <w:r w:rsidR="00F05DCE" w:rsidRPr="008910EE">
        <w:rPr>
          <w:rFonts w:cstheme="minorBidi"/>
        </w:rPr>
        <w:t>approach</w:t>
      </w:r>
      <w:r w:rsidRPr="008910EE">
        <w:rPr>
          <w:rFonts w:cstheme="minorBidi"/>
        </w:rPr>
        <w:t xml:space="preserve"> crisis and recovery</w:t>
      </w:r>
      <w:r w:rsidR="000E184E" w:rsidRPr="008910EE">
        <w:rPr>
          <w:rFonts w:cstheme="minorBidi"/>
        </w:rPr>
        <w:t>. W</w:t>
      </w:r>
      <w:r w:rsidR="009418A9" w:rsidRPr="008910EE">
        <w:rPr>
          <w:rFonts w:cstheme="minorBidi"/>
        </w:rPr>
        <w:t>e</w:t>
      </w:r>
      <w:r w:rsidR="000E184E" w:rsidRPr="008910EE">
        <w:rPr>
          <w:rFonts w:cstheme="minorBidi"/>
        </w:rPr>
        <w:t xml:space="preserve"> can do this</w:t>
      </w:r>
      <w:r w:rsidRPr="008910EE">
        <w:rPr>
          <w:rFonts w:cstheme="minorBidi"/>
        </w:rPr>
        <w:t xml:space="preserve"> by helping people earlier to prevent </w:t>
      </w:r>
      <w:r w:rsidR="003B340F" w:rsidRPr="008910EE">
        <w:rPr>
          <w:rFonts w:cstheme="minorBidi"/>
        </w:rPr>
        <w:t xml:space="preserve">a build-up of </w:t>
      </w:r>
      <w:r w:rsidRPr="008910EE">
        <w:rPr>
          <w:rFonts w:cstheme="minorBidi"/>
        </w:rPr>
        <w:t>disadvantage</w:t>
      </w:r>
      <w:r w:rsidR="00F05DCE" w:rsidRPr="008910EE">
        <w:t>. We can</w:t>
      </w:r>
      <w:r w:rsidRPr="008910EE">
        <w:t xml:space="preserve"> listen and </w:t>
      </w:r>
      <w:r w:rsidR="00F05DCE" w:rsidRPr="008910EE">
        <w:t xml:space="preserve">then change the </w:t>
      </w:r>
      <w:r w:rsidRPr="008910EE">
        <w:t xml:space="preserve">ways </w:t>
      </w:r>
      <w:r w:rsidR="00F05DCE" w:rsidRPr="008910EE">
        <w:t>we</w:t>
      </w:r>
      <w:r w:rsidRPr="008910EE">
        <w:t xml:space="preserve"> work to better suit the needs of people and communities. We must continue to elevate the voice of Victorians </w:t>
      </w:r>
      <w:r w:rsidR="003B340F" w:rsidRPr="008910EE">
        <w:t xml:space="preserve">going through </w:t>
      </w:r>
      <w:r w:rsidRPr="008910EE">
        <w:t>multiple and intersecting forms of disadvantage.</w:t>
      </w:r>
    </w:p>
    <w:p w14:paraId="314B3F1A" w14:textId="5B6ABF68" w:rsidR="00476AA8" w:rsidRPr="008910EE" w:rsidRDefault="00476AA8" w:rsidP="003917A3">
      <w:pPr>
        <w:pStyle w:val="Body"/>
        <w:spacing w:before="120"/>
        <w:rPr>
          <w:rFonts w:cstheme="minorBidi"/>
        </w:rPr>
      </w:pPr>
      <w:r w:rsidRPr="008910EE">
        <w:rPr>
          <w:rFonts w:cstheme="minorBidi"/>
        </w:rPr>
        <w:t>We understand that the diversity and complexity of people’s lived experience means there can be multiple barriers to receiving inclusive and responsive services</w:t>
      </w:r>
      <w:r w:rsidR="000E184E" w:rsidRPr="008910EE">
        <w:rPr>
          <w:rFonts w:cstheme="minorBidi"/>
        </w:rPr>
        <w:t xml:space="preserve">. This can also affect how people take part </w:t>
      </w:r>
      <w:r w:rsidRPr="008910EE">
        <w:rPr>
          <w:rFonts w:cstheme="minorBidi"/>
        </w:rPr>
        <w:t xml:space="preserve">in the economy and community life. </w:t>
      </w:r>
      <w:r w:rsidR="00CB03EF" w:rsidRPr="008910EE">
        <w:rPr>
          <w:rFonts w:cstheme="minorBidi"/>
        </w:rPr>
        <w:t>We must</w:t>
      </w:r>
      <w:r w:rsidRPr="008910EE">
        <w:rPr>
          <w:rFonts w:cstheme="minorBidi"/>
        </w:rPr>
        <w:t xml:space="preserve"> take an intersectional approach and work closely with our communities to create and </w:t>
      </w:r>
      <w:r w:rsidR="007721D6" w:rsidRPr="008910EE">
        <w:rPr>
          <w:rFonts w:cstheme="minorBidi"/>
        </w:rPr>
        <w:t xml:space="preserve">roll out </w:t>
      </w:r>
      <w:r w:rsidRPr="008910EE">
        <w:rPr>
          <w:rFonts w:cstheme="minorBidi"/>
        </w:rPr>
        <w:t>the most effective supports we can. We</w:t>
      </w:r>
      <w:r w:rsidR="00CB03EF" w:rsidRPr="008910EE">
        <w:rPr>
          <w:rFonts w:cstheme="minorBidi"/>
        </w:rPr>
        <w:t xml:space="preserve"> must</w:t>
      </w:r>
      <w:r w:rsidRPr="008910EE">
        <w:rPr>
          <w:rFonts w:cstheme="minorBidi"/>
        </w:rPr>
        <w:t xml:space="preserve"> design our policies and programs in partnership with the communities we serve. Our work benefits the </w:t>
      </w:r>
      <w:r w:rsidR="003B340F" w:rsidRPr="008910EE">
        <w:rPr>
          <w:rFonts w:cstheme="minorBidi"/>
        </w:rPr>
        <w:t xml:space="preserve">whole </w:t>
      </w:r>
      <w:r w:rsidRPr="008910EE">
        <w:rPr>
          <w:rFonts w:cstheme="minorBidi"/>
        </w:rPr>
        <w:t>community, but we must continue to create and build our connections to these groups.</w:t>
      </w:r>
    </w:p>
    <w:p w14:paraId="1F50B9E0" w14:textId="1AD3C93C" w:rsidR="00476AA8" w:rsidRPr="008910EE" w:rsidRDefault="00476AA8" w:rsidP="00DA52CB">
      <w:pPr>
        <w:pStyle w:val="Body"/>
        <w:spacing w:before="120"/>
        <w:rPr>
          <w:rFonts w:cstheme="minorBidi"/>
        </w:rPr>
      </w:pPr>
      <w:r w:rsidRPr="008910EE">
        <w:rPr>
          <w:rFonts w:cstheme="minorBidi"/>
        </w:rPr>
        <w:t xml:space="preserve">There are also longstanding challenges we are working to address. Historical and intergenerational trauma </w:t>
      </w:r>
      <w:r w:rsidR="00CB03EF" w:rsidRPr="008910EE">
        <w:rPr>
          <w:rFonts w:cstheme="minorBidi"/>
        </w:rPr>
        <w:t xml:space="preserve">continues to echo across Aboriginal communities. This is from </w:t>
      </w:r>
      <w:r w:rsidRPr="008910EE">
        <w:rPr>
          <w:rFonts w:cstheme="minorBidi"/>
        </w:rPr>
        <w:t xml:space="preserve">the effects of colonisation including child removal, racism and cultural destruction. </w:t>
      </w:r>
    </w:p>
    <w:p w14:paraId="46EC3AD1" w14:textId="3B5DF204" w:rsidR="00476AA8" w:rsidRPr="008910EE" w:rsidRDefault="00476AA8" w:rsidP="00943969">
      <w:pPr>
        <w:pStyle w:val="Body"/>
        <w:spacing w:before="120"/>
      </w:pPr>
      <w:r w:rsidRPr="008910EE">
        <w:t>In 2020</w:t>
      </w:r>
      <w:r w:rsidR="009418A9" w:rsidRPr="008910EE">
        <w:t>,</w:t>
      </w:r>
      <w:r w:rsidRPr="008910EE">
        <w:t xml:space="preserve"> reports of racial </w:t>
      </w:r>
      <w:r w:rsidR="00CB03EF" w:rsidRPr="008910EE">
        <w:t>abuse</w:t>
      </w:r>
      <w:r w:rsidRPr="008910EE">
        <w:t xml:space="preserve"> doubled from those in reported in 2019.</w:t>
      </w:r>
      <w:r w:rsidR="00A358A9" w:rsidRPr="008910EE">
        <w:rPr>
          <w:rStyle w:val="EndnoteReference"/>
        </w:rPr>
        <w:endnoteReference w:id="25"/>
      </w:r>
      <w:r w:rsidRPr="008910EE">
        <w:t xml:space="preserve"> We must continue to </w:t>
      </w:r>
      <w:r w:rsidR="00B72C91" w:rsidRPr="008910EE">
        <w:t xml:space="preserve">take down </w:t>
      </w:r>
      <w:r w:rsidRPr="008910EE">
        <w:t>racism and build inclusive and respectful communities, and services and initiatives to support them. The department also has a role in driving a positive vision for a fairer and safer Victoria</w:t>
      </w:r>
      <w:r w:rsidR="000E184E" w:rsidRPr="008910EE">
        <w:t>. This</w:t>
      </w:r>
      <w:r w:rsidRPr="008910EE">
        <w:t xml:space="preserve"> includ</w:t>
      </w:r>
      <w:r w:rsidR="000E184E" w:rsidRPr="008910EE">
        <w:t>es</w:t>
      </w:r>
      <w:r w:rsidRPr="008910EE">
        <w:t xml:space="preserve"> through whole</w:t>
      </w:r>
      <w:r w:rsidR="000E184E" w:rsidRPr="008910EE">
        <w:t>-</w:t>
      </w:r>
      <w:r w:rsidRPr="008910EE">
        <w:t>of</w:t>
      </w:r>
      <w:r w:rsidR="000E184E" w:rsidRPr="008910EE">
        <w:t>-</w:t>
      </w:r>
      <w:r w:rsidRPr="008910EE">
        <w:t xml:space="preserve">government leadership </w:t>
      </w:r>
      <w:r w:rsidR="00B72C91" w:rsidRPr="008910EE">
        <w:t xml:space="preserve">in </w:t>
      </w:r>
      <w:r w:rsidRPr="008910EE">
        <w:t>policy and programs that respon</w:t>
      </w:r>
      <w:r w:rsidR="00B72C91" w:rsidRPr="008910EE">
        <w:t>d</w:t>
      </w:r>
      <w:r w:rsidRPr="008910EE">
        <w:t xml:space="preserve"> to diversity and </w:t>
      </w:r>
      <w:r w:rsidR="00B72C91" w:rsidRPr="008910EE">
        <w:t xml:space="preserve">are </w:t>
      </w:r>
      <w:r w:rsidRPr="008910EE">
        <w:t>designed in partnership with communities.</w:t>
      </w:r>
    </w:p>
    <w:p w14:paraId="2614E8AE" w14:textId="07CABC39" w:rsidR="00476AA8" w:rsidRPr="008910EE" w:rsidRDefault="00476AA8" w:rsidP="00C733C9">
      <w:pPr>
        <w:pStyle w:val="Heading2"/>
      </w:pPr>
      <w:bookmarkStart w:id="117" w:name="_Toc80708357"/>
      <w:r w:rsidRPr="008910EE">
        <w:t>Population change</w:t>
      </w:r>
      <w:bookmarkEnd w:id="117"/>
    </w:p>
    <w:p w14:paraId="2B2D9C16" w14:textId="75929C51" w:rsidR="00476AA8" w:rsidRPr="008910EE" w:rsidRDefault="00476AA8" w:rsidP="00BA475E">
      <w:pPr>
        <w:pStyle w:val="Body"/>
        <w:rPr>
          <w:rFonts w:cstheme="minorBidi"/>
        </w:rPr>
      </w:pPr>
      <w:r w:rsidRPr="008910EE">
        <w:t xml:space="preserve">Victoria’s demographics change with population growth and decline. The uneven </w:t>
      </w:r>
      <w:r w:rsidR="003B340F" w:rsidRPr="008910EE">
        <w:t xml:space="preserve">rate </w:t>
      </w:r>
      <w:r w:rsidRPr="008910EE">
        <w:t xml:space="preserve">of growth and decline can </w:t>
      </w:r>
      <w:r w:rsidR="00B72C91" w:rsidRPr="008910EE">
        <w:t xml:space="preserve">be </w:t>
      </w:r>
      <w:r w:rsidRPr="008910EE">
        <w:t xml:space="preserve">challenging when providing services. </w:t>
      </w:r>
      <w:r w:rsidRPr="008910EE">
        <w:rPr>
          <w:rFonts w:cstheme="minorBidi"/>
        </w:rPr>
        <w:t xml:space="preserve">Victoria’s population </w:t>
      </w:r>
      <w:r w:rsidR="000E184E" w:rsidRPr="008910EE">
        <w:rPr>
          <w:rFonts w:cstheme="minorBidi"/>
        </w:rPr>
        <w:t>will</w:t>
      </w:r>
      <w:r w:rsidRPr="008910EE">
        <w:rPr>
          <w:rFonts w:cstheme="minorBidi"/>
        </w:rPr>
        <w:t xml:space="preserve"> continue to grow</w:t>
      </w:r>
      <w:r w:rsidR="00FD1715" w:rsidRPr="008910EE">
        <w:rPr>
          <w:rFonts w:cstheme="minorBidi"/>
        </w:rPr>
        <w:t xml:space="preserve"> overtime</w:t>
      </w:r>
      <w:r w:rsidR="00B864A6" w:rsidRPr="008910EE">
        <w:rPr>
          <w:rStyle w:val="EndnoteReference"/>
          <w:rFonts w:cstheme="minorBidi"/>
        </w:rPr>
        <w:endnoteReference w:id="26"/>
      </w:r>
      <w:r w:rsidRPr="008910EE">
        <w:rPr>
          <w:rFonts w:cstheme="minorBidi"/>
        </w:rPr>
        <w:t>, and demand for services will continue to grow with it.</w:t>
      </w:r>
    </w:p>
    <w:p w14:paraId="009D45AB" w14:textId="3684EF60" w:rsidR="00476AA8" w:rsidRPr="008910EE" w:rsidRDefault="003B340F" w:rsidP="00BA475E">
      <w:pPr>
        <w:pStyle w:val="Body"/>
      </w:pPr>
      <w:r w:rsidRPr="008910EE">
        <w:t>D</w:t>
      </w:r>
      <w:r w:rsidR="00476AA8" w:rsidRPr="008910EE">
        <w:t xml:space="preserve">espite the </w:t>
      </w:r>
      <w:r w:rsidR="0016049E" w:rsidRPr="008910EE">
        <w:t>coronavirus (</w:t>
      </w:r>
      <w:r w:rsidR="00476AA8" w:rsidRPr="008910EE">
        <w:t>COVID-19</w:t>
      </w:r>
      <w:r w:rsidR="0016049E" w:rsidRPr="008910EE">
        <w:t>)</w:t>
      </w:r>
      <w:r w:rsidR="00476AA8" w:rsidRPr="008910EE">
        <w:t xml:space="preserve"> pandemic</w:t>
      </w:r>
      <w:r w:rsidRPr="008910EE">
        <w:t xml:space="preserve">, international migration will </w:t>
      </w:r>
      <w:r w:rsidR="005A178B" w:rsidRPr="008910EE">
        <w:t xml:space="preserve">still </w:t>
      </w:r>
      <w:r w:rsidRPr="008910EE">
        <w:t>drive Victoria’s population growth</w:t>
      </w:r>
      <w:r w:rsidR="00B72C91" w:rsidRPr="008910EE">
        <w:t>.</w:t>
      </w:r>
      <w:r w:rsidR="00D767DC" w:rsidRPr="008910EE">
        <w:rPr>
          <w:rStyle w:val="EndnoteReference"/>
        </w:rPr>
        <w:endnoteReference w:id="27"/>
      </w:r>
      <w:r w:rsidR="00476AA8" w:rsidRPr="008910EE">
        <w:t xml:space="preserve"> </w:t>
      </w:r>
      <w:r w:rsidR="00B72C91" w:rsidRPr="008910EE">
        <w:t>This</w:t>
      </w:r>
      <w:r w:rsidR="00476AA8" w:rsidRPr="008910EE">
        <w:t xml:space="preserve"> will </w:t>
      </w:r>
      <w:r w:rsidR="00B72C91" w:rsidRPr="008910EE">
        <w:t xml:space="preserve">keep changing </w:t>
      </w:r>
      <w:r w:rsidR="00DA4E31" w:rsidRPr="008910EE">
        <w:t xml:space="preserve">and enhancing </w:t>
      </w:r>
      <w:r w:rsidR="00B72C91" w:rsidRPr="008910EE">
        <w:t xml:space="preserve">the </w:t>
      </w:r>
      <w:r w:rsidR="00476AA8" w:rsidRPr="008910EE">
        <w:t xml:space="preserve">cultural and social diversity in </w:t>
      </w:r>
      <w:r w:rsidR="00B72C91" w:rsidRPr="008910EE">
        <w:t>our</w:t>
      </w:r>
      <w:r w:rsidR="00476AA8" w:rsidRPr="008910EE">
        <w:t xml:space="preserve"> state. Some new Victorians, such as refugees and asylum seekers, may have complex needs</w:t>
      </w:r>
      <w:r w:rsidR="00B72C91" w:rsidRPr="008910EE">
        <w:t xml:space="preserve">. </w:t>
      </w:r>
      <w:r w:rsidRPr="008910EE">
        <w:t>They may need extra support</w:t>
      </w:r>
      <w:r w:rsidR="00F81D85" w:rsidRPr="008910EE">
        <w:t xml:space="preserve"> to recover from </w:t>
      </w:r>
      <w:r w:rsidR="00476AA8" w:rsidRPr="008910EE">
        <w:t xml:space="preserve">trauma </w:t>
      </w:r>
      <w:r w:rsidR="00F81D85" w:rsidRPr="008910EE">
        <w:t xml:space="preserve">caused by </w:t>
      </w:r>
      <w:r w:rsidR="00B72C91" w:rsidRPr="008910EE">
        <w:t>mistreatment</w:t>
      </w:r>
      <w:r w:rsidR="00476AA8" w:rsidRPr="008910EE">
        <w:t xml:space="preserve"> or living in war zones</w:t>
      </w:r>
      <w:r w:rsidR="00B72C91" w:rsidRPr="008910EE">
        <w:t>.</w:t>
      </w:r>
    </w:p>
    <w:p w14:paraId="69306BB1" w14:textId="31BBBCC8" w:rsidR="00476AA8" w:rsidRPr="008910EE" w:rsidRDefault="00476AA8" w:rsidP="00DB1A20">
      <w:pPr>
        <w:pStyle w:val="Body"/>
      </w:pPr>
      <w:r w:rsidRPr="008910EE">
        <w:t xml:space="preserve">Housing type and size needs to change to reflect demographic change. </w:t>
      </w:r>
      <w:r w:rsidRPr="008910EE">
        <w:rPr>
          <w:rFonts w:cs="Arial"/>
        </w:rPr>
        <w:t xml:space="preserve">The large families of the 1960s and </w:t>
      </w:r>
      <w:r w:rsidR="00F81D85" w:rsidRPr="008910EE">
        <w:rPr>
          <w:rFonts w:cs="Arial"/>
        </w:rPr>
        <w:t>19</w:t>
      </w:r>
      <w:r w:rsidRPr="008910EE">
        <w:rPr>
          <w:rFonts w:cs="Arial"/>
        </w:rPr>
        <w:t xml:space="preserve">70s are less common. Individuals now make up a significant proportion of people requesting </w:t>
      </w:r>
      <w:r w:rsidR="009E6402" w:rsidRPr="008910EE">
        <w:rPr>
          <w:rFonts w:cs="Arial"/>
        </w:rPr>
        <w:t>social</w:t>
      </w:r>
      <w:r w:rsidRPr="008910EE">
        <w:rPr>
          <w:rFonts w:cs="Arial"/>
        </w:rPr>
        <w:t xml:space="preserve"> housing</w:t>
      </w:r>
      <w:r w:rsidR="00B72C91" w:rsidRPr="008910EE">
        <w:rPr>
          <w:rFonts w:cs="Arial"/>
        </w:rPr>
        <w:t>.</w:t>
      </w:r>
      <w:r w:rsidRPr="008910EE">
        <w:rPr>
          <w:rFonts w:cs="Arial"/>
        </w:rPr>
        <w:t xml:space="preserve"> </w:t>
      </w:r>
      <w:r w:rsidR="00B72C91" w:rsidRPr="008910EE">
        <w:rPr>
          <w:rFonts w:cs="Arial"/>
        </w:rPr>
        <w:t>T</w:t>
      </w:r>
      <w:r w:rsidRPr="008910EE">
        <w:rPr>
          <w:rFonts w:cs="Arial"/>
        </w:rPr>
        <w:t xml:space="preserve">hese </w:t>
      </w:r>
      <w:r w:rsidR="00B72C91" w:rsidRPr="008910EE">
        <w:rPr>
          <w:rFonts w:cs="Arial"/>
        </w:rPr>
        <w:t xml:space="preserve">people </w:t>
      </w:r>
      <w:r w:rsidRPr="008910EE">
        <w:rPr>
          <w:rFonts w:cs="Arial"/>
        </w:rPr>
        <w:t xml:space="preserve">are more likely to have </w:t>
      </w:r>
      <w:r w:rsidR="00A558E0" w:rsidRPr="008910EE">
        <w:rPr>
          <w:rFonts w:cs="Arial"/>
        </w:rPr>
        <w:t>severe and multiple disadvantage and experiences of discrimination</w:t>
      </w:r>
      <w:r w:rsidRPr="008910EE">
        <w:rPr>
          <w:rFonts w:cs="Arial"/>
        </w:rPr>
        <w:t>.</w:t>
      </w:r>
    </w:p>
    <w:p w14:paraId="232E3928" w14:textId="3FEBB272" w:rsidR="00476AA8" w:rsidRPr="008910EE" w:rsidRDefault="00476AA8" w:rsidP="00BA475E">
      <w:pPr>
        <w:pStyle w:val="Body"/>
      </w:pPr>
      <w:r w:rsidRPr="008910EE">
        <w:t xml:space="preserve">Our population is ageing, and the population groups </w:t>
      </w:r>
      <w:r w:rsidR="00CA4F5E" w:rsidRPr="008910EE">
        <w:t xml:space="preserve">experiencing </w:t>
      </w:r>
      <w:r w:rsidRPr="008910EE">
        <w:t>homelessness are changing along with it. Women over the age of 55 make up the largest growing group within the homeless population.</w:t>
      </w:r>
      <w:r w:rsidR="0023331A" w:rsidRPr="008910EE">
        <w:rPr>
          <w:rStyle w:val="EndnoteReference"/>
        </w:rPr>
        <w:endnoteReference w:id="28"/>
      </w:r>
    </w:p>
    <w:p w14:paraId="7D9E1B4E" w14:textId="7E3E478D" w:rsidR="00476AA8" w:rsidRPr="008910EE" w:rsidRDefault="00476AA8" w:rsidP="006672D0">
      <w:pPr>
        <w:pStyle w:val="Body"/>
        <w:spacing w:before="120"/>
      </w:pPr>
      <w:r w:rsidRPr="008910EE">
        <w:t xml:space="preserve">The NDIS has </w:t>
      </w:r>
      <w:r w:rsidR="00B72C91" w:rsidRPr="008910EE">
        <w:t xml:space="preserve">changed </w:t>
      </w:r>
      <w:r w:rsidRPr="008910EE">
        <w:t xml:space="preserve">the way </w:t>
      </w:r>
      <w:r w:rsidR="000E184E" w:rsidRPr="008910EE">
        <w:t xml:space="preserve">we provide </w:t>
      </w:r>
      <w:r w:rsidRPr="008910EE">
        <w:t>specialist disability supports</w:t>
      </w:r>
      <w:r w:rsidR="000E184E" w:rsidRPr="008910EE">
        <w:t>.</w:t>
      </w:r>
      <w:r w:rsidRPr="008910EE">
        <w:t xml:space="preserve"> </w:t>
      </w:r>
      <w:r w:rsidR="005B6E62" w:rsidRPr="008910EE">
        <w:t>Around</w:t>
      </w:r>
      <w:r w:rsidRPr="008910EE">
        <w:t xml:space="preserve"> 10</w:t>
      </w:r>
      <w:r w:rsidR="00C21949" w:rsidRPr="008910EE">
        <w:t>5,000</w:t>
      </w:r>
      <w:r w:rsidRPr="008910EE">
        <w:t xml:space="preserve"> Victorians with disability will be eligible for a</w:t>
      </w:r>
      <w:r w:rsidR="009F64B0" w:rsidRPr="008910EE">
        <w:t>n</w:t>
      </w:r>
      <w:r w:rsidRPr="008910EE">
        <w:t xml:space="preserve"> NDIS plan</w:t>
      </w:r>
      <w:r w:rsidR="006632DC" w:rsidRPr="008910EE">
        <w:t>.</w:t>
      </w:r>
      <w:r w:rsidR="00BB3EE6" w:rsidRPr="008910EE">
        <w:rPr>
          <w:rStyle w:val="EndnoteReference"/>
        </w:rPr>
        <w:endnoteReference w:id="29"/>
      </w:r>
      <w:r w:rsidR="008F06DD" w:rsidRPr="008910EE">
        <w:t xml:space="preserve"> </w:t>
      </w:r>
      <w:r w:rsidRPr="008910EE">
        <w:t>All people with disability, regardless of whether they have a plan, rely on mainstream services being accessible and inclusive.</w:t>
      </w:r>
    </w:p>
    <w:p w14:paraId="0A17A09B" w14:textId="6CAF3A83" w:rsidR="00476AA8" w:rsidRPr="008910EE" w:rsidRDefault="00476AA8" w:rsidP="00BA475E">
      <w:pPr>
        <w:pStyle w:val="Body"/>
      </w:pPr>
      <w:r w:rsidRPr="008910EE">
        <w:t xml:space="preserve">Our ongoing </w:t>
      </w:r>
      <w:r w:rsidR="00427F7F" w:rsidRPr="008910EE">
        <w:t xml:space="preserve">use of </w:t>
      </w:r>
      <w:r w:rsidR="00F13D8F" w:rsidRPr="008910EE">
        <w:t xml:space="preserve">data </w:t>
      </w:r>
      <w:r w:rsidRPr="008910EE">
        <w:t xml:space="preserve">analytics will </w:t>
      </w:r>
      <w:r w:rsidR="009F64B0" w:rsidRPr="008910EE">
        <w:t xml:space="preserve">help </w:t>
      </w:r>
      <w:r w:rsidRPr="008910EE">
        <w:t>us track these changes</w:t>
      </w:r>
      <w:r w:rsidR="009D588A" w:rsidRPr="008910EE">
        <w:t>. It will also help</w:t>
      </w:r>
      <w:r w:rsidRPr="008910EE">
        <w:t xml:space="preserve"> </w:t>
      </w:r>
      <w:r w:rsidR="009F64B0" w:rsidRPr="008910EE">
        <w:t xml:space="preserve">predict </w:t>
      </w:r>
      <w:r w:rsidRPr="008910EE">
        <w:t>service demand and population needs outside the historic</w:t>
      </w:r>
      <w:r w:rsidR="00D96D10" w:rsidRPr="008910EE">
        <w:t>al</w:t>
      </w:r>
      <w:r w:rsidRPr="008910EE">
        <w:t xml:space="preserve"> </w:t>
      </w:r>
      <w:r w:rsidR="00F81D85" w:rsidRPr="008910EE">
        <w:t>nine</w:t>
      </w:r>
      <w:r w:rsidRPr="008910EE">
        <w:t>-to-</w:t>
      </w:r>
      <w:r w:rsidR="00F81D85" w:rsidRPr="008910EE">
        <w:t>five</w:t>
      </w:r>
      <w:r w:rsidRPr="008910EE">
        <w:t xml:space="preserve"> business model.</w:t>
      </w:r>
    </w:p>
    <w:p w14:paraId="267E63E1" w14:textId="408F106D" w:rsidR="00476AA8" w:rsidRPr="008910EE" w:rsidRDefault="00476AA8" w:rsidP="005D36E6">
      <w:pPr>
        <w:pStyle w:val="Heading2"/>
      </w:pPr>
      <w:bookmarkStart w:id="118" w:name="_Toc80708358"/>
      <w:r w:rsidRPr="008910EE">
        <w:t>Geographical change</w:t>
      </w:r>
      <w:bookmarkEnd w:id="118"/>
    </w:p>
    <w:p w14:paraId="5C9711C9" w14:textId="53565477" w:rsidR="00476AA8" w:rsidRPr="008910EE" w:rsidRDefault="00476AA8" w:rsidP="00BA475E">
      <w:pPr>
        <w:pStyle w:val="Body"/>
      </w:pPr>
      <w:r w:rsidRPr="008910EE">
        <w:t xml:space="preserve">Many people who use our services live in rural and regional areas and the outer suburban growth corridors of Victoria. These locations face unique challenges – economic growth in some areas, decline in others. In these areas, </w:t>
      </w:r>
      <w:r w:rsidR="009F64B0" w:rsidRPr="008910EE">
        <w:t xml:space="preserve">it can be difficult to shift </w:t>
      </w:r>
      <w:r w:rsidRPr="008910EE">
        <w:t>services and other infrastructure quickly</w:t>
      </w:r>
      <w:r w:rsidR="009F64B0" w:rsidRPr="008910EE">
        <w:t>. It can be a challenge</w:t>
      </w:r>
      <w:r w:rsidRPr="008910EE">
        <w:t xml:space="preserve"> </w:t>
      </w:r>
      <w:r w:rsidR="009F64B0" w:rsidRPr="008910EE">
        <w:t xml:space="preserve">to respond </w:t>
      </w:r>
      <w:r w:rsidRPr="008910EE">
        <w:t xml:space="preserve">to the </w:t>
      </w:r>
      <w:r w:rsidR="009F64B0" w:rsidRPr="008910EE">
        <w:t>fast-</w:t>
      </w:r>
      <w:r w:rsidRPr="008910EE">
        <w:t>changing community needs.</w:t>
      </w:r>
    </w:p>
    <w:p w14:paraId="59CA729F" w14:textId="675C8EE1" w:rsidR="00476AA8" w:rsidRPr="008910EE" w:rsidRDefault="00476AA8" w:rsidP="00BA475E">
      <w:pPr>
        <w:pStyle w:val="Body"/>
      </w:pPr>
      <w:r w:rsidRPr="008910EE">
        <w:t xml:space="preserve">We will build on the </w:t>
      </w:r>
      <w:r w:rsidR="009F64B0" w:rsidRPr="008910EE">
        <w:t xml:space="preserve">lessons </w:t>
      </w:r>
      <w:r w:rsidRPr="008910EE">
        <w:t xml:space="preserve">from </w:t>
      </w:r>
      <w:r w:rsidR="009F64B0" w:rsidRPr="008910EE">
        <w:t xml:space="preserve">our </w:t>
      </w:r>
      <w:r w:rsidRPr="008910EE">
        <w:t xml:space="preserve">response to the coronavirus (COVID-19) pandemic and continue to trial new ways of working. </w:t>
      </w:r>
      <w:r w:rsidR="009F64B0" w:rsidRPr="008910EE">
        <w:t>Emerging</w:t>
      </w:r>
      <w:r w:rsidRPr="008910EE">
        <w:t xml:space="preserve"> digital technologies will allow us to reach out and deliver services and </w:t>
      </w:r>
      <w:r w:rsidR="009F64B0" w:rsidRPr="008910EE">
        <w:t xml:space="preserve">programs </w:t>
      </w:r>
      <w:r w:rsidRPr="008910EE">
        <w:t>in new ways</w:t>
      </w:r>
      <w:r w:rsidR="00F957C2" w:rsidRPr="008910EE">
        <w:t>, while ensuring we do not leave those on the other side of the digital divide behind</w:t>
      </w:r>
      <w:r w:rsidRPr="008910EE">
        <w:t>.</w:t>
      </w:r>
    </w:p>
    <w:p w14:paraId="00E9BAF5" w14:textId="5973D795" w:rsidR="00476AA8" w:rsidRPr="008910EE" w:rsidRDefault="00476AA8" w:rsidP="00026367">
      <w:pPr>
        <w:pStyle w:val="Heading2"/>
      </w:pPr>
      <w:bookmarkStart w:id="119" w:name="_Toc80708359"/>
      <w:r w:rsidRPr="008910EE">
        <w:t>Preparing, responding and recovering</w:t>
      </w:r>
      <w:bookmarkEnd w:id="119"/>
      <w:r w:rsidRPr="008910EE">
        <w:t xml:space="preserve"> </w:t>
      </w:r>
    </w:p>
    <w:p w14:paraId="64661912" w14:textId="435CF451" w:rsidR="000F7DD2" w:rsidRPr="008910EE" w:rsidRDefault="00D96D10" w:rsidP="00BA475E">
      <w:pPr>
        <w:pStyle w:val="Body"/>
      </w:pPr>
      <w:r w:rsidRPr="008910EE">
        <w:t>Some</w:t>
      </w:r>
      <w:r w:rsidR="00476AA8" w:rsidRPr="008910EE">
        <w:t xml:space="preserve"> individuals, families and communities in Victoria face greater challenges now than ever</w:t>
      </w:r>
      <w:r w:rsidR="008A4FD2" w:rsidRPr="008910EE">
        <w:t xml:space="preserve"> before</w:t>
      </w:r>
      <w:r w:rsidR="00476AA8" w:rsidRPr="008910EE">
        <w:t xml:space="preserve">. </w:t>
      </w:r>
      <w:r w:rsidR="009F64B0" w:rsidRPr="008910EE">
        <w:t>P</w:t>
      </w:r>
      <w:r w:rsidR="00476AA8" w:rsidRPr="008910EE">
        <w:t>overty, disadvantage and trauma have left some</w:t>
      </w:r>
      <w:r w:rsidRPr="008910EE">
        <w:t xml:space="preserve"> </w:t>
      </w:r>
      <w:r w:rsidR="00476AA8" w:rsidRPr="008910EE">
        <w:t xml:space="preserve">exposed to greater </w:t>
      </w:r>
      <w:r w:rsidRPr="008910EE">
        <w:t xml:space="preserve">hardship </w:t>
      </w:r>
      <w:r w:rsidR="00476AA8" w:rsidRPr="008910EE">
        <w:t xml:space="preserve">when large-scale social and economic </w:t>
      </w:r>
      <w:r w:rsidR="002E57DD" w:rsidRPr="008910EE">
        <w:t>emergencies</w:t>
      </w:r>
      <w:r w:rsidR="00476AA8" w:rsidRPr="008910EE">
        <w:t xml:space="preserve"> occur. </w:t>
      </w:r>
      <w:r w:rsidR="00847B92" w:rsidRPr="008910EE">
        <w:t xml:space="preserve">Ongoing </w:t>
      </w:r>
      <w:r w:rsidR="00976230" w:rsidRPr="008910EE">
        <w:t>p</w:t>
      </w:r>
      <w:r w:rsidR="000F7DD2" w:rsidRPr="008910EE">
        <w:t xml:space="preserve">ressures on our communities and services include: </w:t>
      </w:r>
    </w:p>
    <w:p w14:paraId="413CD1A5" w14:textId="11D47902" w:rsidR="000F7DD2" w:rsidRPr="008910EE" w:rsidRDefault="000F7DD2" w:rsidP="0051518B">
      <w:pPr>
        <w:pStyle w:val="Bullet1"/>
      </w:pPr>
      <w:r w:rsidRPr="008910EE">
        <w:t>t</w:t>
      </w:r>
      <w:r w:rsidR="00476AA8" w:rsidRPr="008910EE">
        <w:t>he coronavirus (COVID-19) pandemic</w:t>
      </w:r>
    </w:p>
    <w:p w14:paraId="0BCC9B39" w14:textId="03C441DA" w:rsidR="000F7DD2" w:rsidRPr="008910EE" w:rsidRDefault="009F64B0" w:rsidP="0051518B">
      <w:pPr>
        <w:pStyle w:val="Bullet1"/>
      </w:pPr>
      <w:r w:rsidRPr="008910EE">
        <w:t>the effe</w:t>
      </w:r>
      <w:r w:rsidR="00476AA8" w:rsidRPr="008910EE">
        <w:t>cts of climate change</w:t>
      </w:r>
    </w:p>
    <w:p w14:paraId="62CC408B" w14:textId="41BC6139" w:rsidR="00476AA8" w:rsidRPr="008910EE" w:rsidRDefault="00476AA8" w:rsidP="0051518B">
      <w:pPr>
        <w:pStyle w:val="Bullet1"/>
      </w:pPr>
      <w:r w:rsidRPr="008910EE">
        <w:t>the increasing intensity and frequency of bushfires</w:t>
      </w:r>
      <w:r w:rsidR="003411E6" w:rsidRPr="008910EE">
        <w:t>, storms</w:t>
      </w:r>
      <w:r w:rsidRPr="008910EE">
        <w:t xml:space="preserve"> and other </w:t>
      </w:r>
      <w:r w:rsidR="00E23FE6" w:rsidRPr="008910EE">
        <w:t xml:space="preserve">large-scale </w:t>
      </w:r>
      <w:r w:rsidRPr="008910EE">
        <w:t>events</w:t>
      </w:r>
      <w:r w:rsidR="000F7DD2" w:rsidRPr="008910EE">
        <w:t>.</w:t>
      </w:r>
      <w:r w:rsidRPr="008910EE">
        <w:t xml:space="preserve"> </w:t>
      </w:r>
    </w:p>
    <w:p w14:paraId="59620FCB" w14:textId="07BAC26F" w:rsidR="009D588A" w:rsidRPr="008910EE" w:rsidRDefault="00476AA8" w:rsidP="0051518B">
      <w:pPr>
        <w:pStyle w:val="Bodyafterbullets"/>
      </w:pPr>
      <w:r w:rsidRPr="008910EE">
        <w:t>This pressure is particularly true for people in insecure work</w:t>
      </w:r>
      <w:r w:rsidR="009D588A" w:rsidRPr="008910EE">
        <w:t>,</w:t>
      </w:r>
      <w:r w:rsidRPr="008910EE">
        <w:t xml:space="preserve"> especially</w:t>
      </w:r>
      <w:r w:rsidR="009D588A" w:rsidRPr="008910EE">
        <w:t>:</w:t>
      </w:r>
      <w:r w:rsidRPr="008910EE">
        <w:t xml:space="preserve"> </w:t>
      </w:r>
    </w:p>
    <w:p w14:paraId="04F038C8" w14:textId="22C1C9E2" w:rsidR="009D588A" w:rsidRPr="008910EE" w:rsidRDefault="00476AA8" w:rsidP="0051518B">
      <w:pPr>
        <w:pStyle w:val="Bullet1"/>
      </w:pPr>
      <w:r w:rsidRPr="008910EE">
        <w:t>women and young people</w:t>
      </w:r>
    </w:p>
    <w:p w14:paraId="59B12500" w14:textId="39A36078" w:rsidR="009D588A" w:rsidRPr="008910EE" w:rsidRDefault="009D588A" w:rsidP="0051518B">
      <w:pPr>
        <w:pStyle w:val="Bullet1"/>
      </w:pPr>
      <w:r w:rsidRPr="008910EE">
        <w:t xml:space="preserve">those </w:t>
      </w:r>
      <w:r w:rsidR="00476AA8" w:rsidRPr="008910EE">
        <w:t>isolated from family and friends</w:t>
      </w:r>
    </w:p>
    <w:p w14:paraId="67E5051D" w14:textId="4BB8B2BC" w:rsidR="009D588A" w:rsidRPr="008910EE" w:rsidRDefault="00476AA8" w:rsidP="0051518B">
      <w:pPr>
        <w:pStyle w:val="Bullet1"/>
      </w:pPr>
      <w:r w:rsidRPr="008910EE">
        <w:t>people with disability</w:t>
      </w:r>
    </w:p>
    <w:p w14:paraId="11780D67" w14:textId="07ADB9A8" w:rsidR="009D588A" w:rsidRPr="008910EE" w:rsidRDefault="00476AA8" w:rsidP="0051518B">
      <w:pPr>
        <w:pStyle w:val="Bullet1"/>
      </w:pPr>
      <w:r w:rsidRPr="008910EE">
        <w:t>people with unpaid caring responsibilities</w:t>
      </w:r>
    </w:p>
    <w:p w14:paraId="6869F586" w14:textId="54291EF2" w:rsidR="009D588A" w:rsidRPr="008910EE" w:rsidRDefault="00476AA8" w:rsidP="0051518B">
      <w:pPr>
        <w:pStyle w:val="Bullet1"/>
      </w:pPr>
      <w:r w:rsidRPr="008910EE">
        <w:t>families at increased risk of violence</w:t>
      </w:r>
    </w:p>
    <w:p w14:paraId="48951656" w14:textId="20104BD7" w:rsidR="002C16EE" w:rsidRPr="008910EE" w:rsidRDefault="002C16EE" w:rsidP="0051518B">
      <w:pPr>
        <w:pStyle w:val="Bullet1"/>
      </w:pPr>
      <w:r w:rsidRPr="008910EE">
        <w:t>older people</w:t>
      </w:r>
    </w:p>
    <w:p w14:paraId="09781E53" w14:textId="66493777" w:rsidR="009D588A" w:rsidRPr="008910EE" w:rsidRDefault="00476AA8" w:rsidP="0051518B">
      <w:pPr>
        <w:pStyle w:val="Bullet1"/>
      </w:pPr>
      <w:r w:rsidRPr="008910EE">
        <w:t>newly arrived migrants</w:t>
      </w:r>
    </w:p>
    <w:p w14:paraId="5F623728" w14:textId="3EA98C4C" w:rsidR="00476AA8" w:rsidRPr="008910EE" w:rsidRDefault="00476AA8" w:rsidP="0051518B">
      <w:pPr>
        <w:pStyle w:val="Bullet1"/>
      </w:pPr>
      <w:r w:rsidRPr="008910EE">
        <w:t>temporary and provisional visa holders.</w:t>
      </w:r>
    </w:p>
    <w:p w14:paraId="334BF9BD" w14:textId="75B492E5" w:rsidR="00476AA8" w:rsidRPr="008910EE" w:rsidRDefault="00476AA8" w:rsidP="00125F43">
      <w:pPr>
        <w:pStyle w:val="Bodyafterbullets"/>
        <w:rPr>
          <w:rFonts w:eastAsia="Arial"/>
        </w:rPr>
      </w:pPr>
      <w:r w:rsidRPr="008910EE">
        <w:t xml:space="preserve">We know Victorians </w:t>
      </w:r>
      <w:r w:rsidR="00E23FE6" w:rsidRPr="008910EE">
        <w:t xml:space="preserve">enjoy </w:t>
      </w:r>
      <w:r w:rsidRPr="008910EE">
        <w:t xml:space="preserve">better long-term wellbeing in vibrant, inclusive and cohesive communities. </w:t>
      </w:r>
      <w:r w:rsidR="00E23FE6" w:rsidRPr="008910EE">
        <w:t>In such c</w:t>
      </w:r>
      <w:r w:rsidRPr="008910EE">
        <w:t xml:space="preserve">ommunities people support one another, are empathetic and respectful, and </w:t>
      </w:r>
      <w:r w:rsidR="00E23FE6" w:rsidRPr="008910EE">
        <w:t xml:space="preserve">can </w:t>
      </w:r>
      <w:r w:rsidRPr="008910EE">
        <w:t>adapt to change.</w:t>
      </w:r>
    </w:p>
    <w:p w14:paraId="3752E36F" w14:textId="57E9A2A9" w:rsidR="00953504" w:rsidRPr="008910EE" w:rsidRDefault="00476AA8" w:rsidP="00672A59">
      <w:pPr>
        <w:pStyle w:val="Body"/>
        <w:spacing w:before="120"/>
      </w:pPr>
      <w:r w:rsidRPr="008910EE">
        <w:t xml:space="preserve">We will form partnerships with these communities as we work to support them through these challenges. We will also use and trial new </w:t>
      </w:r>
      <w:r w:rsidR="00953504" w:rsidRPr="008910EE">
        <w:t xml:space="preserve">ways </w:t>
      </w:r>
      <w:r w:rsidRPr="008910EE">
        <w:t xml:space="preserve">to </w:t>
      </w:r>
      <w:r w:rsidR="006273F4" w:rsidRPr="008910EE">
        <w:t>address</w:t>
      </w:r>
      <w:r w:rsidR="00953504" w:rsidRPr="008910EE">
        <w:t xml:space="preserve"> </w:t>
      </w:r>
      <w:r w:rsidRPr="008910EE">
        <w:t>complex issues. This will include</w:t>
      </w:r>
      <w:r w:rsidR="00953504" w:rsidRPr="008910EE">
        <w:t>:</w:t>
      </w:r>
    </w:p>
    <w:p w14:paraId="6146BBE2" w14:textId="3EC63FE8" w:rsidR="00953504" w:rsidRPr="008910EE" w:rsidRDefault="00476AA8" w:rsidP="00612B5F">
      <w:pPr>
        <w:pStyle w:val="Bullet1"/>
      </w:pPr>
      <w:r w:rsidRPr="008910EE">
        <w:t>local initiatives</w:t>
      </w:r>
    </w:p>
    <w:p w14:paraId="0D437FAB" w14:textId="568E8863" w:rsidR="00953504" w:rsidRPr="008910EE" w:rsidRDefault="00476AA8" w:rsidP="00612B5F">
      <w:pPr>
        <w:pStyle w:val="Bullet1"/>
      </w:pPr>
      <w:r w:rsidRPr="008910EE">
        <w:t>better integrat</w:t>
      </w:r>
      <w:r w:rsidR="00953504" w:rsidRPr="008910EE">
        <w:t>ing</w:t>
      </w:r>
      <w:r w:rsidRPr="008910EE">
        <w:t xml:space="preserve"> programs across service systems</w:t>
      </w:r>
    </w:p>
    <w:p w14:paraId="2754A691" w14:textId="6AD05C14" w:rsidR="00953504" w:rsidRPr="008910EE" w:rsidRDefault="00476AA8" w:rsidP="00612B5F">
      <w:pPr>
        <w:pStyle w:val="Bullet1"/>
      </w:pPr>
      <w:r w:rsidRPr="008910EE">
        <w:t>earlier intervention</w:t>
      </w:r>
    </w:p>
    <w:p w14:paraId="2D1BE8E4" w14:textId="56696C84" w:rsidR="00476AA8" w:rsidRPr="008910EE" w:rsidRDefault="00953504" w:rsidP="00612B5F">
      <w:pPr>
        <w:pStyle w:val="Bullet1"/>
      </w:pPr>
      <w:r w:rsidRPr="008910EE">
        <w:t xml:space="preserve">better </w:t>
      </w:r>
      <w:r w:rsidR="00476AA8" w:rsidRPr="008910EE">
        <w:t xml:space="preserve">connection to and accessibility of services. </w:t>
      </w:r>
    </w:p>
    <w:p w14:paraId="74B40DAD" w14:textId="661DCF3B" w:rsidR="00476AA8" w:rsidRPr="008910EE" w:rsidRDefault="00476AA8" w:rsidP="00612B5F">
      <w:pPr>
        <w:pStyle w:val="Bodyafterbullets"/>
      </w:pPr>
      <w:r w:rsidRPr="008910EE">
        <w:t xml:space="preserve">We will reflect on our ways of working and business practices and make them more person- and family-centred and easier to navigate. </w:t>
      </w:r>
    </w:p>
    <w:p w14:paraId="6A3B4109" w14:textId="725B48D9" w:rsidR="00476AA8" w:rsidRPr="008910EE" w:rsidRDefault="00476AA8" w:rsidP="00E62E78">
      <w:pPr>
        <w:pStyle w:val="Body"/>
        <w:spacing w:before="120"/>
      </w:pPr>
      <w:r w:rsidRPr="008910EE">
        <w:t>We will</w:t>
      </w:r>
      <w:r w:rsidR="0045204C" w:rsidRPr="008910EE">
        <w:t xml:space="preserve"> continue to</w:t>
      </w:r>
      <w:r w:rsidRPr="008910EE">
        <w:t xml:space="preserve"> </w:t>
      </w:r>
      <w:r w:rsidR="008A09C4" w:rsidRPr="008910EE">
        <w:t>improve</w:t>
      </w:r>
      <w:r w:rsidRPr="008910EE">
        <w:t xml:space="preserve"> our emergency management responses as we plan for future large-scale </w:t>
      </w:r>
      <w:r w:rsidR="00CA51FE" w:rsidRPr="008910EE">
        <w:t>emergencies</w:t>
      </w:r>
      <w:r w:rsidR="00F47D0C" w:rsidRPr="008910EE">
        <w:t>. This will help</w:t>
      </w:r>
      <w:r w:rsidRPr="008910EE">
        <w:t xml:space="preserve"> </w:t>
      </w:r>
      <w:r w:rsidR="00953504" w:rsidRPr="008910EE">
        <w:t xml:space="preserve">deliver </w:t>
      </w:r>
      <w:r w:rsidRPr="008910EE">
        <w:t>service continuity and have relief and early social recovery responses ready. We will learn from what our communities and people tell us about what works best for them.</w:t>
      </w:r>
    </w:p>
    <w:tbl>
      <w:tblPr>
        <w:tblStyle w:val="TableGrid"/>
        <w:tblW w:w="9630" w:type="dxa"/>
        <w:tblInd w:w="-27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30"/>
      </w:tblGrid>
      <w:tr w:rsidR="00BA475E" w:rsidRPr="008910EE" w14:paraId="66E2B16F" w14:textId="77777777" w:rsidTr="00034E24">
        <w:tc>
          <w:tcPr>
            <w:tcW w:w="9630" w:type="dxa"/>
          </w:tcPr>
          <w:p w14:paraId="33FD1669" w14:textId="77777777" w:rsidR="00BA475E" w:rsidRPr="008910EE" w:rsidRDefault="00BA475E" w:rsidP="00BA475E">
            <w:pPr>
              <w:pStyle w:val="Heading4"/>
              <w:spacing w:before="120" w:after="120"/>
            </w:pPr>
            <w:r w:rsidRPr="008910EE">
              <w:t>Our stories – Emergency management response to a severe storm event</w:t>
            </w:r>
          </w:p>
          <w:p w14:paraId="0F517F9B" w14:textId="77777777" w:rsidR="00BA475E" w:rsidRPr="008910EE" w:rsidRDefault="00BA475E" w:rsidP="00BA475E">
            <w:pPr>
              <w:pStyle w:val="Body"/>
            </w:pPr>
            <w:r w:rsidRPr="008910EE">
              <w:t xml:space="preserve">Victoria had a severe storm event from 9 to 11 June 2021. Our Readiness, Response and Emergency Management Branch and Operations Division activated emergency management operations with the Department of Health. These operations directly supported affected communities across the state. Yarra Ranges experienced the most extensive physical damage, including destroyed houses, trees blocking roads, fallen powerlines and power and phone outages. In addition to damaged property, the impacts </w:t>
            </w:r>
            <w:r w:rsidRPr="008910EE">
              <w:rPr>
                <w:rFonts w:eastAsia="Calibri"/>
                <w:color w:val="000000" w:themeColor="text1"/>
              </w:rPr>
              <w:t>of the storms on the mental health and wellbeing of the broader community was significant.</w:t>
            </w:r>
          </w:p>
          <w:p w14:paraId="44991F65" w14:textId="5EE291F6" w:rsidR="00BA475E" w:rsidRPr="008910EE" w:rsidRDefault="00BA475E" w:rsidP="00BA475E">
            <w:pPr>
              <w:pStyle w:val="Body"/>
            </w:pPr>
            <w:r w:rsidRPr="008910EE">
              <w:t xml:space="preserve">Our Emergency Management staff in East Division and more than 60 operations surge staff from across the state worked closely with local councils and emergency and community services to help people affected by the storms. </w:t>
            </w:r>
            <w:r w:rsidR="005C0AEA" w:rsidRPr="008910EE">
              <w:t>The department</w:t>
            </w:r>
            <w:r w:rsidRPr="008910EE">
              <w:t xml:space="preserve"> provided 27</w:t>
            </w:r>
            <w:r w:rsidR="00AD42EF" w:rsidRPr="008910EE">
              <w:t>8</w:t>
            </w:r>
            <w:r w:rsidRPr="008910EE">
              <w:t xml:space="preserve"> emergency relief Personal Hardship Assistance Payments totalling $30</w:t>
            </w:r>
            <w:r w:rsidR="00854D88" w:rsidRPr="008910EE">
              <w:t>7</w:t>
            </w:r>
            <w:r w:rsidRPr="008910EE">
              <w:t>,</w:t>
            </w:r>
            <w:r w:rsidR="00854D88" w:rsidRPr="008910EE">
              <w:t>1</w:t>
            </w:r>
            <w:r w:rsidRPr="008910EE">
              <w:t xml:space="preserve">60 across the eastern metropolitan region. These payments helped meet immediate food, material aid, accommodation and other relief needs in Yarra Ranges. </w:t>
            </w:r>
            <w:r w:rsidR="00C53AEF" w:rsidRPr="008910EE">
              <w:t>The department</w:t>
            </w:r>
            <w:r w:rsidRPr="008910EE">
              <w:t xml:space="preserve"> gave out 6</w:t>
            </w:r>
            <w:r w:rsidR="00C53AEF" w:rsidRPr="008910EE">
              <w:t>53</w:t>
            </w:r>
            <w:r w:rsidRPr="008910EE">
              <w:t xml:space="preserve"> payments totalling $7</w:t>
            </w:r>
            <w:r w:rsidR="00F253CA" w:rsidRPr="008910EE">
              <w:t>27</w:t>
            </w:r>
            <w:r w:rsidRPr="008910EE">
              <w:t>,</w:t>
            </w:r>
            <w:r w:rsidR="00F253CA" w:rsidRPr="008910EE">
              <w:t>3</w:t>
            </w:r>
            <w:r w:rsidRPr="008910EE">
              <w:t>60 across the state.</w:t>
            </w:r>
            <w:r w:rsidRPr="008910EE">
              <w:rPr>
                <w:rStyle w:val="EndnoteReference"/>
                <w:rFonts w:cs="Arial"/>
              </w:rPr>
              <w:endnoteReference w:id="30"/>
            </w:r>
          </w:p>
          <w:p w14:paraId="27403FF7" w14:textId="41964D6E" w:rsidR="00BA475E" w:rsidRPr="008910EE" w:rsidRDefault="00BA475E" w:rsidP="005E3C0A">
            <w:pPr>
              <w:pStyle w:val="Body"/>
            </w:pPr>
            <w:r w:rsidRPr="008910EE">
              <w:t>Local Community Hubs provided a safe and warm gathering place for communities to receive assistance, information, support, counselling and access to food, power, showers and the internet. Staff at the Community Hubs gave locals the opportunity to work through their psychosocial support needs and identify referral options. Staff conducted daily welfare checks by phone (and some in person) to 418 people. The department is coordinating a broad and dedicated social recovery program to ensure support is there to help the community with ongoing recovery efforts.</w:t>
            </w:r>
          </w:p>
        </w:tc>
      </w:tr>
    </w:tbl>
    <w:p w14:paraId="0DA7690F" w14:textId="77777777" w:rsidR="00125F43" w:rsidRPr="008910EE" w:rsidRDefault="00125F43" w:rsidP="00987A42">
      <w:pPr>
        <w:pStyle w:val="Body"/>
        <w:rPr>
          <w:rFonts w:eastAsia="MS Gothic" w:cs="Arial"/>
          <w:color w:val="201547"/>
          <w:kern w:val="32"/>
          <w:sz w:val="44"/>
          <w:szCs w:val="44"/>
        </w:rPr>
      </w:pPr>
      <w:r w:rsidRPr="008910EE">
        <w:br w:type="page"/>
      </w:r>
    </w:p>
    <w:p w14:paraId="5C54C0FE" w14:textId="2F9F4F06" w:rsidR="001A7E9B" w:rsidRPr="008910EE" w:rsidRDefault="00672A59" w:rsidP="004271A8">
      <w:pPr>
        <w:pStyle w:val="Heading1"/>
      </w:pPr>
      <w:bookmarkStart w:id="120" w:name="_Toc80708360"/>
      <w:r w:rsidRPr="008910EE">
        <w:t xml:space="preserve">Our </w:t>
      </w:r>
      <w:r w:rsidR="00643ABC" w:rsidRPr="008910EE">
        <w:t>opportunitie</w:t>
      </w:r>
      <w:r w:rsidR="0043210B" w:rsidRPr="008910EE">
        <w:t>s</w:t>
      </w:r>
      <w:bookmarkEnd w:id="120"/>
    </w:p>
    <w:p w14:paraId="07E10D37" w14:textId="51A7E6E0" w:rsidR="004A5074" w:rsidRPr="008910EE" w:rsidRDefault="0020230E" w:rsidP="007F4F27">
      <w:pPr>
        <w:pStyle w:val="Body"/>
      </w:pPr>
      <w:r w:rsidRPr="008910EE">
        <w:t>We oversee</w:t>
      </w:r>
      <w:r w:rsidR="001A7E9B" w:rsidRPr="008910EE">
        <w:t xml:space="preserve"> complex system</w:t>
      </w:r>
      <w:r w:rsidR="00AA5801" w:rsidRPr="008910EE">
        <w:t>s, services and programs</w:t>
      </w:r>
      <w:r w:rsidR="005E1FD3" w:rsidRPr="008910EE">
        <w:t xml:space="preserve"> with partners</w:t>
      </w:r>
      <w:r w:rsidR="001A7E9B" w:rsidRPr="008910EE">
        <w:t xml:space="preserve"> that include</w:t>
      </w:r>
      <w:r w:rsidR="004A5074" w:rsidRPr="008910EE">
        <w:t>:</w:t>
      </w:r>
      <w:r w:rsidR="001A7E9B" w:rsidRPr="008910EE">
        <w:t xml:space="preserve"> </w:t>
      </w:r>
    </w:p>
    <w:p w14:paraId="385BCE8A" w14:textId="213C43A6" w:rsidR="004A5074" w:rsidRPr="008910EE" w:rsidRDefault="004A5074" w:rsidP="000B31E7">
      <w:pPr>
        <w:pStyle w:val="Bullet1"/>
      </w:pPr>
      <w:r w:rsidRPr="008910EE">
        <w:t>c</w:t>
      </w:r>
      <w:r w:rsidR="00BD5223" w:rsidRPr="008910EE">
        <w:t>ommissions</w:t>
      </w:r>
    </w:p>
    <w:p w14:paraId="2A330405" w14:textId="77777777" w:rsidR="004A5074" w:rsidRPr="008910EE" w:rsidRDefault="001A7E9B" w:rsidP="000B31E7">
      <w:pPr>
        <w:pStyle w:val="Bullet1"/>
      </w:pPr>
      <w:r w:rsidRPr="008910EE">
        <w:t>community services</w:t>
      </w:r>
    </w:p>
    <w:p w14:paraId="3684D49E" w14:textId="1FFBECBB" w:rsidR="004A5074" w:rsidRPr="008910EE" w:rsidRDefault="001A7E9B" w:rsidP="000B31E7">
      <w:pPr>
        <w:pStyle w:val="Bullet1"/>
      </w:pPr>
      <w:r w:rsidRPr="008910EE">
        <w:t>peak organisations</w:t>
      </w:r>
    </w:p>
    <w:p w14:paraId="6BCF4761" w14:textId="1EB588F8" w:rsidR="004A5074" w:rsidRPr="008910EE" w:rsidRDefault="001A7E9B" w:rsidP="000B31E7">
      <w:pPr>
        <w:pStyle w:val="Bullet1"/>
      </w:pPr>
      <w:r w:rsidRPr="008910EE">
        <w:t>community groups</w:t>
      </w:r>
    </w:p>
    <w:p w14:paraId="2E81DD1D" w14:textId="7E1D36C6" w:rsidR="004A5074" w:rsidRPr="008910EE" w:rsidRDefault="004A5074" w:rsidP="000B31E7">
      <w:pPr>
        <w:pStyle w:val="Bullet1"/>
      </w:pPr>
      <w:r w:rsidRPr="008910EE">
        <w:t>our own</w:t>
      </w:r>
      <w:r w:rsidR="001A7E9B" w:rsidRPr="008910EE">
        <w:t xml:space="preserve"> staff</w:t>
      </w:r>
    </w:p>
    <w:p w14:paraId="17D6E22B" w14:textId="5435D9AA" w:rsidR="004A5074" w:rsidRPr="008910EE" w:rsidRDefault="00322513" w:rsidP="000B31E7">
      <w:pPr>
        <w:pStyle w:val="Bullet1"/>
      </w:pPr>
      <w:r w:rsidRPr="008910EE">
        <w:t xml:space="preserve">central and local </w:t>
      </w:r>
      <w:r w:rsidR="001A7E9B" w:rsidRPr="008910EE">
        <w:t>service delivery.</w:t>
      </w:r>
      <w:r w:rsidR="00613CCE" w:rsidRPr="008910EE">
        <w:t xml:space="preserve"> </w:t>
      </w:r>
    </w:p>
    <w:p w14:paraId="6124A7D7" w14:textId="6DD5D326" w:rsidR="003B4EA1" w:rsidRPr="008910EE" w:rsidRDefault="00CB1351" w:rsidP="000B31E7">
      <w:pPr>
        <w:pStyle w:val="Bodyafterbullets"/>
      </w:pPr>
      <w:r w:rsidRPr="008910EE">
        <w:t xml:space="preserve">We are </w:t>
      </w:r>
      <w:r w:rsidR="00EA00F7" w:rsidRPr="008910EE">
        <w:t>all joined by the aim of trying to create a fairer</w:t>
      </w:r>
      <w:r w:rsidR="005D300C" w:rsidRPr="008910EE">
        <w:t>, safer</w:t>
      </w:r>
      <w:r w:rsidR="00EA00F7" w:rsidRPr="008910EE">
        <w:t xml:space="preserve"> and more inclusive society.</w:t>
      </w:r>
    </w:p>
    <w:p w14:paraId="71AC8373" w14:textId="32EF243F" w:rsidR="006810EB" w:rsidRPr="008910EE" w:rsidRDefault="00063E40" w:rsidP="007F4F27">
      <w:pPr>
        <w:pStyle w:val="Body"/>
        <w:rPr>
          <w:rFonts w:eastAsia="Arial" w:cs="Arial"/>
        </w:rPr>
      </w:pPr>
      <w:r w:rsidRPr="008910EE">
        <w:t xml:space="preserve">We allocate </w:t>
      </w:r>
      <w:r w:rsidR="00BE7661" w:rsidRPr="008910EE">
        <w:t xml:space="preserve">more than </w:t>
      </w:r>
      <w:r w:rsidR="000B1423" w:rsidRPr="008910EE">
        <w:t>$1.</w:t>
      </w:r>
      <w:r w:rsidR="007369B1" w:rsidRPr="008910EE">
        <w:t>46</w:t>
      </w:r>
      <w:r w:rsidR="00682763" w:rsidRPr="008910EE">
        <w:t xml:space="preserve"> billion</w:t>
      </w:r>
      <w:r w:rsidRPr="008910EE">
        <w:t xml:space="preserve"> to agencies for service deliver</w:t>
      </w:r>
      <w:r w:rsidR="0066288A" w:rsidRPr="008910EE">
        <w:t xml:space="preserve">y </w:t>
      </w:r>
      <w:r w:rsidR="00822926" w:rsidRPr="008910EE">
        <w:t>each year</w:t>
      </w:r>
      <w:r w:rsidR="004A5074" w:rsidRPr="008910EE">
        <w:t>.</w:t>
      </w:r>
      <w:r w:rsidR="00822926" w:rsidRPr="008910EE">
        <w:rPr>
          <w:rStyle w:val="EndnoteReference"/>
        </w:rPr>
        <w:t xml:space="preserve"> </w:t>
      </w:r>
      <w:r w:rsidR="00E156AA" w:rsidRPr="008910EE">
        <w:rPr>
          <w:rStyle w:val="EndnoteReference"/>
        </w:rPr>
        <w:endnoteReference w:id="31"/>
      </w:r>
      <w:r w:rsidR="00822926" w:rsidRPr="008910EE">
        <w:t xml:space="preserve"> </w:t>
      </w:r>
      <w:r w:rsidR="004A5074" w:rsidRPr="008910EE">
        <w:t>W</w:t>
      </w:r>
      <w:r w:rsidR="00822926" w:rsidRPr="008910EE">
        <w:t xml:space="preserve">e monitor </w:t>
      </w:r>
      <w:r w:rsidR="00385E58" w:rsidRPr="008910EE">
        <w:t xml:space="preserve">about </w:t>
      </w:r>
      <w:r w:rsidR="005C5717" w:rsidRPr="008910EE">
        <w:t>920</w:t>
      </w:r>
      <w:r w:rsidR="00822926" w:rsidRPr="008910EE">
        <w:t xml:space="preserve"> service agreements</w:t>
      </w:r>
      <w:r w:rsidR="000D2034" w:rsidRPr="008910EE">
        <w:t xml:space="preserve"> with </w:t>
      </w:r>
      <w:r w:rsidR="00402469" w:rsidRPr="008910EE">
        <w:t>community sector</w:t>
      </w:r>
      <w:r w:rsidR="007F4F27" w:rsidRPr="008910EE">
        <w:t xml:space="preserve"> </w:t>
      </w:r>
      <w:r w:rsidR="00402469" w:rsidRPr="008910EE">
        <w:t>organisations</w:t>
      </w:r>
      <w:r w:rsidR="00075861" w:rsidRPr="008910EE">
        <w:t>.</w:t>
      </w:r>
      <w:r w:rsidR="00453930" w:rsidRPr="008910EE">
        <w:rPr>
          <w:rStyle w:val="EndnoteReference"/>
        </w:rPr>
        <w:endnoteReference w:id="32"/>
      </w:r>
      <w:r w:rsidR="009B39B6" w:rsidRPr="008910EE">
        <w:t xml:space="preserve"> </w:t>
      </w:r>
      <w:r w:rsidR="00701CF6" w:rsidRPr="008910EE">
        <w:t xml:space="preserve">We invest </w:t>
      </w:r>
      <w:r w:rsidR="004271A8" w:rsidRPr="008910EE">
        <w:t xml:space="preserve">about </w:t>
      </w:r>
      <w:r w:rsidR="00701CF6" w:rsidRPr="008910EE">
        <w:t>$</w:t>
      </w:r>
      <w:r w:rsidR="007E4042" w:rsidRPr="008910EE">
        <w:t>2</w:t>
      </w:r>
      <w:r w:rsidR="00701CF6" w:rsidRPr="008910EE">
        <w:t>.</w:t>
      </w:r>
      <w:r w:rsidR="002345B8" w:rsidRPr="008910EE">
        <w:t>8</w:t>
      </w:r>
      <w:r w:rsidR="00701CF6" w:rsidRPr="008910EE">
        <w:t xml:space="preserve"> billion</w:t>
      </w:r>
      <w:r w:rsidR="007E4042" w:rsidRPr="008910EE">
        <w:t xml:space="preserve"> </w:t>
      </w:r>
      <w:r w:rsidR="00701CF6" w:rsidRPr="008910EE">
        <w:t xml:space="preserve">per year in the </w:t>
      </w:r>
      <w:r w:rsidR="00051CDD" w:rsidRPr="008910EE">
        <w:t>NDIS</w:t>
      </w:r>
      <w:r w:rsidR="00701CF6" w:rsidRPr="008910EE">
        <w:t>.</w:t>
      </w:r>
      <w:r w:rsidR="00ED2270" w:rsidRPr="008910EE">
        <w:rPr>
          <w:rStyle w:val="EndnoteReference"/>
        </w:rPr>
        <w:endnoteReference w:id="33"/>
      </w:r>
      <w:r w:rsidR="00701CF6" w:rsidRPr="008910EE">
        <w:t xml:space="preserve"> </w:t>
      </w:r>
      <w:r w:rsidR="006C6376" w:rsidRPr="008910EE">
        <w:rPr>
          <w:rFonts w:eastAsia="Arial" w:cs="Arial"/>
          <w:lang w:val="en-GB"/>
        </w:rPr>
        <w:t xml:space="preserve">We </w:t>
      </w:r>
      <w:r w:rsidR="006810EB" w:rsidRPr="008910EE">
        <w:rPr>
          <w:rFonts w:eastAsia="Arial" w:cs="Arial"/>
          <w:lang w:val="en-GB"/>
        </w:rPr>
        <w:t xml:space="preserve">also provide grants to around </w:t>
      </w:r>
      <w:r w:rsidR="008744DE" w:rsidRPr="008910EE">
        <w:rPr>
          <w:rFonts w:eastAsia="Arial" w:cs="Arial"/>
          <w:lang w:val="en-GB"/>
        </w:rPr>
        <w:t>2</w:t>
      </w:r>
      <w:r w:rsidR="006810EB" w:rsidRPr="008910EE">
        <w:rPr>
          <w:rFonts w:eastAsia="Arial" w:cs="Arial"/>
          <w:lang w:val="en-GB"/>
        </w:rPr>
        <w:t>,000 different multicultural community organisations</w:t>
      </w:r>
      <w:r w:rsidR="0CA4D247" w:rsidRPr="008910EE">
        <w:rPr>
          <w:rFonts w:eastAsia="Arial" w:cs="Arial"/>
          <w:lang w:val="en-GB"/>
        </w:rPr>
        <w:t>,</w:t>
      </w:r>
      <w:r w:rsidR="006810EB" w:rsidRPr="008910EE">
        <w:rPr>
          <w:rFonts w:eastAsia="Arial" w:cs="Arial"/>
          <w:lang w:val="en-GB"/>
        </w:rPr>
        <w:t xml:space="preserve"> representing more than 220 multicultural and multifaith communities</w:t>
      </w:r>
      <w:r w:rsidR="004271A8" w:rsidRPr="008910EE">
        <w:rPr>
          <w:rFonts w:eastAsia="Arial" w:cs="Arial"/>
          <w:lang w:val="en-GB"/>
        </w:rPr>
        <w:t>.</w:t>
      </w:r>
      <w:r w:rsidR="00E1043B" w:rsidRPr="008910EE">
        <w:rPr>
          <w:rStyle w:val="EndnoteReference"/>
          <w:rFonts w:eastAsia="Arial" w:cs="Arial"/>
          <w:lang w:val="en-GB"/>
        </w:rPr>
        <w:endnoteReference w:id="34"/>
      </w:r>
    </w:p>
    <w:p w14:paraId="16463DC7" w14:textId="416D3970" w:rsidR="001908D6" w:rsidRPr="008910EE" w:rsidRDefault="004271A8" w:rsidP="007F4F27">
      <w:pPr>
        <w:pStyle w:val="Body"/>
        <w:rPr>
          <w:rFonts w:eastAsia="Arial" w:cs="Arial"/>
        </w:rPr>
      </w:pPr>
      <w:r w:rsidRPr="008910EE">
        <w:t>One of our</w:t>
      </w:r>
      <w:r w:rsidR="00845CA2" w:rsidRPr="008910EE">
        <w:t xml:space="preserve"> key </w:t>
      </w:r>
      <w:r w:rsidR="002E4981" w:rsidRPr="008910EE">
        <w:t>strength</w:t>
      </w:r>
      <w:r w:rsidRPr="008910EE">
        <w:t>s</w:t>
      </w:r>
      <w:r w:rsidR="002E4981" w:rsidRPr="008910EE">
        <w:t xml:space="preserve"> is engaging and partnering with the communities we work </w:t>
      </w:r>
      <w:r w:rsidR="000518E4" w:rsidRPr="008910EE">
        <w:t xml:space="preserve">with and </w:t>
      </w:r>
      <w:r w:rsidR="002E4981" w:rsidRPr="008910EE">
        <w:t xml:space="preserve">for, including diverse communities. </w:t>
      </w:r>
      <w:r w:rsidR="008B2373" w:rsidRPr="008910EE">
        <w:t>One of our greatest assets is the extensive network of frontline staff and offices that reach across the state</w:t>
      </w:r>
      <w:r w:rsidR="00F47D0C" w:rsidRPr="008910EE">
        <w:t>. Our staff enjoy</w:t>
      </w:r>
      <w:r w:rsidR="008B2373" w:rsidRPr="008910EE">
        <w:t xml:space="preserve"> close working relationship</w:t>
      </w:r>
      <w:r w:rsidR="00F47D0C" w:rsidRPr="008910EE">
        <w:t>s</w:t>
      </w:r>
      <w:r w:rsidR="008B2373" w:rsidRPr="008910EE">
        <w:t xml:space="preserve"> with communities, community organisations, local government and service delivery agencies.</w:t>
      </w:r>
      <w:r w:rsidR="00944908" w:rsidRPr="008910EE">
        <w:t xml:space="preserve"> </w:t>
      </w:r>
      <w:r w:rsidR="008B2373" w:rsidRPr="008910EE">
        <w:t>Our local footprint allows us to engage with communities and respond to their changing needs.</w:t>
      </w:r>
    </w:p>
    <w:p w14:paraId="5D80C1F3" w14:textId="520AB88D" w:rsidR="008B2373" w:rsidRPr="008910EE" w:rsidRDefault="008B2373" w:rsidP="008B2373">
      <w:pPr>
        <w:pStyle w:val="Body"/>
      </w:pPr>
      <w:r w:rsidRPr="008910EE">
        <w:t xml:space="preserve">This new department will use its network of staff across the state to inform program development and service delivery models and to plan for </w:t>
      </w:r>
      <w:r w:rsidR="00385E58" w:rsidRPr="008910EE">
        <w:t>unexpected events</w:t>
      </w:r>
      <w:r w:rsidRPr="008910EE">
        <w:t xml:space="preserve">. </w:t>
      </w:r>
      <w:r w:rsidR="004271A8" w:rsidRPr="008910EE">
        <w:t>W</w:t>
      </w:r>
      <w:r w:rsidRPr="008910EE">
        <w:t>e will use local and operational information to solve problems</w:t>
      </w:r>
      <w:r w:rsidR="008D4824" w:rsidRPr="008910EE">
        <w:t>, transform</w:t>
      </w:r>
      <w:r w:rsidR="0060420B" w:rsidRPr="008910EE">
        <w:t xml:space="preserve"> systems</w:t>
      </w:r>
      <w:r w:rsidRPr="008910EE">
        <w:t xml:space="preserve"> and deliver higher</w:t>
      </w:r>
      <w:r w:rsidR="004271A8" w:rsidRPr="008910EE">
        <w:t xml:space="preserve"> </w:t>
      </w:r>
      <w:r w:rsidRPr="008910EE">
        <w:t xml:space="preserve">quality, more connected, safe and responsive services. </w:t>
      </w:r>
    </w:p>
    <w:p w14:paraId="2F9D720D" w14:textId="0056D35E" w:rsidR="008B2373" w:rsidRPr="008910EE" w:rsidRDefault="008B2373" w:rsidP="008B2373">
      <w:pPr>
        <w:pStyle w:val="Body"/>
      </w:pPr>
      <w:r w:rsidRPr="008910EE">
        <w:t xml:space="preserve">We will use our footprint to </w:t>
      </w:r>
      <w:r w:rsidR="00063477" w:rsidRPr="008910EE">
        <w:t>co-design and</w:t>
      </w:r>
      <w:r w:rsidRPr="008910EE">
        <w:t xml:space="preserve"> deliver integrated </w:t>
      </w:r>
      <w:r w:rsidR="000303D8" w:rsidRPr="008910EE">
        <w:t>supports</w:t>
      </w:r>
      <w:r w:rsidRPr="008910EE">
        <w:t xml:space="preserve"> within communities</w:t>
      </w:r>
      <w:r w:rsidR="00F47D0C" w:rsidRPr="008910EE">
        <w:t>. To do this, we will</w:t>
      </w:r>
      <w:r w:rsidRPr="008910EE">
        <w:t xml:space="preserve"> us</w:t>
      </w:r>
      <w:r w:rsidR="00F47D0C" w:rsidRPr="008910EE">
        <w:t>e</w:t>
      </w:r>
      <w:r w:rsidRPr="008910EE">
        <w:t xml:space="preserve"> place-based approaches and community planning that connect</w:t>
      </w:r>
      <w:r w:rsidR="00385E58" w:rsidRPr="008910EE">
        <w:t>s</w:t>
      </w:r>
      <w:r w:rsidRPr="008910EE">
        <w:t xml:space="preserve"> services in locations and wraps services around people and families. </w:t>
      </w:r>
    </w:p>
    <w:p w14:paraId="6AD3D205" w14:textId="6A7609B0" w:rsidR="00EE0DA7" w:rsidRPr="008910EE" w:rsidRDefault="004306BF" w:rsidP="00BA475E">
      <w:pPr>
        <w:pStyle w:val="Body"/>
        <w:sectPr w:rsidR="00EE0DA7" w:rsidRPr="008910EE" w:rsidSect="000142FC">
          <w:footerReference w:type="default" r:id="rId16"/>
          <w:endnotePr>
            <w:numFmt w:val="decimal"/>
          </w:endnotePr>
          <w:pgSz w:w="11906" w:h="16838" w:code="9"/>
          <w:pgMar w:top="1440" w:right="1440" w:bottom="1440" w:left="1440" w:header="680" w:footer="492" w:gutter="0"/>
          <w:cols w:space="340"/>
          <w:docGrid w:linePitch="360"/>
        </w:sectPr>
      </w:pPr>
      <w:r w:rsidRPr="008910EE">
        <w:t xml:space="preserve">We will work to remove the siloes that </w:t>
      </w:r>
      <w:r w:rsidR="00385E58" w:rsidRPr="008910EE">
        <w:t xml:space="preserve">affect </w:t>
      </w:r>
      <w:r w:rsidR="005F3FFC" w:rsidRPr="008910EE">
        <w:t>the accessibility of services</w:t>
      </w:r>
      <w:r w:rsidR="000E55D5" w:rsidRPr="008910EE">
        <w:t>,</w:t>
      </w:r>
      <w:r w:rsidR="005F3FFC" w:rsidRPr="008910EE">
        <w:t xml:space="preserve"> and </w:t>
      </w:r>
      <w:r w:rsidR="008129A4" w:rsidRPr="008910EE">
        <w:t xml:space="preserve">that </w:t>
      </w:r>
      <w:r w:rsidR="005F3FFC" w:rsidRPr="008910EE">
        <w:t xml:space="preserve">can </w:t>
      </w:r>
      <w:r w:rsidR="001D5B11" w:rsidRPr="008910EE">
        <w:t xml:space="preserve">leave </w:t>
      </w:r>
      <w:r w:rsidR="005F3FFC" w:rsidRPr="008910EE">
        <w:t>gaps</w:t>
      </w:r>
      <w:r w:rsidR="008129A4" w:rsidRPr="008910EE">
        <w:t xml:space="preserve"> </w:t>
      </w:r>
      <w:r w:rsidR="004271A8" w:rsidRPr="008910EE">
        <w:t xml:space="preserve">for </w:t>
      </w:r>
      <w:r w:rsidR="000E55D5" w:rsidRPr="008910EE">
        <w:t xml:space="preserve">people </w:t>
      </w:r>
      <w:r w:rsidR="004271A8" w:rsidRPr="008910EE">
        <w:t xml:space="preserve">to </w:t>
      </w:r>
      <w:r w:rsidR="000E55D5" w:rsidRPr="008910EE">
        <w:t>fall through.</w:t>
      </w:r>
    </w:p>
    <w:p w14:paraId="1D53CF87" w14:textId="53ABA66C" w:rsidR="00C413FA" w:rsidRPr="008910EE" w:rsidRDefault="00C413FA" w:rsidP="00807077">
      <w:pPr>
        <w:pStyle w:val="Heading1"/>
      </w:pPr>
      <w:bookmarkStart w:id="121" w:name="_Toc80708361"/>
      <w:bookmarkStart w:id="122" w:name="_Toc72863072"/>
      <w:bookmarkStart w:id="123" w:name="_Toc72920907"/>
      <w:bookmarkStart w:id="124" w:name="_Toc72931642"/>
      <w:bookmarkStart w:id="125" w:name="_Toc74069891"/>
      <w:bookmarkStart w:id="126" w:name="_Toc74994282"/>
      <w:bookmarkStart w:id="127" w:name="_Toc75357921"/>
      <w:bookmarkStart w:id="128" w:name="_Toc76046866"/>
      <w:r w:rsidRPr="008910EE">
        <w:t>Our focus areas</w:t>
      </w:r>
      <w:bookmarkEnd w:id="121"/>
    </w:p>
    <w:p w14:paraId="72106D95" w14:textId="04892B6E" w:rsidR="00807077" w:rsidRPr="008910EE" w:rsidRDefault="00E636D2" w:rsidP="00C413FA">
      <w:pPr>
        <w:pStyle w:val="Heading2"/>
      </w:pPr>
      <w:bookmarkStart w:id="129" w:name="_Toc76463236"/>
      <w:bookmarkStart w:id="130" w:name="_Toc77154012"/>
      <w:bookmarkStart w:id="131" w:name="_Toc80708362"/>
      <w:r w:rsidRPr="008910EE">
        <w:t>Children, young people and f</w:t>
      </w:r>
      <w:r w:rsidR="00807077" w:rsidRPr="008910EE">
        <w:t>amilies are safe, strong and support</w:t>
      </w:r>
      <w:r w:rsidR="00252572" w:rsidRPr="008910EE">
        <w:t>ed</w:t>
      </w:r>
      <w:bookmarkEnd w:id="122"/>
      <w:bookmarkEnd w:id="123"/>
      <w:bookmarkEnd w:id="124"/>
      <w:bookmarkEnd w:id="125"/>
      <w:bookmarkEnd w:id="126"/>
      <w:bookmarkEnd w:id="127"/>
      <w:bookmarkEnd w:id="128"/>
      <w:bookmarkEnd w:id="129"/>
      <w:bookmarkEnd w:id="130"/>
      <w:bookmarkEnd w:id="131"/>
      <w:r w:rsidR="00807077" w:rsidRPr="008910EE">
        <w:t> </w:t>
      </w:r>
    </w:p>
    <w:p w14:paraId="485C0A13" w14:textId="1F5FCD96" w:rsidR="00396765" w:rsidRPr="008910EE" w:rsidRDefault="00B85C41" w:rsidP="00BA475E">
      <w:pPr>
        <w:pStyle w:val="Body"/>
      </w:pPr>
      <w:r w:rsidRPr="008910EE">
        <w:t>We can achieve our outcome goal by</w:t>
      </w:r>
      <w:r w:rsidR="00396765" w:rsidRPr="008910EE">
        <w:t>:</w:t>
      </w:r>
    </w:p>
    <w:p w14:paraId="0DFB65C1" w14:textId="73BB4D8F" w:rsidR="00396765" w:rsidRPr="008910EE" w:rsidRDefault="00396765" w:rsidP="00BA475E">
      <w:pPr>
        <w:pStyle w:val="Bullet1"/>
      </w:pPr>
      <w:r w:rsidRPr="008910EE">
        <w:t xml:space="preserve">working every day to keep children </w:t>
      </w:r>
      <w:r w:rsidR="00BF5338" w:rsidRPr="008910EE">
        <w:t>and young people</w:t>
      </w:r>
      <w:r w:rsidRPr="008910EE">
        <w:t xml:space="preserve"> safe </w:t>
      </w:r>
    </w:p>
    <w:p w14:paraId="007B5158" w14:textId="28531D10" w:rsidR="00396765" w:rsidRPr="008910EE" w:rsidRDefault="00396765" w:rsidP="00BA475E">
      <w:pPr>
        <w:pStyle w:val="Bullet1"/>
      </w:pPr>
      <w:r w:rsidRPr="008910EE">
        <w:t>intervening earlier to help keep families together</w:t>
      </w:r>
      <w:r w:rsidR="004067DC" w:rsidRPr="008910EE">
        <w:t>, when it is safe to do so</w:t>
      </w:r>
      <w:r w:rsidRPr="008910EE">
        <w:t xml:space="preserve"> </w:t>
      </w:r>
    </w:p>
    <w:p w14:paraId="6807DF8F" w14:textId="583F282C" w:rsidR="00396765" w:rsidRPr="008910EE" w:rsidRDefault="00396765" w:rsidP="00BA475E">
      <w:pPr>
        <w:pStyle w:val="Bullet1"/>
      </w:pPr>
      <w:r w:rsidRPr="008910EE">
        <w:t xml:space="preserve">leading Victoria’s commitment to end family violence and </w:t>
      </w:r>
      <w:r w:rsidR="00357C15" w:rsidRPr="008910EE">
        <w:t xml:space="preserve">all forms of </w:t>
      </w:r>
      <w:r w:rsidRPr="008910EE">
        <w:t>violence towards</w:t>
      </w:r>
      <w:r w:rsidR="00627E2E" w:rsidRPr="008910EE">
        <w:t xml:space="preserve"> </w:t>
      </w:r>
      <w:r w:rsidRPr="008910EE">
        <w:t>women</w:t>
      </w:r>
      <w:r w:rsidR="00E82380" w:rsidRPr="008910EE">
        <w:t>, children, young people</w:t>
      </w:r>
      <w:r w:rsidR="004067DC" w:rsidRPr="008910EE">
        <w:t xml:space="preserve"> and </w:t>
      </w:r>
      <w:r w:rsidR="00357C15" w:rsidRPr="008910EE">
        <w:t>older people</w:t>
      </w:r>
      <w:r w:rsidR="00436848" w:rsidRPr="008910EE">
        <w:t>.</w:t>
      </w:r>
    </w:p>
    <w:p w14:paraId="051DCE09" w14:textId="04B08E4C" w:rsidR="00A61354" w:rsidRPr="008910EE" w:rsidRDefault="006E638E" w:rsidP="00BA475E">
      <w:pPr>
        <w:pStyle w:val="Bodyafterbullets"/>
        <w:rPr>
          <w:rStyle w:val="xnormaltextrun"/>
          <w:rFonts w:cs="Arial"/>
        </w:rPr>
      </w:pPr>
      <w:r w:rsidRPr="008910EE">
        <w:rPr>
          <w:rStyle w:val="xnormaltextrun"/>
          <w:rFonts w:cs="Arial"/>
        </w:rPr>
        <w:t xml:space="preserve">All </w:t>
      </w:r>
      <w:r w:rsidR="00964823" w:rsidRPr="008910EE">
        <w:rPr>
          <w:rStyle w:val="xnormaltextrun"/>
          <w:rFonts w:cs="Arial"/>
        </w:rPr>
        <w:t>children and young people</w:t>
      </w:r>
      <w:r w:rsidRPr="008910EE">
        <w:rPr>
          <w:rStyle w:val="xnormaltextrun"/>
          <w:rFonts w:cs="Arial"/>
        </w:rPr>
        <w:t xml:space="preserve"> have a right to grow up safe and supported</w:t>
      </w:r>
      <w:r w:rsidR="0D765DD4" w:rsidRPr="008910EE">
        <w:rPr>
          <w:rStyle w:val="xnormaltextrun"/>
          <w:rFonts w:cs="Arial"/>
        </w:rPr>
        <w:t>, whether their families are biological or chosen</w:t>
      </w:r>
      <w:r w:rsidR="5034F973" w:rsidRPr="008910EE">
        <w:rPr>
          <w:rStyle w:val="xnormaltextrun"/>
          <w:rFonts w:cs="Arial"/>
        </w:rPr>
        <w:t>.</w:t>
      </w:r>
      <w:r w:rsidRPr="008910EE">
        <w:rPr>
          <w:rStyle w:val="xnormaltextrun"/>
          <w:rFonts w:cs="Arial"/>
        </w:rPr>
        <w:t xml:space="preserve"> But some families </w:t>
      </w:r>
      <w:r w:rsidR="58338567" w:rsidRPr="008910EE">
        <w:rPr>
          <w:rStyle w:val="xnormaltextrun"/>
          <w:rFonts w:cs="Arial"/>
        </w:rPr>
        <w:t>experience more challenges</w:t>
      </w:r>
      <w:r w:rsidR="00B02749" w:rsidRPr="008910EE">
        <w:rPr>
          <w:rStyle w:val="xnormaltextrun"/>
          <w:rFonts w:cs="Arial"/>
        </w:rPr>
        <w:t xml:space="preserve"> than others</w:t>
      </w:r>
      <w:r w:rsidRPr="008910EE">
        <w:rPr>
          <w:rStyle w:val="xnormaltextrun"/>
          <w:rFonts w:cs="Arial"/>
        </w:rPr>
        <w:t xml:space="preserve"> and need extra </w:t>
      </w:r>
      <w:r w:rsidR="42D12E12" w:rsidRPr="008910EE">
        <w:rPr>
          <w:rStyle w:val="xnormaltextrun"/>
          <w:rFonts w:cs="Arial"/>
        </w:rPr>
        <w:t>support</w:t>
      </w:r>
      <w:r w:rsidRPr="008910EE">
        <w:rPr>
          <w:rStyle w:val="xnormaltextrun"/>
          <w:rFonts w:cs="Arial"/>
        </w:rPr>
        <w:t xml:space="preserve">. </w:t>
      </w:r>
    </w:p>
    <w:p w14:paraId="7FD47623" w14:textId="77777777" w:rsidR="00F47D0C" w:rsidRPr="008910EE" w:rsidRDefault="00A61354" w:rsidP="00162AC0">
      <w:pPr>
        <w:pStyle w:val="Body"/>
        <w:rPr>
          <w:rStyle w:val="xnormaltextrun"/>
          <w:rFonts w:cs="Arial"/>
        </w:rPr>
      </w:pPr>
      <w:r w:rsidRPr="008910EE">
        <w:rPr>
          <w:rStyle w:val="xnormaltextrun"/>
          <w:rFonts w:cs="Arial"/>
        </w:rPr>
        <w:t>We understand that family violence is a</w:t>
      </w:r>
      <w:r w:rsidR="1CF9C039" w:rsidRPr="008910EE">
        <w:rPr>
          <w:rStyle w:val="xnormaltextrun"/>
          <w:rFonts w:cs="Arial"/>
        </w:rPr>
        <w:t xml:space="preserve"> significant factor in</w:t>
      </w:r>
      <w:r w:rsidRPr="008910EE">
        <w:rPr>
          <w:rStyle w:val="xnormaltextrun"/>
          <w:rFonts w:cs="Arial"/>
        </w:rPr>
        <w:t xml:space="preserve"> the </w:t>
      </w:r>
      <w:r w:rsidR="1CF9C039" w:rsidRPr="008910EE">
        <w:rPr>
          <w:rStyle w:val="xnormaltextrun"/>
          <w:rFonts w:cs="Arial"/>
        </w:rPr>
        <w:t>lives</w:t>
      </w:r>
      <w:r w:rsidRPr="008910EE">
        <w:rPr>
          <w:rStyle w:val="xnormaltextrun"/>
          <w:rFonts w:cs="Arial"/>
        </w:rPr>
        <w:t xml:space="preserve"> of many </w:t>
      </w:r>
      <w:r w:rsidR="00942A2C" w:rsidRPr="008910EE">
        <w:rPr>
          <w:rStyle w:val="xnormaltextrun"/>
          <w:rFonts w:cs="Arial"/>
        </w:rPr>
        <w:t xml:space="preserve">people who need our services. </w:t>
      </w:r>
      <w:r w:rsidR="00B70C91" w:rsidRPr="008910EE">
        <w:rPr>
          <w:rStyle w:val="xnormaltextrun"/>
          <w:rFonts w:cs="Arial"/>
        </w:rPr>
        <w:t xml:space="preserve">In turn, family violence </w:t>
      </w:r>
      <w:r w:rsidR="003870E6" w:rsidRPr="008910EE">
        <w:rPr>
          <w:rStyle w:val="xnormaltextrun"/>
          <w:rFonts w:cs="Arial"/>
        </w:rPr>
        <w:t>can contribute</w:t>
      </w:r>
      <w:r w:rsidR="00B70C91" w:rsidRPr="008910EE">
        <w:rPr>
          <w:rStyle w:val="xnormaltextrun"/>
          <w:rFonts w:cs="Arial"/>
        </w:rPr>
        <w:t xml:space="preserve"> to a range of other issues such as</w:t>
      </w:r>
      <w:r w:rsidR="00F47D0C" w:rsidRPr="008910EE">
        <w:rPr>
          <w:rStyle w:val="xnormaltextrun"/>
          <w:rFonts w:cs="Arial"/>
        </w:rPr>
        <w:t>:</w:t>
      </w:r>
    </w:p>
    <w:p w14:paraId="6CD56B5E" w14:textId="0F711864" w:rsidR="00F47D0C" w:rsidRPr="008910EE" w:rsidRDefault="00886764" w:rsidP="00E728DB">
      <w:pPr>
        <w:pStyle w:val="Bullet1"/>
        <w:rPr>
          <w:rStyle w:val="xnormaltextrun"/>
          <w:rFonts w:cs="Arial"/>
        </w:rPr>
      </w:pPr>
      <w:r w:rsidRPr="008910EE">
        <w:rPr>
          <w:rStyle w:val="xnormaltextrun"/>
          <w:rFonts w:cs="Arial"/>
        </w:rPr>
        <w:t>homelessness</w:t>
      </w:r>
    </w:p>
    <w:p w14:paraId="34DA956E" w14:textId="1BD9C8E9" w:rsidR="00096F42" w:rsidRPr="008910EE" w:rsidRDefault="00096F42" w:rsidP="00E728DB">
      <w:pPr>
        <w:pStyle w:val="Bullet1"/>
        <w:rPr>
          <w:rStyle w:val="xnormaltextrun"/>
          <w:rFonts w:cs="Arial"/>
        </w:rPr>
      </w:pPr>
      <w:r w:rsidRPr="008910EE">
        <w:rPr>
          <w:rStyle w:val="xnormaltextrun"/>
          <w:rFonts w:cs="Arial"/>
        </w:rPr>
        <w:t>children and young people being unsafe at home</w:t>
      </w:r>
    </w:p>
    <w:p w14:paraId="6BB72216" w14:textId="7942F466" w:rsidR="00886764" w:rsidRPr="008910EE" w:rsidRDefault="00886764" w:rsidP="00886764">
      <w:pPr>
        <w:pStyle w:val="Bullet1"/>
        <w:rPr>
          <w:rStyle w:val="xnormaltextrun"/>
          <w:rFonts w:cs="Arial"/>
        </w:rPr>
      </w:pPr>
      <w:r w:rsidRPr="008910EE">
        <w:rPr>
          <w:rStyle w:val="xnormaltextrun"/>
          <w:rFonts w:cs="Arial"/>
        </w:rPr>
        <w:t>trauma</w:t>
      </w:r>
    </w:p>
    <w:p w14:paraId="05CA477B" w14:textId="6C3224C4" w:rsidR="00F6648A" w:rsidRPr="008910EE" w:rsidRDefault="003870E6" w:rsidP="00E728DB">
      <w:pPr>
        <w:pStyle w:val="Bullet1"/>
        <w:rPr>
          <w:rStyle w:val="xnormaltextrun"/>
          <w:rFonts w:cs="Arial"/>
        </w:rPr>
      </w:pPr>
      <w:r w:rsidRPr="008910EE">
        <w:rPr>
          <w:rStyle w:val="xnormaltextrun"/>
          <w:rFonts w:cs="Arial"/>
        </w:rPr>
        <w:t>physical</w:t>
      </w:r>
      <w:r w:rsidR="006164C7" w:rsidRPr="008910EE">
        <w:rPr>
          <w:rStyle w:val="xnormaltextrun"/>
          <w:rFonts w:cs="Arial"/>
        </w:rPr>
        <w:t xml:space="preserve"> and emotional</w:t>
      </w:r>
      <w:r w:rsidRPr="008910EE">
        <w:rPr>
          <w:rStyle w:val="xnormaltextrun"/>
          <w:rFonts w:cs="Arial"/>
        </w:rPr>
        <w:t xml:space="preserve"> injuries</w:t>
      </w:r>
    </w:p>
    <w:p w14:paraId="511218D7" w14:textId="27C7F0BE" w:rsidR="00F6648A" w:rsidRPr="008910EE" w:rsidRDefault="00004654" w:rsidP="00E728DB">
      <w:pPr>
        <w:pStyle w:val="Bullet1"/>
        <w:rPr>
          <w:rStyle w:val="xnormaltextrun"/>
          <w:rFonts w:cs="Arial"/>
        </w:rPr>
      </w:pPr>
      <w:r w:rsidRPr="008910EE">
        <w:rPr>
          <w:rStyle w:val="xnormaltextrun"/>
          <w:rFonts w:cs="Arial"/>
        </w:rPr>
        <w:t>premature death</w:t>
      </w:r>
      <w:r w:rsidR="00096F42" w:rsidRPr="008910EE">
        <w:rPr>
          <w:rStyle w:val="xnormaltextrun"/>
          <w:rFonts w:cs="Arial"/>
        </w:rPr>
        <w:t>.</w:t>
      </w:r>
    </w:p>
    <w:p w14:paraId="6375D8EE" w14:textId="3B4D2AEF" w:rsidR="00A61354" w:rsidRPr="008910EE" w:rsidRDefault="000F7DD2" w:rsidP="00125F43">
      <w:pPr>
        <w:pStyle w:val="Bodyafterbullets"/>
        <w:rPr>
          <w:rStyle w:val="xnormaltextrun"/>
          <w:rFonts w:cs="Arial"/>
        </w:rPr>
      </w:pPr>
      <w:r w:rsidRPr="008910EE">
        <w:rPr>
          <w:rStyle w:val="xnormaltextrun"/>
          <w:rFonts w:cs="Arial"/>
        </w:rPr>
        <w:t>W</w:t>
      </w:r>
      <w:r w:rsidR="003320F5" w:rsidRPr="008910EE">
        <w:rPr>
          <w:rStyle w:val="xnormaltextrun"/>
          <w:rFonts w:cs="Arial"/>
        </w:rPr>
        <w:t xml:space="preserve">e </w:t>
      </w:r>
      <w:r w:rsidRPr="008910EE">
        <w:rPr>
          <w:rStyle w:val="xnormaltextrun"/>
          <w:rFonts w:cs="Arial"/>
        </w:rPr>
        <w:t xml:space="preserve">must </w:t>
      </w:r>
      <w:r w:rsidR="003320F5" w:rsidRPr="008910EE">
        <w:rPr>
          <w:rStyle w:val="xnormaltextrun"/>
          <w:rFonts w:cs="Arial"/>
        </w:rPr>
        <w:t xml:space="preserve">link </w:t>
      </w:r>
      <w:r w:rsidR="000A5265" w:rsidRPr="008910EE">
        <w:rPr>
          <w:rStyle w:val="xnormaltextrun"/>
          <w:rFonts w:cs="Arial"/>
        </w:rPr>
        <w:t>supports and</w:t>
      </w:r>
      <w:r w:rsidR="003320F5" w:rsidRPr="008910EE">
        <w:rPr>
          <w:rStyle w:val="xnormaltextrun"/>
          <w:rFonts w:cs="Arial"/>
        </w:rPr>
        <w:t xml:space="preserve"> services together </w:t>
      </w:r>
      <w:r w:rsidR="00436848" w:rsidRPr="008910EE">
        <w:rPr>
          <w:rStyle w:val="xnormaltextrun"/>
          <w:rFonts w:cs="Arial"/>
        </w:rPr>
        <w:t xml:space="preserve">at the same time as </w:t>
      </w:r>
      <w:r w:rsidR="00894557" w:rsidRPr="008910EE">
        <w:rPr>
          <w:rStyle w:val="xnormaltextrun"/>
          <w:rFonts w:cs="Arial"/>
        </w:rPr>
        <w:t>addressing</w:t>
      </w:r>
      <w:r w:rsidR="00436848" w:rsidRPr="008910EE">
        <w:rPr>
          <w:rStyle w:val="xnormaltextrun"/>
          <w:rFonts w:cs="Arial"/>
        </w:rPr>
        <w:t xml:space="preserve"> </w:t>
      </w:r>
      <w:r w:rsidR="00EE76D0" w:rsidRPr="008910EE">
        <w:rPr>
          <w:rStyle w:val="xnormaltextrun"/>
          <w:rFonts w:cs="Arial"/>
        </w:rPr>
        <w:t>the causes of family violence</w:t>
      </w:r>
      <w:r w:rsidR="00436848" w:rsidRPr="008910EE">
        <w:rPr>
          <w:rStyle w:val="xnormaltextrun"/>
          <w:rFonts w:cs="Arial"/>
        </w:rPr>
        <w:t>,</w:t>
      </w:r>
      <w:r w:rsidR="00D96C6F" w:rsidRPr="008910EE">
        <w:rPr>
          <w:rStyle w:val="xnormaltextrun"/>
          <w:rFonts w:cs="Arial"/>
        </w:rPr>
        <w:t xml:space="preserve"> sexual assault</w:t>
      </w:r>
      <w:r w:rsidR="00710945" w:rsidRPr="008910EE">
        <w:rPr>
          <w:rStyle w:val="xnormaltextrun"/>
          <w:rFonts w:cs="Arial"/>
        </w:rPr>
        <w:t>, trauma</w:t>
      </w:r>
      <w:r w:rsidR="003320F5" w:rsidRPr="008910EE">
        <w:rPr>
          <w:rStyle w:val="xnormaltextrun"/>
          <w:rFonts w:cs="Arial"/>
        </w:rPr>
        <w:t xml:space="preserve"> and </w:t>
      </w:r>
      <w:r w:rsidR="00710945" w:rsidRPr="008910EE">
        <w:rPr>
          <w:rStyle w:val="xnormaltextrun"/>
          <w:rFonts w:cs="Arial"/>
        </w:rPr>
        <w:t xml:space="preserve">poverty </w:t>
      </w:r>
      <w:r w:rsidR="00261289" w:rsidRPr="008910EE">
        <w:rPr>
          <w:rStyle w:val="xnormaltextrun"/>
          <w:rFonts w:cs="Arial"/>
        </w:rPr>
        <w:t xml:space="preserve">faced by </w:t>
      </w:r>
      <w:r w:rsidR="00CE7020" w:rsidRPr="008910EE">
        <w:rPr>
          <w:rStyle w:val="xnormaltextrun"/>
          <w:rFonts w:cs="Arial"/>
        </w:rPr>
        <w:t>some</w:t>
      </w:r>
      <w:r w:rsidR="00710945" w:rsidRPr="008910EE">
        <w:rPr>
          <w:rStyle w:val="xnormaltextrun"/>
          <w:rFonts w:cs="Arial"/>
        </w:rPr>
        <w:t xml:space="preserve"> children</w:t>
      </w:r>
      <w:r w:rsidR="009C6493" w:rsidRPr="008910EE">
        <w:rPr>
          <w:rStyle w:val="xnormaltextrun"/>
          <w:rFonts w:cs="Arial"/>
        </w:rPr>
        <w:t>, young people</w:t>
      </w:r>
      <w:r w:rsidR="008B7CEA" w:rsidRPr="008910EE">
        <w:rPr>
          <w:rStyle w:val="xnormaltextrun"/>
          <w:rFonts w:cs="Arial"/>
        </w:rPr>
        <w:t xml:space="preserve">, </w:t>
      </w:r>
      <w:r w:rsidR="00710945" w:rsidRPr="008910EE">
        <w:rPr>
          <w:rStyle w:val="xnormaltextrun"/>
          <w:rFonts w:cs="Arial"/>
        </w:rPr>
        <w:t>women</w:t>
      </w:r>
      <w:r w:rsidR="000269D4" w:rsidRPr="008910EE">
        <w:rPr>
          <w:rStyle w:val="xnormaltextrun"/>
          <w:rFonts w:cs="Arial"/>
        </w:rPr>
        <w:t>, people with disability</w:t>
      </w:r>
      <w:r w:rsidR="00710945" w:rsidRPr="008910EE">
        <w:rPr>
          <w:rStyle w:val="xnormaltextrun"/>
          <w:rFonts w:cs="Arial"/>
        </w:rPr>
        <w:t xml:space="preserve"> </w:t>
      </w:r>
      <w:r w:rsidR="008B7CEA" w:rsidRPr="008910EE">
        <w:rPr>
          <w:rStyle w:val="xnormaltextrun"/>
          <w:rFonts w:cs="Arial"/>
        </w:rPr>
        <w:t>and older people</w:t>
      </w:r>
      <w:r w:rsidR="00710945" w:rsidRPr="008910EE">
        <w:rPr>
          <w:rStyle w:val="xnormaltextrun"/>
          <w:rFonts w:cs="Arial"/>
        </w:rPr>
        <w:t>.</w:t>
      </w:r>
    </w:p>
    <w:p w14:paraId="3B0FFC00" w14:textId="2EDDE8EF" w:rsidR="00A61354" w:rsidRPr="008910EE" w:rsidRDefault="00A61354" w:rsidP="00162AC0">
      <w:pPr>
        <w:pStyle w:val="Body"/>
        <w:rPr>
          <w:szCs w:val="21"/>
        </w:rPr>
      </w:pPr>
      <w:r w:rsidRPr="008910EE">
        <w:rPr>
          <w:szCs w:val="21"/>
        </w:rPr>
        <w:t xml:space="preserve">To </w:t>
      </w:r>
      <w:r w:rsidR="00193C06" w:rsidRPr="008910EE">
        <w:rPr>
          <w:szCs w:val="21"/>
        </w:rPr>
        <w:t>achieve these goals,</w:t>
      </w:r>
      <w:r w:rsidRPr="008910EE">
        <w:rPr>
          <w:szCs w:val="21"/>
        </w:rPr>
        <w:t xml:space="preserve"> </w:t>
      </w:r>
      <w:r w:rsidR="00710945" w:rsidRPr="008910EE">
        <w:rPr>
          <w:szCs w:val="21"/>
        </w:rPr>
        <w:t xml:space="preserve">the department aims </w:t>
      </w:r>
      <w:r w:rsidRPr="008910EE">
        <w:rPr>
          <w:szCs w:val="21"/>
        </w:rPr>
        <w:t>to:</w:t>
      </w:r>
    </w:p>
    <w:p w14:paraId="7694B935" w14:textId="42921632" w:rsidR="000A5265" w:rsidRPr="008910EE" w:rsidRDefault="000A5265" w:rsidP="00DD4BEE">
      <w:pPr>
        <w:pStyle w:val="Bullet1"/>
      </w:pPr>
      <w:r w:rsidRPr="008910EE">
        <w:t>prevent gendered violence</w:t>
      </w:r>
    </w:p>
    <w:p w14:paraId="6F436829" w14:textId="3E48D2CA" w:rsidR="00A61354" w:rsidRPr="008910EE" w:rsidRDefault="00695AC3" w:rsidP="00DD4BEE">
      <w:pPr>
        <w:pStyle w:val="Bullet1"/>
      </w:pPr>
      <w:r w:rsidRPr="008910EE">
        <w:t>get support</w:t>
      </w:r>
      <w:r w:rsidR="00A61354" w:rsidRPr="008910EE">
        <w:t xml:space="preserve"> earlier </w:t>
      </w:r>
      <w:r w:rsidRPr="008910EE">
        <w:t>to</w:t>
      </w:r>
      <w:r w:rsidR="00A61354" w:rsidRPr="008910EE">
        <w:t xml:space="preserve"> families that might be struggling</w:t>
      </w:r>
    </w:p>
    <w:p w14:paraId="07FFD6C6" w14:textId="1C67115B" w:rsidR="00A61354" w:rsidRPr="008910EE" w:rsidRDefault="00385E58" w:rsidP="00DD4BEE">
      <w:pPr>
        <w:pStyle w:val="Bullet1"/>
      </w:pPr>
      <w:r w:rsidRPr="008910EE">
        <w:t xml:space="preserve">deliver </w:t>
      </w:r>
      <w:r w:rsidR="00A61354" w:rsidRPr="008910EE">
        <w:t xml:space="preserve">more </w:t>
      </w:r>
      <w:r w:rsidR="0089736C" w:rsidRPr="008910EE">
        <w:t>easily accessible</w:t>
      </w:r>
      <w:r w:rsidR="00A61354" w:rsidRPr="008910EE">
        <w:t xml:space="preserve"> and multidisciplinary </w:t>
      </w:r>
      <w:r w:rsidR="00702EFF" w:rsidRPr="008910EE">
        <w:t>services</w:t>
      </w:r>
    </w:p>
    <w:p w14:paraId="7CDF105D" w14:textId="19AD2A0E" w:rsidR="00A61354" w:rsidRPr="008910EE" w:rsidRDefault="00A61354" w:rsidP="00DD4BEE">
      <w:pPr>
        <w:pStyle w:val="Bullet1"/>
      </w:pPr>
      <w:r w:rsidRPr="008910EE">
        <w:t>work hard</w:t>
      </w:r>
      <w:r w:rsidR="00DB4990" w:rsidRPr="008910EE">
        <w:t>er</w:t>
      </w:r>
      <w:r w:rsidRPr="008910EE">
        <w:t xml:space="preserve"> to keep families together</w:t>
      </w:r>
      <w:r w:rsidR="00A8448E" w:rsidRPr="008910EE">
        <w:t xml:space="preserve"> when it is safe to do so</w:t>
      </w:r>
    </w:p>
    <w:p w14:paraId="6F436F8E" w14:textId="391189AE" w:rsidR="00F06230" w:rsidRPr="008910EE" w:rsidRDefault="00F06230" w:rsidP="00DD4BEE">
      <w:pPr>
        <w:pStyle w:val="Bullet1"/>
      </w:pPr>
      <w:r w:rsidRPr="008910EE">
        <w:t xml:space="preserve">build </w:t>
      </w:r>
      <w:r w:rsidR="00436848" w:rsidRPr="008910EE">
        <w:t>up</w:t>
      </w:r>
      <w:r w:rsidRPr="008910EE">
        <w:t xml:space="preserve"> family violence services to better support and respond </w:t>
      </w:r>
      <w:r w:rsidR="00D677A2" w:rsidRPr="008910EE">
        <w:t xml:space="preserve">earlier </w:t>
      </w:r>
      <w:r w:rsidRPr="008910EE">
        <w:t xml:space="preserve">to the complex needs of </w:t>
      </w:r>
      <w:r w:rsidR="00487F85" w:rsidRPr="008910EE">
        <w:t xml:space="preserve">adult and child </w:t>
      </w:r>
      <w:r w:rsidRPr="008910EE">
        <w:t xml:space="preserve">victim survivors </w:t>
      </w:r>
    </w:p>
    <w:p w14:paraId="1483C6F5" w14:textId="4E384253" w:rsidR="00A61354" w:rsidRPr="008910EE" w:rsidRDefault="00A61354" w:rsidP="00DD4BEE">
      <w:pPr>
        <w:pStyle w:val="Bullet1"/>
      </w:pPr>
      <w:r w:rsidRPr="008910EE">
        <w:t xml:space="preserve">put children into care services </w:t>
      </w:r>
      <w:r w:rsidR="00436848" w:rsidRPr="008910EE">
        <w:t xml:space="preserve">only </w:t>
      </w:r>
      <w:r w:rsidRPr="008910EE">
        <w:t>as the last resort to keep them safe</w:t>
      </w:r>
    </w:p>
    <w:p w14:paraId="2E21DD54" w14:textId="54B7775F" w:rsidR="00146B50" w:rsidRPr="008910EE" w:rsidRDefault="00A61354" w:rsidP="00DD4BEE">
      <w:pPr>
        <w:pStyle w:val="Bullet1"/>
      </w:pPr>
      <w:r w:rsidRPr="008910EE">
        <w:t>break the cycle by supporting young people in care services better</w:t>
      </w:r>
      <w:r w:rsidR="00702EFF" w:rsidRPr="008910EE">
        <w:t xml:space="preserve"> and helping them </w:t>
      </w:r>
      <w:r w:rsidR="00436848" w:rsidRPr="008910EE">
        <w:t xml:space="preserve">move </w:t>
      </w:r>
      <w:r w:rsidR="00702EFF" w:rsidRPr="008910EE">
        <w:t xml:space="preserve">to independent living </w:t>
      </w:r>
      <w:r w:rsidR="006E638E" w:rsidRPr="008910EE">
        <w:t>as an adult</w:t>
      </w:r>
    </w:p>
    <w:p w14:paraId="55C04957" w14:textId="43AC486C" w:rsidR="00146B50" w:rsidRPr="008910EE" w:rsidRDefault="00A61354" w:rsidP="00DD4BEE">
      <w:pPr>
        <w:pStyle w:val="Bullet1"/>
      </w:pPr>
      <w:r w:rsidRPr="008910EE">
        <w:t>prioriti</w:t>
      </w:r>
      <w:r w:rsidR="002B199D" w:rsidRPr="008910EE">
        <w:t>s</w:t>
      </w:r>
      <w:r w:rsidR="00B43655" w:rsidRPr="008910EE">
        <w:t>e</w:t>
      </w:r>
      <w:r w:rsidRPr="008910EE">
        <w:t xml:space="preserve"> </w:t>
      </w:r>
      <w:r w:rsidR="00423D3F" w:rsidRPr="008910EE">
        <w:t xml:space="preserve">safe, affordable </w:t>
      </w:r>
      <w:r w:rsidRPr="008910EE">
        <w:t xml:space="preserve">housing for people experiencing family violence </w:t>
      </w:r>
    </w:p>
    <w:p w14:paraId="745B8B59" w14:textId="35050661" w:rsidR="00A61354" w:rsidRPr="008910EE" w:rsidRDefault="001978B6" w:rsidP="00DD4BEE">
      <w:pPr>
        <w:pStyle w:val="Bullet1"/>
      </w:pPr>
      <w:r w:rsidRPr="008910EE">
        <w:t>hold</w:t>
      </w:r>
      <w:r w:rsidR="00146B50" w:rsidRPr="008910EE">
        <w:t xml:space="preserve"> perpetrators</w:t>
      </w:r>
      <w:r w:rsidRPr="008910EE">
        <w:t xml:space="preserve"> to account</w:t>
      </w:r>
      <w:r w:rsidR="00146B50" w:rsidRPr="008910EE">
        <w:t xml:space="preserve"> </w:t>
      </w:r>
      <w:r w:rsidR="00901046" w:rsidRPr="008910EE">
        <w:t>and support them to take responsibility for ending their violent behaviours</w:t>
      </w:r>
      <w:r w:rsidR="00A61354" w:rsidRPr="008910EE">
        <w:t>.</w:t>
      </w:r>
    </w:p>
    <w:p w14:paraId="6BE9F97D" w14:textId="0F08B884" w:rsidR="006F0FCD" w:rsidRPr="008910EE" w:rsidRDefault="00BD5ECF" w:rsidP="00987A42">
      <w:pPr>
        <w:pStyle w:val="Heading3"/>
      </w:pPr>
      <w:r w:rsidRPr="008910EE">
        <w:t xml:space="preserve">Safe </w:t>
      </w:r>
      <w:r w:rsidR="00D24013" w:rsidRPr="008910EE">
        <w:t xml:space="preserve">and supported </w:t>
      </w:r>
      <w:r w:rsidRPr="008910EE">
        <w:t>children</w:t>
      </w:r>
      <w:r w:rsidR="001558A3" w:rsidRPr="008910EE">
        <w:t xml:space="preserve"> and young people</w:t>
      </w:r>
    </w:p>
    <w:p w14:paraId="2BCE08A3" w14:textId="2C20F8C2" w:rsidR="009A6F9A" w:rsidRPr="008910EE" w:rsidRDefault="009A6F9A" w:rsidP="009A6F9A">
      <w:pPr>
        <w:pStyle w:val="Body"/>
      </w:pPr>
      <w:r w:rsidRPr="008910EE">
        <w:t>We will continue to work with children</w:t>
      </w:r>
      <w:r w:rsidR="00BC27E6" w:rsidRPr="008910EE">
        <w:t>, young people</w:t>
      </w:r>
      <w:r w:rsidRPr="008910EE">
        <w:t xml:space="preserve"> and families, communities and services through</w:t>
      </w:r>
      <w:r w:rsidR="00436848" w:rsidRPr="008910EE">
        <w:t xml:space="preserve"> the</w:t>
      </w:r>
      <w:r w:rsidRPr="008910EE">
        <w:t xml:space="preserve"> </w:t>
      </w:r>
      <w:r w:rsidRPr="008910EE">
        <w:rPr>
          <w:i/>
          <w:iCs/>
        </w:rPr>
        <w:t>Roadmap for Reform</w:t>
      </w:r>
      <w:r w:rsidR="00EA205E" w:rsidRPr="008910EE">
        <w:rPr>
          <w:i/>
          <w:iCs/>
        </w:rPr>
        <w:t>:</w:t>
      </w:r>
      <w:r w:rsidRPr="008910EE">
        <w:rPr>
          <w:i/>
          <w:iCs/>
        </w:rPr>
        <w:t xml:space="preserve"> </w:t>
      </w:r>
      <w:r w:rsidR="00F82118" w:rsidRPr="008910EE">
        <w:rPr>
          <w:i/>
          <w:iCs/>
        </w:rPr>
        <w:t>p</w:t>
      </w:r>
      <w:r w:rsidR="00F82118" w:rsidRPr="008910EE">
        <w:rPr>
          <w:rFonts w:cs="Arial"/>
          <w:i/>
          <w:iCs/>
          <w:color w:val="000000"/>
          <w:szCs w:val="21"/>
        </w:rPr>
        <w:t xml:space="preserve">athways to support for children and families </w:t>
      </w:r>
      <w:r w:rsidR="00DA6005" w:rsidRPr="008910EE">
        <w:rPr>
          <w:i/>
          <w:iCs/>
        </w:rPr>
        <w:t>p</w:t>
      </w:r>
      <w:r w:rsidRPr="008910EE">
        <w:rPr>
          <w:i/>
          <w:iCs/>
        </w:rPr>
        <w:t xml:space="preserve">riority </w:t>
      </w:r>
      <w:r w:rsidR="00F6648A" w:rsidRPr="008910EE">
        <w:rPr>
          <w:i/>
          <w:iCs/>
        </w:rPr>
        <w:t>s</w:t>
      </w:r>
      <w:r w:rsidRPr="008910EE">
        <w:rPr>
          <w:i/>
          <w:iCs/>
        </w:rPr>
        <w:t xml:space="preserve">etting </w:t>
      </w:r>
      <w:r w:rsidR="00F6648A" w:rsidRPr="008910EE">
        <w:rPr>
          <w:i/>
          <w:iCs/>
        </w:rPr>
        <w:t>p</w:t>
      </w:r>
      <w:r w:rsidRPr="008910EE">
        <w:rPr>
          <w:i/>
          <w:iCs/>
        </w:rPr>
        <w:t>lan 2021</w:t>
      </w:r>
      <w:r w:rsidR="00F6648A" w:rsidRPr="008910EE">
        <w:rPr>
          <w:i/>
          <w:iCs/>
        </w:rPr>
        <w:t>–</w:t>
      </w:r>
      <w:r w:rsidR="00436848" w:rsidRPr="008910EE">
        <w:rPr>
          <w:i/>
          <w:iCs/>
        </w:rPr>
        <w:t>20</w:t>
      </w:r>
      <w:r w:rsidRPr="008910EE">
        <w:rPr>
          <w:i/>
          <w:iCs/>
        </w:rPr>
        <w:t>24</w:t>
      </w:r>
      <w:r w:rsidR="003972E0" w:rsidRPr="008910EE">
        <w:rPr>
          <w:i/>
          <w:iCs/>
        </w:rPr>
        <w:t>.</w:t>
      </w:r>
    </w:p>
    <w:p w14:paraId="1A2E0EB0" w14:textId="07F3FF4D" w:rsidR="009A6F9A" w:rsidRPr="008910EE" w:rsidRDefault="009A6F9A" w:rsidP="009A6F9A">
      <w:pPr>
        <w:pStyle w:val="Body"/>
      </w:pPr>
      <w:r w:rsidRPr="008910EE">
        <w:t>As part of a $1.2 billion investment in children</w:t>
      </w:r>
      <w:r w:rsidR="00156789" w:rsidRPr="008910EE">
        <w:t>, young people</w:t>
      </w:r>
      <w:r w:rsidRPr="008910EE">
        <w:t xml:space="preserve"> and families</w:t>
      </w:r>
      <w:r w:rsidR="00756A20" w:rsidRPr="008910EE">
        <w:t xml:space="preserve"> through the 2021</w:t>
      </w:r>
      <w:r w:rsidR="00145405" w:rsidRPr="008910EE">
        <w:t>–</w:t>
      </w:r>
      <w:r w:rsidR="00756A20" w:rsidRPr="008910EE">
        <w:t>22</w:t>
      </w:r>
      <w:r w:rsidR="005030C4" w:rsidRPr="008910EE">
        <w:t xml:space="preserve"> Victorian State Budget</w:t>
      </w:r>
      <w:r w:rsidRPr="008910EE">
        <w:t xml:space="preserve">, </w:t>
      </w:r>
      <w:r w:rsidR="00B21DB1" w:rsidRPr="008910EE">
        <w:t>t</w:t>
      </w:r>
      <w:r w:rsidRPr="008910EE">
        <w:t>he child and family service system will provide early support</w:t>
      </w:r>
      <w:r w:rsidR="00F6648A" w:rsidRPr="008910EE">
        <w:t xml:space="preserve">. The system will </w:t>
      </w:r>
      <w:r w:rsidR="00385E58" w:rsidRPr="008910EE">
        <w:t>offer</w:t>
      </w:r>
      <w:r w:rsidRPr="008910EE">
        <w:t xml:space="preserve"> more tailored, targeted</w:t>
      </w:r>
      <w:r w:rsidR="00863110" w:rsidRPr="008910EE">
        <w:t xml:space="preserve"> </w:t>
      </w:r>
      <w:r w:rsidRPr="008910EE">
        <w:t>and therapeutic care options.</w:t>
      </w:r>
      <w:r w:rsidR="00CE1579" w:rsidRPr="008910EE">
        <w:rPr>
          <w:rStyle w:val="EndnoteReference"/>
        </w:rPr>
        <w:endnoteReference w:id="35"/>
      </w:r>
    </w:p>
    <w:p w14:paraId="64F4DD4C" w14:textId="37A049B3" w:rsidR="00344D0B" w:rsidRPr="008910EE" w:rsidRDefault="000F7DD2" w:rsidP="00344D0B">
      <w:pPr>
        <w:pStyle w:val="Body"/>
      </w:pPr>
      <w:r w:rsidRPr="008910EE">
        <w:t xml:space="preserve">A $70 million </w:t>
      </w:r>
      <w:r w:rsidR="00B63CCC" w:rsidRPr="008910EE">
        <w:t>investment i</w:t>
      </w:r>
      <w:r w:rsidRPr="008910EE">
        <w:t xml:space="preserve">n early intervention programs and targeted specialist support for 500 extra families will see </w:t>
      </w:r>
      <w:r w:rsidR="00344D0B" w:rsidRPr="008910EE">
        <w:t>a dedicated focus on early intervention</w:t>
      </w:r>
      <w:r w:rsidRPr="008910EE">
        <w:t>. This will</w:t>
      </w:r>
      <w:r w:rsidR="00344D0B" w:rsidRPr="008910EE">
        <w:t xml:space="preserve"> promot</w:t>
      </w:r>
      <w:r w:rsidRPr="008910EE">
        <w:t>e</w:t>
      </w:r>
      <w:r w:rsidR="00344D0B" w:rsidRPr="008910EE">
        <w:t xml:space="preserve"> strength and stability for at</w:t>
      </w:r>
      <w:r w:rsidR="00344D0B" w:rsidRPr="008910EE">
        <w:rPr>
          <w:rFonts w:ascii="Cambria Math" w:hAnsi="Cambria Math" w:cs="Cambria Math"/>
        </w:rPr>
        <w:t>‑</w:t>
      </w:r>
      <w:r w:rsidR="00344D0B" w:rsidRPr="008910EE">
        <w:t>risk families</w:t>
      </w:r>
      <w:r w:rsidRPr="008910EE">
        <w:t>.</w:t>
      </w:r>
      <w:r w:rsidR="002C0519" w:rsidRPr="008910EE">
        <w:rPr>
          <w:rStyle w:val="EndnoteReference"/>
        </w:rPr>
        <w:endnoteReference w:id="36"/>
      </w:r>
      <w:r w:rsidR="00344D0B" w:rsidRPr="008910EE">
        <w:t xml:space="preserve"> </w:t>
      </w:r>
    </w:p>
    <w:p w14:paraId="7FB17E67" w14:textId="203E7A9F" w:rsidR="00344D0B" w:rsidRPr="008910EE" w:rsidRDefault="00F6648A" w:rsidP="00344D0B">
      <w:pPr>
        <w:pStyle w:val="Body"/>
      </w:pPr>
      <w:r w:rsidRPr="008910EE">
        <w:t>We will embed f</w:t>
      </w:r>
      <w:r w:rsidR="001E26BE" w:rsidRPr="008910EE">
        <w:t>amily</w:t>
      </w:r>
      <w:r w:rsidR="00344D0B" w:rsidRPr="008910EE">
        <w:t xml:space="preserve"> services</w:t>
      </w:r>
      <w:r w:rsidR="001E26BE" w:rsidRPr="008910EE">
        <w:t xml:space="preserve"> specialists </w:t>
      </w:r>
      <w:r w:rsidR="00344D0B" w:rsidRPr="008910EE">
        <w:t>into schools and early years services</w:t>
      </w:r>
      <w:r w:rsidRPr="008910EE">
        <w:t>. These staff will</w:t>
      </w:r>
      <w:r w:rsidR="00A703DE" w:rsidRPr="008910EE">
        <w:t xml:space="preserve"> support </w:t>
      </w:r>
      <w:r w:rsidRPr="008910EE">
        <w:t xml:space="preserve">struggling families </w:t>
      </w:r>
      <w:r w:rsidR="00A703DE" w:rsidRPr="008910EE">
        <w:t>as early as possible</w:t>
      </w:r>
      <w:r w:rsidR="00344D0B" w:rsidRPr="008910EE">
        <w:t>.</w:t>
      </w:r>
    </w:p>
    <w:p w14:paraId="285474AB" w14:textId="10311520" w:rsidR="0069232C" w:rsidRPr="008910EE" w:rsidRDefault="0069232C" w:rsidP="0069232C">
      <w:pPr>
        <w:pStyle w:val="Body"/>
      </w:pPr>
      <w:r w:rsidRPr="008910EE">
        <w:t>We will continue to deliver new evidence</w:t>
      </w:r>
      <w:r w:rsidRPr="008910EE">
        <w:rPr>
          <w:rFonts w:ascii="Cambria Math" w:hAnsi="Cambria Math" w:cs="Cambria Math"/>
        </w:rPr>
        <w:t>‑</w:t>
      </w:r>
      <w:r w:rsidRPr="008910EE">
        <w:t>based family services to families where children and young people are at risk of entry to care services</w:t>
      </w:r>
      <w:r w:rsidR="00F6648A" w:rsidRPr="008910EE">
        <w:t xml:space="preserve">. We </w:t>
      </w:r>
      <w:r w:rsidR="00863110" w:rsidRPr="008910EE">
        <w:t>will</w:t>
      </w:r>
      <w:r w:rsidR="00F6648A" w:rsidRPr="008910EE">
        <w:t xml:space="preserve"> prioritise</w:t>
      </w:r>
      <w:r w:rsidRPr="008910EE">
        <w:t xml:space="preserve"> reunify</w:t>
      </w:r>
      <w:r w:rsidR="00F6648A" w:rsidRPr="008910EE">
        <w:t>ing</w:t>
      </w:r>
      <w:r w:rsidRPr="008910EE">
        <w:t xml:space="preserve"> children and young people with their families. This includes </w:t>
      </w:r>
      <w:r w:rsidR="00F6648A" w:rsidRPr="008910EE">
        <w:t>setting up</w:t>
      </w:r>
      <w:r w:rsidRPr="008910EE">
        <w:t xml:space="preserve"> </w:t>
      </w:r>
      <w:r w:rsidR="00F6648A" w:rsidRPr="008910EE">
        <w:t xml:space="preserve">stronger </w:t>
      </w:r>
      <w:r w:rsidRPr="008910EE">
        <w:t xml:space="preserve">partnerships between </w:t>
      </w:r>
      <w:r w:rsidR="00C62853" w:rsidRPr="008910EE">
        <w:t>C</w:t>
      </w:r>
      <w:r w:rsidRPr="008910EE">
        <w:t xml:space="preserve">hild </w:t>
      </w:r>
      <w:r w:rsidR="00C62853" w:rsidRPr="008910EE">
        <w:t>P</w:t>
      </w:r>
      <w:r w:rsidRPr="008910EE">
        <w:t xml:space="preserve">rotection and service providers. </w:t>
      </w:r>
    </w:p>
    <w:p w14:paraId="67B88E1F" w14:textId="6A116EAF" w:rsidR="003042CE" w:rsidRPr="008910EE" w:rsidRDefault="0069232C" w:rsidP="0069232C">
      <w:pPr>
        <w:pStyle w:val="Body"/>
      </w:pPr>
      <w:r w:rsidRPr="008910EE">
        <w:t xml:space="preserve">A $20 million </w:t>
      </w:r>
      <w:r w:rsidR="00B63CCC" w:rsidRPr="008910EE">
        <w:t>investment</w:t>
      </w:r>
      <w:r w:rsidR="00F6648A" w:rsidRPr="008910EE">
        <w:t xml:space="preserve"> </w:t>
      </w:r>
      <w:r w:rsidRPr="008910EE">
        <w:t xml:space="preserve">in family group conferencing will better protect children and young people involved with </w:t>
      </w:r>
      <w:r w:rsidR="00165FD6" w:rsidRPr="008910EE">
        <w:t>C</w:t>
      </w:r>
      <w:r w:rsidRPr="008910EE">
        <w:t xml:space="preserve">hild </w:t>
      </w:r>
      <w:r w:rsidR="00165FD6" w:rsidRPr="008910EE">
        <w:t>P</w:t>
      </w:r>
      <w:r w:rsidRPr="008910EE">
        <w:t>rotection</w:t>
      </w:r>
      <w:r w:rsidR="00F6648A" w:rsidRPr="008910EE">
        <w:t>. It</w:t>
      </w:r>
      <w:r w:rsidRPr="008910EE">
        <w:t xml:space="preserve"> </w:t>
      </w:r>
      <w:r w:rsidR="00F6648A" w:rsidRPr="008910EE">
        <w:t xml:space="preserve">will </w:t>
      </w:r>
      <w:r w:rsidRPr="008910EE">
        <w:t xml:space="preserve">bring family members together to activate support for a child or young person to </w:t>
      </w:r>
      <w:r w:rsidR="000110DF" w:rsidRPr="008910EE">
        <w:t xml:space="preserve">stay </w:t>
      </w:r>
      <w:r w:rsidRPr="008910EE">
        <w:t>at home</w:t>
      </w:r>
      <w:r w:rsidR="000110DF" w:rsidRPr="008910EE">
        <w:t xml:space="preserve"> safely</w:t>
      </w:r>
      <w:r w:rsidRPr="008910EE">
        <w:t>.</w:t>
      </w:r>
      <w:r w:rsidR="002C0519" w:rsidRPr="008910EE">
        <w:rPr>
          <w:rStyle w:val="EndnoteReference"/>
        </w:rPr>
        <w:endnoteReference w:id="37"/>
      </w:r>
    </w:p>
    <w:p w14:paraId="23E73285" w14:textId="1F56321A" w:rsidR="00FC0E83" w:rsidRPr="008910EE" w:rsidRDefault="00FC0E83" w:rsidP="00FC0E83">
      <w:pPr>
        <w:pStyle w:val="Body"/>
        <w:rPr>
          <w:rFonts w:cs="Arial"/>
        </w:rPr>
      </w:pPr>
      <w:r w:rsidRPr="008910EE">
        <w:rPr>
          <w:rFonts w:cs="Arial"/>
          <w:iCs/>
        </w:rPr>
        <w:t xml:space="preserve">Putting Families First </w:t>
      </w:r>
      <w:r w:rsidR="000F7DD2" w:rsidRPr="008910EE">
        <w:rPr>
          <w:rFonts w:cs="Arial"/>
          <w:iCs/>
        </w:rPr>
        <w:t>involves</w:t>
      </w:r>
      <w:r w:rsidRPr="008910EE">
        <w:rPr>
          <w:rFonts w:cs="Arial"/>
        </w:rPr>
        <w:t xml:space="preserve"> an $18 million trial of multidisciplinary case management teams</w:t>
      </w:r>
      <w:r w:rsidR="000F7DD2" w:rsidRPr="008910EE">
        <w:rPr>
          <w:rFonts w:cs="Arial"/>
        </w:rPr>
        <w:t>. The program</w:t>
      </w:r>
      <w:r w:rsidRPr="008910EE">
        <w:rPr>
          <w:rFonts w:cs="Arial"/>
        </w:rPr>
        <w:t xml:space="preserve"> will work directly with 200 families </w:t>
      </w:r>
      <w:r w:rsidR="003E5C28" w:rsidRPr="008910EE">
        <w:rPr>
          <w:rFonts w:cs="Arial"/>
        </w:rPr>
        <w:t xml:space="preserve">facing </w:t>
      </w:r>
      <w:r w:rsidR="006774D2" w:rsidRPr="008910EE">
        <w:rPr>
          <w:rFonts w:cs="Arial"/>
        </w:rPr>
        <w:t xml:space="preserve">the most </w:t>
      </w:r>
      <w:r w:rsidR="003E5C28" w:rsidRPr="008910EE">
        <w:rPr>
          <w:rFonts w:cs="Arial"/>
        </w:rPr>
        <w:t>complex</w:t>
      </w:r>
      <w:r w:rsidR="006774D2" w:rsidRPr="008910EE">
        <w:rPr>
          <w:rFonts w:cs="Arial"/>
        </w:rPr>
        <w:t xml:space="preserve"> challenges</w:t>
      </w:r>
      <w:r w:rsidRPr="008910EE">
        <w:rPr>
          <w:rFonts w:cs="Arial"/>
        </w:rPr>
        <w:t xml:space="preserve"> to </w:t>
      </w:r>
      <w:r w:rsidR="00165FD6" w:rsidRPr="008910EE">
        <w:rPr>
          <w:rFonts w:cs="Arial"/>
        </w:rPr>
        <w:t xml:space="preserve">give </w:t>
      </w:r>
      <w:r w:rsidRPr="008910EE">
        <w:rPr>
          <w:rFonts w:cs="Arial"/>
        </w:rPr>
        <w:t>practical, personalised and targeted support.</w:t>
      </w:r>
      <w:r w:rsidR="00833E50" w:rsidRPr="008910EE">
        <w:rPr>
          <w:rStyle w:val="EndnoteReference"/>
        </w:rPr>
        <w:endnoteReference w:id="38"/>
      </w:r>
    </w:p>
    <w:p w14:paraId="665EEC33" w14:textId="56DB0341" w:rsidR="00695AC3" w:rsidRPr="008910EE" w:rsidRDefault="000F7DD2" w:rsidP="00695AC3">
      <w:pPr>
        <w:pStyle w:val="Body"/>
        <w:rPr>
          <w:rFonts w:cs="Arial"/>
        </w:rPr>
      </w:pPr>
      <w:r w:rsidRPr="008910EE">
        <w:rPr>
          <w:rFonts w:cs="Arial"/>
        </w:rPr>
        <w:t xml:space="preserve">Funding of </w:t>
      </w:r>
      <w:r w:rsidR="00D50404" w:rsidRPr="008910EE">
        <w:rPr>
          <w:rFonts w:cs="Arial"/>
        </w:rPr>
        <w:t xml:space="preserve">$31.5 million will </w:t>
      </w:r>
      <w:r w:rsidR="00F6648A" w:rsidRPr="008910EE">
        <w:rPr>
          <w:rFonts w:cs="Arial"/>
        </w:rPr>
        <w:t>help</w:t>
      </w:r>
      <w:r w:rsidR="00D50404" w:rsidRPr="008910EE">
        <w:rPr>
          <w:rFonts w:cs="Arial"/>
        </w:rPr>
        <w:t xml:space="preserve"> </w:t>
      </w:r>
      <w:r w:rsidR="00F6648A" w:rsidRPr="008910EE">
        <w:rPr>
          <w:rFonts w:cs="Arial"/>
        </w:rPr>
        <w:t xml:space="preserve">change </w:t>
      </w:r>
      <w:r w:rsidR="00D50404" w:rsidRPr="008910EE">
        <w:rPr>
          <w:rFonts w:cs="Arial"/>
        </w:rPr>
        <w:t xml:space="preserve">the way </w:t>
      </w:r>
      <w:r w:rsidRPr="008910EE">
        <w:rPr>
          <w:rFonts w:cs="Arial"/>
        </w:rPr>
        <w:t xml:space="preserve">we deliver </w:t>
      </w:r>
      <w:r w:rsidR="00D50404" w:rsidRPr="008910EE">
        <w:rPr>
          <w:rFonts w:cs="Arial"/>
        </w:rPr>
        <w:t xml:space="preserve">services </w:t>
      </w:r>
      <w:r w:rsidRPr="008910EE">
        <w:rPr>
          <w:rFonts w:cs="Arial"/>
        </w:rPr>
        <w:t>to</w:t>
      </w:r>
      <w:r w:rsidR="00D50404" w:rsidRPr="008910EE">
        <w:rPr>
          <w:rFonts w:cs="Arial"/>
        </w:rPr>
        <w:t xml:space="preserve"> at</w:t>
      </w:r>
      <w:r w:rsidR="00D50404" w:rsidRPr="008910EE">
        <w:rPr>
          <w:rFonts w:ascii="Cambria Math" w:hAnsi="Cambria Math" w:cs="Cambria Math"/>
        </w:rPr>
        <w:t>‑</w:t>
      </w:r>
      <w:r w:rsidR="00D50404" w:rsidRPr="008910EE">
        <w:rPr>
          <w:rFonts w:cs="Arial"/>
        </w:rPr>
        <w:t xml:space="preserve">risk Aboriginal families. </w:t>
      </w:r>
      <w:r w:rsidR="018E2F10" w:rsidRPr="008910EE">
        <w:rPr>
          <w:rFonts w:cs="Arial"/>
        </w:rPr>
        <w:t>This funding</w:t>
      </w:r>
      <w:r w:rsidR="00D50404" w:rsidRPr="008910EE">
        <w:rPr>
          <w:rFonts w:cs="Arial"/>
        </w:rPr>
        <w:t xml:space="preserve"> will support </w:t>
      </w:r>
      <w:r w:rsidR="59E04DA8" w:rsidRPr="008910EE">
        <w:rPr>
          <w:rFonts w:cs="Arial"/>
        </w:rPr>
        <w:t xml:space="preserve">our commitment to </w:t>
      </w:r>
      <w:r w:rsidR="00D50404" w:rsidRPr="008910EE">
        <w:rPr>
          <w:rFonts w:cs="Arial"/>
        </w:rPr>
        <w:t xml:space="preserve">Aboriginal self-determination by </w:t>
      </w:r>
      <w:r w:rsidR="00E22421" w:rsidRPr="008910EE">
        <w:rPr>
          <w:rFonts w:cs="Arial"/>
        </w:rPr>
        <w:t xml:space="preserve">helping more </w:t>
      </w:r>
      <w:r w:rsidR="00D50404" w:rsidRPr="008910EE">
        <w:rPr>
          <w:rFonts w:cs="Arial"/>
        </w:rPr>
        <w:t xml:space="preserve">Aboriginal children and young people </w:t>
      </w:r>
      <w:r w:rsidR="653CC48A" w:rsidRPr="008910EE">
        <w:rPr>
          <w:rFonts w:cs="Arial"/>
        </w:rPr>
        <w:t>receiv</w:t>
      </w:r>
      <w:r w:rsidR="00E22421" w:rsidRPr="008910EE">
        <w:rPr>
          <w:rFonts w:cs="Arial"/>
        </w:rPr>
        <w:t>e</w:t>
      </w:r>
      <w:r w:rsidR="000110DF" w:rsidRPr="008910EE">
        <w:rPr>
          <w:rFonts w:cs="Arial"/>
        </w:rPr>
        <w:t xml:space="preserve"> </w:t>
      </w:r>
      <w:r w:rsidR="00D50404" w:rsidRPr="008910EE">
        <w:rPr>
          <w:rFonts w:cs="Arial"/>
        </w:rPr>
        <w:t>case</w:t>
      </w:r>
      <w:r w:rsidR="000110DF" w:rsidRPr="008910EE">
        <w:rPr>
          <w:rFonts w:ascii="Cambria Math" w:hAnsi="Cambria Math" w:cs="Cambria Math"/>
        </w:rPr>
        <w:t xml:space="preserve"> </w:t>
      </w:r>
      <w:r w:rsidR="00D50404" w:rsidRPr="008910EE">
        <w:rPr>
          <w:rFonts w:cs="Arial"/>
        </w:rPr>
        <w:t>manage</w:t>
      </w:r>
      <w:r w:rsidR="3B35B237" w:rsidRPr="008910EE">
        <w:rPr>
          <w:rFonts w:cs="Arial"/>
        </w:rPr>
        <w:t>ment</w:t>
      </w:r>
      <w:r w:rsidR="00D50404" w:rsidRPr="008910EE">
        <w:rPr>
          <w:rFonts w:cs="Arial"/>
        </w:rPr>
        <w:t xml:space="preserve"> and suppor</w:t>
      </w:r>
      <w:r w:rsidR="694EF996" w:rsidRPr="008910EE">
        <w:rPr>
          <w:rFonts w:cs="Arial"/>
        </w:rPr>
        <w:t>t</w:t>
      </w:r>
      <w:r w:rsidR="00D50404" w:rsidRPr="008910EE">
        <w:rPr>
          <w:rFonts w:cs="Arial"/>
        </w:rPr>
        <w:t xml:space="preserve"> </w:t>
      </w:r>
      <w:r w:rsidR="156A5074" w:rsidRPr="008910EE">
        <w:rPr>
          <w:rFonts w:cs="Arial"/>
        </w:rPr>
        <w:t>from</w:t>
      </w:r>
      <w:r w:rsidR="00D50404" w:rsidRPr="008910EE">
        <w:rPr>
          <w:rFonts w:cs="Arial"/>
        </w:rPr>
        <w:t xml:space="preserve"> Aboriginal organisations.</w:t>
      </w:r>
      <w:r w:rsidR="1E418DF5" w:rsidRPr="008910EE">
        <w:rPr>
          <w:rFonts w:cs="Arial"/>
        </w:rPr>
        <w:t xml:space="preserve"> </w:t>
      </w:r>
      <w:r w:rsidR="00453154" w:rsidRPr="008910EE">
        <w:rPr>
          <w:rFonts w:cs="Arial"/>
        </w:rPr>
        <w:t>We will also</w:t>
      </w:r>
      <w:r w:rsidR="00FC0E83" w:rsidRPr="008910EE">
        <w:rPr>
          <w:rFonts w:cs="Arial"/>
        </w:rPr>
        <w:t xml:space="preserve"> strengthen support provided to kinship, foster and permanent carers through the $101.8 million </w:t>
      </w:r>
      <w:r w:rsidR="00FC0E83" w:rsidRPr="008910EE">
        <w:rPr>
          <w:rFonts w:cs="Arial"/>
          <w:iCs/>
        </w:rPr>
        <w:t>Reforming Care Services</w:t>
      </w:r>
      <w:r w:rsidR="00FC0E83" w:rsidRPr="008910EE">
        <w:rPr>
          <w:rFonts w:cs="Arial"/>
        </w:rPr>
        <w:t xml:space="preserve"> package.</w:t>
      </w:r>
      <w:r w:rsidR="00622B86" w:rsidRPr="008910EE">
        <w:rPr>
          <w:rStyle w:val="EndnoteReference"/>
        </w:rPr>
        <w:endnoteReference w:id="39"/>
      </w:r>
      <w:r w:rsidR="003B21A3" w:rsidRPr="008910EE">
        <w:rPr>
          <w:rFonts w:cs="Arial"/>
        </w:rPr>
        <w:t xml:space="preserve"> </w:t>
      </w:r>
    </w:p>
    <w:p w14:paraId="44CF40A9" w14:textId="11DD8FB8" w:rsidR="00F6648A" w:rsidRPr="008910EE" w:rsidRDefault="004910B6" w:rsidP="00E222FC">
      <w:pPr>
        <w:pStyle w:val="Body"/>
      </w:pPr>
      <w:r w:rsidRPr="008910EE">
        <w:rPr>
          <w:rFonts w:cs="Arial"/>
        </w:rPr>
        <w:t xml:space="preserve">Child </w:t>
      </w:r>
      <w:r w:rsidR="000110DF" w:rsidRPr="008910EE">
        <w:rPr>
          <w:rFonts w:cs="Arial"/>
        </w:rPr>
        <w:t>P</w:t>
      </w:r>
      <w:r w:rsidRPr="008910EE">
        <w:rPr>
          <w:rFonts w:cs="Arial"/>
        </w:rPr>
        <w:t xml:space="preserve">rotection </w:t>
      </w:r>
      <w:r w:rsidR="002152BA" w:rsidRPr="008910EE">
        <w:rPr>
          <w:rFonts w:cs="Arial"/>
        </w:rPr>
        <w:t>has</w:t>
      </w:r>
      <w:r w:rsidRPr="008910EE">
        <w:rPr>
          <w:rFonts w:cs="Arial"/>
        </w:rPr>
        <w:t xml:space="preserve"> an important role in keeping children and young people safe</w:t>
      </w:r>
      <w:r w:rsidR="00E3192A" w:rsidRPr="008910EE">
        <w:rPr>
          <w:rFonts w:cs="Arial"/>
        </w:rPr>
        <w:t xml:space="preserve"> </w:t>
      </w:r>
      <w:r w:rsidR="002152BA" w:rsidRPr="008910EE">
        <w:rPr>
          <w:rFonts w:cs="Arial"/>
        </w:rPr>
        <w:t>and</w:t>
      </w:r>
      <w:r w:rsidRPr="008910EE">
        <w:rPr>
          <w:rFonts w:cs="Arial"/>
        </w:rPr>
        <w:t xml:space="preserve"> protecting them from abuse and neglect. </w:t>
      </w:r>
      <w:r w:rsidR="002152BA" w:rsidRPr="008910EE">
        <w:rPr>
          <w:rFonts w:cs="Arial"/>
        </w:rPr>
        <w:t>Child Protection will investigate</w:t>
      </w:r>
      <w:r w:rsidRPr="008910EE">
        <w:rPr>
          <w:rFonts w:cs="Arial"/>
        </w:rPr>
        <w:t xml:space="preserve"> situations </w:t>
      </w:r>
      <w:r w:rsidR="002152BA" w:rsidRPr="008910EE">
        <w:rPr>
          <w:rFonts w:cs="Arial"/>
        </w:rPr>
        <w:t>when</w:t>
      </w:r>
      <w:r w:rsidRPr="008910EE">
        <w:rPr>
          <w:rFonts w:cs="Arial"/>
        </w:rPr>
        <w:t xml:space="preserve"> there are significant concerns for the safety and wellbeing of a child or young person. </w:t>
      </w:r>
      <w:r w:rsidR="00F6648A" w:rsidRPr="008910EE">
        <w:rPr>
          <w:rFonts w:cs="Arial"/>
        </w:rPr>
        <w:t>This is in addition to</w:t>
      </w:r>
      <w:r w:rsidR="00165FD6" w:rsidRPr="008910EE">
        <w:rPr>
          <w:rFonts w:cs="Arial"/>
        </w:rPr>
        <w:t xml:space="preserve"> </w:t>
      </w:r>
      <w:r w:rsidR="00F6648A" w:rsidRPr="008910EE">
        <w:t>receiving reports</w:t>
      </w:r>
      <w:r w:rsidR="00165FD6" w:rsidRPr="008910EE">
        <w:t xml:space="preserve">, </w:t>
      </w:r>
      <w:r w:rsidR="00F6648A" w:rsidRPr="008910EE">
        <w:t xml:space="preserve">providing advice </w:t>
      </w:r>
      <w:r w:rsidR="00165FD6" w:rsidRPr="008910EE">
        <w:t xml:space="preserve">and </w:t>
      </w:r>
      <w:r w:rsidR="00F6648A" w:rsidRPr="008910EE">
        <w:t>referring families to services.</w:t>
      </w:r>
    </w:p>
    <w:p w14:paraId="1E018848" w14:textId="1E392C32" w:rsidR="00097C4F" w:rsidRPr="008910EE" w:rsidRDefault="002152BA" w:rsidP="004910B6">
      <w:pPr>
        <w:pStyle w:val="Body"/>
        <w:rPr>
          <w:rFonts w:cs="Arial"/>
        </w:rPr>
      </w:pPr>
      <w:r w:rsidRPr="008910EE">
        <w:rPr>
          <w:rFonts w:cs="Arial"/>
        </w:rPr>
        <w:t xml:space="preserve">Child Protection </w:t>
      </w:r>
      <w:r w:rsidR="000110DF" w:rsidRPr="008910EE">
        <w:rPr>
          <w:rFonts w:cs="Arial"/>
        </w:rPr>
        <w:t xml:space="preserve">will </w:t>
      </w:r>
      <w:r w:rsidR="004910B6" w:rsidRPr="008910EE">
        <w:rPr>
          <w:rFonts w:cs="Arial"/>
        </w:rPr>
        <w:t xml:space="preserve">work with families </w:t>
      </w:r>
      <w:r w:rsidR="000110DF" w:rsidRPr="008910EE">
        <w:rPr>
          <w:rFonts w:cs="Arial"/>
        </w:rPr>
        <w:t xml:space="preserve">so </w:t>
      </w:r>
      <w:r w:rsidR="004910B6" w:rsidRPr="008910EE">
        <w:rPr>
          <w:rFonts w:cs="Arial"/>
        </w:rPr>
        <w:t xml:space="preserve">children and young </w:t>
      </w:r>
      <w:r w:rsidR="00720FCB" w:rsidRPr="008910EE">
        <w:rPr>
          <w:rFonts w:cs="Arial"/>
        </w:rPr>
        <w:t>people</w:t>
      </w:r>
      <w:r w:rsidRPr="008910EE">
        <w:rPr>
          <w:rFonts w:cs="Arial"/>
        </w:rPr>
        <w:t xml:space="preserve"> </w:t>
      </w:r>
      <w:r w:rsidR="000110DF" w:rsidRPr="008910EE">
        <w:rPr>
          <w:rFonts w:cs="Arial"/>
        </w:rPr>
        <w:t xml:space="preserve">can stay </w:t>
      </w:r>
      <w:r w:rsidR="004910B6" w:rsidRPr="008910EE">
        <w:rPr>
          <w:rFonts w:cs="Arial"/>
        </w:rPr>
        <w:t xml:space="preserve">safely at home. </w:t>
      </w:r>
      <w:r w:rsidR="000F7DD2" w:rsidRPr="008910EE">
        <w:rPr>
          <w:rFonts w:cs="Arial"/>
        </w:rPr>
        <w:t xml:space="preserve">We will arrange </w:t>
      </w:r>
      <w:r w:rsidR="004910B6" w:rsidRPr="008910EE">
        <w:rPr>
          <w:rFonts w:cs="Arial"/>
        </w:rPr>
        <w:t xml:space="preserve">alternative care </w:t>
      </w:r>
      <w:r w:rsidR="00165FD6" w:rsidRPr="008910EE">
        <w:rPr>
          <w:rFonts w:cs="Arial"/>
        </w:rPr>
        <w:t>if</w:t>
      </w:r>
      <w:r w:rsidR="000F7DD2" w:rsidRPr="008910EE">
        <w:rPr>
          <w:rFonts w:cs="Arial"/>
        </w:rPr>
        <w:t xml:space="preserve"> </w:t>
      </w:r>
      <w:r w:rsidR="00165FD6" w:rsidRPr="008910EE">
        <w:rPr>
          <w:rFonts w:cs="Arial"/>
        </w:rPr>
        <w:t>staying at home</w:t>
      </w:r>
      <w:r w:rsidR="000F7DD2" w:rsidRPr="008910EE">
        <w:rPr>
          <w:rFonts w:cs="Arial"/>
        </w:rPr>
        <w:t xml:space="preserve"> is not possible</w:t>
      </w:r>
      <w:r w:rsidR="004910B6" w:rsidRPr="008910EE">
        <w:rPr>
          <w:rFonts w:cs="Arial"/>
        </w:rPr>
        <w:t xml:space="preserve">. </w:t>
      </w:r>
      <w:r w:rsidR="0009765F" w:rsidRPr="008910EE">
        <w:rPr>
          <w:rFonts w:cs="Arial"/>
        </w:rPr>
        <w:t xml:space="preserve">Our Secretary </w:t>
      </w:r>
      <w:r w:rsidR="00EE7B98" w:rsidRPr="008910EE">
        <w:rPr>
          <w:rFonts w:cs="Arial"/>
        </w:rPr>
        <w:t xml:space="preserve">has </w:t>
      </w:r>
      <w:r w:rsidR="0009765F" w:rsidRPr="008910EE">
        <w:rPr>
          <w:rStyle w:val="xnormaltextrun"/>
          <w:rFonts w:eastAsia="Arial" w:cs="Arial"/>
        </w:rPr>
        <w:t>parental responsibility for 12,7</w:t>
      </w:r>
      <w:r w:rsidR="00A5600E" w:rsidRPr="008910EE">
        <w:rPr>
          <w:rStyle w:val="xnormaltextrun"/>
          <w:rFonts w:eastAsia="Arial" w:cs="Arial"/>
        </w:rPr>
        <w:t>27</w:t>
      </w:r>
      <w:r w:rsidR="0009765F" w:rsidRPr="008910EE">
        <w:rPr>
          <w:rStyle w:val="xnormaltextrun"/>
          <w:rFonts w:eastAsia="Arial" w:cs="Arial"/>
        </w:rPr>
        <w:t xml:space="preserve"> children in our child protection system</w:t>
      </w:r>
      <w:r w:rsidR="00EE7B98" w:rsidRPr="008910EE">
        <w:rPr>
          <w:rFonts w:cs="Arial"/>
        </w:rPr>
        <w:t>.</w:t>
      </w:r>
      <w:r w:rsidR="00637E02" w:rsidRPr="008910EE">
        <w:rPr>
          <w:rStyle w:val="EndnoteReference"/>
          <w:rFonts w:cs="Arial"/>
        </w:rPr>
        <w:endnoteReference w:id="40"/>
      </w:r>
      <w:r w:rsidR="00807AA0" w:rsidRPr="008910EE">
        <w:rPr>
          <w:rFonts w:cs="Arial"/>
        </w:rPr>
        <w:t xml:space="preserve"> </w:t>
      </w:r>
    </w:p>
    <w:p w14:paraId="5E8FB3C5" w14:textId="50DF2A6E" w:rsidR="004910B6" w:rsidRPr="008910EE" w:rsidRDefault="002152BA" w:rsidP="004910B6">
      <w:pPr>
        <w:pStyle w:val="Body"/>
        <w:rPr>
          <w:rFonts w:cs="Arial"/>
        </w:rPr>
      </w:pPr>
      <w:r w:rsidRPr="008910EE">
        <w:rPr>
          <w:rFonts w:cs="Arial"/>
        </w:rPr>
        <w:t xml:space="preserve">To support service delivery, </w:t>
      </w:r>
      <w:r w:rsidR="00EC1F4E" w:rsidRPr="008910EE">
        <w:rPr>
          <w:rFonts w:cs="Arial"/>
        </w:rPr>
        <w:t xml:space="preserve">we will recruit </w:t>
      </w:r>
      <w:r w:rsidRPr="008910EE">
        <w:rPr>
          <w:rFonts w:cs="Arial"/>
        </w:rPr>
        <w:t xml:space="preserve">280 new frontline child protection practitioners. This includes 34 child protection navigators who will connect </w:t>
      </w:r>
      <w:r w:rsidR="00165FD6" w:rsidRPr="008910EE">
        <w:rPr>
          <w:rFonts w:cs="Arial"/>
        </w:rPr>
        <w:t xml:space="preserve">struggling </w:t>
      </w:r>
      <w:r w:rsidRPr="008910EE">
        <w:rPr>
          <w:rFonts w:cs="Arial"/>
        </w:rPr>
        <w:t>families to intensive family support.</w:t>
      </w:r>
      <w:r w:rsidR="00413107" w:rsidRPr="008910EE">
        <w:rPr>
          <w:rStyle w:val="EndnoteReference"/>
        </w:rPr>
        <w:endnoteReference w:id="41"/>
      </w:r>
      <w:r w:rsidR="00EE7B98" w:rsidRPr="008910EE">
        <w:rPr>
          <w:rFonts w:cs="Arial"/>
        </w:rPr>
        <w:t xml:space="preserve"> </w:t>
      </w:r>
    </w:p>
    <w:p w14:paraId="292DEBE2" w14:textId="6FA24B71" w:rsidR="0018184A" w:rsidRPr="008910EE" w:rsidRDefault="0018184A" w:rsidP="0018184A">
      <w:pPr>
        <w:pStyle w:val="Body"/>
        <w:rPr>
          <w:rFonts w:cs="Arial"/>
        </w:rPr>
      </w:pPr>
      <w:r w:rsidRPr="008910EE">
        <w:rPr>
          <w:rFonts w:cs="Arial"/>
        </w:rPr>
        <w:t xml:space="preserve">We are reforming residential care services </w:t>
      </w:r>
      <w:r w:rsidR="0EEFBCC5" w:rsidRPr="008910EE">
        <w:rPr>
          <w:rFonts w:cs="Arial"/>
        </w:rPr>
        <w:t xml:space="preserve">to deliver a new model of therapeutic care </w:t>
      </w:r>
      <w:r w:rsidRPr="008910EE">
        <w:rPr>
          <w:rFonts w:cs="Arial"/>
        </w:rPr>
        <w:t>for children and young people who can</w:t>
      </w:r>
      <w:r w:rsidR="009108C9" w:rsidRPr="008910EE">
        <w:rPr>
          <w:rFonts w:cs="Arial"/>
        </w:rPr>
        <w:t>not</w:t>
      </w:r>
      <w:r w:rsidRPr="008910EE">
        <w:rPr>
          <w:rFonts w:cs="Arial"/>
        </w:rPr>
        <w:t xml:space="preserve"> stay at home</w:t>
      </w:r>
      <w:r w:rsidR="009108C9" w:rsidRPr="008910EE">
        <w:rPr>
          <w:rFonts w:cs="Arial"/>
        </w:rPr>
        <w:t xml:space="preserve">. We will </w:t>
      </w:r>
      <w:r w:rsidR="000110DF" w:rsidRPr="008910EE">
        <w:rPr>
          <w:rFonts w:cs="Arial"/>
        </w:rPr>
        <w:t xml:space="preserve">set up </w:t>
      </w:r>
      <w:r w:rsidRPr="008910EE">
        <w:rPr>
          <w:rFonts w:eastAsia="Times New Roman" w:cs="Arial"/>
          <w:sz w:val="20"/>
        </w:rPr>
        <w:t xml:space="preserve">25 </w:t>
      </w:r>
      <w:r w:rsidRPr="008910EE">
        <w:rPr>
          <w:rFonts w:eastAsia="Times New Roman" w:cs="Arial"/>
        </w:rPr>
        <w:t>new two</w:t>
      </w:r>
      <w:r w:rsidR="000110DF" w:rsidRPr="008910EE">
        <w:rPr>
          <w:rFonts w:eastAsia="Times New Roman" w:cs="Arial"/>
        </w:rPr>
        <w:t>-</w:t>
      </w:r>
      <w:r w:rsidRPr="008910EE">
        <w:rPr>
          <w:rFonts w:eastAsia="Times New Roman" w:cs="Arial"/>
        </w:rPr>
        <w:t xml:space="preserve"> and three</w:t>
      </w:r>
      <w:r w:rsidR="000110DF" w:rsidRPr="008910EE">
        <w:rPr>
          <w:rFonts w:eastAsia="Times New Roman" w:cs="Arial"/>
        </w:rPr>
        <w:t>-</w:t>
      </w:r>
      <w:r w:rsidRPr="008910EE">
        <w:rPr>
          <w:rFonts w:eastAsia="Times New Roman" w:cs="Arial"/>
        </w:rPr>
        <w:t xml:space="preserve">bed residential care facilities </w:t>
      </w:r>
      <w:r w:rsidR="00074595" w:rsidRPr="008910EE">
        <w:rPr>
          <w:rFonts w:eastAsia="Times New Roman" w:cs="Arial"/>
        </w:rPr>
        <w:t xml:space="preserve">for </w:t>
      </w:r>
      <w:r w:rsidRPr="008910EE">
        <w:rPr>
          <w:rFonts w:eastAsia="Times New Roman" w:cs="Arial"/>
        </w:rPr>
        <w:t>better placement matching</w:t>
      </w:r>
      <w:r w:rsidR="000110DF" w:rsidRPr="008910EE">
        <w:rPr>
          <w:rFonts w:eastAsia="Times New Roman" w:cs="Arial"/>
        </w:rPr>
        <w:t xml:space="preserve">. We will also improve </w:t>
      </w:r>
      <w:r w:rsidRPr="008910EE">
        <w:rPr>
          <w:rFonts w:eastAsia="Times New Roman" w:cs="Arial"/>
        </w:rPr>
        <w:t>the quality and safety of residential care</w:t>
      </w:r>
      <w:r w:rsidR="30E0EFC3" w:rsidRPr="008910EE">
        <w:rPr>
          <w:rFonts w:eastAsia="Times New Roman" w:cs="Arial"/>
        </w:rPr>
        <w:t xml:space="preserve">. This reform will </w:t>
      </w:r>
      <w:r w:rsidRPr="008910EE">
        <w:rPr>
          <w:rFonts w:eastAsia="Times New Roman" w:cs="Arial"/>
        </w:rPr>
        <w:t xml:space="preserve">trial a Care Hub, which </w:t>
      </w:r>
      <w:r w:rsidR="00165FD6" w:rsidRPr="008910EE">
        <w:rPr>
          <w:rFonts w:eastAsia="Times New Roman" w:cs="Arial"/>
        </w:rPr>
        <w:t xml:space="preserve">delivers </w:t>
      </w:r>
      <w:r w:rsidRPr="008910EE">
        <w:rPr>
          <w:rFonts w:eastAsia="Times New Roman" w:cs="Arial"/>
        </w:rPr>
        <w:t xml:space="preserve">wraparound support for children </w:t>
      </w:r>
      <w:r w:rsidR="00B379CF" w:rsidRPr="008910EE">
        <w:rPr>
          <w:rFonts w:eastAsia="Times New Roman" w:cs="Arial"/>
        </w:rPr>
        <w:t xml:space="preserve">and young people </w:t>
      </w:r>
      <w:r w:rsidRPr="008910EE">
        <w:rPr>
          <w:rFonts w:eastAsia="Times New Roman" w:cs="Arial"/>
        </w:rPr>
        <w:t>entering care for the first time</w:t>
      </w:r>
      <w:r w:rsidR="00B73321" w:rsidRPr="008910EE">
        <w:rPr>
          <w:rFonts w:eastAsia="Times New Roman" w:cs="Arial"/>
        </w:rPr>
        <w:t>. This will</w:t>
      </w:r>
      <w:r w:rsidRPr="008910EE">
        <w:rPr>
          <w:rFonts w:eastAsia="Times New Roman" w:cs="Arial"/>
        </w:rPr>
        <w:t xml:space="preserve"> giv</w:t>
      </w:r>
      <w:r w:rsidR="00B73321" w:rsidRPr="008910EE">
        <w:rPr>
          <w:rFonts w:eastAsia="Times New Roman" w:cs="Arial"/>
        </w:rPr>
        <w:t>e</w:t>
      </w:r>
      <w:r w:rsidRPr="008910EE">
        <w:rPr>
          <w:rFonts w:eastAsia="Times New Roman" w:cs="Arial"/>
        </w:rPr>
        <w:t xml:space="preserve"> kids a greater sense of security and reunit</w:t>
      </w:r>
      <w:r w:rsidR="00B73321" w:rsidRPr="008910EE">
        <w:rPr>
          <w:rFonts w:eastAsia="Times New Roman" w:cs="Arial"/>
        </w:rPr>
        <w:t>e</w:t>
      </w:r>
      <w:r w:rsidRPr="008910EE">
        <w:rPr>
          <w:rFonts w:eastAsia="Times New Roman" w:cs="Arial"/>
        </w:rPr>
        <w:t xml:space="preserve"> families earlier</w:t>
      </w:r>
      <w:r w:rsidR="00CC1A5A" w:rsidRPr="008910EE">
        <w:rPr>
          <w:rFonts w:eastAsia="Times New Roman" w:cs="Arial"/>
        </w:rPr>
        <w:t xml:space="preserve">. </w:t>
      </w:r>
      <w:r w:rsidR="00074595" w:rsidRPr="008910EE">
        <w:rPr>
          <w:rFonts w:eastAsia="Times New Roman" w:cs="Arial"/>
        </w:rPr>
        <w:t xml:space="preserve">On top of this, </w:t>
      </w:r>
      <w:r w:rsidR="00CC1A5A" w:rsidRPr="008910EE">
        <w:rPr>
          <w:rFonts w:eastAsia="Times New Roman" w:cs="Arial"/>
        </w:rPr>
        <w:t>we are</w:t>
      </w:r>
      <w:r w:rsidRPr="008910EE">
        <w:rPr>
          <w:rFonts w:eastAsia="Times New Roman" w:cs="Arial"/>
        </w:rPr>
        <w:t xml:space="preserve"> expanding the </w:t>
      </w:r>
      <w:r w:rsidR="00CC1A5A" w:rsidRPr="008910EE">
        <w:rPr>
          <w:rFonts w:eastAsia="Times New Roman" w:cs="Arial"/>
        </w:rPr>
        <w:t>Keep Embracing Your Success (</w:t>
      </w:r>
      <w:r w:rsidRPr="008910EE">
        <w:rPr>
          <w:rFonts w:eastAsia="Times New Roman" w:cs="Arial"/>
        </w:rPr>
        <w:t>KEYS</w:t>
      </w:r>
      <w:r w:rsidR="00CC1A5A" w:rsidRPr="008910EE">
        <w:rPr>
          <w:rFonts w:eastAsia="Times New Roman" w:cs="Arial"/>
        </w:rPr>
        <w:t>)</w:t>
      </w:r>
      <w:r w:rsidRPr="008910EE">
        <w:rPr>
          <w:rFonts w:eastAsia="Times New Roman" w:cs="Arial"/>
        </w:rPr>
        <w:t xml:space="preserve"> model of residential care</w:t>
      </w:r>
      <w:r w:rsidR="002D3A8A" w:rsidRPr="008910EE">
        <w:rPr>
          <w:rFonts w:eastAsia="Times New Roman" w:cs="Arial"/>
        </w:rPr>
        <w:t xml:space="preserve"> (including an Aboriginal-specific KEYS program)</w:t>
      </w:r>
      <w:r w:rsidR="00B73321" w:rsidRPr="008910EE">
        <w:rPr>
          <w:rFonts w:eastAsia="Times New Roman" w:cs="Arial"/>
        </w:rPr>
        <w:t>. This model</w:t>
      </w:r>
      <w:r w:rsidRPr="008910EE">
        <w:rPr>
          <w:rFonts w:eastAsia="Times New Roman" w:cs="Arial"/>
        </w:rPr>
        <w:t xml:space="preserve"> supports children</w:t>
      </w:r>
      <w:r w:rsidR="00032A11" w:rsidRPr="008910EE">
        <w:rPr>
          <w:rFonts w:eastAsia="Times New Roman" w:cs="Arial"/>
        </w:rPr>
        <w:t xml:space="preserve"> and young people</w:t>
      </w:r>
      <w:r w:rsidRPr="008910EE">
        <w:rPr>
          <w:rFonts w:eastAsia="Times New Roman" w:cs="Arial"/>
        </w:rPr>
        <w:t xml:space="preserve"> with mental health</w:t>
      </w:r>
      <w:r w:rsidR="002D3A8A" w:rsidRPr="008910EE">
        <w:rPr>
          <w:rFonts w:eastAsia="Times New Roman" w:cs="Arial"/>
        </w:rPr>
        <w:t xml:space="preserve"> issues</w:t>
      </w:r>
      <w:r w:rsidRPr="008910EE">
        <w:rPr>
          <w:rFonts w:eastAsia="Times New Roman" w:cs="Arial"/>
        </w:rPr>
        <w:t xml:space="preserve"> and complex needs to </w:t>
      </w:r>
      <w:r w:rsidR="00074595" w:rsidRPr="008910EE">
        <w:rPr>
          <w:rFonts w:eastAsia="Times New Roman" w:cs="Arial"/>
        </w:rPr>
        <w:t xml:space="preserve">move </w:t>
      </w:r>
      <w:r w:rsidRPr="008910EE">
        <w:rPr>
          <w:rFonts w:eastAsia="Times New Roman" w:cs="Arial"/>
        </w:rPr>
        <w:t>back home</w:t>
      </w:r>
      <w:r w:rsidR="00032A11" w:rsidRPr="008910EE">
        <w:rPr>
          <w:rFonts w:eastAsia="Times New Roman" w:cs="Arial"/>
        </w:rPr>
        <w:t xml:space="preserve"> or into adulthood</w:t>
      </w:r>
      <w:r w:rsidRPr="008910EE">
        <w:rPr>
          <w:rFonts w:eastAsia="Times New Roman" w:cs="Arial"/>
        </w:rPr>
        <w:t>.</w:t>
      </w:r>
    </w:p>
    <w:p w14:paraId="61BF1225" w14:textId="7F1628CE" w:rsidR="0018184A" w:rsidRPr="008910EE" w:rsidRDefault="0018184A" w:rsidP="0018184A">
      <w:pPr>
        <w:pStyle w:val="Body"/>
      </w:pPr>
      <w:r w:rsidRPr="008910EE">
        <w:t>A new pilot</w:t>
      </w:r>
      <w:r w:rsidR="00165FD6" w:rsidRPr="008910EE">
        <w:t>,</w:t>
      </w:r>
      <w:r w:rsidRPr="008910EE">
        <w:t xml:space="preserve"> Frontline Victoria</w:t>
      </w:r>
      <w:r w:rsidR="00165FD6" w:rsidRPr="008910EE">
        <w:t>,</w:t>
      </w:r>
      <w:r w:rsidRPr="008910EE">
        <w:t xml:space="preserve"> will also create a fast</w:t>
      </w:r>
      <w:r w:rsidRPr="008910EE">
        <w:rPr>
          <w:rFonts w:ascii="Cambria Math" w:hAnsi="Cambria Math" w:cs="Cambria Math"/>
        </w:rPr>
        <w:t>‑</w:t>
      </w:r>
      <w:r w:rsidRPr="008910EE">
        <w:t xml:space="preserve">tracked path </w:t>
      </w:r>
      <w:r w:rsidR="00BB7559" w:rsidRPr="008910EE">
        <w:t>to support</w:t>
      </w:r>
      <w:r w:rsidR="00A53A57" w:rsidRPr="008910EE">
        <w:t xml:space="preserve"> practice development, leadership and</w:t>
      </w:r>
      <w:r w:rsidRPr="008910EE">
        <w:t xml:space="preserve"> move</w:t>
      </w:r>
      <w:r w:rsidR="008A5487" w:rsidRPr="008910EE">
        <w:t>ment</w:t>
      </w:r>
      <w:r w:rsidRPr="008910EE">
        <w:t xml:space="preserve"> into </w:t>
      </w:r>
      <w:r w:rsidR="1AC55AF6" w:rsidRPr="008910EE">
        <w:t>roles</w:t>
      </w:r>
      <w:r w:rsidRPr="008910EE">
        <w:t xml:space="preserve"> within the children and families services system.</w:t>
      </w:r>
    </w:p>
    <w:p w14:paraId="7A27F57F" w14:textId="3547202F" w:rsidR="0018184A" w:rsidRPr="008910EE" w:rsidRDefault="0018184A" w:rsidP="0018184A">
      <w:pPr>
        <w:pStyle w:val="Body"/>
        <w:rPr>
          <w:rFonts w:cs="Arial"/>
          <w:color w:val="000000"/>
        </w:rPr>
      </w:pPr>
      <w:r w:rsidRPr="008910EE">
        <w:t xml:space="preserve">These </w:t>
      </w:r>
      <w:r w:rsidR="00B73321" w:rsidRPr="008910EE">
        <w:t xml:space="preserve">programs </w:t>
      </w:r>
      <w:r w:rsidRPr="008910EE">
        <w:t xml:space="preserve">will </w:t>
      </w:r>
      <w:r w:rsidRPr="008910EE">
        <w:rPr>
          <w:rFonts w:cs="Arial"/>
          <w:color w:val="000000"/>
        </w:rPr>
        <w:t>support young Victorians and their families and will provide more than 1,045 Victorians with a secure job.</w:t>
      </w:r>
      <w:r w:rsidR="00B32EF5" w:rsidRPr="008910EE">
        <w:rPr>
          <w:rStyle w:val="EndnoteReference"/>
          <w:rFonts w:cs="Arial"/>
          <w:color w:val="000000"/>
        </w:rPr>
        <w:endnoteReference w:id="42"/>
      </w:r>
    </w:p>
    <w:p w14:paraId="338FBF1D" w14:textId="22782939" w:rsidR="00EC21C1" w:rsidRPr="008910EE" w:rsidRDefault="00C87509" w:rsidP="00D03653">
      <w:pPr>
        <w:pStyle w:val="Body"/>
        <w:rPr>
          <w:rFonts w:cs="Arial"/>
          <w:sz w:val="22"/>
        </w:rPr>
      </w:pPr>
      <w:r w:rsidRPr="008910EE">
        <w:rPr>
          <w:rFonts w:cs="Arial"/>
        </w:rPr>
        <w:t>I</w:t>
      </w:r>
      <w:r w:rsidR="00EC21C1" w:rsidRPr="008910EE">
        <w:rPr>
          <w:rFonts w:cs="Arial"/>
        </w:rPr>
        <w:t>n an Australian first</w:t>
      </w:r>
      <w:r w:rsidR="008F3DB7" w:rsidRPr="008910EE">
        <w:rPr>
          <w:rFonts w:cs="Arial"/>
        </w:rPr>
        <w:t>,</w:t>
      </w:r>
      <w:r w:rsidR="00D63E21" w:rsidRPr="008910EE">
        <w:rPr>
          <w:rFonts w:cs="Arial"/>
        </w:rPr>
        <w:t xml:space="preserve"> </w:t>
      </w:r>
      <w:r w:rsidR="005373FC" w:rsidRPr="008910EE">
        <w:rPr>
          <w:rFonts w:cs="Arial"/>
        </w:rPr>
        <w:t>the Victorian Government</w:t>
      </w:r>
      <w:r w:rsidR="00EC21C1" w:rsidRPr="008910EE">
        <w:rPr>
          <w:rFonts w:cs="Arial"/>
        </w:rPr>
        <w:t xml:space="preserve"> fully funded Home Stretch for all </w:t>
      </w:r>
      <w:r w:rsidR="0078310B" w:rsidRPr="008910EE">
        <w:rPr>
          <w:rFonts w:cs="Arial"/>
        </w:rPr>
        <w:t xml:space="preserve">young people </w:t>
      </w:r>
      <w:r w:rsidR="005B4BBD" w:rsidRPr="008910EE">
        <w:rPr>
          <w:rFonts w:cs="Arial"/>
        </w:rPr>
        <w:t>leaving</w:t>
      </w:r>
      <w:r w:rsidR="00EC21C1" w:rsidRPr="008910EE">
        <w:rPr>
          <w:rFonts w:cs="Arial"/>
        </w:rPr>
        <w:t xml:space="preserve"> foster, kinship and residential care</w:t>
      </w:r>
      <w:r w:rsidR="009B3297" w:rsidRPr="008910EE">
        <w:t>.</w:t>
      </w:r>
      <w:r w:rsidR="006A5032" w:rsidRPr="008910EE">
        <w:t xml:space="preserve"> </w:t>
      </w:r>
      <w:r w:rsidR="000F706C" w:rsidRPr="008910EE">
        <w:t xml:space="preserve">The </w:t>
      </w:r>
      <w:r w:rsidR="00D8088B" w:rsidRPr="008910EE">
        <w:rPr>
          <w:rFonts w:cs="Arial"/>
        </w:rPr>
        <w:t>Victorian State Budge</w:t>
      </w:r>
      <w:r w:rsidR="00D03608" w:rsidRPr="008910EE">
        <w:rPr>
          <w:rFonts w:cs="Arial"/>
        </w:rPr>
        <w:t>t</w:t>
      </w:r>
      <w:r w:rsidR="000F706C" w:rsidRPr="008910EE">
        <w:t xml:space="preserve"> 2020–21</w:t>
      </w:r>
      <w:r w:rsidR="006A5032" w:rsidRPr="008910EE">
        <w:t xml:space="preserve"> </w:t>
      </w:r>
      <w:r w:rsidR="000F706C" w:rsidRPr="008910EE">
        <w:t>provided</w:t>
      </w:r>
      <w:r w:rsidR="00EC21C1" w:rsidRPr="008910EE">
        <w:rPr>
          <w:rFonts w:cs="Arial"/>
        </w:rPr>
        <w:t xml:space="preserve"> $75 million over four years to ensure all Victorian care leavers are provided with support as they transition to adulthood. </w:t>
      </w:r>
      <w:r w:rsidR="0071673E" w:rsidRPr="008910EE">
        <w:t xml:space="preserve">This </w:t>
      </w:r>
      <w:r w:rsidR="002A52CE" w:rsidRPr="008910EE">
        <w:t>includes</w:t>
      </w:r>
      <w:r w:rsidR="0071673E" w:rsidRPr="008910EE">
        <w:t xml:space="preserve"> $10.3 million over four years and ongoing funding for the Better Futures program, which provides young people with a range of tailored </w:t>
      </w:r>
      <w:r w:rsidR="002A52CE" w:rsidRPr="008910EE">
        <w:t>educ</w:t>
      </w:r>
      <w:r w:rsidR="00A033BF" w:rsidRPr="008910EE">
        <w:t>a</w:t>
      </w:r>
      <w:r w:rsidR="002A52CE" w:rsidRPr="008910EE">
        <w:t>tion, employ</w:t>
      </w:r>
      <w:r w:rsidR="00A033BF" w:rsidRPr="008910EE">
        <w:t xml:space="preserve">ment, housing, health, wellbeing and community </w:t>
      </w:r>
      <w:r w:rsidR="0071673E" w:rsidRPr="008910EE">
        <w:t>supports</w:t>
      </w:r>
      <w:r w:rsidR="00A033BF" w:rsidRPr="008910EE">
        <w:t xml:space="preserve"> to help </w:t>
      </w:r>
      <w:r w:rsidR="0071673E" w:rsidRPr="008910EE">
        <w:t>them to prepare for life after care</w:t>
      </w:r>
      <w:r w:rsidR="00F71148" w:rsidRPr="008910EE">
        <w:t xml:space="preserve">. </w:t>
      </w:r>
      <w:r w:rsidR="001E5DEE" w:rsidRPr="008910EE">
        <w:t xml:space="preserve">In the </w:t>
      </w:r>
      <w:r w:rsidR="006A4B11" w:rsidRPr="008910EE">
        <w:t>2021–</w:t>
      </w:r>
      <w:r w:rsidR="001E5DEE" w:rsidRPr="008910EE">
        <w:rPr>
          <w:rFonts w:cs="Arial"/>
        </w:rPr>
        <w:t>22 Victorian S</w:t>
      </w:r>
      <w:r w:rsidR="000D3551" w:rsidRPr="008910EE">
        <w:rPr>
          <w:rFonts w:cs="Arial"/>
        </w:rPr>
        <w:t>tate Budget, t</w:t>
      </w:r>
      <w:r w:rsidR="008C6E4C" w:rsidRPr="008910EE">
        <w:rPr>
          <w:rFonts w:cs="Arial"/>
        </w:rPr>
        <w:t>he Victorian</w:t>
      </w:r>
      <w:r w:rsidR="00EC21C1" w:rsidRPr="008910EE">
        <w:rPr>
          <w:rFonts w:cs="Arial"/>
        </w:rPr>
        <w:t xml:space="preserve"> Government invested a further $38.96 million over the four years and $13.8 million ongoing so that young people subject to permanent care orders can be supported via Better Futures from 15 years and </w:t>
      </w:r>
      <w:r w:rsidR="00DA6005" w:rsidRPr="008910EE">
        <w:rPr>
          <w:rFonts w:cs="Arial"/>
        </w:rPr>
        <w:t>nine</w:t>
      </w:r>
      <w:r w:rsidR="00EC21C1" w:rsidRPr="008910EE">
        <w:rPr>
          <w:rFonts w:cs="Arial"/>
        </w:rPr>
        <w:t xml:space="preserve"> months and Home Stretch from 18 years up until their 21st birthday</w:t>
      </w:r>
      <w:r w:rsidR="00B06C7A" w:rsidRPr="008910EE">
        <w:rPr>
          <w:rFonts w:cs="Arial"/>
        </w:rPr>
        <w:t>.</w:t>
      </w:r>
      <w:r w:rsidR="00B06C7A" w:rsidRPr="008910EE">
        <w:rPr>
          <w:rStyle w:val="EndnoteReference"/>
          <w:rFonts w:cs="Arial"/>
        </w:rPr>
        <w:endnoteReference w:id="43"/>
      </w:r>
      <w:r w:rsidR="00EC21C1" w:rsidRPr="008910EE">
        <w:rPr>
          <w:rFonts w:cs="Arial"/>
        </w:rPr>
        <w:t xml:space="preserve">  </w:t>
      </w:r>
    </w:p>
    <w:p w14:paraId="22BE3CF0" w14:textId="3F407D7B" w:rsidR="00074595" w:rsidRPr="008910EE" w:rsidRDefault="008C4805" w:rsidP="00884209">
      <w:pPr>
        <w:pStyle w:val="Body"/>
      </w:pPr>
      <w:hyperlink r:id="rId17" w:history="1">
        <w:r w:rsidR="0018448F" w:rsidRPr="008910EE">
          <w:rPr>
            <w:rStyle w:val="Hyperlink"/>
            <w:rFonts w:cs="Arial"/>
          </w:rPr>
          <w:t>Vis</w:t>
        </w:r>
        <w:r w:rsidR="00D1420A" w:rsidRPr="008910EE">
          <w:rPr>
            <w:rStyle w:val="Hyperlink"/>
            <w:rFonts w:cs="Arial"/>
          </w:rPr>
          <w:t>i</w:t>
        </w:r>
        <w:r w:rsidR="0018448F" w:rsidRPr="008910EE">
          <w:rPr>
            <w:rStyle w:val="Hyperlink"/>
            <w:rFonts w:cs="Arial"/>
          </w:rPr>
          <w:t>t</w:t>
        </w:r>
        <w:r w:rsidR="008E3F9D" w:rsidRPr="008910EE">
          <w:rPr>
            <w:rStyle w:val="Hyperlink"/>
            <w:rFonts w:cs="Arial"/>
          </w:rPr>
          <w:t xml:space="preserve"> </w:t>
        </w:r>
        <w:r w:rsidR="00011C34" w:rsidRPr="008910EE">
          <w:rPr>
            <w:rStyle w:val="Hyperlink"/>
            <w:rFonts w:cs="Arial"/>
          </w:rPr>
          <w:t>our</w:t>
        </w:r>
        <w:r w:rsidR="008E3F9D" w:rsidRPr="008910EE">
          <w:rPr>
            <w:rStyle w:val="Hyperlink"/>
            <w:rFonts w:cs="Arial"/>
          </w:rPr>
          <w:t xml:space="preserve"> website</w:t>
        </w:r>
      </w:hyperlink>
      <w:r w:rsidR="00125F43" w:rsidRPr="008910EE">
        <w:rPr>
          <w:rFonts w:cs="Arial"/>
          <w:color w:val="000000"/>
        </w:rPr>
        <w:t xml:space="preserve"> </w:t>
      </w:r>
      <w:r w:rsidR="00125F43" w:rsidRPr="008910EE">
        <w:t>&lt;https://services.dffh.vic.gov.au/families-and-children&gt;</w:t>
      </w:r>
      <w:r w:rsidR="0018448F" w:rsidRPr="008910EE">
        <w:rPr>
          <w:rFonts w:cs="Arial"/>
          <w:color w:val="000000"/>
        </w:rPr>
        <w:t xml:space="preserve"> for more information</w:t>
      </w:r>
      <w:r w:rsidR="006E24B0" w:rsidRPr="008910EE">
        <w:rPr>
          <w:rFonts w:cs="Arial"/>
          <w:color w:val="000000"/>
        </w:rPr>
        <w:t xml:space="preserve"> </w:t>
      </w:r>
      <w:r w:rsidR="00333869" w:rsidRPr="008910EE">
        <w:rPr>
          <w:rFonts w:cs="Arial"/>
          <w:color w:val="000000"/>
        </w:rPr>
        <w:t>about these initiatives</w:t>
      </w:r>
      <w:r w:rsidR="00194B4E" w:rsidRPr="008910EE">
        <w:rPr>
          <w:rFonts w:cs="Arial"/>
          <w:color w:val="000000"/>
        </w:rPr>
        <w:t>.</w:t>
      </w:r>
    </w:p>
    <w:p w14:paraId="6D163831" w14:textId="4CCF2152" w:rsidR="00E54F3C" w:rsidRPr="008910EE" w:rsidRDefault="00E54F3C" w:rsidP="00987A42">
      <w:pPr>
        <w:pStyle w:val="Heading3"/>
      </w:pPr>
      <w:r w:rsidRPr="008910EE">
        <w:t xml:space="preserve">Ending </w:t>
      </w:r>
      <w:r w:rsidR="00D065D6" w:rsidRPr="008910EE">
        <w:t xml:space="preserve">family </w:t>
      </w:r>
      <w:r w:rsidRPr="008910EE">
        <w:t>violence</w:t>
      </w:r>
      <w:r w:rsidR="00D065D6" w:rsidRPr="008910EE">
        <w:t xml:space="preserve"> and all forms of violence</w:t>
      </w:r>
      <w:r w:rsidR="00620FA5" w:rsidRPr="008910EE">
        <w:t xml:space="preserve"> against women</w:t>
      </w:r>
    </w:p>
    <w:p w14:paraId="331035F5" w14:textId="078FA9B6" w:rsidR="00EF1C3A" w:rsidRPr="008910EE" w:rsidRDefault="00F15086" w:rsidP="002B199D">
      <w:pPr>
        <w:pStyle w:val="Body"/>
      </w:pPr>
      <w:r w:rsidRPr="008910EE">
        <w:t>The Victorian Government</w:t>
      </w:r>
      <w:r w:rsidR="00EC1F4E" w:rsidRPr="008910EE">
        <w:t xml:space="preserve"> ha</w:t>
      </w:r>
      <w:r w:rsidRPr="008910EE">
        <w:t>s</w:t>
      </w:r>
      <w:r w:rsidR="00EC1F4E" w:rsidRPr="008910EE">
        <w:t xml:space="preserve"> </w:t>
      </w:r>
      <w:r w:rsidR="00E94D87" w:rsidRPr="008910EE">
        <w:t>implemented</w:t>
      </w:r>
      <w:r w:rsidR="00EC1F4E" w:rsidRPr="008910EE">
        <w:t xml:space="preserve"> m</w:t>
      </w:r>
      <w:r w:rsidR="0021751D" w:rsidRPr="008910EE">
        <w:t>ore than two</w:t>
      </w:r>
      <w:r w:rsidR="008F5300" w:rsidRPr="008910EE">
        <w:t>-</w:t>
      </w:r>
      <w:r w:rsidR="0021751D" w:rsidRPr="008910EE">
        <w:t xml:space="preserve">thirds of </w:t>
      </w:r>
      <w:r w:rsidR="00EC1F4E" w:rsidRPr="008910EE">
        <w:t>the 227 recommendations of the Royal Commission into Family Violence</w:t>
      </w:r>
      <w:r w:rsidR="00B915D7" w:rsidRPr="008910EE">
        <w:t>.</w:t>
      </w:r>
      <w:r w:rsidR="002C05E6" w:rsidRPr="008910EE">
        <w:rPr>
          <w:rStyle w:val="EndnoteReference"/>
        </w:rPr>
        <w:endnoteReference w:id="44"/>
      </w:r>
      <w:r w:rsidR="00B915D7" w:rsidRPr="008910EE">
        <w:t xml:space="preserve"> </w:t>
      </w:r>
      <w:r w:rsidR="00CF2DEF" w:rsidRPr="008910EE">
        <w:t>But</w:t>
      </w:r>
      <w:r w:rsidR="00EF1C3A" w:rsidRPr="008910EE">
        <w:t xml:space="preserve"> we know there is still more to do</w:t>
      </w:r>
      <w:r w:rsidR="15B6368B" w:rsidRPr="008910EE">
        <w:t xml:space="preserve"> to make Victorian communities safer for everyone</w:t>
      </w:r>
      <w:r w:rsidR="00EF1C3A" w:rsidRPr="008910EE">
        <w:t>.</w:t>
      </w:r>
    </w:p>
    <w:p w14:paraId="5B3E7F54" w14:textId="3420C40B" w:rsidR="00503216" w:rsidRPr="008910EE" w:rsidRDefault="00EF1C3A" w:rsidP="002B199D">
      <w:pPr>
        <w:pStyle w:val="Body"/>
      </w:pPr>
      <w:r w:rsidRPr="008910EE">
        <w:t>Family violence is complex and difficult to shift</w:t>
      </w:r>
      <w:r w:rsidR="005B7465" w:rsidRPr="008910EE">
        <w:t>. It</w:t>
      </w:r>
      <w:r w:rsidR="004A65AE" w:rsidRPr="008910EE">
        <w:t xml:space="preserve"> will require </w:t>
      </w:r>
      <w:r w:rsidR="00F73A18" w:rsidRPr="008910EE">
        <w:t xml:space="preserve">a </w:t>
      </w:r>
      <w:r w:rsidR="004A65AE" w:rsidRPr="008910EE">
        <w:t xml:space="preserve">long-term focus to support families in crisis </w:t>
      </w:r>
      <w:r w:rsidR="00373C5E" w:rsidRPr="008910EE">
        <w:t>and</w:t>
      </w:r>
      <w:r w:rsidR="004A65AE" w:rsidRPr="008910EE">
        <w:t xml:space="preserve"> </w:t>
      </w:r>
      <w:r w:rsidR="009A3A33" w:rsidRPr="008910EE">
        <w:t xml:space="preserve">to </w:t>
      </w:r>
      <w:r w:rsidR="004A65AE" w:rsidRPr="008910EE">
        <w:t xml:space="preserve">prevent violence </w:t>
      </w:r>
      <w:r w:rsidR="00BF5A4A" w:rsidRPr="008910EE">
        <w:t xml:space="preserve">from </w:t>
      </w:r>
      <w:r w:rsidR="004A65AE" w:rsidRPr="008910EE">
        <w:t>occurring</w:t>
      </w:r>
      <w:r w:rsidRPr="008910EE">
        <w:t xml:space="preserve">. </w:t>
      </w:r>
    </w:p>
    <w:p w14:paraId="37DA237F" w14:textId="3AA7C3C9" w:rsidR="00373C5E" w:rsidRPr="008910EE" w:rsidRDefault="00F27A59" w:rsidP="002B199D">
      <w:pPr>
        <w:pStyle w:val="Body"/>
      </w:pPr>
      <w:r w:rsidRPr="008910EE">
        <w:t xml:space="preserve">Bushfires at the beginning of </w:t>
      </w:r>
      <w:r w:rsidR="00E517C8" w:rsidRPr="008910EE">
        <w:t xml:space="preserve">2020 and </w:t>
      </w:r>
      <w:r w:rsidR="00503216" w:rsidRPr="008910EE">
        <w:t xml:space="preserve">the </w:t>
      </w:r>
      <w:r w:rsidR="24A72DB4" w:rsidRPr="008910EE">
        <w:t>coronavirus (</w:t>
      </w:r>
      <w:r w:rsidR="00EF1C3A" w:rsidRPr="008910EE">
        <w:t>COVID-19</w:t>
      </w:r>
      <w:r w:rsidR="4E5BA24F" w:rsidRPr="008910EE">
        <w:t>)</w:t>
      </w:r>
      <w:r w:rsidR="00EF1C3A" w:rsidRPr="008910EE">
        <w:t xml:space="preserve"> </w:t>
      </w:r>
      <w:r w:rsidR="00503216" w:rsidRPr="008910EE">
        <w:t>pandemic have</w:t>
      </w:r>
      <w:r w:rsidR="00EF1C3A" w:rsidRPr="008910EE">
        <w:t xml:space="preserve"> put families under increased pressure and financial stress.</w:t>
      </w:r>
      <w:r w:rsidR="00E517C8" w:rsidRPr="008910EE">
        <w:t xml:space="preserve"> We know</w:t>
      </w:r>
      <w:r w:rsidR="00503216" w:rsidRPr="008910EE">
        <w:t xml:space="preserve"> that</w:t>
      </w:r>
      <w:r w:rsidR="00E517C8" w:rsidRPr="008910EE">
        <w:t xml:space="preserve"> this can </w:t>
      </w:r>
      <w:r w:rsidR="00B73321" w:rsidRPr="008910EE">
        <w:t>increase</w:t>
      </w:r>
      <w:r w:rsidR="00E517C8" w:rsidRPr="008910EE">
        <w:t xml:space="preserve"> the likelihood of family violence.</w:t>
      </w:r>
      <w:r w:rsidR="005436E9" w:rsidRPr="008910EE">
        <w:t xml:space="preserve"> </w:t>
      </w:r>
    </w:p>
    <w:p w14:paraId="36ECB6A4" w14:textId="04866EB5" w:rsidR="00B915D7" w:rsidRPr="008910EE" w:rsidRDefault="005436E9" w:rsidP="002B199D">
      <w:pPr>
        <w:pStyle w:val="Body"/>
      </w:pPr>
      <w:r w:rsidRPr="008910EE">
        <w:t xml:space="preserve">Despite these challenges, it is important </w:t>
      </w:r>
      <w:r w:rsidR="4E634E02" w:rsidRPr="008910EE">
        <w:t>that we</w:t>
      </w:r>
      <w:r w:rsidRPr="008910EE">
        <w:t xml:space="preserve"> </w:t>
      </w:r>
      <w:r w:rsidR="005B7465" w:rsidRPr="008910EE">
        <w:t>keep</w:t>
      </w:r>
      <w:r w:rsidR="00213EA1" w:rsidRPr="008910EE">
        <w:t xml:space="preserve"> build</w:t>
      </w:r>
      <w:r w:rsidR="005B7465" w:rsidRPr="008910EE">
        <w:t>ing</w:t>
      </w:r>
      <w:r w:rsidR="00213EA1" w:rsidRPr="008910EE">
        <w:t xml:space="preserve"> </w:t>
      </w:r>
      <w:r w:rsidR="005B7465" w:rsidRPr="008910EE">
        <w:t xml:space="preserve">up </w:t>
      </w:r>
      <w:r w:rsidR="00213EA1" w:rsidRPr="008910EE">
        <w:t xml:space="preserve">support services while also </w:t>
      </w:r>
      <w:r w:rsidR="008531A6" w:rsidRPr="008910EE">
        <w:t>addressing</w:t>
      </w:r>
      <w:r w:rsidR="005B7465" w:rsidRPr="008910EE">
        <w:t xml:space="preserve"> </w:t>
      </w:r>
      <w:r w:rsidR="00213EA1" w:rsidRPr="008910EE">
        <w:t xml:space="preserve">the root causes of family violence. </w:t>
      </w:r>
    </w:p>
    <w:p w14:paraId="7C0B5158" w14:textId="6E5422B0" w:rsidR="00E73B0E" w:rsidRPr="008910EE" w:rsidRDefault="00E73B0E" w:rsidP="00E73B0E">
      <w:pPr>
        <w:pStyle w:val="Body"/>
      </w:pPr>
      <w:r w:rsidRPr="008910EE">
        <w:t>The 2021</w:t>
      </w:r>
      <w:r w:rsidR="00B73321" w:rsidRPr="008910EE">
        <w:t>–</w:t>
      </w:r>
      <w:r w:rsidRPr="008910EE">
        <w:t xml:space="preserve">22 </w:t>
      </w:r>
      <w:r w:rsidR="00EC1F4E" w:rsidRPr="008910EE">
        <w:t xml:space="preserve">Victorian </w:t>
      </w:r>
      <w:r w:rsidRPr="008910EE">
        <w:t xml:space="preserve">State </w:t>
      </w:r>
      <w:r w:rsidR="00B73321" w:rsidRPr="008910EE">
        <w:t>B</w:t>
      </w:r>
      <w:r w:rsidRPr="008910EE">
        <w:t>udget deliver</w:t>
      </w:r>
      <w:r w:rsidR="00181CE5" w:rsidRPr="008910EE">
        <w:t>ed</w:t>
      </w:r>
      <w:r w:rsidRPr="008910EE">
        <w:t xml:space="preserve"> $354 million over four years </w:t>
      </w:r>
      <w:r w:rsidR="00B73321" w:rsidRPr="008910EE">
        <w:t>for</w:t>
      </w:r>
      <w:r w:rsidRPr="008910EE">
        <w:t xml:space="preserve"> critical services to victim survivors of family violence and sexual assault</w:t>
      </w:r>
      <w:r w:rsidR="00B73321" w:rsidRPr="008910EE">
        <w:t xml:space="preserve">. These funds will </w:t>
      </w:r>
      <w:r w:rsidRPr="008910EE">
        <w:t>ensure</w:t>
      </w:r>
      <w:r w:rsidR="00B73321" w:rsidRPr="008910EE">
        <w:t xml:space="preserve"> </w:t>
      </w:r>
      <w:r w:rsidRPr="008910EE">
        <w:t xml:space="preserve">perpetrators are kept in view and held </w:t>
      </w:r>
      <w:r w:rsidR="00181CE5" w:rsidRPr="008910EE">
        <w:t>a</w:t>
      </w:r>
      <w:r w:rsidRPr="008910EE">
        <w:t>ccount</w:t>
      </w:r>
      <w:r w:rsidR="00181CE5" w:rsidRPr="008910EE">
        <w:t>able</w:t>
      </w:r>
      <w:r w:rsidRPr="008910EE">
        <w:t xml:space="preserve">. This includes investment in </w:t>
      </w:r>
      <w:r w:rsidR="005B7465" w:rsidRPr="008910EE">
        <w:t>advancing</w:t>
      </w:r>
      <w:r w:rsidRPr="008910EE">
        <w:t xml:space="preserve"> gender equality and preventi</w:t>
      </w:r>
      <w:r w:rsidR="00B73321" w:rsidRPr="008910EE">
        <w:t>ng</w:t>
      </w:r>
      <w:r w:rsidRPr="008910EE">
        <w:t xml:space="preserve"> family violence</w:t>
      </w:r>
      <w:r w:rsidR="00012418" w:rsidRPr="008910EE">
        <w:t>. T</w:t>
      </w:r>
      <w:r w:rsidRPr="008910EE">
        <w:t>he Victorian Government</w:t>
      </w:r>
      <w:r w:rsidR="00012418" w:rsidRPr="008910EE">
        <w:t xml:space="preserve"> has now invested</w:t>
      </w:r>
      <w:r w:rsidRPr="008910EE">
        <w:t xml:space="preserve"> $3</w:t>
      </w:r>
      <w:r w:rsidR="00C87E37" w:rsidRPr="008910EE">
        <w:t>.5</w:t>
      </w:r>
      <w:r w:rsidRPr="008910EE">
        <w:t xml:space="preserve"> billion to </w:t>
      </w:r>
      <w:r w:rsidR="00086C59" w:rsidRPr="008910EE">
        <w:t>improve</w:t>
      </w:r>
      <w:r w:rsidRPr="008910EE">
        <w:t xml:space="preserve"> responses to family violence.</w:t>
      </w:r>
      <w:r w:rsidR="00A460A2" w:rsidRPr="008910EE">
        <w:rPr>
          <w:rStyle w:val="EndnoteReference"/>
        </w:rPr>
        <w:endnoteReference w:id="45"/>
      </w:r>
    </w:p>
    <w:p w14:paraId="0924498C" w14:textId="0F390854" w:rsidR="00D0171E" w:rsidRPr="008910EE" w:rsidRDefault="00EC1F4E" w:rsidP="00D0171E">
      <w:pPr>
        <w:pStyle w:val="Body"/>
      </w:pPr>
      <w:r w:rsidRPr="008910EE">
        <w:t>The government released t</w:t>
      </w:r>
      <w:r w:rsidR="00D0171E" w:rsidRPr="008910EE">
        <w:t xml:space="preserve">he </w:t>
      </w:r>
      <w:r w:rsidR="00D0171E" w:rsidRPr="008910EE">
        <w:rPr>
          <w:i/>
          <w:iCs/>
        </w:rPr>
        <w:t xml:space="preserve">Family </w:t>
      </w:r>
      <w:r w:rsidR="002F4A24" w:rsidRPr="008910EE">
        <w:rPr>
          <w:i/>
          <w:iCs/>
        </w:rPr>
        <w:t>V</w:t>
      </w:r>
      <w:r w:rsidR="00D0171E" w:rsidRPr="008910EE">
        <w:rPr>
          <w:i/>
          <w:iCs/>
        </w:rPr>
        <w:t xml:space="preserve">iolence </w:t>
      </w:r>
      <w:r w:rsidR="002F4A24" w:rsidRPr="008910EE">
        <w:rPr>
          <w:i/>
          <w:iCs/>
        </w:rPr>
        <w:t>R</w:t>
      </w:r>
      <w:r w:rsidR="00D0171E" w:rsidRPr="008910EE">
        <w:rPr>
          <w:i/>
          <w:iCs/>
        </w:rPr>
        <w:t xml:space="preserve">eform </w:t>
      </w:r>
      <w:r w:rsidR="002F4A24" w:rsidRPr="008910EE">
        <w:rPr>
          <w:i/>
          <w:iCs/>
        </w:rPr>
        <w:t>R</w:t>
      </w:r>
      <w:r w:rsidR="00D0171E" w:rsidRPr="008910EE">
        <w:rPr>
          <w:i/>
          <w:iCs/>
        </w:rPr>
        <w:t xml:space="preserve">olling </w:t>
      </w:r>
      <w:r w:rsidR="002F4A24" w:rsidRPr="008910EE">
        <w:rPr>
          <w:i/>
          <w:iCs/>
        </w:rPr>
        <w:t>A</w:t>
      </w:r>
      <w:r w:rsidR="00D0171E" w:rsidRPr="008910EE">
        <w:rPr>
          <w:i/>
          <w:iCs/>
        </w:rPr>
        <w:t xml:space="preserve">ction </w:t>
      </w:r>
      <w:r w:rsidR="002F4A24" w:rsidRPr="008910EE">
        <w:rPr>
          <w:i/>
          <w:iCs/>
        </w:rPr>
        <w:t>P</w:t>
      </w:r>
      <w:r w:rsidR="00D0171E" w:rsidRPr="008910EE">
        <w:rPr>
          <w:i/>
          <w:iCs/>
        </w:rPr>
        <w:t>lan 2020</w:t>
      </w:r>
      <w:r w:rsidR="00B73321" w:rsidRPr="008910EE">
        <w:rPr>
          <w:i/>
          <w:iCs/>
        </w:rPr>
        <w:t>–</w:t>
      </w:r>
      <w:r w:rsidR="005B7465" w:rsidRPr="008910EE">
        <w:rPr>
          <w:i/>
          <w:iCs/>
        </w:rPr>
        <w:t>20</w:t>
      </w:r>
      <w:r w:rsidR="00D0171E" w:rsidRPr="008910EE">
        <w:rPr>
          <w:i/>
          <w:iCs/>
        </w:rPr>
        <w:t>23</w:t>
      </w:r>
      <w:r w:rsidR="00D0171E" w:rsidRPr="008910EE">
        <w:t xml:space="preserve"> at the end of 2020</w:t>
      </w:r>
      <w:r w:rsidR="00B73321" w:rsidRPr="008910EE">
        <w:t>. The plan</w:t>
      </w:r>
      <w:r w:rsidR="00D0171E" w:rsidRPr="008910EE">
        <w:t xml:space="preserve"> sets out the activities for the next three years to progress the reform.</w:t>
      </w:r>
    </w:p>
    <w:p w14:paraId="3227801B" w14:textId="423C120A" w:rsidR="00B915D7" w:rsidRPr="008910EE" w:rsidRDefault="000312DC" w:rsidP="002B199D">
      <w:pPr>
        <w:pStyle w:val="Body"/>
      </w:pPr>
      <w:r w:rsidRPr="008910EE">
        <w:t>Key initiatives</w:t>
      </w:r>
      <w:r w:rsidR="00B15A95" w:rsidRPr="008910EE">
        <w:t xml:space="preserve"> led by Family Safety Victoria</w:t>
      </w:r>
      <w:r w:rsidRPr="008910EE">
        <w:t xml:space="preserve"> </w:t>
      </w:r>
      <w:r w:rsidR="005772E9" w:rsidRPr="008910EE">
        <w:t>include</w:t>
      </w:r>
      <w:r w:rsidRPr="008910EE">
        <w:t xml:space="preserve"> </w:t>
      </w:r>
      <w:r w:rsidR="00D905AA" w:rsidRPr="008910EE">
        <w:t>continu</w:t>
      </w:r>
      <w:r w:rsidR="005B7465" w:rsidRPr="008910EE">
        <w:t>ing to</w:t>
      </w:r>
      <w:r w:rsidR="00D905AA" w:rsidRPr="008910EE">
        <w:t xml:space="preserve"> roll</w:t>
      </w:r>
      <w:r w:rsidR="005B7465" w:rsidRPr="008910EE">
        <w:t xml:space="preserve"> </w:t>
      </w:r>
      <w:r w:rsidR="00D905AA" w:rsidRPr="008910EE">
        <w:t xml:space="preserve">out </w:t>
      </w:r>
      <w:r w:rsidR="00230D4C" w:rsidRPr="008910EE">
        <w:t>T</w:t>
      </w:r>
      <w:r w:rsidR="00D905AA" w:rsidRPr="008910EE">
        <w:t>he</w:t>
      </w:r>
      <w:r w:rsidR="00B915D7" w:rsidRPr="008910EE">
        <w:t xml:space="preserve"> Orange Door</w:t>
      </w:r>
      <w:r w:rsidR="00C43D63" w:rsidRPr="008910EE">
        <w:t xml:space="preserve"> </w:t>
      </w:r>
      <w:r w:rsidR="005506B6" w:rsidRPr="008910EE">
        <w:t>n</w:t>
      </w:r>
      <w:r w:rsidR="00C43D63" w:rsidRPr="008910EE">
        <w:t>etworks</w:t>
      </w:r>
      <w:r w:rsidR="00B915D7" w:rsidRPr="008910EE">
        <w:t xml:space="preserve"> </w:t>
      </w:r>
      <w:r w:rsidR="00083BC0" w:rsidRPr="008910EE">
        <w:t>across Victoria</w:t>
      </w:r>
      <w:r w:rsidR="006B6522" w:rsidRPr="008910EE">
        <w:t xml:space="preserve">, with another six to open </w:t>
      </w:r>
      <w:r w:rsidR="3FCB2E46" w:rsidRPr="008910EE">
        <w:t>in 2021</w:t>
      </w:r>
      <w:r w:rsidR="005506B6" w:rsidRPr="008910EE">
        <w:t>.</w:t>
      </w:r>
      <w:r w:rsidR="006B6522" w:rsidRPr="008910EE">
        <w:t xml:space="preserve"> </w:t>
      </w:r>
      <w:r w:rsidR="005506B6" w:rsidRPr="008910EE">
        <w:t>We expect s</w:t>
      </w:r>
      <w:r w:rsidR="000629D0" w:rsidRPr="008910EE">
        <w:t>tatewide coverage by the end of 2022</w:t>
      </w:r>
      <w:r w:rsidR="00213EA1" w:rsidRPr="008910EE">
        <w:t xml:space="preserve">. The Orange Door </w:t>
      </w:r>
      <w:r w:rsidR="005506B6" w:rsidRPr="008910EE">
        <w:t>n</w:t>
      </w:r>
      <w:r w:rsidR="00C4045B" w:rsidRPr="008910EE">
        <w:t xml:space="preserve">etwork provides support for adults, young people and children </w:t>
      </w:r>
      <w:r w:rsidR="00705A66" w:rsidRPr="008910EE">
        <w:t>experiencing</w:t>
      </w:r>
      <w:r w:rsidR="00C4045B" w:rsidRPr="008910EE">
        <w:t xml:space="preserve"> family violence and families who need support with their children</w:t>
      </w:r>
      <w:r w:rsidR="00B915D7" w:rsidRPr="008910EE">
        <w:t>.</w:t>
      </w:r>
    </w:p>
    <w:p w14:paraId="7628FA18" w14:textId="309F9C83" w:rsidR="004526B7" w:rsidRPr="008910EE" w:rsidRDefault="00EA39AC" w:rsidP="00CE1CB3">
      <w:pPr>
        <w:pStyle w:val="Body"/>
      </w:pPr>
      <w:r w:rsidRPr="008910EE">
        <w:t xml:space="preserve">The Big Housing Build </w:t>
      </w:r>
      <w:r w:rsidR="00EC1F4E" w:rsidRPr="008910EE">
        <w:t>will</w:t>
      </w:r>
      <w:r w:rsidR="00CE1CB3" w:rsidRPr="008910EE">
        <w:t xml:space="preserve"> </w:t>
      </w:r>
      <w:r w:rsidRPr="008910EE">
        <w:t>deliver safe home</w:t>
      </w:r>
      <w:r w:rsidR="00684343" w:rsidRPr="008910EE">
        <w:t>s</w:t>
      </w:r>
      <w:r w:rsidRPr="008910EE">
        <w:t xml:space="preserve"> for </w:t>
      </w:r>
      <w:r w:rsidR="005B7465" w:rsidRPr="008910EE">
        <w:t xml:space="preserve">up to </w:t>
      </w:r>
      <w:r w:rsidRPr="008910EE">
        <w:t>1,000 victim survivors of</w:t>
      </w:r>
      <w:r w:rsidR="00CE1CB3" w:rsidRPr="008910EE">
        <w:t xml:space="preserve"> </w:t>
      </w:r>
      <w:r w:rsidR="004526B7" w:rsidRPr="008910EE">
        <w:t>family violence</w:t>
      </w:r>
      <w:r w:rsidR="00CE1CB3" w:rsidRPr="008910EE">
        <w:t>.</w:t>
      </w:r>
      <w:r w:rsidR="00A107C1" w:rsidRPr="008910EE">
        <w:rPr>
          <w:rStyle w:val="EndnoteReference"/>
        </w:rPr>
        <w:endnoteReference w:id="46"/>
      </w:r>
      <w:r w:rsidR="00F26966" w:rsidRPr="008910EE">
        <w:t xml:space="preserve"> </w:t>
      </w:r>
      <w:r w:rsidR="005506B6" w:rsidRPr="008910EE">
        <w:t>We will build m</w:t>
      </w:r>
      <w:r w:rsidR="00F26966" w:rsidRPr="008910EE">
        <w:t xml:space="preserve">ore </w:t>
      </w:r>
      <w:r w:rsidR="00CE1CB3" w:rsidRPr="008910EE">
        <w:t xml:space="preserve">than 780 new social housing dwellings across 25 locations in </w:t>
      </w:r>
      <w:r w:rsidR="0043122A" w:rsidRPr="008910EE">
        <w:t>m</w:t>
      </w:r>
      <w:r w:rsidR="00CE1CB3" w:rsidRPr="008910EE">
        <w:t>etropolitan Melbourne and regional Victoria</w:t>
      </w:r>
      <w:r w:rsidR="005506B6" w:rsidRPr="008910EE">
        <w:t>. These will</w:t>
      </w:r>
      <w:r w:rsidR="0040171A" w:rsidRPr="008910EE">
        <w:t xml:space="preserve"> giv</w:t>
      </w:r>
      <w:r w:rsidR="005506B6" w:rsidRPr="008910EE">
        <w:t>e</w:t>
      </w:r>
      <w:r w:rsidR="0040171A" w:rsidRPr="008910EE">
        <w:t xml:space="preserve"> women and families more housing options.</w:t>
      </w:r>
    </w:p>
    <w:p w14:paraId="6540F198" w14:textId="4831F2B0" w:rsidR="005506B6" w:rsidRPr="008910EE" w:rsidRDefault="005506B6" w:rsidP="00CE1CB3">
      <w:pPr>
        <w:pStyle w:val="Body"/>
      </w:pPr>
      <w:r w:rsidRPr="008910EE">
        <w:t>We will build n</w:t>
      </w:r>
      <w:r w:rsidR="00433462" w:rsidRPr="008910EE">
        <w:t xml:space="preserve">ew Aboriginal family violence refuges in </w:t>
      </w:r>
      <w:r w:rsidR="007447B7" w:rsidRPr="008910EE">
        <w:t>Warrnambool, Horsham</w:t>
      </w:r>
      <w:r w:rsidR="00433462" w:rsidRPr="008910EE">
        <w:t xml:space="preserve"> and </w:t>
      </w:r>
      <w:r w:rsidR="007447B7" w:rsidRPr="008910EE">
        <w:t>Shepparton</w:t>
      </w:r>
      <w:r w:rsidRPr="008910EE">
        <w:t>. This is</w:t>
      </w:r>
      <w:r w:rsidR="002A3319" w:rsidRPr="008910EE">
        <w:t xml:space="preserve"> part of the family violence refuge redevelopment program</w:t>
      </w:r>
      <w:r w:rsidRPr="008910EE">
        <w:t>. This program</w:t>
      </w:r>
      <w:r w:rsidR="002A3319" w:rsidRPr="008910EE">
        <w:t xml:space="preserve"> will see the communal refuge model </w:t>
      </w:r>
      <w:r w:rsidRPr="008910EE">
        <w:t xml:space="preserve">phased out </w:t>
      </w:r>
      <w:r w:rsidR="002A3319" w:rsidRPr="008910EE">
        <w:t xml:space="preserve">to </w:t>
      </w:r>
      <w:r w:rsidRPr="008910EE">
        <w:t xml:space="preserve">make way for </w:t>
      </w:r>
      <w:r w:rsidR="002A3319" w:rsidRPr="008910EE">
        <w:t>the core and cluster accommodation model</w:t>
      </w:r>
      <w:r w:rsidRPr="008910EE">
        <w:t>,</w:t>
      </w:r>
      <w:r w:rsidR="002A3319" w:rsidRPr="008910EE">
        <w:t xml:space="preserve"> which</w:t>
      </w:r>
      <w:r w:rsidRPr="008910EE">
        <w:t>:</w:t>
      </w:r>
      <w:r w:rsidR="002A3319" w:rsidRPr="008910EE">
        <w:t xml:space="preserve"> </w:t>
      </w:r>
    </w:p>
    <w:p w14:paraId="0FD4C0D9" w14:textId="3F382DF8" w:rsidR="005506B6" w:rsidRPr="008910EE" w:rsidRDefault="002A3319" w:rsidP="00E731FC">
      <w:pPr>
        <w:pStyle w:val="Bullet1"/>
      </w:pPr>
      <w:r w:rsidRPr="008910EE">
        <w:t>promotes safety</w:t>
      </w:r>
    </w:p>
    <w:p w14:paraId="3C29B3D1" w14:textId="69484960" w:rsidR="005506B6" w:rsidRPr="008910EE" w:rsidRDefault="002A3319" w:rsidP="00E731FC">
      <w:pPr>
        <w:pStyle w:val="Bullet1"/>
      </w:pPr>
      <w:r w:rsidRPr="008910EE">
        <w:t>is accessible to people with disabilities</w:t>
      </w:r>
    </w:p>
    <w:p w14:paraId="1B655BEA" w14:textId="77777777" w:rsidR="005506B6" w:rsidRPr="008910EE" w:rsidRDefault="002A3319" w:rsidP="00E731FC">
      <w:pPr>
        <w:pStyle w:val="Bullet1"/>
      </w:pPr>
      <w:r w:rsidRPr="008910EE">
        <w:t>provides private units</w:t>
      </w:r>
    </w:p>
    <w:p w14:paraId="4D74D7CE" w14:textId="1533D041" w:rsidR="005506B6" w:rsidRPr="008910EE" w:rsidRDefault="002A3319" w:rsidP="00E731FC">
      <w:pPr>
        <w:pStyle w:val="Bullet1"/>
      </w:pPr>
      <w:r w:rsidRPr="008910EE">
        <w:t>enables connections with the community, work and school</w:t>
      </w:r>
      <w:r w:rsidR="00433462" w:rsidRPr="008910EE">
        <w:t xml:space="preserve">. </w:t>
      </w:r>
    </w:p>
    <w:p w14:paraId="53E7D17F" w14:textId="16CA55B5" w:rsidR="00433462" w:rsidRPr="008910EE" w:rsidRDefault="00433462" w:rsidP="00E731FC">
      <w:pPr>
        <w:pStyle w:val="Bodyafterbullets"/>
      </w:pPr>
      <w:r w:rsidRPr="008910EE">
        <w:t>The department</w:t>
      </w:r>
      <w:r w:rsidR="00B15A95" w:rsidRPr="008910EE">
        <w:t xml:space="preserve"> and Family Safety Victoria</w:t>
      </w:r>
      <w:r w:rsidRPr="008910EE">
        <w:t xml:space="preserve"> will continue to </w:t>
      </w:r>
      <w:r w:rsidR="007721D6" w:rsidRPr="008910EE">
        <w:t xml:space="preserve">roll out </w:t>
      </w:r>
      <w:r w:rsidRPr="008910EE">
        <w:rPr>
          <w:i/>
          <w:iCs/>
        </w:rPr>
        <w:t xml:space="preserve">Dhelk Dja: Safe Our Way </w:t>
      </w:r>
      <w:r w:rsidR="48F1F8E6" w:rsidRPr="008910EE">
        <w:t>–</w:t>
      </w:r>
      <w:r w:rsidR="00DA735F" w:rsidRPr="008910EE">
        <w:t xml:space="preserve"> </w:t>
      </w:r>
      <w:r w:rsidRPr="008910EE">
        <w:t xml:space="preserve">the </w:t>
      </w:r>
      <w:r w:rsidR="00A96C71" w:rsidRPr="008910EE">
        <w:t>Aboriginal family violence strategy</w:t>
      </w:r>
      <w:r w:rsidR="00EC1F4E" w:rsidRPr="008910EE">
        <w:t>. This</w:t>
      </w:r>
      <w:r w:rsidR="00977CAE" w:rsidRPr="008910EE">
        <w:t xml:space="preserve"> includ</w:t>
      </w:r>
      <w:r w:rsidR="00EC1F4E" w:rsidRPr="008910EE">
        <w:t>es</w:t>
      </w:r>
      <w:r w:rsidR="00977CAE" w:rsidRPr="008910EE">
        <w:t xml:space="preserve"> deliver</w:t>
      </w:r>
      <w:r w:rsidR="00EC1F4E" w:rsidRPr="008910EE">
        <w:t>ing</w:t>
      </w:r>
      <w:r w:rsidR="00977CAE" w:rsidRPr="008910EE">
        <w:t xml:space="preserve"> the $18.2 million Dhelk Dja Family Violence Fund </w:t>
      </w:r>
      <w:r w:rsidR="000B0680" w:rsidRPr="008910EE">
        <w:t>to</w:t>
      </w:r>
      <w:r w:rsidR="00977CAE" w:rsidRPr="008910EE">
        <w:t xml:space="preserve"> support more than 45 Aboriginal-led initiatives</w:t>
      </w:r>
      <w:r w:rsidR="00852FD4" w:rsidRPr="008910EE">
        <w:t>.</w:t>
      </w:r>
      <w:r w:rsidR="00DA12F3" w:rsidRPr="008910EE">
        <w:rPr>
          <w:rStyle w:val="EndnoteReference"/>
        </w:rPr>
        <w:endnoteReference w:id="47"/>
      </w:r>
      <w:r w:rsidR="00852FD4" w:rsidRPr="008910EE">
        <w:t xml:space="preserve"> This will</w:t>
      </w:r>
      <w:r w:rsidR="00977CAE" w:rsidRPr="008910EE">
        <w:t xml:space="preserve"> enabl</w:t>
      </w:r>
      <w:r w:rsidR="00852FD4" w:rsidRPr="008910EE">
        <w:t>e</w:t>
      </w:r>
      <w:r w:rsidR="00977CAE" w:rsidRPr="008910EE">
        <w:t xml:space="preserve"> Victorian Aboriginal organisations to deliver culturally appropriate support for Aboriginal victim survivors and people who use violence.</w:t>
      </w:r>
    </w:p>
    <w:p w14:paraId="5A16AF11" w14:textId="77777777" w:rsidR="00852FD4" w:rsidRPr="008910EE" w:rsidRDefault="00275B05" w:rsidP="002B199D">
      <w:pPr>
        <w:pStyle w:val="Body"/>
      </w:pPr>
      <w:r w:rsidRPr="008910EE">
        <w:t>We are committed to keeping perpetrators engaged, in view and accountable</w:t>
      </w:r>
      <w:r w:rsidR="002A0120" w:rsidRPr="008910EE">
        <w:t xml:space="preserve"> by providing</w:t>
      </w:r>
      <w:r w:rsidR="00852FD4" w:rsidRPr="008910EE">
        <w:t>:</w:t>
      </w:r>
      <w:r w:rsidRPr="008910EE">
        <w:t xml:space="preserve"> </w:t>
      </w:r>
    </w:p>
    <w:p w14:paraId="39BCDFA6" w14:textId="03325F16" w:rsidR="00852FD4" w:rsidRPr="008910EE" w:rsidRDefault="005B7465" w:rsidP="00A33856">
      <w:pPr>
        <w:pStyle w:val="Bullet1"/>
      </w:pPr>
      <w:r w:rsidRPr="008910EE">
        <w:t>m</w:t>
      </w:r>
      <w:r w:rsidR="00275B05" w:rsidRPr="008910EE">
        <w:t xml:space="preserve">en’s </w:t>
      </w:r>
      <w:r w:rsidRPr="008910EE">
        <w:t>b</w:t>
      </w:r>
      <w:r w:rsidR="00275B05" w:rsidRPr="008910EE">
        <w:t xml:space="preserve">ehaviour </w:t>
      </w:r>
      <w:r w:rsidRPr="008910EE">
        <w:t>c</w:t>
      </w:r>
      <w:r w:rsidR="00275B05" w:rsidRPr="008910EE">
        <w:t xml:space="preserve">hange </w:t>
      </w:r>
      <w:r w:rsidRPr="008910EE">
        <w:t>p</w:t>
      </w:r>
      <w:r w:rsidR="00275B05" w:rsidRPr="008910EE">
        <w:t>rograms</w:t>
      </w:r>
    </w:p>
    <w:p w14:paraId="3576E6F7" w14:textId="77777777" w:rsidR="00852FD4" w:rsidRPr="008910EE" w:rsidRDefault="00275B05" w:rsidP="00A33856">
      <w:pPr>
        <w:pStyle w:val="Bullet1"/>
      </w:pPr>
      <w:r w:rsidRPr="008910EE">
        <w:t>perpetrator brokerage</w:t>
      </w:r>
    </w:p>
    <w:p w14:paraId="7876C70F" w14:textId="1ED1B052" w:rsidR="00852FD4" w:rsidRPr="008910EE" w:rsidRDefault="00275B05" w:rsidP="00A33856">
      <w:pPr>
        <w:pStyle w:val="Bullet1"/>
      </w:pPr>
      <w:r w:rsidRPr="008910EE">
        <w:t>culturally safe responses for Aboriginal people using violence</w:t>
      </w:r>
    </w:p>
    <w:p w14:paraId="71BB6E48" w14:textId="0625F00D" w:rsidR="00263DE3" w:rsidRPr="008910EE" w:rsidRDefault="00275B05" w:rsidP="00A33856">
      <w:pPr>
        <w:pStyle w:val="Bullet1"/>
      </w:pPr>
      <w:r w:rsidRPr="008910EE">
        <w:t xml:space="preserve">accommodation-based services </w:t>
      </w:r>
      <w:r w:rsidR="00BB2FC8" w:rsidRPr="008910EE">
        <w:t xml:space="preserve">that </w:t>
      </w:r>
      <w:r w:rsidRPr="008910EE">
        <w:t>will strengthen the web of accountability and support behaviour change</w:t>
      </w:r>
      <w:r w:rsidR="00263DE3" w:rsidRPr="008910EE">
        <w:t>.</w:t>
      </w:r>
    </w:p>
    <w:p w14:paraId="59A9B57D" w14:textId="39FD475C" w:rsidR="009B134C" w:rsidRPr="008910EE" w:rsidRDefault="00B602EF" w:rsidP="00A33856">
      <w:pPr>
        <w:pStyle w:val="Bodyafterbullets"/>
      </w:pPr>
      <w:r w:rsidRPr="008910EE">
        <w:t xml:space="preserve">Victoria </w:t>
      </w:r>
      <w:r w:rsidR="005B7465" w:rsidRPr="008910EE">
        <w:t xml:space="preserve">will </w:t>
      </w:r>
      <w:r w:rsidRPr="008910EE">
        <w:t>continue r</w:t>
      </w:r>
      <w:r w:rsidR="00B915D7" w:rsidRPr="008910EE">
        <w:t>olling out the</w:t>
      </w:r>
      <w:r w:rsidR="00E10980" w:rsidRPr="008910EE">
        <w:t xml:space="preserve"> Central Information Point</w:t>
      </w:r>
      <w:r w:rsidR="409E49B4" w:rsidRPr="008910EE">
        <w:t xml:space="preserve"> (CIP)</w:t>
      </w:r>
      <w:r w:rsidR="00852FD4" w:rsidRPr="008910EE">
        <w:t>. The CIP</w:t>
      </w:r>
      <w:r w:rsidR="00DE49D7" w:rsidRPr="008910EE">
        <w:t xml:space="preserve"> </w:t>
      </w:r>
      <w:r w:rsidR="00C117B5" w:rsidRPr="008910EE">
        <w:t>brings together risk information about perpetrators of family violence held by government agencies into a single report</w:t>
      </w:r>
      <w:r w:rsidR="00EC1F4E" w:rsidRPr="008910EE">
        <w:t>. This will help</w:t>
      </w:r>
      <w:r w:rsidR="00C117B5" w:rsidRPr="008910EE">
        <w:t xml:space="preserve"> practitioners assess and manage family violence risk and better support victim survivors. </w:t>
      </w:r>
      <w:r w:rsidR="00852FD4" w:rsidRPr="008910EE">
        <w:t>Als</w:t>
      </w:r>
      <w:r w:rsidR="00EC1F4E" w:rsidRPr="008910EE">
        <w:t>o</w:t>
      </w:r>
      <w:r w:rsidR="00C117B5" w:rsidRPr="008910EE">
        <w:t>,</w:t>
      </w:r>
      <w:r w:rsidR="005B7465" w:rsidRPr="008910EE">
        <w:t xml:space="preserve"> we are </w:t>
      </w:r>
      <w:r w:rsidR="00B63CCC" w:rsidRPr="008910EE">
        <w:t>investing</w:t>
      </w:r>
      <w:r w:rsidR="00C117B5" w:rsidRPr="008910EE">
        <w:t xml:space="preserve"> $97 million to expand the Family Violence Multi-Agency Risk Assessment and Management Framework (MARAM), </w:t>
      </w:r>
      <w:r w:rsidR="00DE49D7" w:rsidRPr="008910EE">
        <w:t>the Family Violence Information Sharing Scheme</w:t>
      </w:r>
      <w:r w:rsidR="00E4009D" w:rsidRPr="008910EE">
        <w:t xml:space="preserve"> and Child Information Sharing Scheme</w:t>
      </w:r>
      <w:r w:rsidR="00852FD4" w:rsidRPr="008910EE">
        <w:t>.</w:t>
      </w:r>
      <w:r w:rsidR="003827AB" w:rsidRPr="008910EE">
        <w:rPr>
          <w:rStyle w:val="EndnoteReference"/>
        </w:rPr>
        <w:endnoteReference w:id="48"/>
      </w:r>
      <w:r w:rsidR="00852FD4" w:rsidRPr="008910EE">
        <w:t xml:space="preserve"> These will now </w:t>
      </w:r>
      <w:r w:rsidR="000A412B" w:rsidRPr="008910EE">
        <w:t>include</w:t>
      </w:r>
      <w:r w:rsidR="00852FD4" w:rsidRPr="008910EE">
        <w:t xml:space="preserve"> more than</w:t>
      </w:r>
      <w:r w:rsidR="00C117B5" w:rsidRPr="008910EE">
        <w:t xml:space="preserve"> 370,000 workers across</w:t>
      </w:r>
      <w:r w:rsidR="000031FB" w:rsidRPr="008910EE">
        <w:rPr>
          <w:iCs/>
        </w:rPr>
        <w:t xml:space="preserve"> </w:t>
      </w:r>
      <w:r w:rsidR="005B7465" w:rsidRPr="008910EE">
        <w:rPr>
          <w:iCs/>
        </w:rPr>
        <w:t xml:space="preserve">the </w:t>
      </w:r>
      <w:r w:rsidR="000031FB" w:rsidRPr="008910EE">
        <w:rPr>
          <w:iCs/>
        </w:rPr>
        <w:t>health and education workforces</w:t>
      </w:r>
      <w:r w:rsidR="00B915D7" w:rsidRPr="008910EE">
        <w:t xml:space="preserve"> </w:t>
      </w:r>
      <w:r w:rsidR="00C117B5" w:rsidRPr="008910EE">
        <w:t>to</w:t>
      </w:r>
      <w:r w:rsidR="009D1CE8" w:rsidRPr="008910EE">
        <w:t xml:space="preserve"> help</w:t>
      </w:r>
      <w:r w:rsidR="00B915D7" w:rsidRPr="008910EE">
        <w:t xml:space="preserve"> keep </w:t>
      </w:r>
      <w:r w:rsidR="00450963" w:rsidRPr="008910EE">
        <w:t xml:space="preserve">more </w:t>
      </w:r>
      <w:r w:rsidR="00B915D7" w:rsidRPr="008910EE">
        <w:t>victim</w:t>
      </w:r>
      <w:r w:rsidR="00852FD4" w:rsidRPr="008910EE">
        <w:t xml:space="preserve"> </w:t>
      </w:r>
      <w:r w:rsidR="00B915D7" w:rsidRPr="008910EE">
        <w:t>survivors safe</w:t>
      </w:r>
      <w:r w:rsidR="009B134C" w:rsidRPr="008910EE">
        <w:t>.</w:t>
      </w:r>
    </w:p>
    <w:p w14:paraId="333A618F" w14:textId="5E6DBAF7" w:rsidR="000F3073" w:rsidRPr="008910EE" w:rsidRDefault="00B81C3B" w:rsidP="000F3073">
      <w:pPr>
        <w:pStyle w:val="Body"/>
      </w:pPr>
      <w:r w:rsidRPr="008910EE">
        <w:t xml:space="preserve">We have allocated </w:t>
      </w:r>
      <w:r w:rsidR="000F3073" w:rsidRPr="008910EE">
        <w:t xml:space="preserve">$44.1 million over four years to expand responses for children and young people </w:t>
      </w:r>
      <w:r w:rsidR="005B7465" w:rsidRPr="008910EE">
        <w:t>affe</w:t>
      </w:r>
      <w:r w:rsidR="000F3073" w:rsidRPr="008910EE">
        <w:t>cted by family violence and sexual assault</w:t>
      </w:r>
      <w:r w:rsidRPr="008910EE">
        <w:t>.</w:t>
      </w:r>
      <w:r w:rsidR="00AF32F6" w:rsidRPr="008910EE">
        <w:rPr>
          <w:rStyle w:val="EndnoteReference"/>
        </w:rPr>
        <w:endnoteReference w:id="49"/>
      </w:r>
      <w:r w:rsidRPr="008910EE">
        <w:t xml:space="preserve"> This will </w:t>
      </w:r>
      <w:r w:rsidR="005B7465" w:rsidRPr="008910EE">
        <w:t>see a rise in</w:t>
      </w:r>
      <w:r w:rsidR="000F3073" w:rsidRPr="008910EE">
        <w:t xml:space="preserve"> sexually abusive behaviour treatment services.</w:t>
      </w:r>
    </w:p>
    <w:p w14:paraId="49967FF4" w14:textId="08F5B87D" w:rsidR="00BD5ECF" w:rsidRPr="008910EE" w:rsidRDefault="00AC56A0" w:rsidP="00252380">
      <w:pPr>
        <w:pStyle w:val="Body"/>
        <w:rPr>
          <w:rFonts w:eastAsia="Arial" w:cs="Arial"/>
        </w:rPr>
      </w:pPr>
      <w:r w:rsidRPr="008910EE">
        <w:rPr>
          <w:rFonts w:eastAsia="Arial" w:cs="Arial"/>
        </w:rPr>
        <w:t xml:space="preserve">We will </w:t>
      </w:r>
      <w:r w:rsidR="001466A7" w:rsidRPr="008910EE">
        <w:rPr>
          <w:rFonts w:eastAsia="Arial" w:cs="Arial"/>
        </w:rPr>
        <w:t xml:space="preserve">continue </w:t>
      </w:r>
      <w:r w:rsidRPr="008910EE">
        <w:rPr>
          <w:rFonts w:eastAsia="Arial" w:cs="Arial"/>
        </w:rPr>
        <w:t>to support women’s safety as part of a refreshed</w:t>
      </w:r>
      <w:r w:rsidR="001466A7" w:rsidRPr="008910EE">
        <w:rPr>
          <w:rFonts w:eastAsia="Arial" w:cs="Arial"/>
        </w:rPr>
        <w:t xml:space="preserve"> </w:t>
      </w:r>
      <w:r w:rsidR="001466A7" w:rsidRPr="008910EE">
        <w:rPr>
          <w:rFonts w:eastAsia="Arial" w:cs="Arial"/>
          <w:i/>
        </w:rPr>
        <w:t>Safe and Strong</w:t>
      </w:r>
      <w:r w:rsidR="00520A96" w:rsidRPr="008910EE">
        <w:rPr>
          <w:rFonts w:eastAsia="Arial" w:cs="Arial"/>
          <w:i/>
        </w:rPr>
        <w:t>:</w:t>
      </w:r>
      <w:r w:rsidR="005B7465" w:rsidRPr="008910EE">
        <w:rPr>
          <w:rFonts w:eastAsia="Arial" w:cs="Arial"/>
          <w:i/>
        </w:rPr>
        <w:t xml:space="preserve"> </w:t>
      </w:r>
      <w:r w:rsidR="00082416" w:rsidRPr="008910EE">
        <w:rPr>
          <w:rFonts w:eastAsia="Arial" w:cs="Arial"/>
          <w:i/>
        </w:rPr>
        <w:t>a</w:t>
      </w:r>
      <w:r w:rsidR="00520A96" w:rsidRPr="008910EE">
        <w:rPr>
          <w:rFonts w:eastAsia="Arial" w:cs="Arial"/>
          <w:i/>
        </w:rPr>
        <w:t xml:space="preserve"> </w:t>
      </w:r>
      <w:r w:rsidR="005B7465" w:rsidRPr="008910EE">
        <w:rPr>
          <w:rFonts w:eastAsia="Arial" w:cs="Arial"/>
          <w:i/>
        </w:rPr>
        <w:t>Victorian</w:t>
      </w:r>
      <w:r w:rsidRPr="008910EE">
        <w:rPr>
          <w:rFonts w:eastAsia="Arial" w:cs="Arial"/>
          <w:i/>
        </w:rPr>
        <w:t xml:space="preserve"> </w:t>
      </w:r>
      <w:r w:rsidR="00082416" w:rsidRPr="008910EE">
        <w:rPr>
          <w:rFonts w:eastAsia="Arial" w:cs="Arial"/>
          <w:i/>
        </w:rPr>
        <w:t>g</w:t>
      </w:r>
      <w:r w:rsidRPr="008910EE">
        <w:rPr>
          <w:rFonts w:eastAsia="Arial" w:cs="Arial"/>
          <w:i/>
        </w:rPr>
        <w:t xml:space="preserve">ender </w:t>
      </w:r>
      <w:r w:rsidR="00082416" w:rsidRPr="008910EE">
        <w:rPr>
          <w:rFonts w:eastAsia="Arial" w:cs="Arial"/>
          <w:i/>
        </w:rPr>
        <w:t>e</w:t>
      </w:r>
      <w:r w:rsidRPr="008910EE">
        <w:rPr>
          <w:rFonts w:eastAsia="Arial" w:cs="Arial"/>
          <w:i/>
        </w:rPr>
        <w:t xml:space="preserve">quality </w:t>
      </w:r>
      <w:r w:rsidR="00082416" w:rsidRPr="008910EE">
        <w:rPr>
          <w:rFonts w:eastAsia="Arial" w:cs="Arial"/>
          <w:i/>
        </w:rPr>
        <w:t>s</w:t>
      </w:r>
      <w:r w:rsidRPr="008910EE">
        <w:rPr>
          <w:rFonts w:eastAsia="Arial" w:cs="Arial"/>
          <w:i/>
        </w:rPr>
        <w:t>trategy</w:t>
      </w:r>
      <w:r w:rsidRPr="008910EE">
        <w:rPr>
          <w:rFonts w:eastAsia="Arial" w:cs="Arial"/>
        </w:rPr>
        <w:t xml:space="preserve">. </w:t>
      </w:r>
      <w:r w:rsidR="006725B1" w:rsidRPr="008910EE">
        <w:t xml:space="preserve">We are also </w:t>
      </w:r>
      <w:r w:rsidR="00B91FFB" w:rsidRPr="008910EE">
        <w:t xml:space="preserve">providing </w:t>
      </w:r>
      <w:r w:rsidR="00BD5ECF" w:rsidRPr="008910EE">
        <w:t xml:space="preserve">$2.3 million </w:t>
      </w:r>
      <w:r w:rsidR="00B81C3B" w:rsidRPr="008910EE">
        <w:t>to help prevent</w:t>
      </w:r>
      <w:r w:rsidR="00BD5ECF" w:rsidRPr="008910EE">
        <w:t xml:space="preserve"> sexual violence </w:t>
      </w:r>
      <w:r w:rsidR="003813E9" w:rsidRPr="008910EE">
        <w:t xml:space="preserve">and </w:t>
      </w:r>
      <w:r w:rsidR="00BD5ECF" w:rsidRPr="008910EE">
        <w:t>coercive control.</w:t>
      </w:r>
    </w:p>
    <w:p w14:paraId="7251FE1B" w14:textId="38E8E093" w:rsidR="00B81C3B" w:rsidRPr="008910EE" w:rsidRDefault="00EC1B7B" w:rsidP="00E1174D">
      <w:pPr>
        <w:pStyle w:val="Body"/>
      </w:pPr>
      <w:r w:rsidRPr="008910EE">
        <w:t xml:space="preserve">Respect Victoria </w:t>
      </w:r>
      <w:r w:rsidR="0083178E" w:rsidRPr="008910EE">
        <w:t>will d</w:t>
      </w:r>
      <w:r w:rsidRPr="008910EE">
        <w:t xml:space="preserve">eliver a </w:t>
      </w:r>
      <w:r w:rsidR="0083178E" w:rsidRPr="008910EE">
        <w:t xml:space="preserve">$9.7 million </w:t>
      </w:r>
      <w:r w:rsidRPr="008910EE">
        <w:t>portfolio of campaigns for all Victorians including</w:t>
      </w:r>
      <w:r w:rsidR="00B81C3B" w:rsidRPr="008910EE">
        <w:t>:</w:t>
      </w:r>
      <w:r w:rsidRPr="008910EE">
        <w:t xml:space="preserve"> </w:t>
      </w:r>
    </w:p>
    <w:p w14:paraId="67A21B50" w14:textId="58DE6469" w:rsidR="00B81C3B" w:rsidRPr="008910EE" w:rsidRDefault="00213AE9" w:rsidP="00213AE9">
      <w:pPr>
        <w:pStyle w:val="Bullet1"/>
      </w:pPr>
      <w:r w:rsidRPr="008910EE">
        <w:t xml:space="preserve">CALD </w:t>
      </w:r>
      <w:r w:rsidR="00EC1B7B" w:rsidRPr="008910EE">
        <w:t>Victorians</w:t>
      </w:r>
    </w:p>
    <w:p w14:paraId="5F8B07D2" w14:textId="57D760C4" w:rsidR="00B81C3B" w:rsidRPr="008910EE" w:rsidRDefault="00EC1B7B" w:rsidP="00213AE9">
      <w:pPr>
        <w:pStyle w:val="Bullet1"/>
      </w:pPr>
      <w:r w:rsidRPr="008910EE">
        <w:t>people with disabil</w:t>
      </w:r>
      <w:r w:rsidR="00261764" w:rsidRPr="008910EE">
        <w:t>ity</w:t>
      </w:r>
    </w:p>
    <w:p w14:paraId="0F2BFE04" w14:textId="7CA813A5" w:rsidR="00B81C3B" w:rsidRPr="008910EE" w:rsidRDefault="00EC1B7B" w:rsidP="00213AE9">
      <w:pPr>
        <w:pStyle w:val="Bullet1"/>
      </w:pPr>
      <w:r w:rsidRPr="008910EE">
        <w:t xml:space="preserve">people who identify as </w:t>
      </w:r>
      <w:r w:rsidR="003D14E3" w:rsidRPr="008910EE">
        <w:t>LGBTIQ</w:t>
      </w:r>
      <w:r w:rsidRPr="008910EE">
        <w:t xml:space="preserve">+ </w:t>
      </w:r>
    </w:p>
    <w:p w14:paraId="689FD2D3" w14:textId="65AF3FB5" w:rsidR="00620FA5" w:rsidRPr="008910EE" w:rsidRDefault="00EC1B7B" w:rsidP="00213AE9">
      <w:pPr>
        <w:pStyle w:val="Bullet1"/>
      </w:pPr>
      <w:r w:rsidRPr="008910EE">
        <w:t xml:space="preserve">Aboriginal </w:t>
      </w:r>
      <w:r w:rsidR="0083178E" w:rsidRPr="008910EE">
        <w:t>Victorians.</w:t>
      </w:r>
    </w:p>
    <w:p w14:paraId="5667C82F" w14:textId="4106A59A" w:rsidR="00620FA5" w:rsidRPr="008910EE" w:rsidRDefault="00620FA5" w:rsidP="00213AE9">
      <w:pPr>
        <w:pStyle w:val="Bodyafterbullets"/>
      </w:pPr>
      <w:r w:rsidRPr="008910EE">
        <w:t xml:space="preserve">We will </w:t>
      </w:r>
      <w:r w:rsidR="6E24E286" w:rsidRPr="008910EE">
        <w:t>also</w:t>
      </w:r>
      <w:r w:rsidRPr="008910EE">
        <w:t xml:space="preserve"> develop a whole-of-government policy framework for women’s safety in public spaces</w:t>
      </w:r>
      <w:r w:rsidR="3E932E29" w:rsidRPr="008910EE">
        <w:t>,</w:t>
      </w:r>
      <w:r w:rsidRPr="008910EE">
        <w:t xml:space="preserve"> with a particular focus on public transport</w:t>
      </w:r>
      <w:r w:rsidR="00774B23" w:rsidRPr="008910EE">
        <w:t>.</w:t>
      </w:r>
    </w:p>
    <w:p w14:paraId="5C8E60C7" w14:textId="64640213" w:rsidR="000B2F76" w:rsidRPr="008910EE" w:rsidRDefault="008C4805" w:rsidP="000B2F76">
      <w:pPr>
        <w:pStyle w:val="Body"/>
        <w:rPr>
          <w:rFonts w:cs="Arial"/>
          <w:color w:val="000000"/>
        </w:rPr>
      </w:pPr>
      <w:hyperlink r:id="rId18" w:history="1">
        <w:r w:rsidR="009B1462" w:rsidRPr="008910EE">
          <w:rPr>
            <w:rStyle w:val="Hyperlink"/>
            <w:rFonts w:cs="Arial"/>
          </w:rPr>
          <w:t>Visit Family Safety Victoria’s website</w:t>
        </w:r>
      </w:hyperlink>
      <w:r w:rsidR="009B1462" w:rsidRPr="008910EE">
        <w:rPr>
          <w:rFonts w:cs="Arial"/>
          <w:color w:val="000000"/>
        </w:rPr>
        <w:t xml:space="preserve"> </w:t>
      </w:r>
      <w:r w:rsidR="00DA6005" w:rsidRPr="008910EE">
        <w:rPr>
          <w:rFonts w:cs="Arial"/>
          <w:color w:val="000000"/>
        </w:rPr>
        <w:t xml:space="preserve">&lt;https://www.vic.gov.au/family-safety-victoria&gt; </w:t>
      </w:r>
      <w:r w:rsidR="009B1462" w:rsidRPr="008910EE">
        <w:rPr>
          <w:rFonts w:cs="Arial"/>
          <w:color w:val="000000"/>
        </w:rPr>
        <w:t>for more information about these initiatives</w:t>
      </w:r>
      <w:r w:rsidR="00F86FF9" w:rsidRPr="008910EE">
        <w:rPr>
          <w:rFonts w:cs="Arial"/>
          <w:color w:val="000000"/>
        </w:rPr>
        <w:t xml:space="preserve">, including </w:t>
      </w:r>
      <w:r w:rsidR="00975B5F" w:rsidRPr="008910EE">
        <w:rPr>
          <w:rFonts w:cs="Arial"/>
          <w:color w:val="000000"/>
        </w:rPr>
        <w:t>Family Safety Victoria’s</w:t>
      </w:r>
      <w:r w:rsidR="00F86FF9" w:rsidRPr="008910EE">
        <w:rPr>
          <w:rFonts w:cs="Arial"/>
          <w:color w:val="000000"/>
        </w:rPr>
        <w:t xml:space="preserve"> corporate plan</w:t>
      </w:r>
      <w:r w:rsidR="009B1462" w:rsidRPr="008910EE">
        <w:rPr>
          <w:rFonts w:cs="Arial"/>
          <w:color w:val="000000"/>
        </w:rPr>
        <w:t>.</w:t>
      </w:r>
    </w:p>
    <w:p w14:paraId="5B49315E" w14:textId="3413D4AC" w:rsidR="002F3435" w:rsidRPr="008910EE" w:rsidRDefault="66094A6B" w:rsidP="00987A42">
      <w:pPr>
        <w:pStyle w:val="Heading3"/>
      </w:pPr>
      <w:r w:rsidRPr="008910EE">
        <w:t>Ending</w:t>
      </w:r>
      <w:r w:rsidR="002F3435" w:rsidRPr="008910EE">
        <w:t xml:space="preserve"> </w:t>
      </w:r>
      <w:r w:rsidR="00A92BC0" w:rsidRPr="008910EE">
        <w:t>e</w:t>
      </w:r>
      <w:r w:rsidR="002F3435" w:rsidRPr="008910EE">
        <w:t xml:space="preserve">lder </w:t>
      </w:r>
      <w:r w:rsidR="00A92BC0" w:rsidRPr="008910EE">
        <w:t>a</w:t>
      </w:r>
      <w:r w:rsidR="002F3435" w:rsidRPr="008910EE">
        <w:t>buse</w:t>
      </w:r>
    </w:p>
    <w:p w14:paraId="39AA8F5C" w14:textId="66E6F16D" w:rsidR="007E591F" w:rsidRPr="008910EE" w:rsidRDefault="007E591F" w:rsidP="007E591F">
      <w:pPr>
        <w:pStyle w:val="Body"/>
        <w:rPr>
          <w:rFonts w:eastAsiaTheme="minorEastAsia"/>
          <w:szCs w:val="24"/>
        </w:rPr>
      </w:pPr>
      <w:bookmarkStart w:id="132" w:name="_Toc74069892"/>
      <w:bookmarkStart w:id="133" w:name="_Toc74994283"/>
      <w:bookmarkStart w:id="134" w:name="_Toc75357922"/>
      <w:r w:rsidRPr="008910EE">
        <w:t xml:space="preserve">Elder abuse is a form of family violence recognised by the Royal Commission into Family Violence. </w:t>
      </w:r>
      <w:r w:rsidR="00B81C3B" w:rsidRPr="008910EE">
        <w:t xml:space="preserve">Although </w:t>
      </w:r>
      <w:r w:rsidRPr="008910EE">
        <w:t xml:space="preserve">awareness of elder abuse is increasing, it </w:t>
      </w:r>
      <w:r w:rsidR="00B81C3B" w:rsidRPr="008910EE">
        <w:t xml:space="preserve">is still </w:t>
      </w:r>
      <w:r w:rsidRPr="008910EE">
        <w:t xml:space="preserve">a serious public health and human rights issue that is </w:t>
      </w:r>
      <w:r w:rsidR="00B81C3B" w:rsidRPr="008910EE">
        <w:t xml:space="preserve">highly </w:t>
      </w:r>
      <w:r w:rsidRPr="008910EE">
        <w:t>under</w:t>
      </w:r>
      <w:r w:rsidR="00B81C3B" w:rsidRPr="008910EE">
        <w:t>-</w:t>
      </w:r>
      <w:r w:rsidRPr="008910EE">
        <w:t xml:space="preserve">reported. </w:t>
      </w:r>
      <w:r w:rsidRPr="008910EE">
        <w:rPr>
          <w:lang w:val="en-US"/>
        </w:rPr>
        <w:t xml:space="preserve">Elder abuse is </w:t>
      </w:r>
      <w:r w:rsidR="00F93CF9" w:rsidRPr="008910EE">
        <w:rPr>
          <w:lang w:val="en-US"/>
        </w:rPr>
        <w:t>usually</w:t>
      </w:r>
      <w:r w:rsidR="001306D7" w:rsidRPr="008910EE">
        <w:rPr>
          <w:lang w:val="en-US"/>
        </w:rPr>
        <w:t xml:space="preserve"> perpetrated</w:t>
      </w:r>
      <w:r w:rsidR="037C7014" w:rsidRPr="008910EE">
        <w:rPr>
          <w:lang w:val="en-US"/>
        </w:rPr>
        <w:t xml:space="preserve"> </w:t>
      </w:r>
      <w:r w:rsidRPr="008910EE">
        <w:rPr>
          <w:lang w:val="en-US"/>
        </w:rPr>
        <w:t>by an adult child towards a</w:t>
      </w:r>
      <w:r w:rsidR="00B81C3B" w:rsidRPr="008910EE">
        <w:rPr>
          <w:lang w:val="en-US"/>
        </w:rPr>
        <w:t xml:space="preserve"> </w:t>
      </w:r>
      <w:r w:rsidRPr="008910EE">
        <w:rPr>
          <w:lang w:val="en-US"/>
        </w:rPr>
        <w:t>parent but can include intimate partner</w:t>
      </w:r>
      <w:r w:rsidR="00B81C3B" w:rsidRPr="008910EE">
        <w:rPr>
          <w:lang w:val="en-US"/>
        </w:rPr>
        <w:t xml:space="preserve"> </w:t>
      </w:r>
      <w:r w:rsidRPr="008910EE">
        <w:rPr>
          <w:lang w:val="en-US"/>
        </w:rPr>
        <w:t>violence</w:t>
      </w:r>
      <w:r w:rsidR="00B81C3B" w:rsidRPr="008910EE">
        <w:rPr>
          <w:lang w:val="en-US"/>
        </w:rPr>
        <w:t xml:space="preserve"> </w:t>
      </w:r>
      <w:r w:rsidRPr="008910EE">
        <w:rPr>
          <w:lang w:val="en-US"/>
        </w:rPr>
        <w:t>and</w:t>
      </w:r>
      <w:r w:rsidR="00B81C3B" w:rsidRPr="008910EE">
        <w:rPr>
          <w:lang w:val="en-US"/>
        </w:rPr>
        <w:t xml:space="preserve"> </w:t>
      </w:r>
      <w:r w:rsidRPr="008910EE">
        <w:rPr>
          <w:lang w:val="en-US"/>
        </w:rPr>
        <w:t>intergenerational</w:t>
      </w:r>
      <w:r w:rsidR="00B81C3B" w:rsidRPr="008910EE">
        <w:rPr>
          <w:lang w:val="en-US"/>
        </w:rPr>
        <w:t xml:space="preserve"> </w:t>
      </w:r>
      <w:r w:rsidRPr="008910EE">
        <w:rPr>
          <w:lang w:val="en-US"/>
        </w:rPr>
        <w:t>family</w:t>
      </w:r>
      <w:r w:rsidR="00B81C3B" w:rsidRPr="008910EE">
        <w:rPr>
          <w:lang w:val="en-US"/>
        </w:rPr>
        <w:t xml:space="preserve"> </w:t>
      </w:r>
      <w:r w:rsidRPr="008910EE">
        <w:rPr>
          <w:lang w:val="en-US"/>
        </w:rPr>
        <w:t>violence.</w:t>
      </w:r>
      <w:r w:rsidR="003D0A9F" w:rsidRPr="008910EE">
        <w:rPr>
          <w:szCs w:val="24"/>
          <w:lang w:val="en-US"/>
        </w:rPr>
        <w:t xml:space="preserve"> </w:t>
      </w:r>
    </w:p>
    <w:p w14:paraId="00453EF4" w14:textId="1874C190" w:rsidR="00A80AAA" w:rsidRPr="008910EE" w:rsidRDefault="00A80AAA" w:rsidP="007E591F">
      <w:pPr>
        <w:pStyle w:val="Body"/>
      </w:pPr>
      <w:r w:rsidRPr="008910EE">
        <w:rPr>
          <w:rStyle w:val="normaltextrun1"/>
          <w:color w:val="000000" w:themeColor="text1"/>
        </w:rPr>
        <w:t>The Orange Door networks</w:t>
      </w:r>
      <w:r w:rsidRPr="008910EE">
        <w:t xml:space="preserve"> are</w:t>
      </w:r>
      <w:r w:rsidR="005B7465" w:rsidRPr="008910EE">
        <w:t xml:space="preserve"> working in with</w:t>
      </w:r>
      <w:r w:rsidRPr="008910EE">
        <w:t>:</w:t>
      </w:r>
    </w:p>
    <w:p w14:paraId="76CBD531" w14:textId="783C5A2A" w:rsidR="00E841E7" w:rsidRPr="008910EE" w:rsidRDefault="007E591F" w:rsidP="001F13FE">
      <w:pPr>
        <w:pStyle w:val="Bullet1"/>
        <w:rPr>
          <w:rStyle w:val="normaltextrun1"/>
          <w:color w:val="000000" w:themeColor="text1"/>
        </w:rPr>
      </w:pPr>
      <w:r w:rsidRPr="008910EE">
        <w:t>a statewide elder abuse helpline</w:t>
      </w:r>
    </w:p>
    <w:p w14:paraId="034777C3" w14:textId="77777777" w:rsidR="00535E13" w:rsidRPr="008910EE" w:rsidRDefault="007E591F" w:rsidP="001F13FE">
      <w:pPr>
        <w:pStyle w:val="Bullet1"/>
        <w:rPr>
          <w:rStyle w:val="normaltextrun1"/>
          <w:color w:val="000000" w:themeColor="text1"/>
        </w:rPr>
      </w:pPr>
      <w:r w:rsidRPr="008910EE">
        <w:rPr>
          <w:rStyle w:val="normaltextrun1"/>
          <w:color w:val="000000" w:themeColor="text1"/>
        </w:rPr>
        <w:t xml:space="preserve">targeted support to raise awareness in </w:t>
      </w:r>
      <w:r w:rsidR="186534F7" w:rsidRPr="008910EE">
        <w:rPr>
          <w:rStyle w:val="normaltextrun1"/>
          <w:color w:val="000000" w:themeColor="text1"/>
        </w:rPr>
        <w:t xml:space="preserve">our </w:t>
      </w:r>
      <w:r w:rsidRPr="008910EE">
        <w:rPr>
          <w:rStyle w:val="normaltextrun1"/>
          <w:color w:val="000000" w:themeColor="text1"/>
        </w:rPr>
        <w:t>multicultural communities</w:t>
      </w:r>
    </w:p>
    <w:p w14:paraId="6C862230" w14:textId="6AB58293" w:rsidR="00535E13" w:rsidRPr="008910EE" w:rsidRDefault="007E591F" w:rsidP="001F13FE">
      <w:pPr>
        <w:pStyle w:val="Bullet1"/>
        <w:rPr>
          <w:rStyle w:val="normaltextrun1"/>
          <w:color w:val="000000" w:themeColor="text1"/>
        </w:rPr>
      </w:pPr>
      <w:r w:rsidRPr="008910EE">
        <w:rPr>
          <w:rStyle w:val="normaltextrun1"/>
          <w:color w:val="000000" w:themeColor="text1"/>
        </w:rPr>
        <w:t xml:space="preserve">elder abuse prevention training for professionals </w:t>
      </w:r>
    </w:p>
    <w:p w14:paraId="5F4A9F8D" w14:textId="7F2E02A4" w:rsidR="007E591F" w:rsidRPr="008910EE" w:rsidRDefault="007E591F" w:rsidP="001F13FE">
      <w:pPr>
        <w:pStyle w:val="Bullet1"/>
        <w:rPr>
          <w:rStyle w:val="normaltextrun1"/>
        </w:rPr>
      </w:pPr>
      <w:r w:rsidRPr="008910EE">
        <w:rPr>
          <w:rStyle w:val="normaltextrun1"/>
          <w:color w:val="000000" w:themeColor="text1"/>
        </w:rPr>
        <w:t>an elder abuse family counselling and mediation service.</w:t>
      </w:r>
      <w:r w:rsidR="003D0A9F" w:rsidRPr="008910EE">
        <w:rPr>
          <w:rStyle w:val="normaltextrun1"/>
          <w:color w:val="000000" w:themeColor="text1"/>
        </w:rPr>
        <w:t xml:space="preserve"> </w:t>
      </w:r>
    </w:p>
    <w:p w14:paraId="4CD7C9FA" w14:textId="6827C6C5" w:rsidR="007E591F" w:rsidRPr="008910EE" w:rsidRDefault="007E591F" w:rsidP="001F13FE">
      <w:pPr>
        <w:pStyle w:val="Bodyafterbullets"/>
        <w:rPr>
          <w:sz w:val="20"/>
        </w:rPr>
      </w:pPr>
      <w:r w:rsidRPr="008910EE">
        <w:t>The 2021</w:t>
      </w:r>
      <w:r w:rsidR="00535E13" w:rsidRPr="008910EE">
        <w:t>–</w:t>
      </w:r>
      <w:r w:rsidRPr="008910EE">
        <w:t xml:space="preserve">22 Victorian </w:t>
      </w:r>
      <w:r w:rsidR="00535E13" w:rsidRPr="008910EE">
        <w:t xml:space="preserve">State </w:t>
      </w:r>
      <w:r w:rsidRPr="008910EE">
        <w:t xml:space="preserve">Budget </w:t>
      </w:r>
      <w:r w:rsidR="005B7465" w:rsidRPr="008910EE">
        <w:t xml:space="preserve">gives </w:t>
      </w:r>
      <w:r w:rsidR="0033490F" w:rsidRPr="008910EE">
        <w:t>funding</w:t>
      </w:r>
      <w:r w:rsidRPr="008910EE">
        <w:t xml:space="preserve"> to continue trial</w:t>
      </w:r>
      <w:r w:rsidR="00F93CF9" w:rsidRPr="008910EE">
        <w:t>ling</w:t>
      </w:r>
      <w:r w:rsidRPr="008910EE">
        <w:t xml:space="preserve"> an </w:t>
      </w:r>
      <w:r w:rsidR="50A383C4" w:rsidRPr="008910EE">
        <w:t>i</w:t>
      </w:r>
      <w:r w:rsidRPr="008910EE">
        <w:t>ntegrated model of care for suspected elder abuse and the Elder Abuse Prevention Networks</w:t>
      </w:r>
      <w:r w:rsidR="00F93CF9" w:rsidRPr="008910EE">
        <w:t xml:space="preserve">. The budget </w:t>
      </w:r>
      <w:r w:rsidR="005B7465" w:rsidRPr="008910EE">
        <w:t>commitment includes</w:t>
      </w:r>
      <w:r w:rsidR="00F93CF9" w:rsidRPr="008910EE">
        <w:t xml:space="preserve"> </w:t>
      </w:r>
      <w:r w:rsidRPr="008910EE">
        <w:t>evaluat</w:t>
      </w:r>
      <w:r w:rsidR="005B7465" w:rsidRPr="008910EE">
        <w:t>ing</w:t>
      </w:r>
      <w:r w:rsidRPr="008910EE">
        <w:t xml:space="preserve"> these initiatives.</w:t>
      </w:r>
      <w:r w:rsidR="00C01505" w:rsidRPr="008910EE">
        <w:rPr>
          <w:rStyle w:val="EndnoteReference"/>
        </w:rPr>
        <w:endnoteReference w:id="50"/>
      </w:r>
    </w:p>
    <w:p w14:paraId="771B60E4" w14:textId="6A59BFBD" w:rsidR="00535E13" w:rsidRPr="008910EE" w:rsidRDefault="007E591F" w:rsidP="007E591F">
      <w:pPr>
        <w:pStyle w:val="Body"/>
      </w:pPr>
      <w:r w:rsidRPr="008910EE">
        <w:t xml:space="preserve">We are working with </w:t>
      </w:r>
      <w:r w:rsidR="00535E13" w:rsidRPr="008910EE">
        <w:t>partners to:</w:t>
      </w:r>
    </w:p>
    <w:p w14:paraId="23A60CA2" w14:textId="77777777" w:rsidR="00535E13" w:rsidRPr="008910EE" w:rsidRDefault="00535E13" w:rsidP="00104EBC">
      <w:pPr>
        <w:pStyle w:val="Bullet1"/>
      </w:pPr>
      <w:r w:rsidRPr="008910EE">
        <w:t>build our evidence base for improving and strengthening the system</w:t>
      </w:r>
    </w:p>
    <w:p w14:paraId="5597E796" w14:textId="343F78CC" w:rsidR="00535E13" w:rsidRPr="008910EE" w:rsidRDefault="00535E13" w:rsidP="00104EBC">
      <w:pPr>
        <w:pStyle w:val="Bullet1"/>
      </w:pPr>
      <w:r w:rsidRPr="008910EE">
        <w:t>design and deliver elder abuse prevention and response activities that reflect best practice and the voice and preferences of older people.</w:t>
      </w:r>
    </w:p>
    <w:p w14:paraId="69F889A8" w14:textId="0209EAB4" w:rsidR="00535E13" w:rsidRPr="008910EE" w:rsidRDefault="00535E13" w:rsidP="00104EBC">
      <w:pPr>
        <w:pStyle w:val="Bodyafterbullets"/>
      </w:pPr>
      <w:r w:rsidRPr="008910EE">
        <w:t>These partners include:</w:t>
      </w:r>
    </w:p>
    <w:p w14:paraId="1BB88A0E" w14:textId="4C017693" w:rsidR="00535E13" w:rsidRPr="008910EE" w:rsidRDefault="007E591F" w:rsidP="00104EBC">
      <w:pPr>
        <w:pStyle w:val="Bullet1"/>
      </w:pPr>
      <w:r w:rsidRPr="008910EE">
        <w:t>the Ambassador for Elder Abuse Prevention</w:t>
      </w:r>
    </w:p>
    <w:p w14:paraId="1C42BCF3" w14:textId="77777777" w:rsidR="00535E13" w:rsidRPr="008910EE" w:rsidRDefault="007E591F" w:rsidP="00104EBC">
      <w:pPr>
        <w:pStyle w:val="Bullet1"/>
      </w:pPr>
      <w:r w:rsidRPr="008910EE">
        <w:t>other government departments</w:t>
      </w:r>
    </w:p>
    <w:p w14:paraId="7BB51F58" w14:textId="0E471E46" w:rsidR="00535E13" w:rsidRPr="008910EE" w:rsidRDefault="007E591F" w:rsidP="00104EBC">
      <w:pPr>
        <w:pStyle w:val="Bullet1"/>
      </w:pPr>
      <w:r w:rsidRPr="008910EE">
        <w:t xml:space="preserve">peak bodies </w:t>
      </w:r>
    </w:p>
    <w:p w14:paraId="5B37A884" w14:textId="7D1BA87C" w:rsidR="00535E13" w:rsidRPr="008910EE" w:rsidRDefault="007E591F" w:rsidP="00104EBC">
      <w:pPr>
        <w:pStyle w:val="Bullet1"/>
      </w:pPr>
      <w:r w:rsidRPr="008910EE">
        <w:t xml:space="preserve">service providers. </w:t>
      </w:r>
    </w:p>
    <w:p w14:paraId="0D6C48ED" w14:textId="517D9E88" w:rsidR="007E591F" w:rsidRPr="008910EE" w:rsidRDefault="007E591F" w:rsidP="00104EBC">
      <w:pPr>
        <w:pStyle w:val="Bodyafterbullets"/>
      </w:pPr>
      <w:r w:rsidRPr="008910EE">
        <w:t>We</w:t>
      </w:r>
      <w:r w:rsidR="365C8CC1" w:rsidRPr="008910EE">
        <w:t xml:space="preserve"> also</w:t>
      </w:r>
      <w:r w:rsidRPr="008910EE">
        <w:t xml:space="preserve"> advocate and work with the Commonwealth on opportunities to address elder abuse on a national scale.</w:t>
      </w:r>
    </w:p>
    <w:p w14:paraId="59D97F6C" w14:textId="3984F412" w:rsidR="00C7419D" w:rsidRPr="008910EE" w:rsidRDefault="00F576EE" w:rsidP="00C7419D">
      <w:pPr>
        <w:pStyle w:val="Body"/>
      </w:pPr>
      <w:r w:rsidRPr="008910EE">
        <w:t xml:space="preserve">Refer to </w:t>
      </w:r>
      <w:r w:rsidR="00903781" w:rsidRPr="008910EE">
        <w:t xml:space="preserve">the </w:t>
      </w:r>
      <w:hyperlink r:id="rId19" w:history="1">
        <w:r w:rsidR="00903781" w:rsidRPr="008910EE">
          <w:rPr>
            <w:rStyle w:val="Hyperlink"/>
            <w:i/>
            <w:iCs/>
          </w:rPr>
          <w:t xml:space="preserve">Family </w:t>
        </w:r>
        <w:r w:rsidR="00125F43" w:rsidRPr="008910EE">
          <w:rPr>
            <w:rStyle w:val="Hyperlink"/>
            <w:i/>
            <w:iCs/>
          </w:rPr>
          <w:t xml:space="preserve">violence reform rolling action plan </w:t>
        </w:r>
        <w:r w:rsidR="00903781" w:rsidRPr="008910EE">
          <w:rPr>
            <w:rStyle w:val="Hyperlink"/>
            <w:i/>
            <w:iCs/>
          </w:rPr>
          <w:t>2020</w:t>
        </w:r>
        <w:r w:rsidR="00125F43" w:rsidRPr="008910EE">
          <w:rPr>
            <w:rStyle w:val="Hyperlink"/>
            <w:i/>
            <w:iCs/>
          </w:rPr>
          <w:t>–</w:t>
        </w:r>
        <w:r w:rsidR="00903781" w:rsidRPr="008910EE">
          <w:rPr>
            <w:rStyle w:val="Hyperlink"/>
            <w:i/>
            <w:iCs/>
          </w:rPr>
          <w:t>2023</w:t>
        </w:r>
      </w:hyperlink>
      <w:r w:rsidR="00903781" w:rsidRPr="008910EE">
        <w:t xml:space="preserve"> </w:t>
      </w:r>
      <w:r w:rsidR="00125F43" w:rsidRPr="008910EE">
        <w:t xml:space="preserve">&lt;https://www.vic.gov.au/family-violence-reform-rolling-action-plan-2020-2023&gt; </w:t>
      </w:r>
      <w:r w:rsidR="00903781" w:rsidRPr="008910EE">
        <w:t xml:space="preserve">for </w:t>
      </w:r>
      <w:r w:rsidR="002D6872" w:rsidRPr="008910EE">
        <w:t>more</w:t>
      </w:r>
      <w:r w:rsidR="00903781" w:rsidRPr="008910EE">
        <w:t xml:space="preserve"> information</w:t>
      </w:r>
      <w:r w:rsidR="002D6872" w:rsidRPr="008910EE">
        <w:t xml:space="preserve"> about these initiativ</w:t>
      </w:r>
      <w:r w:rsidR="006A39BB" w:rsidRPr="008910EE">
        <w:t>es</w:t>
      </w:r>
      <w:r w:rsidR="00125F43" w:rsidRPr="008910EE">
        <w:t xml:space="preserve">. </w:t>
      </w:r>
    </w:p>
    <w:p w14:paraId="58EC55EB" w14:textId="027C5D0D" w:rsidR="0032543D" w:rsidRPr="008910EE" w:rsidRDefault="0032543D" w:rsidP="00987A42">
      <w:pPr>
        <w:pStyle w:val="Heading3"/>
      </w:pPr>
      <w:r w:rsidRPr="008910EE">
        <w:t xml:space="preserve">Delivering </w:t>
      </w:r>
      <w:r w:rsidR="00535E13" w:rsidRPr="008910EE">
        <w:t>q</w:t>
      </w:r>
      <w:r w:rsidRPr="008910EE">
        <w:t xml:space="preserve">uality </w:t>
      </w:r>
      <w:r w:rsidR="00535E13" w:rsidRPr="008910EE">
        <w:t>h</w:t>
      </w:r>
      <w:r w:rsidRPr="008910EE">
        <w:t xml:space="preserve">ousing </w:t>
      </w:r>
      <w:r w:rsidR="00535E13" w:rsidRPr="008910EE">
        <w:t>s</w:t>
      </w:r>
      <w:r w:rsidRPr="008910EE">
        <w:t>ervices</w:t>
      </w:r>
    </w:p>
    <w:p w14:paraId="59070942" w14:textId="448291DF" w:rsidR="0032543D" w:rsidRPr="008910EE" w:rsidRDefault="0032543D" w:rsidP="0032543D">
      <w:pPr>
        <w:pStyle w:val="Body"/>
      </w:pPr>
      <w:r w:rsidRPr="008910EE">
        <w:t xml:space="preserve">Public housing is an important option </w:t>
      </w:r>
      <w:r w:rsidR="00E83E9D" w:rsidRPr="008910EE">
        <w:t xml:space="preserve">for </w:t>
      </w:r>
      <w:r w:rsidRPr="008910EE">
        <w:t xml:space="preserve">people who </w:t>
      </w:r>
      <w:r w:rsidR="00535E13" w:rsidRPr="008910EE">
        <w:t xml:space="preserve">need </w:t>
      </w:r>
      <w:r w:rsidR="00684343" w:rsidRPr="008910EE">
        <w:t xml:space="preserve">an </w:t>
      </w:r>
      <w:r w:rsidRPr="008910EE">
        <w:t xml:space="preserve">affordable </w:t>
      </w:r>
      <w:r w:rsidR="00684343" w:rsidRPr="008910EE">
        <w:t>place to live</w:t>
      </w:r>
      <w:r w:rsidR="00535E13" w:rsidRPr="008910EE">
        <w:t xml:space="preserve">. </w:t>
      </w:r>
      <w:r w:rsidR="00E83E9D" w:rsidRPr="008910EE">
        <w:t>In response, t</w:t>
      </w:r>
      <w:r w:rsidR="00535E13" w:rsidRPr="008910EE">
        <w:t>he</w:t>
      </w:r>
      <w:r w:rsidR="00E83E9D" w:rsidRPr="008910EE">
        <w:t xml:space="preserve"> department applies</w:t>
      </w:r>
      <w:r w:rsidRPr="008910EE">
        <w:t xml:space="preserve"> the </w:t>
      </w:r>
      <w:r w:rsidR="00535E13" w:rsidRPr="008910EE">
        <w:t>s</w:t>
      </w:r>
      <w:r w:rsidRPr="008910EE">
        <w:t xml:space="preserve">ocial landlord approach to </w:t>
      </w:r>
      <w:r w:rsidR="000F7370" w:rsidRPr="008910EE">
        <w:t xml:space="preserve">our </w:t>
      </w:r>
      <w:r w:rsidRPr="008910EE">
        <w:t>tenancy management.</w:t>
      </w:r>
      <w:r w:rsidR="000F7370" w:rsidRPr="008910EE">
        <w:t xml:space="preserve"> This approach favours</w:t>
      </w:r>
      <w:r w:rsidRPr="008910EE">
        <w:t xml:space="preserve"> </w:t>
      </w:r>
      <w:r w:rsidR="000F7370" w:rsidRPr="008910EE">
        <w:t>low-income earners with</w:t>
      </w:r>
      <w:r w:rsidRPr="008910EE">
        <w:t xml:space="preserve"> </w:t>
      </w:r>
      <w:r w:rsidR="00F93CF9" w:rsidRPr="008910EE">
        <w:t xml:space="preserve">a </w:t>
      </w:r>
      <w:r w:rsidRPr="008910EE">
        <w:t>recent experience</w:t>
      </w:r>
      <w:r w:rsidR="00F93CF9" w:rsidRPr="008910EE">
        <w:t xml:space="preserve"> of</w:t>
      </w:r>
      <w:r w:rsidRPr="008910EE">
        <w:t xml:space="preserve"> homelessness</w:t>
      </w:r>
      <w:r w:rsidR="00684343" w:rsidRPr="008910EE">
        <w:t xml:space="preserve"> or</w:t>
      </w:r>
      <w:r w:rsidRPr="008910EE">
        <w:t xml:space="preserve"> family violence or </w:t>
      </w:r>
      <w:r w:rsidR="000F7370" w:rsidRPr="008910EE">
        <w:t xml:space="preserve">who </w:t>
      </w:r>
      <w:r w:rsidRPr="008910EE">
        <w:t>have other special needs.</w:t>
      </w:r>
    </w:p>
    <w:p w14:paraId="221AD86D" w14:textId="2B903351" w:rsidR="0032543D" w:rsidRPr="008910EE" w:rsidRDefault="0032543D" w:rsidP="0032543D">
      <w:pPr>
        <w:pStyle w:val="Body"/>
      </w:pPr>
      <w:r w:rsidRPr="008910EE">
        <w:t xml:space="preserve">In addition to </w:t>
      </w:r>
      <w:r w:rsidR="000F7370" w:rsidRPr="008910EE">
        <w:t xml:space="preserve">our </w:t>
      </w:r>
      <w:r w:rsidRPr="008910EE">
        <w:t>public housing role, the department manages the Victorian Housing Register as a single pathway into social housing</w:t>
      </w:r>
      <w:r w:rsidR="00535E13" w:rsidRPr="008910EE">
        <w:t>. We</w:t>
      </w:r>
      <w:r w:rsidRPr="008910EE">
        <w:t xml:space="preserve"> also operate RentAssist </w:t>
      </w:r>
      <w:r w:rsidR="000F7370" w:rsidRPr="008910EE">
        <w:t>b</w:t>
      </w:r>
      <w:r w:rsidRPr="008910EE">
        <w:t xml:space="preserve">ond </w:t>
      </w:r>
      <w:r w:rsidR="000F7370" w:rsidRPr="008910EE">
        <w:t>l</w:t>
      </w:r>
      <w:r w:rsidRPr="008910EE">
        <w:t xml:space="preserve">oans for those entering the private market who are on low incomes. </w:t>
      </w:r>
    </w:p>
    <w:p w14:paraId="7AED9BBF" w14:textId="1620E7E9" w:rsidR="0032543D" w:rsidRPr="008910EE" w:rsidRDefault="0032543D" w:rsidP="0032543D">
      <w:pPr>
        <w:pStyle w:val="Body"/>
      </w:pPr>
      <w:r w:rsidRPr="008910EE">
        <w:t xml:space="preserve">To better meet the needs of those seeking </w:t>
      </w:r>
      <w:r w:rsidR="00BD6E09" w:rsidRPr="008910EE">
        <w:t>the department’s</w:t>
      </w:r>
      <w:r w:rsidRPr="008910EE">
        <w:t xml:space="preserve"> assistance, in 2020</w:t>
      </w:r>
      <w:r w:rsidR="00535E13" w:rsidRPr="008910EE">
        <w:t>–</w:t>
      </w:r>
      <w:r w:rsidRPr="008910EE">
        <w:t>21</w:t>
      </w:r>
      <w:r w:rsidR="004500A4" w:rsidRPr="008910EE">
        <w:t xml:space="preserve"> we</w:t>
      </w:r>
      <w:r w:rsidRPr="008910EE">
        <w:t xml:space="preserve"> initiated a refresh of the Housing Operating Model</w:t>
      </w:r>
      <w:r w:rsidR="009C250B" w:rsidRPr="008910EE">
        <w:t>. This model</w:t>
      </w:r>
      <w:r w:rsidRPr="008910EE">
        <w:t xml:space="preserve"> forms the basis on which </w:t>
      </w:r>
      <w:r w:rsidR="004500A4" w:rsidRPr="008910EE">
        <w:t xml:space="preserve">we deliver </w:t>
      </w:r>
      <w:r w:rsidRPr="008910EE">
        <w:t>service</w:t>
      </w:r>
      <w:r w:rsidR="004500A4" w:rsidRPr="008910EE">
        <w:t>s</w:t>
      </w:r>
      <w:r w:rsidRPr="008910EE">
        <w:t>.</w:t>
      </w:r>
      <w:r w:rsidR="003D0A9F" w:rsidRPr="008910EE">
        <w:t xml:space="preserve"> </w:t>
      </w:r>
      <w:r w:rsidRPr="008910EE">
        <w:t>This work will continue to roll</w:t>
      </w:r>
      <w:r w:rsidR="009C250B" w:rsidRPr="008910EE">
        <w:t xml:space="preserve"> </w:t>
      </w:r>
      <w:r w:rsidRPr="008910EE">
        <w:t>out in 2021</w:t>
      </w:r>
      <w:r w:rsidR="00535E13" w:rsidRPr="008910EE">
        <w:t>–</w:t>
      </w:r>
      <w:r w:rsidRPr="008910EE">
        <w:t xml:space="preserve">22. </w:t>
      </w:r>
    </w:p>
    <w:p w14:paraId="087CD98A" w14:textId="7BB304A1" w:rsidR="0032543D" w:rsidRPr="008910EE" w:rsidRDefault="0032543D" w:rsidP="0032543D">
      <w:pPr>
        <w:pStyle w:val="Body"/>
      </w:pPr>
      <w:r w:rsidRPr="008910EE">
        <w:t xml:space="preserve">There are two aims of this work. This first focus </w:t>
      </w:r>
      <w:r w:rsidR="004500A4" w:rsidRPr="008910EE">
        <w:t xml:space="preserve">is on </w:t>
      </w:r>
      <w:r w:rsidRPr="008910EE">
        <w:t>improv</w:t>
      </w:r>
      <w:r w:rsidR="004500A4" w:rsidRPr="008910EE">
        <w:t>ing</w:t>
      </w:r>
      <w:r w:rsidRPr="008910EE">
        <w:t xml:space="preserve"> the client experience, ensuring </w:t>
      </w:r>
      <w:r w:rsidR="001725C6" w:rsidRPr="008910EE">
        <w:t>people</w:t>
      </w:r>
      <w:r w:rsidRPr="008910EE">
        <w:t xml:space="preserve"> receive a consistent level of service wherever they live in the state.</w:t>
      </w:r>
      <w:r w:rsidR="003D0A9F" w:rsidRPr="008910EE">
        <w:t xml:space="preserve"> </w:t>
      </w:r>
      <w:r w:rsidRPr="008910EE">
        <w:t xml:space="preserve">The second </w:t>
      </w:r>
      <w:r w:rsidR="004500A4" w:rsidRPr="008910EE">
        <w:t xml:space="preserve">aim </w:t>
      </w:r>
      <w:r w:rsidRPr="008910EE">
        <w:t>is to best support our housing staff in their work.</w:t>
      </w:r>
      <w:r w:rsidR="003D0A9F" w:rsidRPr="008910EE">
        <w:t xml:space="preserve"> </w:t>
      </w:r>
    </w:p>
    <w:p w14:paraId="2848FB43" w14:textId="4785972B" w:rsidR="009C250B" w:rsidRPr="008910EE" w:rsidRDefault="0032543D" w:rsidP="0032543D">
      <w:pPr>
        <w:pStyle w:val="Body"/>
      </w:pPr>
      <w:r w:rsidRPr="008910EE">
        <w:t xml:space="preserve">For clients, one of the key initiatives </w:t>
      </w:r>
      <w:r w:rsidR="009C250B" w:rsidRPr="008910EE">
        <w:t>is</w:t>
      </w:r>
      <w:r w:rsidRPr="008910EE">
        <w:t xml:space="preserve"> access to digital platforms so they can view and update the details of the services </w:t>
      </w:r>
      <w:r w:rsidR="009C250B" w:rsidRPr="008910EE">
        <w:t xml:space="preserve">we </w:t>
      </w:r>
      <w:r w:rsidRPr="008910EE">
        <w:t>provid</w:t>
      </w:r>
      <w:r w:rsidR="009C250B" w:rsidRPr="008910EE">
        <w:t>e</w:t>
      </w:r>
      <w:r w:rsidRPr="008910EE">
        <w:t xml:space="preserve"> </w:t>
      </w:r>
      <w:r w:rsidR="00684343" w:rsidRPr="008910EE">
        <w:t xml:space="preserve">to </w:t>
      </w:r>
      <w:r w:rsidRPr="008910EE">
        <w:t>them. For example</w:t>
      </w:r>
      <w:r w:rsidR="005270E9" w:rsidRPr="008910EE">
        <w:t>,</w:t>
      </w:r>
      <w:r w:rsidRPr="008910EE">
        <w:t xml:space="preserve"> clients can now</w:t>
      </w:r>
      <w:r w:rsidR="009C250B" w:rsidRPr="008910EE">
        <w:t>:</w:t>
      </w:r>
      <w:r w:rsidRPr="008910EE">
        <w:t xml:space="preserve"> </w:t>
      </w:r>
    </w:p>
    <w:p w14:paraId="53DC876C" w14:textId="6B052482" w:rsidR="009C250B" w:rsidRPr="008910EE" w:rsidRDefault="0032543D" w:rsidP="00C54052">
      <w:pPr>
        <w:pStyle w:val="Bullet1"/>
      </w:pPr>
      <w:r w:rsidRPr="008910EE">
        <w:t>get their mail online</w:t>
      </w:r>
    </w:p>
    <w:p w14:paraId="3DD912CB" w14:textId="3F5691E7" w:rsidR="009C250B" w:rsidRPr="008910EE" w:rsidRDefault="0032543D" w:rsidP="00C54052">
      <w:pPr>
        <w:pStyle w:val="Bullet1"/>
      </w:pPr>
      <w:r w:rsidRPr="008910EE">
        <w:t>view their information 24/7</w:t>
      </w:r>
    </w:p>
    <w:p w14:paraId="7E254909" w14:textId="58D506A2" w:rsidR="009C250B" w:rsidRPr="008910EE" w:rsidRDefault="0032543D" w:rsidP="00C54052">
      <w:pPr>
        <w:pStyle w:val="Bullet1"/>
      </w:pPr>
      <w:r w:rsidRPr="008910EE">
        <w:t>update their phone numbers and other contacts details online</w:t>
      </w:r>
    </w:p>
    <w:p w14:paraId="38B22D05" w14:textId="16E8DAF9" w:rsidR="0032543D" w:rsidRPr="008910EE" w:rsidRDefault="0032543D" w:rsidP="00C54052">
      <w:pPr>
        <w:pStyle w:val="Bullet1"/>
      </w:pPr>
      <w:r w:rsidRPr="008910EE">
        <w:t>pay online rather than having to go to the post office each fortnight, if they are able to use direct debit services.</w:t>
      </w:r>
    </w:p>
    <w:p w14:paraId="6D462C0E" w14:textId="15AA70AD" w:rsidR="009C250B" w:rsidRPr="008910EE" w:rsidRDefault="0032543D" w:rsidP="009C250B">
      <w:pPr>
        <w:pStyle w:val="Bodyafterbullets"/>
      </w:pPr>
      <w:r w:rsidRPr="008910EE">
        <w:t>For staff, updating the Housing Operating Model is about ensuring they</w:t>
      </w:r>
      <w:r w:rsidR="009C250B" w:rsidRPr="008910EE">
        <w:t>:</w:t>
      </w:r>
      <w:r w:rsidRPr="008910EE">
        <w:t xml:space="preserve"> </w:t>
      </w:r>
    </w:p>
    <w:p w14:paraId="6598E998" w14:textId="2990C1F9" w:rsidR="009C250B" w:rsidRPr="008910EE" w:rsidRDefault="0032543D" w:rsidP="00B01A9C">
      <w:pPr>
        <w:pStyle w:val="Bullet1"/>
      </w:pPr>
      <w:r w:rsidRPr="008910EE">
        <w:t>are well supported in their skill development and wellbeing</w:t>
      </w:r>
    </w:p>
    <w:p w14:paraId="7EFE8031" w14:textId="316E34F1" w:rsidR="009C250B" w:rsidRPr="008910EE" w:rsidRDefault="0032543D" w:rsidP="00B01A9C">
      <w:pPr>
        <w:pStyle w:val="Bullet1"/>
      </w:pPr>
      <w:r w:rsidRPr="008910EE">
        <w:t>have access to modern technology when they are undertaking activities such as home visits</w:t>
      </w:r>
    </w:p>
    <w:p w14:paraId="09F4194E" w14:textId="2399B3B3" w:rsidR="00C36542" w:rsidRPr="008910EE" w:rsidRDefault="0032543D" w:rsidP="00C36542">
      <w:pPr>
        <w:pStyle w:val="Bullet1"/>
      </w:pPr>
      <w:r w:rsidRPr="008910EE">
        <w:t>are valued and supported in their roles, recogni</w:t>
      </w:r>
      <w:r w:rsidR="00F93CF9" w:rsidRPr="008910EE">
        <w:t>sing</w:t>
      </w:r>
      <w:r w:rsidRPr="008910EE">
        <w:t xml:space="preserve"> the important work they </w:t>
      </w:r>
      <w:r w:rsidR="00F93CF9" w:rsidRPr="008910EE">
        <w:t>do.</w:t>
      </w:r>
    </w:p>
    <w:p w14:paraId="10AB53BF" w14:textId="0400ADDE" w:rsidR="0083586B" w:rsidRPr="008910EE" w:rsidRDefault="0083586B" w:rsidP="00125F43">
      <w:pPr>
        <w:pStyle w:val="Heading2"/>
      </w:pPr>
      <w:bookmarkStart w:id="135" w:name="_Toc76046867"/>
      <w:bookmarkStart w:id="136" w:name="_Toc76463237"/>
      <w:bookmarkStart w:id="137" w:name="_Toc77154013"/>
      <w:bookmarkStart w:id="138" w:name="_Toc80708363"/>
      <w:r w:rsidRPr="008910EE">
        <w:t>Victorian communities are safe,</w:t>
      </w:r>
      <w:bookmarkStart w:id="139" w:name="_Toc74069893"/>
      <w:bookmarkEnd w:id="132"/>
      <w:r w:rsidR="00A2295A" w:rsidRPr="008910EE">
        <w:t xml:space="preserve"> </w:t>
      </w:r>
      <w:r w:rsidRPr="008910EE">
        <w:t>fair</w:t>
      </w:r>
      <w:r w:rsidR="002D4E39" w:rsidRPr="008910EE">
        <w:t>,</w:t>
      </w:r>
      <w:r w:rsidRPr="008910EE">
        <w:t xml:space="preserve"> inclusive</w:t>
      </w:r>
      <w:bookmarkEnd w:id="133"/>
      <w:bookmarkEnd w:id="139"/>
      <w:r w:rsidR="002D4E39" w:rsidRPr="008910EE">
        <w:t xml:space="preserve"> and resilient</w:t>
      </w:r>
      <w:bookmarkEnd w:id="134"/>
      <w:bookmarkEnd w:id="135"/>
      <w:bookmarkEnd w:id="136"/>
      <w:bookmarkEnd w:id="137"/>
      <w:bookmarkEnd w:id="138"/>
    </w:p>
    <w:p w14:paraId="390AAF64" w14:textId="5AF9E732" w:rsidR="00BD7334" w:rsidRPr="008910EE" w:rsidRDefault="00B85C41" w:rsidP="00125F43">
      <w:pPr>
        <w:pStyle w:val="Body"/>
      </w:pPr>
      <w:r w:rsidRPr="008910EE">
        <w:t>We can achieve our outcome goal by</w:t>
      </w:r>
      <w:r w:rsidR="00BD7334" w:rsidRPr="008910EE">
        <w:t>:</w:t>
      </w:r>
    </w:p>
    <w:p w14:paraId="04F7F269" w14:textId="67569C27" w:rsidR="0080371A" w:rsidRPr="008910EE" w:rsidRDefault="0080371A" w:rsidP="00125F43">
      <w:pPr>
        <w:pStyle w:val="Bullet1"/>
      </w:pPr>
      <w:r w:rsidRPr="008910EE">
        <w:t>striving for a more accessible and inclusive Victoria for people with disability</w:t>
      </w:r>
      <w:r w:rsidR="003D0A9F" w:rsidRPr="008910EE">
        <w:t xml:space="preserve"> </w:t>
      </w:r>
    </w:p>
    <w:p w14:paraId="2BD7182B" w14:textId="2C648D10" w:rsidR="00367C83" w:rsidRPr="008910EE" w:rsidRDefault="00B41969" w:rsidP="00125F43">
      <w:pPr>
        <w:pStyle w:val="Bullet1"/>
      </w:pPr>
      <w:r w:rsidRPr="008910EE">
        <w:t>addressing</w:t>
      </w:r>
      <w:r w:rsidR="00367C83" w:rsidRPr="008910EE">
        <w:t xml:space="preserve"> inequality and promoting inclusion for LGBTIQ+ communities </w:t>
      </w:r>
    </w:p>
    <w:p w14:paraId="60502606" w14:textId="06104688" w:rsidR="00F16E5A" w:rsidRPr="008910EE" w:rsidRDefault="00B41969" w:rsidP="00125F43">
      <w:pPr>
        <w:pStyle w:val="Bullet1"/>
      </w:pPr>
      <w:r w:rsidRPr="008910EE">
        <w:t>striving for</w:t>
      </w:r>
      <w:r w:rsidR="00F16E5A" w:rsidRPr="008910EE">
        <w:t xml:space="preserve"> gender equality and </w:t>
      </w:r>
      <w:r w:rsidRPr="008910EE">
        <w:t xml:space="preserve">increasing </w:t>
      </w:r>
      <w:r w:rsidR="00F16E5A" w:rsidRPr="008910EE">
        <w:t>women’s economic participation in Victoria </w:t>
      </w:r>
    </w:p>
    <w:p w14:paraId="256C2E5E" w14:textId="1FD052DD" w:rsidR="00A035E0" w:rsidRPr="008910EE" w:rsidRDefault="00A035E0" w:rsidP="00125F43">
      <w:pPr>
        <w:pStyle w:val="Bullet1"/>
      </w:pPr>
      <w:r w:rsidRPr="008910EE">
        <w:t>partnering with multicultural communities to foster an inclusive, engaged and harmonious multicultural community in Victoria</w:t>
      </w:r>
    </w:p>
    <w:p w14:paraId="402B3444" w14:textId="6925D8D3" w:rsidR="009C3B54" w:rsidRPr="008910EE" w:rsidRDefault="009C3B54" w:rsidP="00125F43">
      <w:pPr>
        <w:pStyle w:val="Bullet1"/>
      </w:pPr>
      <w:r w:rsidRPr="008910EE">
        <w:t>providing veterans with the support they need to transition to civilian life</w:t>
      </w:r>
    </w:p>
    <w:p w14:paraId="4C1417B5" w14:textId="221E0830" w:rsidR="00F16E5A" w:rsidRPr="008910EE" w:rsidRDefault="00F16E5A" w:rsidP="00125F43">
      <w:pPr>
        <w:pStyle w:val="Bullet1"/>
      </w:pPr>
      <w:r w:rsidRPr="008910EE">
        <w:t xml:space="preserve">empowering young people to fully </w:t>
      </w:r>
      <w:r w:rsidR="00263647" w:rsidRPr="008910EE">
        <w:t xml:space="preserve">take part </w:t>
      </w:r>
      <w:r w:rsidRPr="008910EE">
        <w:t>in the social, economic and civic life of our state</w:t>
      </w:r>
    </w:p>
    <w:p w14:paraId="563ABF4C" w14:textId="63186A83" w:rsidR="00DF2B80" w:rsidRPr="008910EE" w:rsidRDefault="00DF2B80" w:rsidP="00125F43">
      <w:pPr>
        <w:pStyle w:val="Bullet1"/>
      </w:pPr>
      <w:r w:rsidRPr="008910EE">
        <w:t>ensuring we are prepared, responsive and adaptive in crises and emergencies</w:t>
      </w:r>
    </w:p>
    <w:p w14:paraId="39DE5F9C" w14:textId="3ABB1688" w:rsidR="00F16E5A" w:rsidRPr="008910EE" w:rsidRDefault="00F16E5A" w:rsidP="00125F43">
      <w:pPr>
        <w:pStyle w:val="Bullet1"/>
      </w:pPr>
      <w:r w:rsidRPr="008910EE">
        <w:t>respecting and valuing senior Victorians and supporting them to age well</w:t>
      </w:r>
    </w:p>
    <w:p w14:paraId="4982EE8B" w14:textId="42D4CA0D" w:rsidR="00F16E5A" w:rsidRPr="008910EE" w:rsidRDefault="007B0642" w:rsidP="00125F43">
      <w:pPr>
        <w:pStyle w:val="Bullet1"/>
      </w:pPr>
      <w:r w:rsidRPr="008910EE">
        <w:rPr>
          <w:szCs w:val="21"/>
        </w:rPr>
        <w:t>elevating the voice of Victorians experiencing multiple and intersecting forms of disadvantage</w:t>
      </w:r>
    </w:p>
    <w:p w14:paraId="693FD7D5" w14:textId="4FF12532" w:rsidR="00F362AF" w:rsidRPr="008910EE" w:rsidRDefault="00F362AF" w:rsidP="00125F43">
      <w:pPr>
        <w:pStyle w:val="Bullet1"/>
      </w:pPr>
      <w:r w:rsidRPr="008910EE">
        <w:t xml:space="preserve">providing opportunities for Victorians to connect </w:t>
      </w:r>
      <w:r w:rsidR="00DE52FC" w:rsidRPr="008910EE">
        <w:t xml:space="preserve">with </w:t>
      </w:r>
      <w:r w:rsidRPr="008910EE">
        <w:t xml:space="preserve">one another and </w:t>
      </w:r>
      <w:r w:rsidR="00DE52FC" w:rsidRPr="008910EE">
        <w:t xml:space="preserve">to </w:t>
      </w:r>
      <w:r w:rsidRPr="008910EE">
        <w:t>expand their personal networks</w:t>
      </w:r>
    </w:p>
    <w:p w14:paraId="5EE8945E" w14:textId="49A16DC8" w:rsidR="00C83D26" w:rsidRPr="008910EE" w:rsidRDefault="00C83D26" w:rsidP="00125F43">
      <w:pPr>
        <w:pStyle w:val="Bullet1"/>
      </w:pPr>
      <w:r w:rsidRPr="008910EE">
        <w:t>ensuring carers have the support they need to continue their important work</w:t>
      </w:r>
      <w:r w:rsidR="00E56F5E" w:rsidRPr="008910EE">
        <w:t>.</w:t>
      </w:r>
    </w:p>
    <w:p w14:paraId="02C1A080" w14:textId="1640AEB2" w:rsidR="00A6663E" w:rsidRPr="008910EE" w:rsidRDefault="00A6663E" w:rsidP="00125F43">
      <w:pPr>
        <w:pStyle w:val="Bodyafterbullets"/>
      </w:pPr>
      <w:r w:rsidRPr="008910EE">
        <w:t xml:space="preserve">To make Victoria safer and more equal, all people need to be able to have a say, feel valued and fully </w:t>
      </w:r>
      <w:r w:rsidR="00263647" w:rsidRPr="008910EE">
        <w:t xml:space="preserve">take part </w:t>
      </w:r>
      <w:r w:rsidRPr="008910EE">
        <w:t xml:space="preserve">in society. </w:t>
      </w:r>
      <w:r w:rsidR="009C250B" w:rsidRPr="008910EE">
        <w:t xml:space="preserve">This is regardless of sex, gender, sexuality, race, class, age or disability. </w:t>
      </w:r>
      <w:r w:rsidRPr="008910EE">
        <w:t xml:space="preserve">The department works to address structural barriers to </w:t>
      </w:r>
      <w:r w:rsidR="00263647" w:rsidRPr="008910EE">
        <w:t>getting involved</w:t>
      </w:r>
      <w:r w:rsidRPr="008910EE">
        <w:t>, including racism</w:t>
      </w:r>
      <w:r w:rsidR="005207AB" w:rsidRPr="008910EE">
        <w:t>, ableism</w:t>
      </w:r>
      <w:r w:rsidR="006F73DE" w:rsidRPr="008910EE">
        <w:t>, ageism</w:t>
      </w:r>
      <w:r w:rsidRPr="008910EE">
        <w:t xml:space="preserve"> and other forms of discrimination</w:t>
      </w:r>
      <w:r w:rsidR="00594B06" w:rsidRPr="008910EE">
        <w:t>. This is</w:t>
      </w:r>
      <w:r w:rsidR="009F18DF" w:rsidRPr="008910EE">
        <w:t xml:space="preserve"> in line with our </w:t>
      </w:r>
      <w:r w:rsidR="001C018E" w:rsidRPr="008910EE">
        <w:t>respons</w:t>
      </w:r>
      <w:r w:rsidR="004C6625" w:rsidRPr="008910EE">
        <w:t>i</w:t>
      </w:r>
      <w:r w:rsidR="001C018E" w:rsidRPr="008910EE">
        <w:t>bilities</w:t>
      </w:r>
      <w:r w:rsidR="009F18DF" w:rsidRPr="008910EE">
        <w:t xml:space="preserve"> under the Victorian</w:t>
      </w:r>
      <w:r w:rsidR="009F18DF" w:rsidRPr="008910EE">
        <w:rPr>
          <w:i/>
          <w:iCs/>
        </w:rPr>
        <w:t xml:space="preserve"> Charter of Human Rights</w:t>
      </w:r>
      <w:r w:rsidR="00594B06" w:rsidRPr="008910EE">
        <w:rPr>
          <w:i/>
          <w:iCs/>
        </w:rPr>
        <w:t xml:space="preserve"> and Responsibilities</w:t>
      </w:r>
      <w:r w:rsidR="00CF0BAA" w:rsidRPr="008910EE">
        <w:t xml:space="preserve"> </w:t>
      </w:r>
      <w:r w:rsidR="00CF0BAA" w:rsidRPr="008910EE">
        <w:rPr>
          <w:i/>
          <w:iCs/>
        </w:rPr>
        <w:t>Act 2006.</w:t>
      </w:r>
      <w:r w:rsidRPr="008910EE">
        <w:t xml:space="preserve"> </w:t>
      </w:r>
    </w:p>
    <w:p w14:paraId="593709EB" w14:textId="390F4C54" w:rsidR="00BC6F88" w:rsidRPr="008910EE" w:rsidRDefault="00016C1B" w:rsidP="00A2362D">
      <w:pPr>
        <w:pStyle w:val="Body"/>
      </w:pPr>
      <w:r w:rsidRPr="008910EE">
        <w:t xml:space="preserve">This </w:t>
      </w:r>
      <w:r w:rsidR="00E5068A" w:rsidRPr="008910EE">
        <w:t>does</w:t>
      </w:r>
      <w:r w:rsidR="00F431DD" w:rsidRPr="008910EE">
        <w:t xml:space="preserve"> </w:t>
      </w:r>
      <w:r w:rsidR="00E5068A" w:rsidRPr="008910EE">
        <w:t>n</w:t>
      </w:r>
      <w:r w:rsidR="00F431DD" w:rsidRPr="008910EE">
        <w:t>o</w:t>
      </w:r>
      <w:r w:rsidR="00E5068A" w:rsidRPr="008910EE">
        <w:t xml:space="preserve">t </w:t>
      </w:r>
      <w:r w:rsidRPr="008910EE">
        <w:t xml:space="preserve">just mean </w:t>
      </w:r>
      <w:r w:rsidR="00C72E78" w:rsidRPr="008910EE">
        <w:t xml:space="preserve">leading </w:t>
      </w:r>
      <w:r w:rsidR="0013627D" w:rsidRPr="008910EE">
        <w:t>the nation</w:t>
      </w:r>
      <w:r w:rsidR="00C72E78" w:rsidRPr="008910EE">
        <w:t xml:space="preserve"> on gender equality</w:t>
      </w:r>
      <w:r w:rsidR="0013627D" w:rsidRPr="008910EE">
        <w:t>. I</w:t>
      </w:r>
      <w:r w:rsidR="00C72E78" w:rsidRPr="008910EE">
        <w:t xml:space="preserve">t includes </w:t>
      </w:r>
      <w:r w:rsidR="004209DA" w:rsidRPr="008910EE">
        <w:t>helping</w:t>
      </w:r>
      <w:r w:rsidR="00C72E78" w:rsidRPr="008910EE">
        <w:t xml:space="preserve"> </w:t>
      </w:r>
      <w:r w:rsidR="00A6663E" w:rsidRPr="008910EE">
        <w:t>veterans</w:t>
      </w:r>
      <w:r w:rsidR="00C72E78" w:rsidRPr="008910EE">
        <w:t xml:space="preserve"> </w:t>
      </w:r>
      <w:r w:rsidR="004209DA" w:rsidRPr="008910EE">
        <w:t xml:space="preserve">find their place in society </w:t>
      </w:r>
      <w:r w:rsidR="229D5134" w:rsidRPr="008910EE">
        <w:t>and decreasing</w:t>
      </w:r>
      <w:r w:rsidR="00C72E78" w:rsidRPr="008910EE">
        <w:t xml:space="preserve"> their </w:t>
      </w:r>
      <w:r w:rsidR="229D5134" w:rsidRPr="008910EE">
        <w:t>risk of suicide and self-harm</w:t>
      </w:r>
      <w:r w:rsidR="004209DA" w:rsidRPr="008910EE">
        <w:t>. It means</w:t>
      </w:r>
      <w:r w:rsidR="00C72E78" w:rsidRPr="008910EE">
        <w:t xml:space="preserve"> </w:t>
      </w:r>
      <w:r w:rsidR="00E5068A" w:rsidRPr="008910EE">
        <w:t xml:space="preserve">helping seniors feel valued and </w:t>
      </w:r>
      <w:r w:rsidR="004209DA" w:rsidRPr="008910EE">
        <w:t xml:space="preserve">giving young people a voice. </w:t>
      </w:r>
    </w:p>
    <w:p w14:paraId="2F8457CA" w14:textId="3F8F3536" w:rsidR="00916E49" w:rsidRPr="008910EE" w:rsidRDefault="004209DA" w:rsidP="00A2362D">
      <w:pPr>
        <w:pStyle w:val="Body"/>
      </w:pPr>
      <w:r w:rsidRPr="008910EE">
        <w:t xml:space="preserve">It means working to </w:t>
      </w:r>
      <w:r w:rsidR="00746F59" w:rsidRPr="008910EE">
        <w:t xml:space="preserve">end </w:t>
      </w:r>
      <w:r w:rsidR="0000585C" w:rsidRPr="008910EE">
        <w:t>violence against</w:t>
      </w:r>
      <w:r w:rsidR="001A1514" w:rsidRPr="008910EE">
        <w:t xml:space="preserve"> older people and </w:t>
      </w:r>
      <w:r w:rsidR="00265444" w:rsidRPr="008910EE">
        <w:t>people with disability</w:t>
      </w:r>
      <w:r w:rsidR="00A6663E" w:rsidRPr="008910EE">
        <w:t xml:space="preserve">. It means valuing the contribution carers make </w:t>
      </w:r>
      <w:r w:rsidR="00594B06" w:rsidRPr="008910EE">
        <w:t xml:space="preserve">to society </w:t>
      </w:r>
      <w:r w:rsidR="00A6663E" w:rsidRPr="008910EE">
        <w:t xml:space="preserve">every day by looking after people </w:t>
      </w:r>
      <w:r w:rsidR="005E1984" w:rsidRPr="008910EE">
        <w:t>in need of care</w:t>
      </w:r>
      <w:r w:rsidR="004536A1" w:rsidRPr="008910EE">
        <w:t>.</w:t>
      </w:r>
    </w:p>
    <w:p w14:paraId="0DEF0CA3" w14:textId="7A5ABBA1" w:rsidR="009F3534" w:rsidRPr="008910EE" w:rsidRDefault="72148AC2" w:rsidP="00A2362D">
      <w:pPr>
        <w:pStyle w:val="Body"/>
      </w:pPr>
      <w:r w:rsidRPr="008910EE">
        <w:rPr>
          <w:szCs w:val="21"/>
        </w:rPr>
        <w:t xml:space="preserve">This </w:t>
      </w:r>
      <w:r w:rsidR="2E803C1B" w:rsidRPr="008910EE">
        <w:rPr>
          <w:szCs w:val="21"/>
        </w:rPr>
        <w:t xml:space="preserve">is </w:t>
      </w:r>
      <w:r w:rsidRPr="008910EE">
        <w:rPr>
          <w:szCs w:val="21"/>
        </w:rPr>
        <w:t xml:space="preserve">work </w:t>
      </w:r>
      <w:r w:rsidR="15E5FC37" w:rsidRPr="008910EE">
        <w:rPr>
          <w:szCs w:val="21"/>
        </w:rPr>
        <w:t xml:space="preserve">that </w:t>
      </w:r>
      <w:r w:rsidRPr="008910EE">
        <w:rPr>
          <w:szCs w:val="21"/>
        </w:rPr>
        <w:t xml:space="preserve">needs to occur in </w:t>
      </w:r>
      <w:r w:rsidR="04B5E2B3" w:rsidRPr="008910EE">
        <w:rPr>
          <w:szCs w:val="21"/>
        </w:rPr>
        <w:t xml:space="preserve">all </w:t>
      </w:r>
      <w:r w:rsidRPr="008910EE">
        <w:rPr>
          <w:szCs w:val="21"/>
        </w:rPr>
        <w:t>metropolitan, regional and rural areas</w:t>
      </w:r>
      <w:r w:rsidR="3778840A" w:rsidRPr="008910EE">
        <w:rPr>
          <w:szCs w:val="21"/>
        </w:rPr>
        <w:t xml:space="preserve"> of Victoria</w:t>
      </w:r>
      <w:r w:rsidR="2AD70BB2" w:rsidRPr="008910EE">
        <w:rPr>
          <w:szCs w:val="21"/>
        </w:rPr>
        <w:t>.</w:t>
      </w:r>
      <w:r w:rsidRPr="008910EE">
        <w:rPr>
          <w:szCs w:val="21"/>
        </w:rPr>
        <w:t xml:space="preserve"> </w:t>
      </w:r>
      <w:r w:rsidR="53047657" w:rsidRPr="008910EE">
        <w:rPr>
          <w:szCs w:val="21"/>
        </w:rPr>
        <w:t>We will</w:t>
      </w:r>
      <w:r w:rsidRPr="008910EE">
        <w:rPr>
          <w:szCs w:val="21"/>
        </w:rPr>
        <w:t xml:space="preserve"> </w:t>
      </w:r>
      <w:r w:rsidR="369BD436" w:rsidRPr="008910EE">
        <w:rPr>
          <w:szCs w:val="21"/>
        </w:rPr>
        <w:t>connect</w:t>
      </w:r>
      <w:r w:rsidR="6EB89C45" w:rsidRPr="008910EE">
        <w:rPr>
          <w:szCs w:val="21"/>
        </w:rPr>
        <w:t xml:space="preserve"> and collaborate with</w:t>
      </w:r>
      <w:r w:rsidR="369BD436" w:rsidRPr="008910EE">
        <w:rPr>
          <w:szCs w:val="21"/>
        </w:rPr>
        <w:t xml:space="preserve"> community groups</w:t>
      </w:r>
      <w:r w:rsidR="03E5A0DE" w:rsidRPr="008910EE">
        <w:rPr>
          <w:szCs w:val="21"/>
        </w:rPr>
        <w:t xml:space="preserve"> to</w:t>
      </w:r>
      <w:r w:rsidR="4600DDF0" w:rsidRPr="008910EE">
        <w:rPr>
          <w:szCs w:val="21"/>
        </w:rPr>
        <w:t xml:space="preserve"> ensure we are </w:t>
      </w:r>
      <w:r w:rsidR="4600DDF0" w:rsidRPr="008910EE">
        <w:t>elevating our diverse group of voices</w:t>
      </w:r>
      <w:r w:rsidR="009C250B" w:rsidRPr="008910EE">
        <w:t>. We will</w:t>
      </w:r>
      <w:r w:rsidR="4600DDF0" w:rsidRPr="008910EE">
        <w:t xml:space="preserve"> listen to how these groups can be </w:t>
      </w:r>
      <w:r w:rsidR="4EB0C7BE" w:rsidRPr="008910EE">
        <w:t>best assisted, respected and celebrated.</w:t>
      </w:r>
    </w:p>
    <w:p w14:paraId="16446380" w14:textId="77777777" w:rsidR="00DE065C" w:rsidRPr="008910EE" w:rsidRDefault="00DE065C" w:rsidP="00987A42">
      <w:pPr>
        <w:pStyle w:val="Heading3"/>
      </w:pPr>
      <w:r w:rsidRPr="008910EE">
        <w:t>Accessibility and inclusion for people with disability</w:t>
      </w:r>
    </w:p>
    <w:p w14:paraId="229B4006" w14:textId="7CDD7773" w:rsidR="004A5047" w:rsidRPr="008910EE" w:rsidRDefault="00DE065C" w:rsidP="00DE065C">
      <w:pPr>
        <w:pStyle w:val="Body"/>
      </w:pPr>
      <w:r w:rsidRPr="008910EE">
        <w:t xml:space="preserve">We are working towards a new </w:t>
      </w:r>
      <w:r w:rsidR="009C250B" w:rsidRPr="008910EE">
        <w:t>s</w:t>
      </w:r>
      <w:r w:rsidRPr="008910EE">
        <w:t xml:space="preserve">tate </w:t>
      </w:r>
      <w:r w:rsidR="009C250B" w:rsidRPr="008910EE">
        <w:t>d</w:t>
      </w:r>
      <w:r w:rsidRPr="008910EE">
        <w:t xml:space="preserve">isability </w:t>
      </w:r>
      <w:r w:rsidR="009C250B" w:rsidRPr="008910EE">
        <w:t>p</w:t>
      </w:r>
      <w:r w:rsidRPr="008910EE">
        <w:t xml:space="preserve">lan </w:t>
      </w:r>
      <w:r w:rsidR="009C250B" w:rsidRPr="008910EE">
        <w:t xml:space="preserve">for </w:t>
      </w:r>
      <w:r w:rsidRPr="008910EE">
        <w:t>2021</w:t>
      </w:r>
      <w:r w:rsidR="009C250B" w:rsidRPr="008910EE">
        <w:t>–</w:t>
      </w:r>
      <w:r w:rsidR="004A5047" w:rsidRPr="008910EE">
        <w:t>20</w:t>
      </w:r>
      <w:r w:rsidRPr="008910EE">
        <w:t>25</w:t>
      </w:r>
      <w:r w:rsidR="004A5047" w:rsidRPr="008910EE">
        <w:t xml:space="preserve">. The new plan will </w:t>
      </w:r>
      <w:r w:rsidRPr="008910EE">
        <w:t>build on the progress we have already made</w:t>
      </w:r>
      <w:r w:rsidR="3469D0BB" w:rsidRPr="008910EE">
        <w:t xml:space="preserve"> towards accessibility and inclusion</w:t>
      </w:r>
      <w:r w:rsidRPr="008910EE">
        <w:t xml:space="preserve">. </w:t>
      </w:r>
    </w:p>
    <w:p w14:paraId="58A9DEBE" w14:textId="05A9B7B9" w:rsidR="00DE065C" w:rsidRPr="008910EE" w:rsidRDefault="32A591F2" w:rsidP="00DE065C">
      <w:pPr>
        <w:pStyle w:val="Body"/>
        <w:rPr>
          <w:rFonts w:cs="Arial"/>
        </w:rPr>
      </w:pPr>
      <w:r w:rsidRPr="008910EE">
        <w:t xml:space="preserve">The </w:t>
      </w:r>
      <w:r w:rsidR="004A5047" w:rsidRPr="008910EE">
        <w:t xml:space="preserve">2021–2025 </w:t>
      </w:r>
      <w:r w:rsidRPr="008910EE">
        <w:t>plan</w:t>
      </w:r>
      <w:r w:rsidR="00DE065C" w:rsidRPr="008910EE">
        <w:t xml:space="preserve"> </w:t>
      </w:r>
      <w:r w:rsidR="004A5047" w:rsidRPr="008910EE">
        <w:t xml:space="preserve">will </w:t>
      </w:r>
      <w:r w:rsidR="00DE065C" w:rsidRPr="008910EE">
        <w:t xml:space="preserve">incorporate lessons from the response to </w:t>
      </w:r>
      <w:r w:rsidR="2CE18E00" w:rsidRPr="008910EE">
        <w:t>the coronavirus (</w:t>
      </w:r>
      <w:r w:rsidR="00DE065C" w:rsidRPr="008910EE">
        <w:t>COVID-19</w:t>
      </w:r>
      <w:r w:rsidR="4593FBBD" w:rsidRPr="008910EE">
        <w:t>)</w:t>
      </w:r>
      <w:r w:rsidR="00DE065C" w:rsidRPr="008910EE">
        <w:t xml:space="preserve"> pandemic</w:t>
      </w:r>
      <w:r w:rsidR="009C250B" w:rsidRPr="008910EE">
        <w:t>. This</w:t>
      </w:r>
      <w:r w:rsidR="00DE065C" w:rsidRPr="008910EE">
        <w:t xml:space="preserve"> includ</w:t>
      </w:r>
      <w:r w:rsidR="009C250B" w:rsidRPr="008910EE">
        <w:t>es</w:t>
      </w:r>
      <w:r w:rsidR="00DE065C" w:rsidRPr="008910EE">
        <w:t xml:space="preserve"> </w:t>
      </w:r>
      <w:r w:rsidR="00684343" w:rsidRPr="008910EE">
        <w:t xml:space="preserve">recognising </w:t>
      </w:r>
      <w:r w:rsidR="00DE065C" w:rsidRPr="008910EE">
        <w:t>the specific needs of people with disability in emergency planning, responses and communications.</w:t>
      </w:r>
    </w:p>
    <w:p w14:paraId="07D3168A" w14:textId="062DFC6E" w:rsidR="00DE065C" w:rsidRPr="008910EE" w:rsidRDefault="00DE065C" w:rsidP="00DE065C">
      <w:pPr>
        <w:pStyle w:val="Body"/>
      </w:pPr>
      <w:r w:rsidRPr="008910EE">
        <w:t xml:space="preserve">The $6.1 million Disability Liaison Officers program, </w:t>
      </w:r>
      <w:r w:rsidR="009C250B" w:rsidRPr="008910EE">
        <w:t xml:space="preserve">set up </w:t>
      </w:r>
      <w:r w:rsidRPr="008910EE">
        <w:t>during the pandemic</w:t>
      </w:r>
      <w:r w:rsidR="009C250B" w:rsidRPr="008910EE">
        <w:t>,</w:t>
      </w:r>
      <w:r w:rsidRPr="008910EE">
        <w:t xml:space="preserve"> will continue</w:t>
      </w:r>
      <w:r w:rsidR="009C250B" w:rsidRPr="008910EE">
        <w:t>. Th</w:t>
      </w:r>
      <w:r w:rsidR="00E4226A" w:rsidRPr="008910EE">
        <w:t>i</w:t>
      </w:r>
      <w:r w:rsidR="009C250B" w:rsidRPr="008910EE">
        <w:t>s workforce helps</w:t>
      </w:r>
      <w:r w:rsidRPr="008910EE">
        <w:t xml:space="preserve"> Victorians living with disability </w:t>
      </w:r>
      <w:r w:rsidR="00031970" w:rsidRPr="008910EE">
        <w:t xml:space="preserve">and their carers </w:t>
      </w:r>
      <w:r w:rsidR="00B27F4D" w:rsidRPr="008910EE">
        <w:t xml:space="preserve">to </w:t>
      </w:r>
      <w:r w:rsidRPr="008910EE">
        <w:t xml:space="preserve">navigate the health system </w:t>
      </w:r>
      <w:r w:rsidR="00031970" w:rsidRPr="008910EE">
        <w:t>and</w:t>
      </w:r>
      <w:r w:rsidRPr="008910EE">
        <w:t xml:space="preserve"> get medical </w:t>
      </w:r>
      <w:r w:rsidR="00684343" w:rsidRPr="008910EE">
        <w:t xml:space="preserve">help </w:t>
      </w:r>
      <w:r w:rsidR="4F9DB150" w:rsidRPr="008910EE">
        <w:t>and</w:t>
      </w:r>
      <w:r w:rsidRPr="008910EE">
        <w:t xml:space="preserve"> other </w:t>
      </w:r>
      <w:r w:rsidR="14F76442" w:rsidRPr="008910EE">
        <w:t>support</w:t>
      </w:r>
      <w:r w:rsidR="0BF60AD4" w:rsidRPr="008910EE">
        <w:t>s</w:t>
      </w:r>
      <w:r w:rsidRPr="008910EE">
        <w:t xml:space="preserve"> they need, when they need it.</w:t>
      </w:r>
      <w:r w:rsidR="000779BE" w:rsidRPr="008910EE">
        <w:rPr>
          <w:rStyle w:val="EndnoteReference"/>
        </w:rPr>
        <w:endnoteReference w:id="51"/>
      </w:r>
    </w:p>
    <w:p w14:paraId="001E8123" w14:textId="11E40513" w:rsidR="00E4226A" w:rsidRPr="008910EE" w:rsidRDefault="00B27F4D" w:rsidP="00DE065C">
      <w:pPr>
        <w:pStyle w:val="Body"/>
      </w:pPr>
      <w:r w:rsidRPr="008910EE">
        <w:t>W</w:t>
      </w:r>
      <w:r w:rsidR="00DE065C" w:rsidRPr="008910EE">
        <w:t xml:space="preserve">e </w:t>
      </w:r>
      <w:r w:rsidRPr="008910EE">
        <w:t xml:space="preserve">will </w:t>
      </w:r>
      <w:r w:rsidR="006A299F" w:rsidRPr="008910EE">
        <w:t>keep</w:t>
      </w:r>
      <w:r w:rsidR="00AC2694" w:rsidRPr="008910EE">
        <w:t xml:space="preserve"> </w:t>
      </w:r>
      <w:r w:rsidR="00DE065C" w:rsidRPr="008910EE">
        <w:t>engag</w:t>
      </w:r>
      <w:r w:rsidR="006A299F" w:rsidRPr="008910EE">
        <w:t>ing</w:t>
      </w:r>
      <w:r w:rsidR="00DE065C" w:rsidRPr="008910EE">
        <w:t xml:space="preserve"> with the Royal Commission into Violence, Abuse, Neglect and Exploitation of People with Disability </w:t>
      </w:r>
      <w:r w:rsidR="00A71C12" w:rsidRPr="008910EE">
        <w:t>to</w:t>
      </w:r>
      <w:r w:rsidR="00E4226A" w:rsidRPr="008910EE">
        <w:t>:</w:t>
      </w:r>
      <w:r w:rsidR="00A71C12" w:rsidRPr="008910EE">
        <w:t xml:space="preserve"> </w:t>
      </w:r>
    </w:p>
    <w:p w14:paraId="7550EC82" w14:textId="5FE0C088" w:rsidR="00E4226A" w:rsidRPr="008910EE" w:rsidRDefault="003476BC" w:rsidP="00E4610A">
      <w:pPr>
        <w:pStyle w:val="Bullet1"/>
      </w:pPr>
      <w:r w:rsidRPr="008910EE">
        <w:t xml:space="preserve">advocate for </w:t>
      </w:r>
      <w:r w:rsidR="00684343" w:rsidRPr="008910EE">
        <w:t xml:space="preserve">sector-wide </w:t>
      </w:r>
      <w:r w:rsidRPr="008910EE">
        <w:t>improvement</w:t>
      </w:r>
      <w:r w:rsidR="00B641DC" w:rsidRPr="008910EE">
        <w:t>s</w:t>
      </w:r>
    </w:p>
    <w:p w14:paraId="4FE7E9CA" w14:textId="7112B939" w:rsidR="00E4226A" w:rsidRPr="008910EE" w:rsidRDefault="002B151C" w:rsidP="00E4610A">
      <w:pPr>
        <w:pStyle w:val="Bullet1"/>
      </w:pPr>
      <w:r w:rsidRPr="008910EE">
        <w:t xml:space="preserve">promote effective policies, programs and </w:t>
      </w:r>
      <w:r w:rsidR="00BE26AD" w:rsidRPr="008910EE">
        <w:t xml:space="preserve">actions taken to build a more inclusive </w:t>
      </w:r>
      <w:r w:rsidR="00A4313A" w:rsidRPr="008910EE">
        <w:t>Victoria</w:t>
      </w:r>
    </w:p>
    <w:p w14:paraId="09FB160B" w14:textId="74AB38A8" w:rsidR="00E4226A" w:rsidRPr="008910EE" w:rsidRDefault="00E4226A" w:rsidP="00E4610A">
      <w:pPr>
        <w:pStyle w:val="Bullet1"/>
      </w:pPr>
      <w:r w:rsidRPr="008910EE">
        <w:t xml:space="preserve">help </w:t>
      </w:r>
      <w:r w:rsidR="00B641DC" w:rsidRPr="008910EE">
        <w:t xml:space="preserve">deliver a successful </w:t>
      </w:r>
      <w:r w:rsidR="00E841E7" w:rsidRPr="008910EE">
        <w:t>NDIS</w:t>
      </w:r>
    </w:p>
    <w:p w14:paraId="481454BE" w14:textId="49E998C8" w:rsidR="00DE065C" w:rsidRPr="008910EE" w:rsidRDefault="0033144A" w:rsidP="00E4610A">
      <w:pPr>
        <w:pStyle w:val="Bullet1"/>
      </w:pPr>
      <w:r w:rsidRPr="008910EE">
        <w:t xml:space="preserve">increase </w:t>
      </w:r>
      <w:r w:rsidR="00B27F4D" w:rsidRPr="008910EE">
        <w:t xml:space="preserve">the </w:t>
      </w:r>
      <w:r w:rsidRPr="008910EE">
        <w:t>social and economic participation of people with disability</w:t>
      </w:r>
      <w:r w:rsidR="003476BC" w:rsidRPr="008910EE">
        <w:t>.</w:t>
      </w:r>
    </w:p>
    <w:p w14:paraId="0FB40ED8" w14:textId="79D52B98" w:rsidR="00DE065C" w:rsidRPr="008910EE" w:rsidRDefault="00DE065C" w:rsidP="00E4610A">
      <w:pPr>
        <w:pStyle w:val="Bodyafterbullets"/>
      </w:pPr>
      <w:r w:rsidRPr="008910EE">
        <w:t xml:space="preserve">We </w:t>
      </w:r>
      <w:r w:rsidR="00B27F4D" w:rsidRPr="008910EE">
        <w:t xml:space="preserve">will </w:t>
      </w:r>
      <w:r w:rsidRPr="008910EE">
        <w:t>continu</w:t>
      </w:r>
      <w:r w:rsidR="00E4226A" w:rsidRPr="008910EE">
        <w:t>e</w:t>
      </w:r>
      <w:r w:rsidRPr="008910EE">
        <w:t xml:space="preserve"> to support the critical role of Victoria’s disability advocacy sector in championing the voice and rights of people with disability</w:t>
      </w:r>
      <w:r w:rsidR="00E4226A" w:rsidRPr="008910EE">
        <w:t>. This includes</w:t>
      </w:r>
      <w:r w:rsidRPr="008910EE">
        <w:t xml:space="preserve"> an</w:t>
      </w:r>
      <w:r w:rsidR="00770A4C" w:rsidRPr="008910EE">
        <w:t>other</w:t>
      </w:r>
      <w:r w:rsidRPr="008910EE">
        <w:t xml:space="preserve"> $1.7 million in the 2021</w:t>
      </w:r>
      <w:r w:rsidR="00E4226A" w:rsidRPr="008910EE">
        <w:t>–</w:t>
      </w:r>
      <w:r w:rsidRPr="008910EE">
        <w:t xml:space="preserve">22 </w:t>
      </w:r>
      <w:r w:rsidR="00E4226A" w:rsidRPr="008910EE">
        <w:t xml:space="preserve">Victorian </w:t>
      </w:r>
      <w:r w:rsidRPr="008910EE">
        <w:t xml:space="preserve">State </w:t>
      </w:r>
      <w:r w:rsidR="00E4226A" w:rsidRPr="008910EE">
        <w:t>B</w:t>
      </w:r>
      <w:r w:rsidRPr="008910EE">
        <w:t>udget.</w:t>
      </w:r>
      <w:r w:rsidR="001A30DF" w:rsidRPr="008910EE">
        <w:rPr>
          <w:rStyle w:val="EndnoteReference"/>
        </w:rPr>
        <w:endnoteReference w:id="52"/>
      </w:r>
    </w:p>
    <w:p w14:paraId="4F03E818" w14:textId="2A1387E1" w:rsidR="00DE065C" w:rsidRPr="008910EE" w:rsidRDefault="00DE065C" w:rsidP="00DE065C">
      <w:pPr>
        <w:pStyle w:val="Body"/>
      </w:pPr>
      <w:r w:rsidRPr="008910EE">
        <w:t xml:space="preserve">We </w:t>
      </w:r>
      <w:r w:rsidR="00B27F4D" w:rsidRPr="008910EE">
        <w:t xml:space="preserve">will </w:t>
      </w:r>
      <w:r w:rsidRPr="008910EE">
        <w:t>continu</w:t>
      </w:r>
      <w:r w:rsidR="00E4226A" w:rsidRPr="008910EE">
        <w:t>e</w:t>
      </w:r>
      <w:r w:rsidRPr="008910EE">
        <w:t xml:space="preserve"> to work with people with disability, advocates, peaks and the sector to inform our role as a steward of the </w:t>
      </w:r>
      <w:r w:rsidR="00E4226A" w:rsidRPr="008910EE">
        <w:t>NDIS</w:t>
      </w:r>
      <w:r w:rsidR="3781260E" w:rsidRPr="008910EE">
        <w:t>.</w:t>
      </w:r>
      <w:r w:rsidRPr="008910EE" w:rsidDel="00D36B76">
        <w:t xml:space="preserve"> </w:t>
      </w:r>
      <w:r w:rsidRPr="008910EE">
        <w:rPr>
          <w:rStyle w:val="normaltextrun"/>
          <w:rFonts w:cs="Arial"/>
          <w:color w:val="000000"/>
          <w:shd w:val="clear" w:color="auto" w:fill="FFFFFF"/>
        </w:rPr>
        <w:t>We are reviewing the</w:t>
      </w:r>
      <w:r w:rsidRPr="008910EE">
        <w:rPr>
          <w:rStyle w:val="normaltextrun"/>
          <w:color w:val="000000"/>
          <w:shd w:val="clear" w:color="auto" w:fill="FFFFFF"/>
        </w:rPr>
        <w:t> </w:t>
      </w:r>
      <w:r w:rsidRPr="008910EE">
        <w:rPr>
          <w:rStyle w:val="normaltextrun"/>
          <w:rFonts w:cs="Arial"/>
          <w:i/>
          <w:iCs/>
          <w:color w:val="000000"/>
          <w:shd w:val="clear" w:color="auto" w:fill="FFFFFF"/>
        </w:rPr>
        <w:t>Disability</w:t>
      </w:r>
      <w:r w:rsidRPr="008910EE">
        <w:rPr>
          <w:rStyle w:val="normaltextrun"/>
          <w:rFonts w:cs="Arial"/>
          <w:i/>
          <w:color w:val="000000"/>
          <w:shd w:val="clear" w:color="auto" w:fill="FFFFFF"/>
        </w:rPr>
        <w:t xml:space="preserve"> Act </w:t>
      </w:r>
      <w:r w:rsidRPr="008910EE">
        <w:rPr>
          <w:rStyle w:val="normaltextrun"/>
          <w:rFonts w:cs="Arial"/>
          <w:i/>
          <w:iCs/>
          <w:color w:val="000000"/>
          <w:shd w:val="clear" w:color="auto" w:fill="FFFFFF"/>
        </w:rPr>
        <w:t>2006</w:t>
      </w:r>
      <w:r w:rsidRPr="008910EE">
        <w:rPr>
          <w:rStyle w:val="normaltextrun"/>
          <w:i/>
          <w:iCs/>
          <w:color w:val="000000"/>
          <w:shd w:val="clear" w:color="auto" w:fill="FFFFFF"/>
        </w:rPr>
        <w:t> </w:t>
      </w:r>
      <w:r w:rsidRPr="008910EE">
        <w:rPr>
          <w:rStyle w:val="normaltextrun"/>
          <w:rFonts w:cs="Arial"/>
          <w:color w:val="000000"/>
          <w:shd w:val="clear" w:color="auto" w:fill="FFFFFF"/>
        </w:rPr>
        <w:t xml:space="preserve">following the full </w:t>
      </w:r>
      <w:r w:rsidR="00F93CF9" w:rsidRPr="008910EE">
        <w:rPr>
          <w:rStyle w:val="normaltextrun"/>
          <w:rFonts w:cs="Arial"/>
          <w:color w:val="000000"/>
          <w:shd w:val="clear" w:color="auto" w:fill="FFFFFF"/>
        </w:rPr>
        <w:t xml:space="preserve">rollout </w:t>
      </w:r>
      <w:r w:rsidRPr="008910EE">
        <w:rPr>
          <w:rStyle w:val="normaltextrun"/>
          <w:rFonts w:cs="Arial"/>
          <w:color w:val="000000"/>
          <w:shd w:val="clear" w:color="auto" w:fill="FFFFFF"/>
        </w:rPr>
        <w:t xml:space="preserve">of the NDIS and </w:t>
      </w:r>
      <w:r w:rsidR="3795FF60" w:rsidRPr="008910EE">
        <w:rPr>
          <w:rStyle w:val="normaltextrun"/>
          <w:rFonts w:cs="Arial"/>
          <w:color w:val="000000"/>
          <w:shd w:val="clear" w:color="auto" w:fill="FFFFFF"/>
        </w:rPr>
        <w:t xml:space="preserve">will </w:t>
      </w:r>
      <w:r w:rsidR="006A299F" w:rsidRPr="008910EE">
        <w:rPr>
          <w:rStyle w:val="normaltextrun"/>
          <w:rFonts w:cs="Arial"/>
          <w:color w:val="000000"/>
          <w:shd w:val="clear" w:color="auto" w:fill="FFFFFF"/>
        </w:rPr>
        <w:t>keep</w:t>
      </w:r>
      <w:r w:rsidRPr="008910EE">
        <w:rPr>
          <w:rStyle w:val="normaltextrun"/>
          <w:rFonts w:cs="Arial"/>
          <w:color w:val="000000"/>
          <w:shd w:val="clear" w:color="auto" w:fill="FFFFFF"/>
        </w:rPr>
        <w:t xml:space="preserve"> </w:t>
      </w:r>
      <w:r w:rsidRPr="008910EE">
        <w:rPr>
          <w:rStyle w:val="normaltextrun"/>
          <w:rFonts w:cs="Arial"/>
          <w:color w:val="000000"/>
          <w:bdr w:val="none" w:sz="0" w:space="0" w:color="auto" w:frame="1"/>
        </w:rPr>
        <w:t>promot</w:t>
      </w:r>
      <w:r w:rsidR="006A299F" w:rsidRPr="008910EE">
        <w:rPr>
          <w:rStyle w:val="normaltextrun"/>
          <w:rFonts w:cs="Arial"/>
          <w:color w:val="000000"/>
          <w:bdr w:val="none" w:sz="0" w:space="0" w:color="auto" w:frame="1"/>
        </w:rPr>
        <w:t>ing</w:t>
      </w:r>
      <w:r w:rsidRPr="008910EE">
        <w:rPr>
          <w:rStyle w:val="normaltextrun"/>
          <w:rFonts w:cs="Arial"/>
          <w:color w:val="000000"/>
          <w:bdr w:val="none" w:sz="0" w:space="0" w:color="auto" w:frame="1"/>
        </w:rPr>
        <w:t xml:space="preserve"> inclusion, participation and </w:t>
      </w:r>
      <w:r w:rsidR="006A299F" w:rsidRPr="008910EE">
        <w:rPr>
          <w:rStyle w:val="normaltextrun"/>
          <w:rFonts w:cs="Arial"/>
          <w:color w:val="000000"/>
          <w:bdr w:val="none" w:sz="0" w:space="0" w:color="auto" w:frame="1"/>
        </w:rPr>
        <w:t xml:space="preserve">the </w:t>
      </w:r>
      <w:r w:rsidRPr="008910EE">
        <w:rPr>
          <w:rStyle w:val="normaltextrun"/>
          <w:rFonts w:cs="Arial"/>
          <w:color w:val="000000"/>
          <w:bdr w:val="none" w:sz="0" w:space="0" w:color="auto" w:frame="1"/>
        </w:rPr>
        <w:t>rights of people with disability.</w:t>
      </w:r>
      <w:r w:rsidRPr="008910EE">
        <w:rPr>
          <w:rStyle w:val="normaltextrun"/>
          <w:rFonts w:cs="Arial"/>
          <w:color w:val="000000"/>
          <w:shd w:val="clear" w:color="auto" w:fill="FFFFFF"/>
        </w:rPr>
        <w:t xml:space="preserve"> It is important that Victorian legislation is </w:t>
      </w:r>
      <w:r w:rsidR="006A299F" w:rsidRPr="008910EE">
        <w:rPr>
          <w:rStyle w:val="normaltextrun"/>
          <w:rFonts w:cs="Arial"/>
          <w:color w:val="000000"/>
          <w:shd w:val="clear" w:color="auto" w:fill="FFFFFF"/>
        </w:rPr>
        <w:t xml:space="preserve">modern </w:t>
      </w:r>
      <w:r w:rsidRPr="008910EE">
        <w:rPr>
          <w:rStyle w:val="normaltextrun"/>
          <w:rFonts w:cs="Arial"/>
          <w:color w:val="000000"/>
          <w:shd w:val="clear" w:color="auto" w:fill="FFFFFF"/>
        </w:rPr>
        <w:t>and fit-for-purpose for the more than 1.1 million Victorians with disability</w:t>
      </w:r>
      <w:r w:rsidR="674AD084" w:rsidRPr="008910EE">
        <w:rPr>
          <w:rStyle w:val="normaltextrun"/>
          <w:rFonts w:cs="Arial"/>
          <w:color w:val="000000"/>
          <w:shd w:val="clear" w:color="auto" w:fill="FFFFFF"/>
        </w:rPr>
        <w:t>.</w:t>
      </w:r>
      <w:r w:rsidR="006D562C" w:rsidRPr="008910EE">
        <w:rPr>
          <w:rStyle w:val="EndnoteReference"/>
          <w:rFonts w:cs="Arial"/>
          <w:color w:val="000000"/>
          <w:shd w:val="clear" w:color="auto" w:fill="FFFFFF"/>
        </w:rPr>
        <w:endnoteReference w:id="53"/>
      </w:r>
    </w:p>
    <w:p w14:paraId="63EBD036" w14:textId="5CDC2A54" w:rsidR="00DE065C" w:rsidRPr="008910EE" w:rsidRDefault="23316C9F" w:rsidP="00DE065C">
      <w:pPr>
        <w:pStyle w:val="Body"/>
      </w:pPr>
      <w:r w:rsidRPr="008910EE">
        <w:t>Our</w:t>
      </w:r>
      <w:r w:rsidR="00DE065C" w:rsidRPr="008910EE">
        <w:t xml:space="preserve"> department will </w:t>
      </w:r>
      <w:r w:rsidR="7F634932" w:rsidRPr="008910EE">
        <w:t>also</w:t>
      </w:r>
      <w:r w:rsidR="00DE065C" w:rsidRPr="008910EE">
        <w:t xml:space="preserve"> develop and </w:t>
      </w:r>
      <w:r w:rsidR="00F93CF9" w:rsidRPr="008910EE">
        <w:t xml:space="preserve">roll out </w:t>
      </w:r>
      <w:r w:rsidR="00DE065C" w:rsidRPr="008910EE">
        <w:t xml:space="preserve">a </w:t>
      </w:r>
      <w:r w:rsidR="00E4226A" w:rsidRPr="008910EE">
        <w:t>f</w:t>
      </w:r>
      <w:r w:rsidR="00DE065C" w:rsidRPr="008910EE">
        <w:t xml:space="preserve">orensic </w:t>
      </w:r>
      <w:r w:rsidR="00E4226A" w:rsidRPr="008910EE">
        <w:t>d</w:t>
      </w:r>
      <w:r w:rsidR="00DE065C" w:rsidRPr="008910EE">
        <w:t xml:space="preserve">isability </w:t>
      </w:r>
      <w:r w:rsidR="00E4226A" w:rsidRPr="008910EE">
        <w:t>s</w:t>
      </w:r>
      <w:r w:rsidR="00DE065C" w:rsidRPr="008910EE">
        <w:t xml:space="preserve">ervice </w:t>
      </w:r>
      <w:r w:rsidR="00E4226A" w:rsidRPr="008910EE">
        <w:t>p</w:t>
      </w:r>
      <w:r w:rsidR="00DE065C" w:rsidRPr="008910EE">
        <w:t>lan</w:t>
      </w:r>
      <w:r w:rsidR="00E4226A" w:rsidRPr="008910EE">
        <w:t>. The plan</w:t>
      </w:r>
      <w:r w:rsidR="00DE065C" w:rsidRPr="008910EE">
        <w:t xml:space="preserve"> </w:t>
      </w:r>
      <w:r w:rsidR="00E4226A" w:rsidRPr="008910EE">
        <w:t xml:space="preserve">will </w:t>
      </w:r>
      <w:r w:rsidR="00DE065C" w:rsidRPr="008910EE">
        <w:t xml:space="preserve">improve </w:t>
      </w:r>
      <w:r w:rsidR="00F93CF9" w:rsidRPr="008910EE">
        <w:t>the way we work with</w:t>
      </w:r>
      <w:r w:rsidR="00DE065C" w:rsidRPr="008910EE">
        <w:t xml:space="preserve"> people with cognitive impairment who are involved, or at risk of involvement in, the criminal justice system</w:t>
      </w:r>
      <w:r w:rsidR="5B6FBB6C" w:rsidRPr="008910EE">
        <w:t>. This plan will</w:t>
      </w:r>
      <w:r w:rsidR="00DE065C" w:rsidRPr="008910EE">
        <w:t xml:space="preserve"> help </w:t>
      </w:r>
      <w:r w:rsidR="596D2E25" w:rsidRPr="008910EE">
        <w:t>people</w:t>
      </w:r>
      <w:r w:rsidR="00DE065C" w:rsidRPr="008910EE">
        <w:t xml:space="preserve"> get the support and treatment they need</w:t>
      </w:r>
      <w:r w:rsidR="000CA58F" w:rsidRPr="008910EE">
        <w:t>,</w:t>
      </w:r>
      <w:r w:rsidR="00DE065C" w:rsidRPr="008910EE">
        <w:t xml:space="preserve"> when they need</w:t>
      </w:r>
      <w:r w:rsidR="006A299F" w:rsidRPr="008910EE">
        <w:t xml:space="preserve"> it</w:t>
      </w:r>
      <w:r w:rsidR="2A8EA594" w:rsidRPr="008910EE">
        <w:t>,</w:t>
      </w:r>
      <w:r w:rsidR="00DE065C" w:rsidRPr="008910EE">
        <w:t xml:space="preserve"> and keep them and the </w:t>
      </w:r>
      <w:r w:rsidR="7F4CDBA5" w:rsidRPr="008910EE">
        <w:t xml:space="preserve">wider </w:t>
      </w:r>
      <w:r w:rsidR="00DE065C" w:rsidRPr="008910EE">
        <w:t>Victorian community safe.</w:t>
      </w:r>
    </w:p>
    <w:p w14:paraId="689F8C3E" w14:textId="77777777" w:rsidR="00DE065C" w:rsidRPr="008910EE" w:rsidRDefault="00DE065C" w:rsidP="00987A42">
      <w:pPr>
        <w:pStyle w:val="Heading3"/>
      </w:pPr>
      <w:r w:rsidRPr="008910EE">
        <w:t>Caring for the carers</w:t>
      </w:r>
    </w:p>
    <w:p w14:paraId="56B50F8D" w14:textId="0C83E8D5" w:rsidR="006A299F" w:rsidRPr="008910EE" w:rsidRDefault="00DE065C" w:rsidP="00DE065C">
      <w:pPr>
        <w:pStyle w:val="Body"/>
      </w:pPr>
      <w:r w:rsidRPr="008910EE">
        <w:t xml:space="preserve">Carers make an invaluable contribution to our community. They give their time to care for a family member, partner or friend who needs them. </w:t>
      </w:r>
    </w:p>
    <w:p w14:paraId="7CAA461D" w14:textId="13C570F4" w:rsidR="00EF3CD7" w:rsidRPr="008910EE" w:rsidRDefault="00DE065C" w:rsidP="00DE065C">
      <w:pPr>
        <w:pStyle w:val="Body"/>
      </w:pPr>
      <w:r w:rsidRPr="008910EE">
        <w:t xml:space="preserve">To better support carers, the Victorian Government committed $42 million </w:t>
      </w:r>
      <w:r w:rsidR="009E11DD" w:rsidRPr="008910EE">
        <w:t xml:space="preserve">in the </w:t>
      </w:r>
      <w:r w:rsidRPr="008910EE">
        <w:t>2019</w:t>
      </w:r>
      <w:r w:rsidR="00E841E7" w:rsidRPr="008910EE">
        <w:t>–</w:t>
      </w:r>
      <w:r w:rsidRPr="008910EE">
        <w:t>20</w:t>
      </w:r>
      <w:r w:rsidR="009E11DD" w:rsidRPr="008910EE">
        <w:t xml:space="preserve"> Victorian State Budget</w:t>
      </w:r>
      <w:r w:rsidRPr="008910EE">
        <w:t xml:space="preserve"> to support an extra 100,000 hours of respite for 5,000 carers a year</w:t>
      </w:r>
      <w:r w:rsidR="00EF3CD7" w:rsidRPr="008910EE">
        <w:t>.</w:t>
      </w:r>
      <w:r w:rsidR="000D7D16" w:rsidRPr="008910EE">
        <w:t xml:space="preserve"> </w:t>
      </w:r>
      <w:r w:rsidR="000D7D16" w:rsidRPr="008910EE">
        <w:rPr>
          <w:rFonts w:eastAsia="Times New Roman"/>
        </w:rPr>
        <w:t>Innovative programs to support the health and wellbeing of carers are being delivered with over $6.56 million over four-years through two grants programs</w:t>
      </w:r>
      <w:r w:rsidR="009E11DD" w:rsidRPr="008910EE">
        <w:rPr>
          <w:rFonts w:eastAsia="Times New Roman"/>
        </w:rPr>
        <w:t>:</w:t>
      </w:r>
      <w:r w:rsidR="000D7D16" w:rsidRPr="008910EE">
        <w:rPr>
          <w:rFonts w:eastAsia="Times New Roman"/>
        </w:rPr>
        <w:t xml:space="preserve"> Supporting Carers Locally and Statewide Partnership Grants. Carer card benefits have been expanded and include concession fares on public transport, free weekend travel and free travel during Carers Week</w:t>
      </w:r>
      <w:r w:rsidR="003B5591" w:rsidRPr="008910EE">
        <w:rPr>
          <w:rFonts w:eastAsia="Times New Roman"/>
        </w:rPr>
        <w:t>.</w:t>
      </w:r>
      <w:r w:rsidR="00AB354F" w:rsidRPr="008910EE">
        <w:rPr>
          <w:rStyle w:val="EndnoteReference"/>
          <w:rFonts w:eastAsia="Times New Roman"/>
        </w:rPr>
        <w:endnoteReference w:id="54"/>
      </w:r>
    </w:p>
    <w:p w14:paraId="248B22FF" w14:textId="628753E4" w:rsidR="00DE065C" w:rsidRPr="008910EE" w:rsidRDefault="00DE065C" w:rsidP="00DE065C">
      <w:pPr>
        <w:pStyle w:val="Body"/>
      </w:pPr>
      <w:r w:rsidRPr="008910EE">
        <w:t xml:space="preserve">The Victorian </w:t>
      </w:r>
      <w:r w:rsidR="00E841E7" w:rsidRPr="008910EE">
        <w:t>c</w:t>
      </w:r>
      <w:r w:rsidRPr="008910EE">
        <w:t xml:space="preserve">arer </w:t>
      </w:r>
      <w:r w:rsidR="00E841E7" w:rsidRPr="008910EE">
        <w:t>s</w:t>
      </w:r>
      <w:r w:rsidRPr="008910EE">
        <w:t>trategy</w:t>
      </w:r>
      <w:r w:rsidRPr="008910EE">
        <w:rPr>
          <w:i/>
          <w:iCs/>
        </w:rPr>
        <w:t xml:space="preserve"> </w:t>
      </w:r>
      <w:r w:rsidR="00D66A35" w:rsidRPr="008910EE">
        <w:rPr>
          <w:i/>
          <w:iCs/>
        </w:rPr>
        <w:t>S</w:t>
      </w:r>
      <w:r w:rsidRPr="008910EE">
        <w:rPr>
          <w:i/>
          <w:iCs/>
        </w:rPr>
        <w:t xml:space="preserve">trong </w:t>
      </w:r>
      <w:r w:rsidR="00E841E7" w:rsidRPr="008910EE">
        <w:rPr>
          <w:i/>
          <w:iCs/>
        </w:rPr>
        <w:t>c</w:t>
      </w:r>
      <w:r w:rsidRPr="008910EE">
        <w:rPr>
          <w:i/>
          <w:iCs/>
        </w:rPr>
        <w:t xml:space="preserve">arers, </w:t>
      </w:r>
      <w:r w:rsidR="00E841E7" w:rsidRPr="008910EE">
        <w:rPr>
          <w:i/>
          <w:iCs/>
        </w:rPr>
        <w:t>s</w:t>
      </w:r>
      <w:r w:rsidRPr="008910EE">
        <w:rPr>
          <w:i/>
          <w:iCs/>
        </w:rPr>
        <w:t xml:space="preserve">tronger </w:t>
      </w:r>
      <w:r w:rsidR="00E841E7" w:rsidRPr="008910EE">
        <w:rPr>
          <w:i/>
          <w:iCs/>
        </w:rPr>
        <w:t>c</w:t>
      </w:r>
      <w:r w:rsidRPr="008910EE">
        <w:rPr>
          <w:i/>
          <w:iCs/>
        </w:rPr>
        <w:t xml:space="preserve">hildren </w:t>
      </w:r>
      <w:r w:rsidRPr="008910EE">
        <w:t xml:space="preserve">is also </w:t>
      </w:r>
      <w:r w:rsidR="00770A4C" w:rsidRPr="008910EE">
        <w:t xml:space="preserve">offering </w:t>
      </w:r>
      <w:r w:rsidRPr="008910EE">
        <w:t>more support to our carers.</w:t>
      </w:r>
    </w:p>
    <w:p w14:paraId="08CA4816" w14:textId="3ED10AE3" w:rsidR="00DE065C" w:rsidRPr="008910EE" w:rsidRDefault="00DE065C" w:rsidP="00DE065C">
      <w:pPr>
        <w:pStyle w:val="Body"/>
      </w:pPr>
      <w:r w:rsidRPr="008910EE">
        <w:t xml:space="preserve">We are listening to the voice of carers. </w:t>
      </w:r>
      <w:r w:rsidR="00E841E7" w:rsidRPr="008910EE">
        <w:t xml:space="preserve">More than </w:t>
      </w:r>
      <w:r w:rsidRPr="008910EE">
        <w:t xml:space="preserve">1,700 carers shared their experiences and insights through the </w:t>
      </w:r>
      <w:r w:rsidR="00FA5BB1" w:rsidRPr="008910EE">
        <w:rPr>
          <w:i/>
          <w:iCs/>
        </w:rPr>
        <w:t>Strong carers, stronger children</w:t>
      </w:r>
      <w:r w:rsidRPr="008910EE">
        <w:t xml:space="preserve"> </w:t>
      </w:r>
      <w:r w:rsidR="00E841E7" w:rsidRPr="008910EE">
        <w:t>c</w:t>
      </w:r>
      <w:r w:rsidRPr="008910EE">
        <w:t xml:space="preserve">arer </w:t>
      </w:r>
      <w:r w:rsidR="00E841E7" w:rsidRPr="008910EE">
        <w:t>c</w:t>
      </w:r>
      <w:r w:rsidRPr="008910EE">
        <w:t>ensus</w:t>
      </w:r>
      <w:r w:rsidR="00D92D03" w:rsidRPr="008910EE">
        <w:t>.</w:t>
      </w:r>
      <w:r w:rsidR="00942AC4" w:rsidRPr="008910EE">
        <w:rPr>
          <w:rStyle w:val="EndnoteReference"/>
        </w:rPr>
        <w:endnoteReference w:id="55"/>
      </w:r>
      <w:r w:rsidRPr="008910EE">
        <w:t xml:space="preserve"> </w:t>
      </w:r>
      <w:r w:rsidR="00D92D03" w:rsidRPr="008910EE">
        <w:t xml:space="preserve">They told us </w:t>
      </w:r>
      <w:r w:rsidRPr="008910EE">
        <w:t xml:space="preserve">what matters most </w:t>
      </w:r>
      <w:r w:rsidR="00D92D03" w:rsidRPr="008910EE">
        <w:t xml:space="preserve">in </w:t>
      </w:r>
      <w:r w:rsidRPr="008910EE">
        <w:t>provid</w:t>
      </w:r>
      <w:r w:rsidR="00D92D03" w:rsidRPr="008910EE">
        <w:t>ing</w:t>
      </w:r>
      <w:r w:rsidRPr="008910EE">
        <w:t xml:space="preserve"> safe, secure and support for children in care.</w:t>
      </w:r>
      <w:r w:rsidR="04690B22" w:rsidRPr="008910EE">
        <w:t xml:space="preserve"> These contribut</w:t>
      </w:r>
      <w:r w:rsidR="00D92D03" w:rsidRPr="008910EE">
        <w:t>ions</w:t>
      </w:r>
      <w:r w:rsidR="04690B22" w:rsidRPr="008910EE">
        <w:t xml:space="preserve"> are invaluable</w:t>
      </w:r>
      <w:r w:rsidR="00D92D03" w:rsidRPr="008910EE">
        <w:t>. They</w:t>
      </w:r>
      <w:r w:rsidR="04690B22" w:rsidRPr="008910EE">
        <w:t xml:space="preserve"> highlight the importance of collaborating </w:t>
      </w:r>
      <w:r w:rsidR="6D1E1890" w:rsidRPr="008910EE">
        <w:t xml:space="preserve">with </w:t>
      </w:r>
      <w:r w:rsidR="04690B22" w:rsidRPr="008910EE">
        <w:t>and connect</w:t>
      </w:r>
      <w:r w:rsidR="4B603955" w:rsidRPr="008910EE">
        <w:t>ing</w:t>
      </w:r>
      <w:r w:rsidR="04690B22" w:rsidRPr="008910EE">
        <w:t xml:space="preserve"> people across our services and </w:t>
      </w:r>
      <w:r w:rsidR="006A299F" w:rsidRPr="008910EE">
        <w:t>programs</w:t>
      </w:r>
      <w:r w:rsidR="04690B22" w:rsidRPr="008910EE">
        <w:t>.</w:t>
      </w:r>
    </w:p>
    <w:p w14:paraId="533C375A" w14:textId="40299868" w:rsidR="00DE065C" w:rsidRPr="008910EE" w:rsidRDefault="00DE065C" w:rsidP="00DE065C">
      <w:pPr>
        <w:pStyle w:val="Body"/>
        <w:rPr>
          <w:color w:val="000000" w:themeColor="text1"/>
        </w:rPr>
      </w:pPr>
      <w:r w:rsidRPr="008910EE">
        <w:rPr>
          <w:color w:val="000000" w:themeColor="text1"/>
        </w:rPr>
        <w:t xml:space="preserve">We are responding to the voices of children in care, and carers, by increasing </w:t>
      </w:r>
      <w:r w:rsidR="00D92D03" w:rsidRPr="008910EE">
        <w:rPr>
          <w:color w:val="000000" w:themeColor="text1"/>
        </w:rPr>
        <w:t>the</w:t>
      </w:r>
      <w:r w:rsidRPr="008910EE">
        <w:rPr>
          <w:color w:val="000000" w:themeColor="text1"/>
        </w:rPr>
        <w:t xml:space="preserve"> support provided to kinship, foster and permanent carers </w:t>
      </w:r>
      <w:r w:rsidR="00D92D03" w:rsidRPr="008910EE">
        <w:rPr>
          <w:color w:val="000000" w:themeColor="text1"/>
        </w:rPr>
        <w:t xml:space="preserve">with </w:t>
      </w:r>
      <w:r w:rsidRPr="008910EE">
        <w:rPr>
          <w:color w:val="000000" w:themeColor="text1"/>
        </w:rPr>
        <w:t xml:space="preserve">$101.8 million </w:t>
      </w:r>
      <w:r w:rsidR="00D92D03" w:rsidRPr="008910EE">
        <w:rPr>
          <w:color w:val="000000" w:themeColor="text1"/>
        </w:rPr>
        <w:t>for</w:t>
      </w:r>
      <w:r w:rsidRPr="008910EE">
        <w:rPr>
          <w:color w:val="000000" w:themeColor="text1"/>
        </w:rPr>
        <w:t xml:space="preserve"> care services (2021</w:t>
      </w:r>
      <w:r w:rsidR="00D92D03" w:rsidRPr="008910EE">
        <w:rPr>
          <w:color w:val="000000" w:themeColor="text1"/>
        </w:rPr>
        <w:t>–</w:t>
      </w:r>
      <w:r w:rsidRPr="008910EE">
        <w:rPr>
          <w:color w:val="000000" w:themeColor="text1"/>
        </w:rPr>
        <w:t>22).</w:t>
      </w:r>
      <w:r w:rsidR="00B63D23" w:rsidRPr="008910EE">
        <w:rPr>
          <w:rStyle w:val="EndnoteReference"/>
          <w:color w:val="000000" w:themeColor="text1"/>
        </w:rPr>
        <w:endnoteReference w:id="56"/>
      </w:r>
      <w:r w:rsidR="44858A88" w:rsidRPr="008910EE">
        <w:rPr>
          <w:color w:val="000000" w:themeColor="text1"/>
        </w:rPr>
        <w:t xml:space="preserve"> </w:t>
      </w:r>
    </w:p>
    <w:p w14:paraId="04B9D2F9" w14:textId="5420AC13" w:rsidR="00393920" w:rsidRPr="008910EE" w:rsidRDefault="000F3A1E" w:rsidP="00987A42">
      <w:pPr>
        <w:pStyle w:val="Heading3"/>
      </w:pPr>
      <w:r w:rsidRPr="008910EE">
        <w:t>Championing</w:t>
      </w:r>
      <w:r w:rsidR="00042532" w:rsidRPr="008910EE">
        <w:t xml:space="preserve"> </w:t>
      </w:r>
      <w:r w:rsidR="005C04F9" w:rsidRPr="008910EE">
        <w:t>LGBTIQ</w:t>
      </w:r>
      <w:r w:rsidR="007E693B" w:rsidRPr="008910EE">
        <w:t xml:space="preserve">+ </w:t>
      </w:r>
      <w:r w:rsidR="00042532" w:rsidRPr="008910EE">
        <w:t xml:space="preserve">equality </w:t>
      </w:r>
    </w:p>
    <w:p w14:paraId="3F66685B" w14:textId="0D51765B" w:rsidR="007264F4" w:rsidRPr="008910EE" w:rsidRDefault="644D679A" w:rsidP="007264F4">
      <w:pPr>
        <w:pStyle w:val="Body"/>
      </w:pPr>
      <w:r w:rsidRPr="008910EE">
        <w:t xml:space="preserve">In July 2021 we opened </w:t>
      </w:r>
      <w:r w:rsidR="006A299F" w:rsidRPr="008910EE">
        <w:t>t</w:t>
      </w:r>
      <w:r w:rsidR="7B0B1528" w:rsidRPr="008910EE">
        <w:t xml:space="preserve">he </w:t>
      </w:r>
      <w:r w:rsidR="007264F4" w:rsidRPr="008910EE">
        <w:t>Victorian Pride Centre</w:t>
      </w:r>
      <w:r w:rsidR="17F9FD55" w:rsidRPr="008910EE">
        <w:t xml:space="preserve">. The Pride Centre celebrates, </w:t>
      </w:r>
      <w:r w:rsidR="00770A4C" w:rsidRPr="008910EE">
        <w:t xml:space="preserve">builds </w:t>
      </w:r>
      <w:r w:rsidR="17F9FD55" w:rsidRPr="008910EE">
        <w:t>and protects equality, diversity and inclusion</w:t>
      </w:r>
      <w:r w:rsidR="001B157E" w:rsidRPr="008910EE">
        <w:t>. It</w:t>
      </w:r>
      <w:r w:rsidR="09770A3A" w:rsidRPr="008910EE">
        <w:t xml:space="preserve"> supports work that will </w:t>
      </w:r>
      <w:r w:rsidR="439FDA33" w:rsidRPr="008910EE">
        <w:t xml:space="preserve">continue to </w:t>
      </w:r>
      <w:r w:rsidR="09770A3A" w:rsidRPr="008910EE">
        <w:t>benefit the whole community</w:t>
      </w:r>
      <w:r w:rsidR="007264F4" w:rsidRPr="008910EE">
        <w:t xml:space="preserve">. </w:t>
      </w:r>
    </w:p>
    <w:p w14:paraId="70E26EB6" w14:textId="09362D7F" w:rsidR="00D92D03" w:rsidRPr="008910EE" w:rsidRDefault="007F1F6E" w:rsidP="007F1F6E">
      <w:pPr>
        <w:pStyle w:val="Body"/>
      </w:pPr>
      <w:r w:rsidRPr="008910EE">
        <w:t xml:space="preserve">We are developing Victoria’s first LGBTIQ+ </w:t>
      </w:r>
      <w:r w:rsidR="001B157E" w:rsidRPr="008910EE">
        <w:t>s</w:t>
      </w:r>
      <w:r w:rsidRPr="008910EE">
        <w:t>trategy, which will set a long-term vision for improving the lives of LGBTIQ+ Victorians. The strategy will</w:t>
      </w:r>
      <w:r w:rsidR="00D92D03" w:rsidRPr="008910EE">
        <w:t>:</w:t>
      </w:r>
      <w:r w:rsidRPr="008910EE">
        <w:t xml:space="preserve"> </w:t>
      </w:r>
    </w:p>
    <w:p w14:paraId="4FB5C336" w14:textId="77777777" w:rsidR="00D92D03" w:rsidRPr="008910EE" w:rsidRDefault="007F1F6E" w:rsidP="00A30D2E">
      <w:pPr>
        <w:pStyle w:val="Bullet1"/>
      </w:pPr>
      <w:r w:rsidRPr="008910EE">
        <w:t>support work across government to update Victorian legislation that discriminates against LGBTIQ+ Victorians</w:t>
      </w:r>
    </w:p>
    <w:p w14:paraId="5215D7B3" w14:textId="7E7C0998" w:rsidR="00D92D03" w:rsidRPr="008910EE" w:rsidRDefault="007F1F6E" w:rsidP="00A30D2E">
      <w:pPr>
        <w:pStyle w:val="Bullet1"/>
      </w:pPr>
      <w:r w:rsidRPr="008910EE">
        <w:t>support LGBTIQ+ inclusive and accessible services</w:t>
      </w:r>
    </w:p>
    <w:p w14:paraId="616E7CE3" w14:textId="6E193407" w:rsidR="006548B4" w:rsidRPr="008910EE" w:rsidRDefault="007F1F6E" w:rsidP="00A30D2E">
      <w:pPr>
        <w:pStyle w:val="Bullet1"/>
      </w:pPr>
      <w:r w:rsidRPr="008910EE">
        <w:t xml:space="preserve">promote inclusion across our </w:t>
      </w:r>
      <w:r w:rsidR="00FE427F" w:rsidRPr="008910EE">
        <w:t>society</w:t>
      </w:r>
      <w:r w:rsidRPr="008910EE">
        <w:t xml:space="preserve">. </w:t>
      </w:r>
    </w:p>
    <w:p w14:paraId="32B7A1EA" w14:textId="1D20E812" w:rsidR="007F1F6E" w:rsidRPr="008910EE" w:rsidRDefault="007F1F6E" w:rsidP="00A30D2E">
      <w:pPr>
        <w:pStyle w:val="Bodyafterbullets"/>
      </w:pPr>
      <w:r w:rsidRPr="008910EE">
        <w:t xml:space="preserve">We will continue to celebrate the diversity of LGBTIQ+ communities </w:t>
      </w:r>
      <w:r w:rsidR="5ED9CC02" w:rsidRPr="008910EE">
        <w:t>through</w:t>
      </w:r>
      <w:r w:rsidRPr="008910EE">
        <w:t xml:space="preserve"> Melbourne Pride 2021</w:t>
      </w:r>
      <w:r w:rsidR="00D92D03" w:rsidRPr="008910EE">
        <w:t>. This</w:t>
      </w:r>
      <w:r w:rsidRPr="008910EE">
        <w:t xml:space="preserve"> </w:t>
      </w:r>
      <w:r w:rsidR="00D92D03" w:rsidRPr="008910EE">
        <w:t xml:space="preserve">large-scale event will </w:t>
      </w:r>
      <w:r w:rsidRPr="008910EE">
        <w:t>acknowledg</w:t>
      </w:r>
      <w:r w:rsidR="00D92D03" w:rsidRPr="008910EE">
        <w:t>e</w:t>
      </w:r>
      <w:r w:rsidRPr="008910EE">
        <w:t xml:space="preserve"> the 40-year anniversary of the decriminalisation of homosexuality.</w:t>
      </w:r>
    </w:p>
    <w:p w14:paraId="6EAC3E53" w14:textId="03BDE183" w:rsidR="00A76221" w:rsidRPr="008910EE" w:rsidRDefault="005C04F9" w:rsidP="00987A42">
      <w:pPr>
        <w:pStyle w:val="Heading3"/>
      </w:pPr>
      <w:r w:rsidRPr="008910EE">
        <w:t>Achieving gender equality</w:t>
      </w:r>
    </w:p>
    <w:p w14:paraId="06BB8024" w14:textId="1723D58F" w:rsidR="001B157E" w:rsidRPr="008910EE" w:rsidRDefault="00042532" w:rsidP="0032592A">
      <w:pPr>
        <w:pStyle w:val="Body"/>
      </w:pPr>
      <w:r w:rsidRPr="008910EE">
        <w:t xml:space="preserve">In 2021 </w:t>
      </w:r>
      <w:r w:rsidR="00A2315C" w:rsidRPr="008910EE">
        <w:t>w</w:t>
      </w:r>
      <w:r w:rsidR="00AB463E" w:rsidRPr="008910EE">
        <w:t xml:space="preserve">e are </w:t>
      </w:r>
      <w:r w:rsidR="007721D6" w:rsidRPr="008910EE">
        <w:t xml:space="preserve">rolling out </w:t>
      </w:r>
      <w:r w:rsidR="00AB463E" w:rsidRPr="008910EE">
        <w:t xml:space="preserve">the landmark </w:t>
      </w:r>
      <w:r w:rsidR="00AB463E" w:rsidRPr="008910EE">
        <w:rPr>
          <w:i/>
          <w:iCs/>
        </w:rPr>
        <w:t>Gender Equality Act 2020</w:t>
      </w:r>
      <w:r w:rsidR="00AB463E" w:rsidRPr="008910EE">
        <w:t xml:space="preserve"> to improve gender equality</w:t>
      </w:r>
      <w:r w:rsidR="001B157E" w:rsidRPr="008910EE">
        <w:t xml:space="preserve">. One feature of the new </w:t>
      </w:r>
      <w:r w:rsidR="00D6301F" w:rsidRPr="008910EE">
        <w:t xml:space="preserve">law </w:t>
      </w:r>
      <w:r w:rsidR="001B157E" w:rsidRPr="008910EE">
        <w:t>will</w:t>
      </w:r>
      <w:r w:rsidR="00AB463E" w:rsidRPr="008910EE">
        <w:t xml:space="preserve"> address the gender pay gap in </w:t>
      </w:r>
      <w:r w:rsidR="00D92D03" w:rsidRPr="008910EE">
        <w:t xml:space="preserve">more than </w:t>
      </w:r>
      <w:r w:rsidR="00AB463E" w:rsidRPr="008910EE">
        <w:t>300 Victorian public sector organisations</w:t>
      </w:r>
      <w:r w:rsidR="00247590" w:rsidRPr="008910EE">
        <w:t>.</w:t>
      </w:r>
    </w:p>
    <w:p w14:paraId="49A3699A" w14:textId="4690B732" w:rsidR="00AB463E" w:rsidRPr="008910EE" w:rsidRDefault="00BE2899" w:rsidP="0032592A">
      <w:pPr>
        <w:pStyle w:val="Body"/>
      </w:pPr>
      <w:r w:rsidRPr="008910EE">
        <w:t xml:space="preserve">We </w:t>
      </w:r>
      <w:r w:rsidR="002E1A5D" w:rsidRPr="008910EE">
        <w:t>have</w:t>
      </w:r>
      <w:r w:rsidR="001B157E" w:rsidRPr="008910EE">
        <w:t xml:space="preserve"> also</w:t>
      </w:r>
      <w:r w:rsidRPr="008910EE">
        <w:t xml:space="preserve"> set up the Office of the Gender Equality Commissioner to improve gender equality</w:t>
      </w:r>
      <w:r w:rsidR="00AC7BF1" w:rsidRPr="008910EE">
        <w:t>. The office</w:t>
      </w:r>
      <w:r w:rsidR="00D907A1" w:rsidRPr="008910EE">
        <w:t xml:space="preserve"> </w:t>
      </w:r>
      <w:r w:rsidR="00AC7BF1" w:rsidRPr="008910EE">
        <w:t xml:space="preserve">will </w:t>
      </w:r>
      <w:r w:rsidR="00D907A1" w:rsidRPr="008910EE">
        <w:t>p</w:t>
      </w:r>
      <w:r w:rsidR="00AB463E" w:rsidRPr="008910EE">
        <w:t xml:space="preserve">rogress our work to support defined entities to meet their obligations under the </w:t>
      </w:r>
      <w:r w:rsidR="001B157E" w:rsidRPr="008910EE">
        <w:t>law</w:t>
      </w:r>
      <w:r w:rsidR="00AB463E" w:rsidRPr="008910EE">
        <w:t>.</w:t>
      </w:r>
    </w:p>
    <w:p w14:paraId="5E21B037" w14:textId="38046330" w:rsidR="001B157E" w:rsidRPr="008910EE" w:rsidRDefault="00FB2D94" w:rsidP="00BA475E">
      <w:pPr>
        <w:pStyle w:val="Body"/>
      </w:pPr>
      <w:r w:rsidRPr="008910EE">
        <w:t xml:space="preserve">Over the next two years, we will continue to fund economic participation programs for women affected by structural barriers to employment and financial security. We will also deliver </w:t>
      </w:r>
      <w:r w:rsidR="001B157E" w:rsidRPr="008910EE">
        <w:t xml:space="preserve">programs </w:t>
      </w:r>
      <w:r w:rsidRPr="008910EE">
        <w:t>to</w:t>
      </w:r>
      <w:r w:rsidR="001B157E" w:rsidRPr="008910EE">
        <w:t>:</w:t>
      </w:r>
      <w:r w:rsidRPr="008910EE">
        <w:t xml:space="preserve"> </w:t>
      </w:r>
    </w:p>
    <w:p w14:paraId="4D338696" w14:textId="39593B14" w:rsidR="001B157E" w:rsidRPr="008910EE" w:rsidRDefault="00FB2D94" w:rsidP="00EC33CF">
      <w:pPr>
        <w:pStyle w:val="Bullet1"/>
      </w:pPr>
      <w:r w:rsidRPr="008910EE">
        <w:t xml:space="preserve">increase </w:t>
      </w:r>
      <w:r w:rsidR="001B157E" w:rsidRPr="008910EE">
        <w:t xml:space="preserve">the number of </w:t>
      </w:r>
      <w:r w:rsidRPr="008910EE">
        <w:t>women</w:t>
      </w:r>
      <w:r w:rsidR="001B157E" w:rsidRPr="008910EE">
        <w:t xml:space="preserve"> </w:t>
      </w:r>
      <w:r w:rsidRPr="008910EE">
        <w:t>in leadership roles</w:t>
      </w:r>
    </w:p>
    <w:p w14:paraId="1424BE37" w14:textId="2F3C3599" w:rsidR="001B157E" w:rsidRPr="008910EE" w:rsidRDefault="00FB2D94" w:rsidP="00EC33CF">
      <w:pPr>
        <w:pStyle w:val="Bullet1"/>
      </w:pPr>
      <w:r w:rsidRPr="008910EE">
        <w:t>support women in the arts</w:t>
      </w:r>
    </w:p>
    <w:p w14:paraId="4D04CCE7" w14:textId="042B81F1" w:rsidR="00FB2D94" w:rsidRPr="008910EE" w:rsidRDefault="00FB2D94" w:rsidP="00EC33CF">
      <w:pPr>
        <w:pStyle w:val="Bullet1"/>
      </w:pPr>
      <w:r w:rsidRPr="008910EE">
        <w:t>drive cultural change against restrictive gender norms.</w:t>
      </w:r>
    </w:p>
    <w:p w14:paraId="1213B1BC" w14:textId="4EBC6E10" w:rsidR="00A6663E" w:rsidRPr="008910EE" w:rsidRDefault="00A6663E" w:rsidP="00987A42">
      <w:pPr>
        <w:pStyle w:val="Heading3"/>
      </w:pPr>
      <w:r w:rsidRPr="008910EE">
        <w:t>Tackling racism</w:t>
      </w:r>
      <w:r w:rsidR="007A7BD4" w:rsidRPr="008910EE">
        <w:t xml:space="preserve"> and celebrating diverse communities</w:t>
      </w:r>
    </w:p>
    <w:p w14:paraId="2FE435EE" w14:textId="620D8E02" w:rsidR="00616AD6" w:rsidRPr="008910EE" w:rsidRDefault="00616AD6" w:rsidP="00616AD6">
      <w:pPr>
        <w:pStyle w:val="Body"/>
      </w:pPr>
      <w:r w:rsidRPr="008910EE">
        <w:t xml:space="preserve">We have </w:t>
      </w:r>
      <w:r w:rsidR="00AC7BF1" w:rsidRPr="008910EE">
        <w:t xml:space="preserve">set up </w:t>
      </w:r>
      <w:r w:rsidR="00082416" w:rsidRPr="008910EE">
        <w:t xml:space="preserve">the </w:t>
      </w:r>
      <w:r w:rsidR="008C622E" w:rsidRPr="008910EE">
        <w:t>A</w:t>
      </w:r>
      <w:r w:rsidRPr="008910EE">
        <w:t>nti-</w:t>
      </w:r>
      <w:r w:rsidR="008C622E" w:rsidRPr="008910EE">
        <w:t>Ra</w:t>
      </w:r>
      <w:r w:rsidRPr="008910EE">
        <w:t xml:space="preserve">cism </w:t>
      </w:r>
      <w:r w:rsidR="008C622E" w:rsidRPr="008910EE">
        <w:t>T</w:t>
      </w:r>
      <w:r w:rsidRPr="008910EE">
        <w:t xml:space="preserve">askforce to </w:t>
      </w:r>
      <w:r w:rsidR="00AC7BF1" w:rsidRPr="008910EE">
        <w:t xml:space="preserve">help </w:t>
      </w:r>
      <w:r w:rsidRPr="008910EE">
        <w:t xml:space="preserve">develop an </w:t>
      </w:r>
      <w:r w:rsidR="00082416" w:rsidRPr="008910EE">
        <w:t>a</w:t>
      </w:r>
      <w:r w:rsidRPr="008910EE">
        <w:t>nti-</w:t>
      </w:r>
      <w:r w:rsidR="00082416" w:rsidRPr="008910EE">
        <w:t>r</w:t>
      </w:r>
      <w:r w:rsidRPr="008910EE">
        <w:t xml:space="preserve">acism </w:t>
      </w:r>
      <w:r w:rsidR="00082416" w:rsidRPr="008910EE">
        <w:t>s</w:t>
      </w:r>
      <w:r w:rsidRPr="008910EE">
        <w:t>trategy for the state</w:t>
      </w:r>
      <w:r w:rsidR="00AC7BF1" w:rsidRPr="008910EE">
        <w:t>. The strategy</w:t>
      </w:r>
      <w:r w:rsidRPr="008910EE">
        <w:t xml:space="preserve"> will focus on empowering communities to inform government decisions and reduce systemic barriers to </w:t>
      </w:r>
      <w:r w:rsidR="00D61578" w:rsidRPr="008910EE">
        <w:t>participation</w:t>
      </w:r>
      <w:r w:rsidRPr="008910EE">
        <w:t>.</w:t>
      </w:r>
    </w:p>
    <w:p w14:paraId="60F5BF01" w14:textId="41F8E9DE" w:rsidR="00616AD6" w:rsidRPr="008910EE" w:rsidRDefault="00AC7BF1" w:rsidP="00616AD6">
      <w:pPr>
        <w:pStyle w:val="Body"/>
      </w:pPr>
      <w:r w:rsidRPr="008910EE">
        <w:t xml:space="preserve">More than </w:t>
      </w:r>
      <w:r w:rsidR="00616AD6" w:rsidRPr="008910EE">
        <w:t xml:space="preserve">$8 million </w:t>
      </w:r>
      <w:r w:rsidR="00BD1960" w:rsidRPr="008910EE">
        <w:t xml:space="preserve">will </w:t>
      </w:r>
      <w:r w:rsidR="00183DB5" w:rsidRPr="008910EE">
        <w:t xml:space="preserve">help </w:t>
      </w:r>
      <w:r w:rsidR="00616AD6" w:rsidRPr="008910EE">
        <w:t xml:space="preserve">deliver critical programs that support newly arrived refugees, asylum seekers, migrant workers and other </w:t>
      </w:r>
      <w:r w:rsidR="2DE5C5DE" w:rsidRPr="008910EE">
        <w:t xml:space="preserve">in </w:t>
      </w:r>
      <w:r w:rsidR="00616AD6" w:rsidRPr="008910EE">
        <w:t>multicultural communities across Victoria</w:t>
      </w:r>
      <w:r w:rsidR="00183DB5" w:rsidRPr="008910EE">
        <w:t>.</w:t>
      </w:r>
      <w:r w:rsidR="00B733BC" w:rsidRPr="008910EE">
        <w:rPr>
          <w:rStyle w:val="EndnoteReference"/>
        </w:rPr>
        <w:endnoteReference w:id="57"/>
      </w:r>
      <w:r w:rsidR="00183DB5" w:rsidRPr="008910EE">
        <w:t xml:space="preserve"> These programs will </w:t>
      </w:r>
      <w:r w:rsidR="007A16B2" w:rsidRPr="008910EE">
        <w:t>ensure</w:t>
      </w:r>
      <w:r w:rsidR="00616AD6" w:rsidRPr="008910EE">
        <w:t xml:space="preserve"> all members of our community have access to the services and supports they need.</w:t>
      </w:r>
    </w:p>
    <w:p w14:paraId="375A3DC2" w14:textId="7B49459E" w:rsidR="00471523" w:rsidRPr="008910EE" w:rsidRDefault="00705128" w:rsidP="00471523">
      <w:pPr>
        <w:pStyle w:val="Body"/>
        <w:rPr>
          <w:lang w:val="en-US"/>
        </w:rPr>
      </w:pPr>
      <w:r w:rsidRPr="008910EE">
        <w:rPr>
          <w:lang w:val="en-US"/>
        </w:rPr>
        <w:t xml:space="preserve">We continue to celebrate and support </w:t>
      </w:r>
      <w:r w:rsidR="002515E3" w:rsidRPr="008910EE">
        <w:rPr>
          <w:lang w:val="en-US"/>
        </w:rPr>
        <w:t>diverse</w:t>
      </w:r>
      <w:r w:rsidRPr="008910EE">
        <w:rPr>
          <w:lang w:val="en-US"/>
        </w:rPr>
        <w:t xml:space="preserve"> communities </w:t>
      </w:r>
      <w:r w:rsidR="00183DB5" w:rsidRPr="008910EE">
        <w:rPr>
          <w:lang w:val="en-US"/>
        </w:rPr>
        <w:t>with</w:t>
      </w:r>
      <w:r w:rsidRPr="008910EE">
        <w:rPr>
          <w:lang w:val="en-US"/>
        </w:rPr>
        <w:t xml:space="preserve"> grants for multicultural festivals and events</w:t>
      </w:r>
      <w:r w:rsidR="007A16B2" w:rsidRPr="008910EE">
        <w:rPr>
          <w:lang w:val="en-US"/>
        </w:rPr>
        <w:t>. We also</w:t>
      </w:r>
      <w:r w:rsidRPr="008910EE">
        <w:rPr>
          <w:lang w:val="en-US"/>
        </w:rPr>
        <w:t xml:space="preserve"> support multicultural seniors’ groups to stay connected.</w:t>
      </w:r>
      <w:r w:rsidR="00CD4732" w:rsidRPr="008910EE">
        <w:rPr>
          <w:lang w:val="en-US"/>
        </w:rPr>
        <w:t xml:space="preserve"> </w:t>
      </w:r>
      <w:r w:rsidR="00CD4732" w:rsidRPr="008910EE">
        <w:rPr>
          <w:rFonts w:cs="Arial"/>
          <w:szCs w:val="21"/>
          <w:lang w:val="en-US"/>
        </w:rPr>
        <w:t>We continue to invest in multicultural community facilities and infrastructure including through the Multicultural Community Infrastructure Fund</w:t>
      </w:r>
      <w:r w:rsidR="00183DB5" w:rsidRPr="008910EE">
        <w:rPr>
          <w:rFonts w:cs="Arial"/>
          <w:szCs w:val="21"/>
          <w:lang w:val="en-US"/>
        </w:rPr>
        <w:t>. The fund</w:t>
      </w:r>
      <w:r w:rsidR="00CD4732" w:rsidRPr="008910EE">
        <w:rPr>
          <w:rFonts w:cs="Arial"/>
          <w:szCs w:val="21"/>
          <w:lang w:val="en-US"/>
        </w:rPr>
        <w:t xml:space="preserve"> </w:t>
      </w:r>
      <w:r w:rsidR="00D61A0B" w:rsidRPr="008910EE">
        <w:rPr>
          <w:rFonts w:cs="Arial"/>
          <w:szCs w:val="21"/>
          <w:lang w:val="en-US"/>
        </w:rPr>
        <w:t>builds</w:t>
      </w:r>
      <w:r w:rsidR="00CD4732" w:rsidRPr="008910EE">
        <w:rPr>
          <w:rFonts w:cs="Arial"/>
          <w:szCs w:val="21"/>
          <w:lang w:val="en-US"/>
        </w:rPr>
        <w:t xml:space="preserve"> cultural connection</w:t>
      </w:r>
      <w:r w:rsidR="00D61A0B" w:rsidRPr="008910EE">
        <w:rPr>
          <w:rFonts w:cs="Arial"/>
          <w:szCs w:val="21"/>
          <w:lang w:val="en-US"/>
        </w:rPr>
        <w:t>s,</w:t>
      </w:r>
      <w:r w:rsidR="00CD4732" w:rsidRPr="008910EE">
        <w:rPr>
          <w:rFonts w:cs="Arial"/>
          <w:szCs w:val="21"/>
          <w:lang w:val="en-US"/>
        </w:rPr>
        <w:t xml:space="preserve"> </w:t>
      </w:r>
      <w:r w:rsidR="00D61A0B" w:rsidRPr="008910EE">
        <w:rPr>
          <w:rFonts w:cs="Arial"/>
          <w:szCs w:val="21"/>
          <w:lang w:val="en-US"/>
        </w:rPr>
        <w:t>helps create</w:t>
      </w:r>
      <w:r w:rsidR="00CD4732" w:rsidRPr="008910EE">
        <w:rPr>
          <w:rFonts w:cs="Arial"/>
          <w:szCs w:val="21"/>
          <w:lang w:val="en-US"/>
        </w:rPr>
        <w:t xml:space="preserve"> job</w:t>
      </w:r>
      <w:r w:rsidR="00D61A0B" w:rsidRPr="008910EE">
        <w:rPr>
          <w:rFonts w:cs="Arial"/>
          <w:szCs w:val="21"/>
          <w:lang w:val="en-US"/>
        </w:rPr>
        <w:t>s</w:t>
      </w:r>
      <w:r w:rsidR="00CD4732" w:rsidRPr="008910EE">
        <w:rPr>
          <w:rFonts w:cs="Arial"/>
          <w:szCs w:val="21"/>
          <w:lang w:val="en-US"/>
        </w:rPr>
        <w:t xml:space="preserve"> and </w:t>
      </w:r>
      <w:r w:rsidR="00770A4C" w:rsidRPr="008910EE">
        <w:rPr>
          <w:rFonts w:cs="Arial"/>
          <w:szCs w:val="21"/>
          <w:lang w:val="en-US"/>
        </w:rPr>
        <w:t xml:space="preserve">spurs on the </w:t>
      </w:r>
      <w:r w:rsidR="00CD4732" w:rsidRPr="008910EE">
        <w:rPr>
          <w:rFonts w:cs="Arial"/>
          <w:szCs w:val="21"/>
          <w:lang w:val="en-US"/>
        </w:rPr>
        <w:t>econom</w:t>
      </w:r>
      <w:r w:rsidR="00770A4C" w:rsidRPr="008910EE">
        <w:rPr>
          <w:rFonts w:cs="Arial"/>
          <w:szCs w:val="21"/>
          <w:lang w:val="en-US"/>
        </w:rPr>
        <w:t>y</w:t>
      </w:r>
      <w:r w:rsidR="00CD4732" w:rsidRPr="008910EE">
        <w:rPr>
          <w:rFonts w:cs="Arial"/>
          <w:szCs w:val="21"/>
          <w:lang w:val="en-US"/>
        </w:rPr>
        <w:t>. </w:t>
      </w:r>
    </w:p>
    <w:p w14:paraId="7476F696" w14:textId="0C4F5BB3" w:rsidR="00471523" w:rsidRPr="008910EE" w:rsidRDefault="00A15587" w:rsidP="00471523">
      <w:pPr>
        <w:pStyle w:val="Body"/>
        <w:rPr>
          <w:rFonts w:eastAsia="Times New Roman"/>
        </w:rPr>
      </w:pPr>
      <w:r w:rsidRPr="008910EE">
        <w:rPr>
          <w:rFonts w:eastAsia="Times New Roman"/>
        </w:rPr>
        <w:t xml:space="preserve">We also continue to </w:t>
      </w:r>
      <w:r w:rsidR="007721D6" w:rsidRPr="008910EE">
        <w:rPr>
          <w:rFonts w:eastAsia="Times New Roman"/>
        </w:rPr>
        <w:t xml:space="preserve">roll out </w:t>
      </w:r>
      <w:r w:rsidR="007A16B2" w:rsidRPr="008910EE">
        <w:rPr>
          <w:rFonts w:eastAsia="Times New Roman"/>
        </w:rPr>
        <w:t xml:space="preserve">the </w:t>
      </w:r>
      <w:r w:rsidRPr="008910EE">
        <w:rPr>
          <w:rFonts w:eastAsia="Times New Roman"/>
        </w:rPr>
        <w:t>Victoria</w:t>
      </w:r>
      <w:r w:rsidR="007A16B2" w:rsidRPr="008910EE">
        <w:rPr>
          <w:rFonts w:eastAsia="Times New Roman"/>
        </w:rPr>
        <w:t>n</w:t>
      </w:r>
      <w:r w:rsidRPr="008910EE">
        <w:rPr>
          <w:rFonts w:eastAsia="Times New Roman"/>
          <w:i/>
          <w:iCs/>
        </w:rPr>
        <w:t xml:space="preserve"> African </w:t>
      </w:r>
      <w:r w:rsidR="00082416" w:rsidRPr="008910EE">
        <w:rPr>
          <w:rFonts w:eastAsia="Times New Roman"/>
          <w:i/>
          <w:iCs/>
        </w:rPr>
        <w:t>c</w:t>
      </w:r>
      <w:r w:rsidRPr="008910EE">
        <w:rPr>
          <w:rFonts w:eastAsia="Times New Roman"/>
          <w:i/>
          <w:iCs/>
        </w:rPr>
        <w:t xml:space="preserve">ommunities </w:t>
      </w:r>
      <w:r w:rsidR="00082416" w:rsidRPr="008910EE">
        <w:rPr>
          <w:rFonts w:eastAsia="Times New Roman"/>
          <w:i/>
          <w:iCs/>
        </w:rPr>
        <w:t>a</w:t>
      </w:r>
      <w:r w:rsidRPr="008910EE">
        <w:rPr>
          <w:rFonts w:eastAsia="Times New Roman"/>
          <w:i/>
          <w:iCs/>
        </w:rPr>
        <w:t xml:space="preserve">ction </w:t>
      </w:r>
      <w:r w:rsidR="00082416" w:rsidRPr="008910EE">
        <w:rPr>
          <w:rFonts w:eastAsia="Times New Roman"/>
          <w:i/>
          <w:iCs/>
        </w:rPr>
        <w:t>p</w:t>
      </w:r>
      <w:r w:rsidRPr="008910EE">
        <w:rPr>
          <w:rFonts w:eastAsia="Times New Roman"/>
          <w:i/>
          <w:iCs/>
        </w:rPr>
        <w:t>lan</w:t>
      </w:r>
      <w:r w:rsidR="00183DB5" w:rsidRPr="008910EE">
        <w:rPr>
          <w:rFonts w:eastAsia="Times New Roman"/>
        </w:rPr>
        <w:t>.</w:t>
      </w:r>
      <w:r w:rsidRPr="008910EE">
        <w:rPr>
          <w:rFonts w:eastAsia="Times New Roman"/>
        </w:rPr>
        <w:t xml:space="preserve"> </w:t>
      </w:r>
      <w:r w:rsidR="00183DB5" w:rsidRPr="008910EE">
        <w:rPr>
          <w:rFonts w:eastAsia="Times New Roman"/>
        </w:rPr>
        <w:t>The</w:t>
      </w:r>
      <w:r w:rsidRPr="008910EE">
        <w:rPr>
          <w:rFonts w:eastAsia="Times New Roman"/>
        </w:rPr>
        <w:t xml:space="preserve"> </w:t>
      </w:r>
      <w:r w:rsidR="007A16B2" w:rsidRPr="008910EE">
        <w:rPr>
          <w:rFonts w:eastAsia="Times New Roman"/>
        </w:rPr>
        <w:t>10</w:t>
      </w:r>
      <w:r w:rsidRPr="008910EE">
        <w:rPr>
          <w:rFonts w:eastAsia="Times New Roman"/>
        </w:rPr>
        <w:t xml:space="preserve">-year plan </w:t>
      </w:r>
      <w:r w:rsidR="00183DB5" w:rsidRPr="008910EE">
        <w:rPr>
          <w:rFonts w:eastAsia="Times New Roman"/>
        </w:rPr>
        <w:t xml:space="preserve">was </w:t>
      </w:r>
      <w:r w:rsidRPr="008910EE">
        <w:rPr>
          <w:rFonts w:eastAsia="Times New Roman"/>
        </w:rPr>
        <w:t>co-designed with Victoria</w:t>
      </w:r>
      <w:r w:rsidR="00183DB5" w:rsidRPr="008910EE">
        <w:rPr>
          <w:rFonts w:eastAsia="Times New Roman"/>
        </w:rPr>
        <w:t>’</w:t>
      </w:r>
      <w:r w:rsidRPr="008910EE">
        <w:rPr>
          <w:rFonts w:eastAsia="Times New Roman"/>
        </w:rPr>
        <w:t xml:space="preserve">s African communities. </w:t>
      </w:r>
    </w:p>
    <w:p w14:paraId="5DD44816" w14:textId="27E2DBD2" w:rsidR="00A15587" w:rsidRPr="008910EE" w:rsidRDefault="006E693D" w:rsidP="00471523">
      <w:pPr>
        <w:pStyle w:val="Body"/>
        <w:rPr>
          <w:lang w:val="en-US"/>
        </w:rPr>
      </w:pPr>
      <w:r w:rsidRPr="008910EE">
        <w:rPr>
          <w:rFonts w:eastAsia="Times New Roman"/>
        </w:rPr>
        <w:t xml:space="preserve">The work of translating and interpreting services </w:t>
      </w:r>
      <w:r w:rsidR="00094D16" w:rsidRPr="008910EE">
        <w:rPr>
          <w:rFonts w:eastAsia="Times New Roman"/>
        </w:rPr>
        <w:t>is</w:t>
      </w:r>
      <w:r w:rsidRPr="008910EE">
        <w:rPr>
          <w:rFonts w:eastAsia="Times New Roman"/>
        </w:rPr>
        <w:t xml:space="preserve"> more important than ever, as highlighted by</w:t>
      </w:r>
      <w:r w:rsidR="00EF16FE" w:rsidRPr="008910EE">
        <w:rPr>
          <w:rFonts w:eastAsia="Times New Roman"/>
        </w:rPr>
        <w:t xml:space="preserve"> the</w:t>
      </w:r>
      <w:r w:rsidRPr="008910EE">
        <w:rPr>
          <w:rFonts w:eastAsia="Times New Roman"/>
        </w:rPr>
        <w:t xml:space="preserve"> coronavirus (COVID-19)</w:t>
      </w:r>
      <w:r w:rsidR="006006D4" w:rsidRPr="008910EE">
        <w:rPr>
          <w:rFonts w:eastAsia="Times New Roman"/>
        </w:rPr>
        <w:t xml:space="preserve"> pandemic</w:t>
      </w:r>
      <w:r w:rsidRPr="008910EE">
        <w:rPr>
          <w:rFonts w:eastAsia="Times New Roman"/>
        </w:rPr>
        <w:t>.</w:t>
      </w:r>
      <w:r w:rsidR="00A5371E" w:rsidRPr="008910EE">
        <w:rPr>
          <w:rFonts w:eastAsia="Times New Roman"/>
        </w:rPr>
        <w:t xml:space="preserve"> </w:t>
      </w:r>
      <w:r w:rsidR="00A5371E" w:rsidRPr="008910EE">
        <w:rPr>
          <w:rFonts w:cs="Arial"/>
        </w:rPr>
        <w:t>Making sure every Victorian understands what they can do to reduce their risk of coronavirus (COVID-19) is key to slowing its spread.</w:t>
      </w:r>
      <w:r w:rsidRPr="008910EE">
        <w:rPr>
          <w:rFonts w:eastAsia="Times New Roman"/>
        </w:rPr>
        <w:t xml:space="preserve"> </w:t>
      </w:r>
      <w:r w:rsidR="00A15587" w:rsidRPr="008910EE">
        <w:rPr>
          <w:rFonts w:eastAsia="Times New Roman"/>
        </w:rPr>
        <w:t>Reforms are underway to support a high-quality and sustainable language service sector in Victoria</w:t>
      </w:r>
      <w:r w:rsidR="000A54FC" w:rsidRPr="008910EE">
        <w:rPr>
          <w:rFonts w:eastAsia="Times New Roman"/>
        </w:rPr>
        <w:t>. Reforms will see</w:t>
      </w:r>
      <w:r w:rsidR="00A15587" w:rsidRPr="008910EE">
        <w:rPr>
          <w:rFonts w:eastAsia="Times New Roman"/>
        </w:rPr>
        <w:t xml:space="preserve"> ongoing funding for</w:t>
      </w:r>
      <w:r w:rsidR="007A16B2" w:rsidRPr="008910EE">
        <w:rPr>
          <w:rFonts w:eastAsia="Times New Roman"/>
        </w:rPr>
        <w:t xml:space="preserve"> better pay for </w:t>
      </w:r>
      <w:r w:rsidR="00A15587" w:rsidRPr="008910EE">
        <w:rPr>
          <w:rFonts w:eastAsia="Times New Roman"/>
        </w:rPr>
        <w:t>interpreter</w:t>
      </w:r>
      <w:r w:rsidR="007A16B2" w:rsidRPr="008910EE">
        <w:rPr>
          <w:rFonts w:eastAsia="Times New Roman"/>
        </w:rPr>
        <w:t>s</w:t>
      </w:r>
      <w:r w:rsidR="00E57727" w:rsidRPr="008910EE">
        <w:rPr>
          <w:rFonts w:eastAsia="Times New Roman"/>
        </w:rPr>
        <w:t xml:space="preserve"> and a </w:t>
      </w:r>
      <w:r w:rsidR="007A16B2" w:rsidRPr="008910EE">
        <w:rPr>
          <w:rFonts w:eastAsia="Times New Roman"/>
        </w:rPr>
        <w:t>smoother</w:t>
      </w:r>
      <w:r w:rsidR="00A15587" w:rsidRPr="008910EE">
        <w:rPr>
          <w:rFonts w:eastAsia="Times New Roman"/>
        </w:rPr>
        <w:t xml:space="preserve"> approach to whole-of-government purchasing of language services.</w:t>
      </w:r>
      <w:r w:rsidR="003228F0" w:rsidRPr="008910EE">
        <w:rPr>
          <w:rFonts w:eastAsia="Times New Roman"/>
        </w:rPr>
        <w:t xml:space="preserve"> </w:t>
      </w:r>
    </w:p>
    <w:p w14:paraId="05CAA95A" w14:textId="77777777" w:rsidR="005E158D" w:rsidRPr="008910EE" w:rsidRDefault="005E158D" w:rsidP="00987A42">
      <w:pPr>
        <w:pStyle w:val="Heading3"/>
      </w:pPr>
      <w:r w:rsidRPr="008910EE">
        <w:t>Veterans</w:t>
      </w:r>
    </w:p>
    <w:p w14:paraId="4ACF8356" w14:textId="04181B22" w:rsidR="00A6663E" w:rsidRPr="008910EE" w:rsidRDefault="00A6663E" w:rsidP="00A6663E">
      <w:pPr>
        <w:pStyle w:val="Body"/>
      </w:pPr>
      <w:r w:rsidRPr="008910EE">
        <w:t>We will continue to support Victorian veteran wellbeing, recognition and acknowledgement of service</w:t>
      </w:r>
      <w:r w:rsidR="000A54FC" w:rsidRPr="008910EE">
        <w:t>. New</w:t>
      </w:r>
      <w:r w:rsidRPr="008910EE">
        <w:t xml:space="preserve"> initiatives </w:t>
      </w:r>
      <w:r w:rsidR="000A54FC" w:rsidRPr="008910EE">
        <w:t xml:space="preserve">will </w:t>
      </w:r>
      <w:r w:rsidRPr="008910EE">
        <w:t xml:space="preserve">support </w:t>
      </w:r>
      <w:r w:rsidR="000A54FC" w:rsidRPr="008910EE">
        <w:t xml:space="preserve">veterans’ </w:t>
      </w:r>
      <w:r w:rsidRPr="008910EE">
        <w:t xml:space="preserve">successful transition to, and </w:t>
      </w:r>
      <w:r w:rsidR="000A54FC" w:rsidRPr="008910EE">
        <w:t>involvement</w:t>
      </w:r>
      <w:r w:rsidRPr="008910EE">
        <w:t xml:space="preserve"> in, civilian life</w:t>
      </w:r>
      <w:r w:rsidR="007A16B2" w:rsidRPr="008910EE">
        <w:t>. This</w:t>
      </w:r>
      <w:r w:rsidRPr="008910EE">
        <w:t xml:space="preserve"> includ</w:t>
      </w:r>
      <w:r w:rsidR="007A16B2" w:rsidRPr="008910EE">
        <w:t>es</w:t>
      </w:r>
      <w:r w:rsidRPr="008910EE">
        <w:t xml:space="preserve"> </w:t>
      </w:r>
      <w:r w:rsidR="00361261" w:rsidRPr="008910EE">
        <w:t>$1</w:t>
      </w:r>
      <w:r w:rsidR="001A76F6" w:rsidRPr="008910EE">
        <w:t xml:space="preserve">.3 million over four years </w:t>
      </w:r>
      <w:r w:rsidR="1DEC6A71" w:rsidRPr="008910EE">
        <w:t xml:space="preserve">to </w:t>
      </w:r>
      <w:r w:rsidR="007A16B2" w:rsidRPr="008910EE">
        <w:t xml:space="preserve">help </w:t>
      </w:r>
      <w:r w:rsidRPr="008910EE">
        <w:t xml:space="preserve">veterans find a new career within </w:t>
      </w:r>
      <w:r w:rsidR="00FF14FF" w:rsidRPr="008910EE">
        <w:t xml:space="preserve">the </w:t>
      </w:r>
      <w:r w:rsidRPr="008910EE">
        <w:t>Victorian Government</w:t>
      </w:r>
      <w:r w:rsidR="009F4F71" w:rsidRPr="008910EE">
        <w:t>.</w:t>
      </w:r>
      <w:r w:rsidR="00890F6D" w:rsidRPr="008910EE">
        <w:rPr>
          <w:rStyle w:val="EndnoteReference"/>
        </w:rPr>
        <w:endnoteReference w:id="58"/>
      </w:r>
      <w:r w:rsidR="003E2714" w:rsidRPr="008910EE">
        <w:t xml:space="preserve"> </w:t>
      </w:r>
      <w:r w:rsidR="007A16B2" w:rsidRPr="008910EE">
        <w:t>We have supported m</w:t>
      </w:r>
      <w:r w:rsidR="003E2714" w:rsidRPr="008910EE">
        <w:t>ore than 7</w:t>
      </w:r>
      <w:r w:rsidR="00FC277A" w:rsidRPr="008910EE">
        <w:t>00</w:t>
      </w:r>
      <w:r w:rsidR="003E2714" w:rsidRPr="008910EE">
        <w:t xml:space="preserve"> veterans in th</w:t>
      </w:r>
      <w:r w:rsidR="642B83AB" w:rsidRPr="008910EE">
        <w:t>is</w:t>
      </w:r>
      <w:r w:rsidR="003E2714" w:rsidRPr="008910EE">
        <w:t xml:space="preserve"> program since 2017</w:t>
      </w:r>
      <w:r w:rsidRPr="008910EE">
        <w:t>.</w:t>
      </w:r>
      <w:r w:rsidR="00F4497E" w:rsidRPr="008910EE">
        <w:rPr>
          <w:rStyle w:val="EndnoteReference"/>
        </w:rPr>
        <w:endnoteReference w:id="59"/>
      </w:r>
    </w:p>
    <w:p w14:paraId="15EE6970" w14:textId="735C5FA7" w:rsidR="00A6663E" w:rsidRPr="008910EE" w:rsidRDefault="00A6663E" w:rsidP="00BA475E">
      <w:pPr>
        <w:pStyle w:val="Body"/>
      </w:pPr>
      <w:r w:rsidRPr="008910EE">
        <w:t>Nearly $6 million is being used to restore and upgrade the Shrine of Remembrance</w:t>
      </w:r>
      <w:r w:rsidR="00956606" w:rsidRPr="008910EE">
        <w:t>.</w:t>
      </w:r>
      <w:r w:rsidR="00F0381B" w:rsidRPr="008910EE">
        <w:rPr>
          <w:rStyle w:val="EndnoteReference"/>
        </w:rPr>
        <w:endnoteReference w:id="60"/>
      </w:r>
      <w:r w:rsidR="00956606" w:rsidRPr="008910EE">
        <w:t xml:space="preserve"> This will</w:t>
      </w:r>
      <w:r w:rsidRPr="008910EE">
        <w:t xml:space="preserve"> </w:t>
      </w:r>
      <w:r w:rsidR="00956606" w:rsidRPr="008910EE">
        <w:t xml:space="preserve">ensure we </w:t>
      </w:r>
      <w:r w:rsidRPr="008910EE">
        <w:t>continue to recognise th</w:t>
      </w:r>
      <w:r w:rsidR="285C35B3" w:rsidRPr="008910EE">
        <w:t>e</w:t>
      </w:r>
      <w:r w:rsidRPr="008910EE">
        <w:t xml:space="preserve"> contribution</w:t>
      </w:r>
      <w:r w:rsidR="4B6724A0" w:rsidRPr="008910EE">
        <w:t>s of veterans to our state and our country</w:t>
      </w:r>
      <w:r w:rsidRPr="008910EE">
        <w:t>.</w:t>
      </w:r>
      <w:r w:rsidR="003D0A9F" w:rsidRPr="008910EE">
        <w:t xml:space="preserve"> </w:t>
      </w:r>
    </w:p>
    <w:p w14:paraId="41ED881E" w14:textId="2A9A8AB4" w:rsidR="00904753" w:rsidRPr="008910EE" w:rsidRDefault="00426A31" w:rsidP="00987A42">
      <w:pPr>
        <w:pStyle w:val="Heading3"/>
      </w:pPr>
      <w:r w:rsidRPr="008910EE">
        <w:t>Celebrating seniors and supporting them to age well</w:t>
      </w:r>
    </w:p>
    <w:p w14:paraId="70211B56" w14:textId="4C6923C0" w:rsidR="0051766E" w:rsidRPr="008910EE" w:rsidRDefault="00A12B14" w:rsidP="0051766E">
      <w:pPr>
        <w:pStyle w:val="Body"/>
        <w:rPr>
          <w:rFonts w:ascii="Calibri" w:hAnsi="Calibri"/>
          <w:sz w:val="22"/>
        </w:rPr>
      </w:pPr>
      <w:r w:rsidRPr="008910EE">
        <w:t>W</w:t>
      </w:r>
      <w:r w:rsidR="0051766E" w:rsidRPr="008910EE">
        <w:t xml:space="preserve">e are delivering </w:t>
      </w:r>
      <w:r w:rsidR="006C0A79" w:rsidRPr="008910EE">
        <w:t>policies and programs</w:t>
      </w:r>
      <w:r w:rsidR="0051766E" w:rsidRPr="008910EE">
        <w:t xml:space="preserve"> to </w:t>
      </w:r>
      <w:r w:rsidR="00883B7C" w:rsidRPr="008910EE">
        <w:t>support seniors to age well</w:t>
      </w:r>
      <w:r w:rsidR="006C0A79" w:rsidRPr="008910EE">
        <w:t xml:space="preserve"> and</w:t>
      </w:r>
      <w:r w:rsidR="00883B7C" w:rsidRPr="008910EE">
        <w:t xml:space="preserve"> increase their</w:t>
      </w:r>
      <w:r w:rsidR="0051766E" w:rsidRPr="008910EE">
        <w:t xml:space="preserve"> social and community participation. </w:t>
      </w:r>
    </w:p>
    <w:p w14:paraId="5168B496" w14:textId="69F4A76D" w:rsidR="003400F6" w:rsidRPr="008910EE" w:rsidRDefault="0051766E" w:rsidP="0051766E">
      <w:pPr>
        <w:pStyle w:val="Body"/>
      </w:pPr>
      <w:r w:rsidRPr="008910EE">
        <w:t xml:space="preserve">We are developing an Ageing Well </w:t>
      </w:r>
      <w:r w:rsidR="00E023BB" w:rsidRPr="008910EE">
        <w:t>i</w:t>
      </w:r>
      <w:r w:rsidRPr="008910EE">
        <w:t xml:space="preserve">nitiative </w:t>
      </w:r>
      <w:r w:rsidR="002F09DA" w:rsidRPr="008910EE">
        <w:t>in partnership with</w:t>
      </w:r>
      <w:r w:rsidR="001363CF" w:rsidRPr="008910EE">
        <w:t xml:space="preserve"> the</w:t>
      </w:r>
      <w:r w:rsidRPr="008910EE">
        <w:t xml:space="preserve"> Senior Victorians Advisory Group</w:t>
      </w:r>
      <w:r w:rsidR="009A51BF" w:rsidRPr="008910EE">
        <w:t>. The Senior Victorians Advisory Group is</w:t>
      </w:r>
      <w:r w:rsidRPr="008910EE">
        <w:t xml:space="preserve"> chaired by </w:t>
      </w:r>
      <w:r w:rsidR="001363CF" w:rsidRPr="008910EE">
        <w:t>the</w:t>
      </w:r>
      <w:r w:rsidRPr="008910EE">
        <w:t xml:space="preserve"> Commissioner for Senior Victorians</w:t>
      </w:r>
      <w:r w:rsidR="001E20D0" w:rsidRPr="008910EE">
        <w:t xml:space="preserve"> and includ</w:t>
      </w:r>
      <w:r w:rsidR="009A51BF" w:rsidRPr="008910EE">
        <w:t>es</w:t>
      </w:r>
      <w:r w:rsidR="001E20D0" w:rsidRPr="008910EE">
        <w:t xml:space="preserve"> </w:t>
      </w:r>
      <w:r w:rsidR="009A51BF" w:rsidRPr="008910EE">
        <w:t>seniors representatives and community organisations</w:t>
      </w:r>
      <w:r w:rsidRPr="008910EE">
        <w:t xml:space="preserve">. </w:t>
      </w:r>
      <w:r w:rsidR="008663F4" w:rsidRPr="008910EE">
        <w:t>Together, we are</w:t>
      </w:r>
      <w:r w:rsidRPr="008910EE">
        <w:t xml:space="preserve"> identifying opportunities to link up programs and services to better address seniors’ needs, including through digital inclusion. </w:t>
      </w:r>
    </w:p>
    <w:p w14:paraId="49658A53" w14:textId="508CBA9D" w:rsidR="0051766E" w:rsidRPr="008910EE" w:rsidRDefault="0051766E" w:rsidP="0051766E">
      <w:pPr>
        <w:pStyle w:val="Body"/>
      </w:pPr>
      <w:r w:rsidRPr="008910EE">
        <w:t xml:space="preserve">We </w:t>
      </w:r>
      <w:r w:rsidR="003400F6" w:rsidRPr="008910EE">
        <w:t xml:space="preserve">are </w:t>
      </w:r>
      <w:r w:rsidRPr="008910EE">
        <w:t>also deliver</w:t>
      </w:r>
      <w:r w:rsidR="003400F6" w:rsidRPr="008910EE">
        <w:t>ing</w:t>
      </w:r>
      <w:r w:rsidRPr="008910EE">
        <w:t xml:space="preserve"> the annual Victorian Seniors Festival to celebrate the contribution of seniors and promote and encourage their participation in community life</w:t>
      </w:r>
      <w:r w:rsidR="00305C15" w:rsidRPr="008910EE">
        <w:t>.</w:t>
      </w:r>
    </w:p>
    <w:p w14:paraId="764FB671" w14:textId="47B9E75C" w:rsidR="00042532" w:rsidRPr="008910EE" w:rsidRDefault="00663EF8" w:rsidP="00987A42">
      <w:pPr>
        <w:pStyle w:val="Heading3"/>
      </w:pPr>
      <w:r w:rsidRPr="008910EE">
        <w:t>Empowering</w:t>
      </w:r>
      <w:r w:rsidR="00042532" w:rsidRPr="008910EE">
        <w:t xml:space="preserve"> young people </w:t>
      </w:r>
    </w:p>
    <w:p w14:paraId="7A1838DA" w14:textId="11D500A3" w:rsidR="00B32D9B" w:rsidRPr="008910EE" w:rsidRDefault="00512CD5" w:rsidP="00A6663E">
      <w:pPr>
        <w:pStyle w:val="Body"/>
        <w:rPr>
          <w:rFonts w:cstheme="minorBidi"/>
        </w:rPr>
      </w:pPr>
      <w:r w:rsidRPr="008910EE">
        <w:t>We are leading a new whole</w:t>
      </w:r>
      <w:r w:rsidR="000A54FC" w:rsidRPr="008910EE">
        <w:t>-</w:t>
      </w:r>
      <w:r w:rsidRPr="008910EE">
        <w:t>of</w:t>
      </w:r>
      <w:r w:rsidR="000A54FC" w:rsidRPr="008910EE">
        <w:t>-</w:t>
      </w:r>
      <w:r w:rsidRPr="008910EE">
        <w:t xml:space="preserve">government youth strategy to </w:t>
      </w:r>
      <w:r w:rsidR="00CC0119" w:rsidRPr="008910EE">
        <w:t xml:space="preserve">give young people a </w:t>
      </w:r>
      <w:r w:rsidR="5C914FA2" w:rsidRPr="008910EE">
        <w:t xml:space="preserve">stronger </w:t>
      </w:r>
      <w:r w:rsidR="00CC0119" w:rsidRPr="008910EE">
        <w:t>voice</w:t>
      </w:r>
      <w:r w:rsidRPr="008910EE">
        <w:t xml:space="preserve"> in decision</w:t>
      </w:r>
      <w:r w:rsidR="001D5D05" w:rsidRPr="008910EE">
        <w:t xml:space="preserve"> </w:t>
      </w:r>
      <w:r w:rsidRPr="008910EE">
        <w:t>making across all portfolios</w:t>
      </w:r>
      <w:r w:rsidR="000A54FC" w:rsidRPr="008910EE">
        <w:t>. The strategy will</w:t>
      </w:r>
      <w:r w:rsidRPr="008910EE">
        <w:t xml:space="preserve"> empower </w:t>
      </w:r>
      <w:r w:rsidR="006E706A" w:rsidRPr="008910EE">
        <w:t xml:space="preserve">young people </w:t>
      </w:r>
      <w:r w:rsidRPr="008910EE">
        <w:t xml:space="preserve">to fully </w:t>
      </w:r>
      <w:r w:rsidR="000A54FC" w:rsidRPr="008910EE">
        <w:t xml:space="preserve">take part </w:t>
      </w:r>
      <w:r w:rsidRPr="008910EE">
        <w:t xml:space="preserve">in </w:t>
      </w:r>
      <w:r w:rsidR="00A44E2E" w:rsidRPr="008910EE">
        <w:t>Victoria’s</w:t>
      </w:r>
      <w:r w:rsidR="00B66D44" w:rsidRPr="008910EE">
        <w:t xml:space="preserve"> </w:t>
      </w:r>
      <w:r w:rsidR="00A44E2E" w:rsidRPr="008910EE">
        <w:t>society</w:t>
      </w:r>
      <w:r w:rsidR="00B66D44" w:rsidRPr="008910EE">
        <w:t xml:space="preserve"> and economy</w:t>
      </w:r>
      <w:r w:rsidRPr="008910EE">
        <w:t>.</w:t>
      </w:r>
      <w:r w:rsidR="00F27F86" w:rsidRPr="008910EE">
        <w:t xml:space="preserve"> </w:t>
      </w:r>
      <w:r w:rsidR="00A6663E" w:rsidRPr="008910EE">
        <w:rPr>
          <w:rFonts w:cstheme="minorBidi"/>
        </w:rPr>
        <w:t>A new youth outcomes framework will underpin the strategy, measur</w:t>
      </w:r>
      <w:r w:rsidR="001D5D05" w:rsidRPr="008910EE">
        <w:rPr>
          <w:rFonts w:cstheme="minorBidi"/>
        </w:rPr>
        <w:t>ing</w:t>
      </w:r>
      <w:r w:rsidR="00A6663E" w:rsidRPr="008910EE">
        <w:rPr>
          <w:rFonts w:cstheme="minorBidi"/>
        </w:rPr>
        <w:t xml:space="preserve"> the impact and success of what we do</w:t>
      </w:r>
      <w:r w:rsidR="001D5D05" w:rsidRPr="008910EE">
        <w:rPr>
          <w:rFonts w:cstheme="minorBidi"/>
        </w:rPr>
        <w:t>. It will also</w:t>
      </w:r>
      <w:r w:rsidR="00A6663E" w:rsidRPr="008910EE">
        <w:rPr>
          <w:rFonts w:cstheme="minorBidi"/>
        </w:rPr>
        <w:t xml:space="preserve"> </w:t>
      </w:r>
      <w:r w:rsidR="00D61A0B" w:rsidRPr="008910EE">
        <w:rPr>
          <w:rFonts w:cstheme="minorBidi"/>
        </w:rPr>
        <w:t>highlight</w:t>
      </w:r>
      <w:r w:rsidR="00A6663E" w:rsidRPr="008910EE">
        <w:rPr>
          <w:rFonts w:cstheme="minorBidi"/>
        </w:rPr>
        <w:t xml:space="preserve"> areas </w:t>
      </w:r>
      <w:r w:rsidR="001D5D05" w:rsidRPr="008910EE">
        <w:rPr>
          <w:rFonts w:cstheme="minorBidi"/>
        </w:rPr>
        <w:t>needing more</w:t>
      </w:r>
      <w:r w:rsidR="00A6663E" w:rsidRPr="008910EE">
        <w:rPr>
          <w:rFonts w:cstheme="minorBidi"/>
        </w:rPr>
        <w:t xml:space="preserve"> attention and cross-portfolio </w:t>
      </w:r>
      <w:r w:rsidR="001D5D05" w:rsidRPr="008910EE">
        <w:rPr>
          <w:rFonts w:cstheme="minorBidi"/>
        </w:rPr>
        <w:t>teamwork</w:t>
      </w:r>
      <w:r w:rsidR="00A6663E" w:rsidRPr="008910EE">
        <w:rPr>
          <w:rFonts w:cstheme="minorBidi"/>
        </w:rPr>
        <w:t>.</w:t>
      </w:r>
    </w:p>
    <w:p w14:paraId="193A73E1" w14:textId="3B7B99A8" w:rsidR="009242F1" w:rsidRPr="008910EE" w:rsidRDefault="00512CD5" w:rsidP="00512CD5">
      <w:pPr>
        <w:pStyle w:val="Body"/>
      </w:pPr>
      <w:r w:rsidRPr="008910EE">
        <w:rPr>
          <w:rFonts w:cstheme="minorBidi"/>
        </w:rPr>
        <w:t>We partner with the youth sector and local governments to deliver a range of statewide and place-based programs</w:t>
      </w:r>
      <w:r w:rsidR="000A54FC" w:rsidRPr="008910EE">
        <w:rPr>
          <w:rFonts w:cstheme="minorBidi"/>
        </w:rPr>
        <w:t>. The programs</w:t>
      </w:r>
      <w:r w:rsidRPr="008910EE">
        <w:t xml:space="preserve"> work to</w:t>
      </w:r>
      <w:r w:rsidR="009242F1" w:rsidRPr="008910EE">
        <w:t>:</w:t>
      </w:r>
      <w:r w:rsidRPr="008910EE">
        <w:t xml:space="preserve"> </w:t>
      </w:r>
    </w:p>
    <w:p w14:paraId="7EBA6DC8" w14:textId="77777777" w:rsidR="009242F1" w:rsidRPr="008910EE" w:rsidRDefault="00512CD5" w:rsidP="00B47E31">
      <w:pPr>
        <w:pStyle w:val="Bullet1"/>
      </w:pPr>
      <w:r w:rsidRPr="008910EE">
        <w:t>strengthen young people’s health and wellbeing</w:t>
      </w:r>
    </w:p>
    <w:p w14:paraId="478A1FC4" w14:textId="3459146C" w:rsidR="009242F1" w:rsidRPr="008910EE" w:rsidRDefault="00512CD5" w:rsidP="00B47E31">
      <w:pPr>
        <w:pStyle w:val="Bullet1"/>
      </w:pPr>
      <w:r w:rsidRPr="008910EE">
        <w:t>improve education, training, skills development and career pathways</w:t>
      </w:r>
    </w:p>
    <w:p w14:paraId="1DBC47F8" w14:textId="20D1EF41" w:rsidR="009242F1" w:rsidRPr="008910EE" w:rsidRDefault="00512CD5" w:rsidP="00B47E31">
      <w:pPr>
        <w:pStyle w:val="Bullet1"/>
      </w:pPr>
      <w:r w:rsidRPr="008910EE">
        <w:t xml:space="preserve">maximise participation in </w:t>
      </w:r>
      <w:r w:rsidR="009242F1" w:rsidRPr="008910EE">
        <w:t xml:space="preserve">the </w:t>
      </w:r>
      <w:r w:rsidRPr="008910EE">
        <w:t xml:space="preserve">community. </w:t>
      </w:r>
    </w:p>
    <w:p w14:paraId="47E9CDF0" w14:textId="27A68FDD" w:rsidR="00512CD5" w:rsidRPr="008910EE" w:rsidRDefault="00512CD5" w:rsidP="00B47E31">
      <w:pPr>
        <w:pStyle w:val="Bodyafterbullets"/>
      </w:pPr>
      <w:r w:rsidRPr="008910EE">
        <w:t>This includes $14.3</w:t>
      </w:r>
      <w:r w:rsidR="00C1457D" w:rsidRPr="008910EE">
        <w:t>3</w:t>
      </w:r>
      <w:r w:rsidRPr="008910EE">
        <w:t xml:space="preserve"> million to continue the innovative, community-led work of six Community Support Groups that </w:t>
      </w:r>
      <w:r w:rsidR="009242F1" w:rsidRPr="008910EE">
        <w:t xml:space="preserve">work with </w:t>
      </w:r>
      <w:r w:rsidRPr="008910EE">
        <w:t>vulnerable young people and their families.</w:t>
      </w:r>
      <w:r w:rsidR="005F6FC4" w:rsidRPr="008910EE">
        <w:rPr>
          <w:rStyle w:val="EndnoteReference"/>
        </w:rPr>
        <w:endnoteReference w:id="61"/>
      </w:r>
    </w:p>
    <w:p w14:paraId="6AF4DEAC" w14:textId="74F14F28" w:rsidR="00E331C4" w:rsidRPr="008910EE" w:rsidRDefault="00E331C4" w:rsidP="00512CD5">
      <w:pPr>
        <w:pStyle w:val="Body"/>
        <w:rPr>
          <w:rFonts w:cs="Arial"/>
        </w:rPr>
      </w:pPr>
      <w:r w:rsidRPr="008910EE">
        <w:rPr>
          <w:rFonts w:eastAsia="Times New Roman" w:cs="Arial"/>
          <w:szCs w:val="21"/>
        </w:rPr>
        <w:t>We are continuing to invest in infrastructure projects that meet the needs of local communities now and into the future. This includes deliver</w:t>
      </w:r>
      <w:r w:rsidR="000A54FC" w:rsidRPr="008910EE">
        <w:rPr>
          <w:rFonts w:eastAsia="Times New Roman" w:cs="Arial"/>
          <w:szCs w:val="21"/>
        </w:rPr>
        <w:t>ing</w:t>
      </w:r>
      <w:r w:rsidRPr="008910EE">
        <w:rPr>
          <w:rFonts w:eastAsia="Times New Roman" w:cs="Arial"/>
          <w:szCs w:val="21"/>
        </w:rPr>
        <w:t xml:space="preserve"> more than 20 Scout Hall upgrades and new builds across the state</w:t>
      </w:r>
      <w:r w:rsidR="009242F1" w:rsidRPr="008910EE">
        <w:rPr>
          <w:rFonts w:eastAsia="Times New Roman" w:cs="Arial"/>
          <w:szCs w:val="21"/>
        </w:rPr>
        <w:t>. The upgrades are</w:t>
      </w:r>
      <w:r w:rsidRPr="008910EE">
        <w:rPr>
          <w:rFonts w:eastAsia="Times New Roman" w:cs="Arial"/>
          <w:szCs w:val="21"/>
        </w:rPr>
        <w:t xml:space="preserve"> supported by a $5.5 million Victorian Government contribution matched by Scouts Victoria and local community partners. This brings the total investment in </w:t>
      </w:r>
      <w:r w:rsidR="00D61A0B" w:rsidRPr="008910EE">
        <w:rPr>
          <w:rFonts w:eastAsia="Times New Roman" w:cs="Arial"/>
          <w:szCs w:val="21"/>
        </w:rPr>
        <w:t>s</w:t>
      </w:r>
      <w:r w:rsidRPr="008910EE">
        <w:rPr>
          <w:rFonts w:eastAsia="Times New Roman" w:cs="Arial"/>
          <w:szCs w:val="21"/>
        </w:rPr>
        <w:t>couting infrastructure to $11 million over four years.</w:t>
      </w:r>
      <w:r w:rsidR="006D0FB2" w:rsidRPr="008910EE">
        <w:rPr>
          <w:rStyle w:val="EndnoteReference"/>
        </w:rPr>
        <w:endnoteReference w:id="62"/>
      </w:r>
    </w:p>
    <w:p w14:paraId="3CE0B957" w14:textId="0C68784A" w:rsidR="00301BAE" w:rsidRPr="008910EE" w:rsidRDefault="00301BAE" w:rsidP="00301BAE">
      <w:pPr>
        <w:pStyle w:val="Body"/>
        <w:rPr>
          <w:rFonts w:cstheme="minorBidi"/>
        </w:rPr>
      </w:pPr>
      <w:r w:rsidRPr="008910EE">
        <w:rPr>
          <w:rFonts w:cstheme="minorBidi"/>
        </w:rPr>
        <w:t xml:space="preserve">Young people </w:t>
      </w:r>
      <w:r w:rsidR="005D6572" w:rsidRPr="008910EE">
        <w:rPr>
          <w:rFonts w:cstheme="minorBidi"/>
        </w:rPr>
        <w:t>continue to</w:t>
      </w:r>
      <w:r w:rsidRPr="008910EE">
        <w:rPr>
          <w:rFonts w:cstheme="minorBidi"/>
        </w:rPr>
        <w:t xml:space="preserve"> hold </w:t>
      </w:r>
      <w:r w:rsidR="00D61A0B" w:rsidRPr="008910EE">
        <w:rPr>
          <w:rFonts w:cstheme="minorBidi"/>
        </w:rPr>
        <w:t xml:space="preserve">leadership </w:t>
      </w:r>
      <w:r w:rsidRPr="008910EE">
        <w:rPr>
          <w:rFonts w:cstheme="minorBidi"/>
        </w:rPr>
        <w:t xml:space="preserve">positions </w:t>
      </w:r>
      <w:r w:rsidR="00CA7CDF" w:rsidRPr="008910EE">
        <w:rPr>
          <w:rFonts w:cstheme="minorBidi"/>
        </w:rPr>
        <w:t>that</w:t>
      </w:r>
      <w:r w:rsidRPr="008910EE">
        <w:rPr>
          <w:rFonts w:cstheme="minorBidi"/>
        </w:rPr>
        <w:t xml:space="preserve"> influence</w:t>
      </w:r>
      <w:r w:rsidR="003F53B9" w:rsidRPr="008910EE">
        <w:rPr>
          <w:rFonts w:cstheme="minorBidi"/>
        </w:rPr>
        <w:t xml:space="preserve"> </w:t>
      </w:r>
      <w:r w:rsidR="00D61A0B" w:rsidRPr="008910EE">
        <w:rPr>
          <w:rFonts w:cstheme="minorBidi"/>
        </w:rPr>
        <w:t xml:space="preserve">the </w:t>
      </w:r>
      <w:r w:rsidR="003F53B9" w:rsidRPr="008910EE">
        <w:rPr>
          <w:rFonts w:cstheme="minorBidi"/>
        </w:rPr>
        <w:t>government’s</w:t>
      </w:r>
      <w:r w:rsidRPr="008910EE">
        <w:rPr>
          <w:rFonts w:cstheme="minorBidi"/>
        </w:rPr>
        <w:t xml:space="preserve"> reform priorities</w:t>
      </w:r>
      <w:r w:rsidR="005D6572" w:rsidRPr="008910EE">
        <w:rPr>
          <w:rFonts w:cstheme="minorBidi"/>
        </w:rPr>
        <w:t xml:space="preserve"> and decision making.</w:t>
      </w:r>
      <w:r w:rsidRPr="008910EE">
        <w:rPr>
          <w:rFonts w:cstheme="minorBidi"/>
        </w:rPr>
        <w:t xml:space="preserve"> </w:t>
      </w:r>
      <w:r w:rsidR="00316D8C" w:rsidRPr="008910EE">
        <w:rPr>
          <w:rFonts w:cstheme="minorBidi"/>
        </w:rPr>
        <w:t>This includes</w:t>
      </w:r>
      <w:r w:rsidR="009242F1" w:rsidRPr="008910EE">
        <w:rPr>
          <w:rFonts w:cstheme="minorBidi"/>
        </w:rPr>
        <w:t xml:space="preserve"> the</w:t>
      </w:r>
      <w:r w:rsidR="00316D8C" w:rsidRPr="008910EE">
        <w:rPr>
          <w:rFonts w:cstheme="minorBidi"/>
        </w:rPr>
        <w:t xml:space="preserve"> </w:t>
      </w:r>
      <w:r w:rsidRPr="008910EE">
        <w:rPr>
          <w:rFonts w:cstheme="minorBidi"/>
        </w:rPr>
        <w:t xml:space="preserve">Roadmap </w:t>
      </w:r>
      <w:r w:rsidR="00AF73EE" w:rsidRPr="008910EE">
        <w:rPr>
          <w:rFonts w:cstheme="minorBidi"/>
        </w:rPr>
        <w:t xml:space="preserve">Implementation </w:t>
      </w:r>
      <w:r w:rsidRPr="008910EE">
        <w:rPr>
          <w:rFonts w:cstheme="minorBidi"/>
        </w:rPr>
        <w:t>Ministerial Advisory Group</w:t>
      </w:r>
      <w:r w:rsidR="0070341D" w:rsidRPr="008910EE">
        <w:rPr>
          <w:rFonts w:cstheme="minorBidi"/>
        </w:rPr>
        <w:t xml:space="preserve"> a</w:t>
      </w:r>
      <w:r w:rsidR="00316D8C" w:rsidRPr="008910EE">
        <w:rPr>
          <w:rFonts w:cstheme="minorBidi"/>
        </w:rPr>
        <w:t xml:space="preserve">nd </w:t>
      </w:r>
      <w:r w:rsidR="003F53B9" w:rsidRPr="008910EE">
        <w:rPr>
          <w:rFonts w:cstheme="minorBidi"/>
        </w:rPr>
        <w:t>the Victorian Youth Congress</w:t>
      </w:r>
      <w:r w:rsidRPr="008910EE">
        <w:rPr>
          <w:rFonts w:cstheme="minorBidi"/>
        </w:rPr>
        <w:t>.</w:t>
      </w:r>
      <w:r w:rsidR="003D0A9F" w:rsidRPr="008910EE">
        <w:rPr>
          <w:rFonts w:cstheme="minorBidi"/>
        </w:rPr>
        <w:t xml:space="preserve"> </w:t>
      </w:r>
    </w:p>
    <w:p w14:paraId="262DFE5F" w14:textId="32E67B07" w:rsidR="00DC2D34" w:rsidRPr="008910EE" w:rsidRDefault="00DC2D34" w:rsidP="00987A42">
      <w:pPr>
        <w:pStyle w:val="Heading3"/>
      </w:pPr>
      <w:r w:rsidRPr="008910EE">
        <w:t>Relief and social recovery during and after emergencies</w:t>
      </w:r>
    </w:p>
    <w:p w14:paraId="4D845395" w14:textId="7B6D423A" w:rsidR="00DC2D34" w:rsidRPr="008910EE" w:rsidRDefault="00DC2D34" w:rsidP="00DC2D34">
      <w:pPr>
        <w:pStyle w:val="Body"/>
        <w:rPr>
          <w:rFonts w:cs="Arial"/>
        </w:rPr>
      </w:pPr>
      <w:r w:rsidRPr="008910EE">
        <w:rPr>
          <w:lang w:val="en-US"/>
        </w:rPr>
        <w:t xml:space="preserve">Over the next two years, we will work with communities, across government and with other service partners to support Victoria’s recovery </w:t>
      </w:r>
      <w:r w:rsidRPr="008910EE">
        <w:t xml:space="preserve">from emergencies and natural disasters. </w:t>
      </w:r>
      <w:r w:rsidRPr="008910EE">
        <w:rPr>
          <w:rFonts w:cs="Arial"/>
        </w:rPr>
        <w:t xml:space="preserve">We know </w:t>
      </w:r>
      <w:r w:rsidR="00801DB0" w:rsidRPr="008910EE">
        <w:rPr>
          <w:rFonts w:cs="Arial"/>
        </w:rPr>
        <w:t>from climate change forecasts</w:t>
      </w:r>
      <w:r w:rsidRPr="008910EE">
        <w:rPr>
          <w:rFonts w:cs="Arial"/>
        </w:rPr>
        <w:t>, emergencies such as bushfires, floods, extreme weather and pandemics will occur more often.</w:t>
      </w:r>
    </w:p>
    <w:p w14:paraId="781DD8AD" w14:textId="4FAB2483" w:rsidR="00FC18F4" w:rsidRPr="008910EE" w:rsidRDefault="00DC2D34" w:rsidP="00DC2D34">
      <w:pPr>
        <w:pStyle w:val="Body"/>
      </w:pPr>
      <w:r w:rsidRPr="008910EE">
        <w:t xml:space="preserve">When a </w:t>
      </w:r>
      <w:r w:rsidR="00FC18F4" w:rsidRPr="008910EE">
        <w:t xml:space="preserve">large-scale </w:t>
      </w:r>
      <w:r w:rsidRPr="008910EE">
        <w:t xml:space="preserve">emergency strikes a community, it is the people who make up that community </w:t>
      </w:r>
      <w:r w:rsidR="00FC18F4" w:rsidRPr="008910EE">
        <w:t xml:space="preserve">who </w:t>
      </w:r>
      <w:r w:rsidRPr="008910EE">
        <w:t xml:space="preserve">are hardest hit. </w:t>
      </w:r>
      <w:r w:rsidR="00FC18F4" w:rsidRPr="008910EE">
        <w:t>The basic functions of everyday life can be severely affected</w:t>
      </w:r>
      <w:r w:rsidR="00DE63B4" w:rsidRPr="008910EE">
        <w:t>, including</w:t>
      </w:r>
      <w:r w:rsidR="00FC18F4" w:rsidRPr="008910EE">
        <w:t>:</w:t>
      </w:r>
    </w:p>
    <w:p w14:paraId="41997E78" w14:textId="09C0906A" w:rsidR="00FC18F4" w:rsidRPr="008910EE" w:rsidRDefault="00DC2D34" w:rsidP="00377AD3">
      <w:pPr>
        <w:pStyle w:val="Bullet1"/>
      </w:pPr>
      <w:r w:rsidRPr="008910EE">
        <w:t>the roof over their heads</w:t>
      </w:r>
    </w:p>
    <w:p w14:paraId="2B7CD84F" w14:textId="3B70E995" w:rsidR="00FC18F4" w:rsidRPr="008910EE" w:rsidRDefault="00DC2D34" w:rsidP="00377AD3">
      <w:pPr>
        <w:pStyle w:val="Bullet1"/>
      </w:pPr>
      <w:r w:rsidRPr="008910EE">
        <w:t>a person’s sense of belonging and connection to their community</w:t>
      </w:r>
    </w:p>
    <w:p w14:paraId="456A59A9" w14:textId="75BDC002" w:rsidR="00FC18F4" w:rsidRPr="008910EE" w:rsidRDefault="00DC2D34" w:rsidP="00377AD3">
      <w:pPr>
        <w:pStyle w:val="Bullet1"/>
      </w:pPr>
      <w:r w:rsidRPr="008910EE">
        <w:t>access to essential services such as psychological supports</w:t>
      </w:r>
      <w:r w:rsidR="00FC18F4" w:rsidRPr="008910EE">
        <w:t>.</w:t>
      </w:r>
    </w:p>
    <w:p w14:paraId="6887697F" w14:textId="17D29579" w:rsidR="00DC2D34" w:rsidRPr="008910EE" w:rsidRDefault="00DC2D34" w:rsidP="00377AD3">
      <w:pPr>
        <w:pStyle w:val="Bodyafterbullets"/>
      </w:pPr>
      <w:r w:rsidRPr="008910EE">
        <w:t xml:space="preserve">People’s health, safety and wellbeing can suffer </w:t>
      </w:r>
      <w:r w:rsidR="000A54FC" w:rsidRPr="008910EE">
        <w:t xml:space="preserve">greatly </w:t>
      </w:r>
      <w:r w:rsidRPr="008910EE">
        <w:t xml:space="preserve">during and after a </w:t>
      </w:r>
      <w:r w:rsidR="000A54FC" w:rsidRPr="008910EE">
        <w:t xml:space="preserve">large </w:t>
      </w:r>
      <w:r w:rsidRPr="008910EE">
        <w:t xml:space="preserve">disaster or emergency. </w:t>
      </w:r>
    </w:p>
    <w:p w14:paraId="2DE71C55" w14:textId="3C9E29F3" w:rsidR="00DC2D34" w:rsidRPr="008910EE" w:rsidRDefault="00DC2D34" w:rsidP="00DC2D34">
      <w:pPr>
        <w:pStyle w:val="Body"/>
      </w:pPr>
      <w:r w:rsidRPr="008910EE">
        <w:t xml:space="preserve">Relief and social recovery services aim to ensure people are safe, stable and secure. During natural disasters and emergencies, </w:t>
      </w:r>
      <w:r w:rsidR="00B91C98" w:rsidRPr="008910EE">
        <w:t>the department</w:t>
      </w:r>
      <w:r w:rsidRPr="008910EE">
        <w:t xml:space="preserve"> coordinates support to ensure people have emergency shelter and can access targeted psychological support</w:t>
      </w:r>
      <w:r w:rsidR="000A54FC" w:rsidRPr="008910EE">
        <w:t xml:space="preserve">. </w:t>
      </w:r>
      <w:r w:rsidRPr="008910EE">
        <w:t>Victoria’s Personal Hardship Assistance Program</w:t>
      </w:r>
      <w:r w:rsidR="000A54FC" w:rsidRPr="008910EE">
        <w:t xml:space="preserve"> </w:t>
      </w:r>
      <w:r w:rsidR="00FC18F4" w:rsidRPr="008910EE">
        <w:t>helps</w:t>
      </w:r>
      <w:r w:rsidR="000A54FC" w:rsidRPr="008910EE">
        <w:t xml:space="preserve"> with financial support</w:t>
      </w:r>
      <w:r w:rsidRPr="008910EE">
        <w:t xml:space="preserve">. </w:t>
      </w:r>
    </w:p>
    <w:p w14:paraId="1636B1A3" w14:textId="4018BB4E" w:rsidR="00DC2D34" w:rsidRPr="008910EE" w:rsidRDefault="00DC2D34" w:rsidP="00DC2D34">
      <w:pPr>
        <w:pStyle w:val="Body"/>
      </w:pPr>
      <w:r w:rsidRPr="008910EE">
        <w:t xml:space="preserve">As part of social recovery, </w:t>
      </w:r>
      <w:r w:rsidR="00292605" w:rsidRPr="008910EE">
        <w:t>we</w:t>
      </w:r>
      <w:r w:rsidRPr="008910EE">
        <w:t xml:space="preserve"> support people and families to </w:t>
      </w:r>
      <w:r w:rsidR="00981711" w:rsidRPr="008910EE">
        <w:t>regain</w:t>
      </w:r>
      <w:r w:rsidRPr="008910EE">
        <w:t xml:space="preserve"> control and lead on the recovery decisions and processes that will reshape and rebuild their lives. </w:t>
      </w:r>
      <w:r w:rsidR="004A6B6D" w:rsidRPr="008910EE">
        <w:t>We</w:t>
      </w:r>
      <w:r w:rsidRPr="008910EE">
        <w:t xml:space="preserve"> support people to rebuild their sense of belonging and connection to their community</w:t>
      </w:r>
      <w:r w:rsidR="007D6574" w:rsidRPr="008910EE">
        <w:t>. This includes</w:t>
      </w:r>
      <w:r w:rsidRPr="008910EE">
        <w:t xml:space="preserve"> their economic and social participation so people can lead lives that are meaningful to them. </w:t>
      </w:r>
    </w:p>
    <w:p w14:paraId="4B497C00" w14:textId="26A7AAE5" w:rsidR="00DC2D34" w:rsidRPr="008910EE" w:rsidRDefault="00DC2D34" w:rsidP="00DC2D34">
      <w:pPr>
        <w:pStyle w:val="Body"/>
      </w:pPr>
      <w:r w:rsidRPr="008910EE">
        <w:t>After the immediate emergency had passed, social recovery initiatives support Victorians to recover over time</w:t>
      </w:r>
      <w:r w:rsidR="007D6574" w:rsidRPr="008910EE">
        <w:t>. This includes</w:t>
      </w:r>
      <w:r w:rsidRPr="008910EE">
        <w:t xml:space="preserve"> specific approaches for those who experience emergencies in different ways such as youth, families and seniors</w:t>
      </w:r>
      <w:r w:rsidR="00FC18F4" w:rsidRPr="008910EE">
        <w:t xml:space="preserve">. We </w:t>
      </w:r>
      <w:r w:rsidRPr="008910EE">
        <w:t xml:space="preserve">help them come to terms with the trauma associated with the emergency. </w:t>
      </w:r>
    </w:p>
    <w:p w14:paraId="5D26F845" w14:textId="48C76355" w:rsidR="00DC2D34" w:rsidRPr="008910EE" w:rsidRDefault="00DC2D34" w:rsidP="00DC2D34">
      <w:pPr>
        <w:pStyle w:val="Body"/>
      </w:pPr>
      <w:r w:rsidRPr="008910EE">
        <w:t>Social recovery supports link local residents to assistance such as information and advice, mental health support or financial counselling.</w:t>
      </w:r>
    </w:p>
    <w:p w14:paraId="3B0F5AF7" w14:textId="224E7B33" w:rsidR="00DC2D34" w:rsidRPr="008910EE" w:rsidRDefault="00DC2D34" w:rsidP="00DC2D34">
      <w:pPr>
        <w:pStyle w:val="Body"/>
      </w:pPr>
      <w:r w:rsidRPr="008910EE">
        <w:t xml:space="preserve">We recognise that many </w:t>
      </w:r>
      <w:r w:rsidR="00B471AA" w:rsidRPr="008910EE">
        <w:t xml:space="preserve">have </w:t>
      </w:r>
      <w:r w:rsidRPr="008910EE">
        <w:t xml:space="preserve">found the </w:t>
      </w:r>
      <w:r w:rsidR="0016049E" w:rsidRPr="008910EE">
        <w:t>coronavirus (</w:t>
      </w:r>
      <w:r w:rsidRPr="008910EE">
        <w:t>COVID-19</w:t>
      </w:r>
      <w:r w:rsidR="0016049E" w:rsidRPr="008910EE">
        <w:t>)</w:t>
      </w:r>
      <w:r w:rsidRPr="008910EE">
        <w:t xml:space="preserve"> health emergency challenging</w:t>
      </w:r>
      <w:r w:rsidR="007D6574" w:rsidRPr="008910EE">
        <w:t>.</w:t>
      </w:r>
      <w:r w:rsidRPr="008910EE">
        <w:t xml:space="preserve"> </w:t>
      </w:r>
      <w:r w:rsidR="007D6574" w:rsidRPr="008910EE">
        <w:t>F</w:t>
      </w:r>
      <w:r w:rsidRPr="008910EE">
        <w:t>or some</w:t>
      </w:r>
      <w:r w:rsidR="00FC18F4" w:rsidRPr="008910EE">
        <w:t>,</w:t>
      </w:r>
      <w:r w:rsidRPr="008910EE">
        <w:t xml:space="preserve"> it </w:t>
      </w:r>
      <w:r w:rsidR="009B6143" w:rsidRPr="008910EE">
        <w:t>i</w:t>
      </w:r>
      <w:r w:rsidRPr="008910EE">
        <w:t>s an extremely difficult experience</w:t>
      </w:r>
      <w:r w:rsidR="00FC18F4" w:rsidRPr="008910EE">
        <w:t>. This includes</w:t>
      </w:r>
      <w:r w:rsidRPr="008910EE">
        <w:t xml:space="preserve"> for families and older people who </w:t>
      </w:r>
      <w:r w:rsidR="009B6143" w:rsidRPr="008910EE">
        <w:t>a</w:t>
      </w:r>
      <w:r w:rsidRPr="008910EE">
        <w:t>re isolating with perpetrators of family violence and experiencing increased violence</w:t>
      </w:r>
      <w:r w:rsidR="006F7C6D" w:rsidRPr="008910EE">
        <w:t>, as well as young people with mental health issues</w:t>
      </w:r>
      <w:r w:rsidRPr="008910EE">
        <w:t>.</w:t>
      </w:r>
    </w:p>
    <w:p w14:paraId="523EC035" w14:textId="35A2E24C" w:rsidR="006243EC" w:rsidRPr="008910EE" w:rsidRDefault="00DC2D34" w:rsidP="00DC2D34">
      <w:pPr>
        <w:pStyle w:val="Body"/>
      </w:pPr>
      <w:r w:rsidRPr="008910EE">
        <w:t xml:space="preserve">Those </w:t>
      </w:r>
      <w:r w:rsidR="00895634" w:rsidRPr="008910EE">
        <w:t>wors</w:t>
      </w:r>
      <w:r w:rsidR="00B21676" w:rsidRPr="008910EE">
        <w:t>t</w:t>
      </w:r>
      <w:r w:rsidR="00895634" w:rsidRPr="008910EE">
        <w:t xml:space="preserve"> </w:t>
      </w:r>
      <w:r w:rsidRPr="008910EE">
        <w:t>affected include</w:t>
      </w:r>
      <w:r w:rsidR="00895634" w:rsidRPr="008910EE">
        <w:t>d</w:t>
      </w:r>
      <w:r w:rsidRPr="008910EE">
        <w:t xml:space="preserve"> people with casual or insecure employment, </w:t>
      </w:r>
      <w:r w:rsidR="004716B7" w:rsidRPr="008910EE">
        <w:t xml:space="preserve">young people, </w:t>
      </w:r>
      <w:r w:rsidRPr="008910EE">
        <w:t xml:space="preserve">women working in care services, and people from CALD communities in low-wage employment </w:t>
      </w:r>
      <w:r w:rsidR="00895634" w:rsidRPr="008910EE">
        <w:t xml:space="preserve">who </w:t>
      </w:r>
      <w:r w:rsidRPr="008910EE">
        <w:t>lost jobs or had hours reduced.</w:t>
      </w:r>
      <w:r w:rsidR="00895634" w:rsidRPr="008910EE">
        <w:t xml:space="preserve"> </w:t>
      </w:r>
    </w:p>
    <w:p w14:paraId="007E6901" w14:textId="4C932E54" w:rsidR="00DC2D34" w:rsidRPr="008910EE" w:rsidRDefault="00DC2D34" w:rsidP="00DC2D34">
      <w:pPr>
        <w:pStyle w:val="Body"/>
      </w:pPr>
      <w:r w:rsidRPr="008910EE">
        <w:t xml:space="preserve">People living in public housing estates with high numbers of people living in close </w:t>
      </w:r>
      <w:r w:rsidR="00B56BC1" w:rsidRPr="008910EE">
        <w:t>contact</w:t>
      </w:r>
      <w:r w:rsidRPr="008910EE">
        <w:t xml:space="preserve">, and with limited means, </w:t>
      </w:r>
      <w:r w:rsidR="00ED3838" w:rsidRPr="008910EE">
        <w:t>a</w:t>
      </w:r>
      <w:r w:rsidRPr="008910EE">
        <w:t xml:space="preserve">re at greater risk from </w:t>
      </w:r>
      <w:r w:rsidR="0016049E" w:rsidRPr="008910EE">
        <w:t>coronavirus</w:t>
      </w:r>
      <w:r w:rsidR="000422B5" w:rsidRPr="008910EE">
        <w:t xml:space="preserve"> (COVID-19)</w:t>
      </w:r>
      <w:r w:rsidRPr="008910EE">
        <w:t>.</w:t>
      </w:r>
    </w:p>
    <w:p w14:paraId="0C8EEC09" w14:textId="1BDB7C07" w:rsidR="00CF56EB" w:rsidRPr="008910EE" w:rsidRDefault="00DC2D34" w:rsidP="00CF56EB">
      <w:pPr>
        <w:pStyle w:val="Body"/>
      </w:pPr>
      <w:r w:rsidRPr="008910EE">
        <w:t>CALD communities need tailored and accessible communication approaches to engage with public health advice</w:t>
      </w:r>
      <w:r w:rsidR="007D6574" w:rsidRPr="008910EE">
        <w:t>.</w:t>
      </w:r>
      <w:r w:rsidR="00652BD6" w:rsidRPr="008910EE">
        <w:t xml:space="preserve"> T</w:t>
      </w:r>
      <w:r w:rsidR="001632D0" w:rsidRPr="008910EE">
        <w:t>o address this t</w:t>
      </w:r>
      <w:r w:rsidR="00652BD6" w:rsidRPr="008910EE">
        <w:t>he Victorian Government invested</w:t>
      </w:r>
      <w:r w:rsidRPr="008910EE">
        <w:t xml:space="preserve"> </w:t>
      </w:r>
      <w:r w:rsidR="000D1319" w:rsidRPr="008910EE">
        <w:rPr>
          <w:rFonts w:eastAsia="Times New Roman"/>
        </w:rPr>
        <w:t>$</w:t>
      </w:r>
      <w:r w:rsidR="00332E5C" w:rsidRPr="008910EE">
        <w:rPr>
          <w:rFonts w:eastAsia="Times New Roman"/>
        </w:rPr>
        <w:t>12</w:t>
      </w:r>
      <w:r w:rsidR="000D1319" w:rsidRPr="008910EE">
        <w:rPr>
          <w:rFonts w:eastAsia="Times New Roman"/>
        </w:rPr>
        <w:t>.</w:t>
      </w:r>
      <w:r w:rsidR="00586C4D" w:rsidRPr="008910EE">
        <w:rPr>
          <w:rFonts w:eastAsia="Times New Roman"/>
        </w:rPr>
        <w:t>1</w:t>
      </w:r>
      <w:r w:rsidR="000D1319" w:rsidRPr="008910EE">
        <w:rPr>
          <w:rFonts w:eastAsia="Times New Roman"/>
        </w:rPr>
        <w:t xml:space="preserve"> million </w:t>
      </w:r>
      <w:r w:rsidR="00652BD6" w:rsidRPr="008910EE">
        <w:rPr>
          <w:rFonts w:eastAsia="Times New Roman"/>
        </w:rPr>
        <w:t>in the</w:t>
      </w:r>
      <w:r w:rsidR="000D1319" w:rsidRPr="008910EE">
        <w:rPr>
          <w:rFonts w:eastAsia="Times New Roman"/>
        </w:rPr>
        <w:t xml:space="preserve"> CALD</w:t>
      </w:r>
      <w:r w:rsidR="00586C4D" w:rsidRPr="008910EE">
        <w:rPr>
          <w:rFonts w:eastAsia="Times New Roman"/>
        </w:rPr>
        <w:t xml:space="preserve"> Communities Taskforce</w:t>
      </w:r>
      <w:r w:rsidR="00252236" w:rsidRPr="008910EE">
        <w:rPr>
          <w:rFonts w:eastAsia="Times New Roman"/>
        </w:rPr>
        <w:t>, which includes $5 million for accessible communications during the coronavirus (COVID-19) pandemic,</w:t>
      </w:r>
      <w:r w:rsidR="000D1319" w:rsidRPr="008910EE">
        <w:rPr>
          <w:rFonts w:eastAsia="Times New Roman"/>
        </w:rPr>
        <w:t xml:space="preserve"> </w:t>
      </w:r>
      <w:r w:rsidR="008C088F" w:rsidRPr="008910EE">
        <w:rPr>
          <w:rFonts w:eastAsia="Times New Roman"/>
        </w:rPr>
        <w:t>through</w:t>
      </w:r>
      <w:r w:rsidR="000D1319" w:rsidRPr="008910EE">
        <w:rPr>
          <w:rFonts w:eastAsia="Times New Roman"/>
        </w:rPr>
        <w:t xml:space="preserve"> </w:t>
      </w:r>
      <w:r w:rsidR="00652BD6" w:rsidRPr="008910EE">
        <w:rPr>
          <w:rFonts w:eastAsia="Times New Roman"/>
        </w:rPr>
        <w:t xml:space="preserve">the Victorian State Budget </w:t>
      </w:r>
      <w:r w:rsidR="000D1319" w:rsidRPr="008910EE">
        <w:rPr>
          <w:rFonts w:eastAsia="Times New Roman"/>
        </w:rPr>
        <w:t>2020</w:t>
      </w:r>
      <w:r w:rsidR="00824FDE" w:rsidRPr="008910EE">
        <w:rPr>
          <w:rFonts w:eastAsia="Times New Roman"/>
        </w:rPr>
        <w:t>–</w:t>
      </w:r>
      <w:r w:rsidR="000D1319" w:rsidRPr="008910EE">
        <w:rPr>
          <w:rFonts w:eastAsia="Times New Roman"/>
        </w:rPr>
        <w:t>21</w:t>
      </w:r>
      <w:r w:rsidR="00135BE5" w:rsidRPr="008910EE">
        <w:rPr>
          <w:rFonts w:eastAsia="Times New Roman"/>
        </w:rPr>
        <w:t>.</w:t>
      </w:r>
      <w:r w:rsidR="00B0285A" w:rsidRPr="008910EE">
        <w:rPr>
          <w:rStyle w:val="EndnoteReference"/>
          <w:rFonts w:eastAsia="Times New Roman"/>
        </w:rPr>
        <w:endnoteReference w:id="63"/>
      </w:r>
    </w:p>
    <w:p w14:paraId="5D6A766D" w14:textId="22782BF1" w:rsidR="007D6574" w:rsidRPr="008910EE" w:rsidRDefault="000947EC" w:rsidP="00DC2D34">
      <w:pPr>
        <w:pStyle w:val="Body"/>
      </w:pPr>
      <w:r w:rsidRPr="008910EE">
        <w:t xml:space="preserve">The </w:t>
      </w:r>
      <w:r w:rsidR="00DC2D34" w:rsidRPr="008910EE">
        <w:t xml:space="preserve">Victorian Government will continue </w:t>
      </w:r>
      <w:r w:rsidR="0016049E" w:rsidRPr="008910EE">
        <w:t>coronavirus (</w:t>
      </w:r>
      <w:r w:rsidR="00DC2D34" w:rsidRPr="008910EE">
        <w:t>COVID-19</w:t>
      </w:r>
      <w:r w:rsidR="0016049E" w:rsidRPr="008910EE">
        <w:t>)</w:t>
      </w:r>
      <w:r w:rsidR="00DC2D34" w:rsidRPr="008910EE">
        <w:t xml:space="preserve"> prevention, preparedness</w:t>
      </w:r>
      <w:r w:rsidR="00AE2350" w:rsidRPr="008910EE">
        <w:t>, response</w:t>
      </w:r>
      <w:r w:rsidR="00DC2D34" w:rsidRPr="008910EE">
        <w:t xml:space="preserve"> and recovery efforts</w:t>
      </w:r>
      <w:r w:rsidR="007D6574" w:rsidRPr="008910EE">
        <w:t xml:space="preserve">. We will </w:t>
      </w:r>
      <w:r w:rsidR="00DC2D34" w:rsidRPr="008910EE">
        <w:t>respon</w:t>
      </w:r>
      <w:r w:rsidR="007D6574" w:rsidRPr="008910EE">
        <w:t>d</w:t>
      </w:r>
      <w:r w:rsidR="00DC2D34" w:rsidRPr="008910EE">
        <w:t xml:space="preserve"> to any outbreaks in high-risk accommodation including</w:t>
      </w:r>
      <w:r w:rsidR="007D6574" w:rsidRPr="008910EE">
        <w:t>:</w:t>
      </w:r>
      <w:r w:rsidR="00DC2D34" w:rsidRPr="008910EE">
        <w:t xml:space="preserve"> </w:t>
      </w:r>
    </w:p>
    <w:p w14:paraId="7DDDE8E7" w14:textId="4347849B" w:rsidR="007D6574" w:rsidRPr="008910EE" w:rsidRDefault="00DC2D34" w:rsidP="00427A85">
      <w:pPr>
        <w:pStyle w:val="Bullet1"/>
      </w:pPr>
      <w:r w:rsidRPr="008910EE">
        <w:t>disability residential settings</w:t>
      </w:r>
      <w:r w:rsidR="00851C01" w:rsidRPr="008910EE">
        <w:t xml:space="preserve"> in collaboration with the Commonwealth</w:t>
      </w:r>
    </w:p>
    <w:p w14:paraId="0B6FB22C" w14:textId="5D8D473B" w:rsidR="007D6574" w:rsidRPr="008910EE" w:rsidRDefault="00DC2D34" w:rsidP="00427A85">
      <w:pPr>
        <w:pStyle w:val="Bullet1"/>
      </w:pPr>
      <w:r w:rsidRPr="008910EE">
        <w:t>high</w:t>
      </w:r>
      <w:r w:rsidR="00DC04FB" w:rsidRPr="008910EE">
        <w:t>-</w:t>
      </w:r>
      <w:r w:rsidRPr="008910EE">
        <w:t xml:space="preserve"> and low-rise public housing</w:t>
      </w:r>
    </w:p>
    <w:p w14:paraId="6201D03D" w14:textId="4AAA89A7" w:rsidR="00DC2D34" w:rsidRPr="008910EE" w:rsidRDefault="00DC2D34" w:rsidP="00427A85">
      <w:pPr>
        <w:pStyle w:val="Bullet1"/>
      </w:pPr>
      <w:r w:rsidRPr="008910EE">
        <w:t>some community housing.</w:t>
      </w:r>
    </w:p>
    <w:p w14:paraId="6C8BF746" w14:textId="45308155" w:rsidR="00C34BBB" w:rsidRPr="008910EE" w:rsidRDefault="00DC2D34" w:rsidP="00C34BBB">
      <w:pPr>
        <w:pStyle w:val="Bodyafterbullets"/>
      </w:pPr>
      <w:r w:rsidRPr="008910EE">
        <w:t xml:space="preserve">The response works to ensure </w:t>
      </w:r>
      <w:r w:rsidR="007D6574" w:rsidRPr="008910EE">
        <w:t>the right</w:t>
      </w:r>
      <w:r w:rsidRPr="008910EE">
        <w:t xml:space="preserve"> public health measures are in place to protect the safety and wellbeing of residents</w:t>
      </w:r>
      <w:r w:rsidR="007D6574" w:rsidRPr="008910EE">
        <w:t>. It ensures</w:t>
      </w:r>
      <w:r w:rsidRPr="008910EE">
        <w:t xml:space="preserve"> adequate, culturally appropriate and accessible services</w:t>
      </w:r>
      <w:r w:rsidR="00DC04FB" w:rsidRPr="008910EE">
        <w:t xml:space="preserve"> are available to residents and proprietors.</w:t>
      </w:r>
      <w:r w:rsidRPr="008910EE">
        <w:t xml:space="preserve"> </w:t>
      </w:r>
      <w:r w:rsidR="00DC04FB" w:rsidRPr="008910EE">
        <w:t xml:space="preserve">This </w:t>
      </w:r>
      <w:r w:rsidRPr="008910EE">
        <w:t>includ</w:t>
      </w:r>
      <w:r w:rsidR="00DC04FB" w:rsidRPr="008910EE">
        <w:t>es</w:t>
      </w:r>
      <w:r w:rsidRPr="008910EE">
        <w:t xml:space="preserve"> health and social services, food and essential supplies and community engagement strategies.</w:t>
      </w:r>
      <w:r w:rsidR="00C34BBB" w:rsidRPr="008910EE">
        <w:t xml:space="preserve"> We also offer:</w:t>
      </w:r>
      <w:r w:rsidRPr="008910EE">
        <w:t xml:space="preserve"> </w:t>
      </w:r>
    </w:p>
    <w:p w14:paraId="6BE5F58C" w14:textId="0668A6E0" w:rsidR="00C34BBB" w:rsidRPr="008910EE" w:rsidRDefault="00DC2D34" w:rsidP="00427A85">
      <w:pPr>
        <w:pStyle w:val="Bullet1"/>
      </w:pPr>
      <w:r w:rsidRPr="008910EE">
        <w:t xml:space="preserve">mobile </w:t>
      </w:r>
      <w:r w:rsidR="00BD1F75" w:rsidRPr="008910EE">
        <w:t>corona</w:t>
      </w:r>
      <w:r w:rsidR="00C34BBB" w:rsidRPr="008910EE">
        <w:t>virus</w:t>
      </w:r>
      <w:r w:rsidR="00BD1F75" w:rsidRPr="008910EE">
        <w:t xml:space="preserve"> (COVID-19)</w:t>
      </w:r>
      <w:r w:rsidR="00C34BBB" w:rsidRPr="008910EE">
        <w:t xml:space="preserve"> </w:t>
      </w:r>
      <w:r w:rsidRPr="008910EE">
        <w:t>testing to residents of high-rise towers</w:t>
      </w:r>
    </w:p>
    <w:p w14:paraId="616CF0DA" w14:textId="1DE04B3B" w:rsidR="00C34BBB" w:rsidRPr="008910EE" w:rsidRDefault="00DC04FB" w:rsidP="00427A85">
      <w:pPr>
        <w:pStyle w:val="Bullet1"/>
      </w:pPr>
      <w:r w:rsidRPr="008910EE">
        <w:t>p</w:t>
      </w:r>
      <w:r w:rsidR="00DC2D34" w:rsidRPr="008910EE">
        <w:t xml:space="preserve">ersonal </w:t>
      </w:r>
      <w:r w:rsidRPr="008910EE">
        <w:t>p</w:t>
      </w:r>
      <w:r w:rsidR="00DC2D34" w:rsidRPr="008910EE">
        <w:t xml:space="preserve">rotective </w:t>
      </w:r>
      <w:r w:rsidRPr="008910EE">
        <w:t>e</w:t>
      </w:r>
      <w:r w:rsidR="00DC2D34" w:rsidRPr="008910EE">
        <w:t>quipment advice via health concierges</w:t>
      </w:r>
    </w:p>
    <w:p w14:paraId="312BC704" w14:textId="7FEA7A90" w:rsidR="00DC2D34" w:rsidRPr="008910EE" w:rsidRDefault="00DC2D34" w:rsidP="00427A85">
      <w:pPr>
        <w:pStyle w:val="Bullet1"/>
      </w:pPr>
      <w:r w:rsidRPr="008910EE">
        <w:t xml:space="preserve">enhanced cleaning regimes for public housing. </w:t>
      </w:r>
    </w:p>
    <w:p w14:paraId="06552A8C" w14:textId="366B5AF7" w:rsidR="00DC04FB" w:rsidRPr="008910EE" w:rsidRDefault="00DC2D34" w:rsidP="00427A85">
      <w:pPr>
        <w:pStyle w:val="Bodyafterbullets"/>
      </w:pPr>
      <w:r w:rsidRPr="008910EE">
        <w:t>The response is supporting almost 30,000 facilities and dwellings including</w:t>
      </w:r>
      <w:r w:rsidR="00DC04FB" w:rsidRPr="008910EE">
        <w:t>:</w:t>
      </w:r>
      <w:r w:rsidR="00F4497E" w:rsidRPr="008910EE">
        <w:rPr>
          <w:rStyle w:val="EndnoteReference"/>
        </w:rPr>
        <w:endnoteReference w:id="64"/>
      </w:r>
      <w:r w:rsidRPr="008910EE">
        <w:t xml:space="preserve"> </w:t>
      </w:r>
    </w:p>
    <w:p w14:paraId="78F6C360" w14:textId="77777777" w:rsidR="00DC04FB" w:rsidRPr="008910EE" w:rsidRDefault="00DC2D34" w:rsidP="00427A85">
      <w:pPr>
        <w:pStyle w:val="Bullet1"/>
      </w:pPr>
      <w:r w:rsidRPr="008910EE">
        <w:t>57 high-rise public housing towers</w:t>
      </w:r>
    </w:p>
    <w:p w14:paraId="515C4D55" w14:textId="6D9BBA04" w:rsidR="00DC04FB" w:rsidRPr="008910EE" w:rsidRDefault="00BE7661" w:rsidP="00427A85">
      <w:pPr>
        <w:pStyle w:val="Bullet1"/>
      </w:pPr>
      <w:r w:rsidRPr="008910EE">
        <w:t xml:space="preserve">more than </w:t>
      </w:r>
      <w:r w:rsidR="00DC2D34" w:rsidRPr="008910EE">
        <w:t>1,400 other types of public housing</w:t>
      </w:r>
    </w:p>
    <w:p w14:paraId="777EC1E3" w14:textId="0CB12DE3" w:rsidR="00DC2D34" w:rsidRPr="008910EE" w:rsidRDefault="00DC2D34" w:rsidP="00427A85">
      <w:pPr>
        <w:pStyle w:val="Bullet1"/>
      </w:pPr>
      <w:r w:rsidRPr="008910EE">
        <w:t>1</w:t>
      </w:r>
      <w:r w:rsidR="00B36E5B" w:rsidRPr="008910EE">
        <w:t>17</w:t>
      </w:r>
      <w:r w:rsidRPr="008910EE">
        <w:t xml:space="preserve"> </w:t>
      </w:r>
      <w:r w:rsidR="00200427" w:rsidRPr="008910EE">
        <w:t>S</w:t>
      </w:r>
      <w:r w:rsidRPr="008910EE">
        <w:t xml:space="preserve">upported </w:t>
      </w:r>
      <w:r w:rsidR="00200427" w:rsidRPr="008910EE">
        <w:t>R</w:t>
      </w:r>
      <w:r w:rsidRPr="008910EE">
        <w:t xml:space="preserve">esidential </w:t>
      </w:r>
      <w:r w:rsidR="00200427" w:rsidRPr="008910EE">
        <w:t>S</w:t>
      </w:r>
      <w:r w:rsidRPr="008910EE">
        <w:t xml:space="preserve">ervices. </w:t>
      </w:r>
    </w:p>
    <w:p w14:paraId="54E10EB6" w14:textId="2939890B" w:rsidR="00DC2D34" w:rsidRPr="008910EE" w:rsidRDefault="00DC2D34" w:rsidP="00427A85">
      <w:pPr>
        <w:pStyle w:val="Bodyafterbullets"/>
      </w:pPr>
      <w:r w:rsidRPr="008910EE">
        <w:t xml:space="preserve">This targeted response also </w:t>
      </w:r>
      <w:r w:rsidR="00C34BBB" w:rsidRPr="008910EE">
        <w:t>encourage</w:t>
      </w:r>
      <w:r w:rsidR="00B56BC1" w:rsidRPr="008910EE">
        <w:t>s</w:t>
      </w:r>
      <w:r w:rsidR="00C34BBB" w:rsidRPr="008910EE">
        <w:t xml:space="preserve"> </w:t>
      </w:r>
      <w:r w:rsidRPr="008910EE">
        <w:t xml:space="preserve">residents </w:t>
      </w:r>
      <w:r w:rsidR="00C34BBB" w:rsidRPr="008910EE">
        <w:t xml:space="preserve">in </w:t>
      </w:r>
      <w:r w:rsidRPr="008910EE">
        <w:t>high-risk accommodation</w:t>
      </w:r>
      <w:r w:rsidR="00C34BBB" w:rsidRPr="008910EE">
        <w:t xml:space="preserve"> to get a </w:t>
      </w:r>
      <w:r w:rsidR="00200427" w:rsidRPr="008910EE">
        <w:t>coronavirus (</w:t>
      </w:r>
      <w:r w:rsidR="00C34BBB" w:rsidRPr="008910EE">
        <w:t>COVID</w:t>
      </w:r>
      <w:r w:rsidR="000422B5" w:rsidRPr="008910EE">
        <w:t>-19)</w:t>
      </w:r>
      <w:r w:rsidR="00C34BBB" w:rsidRPr="008910EE">
        <w:t xml:space="preserve"> vaccine</w:t>
      </w:r>
      <w:r w:rsidR="009A6320" w:rsidRPr="008910EE">
        <w:t>. It</w:t>
      </w:r>
      <w:r w:rsidRPr="008910EE">
        <w:t xml:space="preserve"> better links vulnerable people to broader health and social supports, including social recovery. </w:t>
      </w:r>
    </w:p>
    <w:p w14:paraId="6454E47A" w14:textId="1F4B27B1" w:rsidR="007D6574" w:rsidRPr="008910EE" w:rsidRDefault="007D6574" w:rsidP="00DC2D34">
      <w:pPr>
        <w:pStyle w:val="Body"/>
        <w:rPr>
          <w:rFonts w:cs="Arial"/>
        </w:rPr>
      </w:pPr>
      <w:r w:rsidRPr="008910EE">
        <w:rPr>
          <w:rFonts w:cs="Arial"/>
        </w:rPr>
        <w:t>During recovery from the</w:t>
      </w:r>
      <w:r w:rsidR="0016049E" w:rsidRPr="008910EE">
        <w:t xml:space="preserve"> coronavirus</w:t>
      </w:r>
      <w:r w:rsidRPr="008910EE">
        <w:rPr>
          <w:rFonts w:cs="Arial"/>
        </w:rPr>
        <w:t xml:space="preserve"> </w:t>
      </w:r>
      <w:r w:rsidR="0016049E" w:rsidRPr="008910EE">
        <w:rPr>
          <w:rFonts w:cs="Arial"/>
        </w:rPr>
        <w:t>(</w:t>
      </w:r>
      <w:r w:rsidRPr="008910EE">
        <w:rPr>
          <w:rFonts w:cs="Arial"/>
        </w:rPr>
        <w:t>COVID-19</w:t>
      </w:r>
      <w:r w:rsidR="0016049E" w:rsidRPr="008910EE">
        <w:rPr>
          <w:rFonts w:cs="Arial"/>
        </w:rPr>
        <w:t>)</w:t>
      </w:r>
      <w:r w:rsidRPr="008910EE">
        <w:rPr>
          <w:rFonts w:cs="Arial"/>
        </w:rPr>
        <w:t xml:space="preserve"> pandemic</w:t>
      </w:r>
      <w:r w:rsidRPr="008910EE">
        <w:t xml:space="preserve"> w</w:t>
      </w:r>
      <w:r w:rsidR="00DC2D34" w:rsidRPr="008910EE">
        <w:t xml:space="preserve">e will </w:t>
      </w:r>
      <w:r w:rsidR="00DC2D34" w:rsidRPr="008910EE">
        <w:rPr>
          <w:rFonts w:cs="Arial"/>
        </w:rPr>
        <w:t>coordinate initiatives that promote the economic security and health and wellbeing of</w:t>
      </w:r>
      <w:r w:rsidRPr="008910EE">
        <w:rPr>
          <w:rFonts w:cs="Arial"/>
        </w:rPr>
        <w:t>:</w:t>
      </w:r>
      <w:r w:rsidR="00DC2D34" w:rsidRPr="008910EE">
        <w:rPr>
          <w:rFonts w:cs="Arial"/>
        </w:rPr>
        <w:t xml:space="preserve"> </w:t>
      </w:r>
    </w:p>
    <w:p w14:paraId="19C53617" w14:textId="10F99687" w:rsidR="007D6574" w:rsidRPr="008910EE" w:rsidRDefault="00DC2D34" w:rsidP="00CF41DE">
      <w:pPr>
        <w:pStyle w:val="Bullet1"/>
      </w:pPr>
      <w:r w:rsidRPr="008910EE">
        <w:t>Aboriginal people</w:t>
      </w:r>
    </w:p>
    <w:p w14:paraId="6D12E84F" w14:textId="52106EB1" w:rsidR="007D6574" w:rsidRPr="008910EE" w:rsidRDefault="00DC2D34" w:rsidP="00CF41DE">
      <w:pPr>
        <w:pStyle w:val="Bullet1"/>
      </w:pPr>
      <w:r w:rsidRPr="008910EE">
        <w:t>women</w:t>
      </w:r>
    </w:p>
    <w:p w14:paraId="0577EEF6" w14:textId="730CF120" w:rsidR="007D6574" w:rsidRPr="008910EE" w:rsidRDefault="00DC2D34" w:rsidP="00CF41DE">
      <w:pPr>
        <w:pStyle w:val="Bullet1"/>
      </w:pPr>
      <w:r w:rsidRPr="008910EE">
        <w:t>young people</w:t>
      </w:r>
    </w:p>
    <w:p w14:paraId="39200759" w14:textId="77777777" w:rsidR="007D6574" w:rsidRPr="008910EE" w:rsidRDefault="007D6574" w:rsidP="00CF41DE">
      <w:pPr>
        <w:pStyle w:val="Bullet1"/>
      </w:pPr>
      <w:r w:rsidRPr="008910EE">
        <w:t>v</w:t>
      </w:r>
      <w:r w:rsidR="00DC2D34" w:rsidRPr="008910EE">
        <w:t>eterans</w:t>
      </w:r>
    </w:p>
    <w:p w14:paraId="209445E0" w14:textId="46BED00E" w:rsidR="007D6574" w:rsidRPr="008910EE" w:rsidRDefault="00DC2D34" w:rsidP="00CF41DE">
      <w:pPr>
        <w:pStyle w:val="Bullet1"/>
      </w:pPr>
      <w:r w:rsidRPr="008910EE">
        <w:t>LGBTIQ+ communities</w:t>
      </w:r>
    </w:p>
    <w:p w14:paraId="12F3A583" w14:textId="21408C4B" w:rsidR="007D6574" w:rsidRPr="008910EE" w:rsidRDefault="00DC2D34" w:rsidP="00CF41DE">
      <w:pPr>
        <w:pStyle w:val="Bullet1"/>
      </w:pPr>
      <w:r w:rsidRPr="008910EE">
        <w:t xml:space="preserve">people with disability </w:t>
      </w:r>
    </w:p>
    <w:p w14:paraId="2A77548A" w14:textId="4452DF9B" w:rsidR="00DC2D34" w:rsidRPr="008910EE" w:rsidRDefault="00DC2D34" w:rsidP="00CF41DE">
      <w:pPr>
        <w:pStyle w:val="Bullet1"/>
      </w:pPr>
      <w:r w:rsidRPr="008910EE">
        <w:t xml:space="preserve">multicultural communities. </w:t>
      </w:r>
    </w:p>
    <w:p w14:paraId="3EF30C6C" w14:textId="0A3FE1B9" w:rsidR="00DC2D34" w:rsidRPr="008910EE" w:rsidRDefault="00DC2D34" w:rsidP="00CF41DE">
      <w:pPr>
        <w:pStyle w:val="Bodyafterbullets"/>
      </w:pPr>
      <w:r w:rsidRPr="008910EE">
        <w:t xml:space="preserve">We will also support the community services sector through the </w:t>
      </w:r>
      <w:r w:rsidR="005F0F33" w:rsidRPr="008910EE">
        <w:t xml:space="preserve">rest </w:t>
      </w:r>
      <w:r w:rsidRPr="008910EE">
        <w:t xml:space="preserve">of the </w:t>
      </w:r>
      <w:r w:rsidR="0016049E" w:rsidRPr="008910EE">
        <w:t>coronavirus (</w:t>
      </w:r>
      <w:r w:rsidRPr="008910EE">
        <w:t>COVID-19</w:t>
      </w:r>
      <w:r w:rsidR="0016049E" w:rsidRPr="008910EE">
        <w:t>)</w:t>
      </w:r>
      <w:r w:rsidRPr="008910EE">
        <w:t xml:space="preserve"> health emergency</w:t>
      </w:r>
      <w:r w:rsidR="005F0F33" w:rsidRPr="008910EE">
        <w:t>. We will</w:t>
      </w:r>
      <w:r w:rsidRPr="008910EE">
        <w:t xml:space="preserve"> ensure lessons from this period are well embedded in future responses.</w:t>
      </w:r>
    </w:p>
    <w:p w14:paraId="6FFF6DB9" w14:textId="07850EC6" w:rsidR="005F0F33" w:rsidRPr="008910EE" w:rsidRDefault="00DC2D34" w:rsidP="00FB7941">
      <w:pPr>
        <w:pStyle w:val="Body"/>
      </w:pPr>
      <w:r w:rsidRPr="008910EE">
        <w:rPr>
          <w:rFonts w:cs="Arial"/>
        </w:rPr>
        <w:t>Over the next two years, we will modernise, strengthen and embed the emergency management framework within the department.</w:t>
      </w:r>
      <w:r w:rsidR="00C34BBB" w:rsidRPr="008910EE">
        <w:t xml:space="preserve"> </w:t>
      </w:r>
      <w:r w:rsidRPr="008910EE">
        <w:t>We will work with communities and partners to</w:t>
      </w:r>
      <w:r w:rsidR="005F0F33" w:rsidRPr="008910EE">
        <w:t>:</w:t>
      </w:r>
      <w:r w:rsidRPr="008910EE">
        <w:t xml:space="preserve"> </w:t>
      </w:r>
    </w:p>
    <w:p w14:paraId="6592D14F" w14:textId="104CA096" w:rsidR="005F0F33" w:rsidRPr="008910EE" w:rsidRDefault="00DC2D34" w:rsidP="00FB7941">
      <w:pPr>
        <w:pStyle w:val="Bullet1"/>
      </w:pPr>
      <w:r w:rsidRPr="008910EE">
        <w:t>help prepare for emergencies</w:t>
      </w:r>
    </w:p>
    <w:p w14:paraId="1824C40C" w14:textId="66B9560F" w:rsidR="005F0F33" w:rsidRPr="008910EE" w:rsidRDefault="00DC2D34" w:rsidP="00FB7941">
      <w:pPr>
        <w:pStyle w:val="Bullet1"/>
      </w:pPr>
      <w:r w:rsidRPr="008910EE">
        <w:t>provide relief services during these events</w:t>
      </w:r>
    </w:p>
    <w:p w14:paraId="24700D5F" w14:textId="095B8C5F" w:rsidR="00DC2D34" w:rsidRPr="008910EE" w:rsidRDefault="00DC2D34" w:rsidP="00FB7941">
      <w:pPr>
        <w:pStyle w:val="Bullet1"/>
      </w:pPr>
      <w:r w:rsidRPr="008910EE">
        <w:t>coordinate social recovery in a way that is collaborative and respectful.</w:t>
      </w:r>
    </w:p>
    <w:p w14:paraId="79BDC6CE" w14:textId="5B70E5F6" w:rsidR="00DC2D34" w:rsidRPr="008910EE" w:rsidRDefault="00DC2D34" w:rsidP="00FB7941">
      <w:pPr>
        <w:pStyle w:val="Bodyafterbullets"/>
      </w:pPr>
      <w:r w:rsidRPr="008910EE">
        <w:t xml:space="preserve">This will include using new approaches like the person-centred housing model </w:t>
      </w:r>
      <w:r w:rsidR="007721D6" w:rsidRPr="008910EE">
        <w:t>rolling out</w:t>
      </w:r>
      <w:r w:rsidRPr="008910EE">
        <w:t xml:space="preserve"> in </w:t>
      </w:r>
      <w:r w:rsidR="007721D6" w:rsidRPr="008910EE">
        <w:t xml:space="preserve">the </w:t>
      </w:r>
      <w:r w:rsidRPr="008910EE">
        <w:t>North Melbourne and Flemington public housing estates</w:t>
      </w:r>
      <w:r w:rsidR="005F0F33" w:rsidRPr="008910EE">
        <w:t>.</w:t>
      </w:r>
      <w:r w:rsidRPr="008910EE">
        <w:t xml:space="preserve"> </w:t>
      </w:r>
      <w:r w:rsidR="005F0F33" w:rsidRPr="008910EE">
        <w:t>T</w:t>
      </w:r>
      <w:r w:rsidRPr="008910EE">
        <w:t xml:space="preserve">he </w:t>
      </w:r>
      <w:r w:rsidR="005F0F33" w:rsidRPr="008910EE">
        <w:t>c</w:t>
      </w:r>
      <w:r w:rsidRPr="008910EE">
        <w:t xml:space="preserve">ommunity </w:t>
      </w:r>
      <w:r w:rsidR="005F0F33" w:rsidRPr="008910EE">
        <w:t>a</w:t>
      </w:r>
      <w:r w:rsidRPr="008910EE">
        <w:t xml:space="preserve">ction </w:t>
      </w:r>
      <w:r w:rsidR="005F0F33" w:rsidRPr="008910EE">
        <w:t>p</w:t>
      </w:r>
      <w:r w:rsidRPr="008910EE">
        <w:t xml:space="preserve">lan </w:t>
      </w:r>
      <w:r w:rsidR="007721D6" w:rsidRPr="008910EE">
        <w:t xml:space="preserve">introduced </w:t>
      </w:r>
      <w:r w:rsidRPr="008910EE">
        <w:t>in</w:t>
      </w:r>
      <w:r w:rsidR="007721D6" w:rsidRPr="008910EE">
        <w:t>to</w:t>
      </w:r>
      <w:r w:rsidRPr="008910EE">
        <w:t xml:space="preserve"> </w:t>
      </w:r>
      <w:r w:rsidR="007721D6" w:rsidRPr="008910EE">
        <w:t xml:space="preserve">the </w:t>
      </w:r>
      <w:r w:rsidRPr="008910EE">
        <w:t>North Richmond and South Melbourne public housing estates</w:t>
      </w:r>
      <w:r w:rsidR="005F0F33" w:rsidRPr="008910EE">
        <w:t xml:space="preserve"> is another example</w:t>
      </w:r>
      <w:r w:rsidRPr="008910EE">
        <w:t xml:space="preserve">. These initiatives will improve community safety and security. </w:t>
      </w:r>
    </w:p>
    <w:p w14:paraId="0080D01D" w14:textId="77777777" w:rsidR="00DC2D34" w:rsidRPr="008910EE" w:rsidRDefault="00DC2D34" w:rsidP="00DC2D34">
      <w:pPr>
        <w:pStyle w:val="Body"/>
      </w:pPr>
      <w:r w:rsidRPr="008910EE">
        <w:t>Our work will also include:</w:t>
      </w:r>
    </w:p>
    <w:p w14:paraId="68BCA500" w14:textId="15330236" w:rsidR="00DC2D34" w:rsidRPr="008910EE" w:rsidRDefault="00DC2D34" w:rsidP="00945A25">
      <w:pPr>
        <w:pStyle w:val="Bullet1"/>
      </w:pPr>
      <w:r w:rsidRPr="008910EE">
        <w:t>continu</w:t>
      </w:r>
      <w:r w:rsidR="005F0F33" w:rsidRPr="008910EE">
        <w:t>ing</w:t>
      </w:r>
      <w:r w:rsidRPr="008910EE">
        <w:t xml:space="preserve"> services and supports for temporary visa holders, including asylum seekers and refugees</w:t>
      </w:r>
    </w:p>
    <w:p w14:paraId="2812E13F" w14:textId="00589A81" w:rsidR="00DC2D34" w:rsidRPr="008910EE" w:rsidRDefault="00DC2D34" w:rsidP="00945A25">
      <w:pPr>
        <w:pStyle w:val="Bullet1"/>
      </w:pPr>
      <w:r w:rsidRPr="008910EE">
        <w:t xml:space="preserve">working with the Food Relief Taskforce </w:t>
      </w:r>
      <w:r w:rsidR="008A02F2" w:rsidRPr="008910EE">
        <w:t xml:space="preserve">established by the Victorian Government </w:t>
      </w:r>
      <w:r w:rsidRPr="008910EE">
        <w:t xml:space="preserve">to strengthen Victoria’s community food relief system so those who need </w:t>
      </w:r>
      <w:r w:rsidR="00C34BBB" w:rsidRPr="008910EE">
        <w:t xml:space="preserve">help can </w:t>
      </w:r>
      <w:r w:rsidRPr="008910EE">
        <w:t>get it</w:t>
      </w:r>
    </w:p>
    <w:p w14:paraId="7757F092" w14:textId="2287D8F1" w:rsidR="00DC2D34" w:rsidRPr="008910EE" w:rsidRDefault="00DC2D34" w:rsidP="00945A25">
      <w:pPr>
        <w:pStyle w:val="Bullet1"/>
      </w:pPr>
      <w:r w:rsidRPr="008910EE">
        <w:t xml:space="preserve">providing opportunities for Victorians to reconnect with one another, building on community social infrastructure like </w:t>
      </w:r>
      <w:r w:rsidR="00C34BBB" w:rsidRPr="008910EE">
        <w:t>n</w:t>
      </w:r>
      <w:r w:rsidRPr="008910EE">
        <w:t xml:space="preserve">eighbourhood </w:t>
      </w:r>
      <w:r w:rsidR="00C34BBB" w:rsidRPr="008910EE">
        <w:t>h</w:t>
      </w:r>
      <w:r w:rsidRPr="008910EE">
        <w:t xml:space="preserve">ouses, </w:t>
      </w:r>
      <w:r w:rsidR="00EB7C96" w:rsidRPr="008910EE">
        <w:t>M</w:t>
      </w:r>
      <w:r w:rsidRPr="008910EE">
        <w:t xml:space="preserve">en’s </w:t>
      </w:r>
      <w:r w:rsidR="00EB7C96" w:rsidRPr="008910EE">
        <w:t>S</w:t>
      </w:r>
      <w:r w:rsidRPr="008910EE">
        <w:t>heds and Universities of the Third Age</w:t>
      </w:r>
    </w:p>
    <w:p w14:paraId="03B50435" w14:textId="4CA15413" w:rsidR="00DC2D34" w:rsidRPr="008910EE" w:rsidRDefault="00DC2D34" w:rsidP="00945A25">
      <w:pPr>
        <w:pStyle w:val="Bullet1"/>
      </w:pPr>
      <w:r w:rsidRPr="008910EE">
        <w:t xml:space="preserve">delivering a Victorian </w:t>
      </w:r>
      <w:r w:rsidR="008E4C81" w:rsidRPr="008910EE">
        <w:t>v</w:t>
      </w:r>
      <w:r w:rsidRPr="008910EE">
        <w:t xml:space="preserve">olunteer </w:t>
      </w:r>
      <w:r w:rsidR="008E4C81" w:rsidRPr="008910EE">
        <w:t>s</w:t>
      </w:r>
      <w:r w:rsidRPr="008910EE">
        <w:t xml:space="preserve">trategy to strengthen volunteering in Victoria and </w:t>
      </w:r>
      <w:r w:rsidR="00A934A2" w:rsidRPr="008910EE">
        <w:t>the</w:t>
      </w:r>
      <w:r w:rsidR="00FA4D8F" w:rsidRPr="008910EE">
        <w:t xml:space="preserve"> </w:t>
      </w:r>
      <w:r w:rsidRPr="008910EE">
        <w:t>communities it supports.</w:t>
      </w:r>
    </w:p>
    <w:p w14:paraId="526F1FC6" w14:textId="745EEE5D" w:rsidR="00DC2D34" w:rsidRPr="008910EE" w:rsidRDefault="00DC2D34" w:rsidP="00945A25">
      <w:pPr>
        <w:pStyle w:val="Bodyafterbullets"/>
      </w:pPr>
      <w:r w:rsidRPr="008910EE">
        <w:t>We will also work across government</w:t>
      </w:r>
      <w:r w:rsidR="00C73123" w:rsidRPr="008910EE">
        <w:t xml:space="preserve"> alongside Jobs Victoria</w:t>
      </w:r>
      <w:r w:rsidRPr="008910EE">
        <w:t xml:space="preserve"> to include social procurement and other employment approaches for people in need.</w:t>
      </w:r>
    </w:p>
    <w:p w14:paraId="0C22C374" w14:textId="0B508FC9" w:rsidR="00DC2D34" w:rsidRPr="008910EE" w:rsidRDefault="00DC2D34" w:rsidP="00DC2D34">
      <w:pPr>
        <w:pStyle w:val="Body"/>
      </w:pPr>
      <w:r w:rsidRPr="008910EE">
        <w:t xml:space="preserve">Through </w:t>
      </w:r>
      <w:r w:rsidR="004029CF" w:rsidRPr="008910EE">
        <w:t xml:space="preserve">the </w:t>
      </w:r>
      <w:r w:rsidR="0016049E" w:rsidRPr="008910EE">
        <w:t>coronavirus (</w:t>
      </w:r>
      <w:r w:rsidR="004029CF" w:rsidRPr="008910EE">
        <w:t>COVID-19</w:t>
      </w:r>
      <w:r w:rsidR="0016049E" w:rsidRPr="008910EE">
        <w:t>)</w:t>
      </w:r>
      <w:r w:rsidR="004029CF" w:rsidRPr="008910EE">
        <w:t xml:space="preserve"> pandemic </w:t>
      </w:r>
      <w:r w:rsidRPr="008910EE">
        <w:t>we have seen the positive impact community leaders and organisations</w:t>
      </w:r>
      <w:r w:rsidR="00C34BBB" w:rsidRPr="008910EE">
        <w:t xml:space="preserve"> have made to</w:t>
      </w:r>
      <w:r w:rsidRPr="008910EE">
        <w:t xml:space="preserve"> </w:t>
      </w:r>
      <w:r w:rsidR="00B56BC1" w:rsidRPr="008910EE">
        <w:t>high</w:t>
      </w:r>
      <w:r w:rsidRPr="008910EE">
        <w:t>light the strength and resilience of local communities. This is a testament to the character of Victorians.</w:t>
      </w:r>
    </w:p>
    <w:p w14:paraId="2CB0E86C" w14:textId="56460696" w:rsidR="00DC2D34" w:rsidRPr="008910EE" w:rsidRDefault="00DC2D34" w:rsidP="00DC2D34">
      <w:pPr>
        <w:pStyle w:val="Body"/>
      </w:pPr>
      <w:r w:rsidRPr="008910EE">
        <w:t xml:space="preserve">We have also seen </w:t>
      </w:r>
      <w:r w:rsidR="00C34BBB" w:rsidRPr="008910EE">
        <w:t xml:space="preserve">communities </w:t>
      </w:r>
      <w:r w:rsidRPr="008910EE">
        <w:t>build relationships and trust with the department</w:t>
      </w:r>
      <w:r w:rsidR="008F17CE" w:rsidRPr="008910EE">
        <w:t>.</w:t>
      </w:r>
      <w:r w:rsidRPr="008910EE">
        <w:t xml:space="preserve"> </w:t>
      </w:r>
      <w:r w:rsidR="008F17CE" w:rsidRPr="008910EE">
        <w:t>W</w:t>
      </w:r>
      <w:r w:rsidRPr="008910EE">
        <w:t>e are committed to sustaining these relationships and continuing our collaborative approach</w:t>
      </w:r>
      <w:r w:rsidR="00B630DF" w:rsidRPr="008910EE">
        <w:t>. T</w:t>
      </w:r>
      <w:r w:rsidRPr="008910EE">
        <w:t>his will see benefits and improvements beyond current emergencies such as</w:t>
      </w:r>
      <w:r w:rsidR="00060F48" w:rsidRPr="008910EE">
        <w:t xml:space="preserve"> the</w:t>
      </w:r>
      <w:r w:rsidRPr="008910EE">
        <w:t xml:space="preserve"> </w:t>
      </w:r>
      <w:r w:rsidR="0016049E" w:rsidRPr="008910EE">
        <w:t>coronavirus (</w:t>
      </w:r>
      <w:r w:rsidRPr="008910EE">
        <w:t>COVID-19</w:t>
      </w:r>
      <w:r w:rsidR="0016049E" w:rsidRPr="008910EE">
        <w:t>)</w:t>
      </w:r>
      <w:r w:rsidRPr="008910EE">
        <w:t xml:space="preserve"> </w:t>
      </w:r>
      <w:r w:rsidR="006A735A" w:rsidRPr="008910EE">
        <w:t>pandemic</w:t>
      </w:r>
      <w:r w:rsidR="00060F48" w:rsidRPr="008910EE">
        <w:t>.</w:t>
      </w:r>
      <w:r w:rsidRPr="008910EE">
        <w:t xml:space="preserve"> </w:t>
      </w:r>
    </w:p>
    <w:bookmarkStart w:id="140" w:name="_Toc74069894"/>
    <w:bookmarkStart w:id="141" w:name="_Toc74994284"/>
    <w:bookmarkStart w:id="142" w:name="_Toc75357923"/>
    <w:bookmarkStart w:id="143" w:name="_Toc76046868"/>
    <w:bookmarkStart w:id="144" w:name="_Toc76463238"/>
    <w:bookmarkStart w:id="145" w:name="_Toc77154014"/>
    <w:p w14:paraId="584F8256" w14:textId="5AB99831" w:rsidR="00D45E74" w:rsidRPr="008910EE" w:rsidRDefault="00824FDE" w:rsidP="00D45E74">
      <w:pPr>
        <w:pStyle w:val="Body"/>
      </w:pPr>
      <w:r w:rsidRPr="008910EE">
        <w:fldChar w:fldCharType="begin"/>
      </w:r>
      <w:r w:rsidRPr="008910EE">
        <w:instrText xml:space="preserve"> HYPERLINK "https://www.vic.gov.au/department-families-fairness-and-housing" </w:instrText>
      </w:r>
      <w:r w:rsidRPr="008910EE">
        <w:fldChar w:fldCharType="separate"/>
      </w:r>
      <w:r w:rsidR="00FC1DD7" w:rsidRPr="008910EE">
        <w:rPr>
          <w:rStyle w:val="Hyperlink"/>
        </w:rPr>
        <w:t xml:space="preserve">Visit </w:t>
      </w:r>
      <w:r w:rsidR="00E70E99" w:rsidRPr="008910EE">
        <w:rPr>
          <w:rStyle w:val="Hyperlink"/>
        </w:rPr>
        <w:t>our</w:t>
      </w:r>
      <w:r w:rsidR="00FC1DD7" w:rsidRPr="008910EE">
        <w:rPr>
          <w:rStyle w:val="Hyperlink"/>
        </w:rPr>
        <w:t xml:space="preserve"> website</w:t>
      </w:r>
      <w:r w:rsidRPr="008910EE">
        <w:fldChar w:fldCharType="end"/>
      </w:r>
      <w:r w:rsidR="00FC1DD7" w:rsidRPr="008910EE">
        <w:t xml:space="preserve"> </w:t>
      </w:r>
      <w:r w:rsidRPr="008910EE">
        <w:t xml:space="preserve">&lt;https://www.vic.gov.au/department-families-fairness-and-housing&gt; </w:t>
      </w:r>
      <w:r w:rsidR="00FC1DD7" w:rsidRPr="008910EE">
        <w:t>for more information about these initiatives</w:t>
      </w:r>
      <w:r w:rsidR="007F550A" w:rsidRPr="008910EE">
        <w:t>.</w:t>
      </w:r>
      <w:r w:rsidR="00FC1DD7" w:rsidRPr="008910EE">
        <w:t xml:space="preserve"> </w:t>
      </w:r>
    </w:p>
    <w:p w14:paraId="06E247D5" w14:textId="4315FB65" w:rsidR="0065518D" w:rsidRPr="008910EE" w:rsidRDefault="0065518D" w:rsidP="00582B34">
      <w:pPr>
        <w:pStyle w:val="Heading2"/>
      </w:pPr>
      <w:bookmarkStart w:id="146" w:name="_Toc80708364"/>
      <w:r w:rsidRPr="008910EE">
        <w:t>All Victorians have stable, affordable and appropriate housing</w:t>
      </w:r>
      <w:bookmarkEnd w:id="140"/>
      <w:bookmarkEnd w:id="141"/>
      <w:bookmarkEnd w:id="142"/>
      <w:bookmarkEnd w:id="143"/>
      <w:bookmarkEnd w:id="144"/>
      <w:bookmarkEnd w:id="145"/>
      <w:bookmarkEnd w:id="146"/>
    </w:p>
    <w:p w14:paraId="004BFCEB" w14:textId="08B8B097" w:rsidR="00641425" w:rsidRPr="008910EE" w:rsidRDefault="00990AD9" w:rsidP="00824FDE">
      <w:pPr>
        <w:pStyle w:val="Body"/>
      </w:pPr>
      <w:r w:rsidRPr="008910EE">
        <w:t>We can achieve our outcome goal by</w:t>
      </w:r>
      <w:r w:rsidR="00641425" w:rsidRPr="008910EE">
        <w:t>:</w:t>
      </w:r>
    </w:p>
    <w:p w14:paraId="1A43635A" w14:textId="77777777" w:rsidR="00404069" w:rsidRPr="008910EE" w:rsidRDefault="00404069" w:rsidP="00824FDE">
      <w:pPr>
        <w:pStyle w:val="Bullet1"/>
      </w:pPr>
      <w:r w:rsidRPr="008910EE">
        <w:t>delivering more social housing</w:t>
      </w:r>
    </w:p>
    <w:p w14:paraId="7FBFD792" w14:textId="2ADC1240" w:rsidR="00FF6E80" w:rsidRPr="008910EE" w:rsidRDefault="00DD0450" w:rsidP="00824FDE">
      <w:pPr>
        <w:pStyle w:val="Bullet1"/>
      </w:pPr>
      <w:r w:rsidRPr="008910EE">
        <w:t>having</w:t>
      </w:r>
      <w:r w:rsidR="00FF6E80" w:rsidRPr="008910EE">
        <w:t xml:space="preserve"> person-centred</w:t>
      </w:r>
      <w:r w:rsidR="00A50F2B" w:rsidRPr="008910EE">
        <w:t>, safe</w:t>
      </w:r>
      <w:r w:rsidR="00FF6E80" w:rsidRPr="008910EE">
        <w:t xml:space="preserve"> and sustainable public housing</w:t>
      </w:r>
    </w:p>
    <w:p w14:paraId="30EECE2D" w14:textId="3DD08F0D" w:rsidR="008B3B83" w:rsidRPr="008910EE" w:rsidRDefault="008B3B83" w:rsidP="00824FDE">
      <w:pPr>
        <w:pStyle w:val="Bullet1"/>
      </w:pPr>
      <w:r w:rsidRPr="008910EE">
        <w:t>increasing access to affordable housing for low</w:t>
      </w:r>
      <w:r w:rsidR="0041709E" w:rsidRPr="008910EE">
        <w:t>-</w:t>
      </w:r>
      <w:r w:rsidRPr="008910EE">
        <w:t xml:space="preserve"> and moderate</w:t>
      </w:r>
      <w:r w:rsidR="0041709E" w:rsidRPr="008910EE">
        <w:t>-</w:t>
      </w:r>
      <w:r w:rsidRPr="008910EE">
        <w:t>income Victorians</w:t>
      </w:r>
    </w:p>
    <w:p w14:paraId="015E01D7" w14:textId="25D5D5A1" w:rsidR="006E60D6" w:rsidRPr="008910EE" w:rsidRDefault="00DD0450" w:rsidP="00824FDE">
      <w:pPr>
        <w:pStyle w:val="Bullet1"/>
      </w:pPr>
      <w:r w:rsidRPr="008910EE">
        <w:t xml:space="preserve">providing </w:t>
      </w:r>
      <w:r w:rsidR="00BB71DE" w:rsidRPr="008910EE">
        <w:t>early</w:t>
      </w:r>
      <w:r w:rsidR="0041709E" w:rsidRPr="008910EE">
        <w:t xml:space="preserve"> support to </w:t>
      </w:r>
      <w:r w:rsidR="00BB71DE" w:rsidRPr="008910EE">
        <w:t>sustain tenancies</w:t>
      </w:r>
      <w:r w:rsidR="0041709E" w:rsidRPr="008910EE">
        <w:t xml:space="preserve"> to prevent people falling in</w:t>
      </w:r>
      <w:r w:rsidR="009B4C2D" w:rsidRPr="008910EE">
        <w:t>to</w:t>
      </w:r>
      <w:r w:rsidR="0041709E" w:rsidRPr="008910EE">
        <w:t xml:space="preserve"> homelessness</w:t>
      </w:r>
    </w:p>
    <w:p w14:paraId="14FC6346" w14:textId="1674F542" w:rsidR="00D45653" w:rsidRPr="008910EE" w:rsidRDefault="00D45653" w:rsidP="00824FDE">
      <w:pPr>
        <w:pStyle w:val="Bullet1"/>
      </w:pPr>
      <w:r w:rsidRPr="008910EE">
        <w:t xml:space="preserve">providing accommodation for people with complex needs who need support and treatment to </w:t>
      </w:r>
      <w:r w:rsidR="008F17CE" w:rsidRPr="008910EE">
        <w:t xml:space="preserve">move </w:t>
      </w:r>
      <w:r w:rsidRPr="008910EE">
        <w:t>to</w:t>
      </w:r>
      <w:r w:rsidR="008F17CE" w:rsidRPr="008910EE">
        <w:t>wards</w:t>
      </w:r>
      <w:r w:rsidRPr="008910EE">
        <w:t xml:space="preserve"> living safely in the community</w:t>
      </w:r>
    </w:p>
    <w:p w14:paraId="7F69E7C0" w14:textId="1FF19814" w:rsidR="001918F7" w:rsidRPr="008910EE" w:rsidRDefault="00057A8D" w:rsidP="00824FDE">
      <w:pPr>
        <w:pStyle w:val="Bullet1"/>
      </w:pPr>
      <w:r w:rsidRPr="008910EE">
        <w:t>providing high</w:t>
      </w:r>
      <w:r w:rsidR="008F17CE" w:rsidRPr="008910EE">
        <w:t>-</w:t>
      </w:r>
      <w:r w:rsidRPr="008910EE">
        <w:t xml:space="preserve">quality </w:t>
      </w:r>
      <w:r w:rsidR="009E2FA2" w:rsidRPr="008910EE">
        <w:t xml:space="preserve">and accessible </w:t>
      </w:r>
      <w:r w:rsidRPr="008910EE">
        <w:t>homes</w:t>
      </w:r>
      <w:r w:rsidR="00622497" w:rsidRPr="008910EE">
        <w:t xml:space="preserve"> for people with disability</w:t>
      </w:r>
    </w:p>
    <w:p w14:paraId="607ABC71" w14:textId="1CECA365" w:rsidR="00057A8D" w:rsidRPr="008910EE" w:rsidRDefault="001918F7" w:rsidP="00824FDE">
      <w:pPr>
        <w:pStyle w:val="Bullet1"/>
      </w:pPr>
      <w:r w:rsidRPr="008910EE">
        <w:t>creating communities that are diverse, inclusive, thriving and that offer life opportunities for Victorians.</w:t>
      </w:r>
      <w:r w:rsidR="00057A8D" w:rsidRPr="008910EE">
        <w:t xml:space="preserve"> </w:t>
      </w:r>
    </w:p>
    <w:p w14:paraId="3EB37598" w14:textId="78562BBC" w:rsidR="002A415D" w:rsidRPr="008910EE" w:rsidRDefault="002A415D" w:rsidP="00824FDE">
      <w:pPr>
        <w:pStyle w:val="Bodyafterbullets"/>
      </w:pPr>
      <w:r w:rsidRPr="008910EE">
        <w:t xml:space="preserve">One of the most important foundations for a healthy life is a stable and safe home. </w:t>
      </w:r>
      <w:r w:rsidR="006F4614" w:rsidRPr="008910EE">
        <w:t>But n</w:t>
      </w:r>
      <w:r w:rsidRPr="008910EE">
        <w:t xml:space="preserve">ot everyone has a safe and secure place to </w:t>
      </w:r>
      <w:r w:rsidR="00B56BC1" w:rsidRPr="008910EE">
        <w:t>live</w:t>
      </w:r>
      <w:r w:rsidRPr="008910EE">
        <w:t xml:space="preserve">. Some people face housing stress and instability or are experiencing homelessness. We know that once someone has a safe and secure home, other concerns such as mental illness, trauma, family violence and even finding a job can improve. We also know that homelessness and sleeping rough can </w:t>
      </w:r>
      <w:r w:rsidR="006F4614" w:rsidRPr="008910EE">
        <w:t>worsen</w:t>
      </w:r>
      <w:r w:rsidRPr="008910EE">
        <w:t xml:space="preserve"> mental health problems, trauma and poor health, as well as expose people to violence.</w:t>
      </w:r>
    </w:p>
    <w:p w14:paraId="05B3255C" w14:textId="61C4878B" w:rsidR="002A415D" w:rsidRPr="008910EE" w:rsidRDefault="006F4614" w:rsidP="002A415D">
      <w:pPr>
        <w:pStyle w:val="Body"/>
      </w:pPr>
      <w:r w:rsidRPr="008910EE">
        <w:rPr>
          <w:rFonts w:cs="Arial"/>
        </w:rPr>
        <w:t>In response, the</w:t>
      </w:r>
      <w:r w:rsidR="002A415D" w:rsidRPr="008910EE">
        <w:rPr>
          <w:rFonts w:cs="Arial"/>
        </w:rPr>
        <w:t xml:space="preserve"> Victorian Government has </w:t>
      </w:r>
      <w:r w:rsidRPr="008910EE">
        <w:rPr>
          <w:rFonts w:cs="Arial"/>
        </w:rPr>
        <w:t xml:space="preserve">invested </w:t>
      </w:r>
      <w:r w:rsidR="002A415D" w:rsidRPr="008910EE">
        <w:rPr>
          <w:rFonts w:cs="Arial"/>
        </w:rPr>
        <w:t xml:space="preserve">$5.3 billion in the </w:t>
      </w:r>
      <w:r w:rsidR="002A415D" w:rsidRPr="008910EE">
        <w:rPr>
          <w:rStyle w:val="Emphasis"/>
          <w:rFonts w:cs="Arial"/>
          <w:i w:val="0"/>
          <w:iCs w:val="0"/>
        </w:rPr>
        <w:t>Big Housing Build</w:t>
      </w:r>
      <w:r w:rsidR="00043FC3" w:rsidRPr="008910EE">
        <w:rPr>
          <w:rStyle w:val="Emphasis"/>
          <w:rFonts w:cs="Arial"/>
          <w:i w:val="0"/>
          <w:iCs w:val="0"/>
        </w:rPr>
        <w:t>.</w:t>
      </w:r>
      <w:r w:rsidR="002A415D" w:rsidRPr="008910EE">
        <w:t xml:space="preserve"> This social housing initiative </w:t>
      </w:r>
      <w:r w:rsidR="002A415D" w:rsidRPr="008910EE">
        <w:rPr>
          <w:rStyle w:val="Emphasis"/>
          <w:rFonts w:cs="Arial"/>
          <w:i w:val="0"/>
          <w:iCs w:val="0"/>
        </w:rPr>
        <w:t>will</w:t>
      </w:r>
      <w:r w:rsidR="002A415D" w:rsidRPr="008910EE">
        <w:rPr>
          <w:rStyle w:val="Emphasis"/>
          <w:rFonts w:cs="Arial"/>
        </w:rPr>
        <w:t xml:space="preserve"> </w:t>
      </w:r>
      <w:r w:rsidR="002A415D" w:rsidRPr="008910EE">
        <w:rPr>
          <w:rFonts w:cs="Arial"/>
        </w:rPr>
        <w:t>construct more than 12,000 new homes throughout metro and regional Victoria</w:t>
      </w:r>
      <w:r w:rsidRPr="008910EE">
        <w:rPr>
          <w:rFonts w:cs="Arial"/>
        </w:rPr>
        <w:t>.</w:t>
      </w:r>
      <w:r w:rsidR="002A415D" w:rsidRPr="008910EE">
        <w:rPr>
          <w:rFonts w:cs="Arial"/>
        </w:rPr>
        <w:t xml:space="preserve"> </w:t>
      </w:r>
      <w:r w:rsidRPr="008910EE">
        <w:t xml:space="preserve">The state’s </w:t>
      </w:r>
      <w:r w:rsidR="002A415D" w:rsidRPr="008910EE">
        <w:t xml:space="preserve">social housing supply </w:t>
      </w:r>
      <w:r w:rsidRPr="008910EE">
        <w:t xml:space="preserve">will increase </w:t>
      </w:r>
      <w:r w:rsidR="002A415D" w:rsidRPr="008910EE">
        <w:t>by 10 per cent in four years.</w:t>
      </w:r>
      <w:r w:rsidR="005E339F" w:rsidRPr="008910EE">
        <w:rPr>
          <w:rStyle w:val="EndnoteReference"/>
          <w:rFonts w:cs="Arial"/>
        </w:rPr>
        <w:endnoteReference w:id="65"/>
      </w:r>
      <w:r w:rsidR="005E339F" w:rsidRPr="008910EE">
        <w:t xml:space="preserve"> </w:t>
      </w:r>
      <w:r w:rsidR="002A415D" w:rsidRPr="008910EE">
        <w:t>The Director of Housing</w:t>
      </w:r>
      <w:r w:rsidRPr="008910EE">
        <w:t xml:space="preserve"> is now known as </w:t>
      </w:r>
      <w:r w:rsidR="002A415D" w:rsidRPr="008910EE">
        <w:t>Homes Victoria</w:t>
      </w:r>
      <w:r w:rsidR="00B7711F" w:rsidRPr="008910EE">
        <w:t>, a public non-financial corporation</w:t>
      </w:r>
      <w:r w:rsidRPr="008910EE">
        <w:t xml:space="preserve">. This rebranded entity </w:t>
      </w:r>
      <w:r w:rsidR="002A415D" w:rsidRPr="008910EE">
        <w:rPr>
          <w:rFonts w:cs="Arial"/>
          <w:color w:val="000000"/>
        </w:rPr>
        <w:t>work</w:t>
      </w:r>
      <w:r w:rsidRPr="008910EE">
        <w:rPr>
          <w:rFonts w:cs="Arial"/>
          <w:color w:val="000000"/>
        </w:rPr>
        <w:t>s</w:t>
      </w:r>
      <w:r w:rsidR="002A415D" w:rsidRPr="008910EE">
        <w:rPr>
          <w:rFonts w:cs="Arial"/>
          <w:color w:val="000000"/>
        </w:rPr>
        <w:t xml:space="preserve"> across government, industry and the social housing sector</w:t>
      </w:r>
      <w:r w:rsidR="008F17CE" w:rsidRPr="008910EE">
        <w:rPr>
          <w:rFonts w:cs="Arial"/>
          <w:color w:val="000000"/>
        </w:rPr>
        <w:t>. Homes Victoria</w:t>
      </w:r>
      <w:r w:rsidR="002A415D" w:rsidRPr="008910EE">
        <w:rPr>
          <w:rFonts w:cs="Arial"/>
          <w:color w:val="000000"/>
        </w:rPr>
        <w:t xml:space="preserve"> </w:t>
      </w:r>
      <w:r w:rsidR="008F17CE" w:rsidRPr="008910EE">
        <w:rPr>
          <w:rFonts w:cs="Arial"/>
          <w:color w:val="000000"/>
        </w:rPr>
        <w:t>will</w:t>
      </w:r>
      <w:r w:rsidR="002A415D" w:rsidRPr="008910EE">
        <w:rPr>
          <w:rFonts w:cs="Arial"/>
          <w:color w:val="000000"/>
        </w:rPr>
        <w:t xml:space="preserve"> deliver this </w:t>
      </w:r>
      <w:r w:rsidRPr="008910EE">
        <w:rPr>
          <w:rFonts w:cs="Arial"/>
          <w:color w:val="000000"/>
        </w:rPr>
        <w:t xml:space="preserve">program of </w:t>
      </w:r>
      <w:r w:rsidR="002A415D" w:rsidRPr="008910EE">
        <w:rPr>
          <w:rFonts w:cs="Arial"/>
          <w:color w:val="000000"/>
        </w:rPr>
        <w:t>housing growth and manage existing public housing.</w:t>
      </w:r>
    </w:p>
    <w:p w14:paraId="44ACE56E" w14:textId="36F4DB54" w:rsidR="002A415D" w:rsidRPr="008910EE" w:rsidRDefault="002A415D" w:rsidP="002A415D">
      <w:pPr>
        <w:pStyle w:val="Body"/>
      </w:pPr>
      <w:r w:rsidRPr="008910EE">
        <w:t xml:space="preserve">Homes Victoria is changing </w:t>
      </w:r>
      <w:r w:rsidR="006F4614" w:rsidRPr="008910EE">
        <w:t xml:space="preserve">the </w:t>
      </w:r>
      <w:r w:rsidRPr="008910EE">
        <w:t>housing landscape</w:t>
      </w:r>
      <w:r w:rsidR="006F4614" w:rsidRPr="008910EE">
        <w:t>,</w:t>
      </w:r>
      <w:r w:rsidRPr="008910EE">
        <w:t xml:space="preserve"> providing more affordable housing options for Victorians who need them. This includes ensuring a range of different housing types and models are available in urban and regional areas.</w:t>
      </w:r>
    </w:p>
    <w:p w14:paraId="37EA90D7" w14:textId="57125F57" w:rsidR="002A415D" w:rsidRPr="008910EE" w:rsidRDefault="002A415D" w:rsidP="002A415D">
      <w:pPr>
        <w:pStyle w:val="Body"/>
      </w:pPr>
      <w:r w:rsidRPr="008910EE">
        <w:t xml:space="preserve">We </w:t>
      </w:r>
      <w:r w:rsidR="008F17CE" w:rsidRPr="008910EE">
        <w:t>aim</w:t>
      </w:r>
      <w:r w:rsidRPr="008910EE">
        <w:t xml:space="preserve"> to address the gap between private rental rates and community housing rates so people can afford a private rental or local housing close to where they work. Nurses, teachers and other critical workers may work in suburbs they </w:t>
      </w:r>
      <w:r w:rsidR="006F4614" w:rsidRPr="008910EE">
        <w:t>cannot afford to live in</w:t>
      </w:r>
      <w:r w:rsidR="008F17CE" w:rsidRPr="008910EE">
        <w:t>. This</w:t>
      </w:r>
      <w:r w:rsidRPr="008910EE">
        <w:t xml:space="preserve"> forc</w:t>
      </w:r>
      <w:r w:rsidR="008F17CE" w:rsidRPr="008910EE">
        <w:t>es</w:t>
      </w:r>
      <w:r w:rsidRPr="008910EE">
        <w:t xml:space="preserve"> them to travel hours to get to work and </w:t>
      </w:r>
      <w:r w:rsidR="008F17CE" w:rsidRPr="008910EE">
        <w:t>adds</w:t>
      </w:r>
      <w:r w:rsidRPr="008910EE">
        <w:t xml:space="preserve"> to labour shortages in those areas.</w:t>
      </w:r>
    </w:p>
    <w:p w14:paraId="3CC366D1" w14:textId="4A96458D" w:rsidR="002A415D" w:rsidRPr="008910EE" w:rsidRDefault="002A415D" w:rsidP="002A415D">
      <w:pPr>
        <w:pStyle w:val="Body"/>
      </w:pPr>
      <w:r w:rsidRPr="008910EE">
        <w:t xml:space="preserve">Homes Victoria will build 2,900 </w:t>
      </w:r>
      <w:r w:rsidR="00E841E7" w:rsidRPr="008910EE">
        <w:t xml:space="preserve">more </w:t>
      </w:r>
      <w:r w:rsidRPr="008910EE">
        <w:t>affordable and low-cost homes</w:t>
      </w:r>
      <w:r w:rsidR="00F93E87" w:rsidRPr="008910EE">
        <w:t>.</w:t>
      </w:r>
      <w:r w:rsidR="00F93E87" w:rsidRPr="008910EE">
        <w:rPr>
          <w:rStyle w:val="EndnoteReference"/>
          <w:rFonts w:cs="Arial"/>
        </w:rPr>
        <w:endnoteReference w:id="66"/>
      </w:r>
      <w:r w:rsidR="00F93E87" w:rsidRPr="008910EE">
        <w:t xml:space="preserve"> </w:t>
      </w:r>
      <w:r w:rsidRPr="008910EE">
        <w:t xml:space="preserve">These will help low-to-moderate income earners live closer to where they work and provide options for private rental. All new homes will meet </w:t>
      </w:r>
      <w:r w:rsidR="00E841E7" w:rsidRPr="008910EE">
        <w:t>seven</w:t>
      </w:r>
      <w:r w:rsidRPr="008910EE">
        <w:t>-star energy efficiency standards</w:t>
      </w:r>
      <w:r w:rsidR="006F4614" w:rsidRPr="008910EE">
        <w:t>. They</w:t>
      </w:r>
      <w:r w:rsidRPr="008910EE">
        <w:t xml:space="preserve"> will include a mix of </w:t>
      </w:r>
      <w:r w:rsidR="00E841E7" w:rsidRPr="008910EE">
        <w:t>one-</w:t>
      </w:r>
      <w:r w:rsidRPr="008910EE">
        <w:t xml:space="preserve">, </w:t>
      </w:r>
      <w:r w:rsidR="00E841E7" w:rsidRPr="008910EE">
        <w:t>two-</w:t>
      </w:r>
      <w:r w:rsidRPr="008910EE">
        <w:t xml:space="preserve"> and </w:t>
      </w:r>
      <w:r w:rsidR="00E841E7" w:rsidRPr="008910EE">
        <w:t>three-</w:t>
      </w:r>
      <w:r w:rsidRPr="008910EE">
        <w:t>bedroom</w:t>
      </w:r>
      <w:r w:rsidR="00E841E7" w:rsidRPr="008910EE">
        <w:t xml:space="preserve"> home</w:t>
      </w:r>
      <w:r w:rsidRPr="008910EE">
        <w:t>s, responding to changing household sizes in Victoria.</w:t>
      </w:r>
    </w:p>
    <w:p w14:paraId="2F4C2A2E" w14:textId="4C191849" w:rsidR="002A415D" w:rsidRPr="008910EE" w:rsidRDefault="002A415D" w:rsidP="002A415D">
      <w:pPr>
        <w:pStyle w:val="Body"/>
      </w:pPr>
      <w:r w:rsidRPr="008910EE">
        <w:t xml:space="preserve">Aboriginal people have higher rates of homelessness in Victoria than anywhere in Australia. To </w:t>
      </w:r>
      <w:r w:rsidR="00CD5938" w:rsidRPr="008910EE">
        <w:t>address</w:t>
      </w:r>
      <w:r w:rsidRPr="008910EE">
        <w:t xml:space="preserve"> this, the Aboriginal Housing and Homelessness Framework </w:t>
      </w:r>
      <w:r w:rsidR="00E841E7" w:rsidRPr="008910EE">
        <w:t>–</w:t>
      </w:r>
      <w:r w:rsidRPr="008910EE">
        <w:t xml:space="preserve"> </w:t>
      </w:r>
      <w:r w:rsidRPr="008910EE">
        <w:rPr>
          <w:i/>
          <w:iCs/>
        </w:rPr>
        <w:t xml:space="preserve">Mana-na woorn-tyeen maar-takoort </w:t>
      </w:r>
      <w:r w:rsidRPr="008910EE">
        <w:t xml:space="preserve">(Every Aboriginal person has a home) – will put in place the building blocks of a new approach to achieve safe and secure housing for </w:t>
      </w:r>
      <w:r w:rsidR="00F4388F" w:rsidRPr="008910EE">
        <w:t xml:space="preserve">Aboriginal </w:t>
      </w:r>
      <w:r w:rsidRPr="008910EE">
        <w:t>Victoria</w:t>
      </w:r>
      <w:r w:rsidR="00F4388F" w:rsidRPr="008910EE">
        <w:t>n</w:t>
      </w:r>
      <w:r w:rsidRPr="008910EE">
        <w:t xml:space="preserve">s. </w:t>
      </w:r>
    </w:p>
    <w:p w14:paraId="17FB00C7" w14:textId="5177D619" w:rsidR="002A415D" w:rsidRPr="008910EE" w:rsidRDefault="008F17CE" w:rsidP="002A415D">
      <w:pPr>
        <w:pStyle w:val="Body"/>
      </w:pPr>
      <w:r w:rsidRPr="008910EE">
        <w:t xml:space="preserve">We will target 10 </w:t>
      </w:r>
      <w:r w:rsidR="002A415D" w:rsidRPr="008910EE">
        <w:t>per cent of Victoria’s social housing boost to meet the needs of Aboriginal Victorians</w:t>
      </w:r>
      <w:r w:rsidRPr="008910EE">
        <w:t>.</w:t>
      </w:r>
      <w:r w:rsidR="002A415D" w:rsidRPr="008910EE">
        <w:t xml:space="preserve"> </w:t>
      </w:r>
      <w:r w:rsidRPr="008910EE">
        <w:t xml:space="preserve">Around </w:t>
      </w:r>
      <w:r w:rsidR="002A415D" w:rsidRPr="008910EE">
        <w:t>2,000 new homes will be available for people living with mental illness.</w:t>
      </w:r>
      <w:r w:rsidR="00DF23AF" w:rsidRPr="008910EE">
        <w:rPr>
          <w:rStyle w:val="EndnoteReference"/>
          <w:rFonts w:cs="Arial"/>
        </w:rPr>
        <w:endnoteReference w:id="67"/>
      </w:r>
      <w:r w:rsidR="00DF23AF" w:rsidRPr="008910EE">
        <w:t xml:space="preserve"> </w:t>
      </w:r>
      <w:r w:rsidR="002A415D" w:rsidRPr="008910EE">
        <w:t>We are also continuing to provide crisis, emergency and other appropriate accommodation options for people experiencing family violence.</w:t>
      </w:r>
    </w:p>
    <w:p w14:paraId="13599282" w14:textId="7A0EA5F1" w:rsidR="002A415D" w:rsidRPr="008910EE" w:rsidRDefault="002A415D" w:rsidP="002A415D">
      <w:pPr>
        <w:pStyle w:val="Body"/>
      </w:pPr>
      <w:r w:rsidRPr="008910EE">
        <w:t xml:space="preserve">Homes Victoria is leading a large-scale program to </w:t>
      </w:r>
      <w:r w:rsidR="00673478" w:rsidRPr="008910EE">
        <w:t>renew</w:t>
      </w:r>
      <w:r w:rsidR="000771E8" w:rsidRPr="008910EE">
        <w:t>,</w:t>
      </w:r>
      <w:r w:rsidR="00673478" w:rsidRPr="008910EE">
        <w:t xml:space="preserve"> </w:t>
      </w:r>
      <w:r w:rsidRPr="008910EE">
        <w:t>rebuild and upgrade homes to become safer</w:t>
      </w:r>
      <w:r w:rsidR="00823053" w:rsidRPr="008910EE">
        <w:t>,</w:t>
      </w:r>
      <w:r w:rsidRPr="008910EE">
        <w:t xml:space="preserve"> more liveable</w:t>
      </w:r>
      <w:r w:rsidR="00823053" w:rsidRPr="008910EE">
        <w:t xml:space="preserve"> and more accessible</w:t>
      </w:r>
      <w:r w:rsidRPr="008910EE">
        <w:t xml:space="preserve">. </w:t>
      </w:r>
    </w:p>
    <w:p w14:paraId="6E565240" w14:textId="29E8037B" w:rsidR="002A415D" w:rsidRPr="008910EE" w:rsidRDefault="002C3F04" w:rsidP="002A415D">
      <w:pPr>
        <w:pStyle w:val="Body"/>
        <w:rPr>
          <w:szCs w:val="21"/>
        </w:rPr>
      </w:pPr>
      <w:r w:rsidRPr="008910EE">
        <w:t>A</w:t>
      </w:r>
      <w:r w:rsidR="002A415D" w:rsidRPr="008910EE">
        <w:t xml:space="preserve">ll the new homes built as part of the Big Housing Build will </w:t>
      </w:r>
      <w:r w:rsidR="00CF7641" w:rsidRPr="008910EE">
        <w:t xml:space="preserve">aim </w:t>
      </w:r>
      <w:r w:rsidR="002A415D" w:rsidRPr="008910EE">
        <w:t xml:space="preserve">for a minimum </w:t>
      </w:r>
      <w:r w:rsidRPr="008910EE">
        <w:t>s</w:t>
      </w:r>
      <w:r w:rsidR="002A415D" w:rsidRPr="008910EE">
        <w:t>ilver rating from Liveable Homes Australia</w:t>
      </w:r>
      <w:r w:rsidR="008F17CE" w:rsidRPr="008910EE">
        <w:t>.</w:t>
      </w:r>
      <w:r w:rsidR="002A415D" w:rsidRPr="008910EE">
        <w:t xml:space="preserve"> </w:t>
      </w:r>
      <w:r w:rsidR="008F17CE" w:rsidRPr="008910EE">
        <w:t xml:space="preserve">This will ensure Victoria’s social housing portfolio </w:t>
      </w:r>
      <w:r w:rsidR="0042246B" w:rsidRPr="008910EE">
        <w:t xml:space="preserve">provides high-quality homes that </w:t>
      </w:r>
      <w:r w:rsidR="008F17CE" w:rsidRPr="008910EE">
        <w:t xml:space="preserve">meet the needs of people with disability. </w:t>
      </w:r>
      <w:r w:rsidR="002A415D" w:rsidRPr="008910EE">
        <w:t xml:space="preserve">Investment in forensic disability residential services will allow people with cognitive impairment </w:t>
      </w:r>
      <w:r w:rsidR="00CF7641" w:rsidRPr="008910EE">
        <w:t xml:space="preserve">in </w:t>
      </w:r>
      <w:r w:rsidR="002A415D" w:rsidRPr="008910EE">
        <w:t>the criminal justice system get the support they need.</w:t>
      </w:r>
    </w:p>
    <w:p w14:paraId="7A4F09E3" w14:textId="4E04709A" w:rsidR="008F17CE" w:rsidRPr="008910EE" w:rsidRDefault="002A415D" w:rsidP="002A415D">
      <w:pPr>
        <w:pStyle w:val="Body"/>
        <w:rPr>
          <w:rFonts w:cs="Arial"/>
        </w:rPr>
      </w:pPr>
      <w:r w:rsidRPr="008910EE">
        <w:rPr>
          <w:rFonts w:cs="Arial"/>
        </w:rPr>
        <w:t xml:space="preserve">Social housing investment is also </w:t>
      </w:r>
      <w:r w:rsidR="00CF7641" w:rsidRPr="008910EE">
        <w:rPr>
          <w:rFonts w:cs="Arial"/>
        </w:rPr>
        <w:t xml:space="preserve">a means </w:t>
      </w:r>
      <w:r w:rsidRPr="008910EE">
        <w:rPr>
          <w:rFonts w:cs="Arial"/>
        </w:rPr>
        <w:t>to create job and business opportunities our communities.</w:t>
      </w:r>
      <w:r w:rsidR="00326081" w:rsidRPr="008910EE">
        <w:rPr>
          <w:rFonts w:cs="Arial"/>
        </w:rPr>
        <w:t xml:space="preserve"> </w:t>
      </w:r>
      <w:r w:rsidR="00F4388F" w:rsidRPr="008910EE">
        <w:rPr>
          <w:rFonts w:cs="Arial"/>
        </w:rPr>
        <w:t xml:space="preserve">Using our </w:t>
      </w:r>
      <w:r w:rsidR="00326081" w:rsidRPr="008910EE">
        <w:rPr>
          <w:rFonts w:cs="Arial"/>
        </w:rPr>
        <w:t>buying</w:t>
      </w:r>
      <w:r w:rsidR="00F4388F" w:rsidRPr="008910EE">
        <w:rPr>
          <w:rFonts w:cs="Arial"/>
        </w:rPr>
        <w:t xml:space="preserve"> power for social good, we have set</w:t>
      </w:r>
      <w:r w:rsidRPr="008910EE">
        <w:rPr>
          <w:rFonts w:cs="Arial"/>
        </w:rPr>
        <w:t xml:space="preserve"> ambitious targets to</w:t>
      </w:r>
      <w:r w:rsidR="00C96C55" w:rsidRPr="008910EE">
        <w:rPr>
          <w:rFonts w:cs="Arial"/>
        </w:rPr>
        <w:t xml:space="preserve"> employ and</w:t>
      </w:r>
      <w:r w:rsidRPr="008910EE">
        <w:rPr>
          <w:rFonts w:cs="Arial"/>
        </w:rPr>
        <w:t xml:space="preserve"> support jobseekers including</w:t>
      </w:r>
      <w:r w:rsidR="008F17CE" w:rsidRPr="008910EE">
        <w:rPr>
          <w:rFonts w:cs="Arial"/>
        </w:rPr>
        <w:t>:</w:t>
      </w:r>
      <w:r w:rsidRPr="008910EE">
        <w:rPr>
          <w:rFonts w:cs="Arial"/>
        </w:rPr>
        <w:t xml:space="preserve"> </w:t>
      </w:r>
    </w:p>
    <w:p w14:paraId="20551580" w14:textId="1B60A6B4" w:rsidR="008F17CE" w:rsidRPr="008910EE" w:rsidRDefault="002A415D" w:rsidP="0094357A">
      <w:pPr>
        <w:pStyle w:val="Bullet1"/>
      </w:pPr>
      <w:r w:rsidRPr="008910EE">
        <w:t>women</w:t>
      </w:r>
    </w:p>
    <w:p w14:paraId="57C78EAF" w14:textId="65E80A4D" w:rsidR="008F17CE" w:rsidRPr="008910EE" w:rsidRDefault="002A415D" w:rsidP="0094357A">
      <w:pPr>
        <w:pStyle w:val="Bullet1"/>
      </w:pPr>
      <w:r w:rsidRPr="008910EE">
        <w:t>Aboriginal Victorians</w:t>
      </w:r>
    </w:p>
    <w:p w14:paraId="758CF7FA" w14:textId="11E00DAF" w:rsidR="008F17CE" w:rsidRPr="008910EE" w:rsidRDefault="007A4A50" w:rsidP="0094357A">
      <w:pPr>
        <w:pStyle w:val="Bullet1"/>
      </w:pPr>
      <w:r w:rsidRPr="008910EE">
        <w:t xml:space="preserve">CALD </w:t>
      </w:r>
      <w:r w:rsidR="002A415D" w:rsidRPr="008910EE">
        <w:t>communities</w:t>
      </w:r>
    </w:p>
    <w:p w14:paraId="1BE86198" w14:textId="64151BB4" w:rsidR="008F17CE" w:rsidRPr="008910EE" w:rsidRDefault="002A415D" w:rsidP="0094357A">
      <w:pPr>
        <w:pStyle w:val="Bullet1"/>
      </w:pPr>
      <w:r w:rsidRPr="008910EE">
        <w:t>LGBTIQ+ people</w:t>
      </w:r>
    </w:p>
    <w:p w14:paraId="178AA78C" w14:textId="77777777" w:rsidR="008F17CE" w:rsidRPr="008910EE" w:rsidRDefault="002A415D" w:rsidP="0094357A">
      <w:pPr>
        <w:pStyle w:val="Bullet1"/>
      </w:pPr>
      <w:r w:rsidRPr="008910EE">
        <w:t xml:space="preserve">public and community housing tenants. </w:t>
      </w:r>
    </w:p>
    <w:p w14:paraId="557B02FE" w14:textId="4334D873" w:rsidR="002A415D" w:rsidRPr="008910EE" w:rsidRDefault="002A415D" w:rsidP="0094357A">
      <w:pPr>
        <w:pStyle w:val="Bodyafterbullets"/>
      </w:pPr>
      <w:r w:rsidRPr="008910EE">
        <w:t>We will work hand</w:t>
      </w:r>
      <w:r w:rsidR="008F17CE" w:rsidRPr="008910EE">
        <w:t xml:space="preserve"> </w:t>
      </w:r>
      <w:r w:rsidRPr="008910EE">
        <w:t>in</w:t>
      </w:r>
      <w:r w:rsidR="008F17CE" w:rsidRPr="008910EE">
        <w:t xml:space="preserve"> </w:t>
      </w:r>
      <w:r w:rsidRPr="008910EE">
        <w:t xml:space="preserve">hand with industry to realise </w:t>
      </w:r>
      <w:r w:rsidR="00F4388F" w:rsidRPr="008910EE">
        <w:t xml:space="preserve">job </w:t>
      </w:r>
      <w:r w:rsidRPr="008910EE">
        <w:t xml:space="preserve">and </w:t>
      </w:r>
      <w:r w:rsidR="00CF7641" w:rsidRPr="008910EE">
        <w:t xml:space="preserve">spending </w:t>
      </w:r>
      <w:r w:rsidRPr="008910EE">
        <w:t>targets</w:t>
      </w:r>
      <w:r w:rsidR="00CF7641" w:rsidRPr="008910EE">
        <w:t>. This will help</w:t>
      </w:r>
      <w:r w:rsidRPr="008910EE">
        <w:t xml:space="preserve"> create a more equal, diverse and inclusive property and construction industry. </w:t>
      </w:r>
    </w:p>
    <w:p w14:paraId="6B2EAC21" w14:textId="5D609089" w:rsidR="00723B84" w:rsidRPr="008910EE" w:rsidRDefault="002A415D" w:rsidP="00723B84">
      <w:pPr>
        <w:pStyle w:val="Body"/>
        <w:rPr>
          <w:rStyle w:val="normaltextrun"/>
        </w:rPr>
      </w:pPr>
      <w:r w:rsidRPr="008910EE">
        <w:t xml:space="preserve">We do not just build housing. We also build communities. We have place-based teams </w:t>
      </w:r>
      <w:r w:rsidRPr="008910EE">
        <w:rPr>
          <w:rStyle w:val="normaltextrun"/>
        </w:rPr>
        <w:t>working in partnership with local residents, other government agencies and service providers to help build more connected communities</w:t>
      </w:r>
      <w:r w:rsidR="00CC213F" w:rsidRPr="008910EE">
        <w:rPr>
          <w:rStyle w:val="normaltextrun"/>
        </w:rPr>
        <w:t xml:space="preserve">. This will </w:t>
      </w:r>
      <w:r w:rsidRPr="008910EE">
        <w:rPr>
          <w:rStyle w:val="normaltextrun"/>
        </w:rPr>
        <w:t>help bring community health and other services together.</w:t>
      </w:r>
    </w:p>
    <w:p w14:paraId="3C363A8D" w14:textId="07E8C0C3" w:rsidR="00552B25" w:rsidRPr="008910EE" w:rsidRDefault="008C4805" w:rsidP="002A415D">
      <w:pPr>
        <w:pStyle w:val="Body"/>
        <w:rPr>
          <w:rStyle w:val="normaltextrun"/>
        </w:rPr>
      </w:pPr>
      <w:hyperlink r:id="rId20" w:history="1">
        <w:r w:rsidR="00A514BE" w:rsidRPr="008910EE">
          <w:rPr>
            <w:rStyle w:val="Hyperlink"/>
            <w:rFonts w:cs="Arial"/>
          </w:rPr>
          <w:t xml:space="preserve">Visit </w:t>
        </w:r>
        <w:r w:rsidR="00552B25" w:rsidRPr="008910EE">
          <w:rPr>
            <w:rStyle w:val="Hyperlink"/>
            <w:rFonts w:cs="Arial"/>
          </w:rPr>
          <w:t xml:space="preserve">Homes </w:t>
        </w:r>
        <w:r w:rsidR="009937D9" w:rsidRPr="008910EE">
          <w:rPr>
            <w:rStyle w:val="Hyperlink"/>
            <w:rFonts w:cs="Arial"/>
          </w:rPr>
          <w:t>Victoria’s</w:t>
        </w:r>
        <w:r w:rsidR="00552B25" w:rsidRPr="008910EE">
          <w:rPr>
            <w:rStyle w:val="Hyperlink"/>
            <w:rFonts w:cs="Arial"/>
          </w:rPr>
          <w:t xml:space="preserve"> </w:t>
        </w:r>
        <w:r w:rsidR="00A514BE" w:rsidRPr="008910EE">
          <w:rPr>
            <w:rStyle w:val="Hyperlink"/>
            <w:rFonts w:cs="Arial"/>
          </w:rPr>
          <w:t>website</w:t>
        </w:r>
      </w:hyperlink>
      <w:r w:rsidR="00A514BE" w:rsidRPr="008910EE">
        <w:rPr>
          <w:rFonts w:cs="Arial"/>
          <w:color w:val="000000"/>
        </w:rPr>
        <w:t xml:space="preserve"> </w:t>
      </w:r>
      <w:r w:rsidR="00824FDE" w:rsidRPr="008910EE">
        <w:rPr>
          <w:rStyle w:val="normaltextrun"/>
        </w:rPr>
        <w:t>&lt;</w:t>
      </w:r>
      <w:r w:rsidR="00824FDE" w:rsidRPr="008910EE">
        <w:t>https://www.vic.gov.au/homes-victoria</w:t>
      </w:r>
      <w:r w:rsidR="00824FDE" w:rsidRPr="008910EE">
        <w:rPr>
          <w:rStyle w:val="normaltextrun"/>
        </w:rPr>
        <w:t xml:space="preserve">&gt; </w:t>
      </w:r>
      <w:r w:rsidR="009937D9" w:rsidRPr="008910EE">
        <w:rPr>
          <w:rFonts w:cs="Arial"/>
          <w:color w:val="000000"/>
        </w:rPr>
        <w:t>for</w:t>
      </w:r>
      <w:r w:rsidR="005A18C5" w:rsidRPr="008910EE">
        <w:rPr>
          <w:rFonts w:cs="Arial"/>
          <w:color w:val="000000"/>
        </w:rPr>
        <w:t xml:space="preserve"> more </w:t>
      </w:r>
      <w:r w:rsidR="009937D9" w:rsidRPr="008910EE">
        <w:rPr>
          <w:rFonts w:cs="Arial"/>
          <w:color w:val="000000"/>
        </w:rPr>
        <w:t xml:space="preserve">information </w:t>
      </w:r>
      <w:r w:rsidR="005A18C5" w:rsidRPr="008910EE">
        <w:rPr>
          <w:rFonts w:cs="Arial"/>
          <w:color w:val="000000"/>
        </w:rPr>
        <w:t>about these initiatives</w:t>
      </w:r>
      <w:r w:rsidR="009937D9" w:rsidRPr="008910EE">
        <w:rPr>
          <w:rFonts w:cs="Arial"/>
          <w:color w:val="000000"/>
        </w:rPr>
        <w:t>, including</w:t>
      </w:r>
      <w:r w:rsidR="00553E55" w:rsidRPr="008910EE">
        <w:rPr>
          <w:rFonts w:cs="Arial"/>
          <w:color w:val="000000"/>
        </w:rPr>
        <w:t xml:space="preserve"> Homes </w:t>
      </w:r>
      <w:r w:rsidR="009937D9" w:rsidRPr="008910EE">
        <w:rPr>
          <w:rFonts w:cs="Arial"/>
          <w:color w:val="000000"/>
        </w:rPr>
        <w:t>Victoria’s</w:t>
      </w:r>
      <w:r w:rsidR="00553E55" w:rsidRPr="008910EE">
        <w:rPr>
          <w:rFonts w:cs="Arial"/>
          <w:color w:val="000000"/>
        </w:rPr>
        <w:t xml:space="preserve"> </w:t>
      </w:r>
      <w:r w:rsidR="00280153" w:rsidRPr="008910EE">
        <w:rPr>
          <w:rFonts w:cs="Arial"/>
          <w:color w:val="000000"/>
        </w:rPr>
        <w:t>c</w:t>
      </w:r>
      <w:r w:rsidR="00552B25" w:rsidRPr="008910EE">
        <w:rPr>
          <w:rFonts w:cs="Arial"/>
          <w:color w:val="000000"/>
        </w:rPr>
        <w:t xml:space="preserve">orporate </w:t>
      </w:r>
      <w:r w:rsidR="00280153" w:rsidRPr="008910EE">
        <w:rPr>
          <w:rFonts w:cs="Arial"/>
          <w:color w:val="000000"/>
        </w:rPr>
        <w:t>p</w:t>
      </w:r>
      <w:r w:rsidR="00552B25" w:rsidRPr="008910EE">
        <w:rPr>
          <w:rFonts w:cs="Arial"/>
          <w:color w:val="000000"/>
        </w:rPr>
        <w:t>lan</w:t>
      </w:r>
      <w:r w:rsidR="00824FDE" w:rsidRPr="008910EE">
        <w:rPr>
          <w:rStyle w:val="normaltextrun"/>
        </w:rPr>
        <w:t xml:space="preserve">. </w:t>
      </w:r>
    </w:p>
    <w:p w14:paraId="46F03F3C" w14:textId="50810390" w:rsidR="00036878" w:rsidRPr="008910EE" w:rsidRDefault="00036878" w:rsidP="00582B34">
      <w:pPr>
        <w:pStyle w:val="Heading2"/>
        <w:rPr>
          <w:sz w:val="24"/>
          <w:szCs w:val="24"/>
        </w:rPr>
      </w:pPr>
      <w:bookmarkStart w:id="147" w:name="_Toc74994285"/>
      <w:bookmarkStart w:id="148" w:name="_Toc72863075"/>
      <w:bookmarkStart w:id="149" w:name="_Toc72920910"/>
      <w:bookmarkStart w:id="150" w:name="_Toc72931645"/>
      <w:bookmarkStart w:id="151" w:name="_Toc74069895"/>
      <w:bookmarkStart w:id="152" w:name="_Toc75357924"/>
      <w:bookmarkStart w:id="153" w:name="_Toc76046869"/>
      <w:bookmarkStart w:id="154" w:name="_Toc76463239"/>
      <w:bookmarkStart w:id="155" w:name="_Toc77154015"/>
      <w:bookmarkStart w:id="156" w:name="_Toc80708365"/>
      <w:r w:rsidRPr="008910EE">
        <w:t>Aboriginal voice, knowledge and cultural leadership</w:t>
      </w:r>
      <w:bookmarkEnd w:id="147"/>
      <w:bookmarkEnd w:id="148"/>
      <w:bookmarkEnd w:id="149"/>
      <w:bookmarkEnd w:id="150"/>
      <w:bookmarkEnd w:id="151"/>
      <w:r w:rsidR="005A2668" w:rsidRPr="008910EE">
        <w:t xml:space="preserve"> drive Aboriginal policy, legislation and system reform</w:t>
      </w:r>
      <w:bookmarkEnd w:id="152"/>
      <w:bookmarkEnd w:id="153"/>
      <w:bookmarkEnd w:id="154"/>
      <w:bookmarkEnd w:id="155"/>
      <w:bookmarkEnd w:id="156"/>
    </w:p>
    <w:p w14:paraId="4FB543B8" w14:textId="59403818" w:rsidR="00270858" w:rsidRPr="008910EE" w:rsidRDefault="00E00294" w:rsidP="00824FDE">
      <w:pPr>
        <w:pStyle w:val="Body"/>
      </w:pPr>
      <w:r w:rsidRPr="008910EE">
        <w:t>Self-determination enables t</w:t>
      </w:r>
      <w:r w:rsidR="00270858" w:rsidRPr="008910EE">
        <w:t>he wellbeing of Aboriginal Victorians</w:t>
      </w:r>
      <w:r w:rsidRPr="008910EE">
        <w:t xml:space="preserve">. This applies </w:t>
      </w:r>
      <w:r w:rsidR="00270858" w:rsidRPr="008910EE">
        <w:t xml:space="preserve">across all aspects of their lives. </w:t>
      </w:r>
      <w:r w:rsidRPr="008910EE">
        <w:t>We will actively address the s</w:t>
      </w:r>
      <w:r w:rsidR="00270858" w:rsidRPr="008910EE">
        <w:t>ystems and structures that inhibit self-determination with the partnership and leadership of the Victorian Aboriginal community.</w:t>
      </w:r>
    </w:p>
    <w:p w14:paraId="0A700E32" w14:textId="45526D4F" w:rsidR="00AA20C3" w:rsidRPr="008910EE" w:rsidRDefault="005B2CEC" w:rsidP="00824FDE">
      <w:pPr>
        <w:pStyle w:val="Body"/>
      </w:pPr>
      <w:r w:rsidRPr="008910EE">
        <w:t>We will empower Aboriginal people and communities by supporting self-determination.</w:t>
      </w:r>
    </w:p>
    <w:p w14:paraId="30C121C4" w14:textId="0FB0F154" w:rsidR="002C2B9F" w:rsidRPr="008910EE" w:rsidRDefault="00554C03" w:rsidP="00C3218A">
      <w:pPr>
        <w:pStyle w:val="Body"/>
      </w:pPr>
      <w:r w:rsidRPr="008910EE">
        <w:t>Self-determination is a cornerstone of everything the department</w:t>
      </w:r>
      <w:r w:rsidR="00F4388F" w:rsidRPr="008910EE">
        <w:t xml:space="preserve"> does</w:t>
      </w:r>
      <w:r w:rsidRPr="008910EE">
        <w:t xml:space="preserve">. We are committed to empowering Aboriginal people </w:t>
      </w:r>
      <w:r w:rsidR="00100817" w:rsidRPr="008910EE">
        <w:t>by elevating</w:t>
      </w:r>
      <w:r w:rsidRPr="008910EE">
        <w:t xml:space="preserve"> the worldview of First </w:t>
      </w:r>
      <w:r w:rsidR="00E05CB9" w:rsidRPr="008910EE">
        <w:t>P</w:t>
      </w:r>
      <w:r w:rsidRPr="008910EE">
        <w:t>eople</w:t>
      </w:r>
      <w:r w:rsidR="00E05CB9" w:rsidRPr="008910EE">
        <w:t>s</w:t>
      </w:r>
      <w:r w:rsidR="00E00294" w:rsidRPr="008910EE">
        <w:t>. We will</w:t>
      </w:r>
      <w:r w:rsidR="1AE6EA1A" w:rsidRPr="008910EE">
        <w:t xml:space="preserve"> embed </w:t>
      </w:r>
      <w:r w:rsidR="7818DB12" w:rsidRPr="008910EE">
        <w:t>cultur</w:t>
      </w:r>
      <w:r w:rsidR="74DE7353" w:rsidRPr="008910EE">
        <w:t>ally safe practices</w:t>
      </w:r>
      <w:r w:rsidR="7818DB12" w:rsidRPr="008910EE">
        <w:t xml:space="preserve"> in </w:t>
      </w:r>
      <w:r w:rsidR="7818DB12" w:rsidRPr="008910EE">
        <w:rPr>
          <w:rFonts w:cstheme="minorBidi"/>
        </w:rPr>
        <w:t xml:space="preserve">the way </w:t>
      </w:r>
      <w:r w:rsidR="21D4FB61" w:rsidRPr="008910EE">
        <w:rPr>
          <w:rFonts w:cstheme="minorBidi"/>
        </w:rPr>
        <w:t xml:space="preserve">we </w:t>
      </w:r>
      <w:r w:rsidR="7818DB12" w:rsidRPr="008910EE">
        <w:rPr>
          <w:rFonts w:cstheme="minorBidi"/>
        </w:rPr>
        <w:t xml:space="preserve">work together </w:t>
      </w:r>
      <w:r w:rsidR="70BC5FA1" w:rsidRPr="008910EE">
        <w:rPr>
          <w:rFonts w:cstheme="minorBidi"/>
        </w:rPr>
        <w:t>with</w:t>
      </w:r>
      <w:r w:rsidR="7818DB12" w:rsidRPr="008910EE">
        <w:rPr>
          <w:rFonts w:cstheme="minorBidi"/>
        </w:rPr>
        <w:t xml:space="preserve"> communities and organisations</w:t>
      </w:r>
      <w:r w:rsidRPr="008910EE">
        <w:t>.</w:t>
      </w:r>
    </w:p>
    <w:p w14:paraId="14BF44A5" w14:textId="0A5064A0" w:rsidR="00FB086E" w:rsidRPr="008910EE" w:rsidRDefault="00FB086E" w:rsidP="00FB086E">
      <w:pPr>
        <w:pStyle w:val="Body"/>
      </w:pPr>
      <w:r w:rsidRPr="008910EE">
        <w:t>This means p</w:t>
      </w:r>
      <w:r w:rsidR="00B176D4" w:rsidRPr="008910EE">
        <w:t xml:space="preserve">roviding a stronger focus on improving </w:t>
      </w:r>
      <w:r w:rsidR="00E30031" w:rsidRPr="008910EE">
        <w:t>the lives</w:t>
      </w:r>
      <w:r w:rsidR="00B176D4" w:rsidRPr="008910EE">
        <w:t xml:space="preserve"> Aboriginal Victorians, in particular people </w:t>
      </w:r>
      <w:r w:rsidR="00E30031" w:rsidRPr="008910EE">
        <w:t xml:space="preserve">going through </w:t>
      </w:r>
      <w:r w:rsidR="5DA9A8E2" w:rsidRPr="008910EE">
        <w:t>challenges</w:t>
      </w:r>
      <w:r w:rsidR="00B176D4" w:rsidRPr="008910EE">
        <w:t>.</w:t>
      </w:r>
    </w:p>
    <w:p w14:paraId="107890DB" w14:textId="7F27AA3F" w:rsidR="00FB086E" w:rsidRPr="008910EE" w:rsidRDefault="00FB086E" w:rsidP="00FB086E">
      <w:pPr>
        <w:pStyle w:val="Body"/>
      </w:pPr>
      <w:r w:rsidRPr="008910EE">
        <w:t xml:space="preserve">We will </w:t>
      </w:r>
      <w:r w:rsidR="00A554B8" w:rsidRPr="008910EE">
        <w:t>apply</w:t>
      </w:r>
      <w:r w:rsidR="00B176D4" w:rsidRPr="008910EE">
        <w:t xml:space="preserve"> innovative local solutions that address </w:t>
      </w:r>
      <w:r w:rsidR="5430E5EC" w:rsidRPr="008910EE">
        <w:t xml:space="preserve">service </w:t>
      </w:r>
      <w:r w:rsidR="00B176D4" w:rsidRPr="008910EE">
        <w:t>design challenges</w:t>
      </w:r>
      <w:r w:rsidR="05C3992F" w:rsidRPr="008910EE">
        <w:t>,</w:t>
      </w:r>
      <w:r w:rsidR="00A350C0" w:rsidRPr="008910EE">
        <w:t xml:space="preserve"> including </w:t>
      </w:r>
      <w:r w:rsidR="00E00294" w:rsidRPr="008910EE">
        <w:t>mak</w:t>
      </w:r>
      <w:r w:rsidR="00A554B8" w:rsidRPr="008910EE">
        <w:t>ing</w:t>
      </w:r>
      <w:r w:rsidR="00E00294" w:rsidRPr="008910EE">
        <w:t xml:space="preserve"> </w:t>
      </w:r>
      <w:r w:rsidR="00A350C0" w:rsidRPr="008910EE">
        <w:t>services culturally safe</w:t>
      </w:r>
      <w:r w:rsidR="00A554B8" w:rsidRPr="008910EE">
        <w:t>r</w:t>
      </w:r>
      <w:r w:rsidR="00B176D4" w:rsidRPr="008910EE">
        <w:t>.</w:t>
      </w:r>
    </w:p>
    <w:p w14:paraId="2B30B930" w14:textId="15FE47AB" w:rsidR="00D6634B" w:rsidRPr="008910EE" w:rsidRDefault="430DD02A" w:rsidP="00D6634B">
      <w:pPr>
        <w:pStyle w:val="Body"/>
      </w:pPr>
      <w:r w:rsidRPr="008910EE">
        <w:t>A major</w:t>
      </w:r>
      <w:r w:rsidR="00D55522" w:rsidRPr="008910EE">
        <w:t xml:space="preserve"> focus will be to deliver the</w:t>
      </w:r>
      <w:r w:rsidR="00D55522" w:rsidRPr="008910EE">
        <w:rPr>
          <w:i/>
          <w:iCs/>
        </w:rPr>
        <w:t xml:space="preserve"> </w:t>
      </w:r>
      <w:r w:rsidR="00C041EE" w:rsidRPr="008910EE">
        <w:rPr>
          <w:i/>
          <w:iCs/>
        </w:rPr>
        <w:t>Korin Balit</w:t>
      </w:r>
      <w:r w:rsidR="00E36DF7" w:rsidRPr="008910EE">
        <w:rPr>
          <w:i/>
          <w:iCs/>
        </w:rPr>
        <w:t>-</w:t>
      </w:r>
      <w:r w:rsidR="00C041EE" w:rsidRPr="008910EE">
        <w:rPr>
          <w:i/>
          <w:iCs/>
        </w:rPr>
        <w:t xml:space="preserve">Djak </w:t>
      </w:r>
      <w:r w:rsidR="00C041EE" w:rsidRPr="008910EE">
        <w:t>system transformation</w:t>
      </w:r>
      <w:r w:rsidR="00D6634B" w:rsidRPr="008910EE">
        <w:t>.</w:t>
      </w:r>
      <w:r w:rsidR="00CB6F7C" w:rsidRPr="008910EE">
        <w:t xml:space="preserve"> </w:t>
      </w:r>
      <w:r w:rsidR="00D6634B" w:rsidRPr="008910EE">
        <w:t>This includes using the three</w:t>
      </w:r>
      <w:r w:rsidR="00E00294" w:rsidRPr="008910EE">
        <w:t xml:space="preserve"> </w:t>
      </w:r>
      <w:r w:rsidR="00D6634B" w:rsidRPr="008910EE">
        <w:t>guiding principles of:</w:t>
      </w:r>
    </w:p>
    <w:p w14:paraId="073D284E" w14:textId="77777777" w:rsidR="00D6634B" w:rsidRPr="008910EE" w:rsidRDefault="00D6634B" w:rsidP="001A7AFB">
      <w:pPr>
        <w:pStyle w:val="Bullet1"/>
      </w:pPr>
      <w:r w:rsidRPr="008910EE">
        <w:t>Aboriginal-led collective action</w:t>
      </w:r>
    </w:p>
    <w:p w14:paraId="503FDED9" w14:textId="706BF4AF" w:rsidR="00D6634B" w:rsidRPr="008910EE" w:rsidRDefault="00D6634B" w:rsidP="001A7AFB">
      <w:pPr>
        <w:pStyle w:val="Bullet1"/>
      </w:pPr>
      <w:r w:rsidRPr="008910EE">
        <w:t xml:space="preserve">Aboriginal </w:t>
      </w:r>
      <w:r w:rsidR="00900C41" w:rsidRPr="008910EE">
        <w:t>self-determination</w:t>
      </w:r>
    </w:p>
    <w:p w14:paraId="3D55129C" w14:textId="12CCF6FB" w:rsidR="00D6634B" w:rsidRPr="008910EE" w:rsidRDefault="002C44ED" w:rsidP="001A7AFB">
      <w:pPr>
        <w:pStyle w:val="Bullet1"/>
      </w:pPr>
      <w:r w:rsidRPr="008910EE">
        <w:t>s</w:t>
      </w:r>
      <w:r w:rsidR="00D6634B" w:rsidRPr="008910EE">
        <w:t>ystemic change.</w:t>
      </w:r>
    </w:p>
    <w:p w14:paraId="3CB0F9F8" w14:textId="2B74F879" w:rsidR="00D727D7" w:rsidRPr="008910EE" w:rsidRDefault="008260F9" w:rsidP="001A7AFB">
      <w:pPr>
        <w:pStyle w:val="Bodyafterbullets"/>
      </w:pPr>
      <w:r w:rsidRPr="008910EE">
        <w:t xml:space="preserve">We will </w:t>
      </w:r>
      <w:r w:rsidR="00E30031" w:rsidRPr="008910EE">
        <w:t xml:space="preserve">help </w:t>
      </w:r>
      <w:r w:rsidR="00A554B8" w:rsidRPr="008910EE">
        <w:t>create</w:t>
      </w:r>
      <w:r w:rsidRPr="008910EE">
        <w:t xml:space="preserve"> </w:t>
      </w:r>
      <w:r w:rsidR="00E30031" w:rsidRPr="008910EE">
        <w:t xml:space="preserve">leadership </w:t>
      </w:r>
      <w:r w:rsidRPr="008910EE">
        <w:t xml:space="preserve">arrangements </w:t>
      </w:r>
      <w:r w:rsidR="0080258D" w:rsidRPr="008910EE">
        <w:t>and treat</w:t>
      </w:r>
      <w:r w:rsidR="00803B5D" w:rsidRPr="008910EE">
        <w:t>y</w:t>
      </w:r>
      <w:r w:rsidR="0080258D" w:rsidRPr="008910EE">
        <w:t xml:space="preserve"> outcomes </w:t>
      </w:r>
      <w:r w:rsidRPr="008910EE">
        <w:t xml:space="preserve">that enable </w:t>
      </w:r>
      <w:r w:rsidR="0ED11CA9" w:rsidRPr="008910EE">
        <w:t>a stronger voice for Aboriginal communities</w:t>
      </w:r>
      <w:r w:rsidR="00E00294" w:rsidRPr="008910EE">
        <w:t xml:space="preserve">. We will </w:t>
      </w:r>
      <w:r w:rsidR="0ED11CA9" w:rsidRPr="008910EE">
        <w:t>support</w:t>
      </w:r>
      <w:r w:rsidRPr="008910EE">
        <w:t xml:space="preserve"> Aboriginal </w:t>
      </w:r>
      <w:r w:rsidR="00E841E7" w:rsidRPr="008910EE">
        <w:t>c</w:t>
      </w:r>
      <w:r w:rsidRPr="008910EE">
        <w:t>ommunity</w:t>
      </w:r>
      <w:r w:rsidR="00E841E7" w:rsidRPr="008910EE">
        <w:t>-c</w:t>
      </w:r>
      <w:r w:rsidRPr="008910EE">
        <w:t xml:space="preserve">ontrolled </w:t>
      </w:r>
      <w:r w:rsidR="00E841E7" w:rsidRPr="008910EE">
        <w:t>o</w:t>
      </w:r>
      <w:r w:rsidRPr="008910EE">
        <w:t>rganisations to influence funding decisions and requirements for service delivery that maximise self-determination.</w:t>
      </w:r>
    </w:p>
    <w:p w14:paraId="1440C6B6" w14:textId="17739748" w:rsidR="008260F9" w:rsidRPr="008910EE" w:rsidRDefault="00D727D7" w:rsidP="00CA29EE">
      <w:pPr>
        <w:pStyle w:val="Body"/>
      </w:pPr>
      <w:r w:rsidRPr="008910EE">
        <w:t>We need a</w:t>
      </w:r>
      <w:r w:rsidR="008260F9" w:rsidRPr="008910EE">
        <w:t xml:space="preserve"> </w:t>
      </w:r>
      <w:r w:rsidR="00A554B8" w:rsidRPr="008910EE">
        <w:t xml:space="preserve">bigger and more </w:t>
      </w:r>
      <w:r w:rsidR="008260F9" w:rsidRPr="008910EE">
        <w:t>skilled Aboriginal workforce in service delivery, management and leadership roles across the Victorian service system.</w:t>
      </w:r>
    </w:p>
    <w:p w14:paraId="1413F336" w14:textId="59CCDD76" w:rsidR="008260F9" w:rsidRPr="008910EE" w:rsidRDefault="00CA29EE" w:rsidP="00CA29EE">
      <w:pPr>
        <w:pStyle w:val="Body"/>
      </w:pPr>
      <w:r w:rsidRPr="008910EE">
        <w:t xml:space="preserve">It is important that an </w:t>
      </w:r>
      <w:r w:rsidR="008260F9" w:rsidRPr="008910EE">
        <w:t>Aboriginal</w:t>
      </w:r>
      <w:r w:rsidR="23B9E18C" w:rsidRPr="008910EE">
        <w:t>-</w:t>
      </w:r>
      <w:r w:rsidR="008260F9" w:rsidRPr="008910EE">
        <w:t xml:space="preserve">led </w:t>
      </w:r>
      <w:r w:rsidR="001C1537" w:rsidRPr="008910EE">
        <w:t>approach</w:t>
      </w:r>
      <w:r w:rsidRPr="008910EE">
        <w:t xml:space="preserve"> to</w:t>
      </w:r>
      <w:r w:rsidR="008260F9" w:rsidRPr="008910EE">
        <w:t xml:space="preserve"> captur</w:t>
      </w:r>
      <w:r w:rsidR="001C1537" w:rsidRPr="008910EE">
        <w:t>ing</w:t>
      </w:r>
      <w:r w:rsidR="00F6143E" w:rsidRPr="008910EE">
        <w:t xml:space="preserve"> and</w:t>
      </w:r>
      <w:r w:rsidR="008260F9" w:rsidRPr="008910EE">
        <w:t xml:space="preserve"> shar</w:t>
      </w:r>
      <w:r w:rsidR="00F6143E" w:rsidRPr="008910EE">
        <w:t>ing</w:t>
      </w:r>
      <w:r w:rsidRPr="008910EE">
        <w:t xml:space="preserve"> </w:t>
      </w:r>
      <w:r w:rsidR="008260F9" w:rsidRPr="008910EE">
        <w:t xml:space="preserve">knowledge, learning, data and evidence </w:t>
      </w:r>
      <w:r w:rsidR="00F6143E" w:rsidRPr="008910EE">
        <w:t>is in place</w:t>
      </w:r>
      <w:r w:rsidR="00E30031" w:rsidRPr="008910EE">
        <w:t>. This</w:t>
      </w:r>
      <w:r w:rsidR="00F6143E" w:rsidRPr="008910EE">
        <w:t xml:space="preserve"> </w:t>
      </w:r>
      <w:r w:rsidR="00E30031" w:rsidRPr="008910EE">
        <w:t xml:space="preserve">will </w:t>
      </w:r>
      <w:r w:rsidR="008260F9" w:rsidRPr="008910EE">
        <w:t xml:space="preserve">drive service investment, innovation and </w:t>
      </w:r>
      <w:r w:rsidR="00A554B8" w:rsidRPr="008910EE">
        <w:t xml:space="preserve">ongoing </w:t>
      </w:r>
      <w:r w:rsidR="008260F9" w:rsidRPr="008910EE">
        <w:t>improvement.</w:t>
      </w:r>
    </w:p>
    <w:p w14:paraId="527AB845" w14:textId="5854CE03" w:rsidR="008260F9" w:rsidRPr="008910EE" w:rsidRDefault="00E00294" w:rsidP="00CA29EE">
      <w:pPr>
        <w:pStyle w:val="Body"/>
      </w:pPr>
      <w:r w:rsidRPr="008910EE">
        <w:t>We will base o</w:t>
      </w:r>
      <w:r w:rsidR="73E8AD7F" w:rsidRPr="008910EE">
        <w:t>ur p</w:t>
      </w:r>
      <w:r w:rsidR="008260F9" w:rsidRPr="008910EE">
        <w:t xml:space="preserve">rogram design, </w:t>
      </w:r>
      <w:r w:rsidR="00C71F62" w:rsidRPr="008910EE">
        <w:t>implementation</w:t>
      </w:r>
      <w:r w:rsidRPr="008910EE">
        <w:t xml:space="preserve"> </w:t>
      </w:r>
      <w:r w:rsidR="008260F9" w:rsidRPr="008910EE">
        <w:t xml:space="preserve">and evaluation on </w:t>
      </w:r>
      <w:r w:rsidR="000438CB" w:rsidRPr="008910EE">
        <w:t xml:space="preserve">the </w:t>
      </w:r>
      <w:r w:rsidR="008260F9" w:rsidRPr="008910EE">
        <w:t>best available Aboriginal evidence approaches and methods</w:t>
      </w:r>
      <w:r w:rsidRPr="008910EE">
        <w:t>.</w:t>
      </w:r>
      <w:r w:rsidR="6C0EF136" w:rsidRPr="008910EE">
        <w:t xml:space="preserve"> </w:t>
      </w:r>
      <w:r w:rsidRPr="008910EE">
        <w:t>W</w:t>
      </w:r>
      <w:r w:rsidR="6C0EF136" w:rsidRPr="008910EE">
        <w:t>e will partner with communities to get this right</w:t>
      </w:r>
      <w:r w:rsidRPr="008910EE">
        <w:t>.</w:t>
      </w:r>
    </w:p>
    <w:p w14:paraId="48714A7B" w14:textId="2BC61D2B" w:rsidR="006C33C3" w:rsidRPr="008910EE" w:rsidRDefault="007A3E49" w:rsidP="00450548">
      <w:pPr>
        <w:pStyle w:val="Body"/>
      </w:pPr>
      <w:r w:rsidRPr="008910EE">
        <w:t>We are</w:t>
      </w:r>
      <w:r w:rsidR="00BB368E" w:rsidRPr="008910EE">
        <w:t xml:space="preserve"> </w:t>
      </w:r>
      <w:r w:rsidR="6E06493D" w:rsidRPr="008910EE">
        <w:t>also</w:t>
      </w:r>
      <w:r w:rsidR="00BB368E" w:rsidRPr="008910EE">
        <w:t xml:space="preserve"> partnering with </w:t>
      </w:r>
      <w:r w:rsidR="00D07F9C" w:rsidRPr="008910EE">
        <w:t xml:space="preserve">the </w:t>
      </w:r>
      <w:r w:rsidR="00BB368E" w:rsidRPr="008910EE">
        <w:t>Aboriginal community</w:t>
      </w:r>
      <w:r w:rsidRPr="008910EE">
        <w:t xml:space="preserve"> </w:t>
      </w:r>
      <w:r w:rsidR="00BC0EB2" w:rsidRPr="008910EE">
        <w:t xml:space="preserve">to </w:t>
      </w:r>
      <w:r w:rsidRPr="008910EE">
        <w:t>delive</w:t>
      </w:r>
      <w:r w:rsidR="00BB368E" w:rsidRPr="008910EE">
        <w:t>r</w:t>
      </w:r>
      <w:r w:rsidRPr="008910EE">
        <w:t xml:space="preserve"> </w:t>
      </w:r>
      <w:r w:rsidRPr="008910EE">
        <w:rPr>
          <w:i/>
          <w:iCs/>
        </w:rPr>
        <w:t>Wungur</w:t>
      </w:r>
      <w:r w:rsidR="0031459C" w:rsidRPr="008910EE">
        <w:rPr>
          <w:i/>
          <w:iCs/>
        </w:rPr>
        <w:t>ilwil Gapgapduir</w:t>
      </w:r>
      <w:r w:rsidR="00643E26" w:rsidRPr="008910EE">
        <w:rPr>
          <w:i/>
          <w:iCs/>
        </w:rPr>
        <w:t xml:space="preserve"> </w:t>
      </w:r>
      <w:r w:rsidR="0092440B" w:rsidRPr="008910EE">
        <w:rPr>
          <w:i/>
          <w:iCs/>
        </w:rPr>
        <w:t xml:space="preserve">Aboriginal </w:t>
      </w:r>
      <w:r w:rsidR="00FB68A3" w:rsidRPr="008910EE">
        <w:rPr>
          <w:i/>
          <w:iCs/>
        </w:rPr>
        <w:t>C</w:t>
      </w:r>
      <w:r w:rsidR="0092440B" w:rsidRPr="008910EE">
        <w:rPr>
          <w:i/>
          <w:iCs/>
        </w:rPr>
        <w:t xml:space="preserve">hildren and </w:t>
      </w:r>
      <w:r w:rsidR="00FB68A3" w:rsidRPr="008910EE">
        <w:rPr>
          <w:i/>
          <w:iCs/>
        </w:rPr>
        <w:t>F</w:t>
      </w:r>
      <w:r w:rsidR="0092440B" w:rsidRPr="008910EE">
        <w:rPr>
          <w:i/>
          <w:iCs/>
        </w:rPr>
        <w:t xml:space="preserve">amilies </w:t>
      </w:r>
      <w:r w:rsidR="00FB68A3" w:rsidRPr="008910EE">
        <w:rPr>
          <w:i/>
          <w:iCs/>
        </w:rPr>
        <w:t>A</w:t>
      </w:r>
      <w:r w:rsidR="0092440B" w:rsidRPr="008910EE">
        <w:rPr>
          <w:i/>
          <w:iCs/>
        </w:rPr>
        <w:t xml:space="preserve">greement </w:t>
      </w:r>
      <w:r w:rsidR="00A90D85" w:rsidRPr="008910EE">
        <w:rPr>
          <w:i/>
          <w:iCs/>
        </w:rPr>
        <w:t>s</w:t>
      </w:r>
      <w:r w:rsidR="0092440B" w:rsidRPr="008910EE">
        <w:rPr>
          <w:i/>
          <w:iCs/>
        </w:rPr>
        <w:t xml:space="preserve">trategic </w:t>
      </w:r>
      <w:r w:rsidR="00A90D85" w:rsidRPr="008910EE">
        <w:rPr>
          <w:i/>
          <w:iCs/>
        </w:rPr>
        <w:t>a</w:t>
      </w:r>
      <w:r w:rsidR="0092440B" w:rsidRPr="008910EE">
        <w:rPr>
          <w:i/>
          <w:iCs/>
        </w:rPr>
        <w:t xml:space="preserve">ction </w:t>
      </w:r>
      <w:r w:rsidR="00A90D85" w:rsidRPr="008910EE">
        <w:rPr>
          <w:i/>
          <w:iCs/>
        </w:rPr>
        <w:t>p</w:t>
      </w:r>
      <w:r w:rsidR="0092440B" w:rsidRPr="008910EE">
        <w:rPr>
          <w:i/>
          <w:iCs/>
        </w:rPr>
        <w:t>lan</w:t>
      </w:r>
      <w:r w:rsidR="00B95BFA" w:rsidRPr="008910EE">
        <w:t xml:space="preserve">. </w:t>
      </w:r>
      <w:r w:rsidR="00E30031" w:rsidRPr="008910EE">
        <w:t>This</w:t>
      </w:r>
      <w:r w:rsidR="00B95BFA" w:rsidRPr="008910EE">
        <w:t xml:space="preserve"> will</w:t>
      </w:r>
      <w:r w:rsidR="00D07F9C" w:rsidRPr="008910EE">
        <w:t xml:space="preserve"> improve outcomes for Aboriginal children and young people, address</w:t>
      </w:r>
      <w:r w:rsidR="00E30031" w:rsidRPr="008910EE">
        <w:t>ing</w:t>
      </w:r>
      <w:r w:rsidR="00D07F9C" w:rsidRPr="008910EE">
        <w:t xml:space="preserve"> the</w:t>
      </w:r>
      <w:r w:rsidR="00DF381B" w:rsidRPr="008910EE">
        <w:t>ir</w:t>
      </w:r>
      <w:r w:rsidR="00D07F9C" w:rsidRPr="008910EE">
        <w:t xml:space="preserve"> over-representation </w:t>
      </w:r>
      <w:r w:rsidR="006C33C3" w:rsidRPr="008910EE">
        <w:t>in the child protection and out-of-home care systems.</w:t>
      </w:r>
    </w:p>
    <w:p w14:paraId="3A87C7F5" w14:textId="445101E5" w:rsidR="008260F9" w:rsidRPr="008910EE" w:rsidRDefault="008260F9" w:rsidP="00450548">
      <w:pPr>
        <w:pStyle w:val="Body"/>
      </w:pPr>
      <w:r w:rsidRPr="008910EE">
        <w:t xml:space="preserve">We are working with Aboriginal </w:t>
      </w:r>
      <w:r w:rsidR="00E841E7" w:rsidRPr="008910EE">
        <w:t>c</w:t>
      </w:r>
      <w:r w:rsidRPr="008910EE">
        <w:t>ommunity</w:t>
      </w:r>
      <w:r w:rsidR="00E841E7" w:rsidRPr="008910EE">
        <w:t>-c</w:t>
      </w:r>
      <w:r w:rsidRPr="008910EE">
        <w:t xml:space="preserve">ontrolled </w:t>
      </w:r>
      <w:r w:rsidR="00E841E7" w:rsidRPr="008910EE">
        <w:t>o</w:t>
      </w:r>
      <w:r w:rsidRPr="008910EE">
        <w:t xml:space="preserve">rganisations to </w:t>
      </w:r>
      <w:r w:rsidR="00BB0164" w:rsidRPr="008910EE">
        <w:t xml:space="preserve">transfer </w:t>
      </w:r>
      <w:r w:rsidR="00477610" w:rsidRPr="008910EE">
        <w:t>statutory</w:t>
      </w:r>
      <w:r w:rsidR="00A554B8" w:rsidRPr="008910EE">
        <w:t xml:space="preserve"> </w:t>
      </w:r>
      <w:r w:rsidRPr="008910EE">
        <w:t>care of Aboriginal children to Aboriginal people and families</w:t>
      </w:r>
      <w:r w:rsidR="009D064C" w:rsidRPr="008910EE">
        <w:t>.</w:t>
      </w:r>
      <w:r w:rsidR="00526899" w:rsidRPr="008910EE">
        <w:t xml:space="preserve"> </w:t>
      </w:r>
      <w:r w:rsidR="008060ED" w:rsidRPr="008910EE">
        <w:t xml:space="preserve">This will allow </w:t>
      </w:r>
      <w:r w:rsidR="00DD003A" w:rsidRPr="008910EE">
        <w:t xml:space="preserve">Aboriginal </w:t>
      </w:r>
      <w:r w:rsidR="00E841E7" w:rsidRPr="008910EE">
        <w:t>c</w:t>
      </w:r>
      <w:r w:rsidR="00DD003A" w:rsidRPr="008910EE">
        <w:t>ommunity</w:t>
      </w:r>
      <w:r w:rsidR="00E841E7" w:rsidRPr="008910EE">
        <w:t>-c</w:t>
      </w:r>
      <w:r w:rsidR="00DD003A" w:rsidRPr="008910EE">
        <w:t xml:space="preserve">ontrolled </w:t>
      </w:r>
      <w:r w:rsidR="00E841E7" w:rsidRPr="008910EE">
        <w:t>o</w:t>
      </w:r>
      <w:r w:rsidR="00DD003A" w:rsidRPr="008910EE">
        <w:t xml:space="preserve">rganisations </w:t>
      </w:r>
      <w:r w:rsidR="009D064C" w:rsidRPr="008910EE">
        <w:t xml:space="preserve">to </w:t>
      </w:r>
      <w:r w:rsidR="00A554B8" w:rsidRPr="008910EE">
        <w:t>carry out</w:t>
      </w:r>
      <w:r w:rsidR="00DD003A" w:rsidRPr="008910EE">
        <w:t xml:space="preserve"> child protection investigations</w:t>
      </w:r>
      <w:r w:rsidRPr="008910EE">
        <w:t>.</w:t>
      </w:r>
    </w:p>
    <w:p w14:paraId="6B996F7E" w14:textId="5A9EF935" w:rsidR="00C05B82" w:rsidRPr="008910EE" w:rsidRDefault="00C05B82" w:rsidP="00C05B82">
      <w:pPr>
        <w:pStyle w:val="Body"/>
      </w:pPr>
      <w:r w:rsidRPr="008910EE">
        <w:t>We acknowledge that Victoria’s treaty process will provide a framework for the transfer of decision-making power and resources and commit to actively supporting this work in line with the aspirations of the First Peoples’ Assembly of Victoria.</w:t>
      </w:r>
    </w:p>
    <w:p w14:paraId="060ECDAF" w14:textId="79B588E0" w:rsidR="008260F9" w:rsidRPr="008910EE" w:rsidRDefault="008260F9" w:rsidP="00450548">
      <w:pPr>
        <w:pStyle w:val="Body"/>
      </w:pPr>
      <w:r w:rsidRPr="008910EE">
        <w:t>We will also support the work of the Yoo-rrook Justice Commission to investigate historical and ongoing injustices committed against Aboriginal Victorians since colonisation.</w:t>
      </w:r>
    </w:p>
    <w:p w14:paraId="00F57796" w14:textId="178488DF" w:rsidR="008260F9" w:rsidRPr="008910EE" w:rsidRDefault="008260F9" w:rsidP="00450548">
      <w:pPr>
        <w:pStyle w:val="Body"/>
      </w:pPr>
      <w:r w:rsidRPr="008910EE">
        <w:t xml:space="preserve">We are working with the Commonwealth Government and Aboriginal Victorians to implement the new </w:t>
      </w:r>
      <w:r w:rsidRPr="008910EE">
        <w:rPr>
          <w:i/>
        </w:rPr>
        <w:t xml:space="preserve">National </w:t>
      </w:r>
      <w:r w:rsidR="002B46A4" w:rsidRPr="008910EE">
        <w:rPr>
          <w:i/>
        </w:rPr>
        <w:t>A</w:t>
      </w:r>
      <w:r w:rsidRPr="008910EE">
        <w:rPr>
          <w:i/>
        </w:rPr>
        <w:t xml:space="preserve">greement on </w:t>
      </w:r>
      <w:r w:rsidR="002B46A4" w:rsidRPr="008910EE">
        <w:rPr>
          <w:i/>
        </w:rPr>
        <w:t>C</w:t>
      </w:r>
      <w:r w:rsidRPr="008910EE">
        <w:rPr>
          <w:i/>
        </w:rPr>
        <w:t xml:space="preserve">losing the </w:t>
      </w:r>
      <w:r w:rsidR="002B46A4" w:rsidRPr="008910EE">
        <w:rPr>
          <w:i/>
        </w:rPr>
        <w:t>G</w:t>
      </w:r>
      <w:r w:rsidRPr="008910EE">
        <w:rPr>
          <w:i/>
        </w:rPr>
        <w:t>ap</w:t>
      </w:r>
      <w:r w:rsidR="009D064C" w:rsidRPr="008910EE">
        <w:t xml:space="preserve">. This </w:t>
      </w:r>
      <w:r w:rsidR="00E30031" w:rsidRPr="008910EE">
        <w:t xml:space="preserve">work </w:t>
      </w:r>
      <w:r w:rsidR="009D064C" w:rsidRPr="008910EE">
        <w:t>aims to</w:t>
      </w:r>
      <w:r w:rsidR="00930562" w:rsidRPr="008910EE">
        <w:t xml:space="preserve"> </w:t>
      </w:r>
      <w:r w:rsidRPr="008910EE">
        <w:t>overcome the inequality experienced by Aboriginal people and ensure they achieve life outcomes equal to all Australians. </w:t>
      </w:r>
    </w:p>
    <w:p w14:paraId="63F97421" w14:textId="3358ED6D" w:rsidR="008260F9" w:rsidRPr="008910EE" w:rsidRDefault="008260F9" w:rsidP="00450548">
      <w:pPr>
        <w:pStyle w:val="Body"/>
      </w:pPr>
      <w:r w:rsidRPr="008910EE">
        <w:t xml:space="preserve">We will </w:t>
      </w:r>
      <w:r w:rsidR="00E30031" w:rsidRPr="008910EE">
        <w:t xml:space="preserve">help </w:t>
      </w:r>
      <w:r w:rsidRPr="008910EE">
        <w:t xml:space="preserve">develop and deliver the Aboriginal </w:t>
      </w:r>
      <w:r w:rsidR="00E841E7" w:rsidRPr="008910EE">
        <w:t>r</w:t>
      </w:r>
      <w:r w:rsidRPr="008910EE">
        <w:t xml:space="preserve">esearch and </w:t>
      </w:r>
      <w:r w:rsidR="00E841E7" w:rsidRPr="008910EE">
        <w:t>e</w:t>
      </w:r>
      <w:r w:rsidRPr="008910EE">
        <w:t xml:space="preserve">valuation </w:t>
      </w:r>
      <w:r w:rsidR="00E841E7" w:rsidRPr="008910EE">
        <w:t>f</w:t>
      </w:r>
      <w:r w:rsidRPr="008910EE">
        <w:t xml:space="preserve">ramework. </w:t>
      </w:r>
      <w:r w:rsidR="00E30031" w:rsidRPr="008910EE">
        <w:t>Aboriginal people</w:t>
      </w:r>
      <w:r w:rsidR="00E30031" w:rsidRPr="008910EE" w:rsidDel="00E30031">
        <w:t xml:space="preserve"> </w:t>
      </w:r>
      <w:r w:rsidR="00E30031" w:rsidRPr="008910EE">
        <w:t xml:space="preserve">will lead and govern the framework’s </w:t>
      </w:r>
      <w:r w:rsidRPr="008910EE">
        <w:t xml:space="preserve">research, monitoring and evaluation. </w:t>
      </w:r>
    </w:p>
    <w:p w14:paraId="0FB2F06B" w14:textId="4A642139" w:rsidR="009945DF" w:rsidRPr="008910EE" w:rsidRDefault="009945DF" w:rsidP="009945DF">
      <w:pPr>
        <w:pStyle w:val="Body"/>
      </w:pPr>
      <w:r w:rsidRPr="008910EE">
        <w:t>We are also working with Aboriginal communities to prevent family violence.</w:t>
      </w:r>
      <w:r w:rsidRPr="008910EE">
        <w:rPr>
          <w:i/>
          <w:iCs/>
        </w:rPr>
        <w:t xml:space="preserve"> </w:t>
      </w:r>
      <w:r w:rsidRPr="008910EE">
        <w:rPr>
          <w:i/>
        </w:rPr>
        <w:t xml:space="preserve">Dhelk Dja: Safe Our Way – </w:t>
      </w:r>
      <w:r w:rsidR="00A90D85" w:rsidRPr="008910EE">
        <w:rPr>
          <w:i/>
        </w:rPr>
        <w:t>s</w:t>
      </w:r>
      <w:r w:rsidRPr="008910EE">
        <w:rPr>
          <w:i/>
        </w:rPr>
        <w:t xml:space="preserve">trong </w:t>
      </w:r>
      <w:r w:rsidR="00A90D85" w:rsidRPr="008910EE">
        <w:rPr>
          <w:i/>
        </w:rPr>
        <w:t>c</w:t>
      </w:r>
      <w:r w:rsidRPr="008910EE">
        <w:rPr>
          <w:i/>
        </w:rPr>
        <w:t xml:space="preserve">ulture, </w:t>
      </w:r>
      <w:r w:rsidR="00A90D85" w:rsidRPr="008910EE">
        <w:rPr>
          <w:i/>
        </w:rPr>
        <w:t>s</w:t>
      </w:r>
      <w:r w:rsidRPr="008910EE">
        <w:rPr>
          <w:i/>
        </w:rPr>
        <w:t xml:space="preserve">trong </w:t>
      </w:r>
      <w:r w:rsidR="00A90D85" w:rsidRPr="008910EE">
        <w:rPr>
          <w:i/>
        </w:rPr>
        <w:t>p</w:t>
      </w:r>
      <w:r w:rsidRPr="008910EE">
        <w:rPr>
          <w:i/>
        </w:rPr>
        <w:t xml:space="preserve">eoples, </w:t>
      </w:r>
      <w:r w:rsidR="00A90D85" w:rsidRPr="008910EE">
        <w:rPr>
          <w:i/>
        </w:rPr>
        <w:t>s</w:t>
      </w:r>
      <w:r w:rsidRPr="008910EE">
        <w:rPr>
          <w:i/>
        </w:rPr>
        <w:t xml:space="preserve">trong </w:t>
      </w:r>
      <w:r w:rsidR="00A90D85" w:rsidRPr="008910EE">
        <w:rPr>
          <w:i/>
        </w:rPr>
        <w:t>f</w:t>
      </w:r>
      <w:r w:rsidRPr="008910EE">
        <w:rPr>
          <w:i/>
        </w:rPr>
        <w:t>amilies 2018</w:t>
      </w:r>
      <w:r w:rsidR="00E841E7" w:rsidRPr="008910EE">
        <w:rPr>
          <w:i/>
        </w:rPr>
        <w:t>–</w:t>
      </w:r>
      <w:r w:rsidRPr="008910EE">
        <w:rPr>
          <w:i/>
        </w:rPr>
        <w:t>2028</w:t>
      </w:r>
      <w:r w:rsidRPr="008910EE">
        <w:t xml:space="preserve"> is </w:t>
      </w:r>
      <w:r w:rsidR="009D064C" w:rsidRPr="008910EE">
        <w:t xml:space="preserve">an </w:t>
      </w:r>
      <w:r w:rsidRPr="008910EE">
        <w:t xml:space="preserve">Aboriginal-led </w:t>
      </w:r>
      <w:r w:rsidR="009D064C" w:rsidRPr="008910EE">
        <w:t>a</w:t>
      </w:r>
      <w:r w:rsidRPr="008910EE">
        <w:t>greement</w:t>
      </w:r>
      <w:r w:rsidR="009D064C" w:rsidRPr="008910EE">
        <w:t>. It</w:t>
      </w:r>
      <w:r w:rsidRPr="008910EE">
        <w:t xml:space="preserve"> commits Aboriginal communities, Aboriginal services and the Victorian Government to work together to ensure Aboriginal people, families and communities are stronger, safe and living free from family violence.</w:t>
      </w:r>
    </w:p>
    <w:p w14:paraId="53803BF8" w14:textId="61ACAD94" w:rsidR="009154BD" w:rsidRPr="008910EE" w:rsidRDefault="27A65B81" w:rsidP="009154BD">
      <w:pPr>
        <w:pStyle w:val="Body"/>
      </w:pPr>
      <w:r w:rsidRPr="008910EE">
        <w:t xml:space="preserve">The Aboriginal people </w:t>
      </w:r>
      <w:r w:rsidR="00E30031" w:rsidRPr="008910EE">
        <w:t xml:space="preserve">in </w:t>
      </w:r>
      <w:r w:rsidRPr="008910EE">
        <w:t>our department are key to this work</w:t>
      </w:r>
      <w:r w:rsidR="009D064C" w:rsidRPr="008910EE">
        <w:t>.</w:t>
      </w:r>
      <w:r w:rsidRPr="008910EE">
        <w:t xml:space="preserve"> </w:t>
      </w:r>
      <w:r w:rsidR="009D064C" w:rsidRPr="008910EE">
        <w:t>W</w:t>
      </w:r>
      <w:r w:rsidRPr="008910EE">
        <w:t xml:space="preserve">e will continue to </w:t>
      </w:r>
      <w:r w:rsidR="005E5951" w:rsidRPr="008910EE">
        <w:t xml:space="preserve">work </w:t>
      </w:r>
      <w:r w:rsidRPr="008910EE">
        <w:t>with and be guided by them. We will continue our commitment to our cultural safety framework to support Aboriginal staff to be safe within the workplace</w:t>
      </w:r>
      <w:r w:rsidR="00666F34" w:rsidRPr="008910EE">
        <w:t>. This will mean</w:t>
      </w:r>
      <w:r w:rsidRPr="008910EE">
        <w:t xml:space="preserve"> Aboriginal clients and communities can access culturally safe and responsive services.</w:t>
      </w:r>
    </w:p>
    <w:p w14:paraId="13976818" w14:textId="370A40A7" w:rsidR="00E70E99" w:rsidRPr="008910EE" w:rsidRDefault="008C4805" w:rsidP="00E70E99">
      <w:pPr>
        <w:pStyle w:val="Body"/>
      </w:pPr>
      <w:hyperlink r:id="rId21" w:history="1">
        <w:r w:rsidR="00E70E99" w:rsidRPr="008910EE">
          <w:rPr>
            <w:rStyle w:val="Hyperlink"/>
          </w:rPr>
          <w:t>Visit our website</w:t>
        </w:r>
      </w:hyperlink>
      <w:r w:rsidR="00E70E99" w:rsidRPr="008910EE">
        <w:t xml:space="preserve"> </w:t>
      </w:r>
      <w:r w:rsidR="00824FDE" w:rsidRPr="008910EE">
        <w:t xml:space="preserve">&lt;https://www.vic.gov.au/department-families-fairness-and-housing&gt; </w:t>
      </w:r>
      <w:r w:rsidR="00E70E99" w:rsidRPr="008910EE">
        <w:t xml:space="preserve">for more information about these initiatives. </w:t>
      </w:r>
    </w:p>
    <w:p w14:paraId="1433FE71" w14:textId="77777777" w:rsidR="007504A0" w:rsidRPr="008910EE" w:rsidRDefault="007504A0" w:rsidP="00582B34">
      <w:pPr>
        <w:pStyle w:val="Heading2"/>
      </w:pPr>
      <w:bookmarkStart w:id="157" w:name="_Toc75357925"/>
      <w:bookmarkStart w:id="158" w:name="_Toc76046870"/>
      <w:bookmarkStart w:id="159" w:name="_Toc76463240"/>
      <w:bookmarkStart w:id="160" w:name="_Toc77154016"/>
      <w:bookmarkStart w:id="161" w:name="_Toc80708366"/>
      <w:bookmarkStart w:id="162" w:name="_Toc74994286"/>
      <w:r w:rsidRPr="008910EE">
        <w:t>Our systems are high performing and responsive, meeting the needs of all Victorians</w:t>
      </w:r>
      <w:bookmarkEnd w:id="157"/>
      <w:bookmarkEnd w:id="158"/>
      <w:bookmarkEnd w:id="159"/>
      <w:bookmarkEnd w:id="160"/>
      <w:bookmarkEnd w:id="161"/>
    </w:p>
    <w:bookmarkEnd w:id="162"/>
    <w:p w14:paraId="05149651" w14:textId="0EE56705" w:rsidR="00B36C62" w:rsidRPr="008910EE" w:rsidRDefault="005D1C85" w:rsidP="00824FDE">
      <w:pPr>
        <w:pStyle w:val="Body"/>
      </w:pPr>
      <w:r w:rsidRPr="008910EE">
        <w:t>We can achieve our outcome goal by</w:t>
      </w:r>
      <w:r w:rsidR="00B36C62" w:rsidRPr="008910EE">
        <w:t>:</w:t>
      </w:r>
    </w:p>
    <w:p w14:paraId="0F4D32F9" w14:textId="75C07F84" w:rsidR="00536AB4" w:rsidRPr="008910EE" w:rsidRDefault="007B6D9F" w:rsidP="00824FDE">
      <w:pPr>
        <w:pStyle w:val="Bullet1"/>
      </w:pPr>
      <w:r w:rsidRPr="008910EE">
        <w:t>establishing</w:t>
      </w:r>
      <w:r w:rsidR="00B93795" w:rsidRPr="008910EE">
        <w:t xml:space="preserve"> </w:t>
      </w:r>
      <w:r w:rsidR="006B5C23" w:rsidRPr="008910EE">
        <w:t>inclusive and accessible,</w:t>
      </w:r>
      <w:r w:rsidR="00B93795" w:rsidRPr="008910EE">
        <w:t xml:space="preserve"> </w:t>
      </w:r>
      <w:r w:rsidR="00B36C62" w:rsidRPr="008910EE">
        <w:t>person</w:t>
      </w:r>
      <w:r w:rsidR="003A0246" w:rsidRPr="008910EE">
        <w:t>-</w:t>
      </w:r>
      <w:r w:rsidR="00B36C62" w:rsidRPr="008910EE">
        <w:t xml:space="preserve"> and family</w:t>
      </w:r>
      <w:r w:rsidR="003A0246" w:rsidRPr="008910EE">
        <w:t>-</w:t>
      </w:r>
      <w:r w:rsidR="00B36C62" w:rsidRPr="008910EE">
        <w:t xml:space="preserve">centred </w:t>
      </w:r>
      <w:r w:rsidR="00536AB4" w:rsidRPr="008910EE">
        <w:t>service design and delivery</w:t>
      </w:r>
    </w:p>
    <w:p w14:paraId="74E8CEFB" w14:textId="23267E84" w:rsidR="00DB433F" w:rsidRPr="008910EE" w:rsidRDefault="005D1C85" w:rsidP="00824FDE">
      <w:pPr>
        <w:pStyle w:val="Bullet1"/>
      </w:pPr>
      <w:r w:rsidRPr="008910EE">
        <w:t>d</w:t>
      </w:r>
      <w:r w:rsidR="00DB433F" w:rsidRPr="008910EE">
        <w:t xml:space="preserve">esigning our policies and programs in partnership with the communities </w:t>
      </w:r>
      <w:r w:rsidR="0042448A" w:rsidRPr="008910EE">
        <w:t xml:space="preserve">affected </w:t>
      </w:r>
      <w:r w:rsidR="00DB433F" w:rsidRPr="008910EE">
        <w:t>by them</w:t>
      </w:r>
    </w:p>
    <w:p w14:paraId="4F930B97" w14:textId="16D05D88" w:rsidR="00536AB4" w:rsidRPr="008910EE" w:rsidRDefault="00AF7E05" w:rsidP="00824FDE">
      <w:pPr>
        <w:pStyle w:val="Bullet1"/>
      </w:pPr>
      <w:r w:rsidRPr="008910EE">
        <w:t xml:space="preserve">using </w:t>
      </w:r>
      <w:r w:rsidR="00536AB4" w:rsidRPr="008910EE">
        <w:t>contemporary</w:t>
      </w:r>
      <w:r w:rsidRPr="008910EE">
        <w:t>, customer</w:t>
      </w:r>
      <w:r w:rsidR="0042448A" w:rsidRPr="008910EE">
        <w:t>-</w:t>
      </w:r>
      <w:r w:rsidRPr="008910EE">
        <w:t>focused</w:t>
      </w:r>
      <w:r w:rsidR="00536AB4" w:rsidRPr="008910EE">
        <w:t xml:space="preserve"> </w:t>
      </w:r>
      <w:r w:rsidRPr="008910EE">
        <w:t>digital</w:t>
      </w:r>
      <w:r w:rsidR="00536AB4" w:rsidRPr="008910EE">
        <w:t xml:space="preserve"> technologies </w:t>
      </w:r>
      <w:r w:rsidR="00CD7849" w:rsidRPr="008910EE">
        <w:t>to better connect people, communities and service systems</w:t>
      </w:r>
    </w:p>
    <w:p w14:paraId="3B85233D" w14:textId="749088C6" w:rsidR="00B36C62" w:rsidRPr="008910EE" w:rsidRDefault="00B36C62" w:rsidP="00824FDE">
      <w:pPr>
        <w:pStyle w:val="Bullet1"/>
      </w:pPr>
      <w:r w:rsidRPr="008910EE">
        <w:t>taking a system-wide approach to integrat</w:t>
      </w:r>
      <w:r w:rsidR="00506977" w:rsidRPr="008910EE">
        <w:t>ing</w:t>
      </w:r>
      <w:r w:rsidRPr="008910EE">
        <w:t xml:space="preserve"> services and reform regulations, ensuring all Victorians can access safe and effective services</w:t>
      </w:r>
    </w:p>
    <w:p w14:paraId="3EBC3ECF" w14:textId="31FCB6CA" w:rsidR="008B27ED" w:rsidRPr="008910EE" w:rsidRDefault="008B27ED" w:rsidP="00824FDE">
      <w:pPr>
        <w:pStyle w:val="Bullet1"/>
      </w:pPr>
      <w:r w:rsidRPr="008910EE">
        <w:t xml:space="preserve">using best-practice approaches to data </w:t>
      </w:r>
      <w:r w:rsidR="00CE09EF" w:rsidRPr="008910EE">
        <w:t xml:space="preserve">and </w:t>
      </w:r>
      <w:r w:rsidRPr="008910EE">
        <w:t>predictive analytics</w:t>
      </w:r>
      <w:r w:rsidR="00CE09EF" w:rsidRPr="008910EE">
        <w:t>, and forecasting</w:t>
      </w:r>
      <w:r w:rsidRPr="008910EE">
        <w:t xml:space="preserve"> </w:t>
      </w:r>
    </w:p>
    <w:p w14:paraId="263C0497" w14:textId="71B24656" w:rsidR="00073FB2" w:rsidRPr="008910EE" w:rsidRDefault="00D7179F" w:rsidP="00824FDE">
      <w:pPr>
        <w:pStyle w:val="Bullet1"/>
      </w:pPr>
      <w:r w:rsidRPr="008910EE">
        <w:t>support</w:t>
      </w:r>
      <w:r w:rsidR="00EE3046" w:rsidRPr="008910EE">
        <w:t>ing</w:t>
      </w:r>
      <w:r w:rsidRPr="008910EE">
        <w:t xml:space="preserve"> a</w:t>
      </w:r>
      <w:r w:rsidR="008B27ED" w:rsidRPr="008910EE">
        <w:t xml:space="preserve"> modern</w:t>
      </w:r>
      <w:r w:rsidR="00DE0E35" w:rsidRPr="008910EE">
        <w:t>, diverse</w:t>
      </w:r>
      <w:r w:rsidR="008B27ED" w:rsidRPr="008910EE">
        <w:t xml:space="preserve"> and skilled workforce</w:t>
      </w:r>
      <w:r w:rsidR="00073FB2" w:rsidRPr="008910EE">
        <w:t xml:space="preserve"> in the department and in service</w:t>
      </w:r>
      <w:r w:rsidR="00CE09EF" w:rsidRPr="008910EE">
        <w:t>-</w:t>
      </w:r>
      <w:r w:rsidR="00073FB2" w:rsidRPr="008910EE">
        <w:t>delivery agencies</w:t>
      </w:r>
    </w:p>
    <w:p w14:paraId="6D663108" w14:textId="01993BE5" w:rsidR="00073FB2" w:rsidRPr="008910EE" w:rsidRDefault="00073FB2" w:rsidP="00824FDE">
      <w:pPr>
        <w:pStyle w:val="Bullet1"/>
      </w:pPr>
      <w:r w:rsidRPr="008910EE">
        <w:t>improv</w:t>
      </w:r>
      <w:r w:rsidR="00EE3046" w:rsidRPr="008910EE">
        <w:t>ing</w:t>
      </w:r>
      <w:r w:rsidRPr="008910EE">
        <w:t xml:space="preserve"> performance monitoring and </w:t>
      </w:r>
      <w:r w:rsidR="00AE5A38" w:rsidRPr="008910EE">
        <w:t>service delivery to get the best results for people using our services</w:t>
      </w:r>
    </w:p>
    <w:p w14:paraId="02F44A17" w14:textId="52A0DA22" w:rsidR="00982576" w:rsidRPr="008910EE" w:rsidRDefault="00982576" w:rsidP="00824FDE">
      <w:pPr>
        <w:pStyle w:val="Bullet1"/>
      </w:pPr>
      <w:r w:rsidRPr="008910EE">
        <w:t>building an evidence</w:t>
      </w:r>
      <w:r w:rsidR="00E30031" w:rsidRPr="008910EE">
        <w:t xml:space="preserve"> </w:t>
      </w:r>
      <w:r w:rsidRPr="008910EE">
        <w:t>base about what works for children, families and individuals with complex needs</w:t>
      </w:r>
    </w:p>
    <w:p w14:paraId="19502940" w14:textId="7FDD3F3C" w:rsidR="00471357" w:rsidRPr="008910EE" w:rsidRDefault="00982576" w:rsidP="00824FDE">
      <w:pPr>
        <w:pStyle w:val="Bullet1"/>
      </w:pPr>
      <w:r w:rsidRPr="008910EE">
        <w:t>seeking, listening to and acting on what clients tell us matters in making services better and safer.</w:t>
      </w:r>
    </w:p>
    <w:p w14:paraId="5943D93E" w14:textId="65CFEEC9" w:rsidR="009750A6" w:rsidRPr="008910EE" w:rsidRDefault="008B1AAE" w:rsidP="00824FDE">
      <w:pPr>
        <w:pStyle w:val="Bodyafterbullets"/>
      </w:pPr>
      <w:r w:rsidRPr="008910EE">
        <w:t>As a new department, we have a</w:t>
      </w:r>
      <w:r w:rsidR="00E30031" w:rsidRPr="008910EE">
        <w:t>n</w:t>
      </w:r>
      <w:r w:rsidRPr="008910EE">
        <w:t xml:space="preserve"> opportunity to build on and learn from our response to the </w:t>
      </w:r>
      <w:r w:rsidR="187F7C4F" w:rsidRPr="008910EE">
        <w:t xml:space="preserve">coronavirus </w:t>
      </w:r>
      <w:r w:rsidR="009C6F0A" w:rsidRPr="008910EE">
        <w:t>(</w:t>
      </w:r>
      <w:r w:rsidRPr="008910EE">
        <w:t>COVID-19</w:t>
      </w:r>
      <w:r w:rsidR="009C6F0A" w:rsidRPr="008910EE">
        <w:t>)</w:t>
      </w:r>
      <w:r w:rsidRPr="008910EE">
        <w:t xml:space="preserve"> pandemic and to prepare for </w:t>
      </w:r>
      <w:r w:rsidR="000334CC" w:rsidRPr="008910EE">
        <w:t>future events</w:t>
      </w:r>
      <w:r w:rsidRPr="008910EE">
        <w:t>.</w:t>
      </w:r>
      <w:r w:rsidR="00860CBE" w:rsidRPr="008910EE">
        <w:t xml:space="preserve"> </w:t>
      </w:r>
    </w:p>
    <w:p w14:paraId="78EDCBC8" w14:textId="750876F3" w:rsidR="00FB06C8" w:rsidRPr="008910EE" w:rsidRDefault="00233144" w:rsidP="00BA475E">
      <w:pPr>
        <w:pStyle w:val="Body"/>
      </w:pPr>
      <w:r w:rsidRPr="008910EE">
        <w:t>To achieve these aims we will need a skilled</w:t>
      </w:r>
      <w:r w:rsidR="00BA2E12" w:rsidRPr="008910EE">
        <w:t>, diverse</w:t>
      </w:r>
      <w:r w:rsidRPr="008910EE">
        <w:t xml:space="preserve"> and capable workforce both in the department and </w:t>
      </w:r>
      <w:r w:rsidR="15522063" w:rsidRPr="008910EE">
        <w:t>across</w:t>
      </w:r>
      <w:r w:rsidR="00C3305F" w:rsidRPr="008910EE">
        <w:t xml:space="preserve"> </w:t>
      </w:r>
      <w:r w:rsidRPr="008910EE">
        <w:t xml:space="preserve">service delivery agencies. We need </w:t>
      </w:r>
      <w:r w:rsidR="00010D3D" w:rsidRPr="008910EE">
        <w:t>digital</w:t>
      </w:r>
      <w:r w:rsidRPr="008910EE">
        <w:t xml:space="preserve"> solutions </w:t>
      </w:r>
      <w:r w:rsidR="38E5EFFB" w:rsidRPr="008910EE">
        <w:t xml:space="preserve">that </w:t>
      </w:r>
      <w:r w:rsidRPr="008910EE">
        <w:t>allow</w:t>
      </w:r>
      <w:r w:rsidR="00800F1C" w:rsidRPr="008910EE">
        <w:t xml:space="preserve"> us</w:t>
      </w:r>
      <w:r w:rsidR="00A1289D" w:rsidRPr="008910EE">
        <w:t xml:space="preserve"> to</w:t>
      </w:r>
      <w:r w:rsidR="00800F1C" w:rsidRPr="008910EE">
        <w:t xml:space="preserve"> </w:t>
      </w:r>
      <w:r w:rsidR="00A1289D" w:rsidRPr="008910EE">
        <w:t>rapidly</w:t>
      </w:r>
      <w:r w:rsidR="00FB06C8" w:rsidRPr="008910EE">
        <w:t xml:space="preserve"> adjust </w:t>
      </w:r>
      <w:r w:rsidR="00800F1C" w:rsidRPr="008910EE">
        <w:t>as new needs emerge</w:t>
      </w:r>
      <w:r w:rsidR="00A1289D" w:rsidRPr="008910EE">
        <w:t xml:space="preserve"> and</w:t>
      </w:r>
      <w:r w:rsidR="00FB06C8" w:rsidRPr="008910EE">
        <w:t xml:space="preserve"> to connect with people and communities wherever they are located.</w:t>
      </w:r>
    </w:p>
    <w:p w14:paraId="66EC7A92" w14:textId="7D9DB1A1" w:rsidR="008B1AAE" w:rsidRPr="008910EE" w:rsidRDefault="00E30031" w:rsidP="00BA475E">
      <w:pPr>
        <w:pStyle w:val="Body"/>
      </w:pPr>
      <w:r w:rsidRPr="008910EE">
        <w:t>We</w:t>
      </w:r>
      <w:r w:rsidR="008B1AAE" w:rsidRPr="008910EE">
        <w:t xml:space="preserve"> aim</w:t>
      </w:r>
      <w:r w:rsidRPr="008910EE">
        <w:t xml:space="preserve"> for</w:t>
      </w:r>
      <w:r w:rsidR="008B1AAE" w:rsidRPr="008910EE">
        <w:t xml:space="preserve"> </w:t>
      </w:r>
      <w:r w:rsidR="005E5951" w:rsidRPr="008910EE">
        <w:t xml:space="preserve">ongoing </w:t>
      </w:r>
      <w:r w:rsidR="008B1AAE" w:rsidRPr="008910EE">
        <w:t xml:space="preserve">improvement and </w:t>
      </w:r>
      <w:r w:rsidR="005E5951" w:rsidRPr="008910EE">
        <w:t>more community involvement</w:t>
      </w:r>
      <w:r w:rsidR="008B1AAE" w:rsidRPr="008910EE">
        <w:t xml:space="preserve"> </w:t>
      </w:r>
      <w:r w:rsidR="005E5951" w:rsidRPr="008910EE">
        <w:t xml:space="preserve">when coming up with </w:t>
      </w:r>
      <w:r w:rsidR="008B1AAE" w:rsidRPr="008910EE">
        <w:t>solution</w:t>
      </w:r>
      <w:r w:rsidR="005E5951" w:rsidRPr="008910EE">
        <w:t>s</w:t>
      </w:r>
      <w:r w:rsidRPr="008910EE">
        <w:t>. Therefore,</w:t>
      </w:r>
      <w:r w:rsidR="008B1AAE" w:rsidRPr="008910EE">
        <w:t xml:space="preserve"> </w:t>
      </w:r>
      <w:r w:rsidRPr="008910EE">
        <w:t xml:space="preserve">we </w:t>
      </w:r>
      <w:r w:rsidR="00AA1976" w:rsidRPr="008910EE">
        <w:t xml:space="preserve">will need </w:t>
      </w:r>
      <w:r w:rsidRPr="008910EE">
        <w:t xml:space="preserve">innovative </w:t>
      </w:r>
      <w:r w:rsidR="009D14BD" w:rsidRPr="008910EE">
        <w:t xml:space="preserve">and </w:t>
      </w:r>
      <w:r w:rsidR="008B1AAE" w:rsidRPr="008910EE">
        <w:t xml:space="preserve">collaborative </w:t>
      </w:r>
      <w:r w:rsidR="00274ADD" w:rsidRPr="008910EE">
        <w:t xml:space="preserve">online </w:t>
      </w:r>
      <w:r w:rsidR="008B1AAE" w:rsidRPr="008910EE">
        <w:t>platform</w:t>
      </w:r>
      <w:r w:rsidR="00274ADD" w:rsidRPr="008910EE">
        <w:t xml:space="preserve">s. </w:t>
      </w:r>
      <w:r w:rsidR="00BB25D2" w:rsidRPr="008910EE">
        <w:t>We will need to be able to provide communities with up</w:t>
      </w:r>
      <w:r w:rsidRPr="008910EE">
        <w:t>-</w:t>
      </w:r>
      <w:r w:rsidR="00BB25D2" w:rsidRPr="008910EE">
        <w:t>to</w:t>
      </w:r>
      <w:r w:rsidRPr="008910EE">
        <w:t>-</w:t>
      </w:r>
      <w:r w:rsidR="00BB25D2" w:rsidRPr="008910EE">
        <w:t>date</w:t>
      </w:r>
      <w:r w:rsidR="00CD4B74" w:rsidRPr="008910EE">
        <w:t xml:space="preserve">, </w:t>
      </w:r>
      <w:r w:rsidR="002E3BF3" w:rsidRPr="008910EE">
        <w:t xml:space="preserve">customer-focused </w:t>
      </w:r>
      <w:r w:rsidR="001B43FF" w:rsidRPr="008910EE">
        <w:t xml:space="preserve">and </w:t>
      </w:r>
      <w:r w:rsidR="00ED744B" w:rsidRPr="008910EE">
        <w:t>accessible</w:t>
      </w:r>
      <w:r w:rsidR="001B43FF" w:rsidRPr="008910EE">
        <w:t xml:space="preserve"> information.</w:t>
      </w:r>
    </w:p>
    <w:p w14:paraId="61D7484E" w14:textId="7A679A2A" w:rsidR="00F06E99" w:rsidRPr="008910EE" w:rsidRDefault="008B1AAE" w:rsidP="00BA475E">
      <w:pPr>
        <w:pStyle w:val="Body"/>
      </w:pPr>
      <w:r w:rsidRPr="008910EE">
        <w:t>This will allow the department to continue to work flexibly and be able to respond to future challenges</w:t>
      </w:r>
      <w:r w:rsidR="012BD350" w:rsidRPr="008910EE">
        <w:t xml:space="preserve"> in improved ways</w:t>
      </w:r>
      <w:r w:rsidR="00AA1976" w:rsidRPr="008910EE">
        <w:t>. It</w:t>
      </w:r>
      <w:r w:rsidRPr="008910EE">
        <w:t xml:space="preserve"> will also </w:t>
      </w:r>
      <w:r w:rsidR="00607E89" w:rsidRPr="008910EE">
        <w:t>help</w:t>
      </w:r>
      <w:r w:rsidRPr="008910EE">
        <w:t xml:space="preserve"> </w:t>
      </w:r>
      <w:r w:rsidR="00E30031" w:rsidRPr="008910EE">
        <w:t>us</w:t>
      </w:r>
      <w:r w:rsidRPr="008910EE">
        <w:t xml:space="preserve"> collaborate more effectively with communities</w:t>
      </w:r>
      <w:r w:rsidR="00E43B1E" w:rsidRPr="008910EE">
        <w:t xml:space="preserve"> and our partners</w:t>
      </w:r>
      <w:r w:rsidR="00AA1976" w:rsidRPr="008910EE">
        <w:t>,</w:t>
      </w:r>
      <w:r w:rsidR="00F54D02" w:rsidRPr="008910EE">
        <w:t xml:space="preserve"> </w:t>
      </w:r>
      <w:r w:rsidR="00F06E99" w:rsidRPr="008910EE">
        <w:t>and</w:t>
      </w:r>
      <w:r w:rsidR="00F54D02" w:rsidRPr="008910EE">
        <w:t xml:space="preserve"> to </w:t>
      </w:r>
      <w:r w:rsidR="00E30031" w:rsidRPr="008910EE">
        <w:t xml:space="preserve">stay on top of </w:t>
      </w:r>
      <w:r w:rsidR="00F54D02" w:rsidRPr="008910EE">
        <w:t>community expectations and changes</w:t>
      </w:r>
      <w:r w:rsidR="00F06E99" w:rsidRPr="008910EE">
        <w:t xml:space="preserve">. </w:t>
      </w:r>
    </w:p>
    <w:p w14:paraId="1927229C" w14:textId="10E09C17" w:rsidR="008B1AAE" w:rsidRPr="008910EE" w:rsidRDefault="005E5951" w:rsidP="00BA475E">
      <w:pPr>
        <w:pStyle w:val="Body"/>
      </w:pPr>
      <w:r w:rsidRPr="008910EE">
        <w:t>T</w:t>
      </w:r>
      <w:r w:rsidR="45B31CC3" w:rsidRPr="008910EE">
        <w:t>hese solutions</w:t>
      </w:r>
      <w:r w:rsidR="00F06E99" w:rsidRPr="008910EE">
        <w:t xml:space="preserve"> will also allow people needing </w:t>
      </w:r>
      <w:r w:rsidR="00E30031" w:rsidRPr="008910EE">
        <w:t xml:space="preserve">our </w:t>
      </w:r>
      <w:r w:rsidR="00F06E99" w:rsidRPr="008910EE">
        <w:t>support</w:t>
      </w:r>
      <w:r w:rsidR="00AA1976" w:rsidRPr="008910EE">
        <w:t xml:space="preserve"> to </w:t>
      </w:r>
      <w:r w:rsidR="00F06E99" w:rsidRPr="008910EE">
        <w:t>flexibly self</w:t>
      </w:r>
      <w:r w:rsidR="00FA4967" w:rsidRPr="008910EE">
        <w:t>-</w:t>
      </w:r>
      <w:r w:rsidR="00F06E99" w:rsidRPr="008910EE">
        <w:t xml:space="preserve">serve </w:t>
      </w:r>
      <w:r w:rsidR="00FA4967" w:rsidRPr="008910EE">
        <w:t>where they can,</w:t>
      </w:r>
      <w:r w:rsidR="00AA1976" w:rsidRPr="008910EE">
        <w:t xml:space="preserve"> and </w:t>
      </w:r>
      <w:r w:rsidR="00F06E99" w:rsidRPr="008910EE">
        <w:t xml:space="preserve">to access </w:t>
      </w:r>
      <w:r w:rsidR="00E30031" w:rsidRPr="008910EE">
        <w:t xml:space="preserve">current </w:t>
      </w:r>
      <w:r w:rsidR="00F06E99" w:rsidRPr="008910EE">
        <w:t xml:space="preserve">information in a </w:t>
      </w:r>
      <w:r w:rsidR="000B0EFD" w:rsidRPr="008910EE">
        <w:t>fast-</w:t>
      </w:r>
      <w:r w:rsidR="00F06E99" w:rsidRPr="008910EE">
        <w:t xml:space="preserve">changing environment. </w:t>
      </w:r>
    </w:p>
    <w:p w14:paraId="2CFC9D99" w14:textId="77777777" w:rsidR="000E033F" w:rsidRPr="008910EE" w:rsidRDefault="000E033F" w:rsidP="00824FDE">
      <w:pPr>
        <w:pStyle w:val="Heading3"/>
        <w:rPr>
          <w:rFonts w:cs="Arial"/>
          <w:b/>
          <w:szCs w:val="21"/>
        </w:rPr>
      </w:pPr>
      <w:r w:rsidRPr="008910EE">
        <w:t>Data</w:t>
      </w:r>
    </w:p>
    <w:p w14:paraId="3E17EF08" w14:textId="60C52AAF" w:rsidR="009B7FC4" w:rsidRPr="008910EE" w:rsidRDefault="009B7FC4" w:rsidP="00BA475E">
      <w:pPr>
        <w:pStyle w:val="Body"/>
        <w:rPr>
          <w:szCs w:val="21"/>
        </w:rPr>
      </w:pPr>
      <w:r w:rsidRPr="008910EE">
        <w:t xml:space="preserve">The experiences people have when they have contact with our services are one of the most important sources of information about the quality and safety of those services. </w:t>
      </w:r>
      <w:r w:rsidR="007F0842" w:rsidRPr="008910EE">
        <w:rPr>
          <w:szCs w:val="21"/>
        </w:rPr>
        <w:t>The data we collect is vital for</w:t>
      </w:r>
      <w:r w:rsidRPr="008910EE">
        <w:rPr>
          <w:szCs w:val="21"/>
        </w:rPr>
        <w:t>:</w:t>
      </w:r>
      <w:r w:rsidR="007F0842" w:rsidRPr="008910EE">
        <w:rPr>
          <w:szCs w:val="21"/>
        </w:rPr>
        <w:t xml:space="preserve"> </w:t>
      </w:r>
    </w:p>
    <w:p w14:paraId="1E3B43A8" w14:textId="13D0C792" w:rsidR="009B7FC4" w:rsidRPr="008910EE" w:rsidRDefault="009B7FC4" w:rsidP="009B7FC4">
      <w:pPr>
        <w:pStyle w:val="Bullet1"/>
      </w:pPr>
      <w:r w:rsidRPr="008910EE">
        <w:t xml:space="preserve">keeping us </w:t>
      </w:r>
      <w:r w:rsidR="007F0842" w:rsidRPr="008910EE">
        <w:t>accountab</w:t>
      </w:r>
      <w:r w:rsidRPr="008910EE">
        <w:t>le</w:t>
      </w:r>
    </w:p>
    <w:p w14:paraId="75096E66" w14:textId="4B84DBC5" w:rsidR="009B7FC4" w:rsidRPr="008910EE" w:rsidRDefault="007F0842" w:rsidP="009B7FC4">
      <w:pPr>
        <w:pStyle w:val="Bullet1"/>
      </w:pPr>
      <w:r w:rsidRPr="008910EE">
        <w:t xml:space="preserve">assessing outcomes </w:t>
      </w:r>
    </w:p>
    <w:p w14:paraId="33C9A94F" w14:textId="04D2D505" w:rsidR="009B7FC4" w:rsidRPr="008910EE" w:rsidRDefault="007F0842" w:rsidP="00910C38">
      <w:pPr>
        <w:pStyle w:val="Bullet1"/>
      </w:pPr>
      <w:r w:rsidRPr="008910EE">
        <w:t>develop</w:t>
      </w:r>
      <w:r w:rsidR="00AB2308" w:rsidRPr="008910EE">
        <w:t>ing</w:t>
      </w:r>
      <w:r w:rsidRPr="008910EE">
        <w:t xml:space="preserve"> and design</w:t>
      </w:r>
      <w:r w:rsidR="00AB2308" w:rsidRPr="008910EE">
        <w:t>ing</w:t>
      </w:r>
      <w:r w:rsidRPr="008910EE">
        <w:t xml:space="preserve"> better, safer services and future initiatives. </w:t>
      </w:r>
    </w:p>
    <w:p w14:paraId="75CD39AF" w14:textId="77777777" w:rsidR="000B0EFD" w:rsidRPr="008910EE" w:rsidRDefault="0C739A10" w:rsidP="00910C38">
      <w:pPr>
        <w:pStyle w:val="Bodyafterbullets"/>
      </w:pPr>
      <w:r w:rsidRPr="008910EE">
        <w:t>Data</w:t>
      </w:r>
      <w:r w:rsidR="007F0842" w:rsidRPr="008910EE">
        <w:t xml:space="preserve"> is a significant asset for the department, allowing us to</w:t>
      </w:r>
      <w:r w:rsidR="000B0EFD" w:rsidRPr="008910EE">
        <w:t>:</w:t>
      </w:r>
      <w:r w:rsidR="007F0842" w:rsidRPr="008910EE">
        <w:t xml:space="preserve"> </w:t>
      </w:r>
    </w:p>
    <w:p w14:paraId="6BDA324A" w14:textId="59A5C339" w:rsidR="000B0EFD" w:rsidRPr="008910EE" w:rsidRDefault="007F0842" w:rsidP="00910C38">
      <w:pPr>
        <w:pStyle w:val="Bullet1"/>
      </w:pPr>
      <w:r w:rsidRPr="008910EE">
        <w:t>analyse and better understand the needs of our service users</w:t>
      </w:r>
    </w:p>
    <w:p w14:paraId="31EABDDB" w14:textId="608E7383" w:rsidR="000B0EFD" w:rsidRPr="008910EE" w:rsidRDefault="007F0842" w:rsidP="00910C38">
      <w:pPr>
        <w:pStyle w:val="Bullet1"/>
      </w:pPr>
      <w:r w:rsidRPr="008910EE">
        <w:t>design programs and other initiatives that meet people’s needs</w:t>
      </w:r>
    </w:p>
    <w:p w14:paraId="61580B40" w14:textId="2E5D68E0" w:rsidR="007F0842" w:rsidRPr="008910EE" w:rsidRDefault="007F0842" w:rsidP="00910C38">
      <w:pPr>
        <w:pStyle w:val="Bullet1"/>
      </w:pPr>
      <w:r w:rsidRPr="008910EE">
        <w:t xml:space="preserve">assess what </w:t>
      </w:r>
      <w:r w:rsidR="001F6FB6" w:rsidRPr="008910EE">
        <w:t xml:space="preserve">Victorians </w:t>
      </w:r>
      <w:r w:rsidRPr="008910EE">
        <w:t>might need in the future.</w:t>
      </w:r>
    </w:p>
    <w:p w14:paraId="09B47B08" w14:textId="5024227E" w:rsidR="007F0842" w:rsidRPr="008910EE" w:rsidRDefault="007F0842" w:rsidP="00910C38">
      <w:pPr>
        <w:pStyle w:val="Bodyafterbullets"/>
      </w:pPr>
      <w:r w:rsidRPr="008910EE">
        <w:t>Our data is highly sensitive</w:t>
      </w:r>
      <w:r w:rsidR="000B0EFD" w:rsidRPr="008910EE">
        <w:t>;</w:t>
      </w:r>
      <w:r w:rsidRPr="008910EE">
        <w:t xml:space="preserve"> </w:t>
      </w:r>
      <w:r w:rsidR="000B0EFD" w:rsidRPr="008910EE">
        <w:t>it</w:t>
      </w:r>
      <w:r w:rsidRPr="008910EE">
        <w:t xml:space="preserve"> can be misused.</w:t>
      </w:r>
      <w:r w:rsidR="3A120428" w:rsidRPr="008910EE">
        <w:t xml:space="preserve"> Data security is essential to our ongoing work.</w:t>
      </w:r>
    </w:p>
    <w:p w14:paraId="6BE0A125" w14:textId="659E6545" w:rsidR="007F0842" w:rsidRPr="008910EE" w:rsidRDefault="007F0842" w:rsidP="007F0842">
      <w:pPr>
        <w:pStyle w:val="Body"/>
      </w:pPr>
      <w:r w:rsidRPr="008910EE">
        <w:rPr>
          <w:rFonts w:cs="Arial"/>
          <w:szCs w:val="21"/>
        </w:rPr>
        <w:t xml:space="preserve">We will work to improve our data collection to </w:t>
      </w:r>
      <w:r w:rsidR="004F0153" w:rsidRPr="008910EE">
        <w:rPr>
          <w:rFonts w:cs="Arial"/>
          <w:szCs w:val="21"/>
        </w:rPr>
        <w:t>ensure it is appropriate</w:t>
      </w:r>
      <w:r w:rsidR="00CF790A" w:rsidRPr="008910EE">
        <w:rPr>
          <w:rFonts w:cs="Arial"/>
          <w:szCs w:val="21"/>
        </w:rPr>
        <w:t xml:space="preserve">, </w:t>
      </w:r>
      <w:r w:rsidR="004F0153" w:rsidRPr="008910EE">
        <w:rPr>
          <w:rFonts w:cs="Arial"/>
          <w:szCs w:val="21"/>
        </w:rPr>
        <w:t>inclusive</w:t>
      </w:r>
      <w:r w:rsidR="00CF790A" w:rsidRPr="008910EE">
        <w:rPr>
          <w:rFonts w:cs="Arial"/>
          <w:szCs w:val="21"/>
        </w:rPr>
        <w:t xml:space="preserve"> and collaborative</w:t>
      </w:r>
      <w:r w:rsidR="000B0EFD" w:rsidRPr="008910EE">
        <w:rPr>
          <w:rFonts w:cs="Arial"/>
          <w:szCs w:val="21"/>
        </w:rPr>
        <w:t>. We will</w:t>
      </w:r>
      <w:r w:rsidR="00AA0BF8" w:rsidRPr="008910EE">
        <w:rPr>
          <w:rFonts w:cs="Arial"/>
          <w:szCs w:val="21"/>
        </w:rPr>
        <w:t xml:space="preserve"> </w:t>
      </w:r>
      <w:r w:rsidRPr="008910EE">
        <w:rPr>
          <w:rFonts w:cs="Arial"/>
          <w:szCs w:val="21"/>
        </w:rPr>
        <w:t xml:space="preserve">use new techniques </w:t>
      </w:r>
      <w:r w:rsidRPr="008910EE">
        <w:rPr>
          <w:rFonts w:cs="Arial"/>
        </w:rPr>
        <w:t xml:space="preserve">and </w:t>
      </w:r>
      <w:r w:rsidR="00AB2308" w:rsidRPr="008910EE">
        <w:rPr>
          <w:rFonts w:cs="Arial"/>
        </w:rPr>
        <w:t xml:space="preserve">modern </w:t>
      </w:r>
      <w:r w:rsidRPr="008910EE">
        <w:rPr>
          <w:rFonts w:cs="Arial"/>
        </w:rPr>
        <w:t xml:space="preserve">demand models </w:t>
      </w:r>
      <w:r w:rsidRPr="008910EE">
        <w:rPr>
          <w:rFonts w:cs="Arial"/>
          <w:szCs w:val="21"/>
        </w:rPr>
        <w:t>to help us improve outcomes for people and communities</w:t>
      </w:r>
      <w:r w:rsidR="00AB2308" w:rsidRPr="008910EE">
        <w:rPr>
          <w:rFonts w:cs="Arial"/>
          <w:szCs w:val="21"/>
        </w:rPr>
        <w:t xml:space="preserve">. This will </w:t>
      </w:r>
      <w:r w:rsidRPr="008910EE">
        <w:rPr>
          <w:rFonts w:cs="Arial"/>
          <w:szCs w:val="21"/>
        </w:rPr>
        <w:t>also keep it safe and secure.</w:t>
      </w:r>
    </w:p>
    <w:p w14:paraId="3F5C4F1A" w14:textId="6652E087" w:rsidR="00A472CD" w:rsidRPr="008910EE" w:rsidRDefault="00961094" w:rsidP="00824FDE">
      <w:pPr>
        <w:pStyle w:val="Heading3"/>
        <w:rPr>
          <w:rFonts w:cs="Arial"/>
          <w:b/>
          <w:szCs w:val="21"/>
        </w:rPr>
      </w:pPr>
      <w:r w:rsidRPr="008910EE">
        <w:t>Making a difference</w:t>
      </w:r>
    </w:p>
    <w:p w14:paraId="5A94B0A9" w14:textId="025F9166" w:rsidR="008F1B23" w:rsidRPr="008910EE" w:rsidRDefault="008F1B23" w:rsidP="008F1B23">
      <w:pPr>
        <w:pStyle w:val="Body"/>
      </w:pPr>
      <w:r w:rsidRPr="008910EE">
        <w:t>To achieve results, we need high</w:t>
      </w:r>
      <w:r w:rsidR="00AB2308" w:rsidRPr="008910EE">
        <w:t>-</w:t>
      </w:r>
      <w:r w:rsidRPr="008910EE">
        <w:t xml:space="preserve">performing service systems that can </w:t>
      </w:r>
      <w:r w:rsidR="00D35DE6" w:rsidRPr="008910EE">
        <w:t xml:space="preserve">grow </w:t>
      </w:r>
      <w:r w:rsidRPr="008910EE">
        <w:t xml:space="preserve">to meet the community’s </w:t>
      </w:r>
      <w:r w:rsidR="00132BC3" w:rsidRPr="008910EE">
        <w:t xml:space="preserve">changing </w:t>
      </w:r>
      <w:r w:rsidRPr="008910EE">
        <w:t>needs. We have a duty to keep the people who use our services safe from preventable harm when delivering positive outcomes for all Victorians.</w:t>
      </w:r>
    </w:p>
    <w:p w14:paraId="154A2BD9" w14:textId="3AAA5E36" w:rsidR="008F1B23" w:rsidRPr="008910EE" w:rsidRDefault="008F1B23" w:rsidP="008F1B23">
      <w:pPr>
        <w:pStyle w:val="Body"/>
      </w:pPr>
      <w:r w:rsidRPr="008910EE">
        <w:t xml:space="preserve">We will need to improve </w:t>
      </w:r>
      <w:r w:rsidR="00D35DE6" w:rsidRPr="008910EE">
        <w:t xml:space="preserve">the way we oversee and manage service systems </w:t>
      </w:r>
      <w:r w:rsidRPr="008910EE">
        <w:t xml:space="preserve">to </w:t>
      </w:r>
      <w:r w:rsidR="00D35DE6" w:rsidRPr="008910EE">
        <w:t xml:space="preserve">ensure ongoing </w:t>
      </w:r>
      <w:r w:rsidRPr="008910EE">
        <w:t>safety and performance</w:t>
      </w:r>
      <w:r w:rsidR="000B0EFD" w:rsidRPr="008910EE">
        <w:t>. We will</w:t>
      </w:r>
      <w:r w:rsidRPr="008910EE">
        <w:t xml:space="preserve"> make sure we are monitoring, evaluating and improving to deliver safe, effective, person-centred services for everybody, every time. </w:t>
      </w:r>
    </w:p>
    <w:p w14:paraId="5CA34831" w14:textId="30B31302" w:rsidR="00980CF9" w:rsidRPr="008910EE" w:rsidRDefault="00693350" w:rsidP="00491036">
      <w:pPr>
        <w:pStyle w:val="Body"/>
      </w:pPr>
      <w:r w:rsidRPr="008910EE">
        <w:t>W</w:t>
      </w:r>
      <w:r w:rsidR="00BA5582" w:rsidRPr="008910EE">
        <w:t>e will also need to build the evidence base of what works</w:t>
      </w:r>
      <w:r w:rsidRPr="008910EE">
        <w:t xml:space="preserve"> </w:t>
      </w:r>
      <w:r w:rsidR="00650C34" w:rsidRPr="008910EE">
        <w:t>by</w:t>
      </w:r>
      <w:r w:rsidRPr="008910EE">
        <w:t xml:space="preserve"> more effectively evaluat</w:t>
      </w:r>
      <w:r w:rsidR="00650C34" w:rsidRPr="008910EE">
        <w:t>ing</w:t>
      </w:r>
      <w:r w:rsidRPr="008910EE">
        <w:t xml:space="preserve"> our programs</w:t>
      </w:r>
      <w:r w:rsidR="00D41D4A" w:rsidRPr="008910EE">
        <w:t>.</w:t>
      </w:r>
    </w:p>
    <w:p w14:paraId="265DEF57" w14:textId="20882FB7" w:rsidR="009F3A68" w:rsidRPr="008910EE" w:rsidRDefault="009F3A68" w:rsidP="00491036">
      <w:pPr>
        <w:pStyle w:val="Body"/>
      </w:pPr>
      <w:r w:rsidRPr="008910EE">
        <w:t>We will strengthen local partnerships to enable collective</w:t>
      </w:r>
      <w:r w:rsidR="007D5D3E" w:rsidRPr="008910EE">
        <w:t>, collaborative</w:t>
      </w:r>
      <w:r w:rsidRPr="008910EE">
        <w:t xml:space="preserve"> and </w:t>
      </w:r>
      <w:r w:rsidR="00D35DE6" w:rsidRPr="008910EE">
        <w:t>focused</w:t>
      </w:r>
      <w:r w:rsidRPr="008910EE">
        <w:t xml:space="preserve"> action to drive better outcomes for and with clients and communities.</w:t>
      </w:r>
    </w:p>
    <w:p w14:paraId="7C36A6EA" w14:textId="2E146382" w:rsidR="008E7AA3" w:rsidRPr="008910EE" w:rsidRDefault="008E7AA3" w:rsidP="00824FDE">
      <w:pPr>
        <w:pStyle w:val="Heading3"/>
        <w:rPr>
          <w:b/>
        </w:rPr>
      </w:pPr>
      <w:r w:rsidRPr="008910EE">
        <w:t xml:space="preserve">Technology </w:t>
      </w:r>
    </w:p>
    <w:p w14:paraId="022C613E" w14:textId="1A680C92" w:rsidR="006E13C3" w:rsidRPr="008910EE" w:rsidRDefault="000B0EFD" w:rsidP="00BA475E">
      <w:pPr>
        <w:pStyle w:val="Body"/>
      </w:pPr>
      <w:r w:rsidRPr="008910EE">
        <w:t>We will develop a</w:t>
      </w:r>
      <w:r w:rsidR="004E1FF5" w:rsidRPr="008910EE">
        <w:t xml:space="preserve"> new</w:t>
      </w:r>
      <w:r w:rsidRPr="008910EE">
        <w:t xml:space="preserve"> b</w:t>
      </w:r>
      <w:r w:rsidR="006E13C3" w:rsidRPr="008910EE">
        <w:t xml:space="preserve">usiness </w:t>
      </w:r>
      <w:r w:rsidRPr="008910EE">
        <w:t>t</w:t>
      </w:r>
      <w:r w:rsidR="006E13C3" w:rsidRPr="008910EE">
        <w:t xml:space="preserve">echnology strategy </w:t>
      </w:r>
      <w:r w:rsidR="685B9855" w:rsidRPr="008910EE">
        <w:t>while</w:t>
      </w:r>
      <w:r w:rsidR="006E13C3" w:rsidRPr="008910EE">
        <w:t xml:space="preserve"> </w:t>
      </w:r>
      <w:r w:rsidR="00132BC3" w:rsidRPr="008910EE">
        <w:t xml:space="preserve">continuing to deliver other </w:t>
      </w:r>
      <w:r w:rsidR="006E13C3" w:rsidRPr="008910EE">
        <w:t>improvements across the department.</w:t>
      </w:r>
    </w:p>
    <w:p w14:paraId="7B9B3141" w14:textId="6F4EB3C4" w:rsidR="006E13C3" w:rsidRPr="008910EE" w:rsidRDefault="000B4E6F" w:rsidP="00824FDE">
      <w:pPr>
        <w:pStyle w:val="Body"/>
      </w:pPr>
      <w:r w:rsidRPr="008910EE">
        <w:rPr>
          <w:rFonts w:cs="Arial"/>
        </w:rPr>
        <w:t>In line with the whole</w:t>
      </w:r>
      <w:r w:rsidR="000B0EFD" w:rsidRPr="008910EE">
        <w:rPr>
          <w:rFonts w:cs="Arial"/>
        </w:rPr>
        <w:t>-</w:t>
      </w:r>
      <w:r w:rsidRPr="008910EE">
        <w:rPr>
          <w:rFonts w:cs="Arial"/>
        </w:rPr>
        <w:t>of</w:t>
      </w:r>
      <w:r w:rsidR="000B0EFD" w:rsidRPr="008910EE">
        <w:rPr>
          <w:rFonts w:cs="Arial"/>
        </w:rPr>
        <w:t>-</w:t>
      </w:r>
      <w:r w:rsidRPr="008910EE">
        <w:rPr>
          <w:rFonts w:cs="Arial"/>
        </w:rPr>
        <w:t xml:space="preserve">government digital strategy, </w:t>
      </w:r>
      <w:r w:rsidR="00C2694F" w:rsidRPr="008910EE">
        <w:rPr>
          <w:rFonts w:cs="Arial"/>
        </w:rPr>
        <w:t xml:space="preserve">technology improvements </w:t>
      </w:r>
      <w:r w:rsidR="006E13C3" w:rsidRPr="008910EE">
        <w:rPr>
          <w:rFonts w:cs="Arial"/>
        </w:rPr>
        <w:t xml:space="preserve">will be </w:t>
      </w:r>
      <w:r w:rsidR="006E13C3" w:rsidRPr="008910EE">
        <w:t>customer</w:t>
      </w:r>
      <w:r w:rsidR="07D60957" w:rsidRPr="008910EE">
        <w:t>-</w:t>
      </w:r>
      <w:r w:rsidR="006E13C3" w:rsidRPr="008910EE">
        <w:t xml:space="preserve">focused, solve the right problem and build on the standard. </w:t>
      </w:r>
      <w:r w:rsidR="000B0EFD" w:rsidRPr="008910EE">
        <w:t xml:space="preserve">We will develop </w:t>
      </w:r>
      <w:r w:rsidR="00132BC3" w:rsidRPr="008910EE">
        <w:t>i</w:t>
      </w:r>
      <w:r w:rsidR="006E13C3" w:rsidRPr="008910EE">
        <w:t xml:space="preserve">nitiatives in partnership with </w:t>
      </w:r>
      <w:r w:rsidR="00D35DE6" w:rsidRPr="008910EE">
        <w:t xml:space="preserve">our </w:t>
      </w:r>
      <w:r w:rsidR="006E13C3" w:rsidRPr="008910EE">
        <w:t>business unit</w:t>
      </w:r>
      <w:r w:rsidR="00280122" w:rsidRPr="008910EE">
        <w:t>s</w:t>
      </w:r>
      <w:r w:rsidR="000B0EFD" w:rsidRPr="008910EE">
        <w:t>. We</w:t>
      </w:r>
      <w:r w:rsidR="006E13C3" w:rsidRPr="008910EE">
        <w:t xml:space="preserve"> will aim to connect different areas of the department, people and digital technologies. Innovation will be purposeful.</w:t>
      </w:r>
    </w:p>
    <w:p w14:paraId="78933C97" w14:textId="3D0D3510" w:rsidR="00FD7DAD" w:rsidRPr="008910EE" w:rsidRDefault="000B0EFD" w:rsidP="00824FDE">
      <w:pPr>
        <w:pStyle w:val="Body"/>
      </w:pPr>
      <w:r w:rsidRPr="008910EE">
        <w:t>We have i</w:t>
      </w:r>
      <w:r w:rsidR="00D53D79" w:rsidRPr="008910EE">
        <w:t>mprove</w:t>
      </w:r>
      <w:r w:rsidR="00132BC3" w:rsidRPr="008910EE">
        <w:t>d</w:t>
      </w:r>
      <w:r w:rsidR="005A32F6" w:rsidRPr="008910EE">
        <w:t xml:space="preserve"> the</w:t>
      </w:r>
      <w:r w:rsidR="00E210CB" w:rsidRPr="008910EE">
        <w:t xml:space="preserve"> digital infrastructure for the</w:t>
      </w:r>
      <w:r w:rsidR="00D53D79" w:rsidRPr="008910EE">
        <w:t xml:space="preserve"> </w:t>
      </w:r>
      <w:r w:rsidR="00E366A4" w:rsidRPr="008910EE">
        <w:t xml:space="preserve">Personal Hardship Assistance Program </w:t>
      </w:r>
      <w:r w:rsidR="00574538" w:rsidRPr="008910EE">
        <w:t xml:space="preserve">and the Emergency Management </w:t>
      </w:r>
      <w:r w:rsidR="511E51C4" w:rsidRPr="008910EE">
        <w:t>Learning Management System</w:t>
      </w:r>
      <w:r w:rsidR="001521F4" w:rsidRPr="008910EE">
        <w:t xml:space="preserve">. These changes </w:t>
      </w:r>
      <w:r w:rsidR="00FD7DAD" w:rsidRPr="008910EE">
        <w:t xml:space="preserve">mean </w:t>
      </w:r>
      <w:r w:rsidR="00132BC3" w:rsidRPr="008910EE">
        <w:t xml:space="preserve">we can mobilise our staff and provide </w:t>
      </w:r>
      <w:r w:rsidR="001521F4" w:rsidRPr="008910EE">
        <w:t xml:space="preserve">access to help </w:t>
      </w:r>
      <w:r w:rsidR="00132BC3" w:rsidRPr="008910EE">
        <w:t xml:space="preserve">faster </w:t>
      </w:r>
      <w:r w:rsidR="00FD7DAD" w:rsidRPr="008910EE">
        <w:t xml:space="preserve">in emergency </w:t>
      </w:r>
      <w:r w:rsidR="00132BC3" w:rsidRPr="008910EE">
        <w:t>situations</w:t>
      </w:r>
      <w:r w:rsidR="001521F4" w:rsidRPr="008910EE">
        <w:t>.</w:t>
      </w:r>
    </w:p>
    <w:p w14:paraId="19482FA0" w14:textId="61894A6D" w:rsidR="006E13C3" w:rsidRPr="008910EE" w:rsidRDefault="000B0EFD" w:rsidP="00824FDE">
      <w:pPr>
        <w:pStyle w:val="Body"/>
        <w:rPr>
          <w:rFonts w:cs="Arial"/>
          <w:szCs w:val="21"/>
        </w:rPr>
      </w:pPr>
      <w:r w:rsidRPr="008910EE">
        <w:t xml:space="preserve">Current </w:t>
      </w:r>
      <w:r w:rsidR="006E13C3" w:rsidRPr="008910EE">
        <w:t xml:space="preserve">initiatives </w:t>
      </w:r>
      <w:r w:rsidR="00CF2319" w:rsidRPr="008910EE">
        <w:t xml:space="preserve">will connect case management </w:t>
      </w:r>
      <w:r w:rsidR="00DE4BD6" w:rsidRPr="008910EE">
        <w:t>for child protection and family violence</w:t>
      </w:r>
      <w:r w:rsidR="00D47A3C" w:rsidRPr="008910EE">
        <w:t xml:space="preserve"> service users. </w:t>
      </w:r>
      <w:r w:rsidR="004E417A" w:rsidRPr="008910EE">
        <w:t>We are also updating t</w:t>
      </w:r>
      <w:r w:rsidR="00D47A3C" w:rsidRPr="008910EE">
        <w:t>echnologies for managing the housing wait list</w:t>
      </w:r>
      <w:r w:rsidR="004E417A" w:rsidRPr="008910EE">
        <w:t xml:space="preserve">. This will </w:t>
      </w:r>
      <w:r w:rsidR="007D458A" w:rsidRPr="008910EE">
        <w:t xml:space="preserve">mean people can check </w:t>
      </w:r>
      <w:r w:rsidR="00D66AC9" w:rsidRPr="008910EE">
        <w:t xml:space="preserve">the status of their housing application </w:t>
      </w:r>
      <w:r w:rsidR="007D458A" w:rsidRPr="008910EE">
        <w:t xml:space="preserve">faster </w:t>
      </w:r>
      <w:r w:rsidR="00D66AC9" w:rsidRPr="008910EE">
        <w:t>under the Victorian Housing Register</w:t>
      </w:r>
      <w:r w:rsidR="00D47A3C" w:rsidRPr="008910EE">
        <w:t>.</w:t>
      </w:r>
    </w:p>
    <w:p w14:paraId="6EA8A155" w14:textId="1A370DF2" w:rsidR="00E9038A" w:rsidRPr="008910EE" w:rsidRDefault="00E9038A" w:rsidP="00824FDE">
      <w:pPr>
        <w:pStyle w:val="Heading3"/>
        <w:rPr>
          <w:b/>
        </w:rPr>
      </w:pPr>
      <w:r w:rsidRPr="008910EE">
        <w:t>Workforce</w:t>
      </w:r>
    </w:p>
    <w:p w14:paraId="56423150" w14:textId="43159799" w:rsidR="00E9038A" w:rsidRPr="008910EE" w:rsidRDefault="00E9038A" w:rsidP="00BA475E">
      <w:pPr>
        <w:pStyle w:val="Body"/>
      </w:pPr>
      <w:r w:rsidRPr="008910EE">
        <w:t>Our workforce</w:t>
      </w:r>
      <w:r w:rsidR="007D458A" w:rsidRPr="008910EE">
        <w:t xml:space="preserve">, </w:t>
      </w:r>
      <w:r w:rsidRPr="008910EE">
        <w:t xml:space="preserve">both in the department and in our service delivery agencies, is our biggest asset. </w:t>
      </w:r>
      <w:r w:rsidR="51853696" w:rsidRPr="008910EE">
        <w:t>Without our people, we would not be able to meet the complex needs of our communities.</w:t>
      </w:r>
      <w:r w:rsidRPr="008910EE">
        <w:t xml:space="preserve"> </w:t>
      </w:r>
      <w:r w:rsidR="4BA2D254" w:rsidRPr="008910EE">
        <w:t xml:space="preserve">We rely on our people during times of emergency. </w:t>
      </w:r>
      <w:r w:rsidR="00D35DE6" w:rsidRPr="008910EE">
        <w:t>In l</w:t>
      </w:r>
      <w:r w:rsidR="7686757E" w:rsidRPr="008910EE">
        <w:t xml:space="preserve">arge-scale </w:t>
      </w:r>
      <w:r w:rsidR="00D8065A" w:rsidRPr="008910EE">
        <w:t>emergencies</w:t>
      </w:r>
      <w:r w:rsidR="007D458A" w:rsidRPr="008910EE">
        <w:t xml:space="preserve"> </w:t>
      </w:r>
      <w:r w:rsidR="00093551" w:rsidRPr="008910EE">
        <w:t xml:space="preserve">such as </w:t>
      </w:r>
      <w:r w:rsidRPr="008910EE">
        <w:t>pandemic</w:t>
      </w:r>
      <w:r w:rsidR="00093551" w:rsidRPr="008910EE">
        <w:t>s,</w:t>
      </w:r>
      <w:r w:rsidRPr="008910EE">
        <w:t xml:space="preserve"> bushfires and floods</w:t>
      </w:r>
      <w:r w:rsidR="23F89DED" w:rsidRPr="008910EE">
        <w:t xml:space="preserve"> </w:t>
      </w:r>
      <w:r w:rsidR="00D35DE6" w:rsidRPr="008910EE">
        <w:t xml:space="preserve">we must get </w:t>
      </w:r>
      <w:r w:rsidR="00BE0BE6" w:rsidRPr="008910EE">
        <w:t>staff to affected towns and suburbs</w:t>
      </w:r>
      <w:r w:rsidR="00D35DE6" w:rsidRPr="008910EE">
        <w:t xml:space="preserve"> quickly</w:t>
      </w:r>
      <w:r w:rsidRPr="008910EE">
        <w:t>.</w:t>
      </w:r>
    </w:p>
    <w:p w14:paraId="446AB895" w14:textId="487DC9DF" w:rsidR="00E9038A" w:rsidRPr="008910EE" w:rsidRDefault="00E9038A" w:rsidP="00BA475E">
      <w:pPr>
        <w:pStyle w:val="Body"/>
      </w:pPr>
      <w:r w:rsidRPr="008910EE">
        <w:t xml:space="preserve">To continue to deliver effective services and programs </w:t>
      </w:r>
      <w:r w:rsidR="1D43005C" w:rsidRPr="008910EE">
        <w:t xml:space="preserve">to our communities, </w:t>
      </w:r>
      <w:r w:rsidRPr="008910EE">
        <w:t xml:space="preserve">we need a </w:t>
      </w:r>
      <w:r w:rsidR="39CA1D9A" w:rsidRPr="008910EE">
        <w:t xml:space="preserve">skilled </w:t>
      </w:r>
      <w:r w:rsidRPr="008910EE">
        <w:t xml:space="preserve">workforce </w:t>
      </w:r>
      <w:r w:rsidR="007D458A" w:rsidRPr="008910EE">
        <w:t xml:space="preserve">that </w:t>
      </w:r>
      <w:r w:rsidR="008F0B3A" w:rsidRPr="008910EE">
        <w:t xml:space="preserve">can be </w:t>
      </w:r>
      <w:r w:rsidRPr="008910EE">
        <w:t xml:space="preserve">where </w:t>
      </w:r>
      <w:r w:rsidR="008F0B3A" w:rsidRPr="008910EE">
        <w:t xml:space="preserve">they are </w:t>
      </w:r>
      <w:r w:rsidRPr="008910EE">
        <w:t>most needed.</w:t>
      </w:r>
      <w:r w:rsidR="00FB7024" w:rsidRPr="008910EE">
        <w:t xml:space="preserve"> We also need a workforce that reflects the diversity of Victoria’s population.</w:t>
      </w:r>
    </w:p>
    <w:p w14:paraId="7C7DA352" w14:textId="09CE2B09" w:rsidR="001E4D3C" w:rsidRPr="008910EE" w:rsidRDefault="005A089D" w:rsidP="00E9038A">
      <w:pPr>
        <w:pStyle w:val="Body"/>
      </w:pPr>
      <w:r w:rsidRPr="008910EE">
        <w:t xml:space="preserve">To support child and family sector growth we will develop a new </w:t>
      </w:r>
      <w:r w:rsidR="00B21831" w:rsidRPr="008910EE">
        <w:t>m</w:t>
      </w:r>
      <w:r w:rsidRPr="008910EE">
        <w:t>aster</w:t>
      </w:r>
      <w:r w:rsidR="00B21831" w:rsidRPr="008910EE">
        <w:t>’</w:t>
      </w:r>
      <w:r w:rsidRPr="008910EE">
        <w:t xml:space="preserve">s qualification with supported placements in </w:t>
      </w:r>
      <w:r w:rsidR="007D458A" w:rsidRPr="008910EE">
        <w:t>c</w:t>
      </w:r>
      <w:r w:rsidRPr="008910EE">
        <w:t xml:space="preserve">ommunity </w:t>
      </w:r>
      <w:r w:rsidR="007D458A" w:rsidRPr="008910EE">
        <w:t>s</w:t>
      </w:r>
      <w:r w:rsidRPr="008910EE">
        <w:t xml:space="preserve">ervice </w:t>
      </w:r>
      <w:r w:rsidR="007D458A" w:rsidRPr="008910EE">
        <w:t>o</w:t>
      </w:r>
      <w:r w:rsidRPr="008910EE">
        <w:t xml:space="preserve">rganisations through </w:t>
      </w:r>
      <w:r w:rsidR="007D458A" w:rsidRPr="008910EE">
        <w:t xml:space="preserve">the </w:t>
      </w:r>
      <w:r w:rsidRPr="008910EE">
        <w:t xml:space="preserve">Frontline </w:t>
      </w:r>
      <w:r w:rsidR="007D458A" w:rsidRPr="008910EE">
        <w:t>Victoria p</w:t>
      </w:r>
      <w:r w:rsidRPr="008910EE">
        <w:t>ilot</w:t>
      </w:r>
      <w:r w:rsidRPr="008910EE">
        <w:rPr>
          <w:i/>
          <w:iCs/>
        </w:rPr>
        <w:t>.</w:t>
      </w:r>
    </w:p>
    <w:p w14:paraId="12D93CEB" w14:textId="15383BA1" w:rsidR="004E417A" w:rsidRPr="008910EE" w:rsidRDefault="004E417A" w:rsidP="00E9038A">
      <w:pPr>
        <w:pStyle w:val="Body"/>
      </w:pPr>
      <w:r w:rsidRPr="008910EE">
        <w:t>The</w:t>
      </w:r>
      <w:r w:rsidR="00C445C2" w:rsidRPr="008910EE">
        <w:t xml:space="preserve"> </w:t>
      </w:r>
      <w:r w:rsidR="00C445C2" w:rsidRPr="008910EE">
        <w:rPr>
          <w:i/>
          <w:iCs/>
        </w:rPr>
        <w:t>Child protection workforce strategy 2021</w:t>
      </w:r>
      <w:r w:rsidR="00B21831" w:rsidRPr="008910EE">
        <w:rPr>
          <w:i/>
          <w:iCs/>
        </w:rPr>
        <w:t>–</w:t>
      </w:r>
      <w:r w:rsidR="00C445C2" w:rsidRPr="008910EE">
        <w:rPr>
          <w:i/>
          <w:iCs/>
        </w:rPr>
        <w:t>2024</w:t>
      </w:r>
      <w:r w:rsidR="00C445C2" w:rsidRPr="008910EE">
        <w:t xml:space="preserve"> will focus on attracting new </w:t>
      </w:r>
      <w:r w:rsidRPr="008910EE">
        <w:t>c</w:t>
      </w:r>
      <w:r w:rsidR="00C445C2" w:rsidRPr="008910EE">
        <w:t xml:space="preserve">hild </w:t>
      </w:r>
      <w:r w:rsidRPr="008910EE">
        <w:t>p</w:t>
      </w:r>
      <w:r w:rsidR="00C445C2" w:rsidRPr="008910EE">
        <w:t xml:space="preserve">rotection </w:t>
      </w:r>
      <w:r w:rsidRPr="008910EE">
        <w:t>p</w:t>
      </w:r>
      <w:r w:rsidR="00C445C2" w:rsidRPr="008910EE">
        <w:t>ractitioners over the next 12</w:t>
      </w:r>
      <w:r w:rsidRPr="008910EE">
        <w:t xml:space="preserve"> to </w:t>
      </w:r>
      <w:r w:rsidR="00C445C2" w:rsidRPr="008910EE">
        <w:t>18 months</w:t>
      </w:r>
      <w:r w:rsidRPr="008910EE">
        <w:t>. It will also</w:t>
      </w:r>
      <w:r w:rsidR="00E9038A" w:rsidRPr="008910EE">
        <w:t xml:space="preserve"> </w:t>
      </w:r>
      <w:r w:rsidR="00C445C2" w:rsidRPr="008910EE">
        <w:t>support</w:t>
      </w:r>
      <w:r w:rsidRPr="008910EE">
        <w:t xml:space="preserve"> existing </w:t>
      </w:r>
      <w:r w:rsidR="009116F4" w:rsidRPr="008910EE">
        <w:t>C</w:t>
      </w:r>
      <w:r w:rsidR="00C445C2" w:rsidRPr="008910EE">
        <w:t xml:space="preserve">hild </w:t>
      </w:r>
      <w:r w:rsidR="009116F4" w:rsidRPr="008910EE">
        <w:t>P</w:t>
      </w:r>
      <w:r w:rsidR="00C445C2" w:rsidRPr="008910EE">
        <w:t xml:space="preserve">rotection </w:t>
      </w:r>
      <w:r w:rsidRPr="008910EE">
        <w:t>p</w:t>
      </w:r>
      <w:r w:rsidR="00C445C2" w:rsidRPr="008910EE">
        <w:t xml:space="preserve">ractitioners to stay. Key focus areas of the strategy include: </w:t>
      </w:r>
    </w:p>
    <w:p w14:paraId="0A1395AC" w14:textId="29544F41" w:rsidR="004E417A" w:rsidRPr="008910EE" w:rsidRDefault="00C445C2" w:rsidP="009116F4">
      <w:pPr>
        <w:pStyle w:val="Bullet1"/>
      </w:pPr>
      <w:r w:rsidRPr="008910EE">
        <w:t xml:space="preserve">advancing </w:t>
      </w:r>
      <w:r w:rsidR="004E417A" w:rsidRPr="008910EE">
        <w:t>A</w:t>
      </w:r>
      <w:r w:rsidRPr="008910EE">
        <w:t>boriginal self-determination</w:t>
      </w:r>
    </w:p>
    <w:p w14:paraId="37408404" w14:textId="6CD251E0" w:rsidR="004E417A" w:rsidRPr="008910EE" w:rsidRDefault="00C445C2" w:rsidP="009116F4">
      <w:pPr>
        <w:pStyle w:val="Bullet1"/>
      </w:pPr>
      <w:r w:rsidRPr="008910EE">
        <w:t>refreshing</w:t>
      </w:r>
      <w:r w:rsidR="00E9038A" w:rsidRPr="008910EE">
        <w:t xml:space="preserve"> the Child Protection Professional Development and Wellbeing program and delivery of local wellbeing and development initiatives</w:t>
      </w:r>
    </w:p>
    <w:p w14:paraId="3F680010" w14:textId="1DF03455" w:rsidR="004E417A" w:rsidRPr="008910EE" w:rsidRDefault="007721D6" w:rsidP="009116F4">
      <w:pPr>
        <w:pStyle w:val="Bullet1"/>
      </w:pPr>
      <w:r w:rsidRPr="008910EE">
        <w:rPr>
          <w:rFonts w:eastAsia="Times New Roman"/>
        </w:rPr>
        <w:t xml:space="preserve">rolling out </w:t>
      </w:r>
      <w:r w:rsidR="00C445C2" w:rsidRPr="008910EE">
        <w:t>a statewide approach to hard-to-recruit areas</w:t>
      </w:r>
    </w:p>
    <w:p w14:paraId="4D3802E5" w14:textId="01F78EEB" w:rsidR="00E9038A" w:rsidRPr="008910EE" w:rsidRDefault="00C445C2" w:rsidP="009116F4">
      <w:pPr>
        <w:pStyle w:val="Bullet1"/>
      </w:pPr>
      <w:r w:rsidRPr="008910EE">
        <w:t>ongoing partnerships with leading tertiary providers</w:t>
      </w:r>
      <w:r w:rsidR="00EB4A53" w:rsidRPr="008910EE">
        <w:t xml:space="preserve"> (TAFEs and universities)</w:t>
      </w:r>
      <w:r w:rsidR="00E9038A" w:rsidRPr="008910EE">
        <w:t>.</w:t>
      </w:r>
    </w:p>
    <w:p w14:paraId="78D3F211" w14:textId="2E9EDE15" w:rsidR="00E9038A" w:rsidRPr="008910EE" w:rsidRDefault="004E417A" w:rsidP="009116F4">
      <w:pPr>
        <w:pStyle w:val="Bodyafterbullets"/>
      </w:pPr>
      <w:r w:rsidRPr="008910EE">
        <w:t>We will refresh t</w:t>
      </w:r>
      <w:r w:rsidR="00E9038A" w:rsidRPr="008910EE">
        <w:t xml:space="preserve">he </w:t>
      </w:r>
      <w:r w:rsidR="00E35793" w:rsidRPr="008910EE">
        <w:t>h</w:t>
      </w:r>
      <w:r w:rsidR="00E9038A" w:rsidRPr="008910EE">
        <w:t xml:space="preserve">ousing </w:t>
      </w:r>
      <w:r w:rsidR="00E35793" w:rsidRPr="008910EE">
        <w:t>o</w:t>
      </w:r>
      <w:r w:rsidR="00E9038A" w:rsidRPr="008910EE">
        <w:t xml:space="preserve">perating </w:t>
      </w:r>
      <w:r w:rsidR="00E35793" w:rsidRPr="008910EE">
        <w:t>m</w:t>
      </w:r>
      <w:r w:rsidR="00E9038A" w:rsidRPr="008910EE">
        <w:t xml:space="preserve">odel and </w:t>
      </w:r>
      <w:r w:rsidR="00E35793" w:rsidRPr="008910EE">
        <w:t>h</w:t>
      </w:r>
      <w:r w:rsidR="00E9038A" w:rsidRPr="008910EE">
        <w:t xml:space="preserve">ousing </w:t>
      </w:r>
      <w:r w:rsidR="00C62853" w:rsidRPr="008910EE">
        <w:t>c</w:t>
      </w:r>
      <w:r w:rsidR="00E9038A" w:rsidRPr="008910EE">
        <w:t xml:space="preserve">apability </w:t>
      </w:r>
      <w:r w:rsidR="00C62853" w:rsidRPr="008910EE">
        <w:t>f</w:t>
      </w:r>
      <w:r w:rsidR="00E9038A" w:rsidRPr="008910EE">
        <w:t>ramework</w:t>
      </w:r>
      <w:r w:rsidRPr="008910EE">
        <w:t>. This will</w:t>
      </w:r>
      <w:r w:rsidR="00E9038A" w:rsidRPr="008910EE">
        <w:t xml:space="preserve"> improve our ability to deliver culturally appropriate </w:t>
      </w:r>
      <w:r w:rsidR="00827FEE" w:rsidRPr="008910EE">
        <w:t>housing</w:t>
      </w:r>
      <w:r w:rsidR="00E9038A" w:rsidRPr="008910EE">
        <w:t xml:space="preserve"> services</w:t>
      </w:r>
      <w:r w:rsidR="008C393B" w:rsidRPr="008910EE">
        <w:t xml:space="preserve"> that meet our clients’ needs</w:t>
      </w:r>
      <w:r w:rsidR="00E9038A" w:rsidRPr="008910EE">
        <w:t xml:space="preserve">. </w:t>
      </w:r>
    </w:p>
    <w:p w14:paraId="01B51A82" w14:textId="1099849C" w:rsidR="001A5DCA" w:rsidRPr="008910EE" w:rsidRDefault="004E417A" w:rsidP="001A5DCA">
      <w:pPr>
        <w:pStyle w:val="Body"/>
        <w:rPr>
          <w:szCs w:val="21"/>
        </w:rPr>
      </w:pPr>
      <w:r w:rsidRPr="008910EE">
        <w:rPr>
          <w:szCs w:val="21"/>
        </w:rPr>
        <w:t xml:space="preserve">We will roll out </w:t>
      </w:r>
      <w:r w:rsidR="00870115" w:rsidRPr="008910EE">
        <w:rPr>
          <w:i/>
          <w:iCs/>
          <w:szCs w:val="21"/>
        </w:rPr>
        <w:t xml:space="preserve">Strengthening the </w:t>
      </w:r>
      <w:r w:rsidR="00145405" w:rsidRPr="008910EE">
        <w:rPr>
          <w:i/>
          <w:iCs/>
          <w:szCs w:val="21"/>
        </w:rPr>
        <w:t>f</w:t>
      </w:r>
      <w:r w:rsidR="00870115" w:rsidRPr="008910EE">
        <w:rPr>
          <w:i/>
          <w:iCs/>
          <w:szCs w:val="21"/>
        </w:rPr>
        <w:t xml:space="preserve">oundations: </w:t>
      </w:r>
      <w:r w:rsidR="00145405" w:rsidRPr="008910EE">
        <w:rPr>
          <w:i/>
          <w:iCs/>
          <w:szCs w:val="21"/>
        </w:rPr>
        <w:t>f</w:t>
      </w:r>
      <w:r w:rsidR="00870115" w:rsidRPr="008910EE">
        <w:rPr>
          <w:i/>
          <w:iCs/>
          <w:szCs w:val="21"/>
        </w:rPr>
        <w:t xml:space="preserve">irst </w:t>
      </w:r>
      <w:r w:rsidR="00145405" w:rsidRPr="008910EE">
        <w:rPr>
          <w:i/>
          <w:iCs/>
          <w:szCs w:val="21"/>
        </w:rPr>
        <w:t>r</w:t>
      </w:r>
      <w:r w:rsidR="00870115" w:rsidRPr="008910EE">
        <w:rPr>
          <w:i/>
          <w:iCs/>
          <w:szCs w:val="21"/>
        </w:rPr>
        <w:t xml:space="preserve">olling </w:t>
      </w:r>
      <w:r w:rsidR="00145405" w:rsidRPr="008910EE">
        <w:rPr>
          <w:i/>
          <w:iCs/>
          <w:szCs w:val="21"/>
        </w:rPr>
        <w:t>a</w:t>
      </w:r>
      <w:r w:rsidR="00870115" w:rsidRPr="008910EE">
        <w:rPr>
          <w:i/>
          <w:iCs/>
          <w:szCs w:val="21"/>
        </w:rPr>
        <w:t xml:space="preserve">ction </w:t>
      </w:r>
      <w:r w:rsidR="00145405" w:rsidRPr="008910EE">
        <w:rPr>
          <w:i/>
          <w:iCs/>
          <w:szCs w:val="21"/>
        </w:rPr>
        <w:t>p</w:t>
      </w:r>
      <w:r w:rsidR="00870115" w:rsidRPr="008910EE">
        <w:rPr>
          <w:i/>
          <w:iCs/>
          <w:szCs w:val="21"/>
        </w:rPr>
        <w:t>lan 2019</w:t>
      </w:r>
      <w:r w:rsidR="00145405" w:rsidRPr="008910EE">
        <w:rPr>
          <w:i/>
          <w:iCs/>
          <w:szCs w:val="21"/>
        </w:rPr>
        <w:t>–</w:t>
      </w:r>
      <w:r w:rsidR="00870115" w:rsidRPr="008910EE">
        <w:rPr>
          <w:i/>
          <w:iCs/>
          <w:szCs w:val="21"/>
        </w:rPr>
        <w:t>22</w:t>
      </w:r>
      <w:r w:rsidR="00870115" w:rsidRPr="008910EE">
        <w:rPr>
          <w:szCs w:val="21"/>
        </w:rPr>
        <w:t xml:space="preserve"> of</w:t>
      </w:r>
      <w:r w:rsidR="001A5DCA" w:rsidRPr="008910EE">
        <w:rPr>
          <w:szCs w:val="21"/>
        </w:rPr>
        <w:t xml:space="preserve"> the </w:t>
      </w:r>
      <w:r w:rsidR="001A5DCA" w:rsidRPr="008910EE">
        <w:rPr>
          <w:i/>
          <w:iCs/>
          <w:szCs w:val="21"/>
        </w:rPr>
        <w:t xml:space="preserve">Building from </w:t>
      </w:r>
      <w:r w:rsidR="00145405" w:rsidRPr="008910EE">
        <w:rPr>
          <w:i/>
          <w:iCs/>
          <w:szCs w:val="21"/>
        </w:rPr>
        <w:t>s</w:t>
      </w:r>
      <w:r w:rsidR="001A5DCA" w:rsidRPr="008910EE">
        <w:rPr>
          <w:i/>
          <w:iCs/>
          <w:szCs w:val="21"/>
        </w:rPr>
        <w:t>trength: 10-</w:t>
      </w:r>
      <w:r w:rsidR="00145405" w:rsidRPr="008910EE">
        <w:rPr>
          <w:i/>
          <w:iCs/>
          <w:szCs w:val="21"/>
        </w:rPr>
        <w:t>y</w:t>
      </w:r>
      <w:r w:rsidR="001A5DCA" w:rsidRPr="008910EE">
        <w:rPr>
          <w:i/>
          <w:iCs/>
          <w:szCs w:val="21"/>
        </w:rPr>
        <w:t xml:space="preserve">ear </w:t>
      </w:r>
      <w:r w:rsidR="00145405" w:rsidRPr="008910EE">
        <w:rPr>
          <w:i/>
          <w:iCs/>
          <w:szCs w:val="21"/>
        </w:rPr>
        <w:t>i</w:t>
      </w:r>
      <w:r w:rsidR="001A5DCA" w:rsidRPr="008910EE">
        <w:rPr>
          <w:i/>
          <w:iCs/>
          <w:szCs w:val="21"/>
        </w:rPr>
        <w:t xml:space="preserve">ndustry </w:t>
      </w:r>
      <w:r w:rsidR="00145405" w:rsidRPr="008910EE">
        <w:rPr>
          <w:i/>
          <w:iCs/>
          <w:szCs w:val="21"/>
        </w:rPr>
        <w:t>p</w:t>
      </w:r>
      <w:r w:rsidR="001A5DCA" w:rsidRPr="008910EE">
        <w:rPr>
          <w:i/>
          <w:iCs/>
          <w:szCs w:val="21"/>
        </w:rPr>
        <w:t xml:space="preserve">lan for </w:t>
      </w:r>
      <w:r w:rsidR="00145405" w:rsidRPr="008910EE">
        <w:rPr>
          <w:i/>
          <w:iCs/>
          <w:szCs w:val="21"/>
        </w:rPr>
        <w:t>f</w:t>
      </w:r>
      <w:r w:rsidR="001A5DCA" w:rsidRPr="008910EE">
        <w:rPr>
          <w:i/>
          <w:iCs/>
          <w:szCs w:val="21"/>
        </w:rPr>
        <w:t xml:space="preserve">amily </w:t>
      </w:r>
      <w:r w:rsidR="00145405" w:rsidRPr="008910EE">
        <w:rPr>
          <w:i/>
          <w:iCs/>
          <w:szCs w:val="21"/>
        </w:rPr>
        <w:t>v</w:t>
      </w:r>
      <w:r w:rsidR="001A5DCA" w:rsidRPr="008910EE">
        <w:rPr>
          <w:i/>
          <w:iCs/>
          <w:szCs w:val="21"/>
        </w:rPr>
        <w:t xml:space="preserve">iolence </w:t>
      </w:r>
      <w:r w:rsidR="00145405" w:rsidRPr="008910EE">
        <w:rPr>
          <w:i/>
          <w:iCs/>
          <w:szCs w:val="21"/>
        </w:rPr>
        <w:t>p</w:t>
      </w:r>
      <w:r w:rsidR="001A5DCA" w:rsidRPr="008910EE">
        <w:rPr>
          <w:i/>
          <w:iCs/>
          <w:szCs w:val="21"/>
        </w:rPr>
        <w:t xml:space="preserve">revention and </w:t>
      </w:r>
      <w:r w:rsidR="00145405" w:rsidRPr="008910EE">
        <w:rPr>
          <w:i/>
          <w:iCs/>
          <w:szCs w:val="21"/>
        </w:rPr>
        <w:t>r</w:t>
      </w:r>
      <w:r w:rsidR="001A5DCA" w:rsidRPr="008910EE">
        <w:rPr>
          <w:i/>
          <w:iCs/>
          <w:szCs w:val="21"/>
        </w:rPr>
        <w:t>esponse</w:t>
      </w:r>
      <w:r w:rsidRPr="008910EE">
        <w:rPr>
          <w:szCs w:val="21"/>
        </w:rPr>
        <w:t>.</w:t>
      </w:r>
      <w:r w:rsidR="001A5DCA" w:rsidRPr="008910EE">
        <w:rPr>
          <w:szCs w:val="21"/>
        </w:rPr>
        <w:t xml:space="preserve"> </w:t>
      </w:r>
      <w:r w:rsidRPr="008910EE">
        <w:rPr>
          <w:szCs w:val="21"/>
        </w:rPr>
        <w:t xml:space="preserve">This </w:t>
      </w:r>
      <w:r w:rsidR="00C41237" w:rsidRPr="008910EE">
        <w:rPr>
          <w:szCs w:val="21"/>
        </w:rPr>
        <w:t xml:space="preserve">will </w:t>
      </w:r>
      <w:r w:rsidR="002B08B0" w:rsidRPr="008910EE">
        <w:rPr>
          <w:szCs w:val="21"/>
        </w:rPr>
        <w:t xml:space="preserve">help </w:t>
      </w:r>
      <w:r w:rsidR="0093720D" w:rsidRPr="008910EE">
        <w:rPr>
          <w:szCs w:val="21"/>
        </w:rPr>
        <w:t>to increase the skills</w:t>
      </w:r>
      <w:r w:rsidR="002B08B0" w:rsidRPr="008910EE">
        <w:rPr>
          <w:szCs w:val="21"/>
        </w:rPr>
        <w:t xml:space="preserve"> </w:t>
      </w:r>
      <w:r w:rsidR="00184980" w:rsidRPr="008910EE">
        <w:rPr>
          <w:szCs w:val="21"/>
        </w:rPr>
        <w:t xml:space="preserve">and </w:t>
      </w:r>
      <w:r w:rsidR="002B08B0" w:rsidRPr="008910EE">
        <w:rPr>
          <w:szCs w:val="21"/>
        </w:rPr>
        <w:t xml:space="preserve">capacity of the family violence workforce. </w:t>
      </w:r>
    </w:p>
    <w:p w14:paraId="5D6E1E5D" w14:textId="24170F87" w:rsidR="00EB4BC7" w:rsidRPr="008910EE" w:rsidRDefault="00E222FC" w:rsidP="00BA475E">
      <w:pPr>
        <w:pStyle w:val="Body"/>
      </w:pPr>
      <w:r w:rsidRPr="008910EE">
        <w:t>Employing and keeping the best</w:t>
      </w:r>
      <w:r w:rsidR="00E9038A" w:rsidRPr="008910EE">
        <w:t xml:space="preserve"> people in community services and child protection is also a focus for our work with the community services sector.</w:t>
      </w:r>
    </w:p>
    <w:p w14:paraId="3DD06052" w14:textId="64560910" w:rsidR="008E4301" w:rsidRPr="008910EE" w:rsidRDefault="008E4301" w:rsidP="008E4301">
      <w:pPr>
        <w:pStyle w:val="Body"/>
      </w:pPr>
      <w:r w:rsidRPr="008910EE">
        <w:t xml:space="preserve">We will continue to work with our partners at the Commonwealth level and across broader Victorian Government jobs and training initiatives to build </w:t>
      </w:r>
      <w:r w:rsidR="004E417A" w:rsidRPr="008910EE">
        <w:t>the</w:t>
      </w:r>
      <w:r w:rsidR="00530DC8" w:rsidRPr="008910EE">
        <w:t xml:space="preserve"> </w:t>
      </w:r>
      <w:r w:rsidR="004E417A" w:rsidRPr="008910EE">
        <w:t>NDIS</w:t>
      </w:r>
      <w:r w:rsidRPr="008910EE">
        <w:t xml:space="preserve"> workforce</w:t>
      </w:r>
      <w:r w:rsidR="004E417A" w:rsidRPr="008910EE">
        <w:t>. This workforce will have</w:t>
      </w:r>
      <w:r w:rsidRPr="008910EE">
        <w:t xml:space="preserve"> the size, capability and quality to deliver </w:t>
      </w:r>
      <w:r w:rsidR="00E222FC" w:rsidRPr="008910EE">
        <w:t xml:space="preserve">the best </w:t>
      </w:r>
      <w:r w:rsidRPr="008910EE">
        <w:t xml:space="preserve">NDIS outcomes for Victorians with disability. </w:t>
      </w:r>
    </w:p>
    <w:p w14:paraId="1E01A78D" w14:textId="4638362A" w:rsidR="00E70E99" w:rsidRPr="008910EE" w:rsidRDefault="008C4805" w:rsidP="00E70E99">
      <w:pPr>
        <w:pStyle w:val="Body"/>
      </w:pPr>
      <w:hyperlink r:id="rId22" w:history="1">
        <w:r w:rsidR="00E70E99" w:rsidRPr="008910EE">
          <w:rPr>
            <w:rStyle w:val="Hyperlink"/>
          </w:rPr>
          <w:t>Visit our website</w:t>
        </w:r>
      </w:hyperlink>
      <w:r w:rsidR="00E70E99" w:rsidRPr="008910EE">
        <w:t xml:space="preserve"> </w:t>
      </w:r>
      <w:r w:rsidR="00DA6005" w:rsidRPr="008910EE">
        <w:t xml:space="preserve">&lt;https://www.vic.gov.au/department-families-fairness-and-housing&gt; </w:t>
      </w:r>
      <w:r w:rsidR="00E70E99" w:rsidRPr="008910EE">
        <w:t xml:space="preserve">for more information about these initiatives. </w:t>
      </w:r>
    </w:p>
    <w:p w14:paraId="1C69AFB1" w14:textId="77777777" w:rsidR="00824FDE" w:rsidRPr="008910EE" w:rsidRDefault="00824FDE" w:rsidP="00987A42">
      <w:pPr>
        <w:pStyle w:val="Body"/>
        <w:rPr>
          <w:rFonts w:eastAsia="MS Gothic" w:cs="Arial"/>
          <w:color w:val="201547"/>
          <w:kern w:val="32"/>
          <w:sz w:val="44"/>
          <w:szCs w:val="44"/>
        </w:rPr>
      </w:pPr>
      <w:r w:rsidRPr="008910EE">
        <w:br w:type="page"/>
      </w:r>
    </w:p>
    <w:p w14:paraId="0ADA3A4A" w14:textId="1F5F0C5B" w:rsidR="00BA0F1D" w:rsidRPr="008910EE" w:rsidRDefault="00207037" w:rsidP="00263647">
      <w:pPr>
        <w:pStyle w:val="Heading1"/>
      </w:pPr>
      <w:bookmarkStart w:id="163" w:name="_Toc80708367"/>
      <w:r w:rsidRPr="008910EE">
        <w:t>Our results</w:t>
      </w:r>
      <w:bookmarkEnd w:id="163"/>
    </w:p>
    <w:p w14:paraId="52A18B47" w14:textId="5DA049DB" w:rsidR="0051347D" w:rsidRPr="008910EE" w:rsidRDefault="0051347D" w:rsidP="0051347D">
      <w:pPr>
        <w:pStyle w:val="Body"/>
      </w:pPr>
      <w:r w:rsidRPr="008910EE">
        <w:t xml:space="preserve">The department </w:t>
      </w:r>
      <w:r w:rsidR="00AE1A60" w:rsidRPr="008910EE">
        <w:t xml:space="preserve">is accountable for public funding via the </w:t>
      </w:r>
      <w:r w:rsidR="00434EF3" w:rsidRPr="008910EE">
        <w:t xml:space="preserve">Victorian </w:t>
      </w:r>
      <w:r w:rsidR="000C32AA" w:rsidRPr="008910EE">
        <w:t>State B</w:t>
      </w:r>
      <w:r w:rsidR="00AE1A60" w:rsidRPr="008910EE">
        <w:t xml:space="preserve">udget process. We </w:t>
      </w:r>
      <w:r w:rsidRPr="008910EE">
        <w:t xml:space="preserve">report </w:t>
      </w:r>
      <w:r w:rsidR="0031293B" w:rsidRPr="008910EE">
        <w:t xml:space="preserve">progress and results </w:t>
      </w:r>
      <w:r w:rsidRPr="008910EE">
        <w:t xml:space="preserve">across </w:t>
      </w:r>
      <w:r w:rsidR="00AE1A60" w:rsidRPr="008910EE">
        <w:t>the department’s</w:t>
      </w:r>
      <w:r w:rsidRPr="008910EE">
        <w:t xml:space="preserve"> portfolios</w:t>
      </w:r>
      <w:r w:rsidR="00C7190D" w:rsidRPr="008910EE">
        <w:t xml:space="preserve"> for funding received</w:t>
      </w:r>
      <w:r w:rsidR="006A661A" w:rsidRPr="008910EE">
        <w:t xml:space="preserve"> each year</w:t>
      </w:r>
      <w:r w:rsidRPr="008910EE">
        <w:t xml:space="preserve"> </w:t>
      </w:r>
      <w:r w:rsidR="0031293B" w:rsidRPr="008910EE">
        <w:t xml:space="preserve">in the </w:t>
      </w:r>
      <w:r w:rsidR="004E417A" w:rsidRPr="008910EE">
        <w:t xml:space="preserve">Victorian </w:t>
      </w:r>
      <w:r w:rsidR="006A661A" w:rsidRPr="008910EE">
        <w:t>State</w:t>
      </w:r>
      <w:r w:rsidR="00C149D6" w:rsidRPr="008910EE">
        <w:t xml:space="preserve"> Budget</w:t>
      </w:r>
      <w:r w:rsidR="0031293B" w:rsidRPr="008910EE">
        <w:t xml:space="preserve">. </w:t>
      </w:r>
    </w:p>
    <w:p w14:paraId="3404A634" w14:textId="124AB568" w:rsidR="00DA12F3" w:rsidRPr="008910EE" w:rsidRDefault="002656C1" w:rsidP="00DA12F3">
      <w:pPr>
        <w:pStyle w:val="Body"/>
      </w:pPr>
      <w:r w:rsidRPr="008910EE">
        <w:t>You can find m</w:t>
      </w:r>
      <w:r w:rsidR="00405AA3" w:rsidRPr="008910EE">
        <w:t xml:space="preserve">ore detailed financial information and results in </w:t>
      </w:r>
      <w:hyperlink r:id="rId23" w:history="1">
        <w:r w:rsidR="00405AA3" w:rsidRPr="008910EE">
          <w:rPr>
            <w:rStyle w:val="Hyperlink"/>
          </w:rPr>
          <w:t xml:space="preserve">the department’s </w:t>
        </w:r>
        <w:r w:rsidR="004E417A" w:rsidRPr="008910EE">
          <w:rPr>
            <w:rStyle w:val="Hyperlink"/>
          </w:rPr>
          <w:t>a</w:t>
        </w:r>
        <w:r w:rsidR="00405AA3" w:rsidRPr="008910EE">
          <w:rPr>
            <w:rStyle w:val="Hyperlink"/>
          </w:rPr>
          <w:t xml:space="preserve">nnual </w:t>
        </w:r>
        <w:r w:rsidR="004E417A" w:rsidRPr="008910EE">
          <w:rPr>
            <w:rStyle w:val="Hyperlink"/>
          </w:rPr>
          <w:t>r</w:t>
        </w:r>
        <w:r w:rsidR="00405AA3" w:rsidRPr="008910EE">
          <w:rPr>
            <w:rStyle w:val="Hyperlink"/>
          </w:rPr>
          <w:t>eport</w:t>
        </w:r>
      </w:hyperlink>
      <w:r w:rsidR="00824FDE" w:rsidRPr="008910EE">
        <w:t xml:space="preserve"> &lt;https://www.vic.gov.au/department-families-fairness-and-housing&gt;.</w:t>
      </w:r>
      <w:r w:rsidR="001C6DD0" w:rsidRPr="008910EE">
        <w:t xml:space="preserve"> </w:t>
      </w:r>
    </w:p>
    <w:p w14:paraId="5085F337" w14:textId="618B60B8" w:rsidR="0064054E" w:rsidRPr="008910EE" w:rsidRDefault="0064054E" w:rsidP="00BA475E">
      <w:pPr>
        <w:pStyle w:val="Body"/>
      </w:pPr>
      <w:r w:rsidRPr="008910EE">
        <w:br w:type="page"/>
      </w:r>
    </w:p>
    <w:p w14:paraId="3B0A60D7" w14:textId="1AC9CC29" w:rsidR="008E4301" w:rsidRDefault="0064054E" w:rsidP="0064054E">
      <w:pPr>
        <w:pStyle w:val="Heading1"/>
      </w:pPr>
      <w:bookmarkStart w:id="164" w:name="_Toc80708368"/>
      <w:r w:rsidRPr="008910EE">
        <w:t>Endnotes</w:t>
      </w:r>
      <w:bookmarkEnd w:id="164"/>
    </w:p>
    <w:sectPr w:rsidR="008E4301" w:rsidSect="005A35AA">
      <w:headerReference w:type="even" r:id="rId24"/>
      <w:headerReference w:type="default" r:id="rId25"/>
      <w:footerReference w:type="even" r:id="rId26"/>
      <w:footerReference w:type="default" r:id="rId27"/>
      <w:endnotePr>
        <w:numFmt w:val="decimal"/>
      </w:endnotePr>
      <w:pgSz w:w="11906" w:h="16838" w:code="9"/>
      <w:pgMar w:top="1440" w:right="1440" w:bottom="1440" w:left="1440"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4F96F" w14:textId="77777777" w:rsidR="00A038D4" w:rsidRDefault="00A038D4">
      <w:r>
        <w:separator/>
      </w:r>
    </w:p>
    <w:p w14:paraId="0571BBAB" w14:textId="77777777" w:rsidR="00A038D4" w:rsidRDefault="00A038D4"/>
  </w:endnote>
  <w:endnote w:type="continuationSeparator" w:id="0">
    <w:p w14:paraId="6B499E69" w14:textId="77777777" w:rsidR="00A038D4" w:rsidRDefault="00A038D4">
      <w:r>
        <w:continuationSeparator/>
      </w:r>
    </w:p>
    <w:p w14:paraId="024F1EE7" w14:textId="77777777" w:rsidR="00A038D4" w:rsidRDefault="00A038D4"/>
  </w:endnote>
  <w:endnote w:type="continuationNotice" w:id="1">
    <w:p w14:paraId="1F1512A8" w14:textId="77777777" w:rsidR="00A038D4" w:rsidRDefault="00A038D4">
      <w:pPr>
        <w:spacing w:after="0" w:line="240" w:lineRule="auto"/>
      </w:pPr>
    </w:p>
  </w:endnote>
  <w:endnote w:id="2">
    <w:p w14:paraId="0E43DC26" w14:textId="77777777" w:rsidR="00D03F86" w:rsidRPr="006F6B98" w:rsidRDefault="00D03F86" w:rsidP="00D03F86">
      <w:pPr>
        <w:pStyle w:val="EndnoteText"/>
        <w:spacing w:after="0" w:line="240" w:lineRule="auto"/>
        <w:rPr>
          <w:sz w:val="20"/>
          <w:szCs w:val="20"/>
        </w:rPr>
      </w:pPr>
      <w:r w:rsidRPr="00824FDE">
        <w:rPr>
          <w:rStyle w:val="EndnoteReference"/>
          <w:sz w:val="20"/>
          <w:szCs w:val="20"/>
        </w:rPr>
        <w:endnoteRef/>
      </w:r>
      <w:r w:rsidRPr="00824FDE">
        <w:rPr>
          <w:sz w:val="20"/>
          <w:szCs w:val="20"/>
        </w:rPr>
        <w:t xml:space="preserve"> </w:t>
      </w:r>
      <w:r w:rsidRPr="0008576B">
        <w:rPr>
          <w:sz w:val="20"/>
          <w:szCs w:val="20"/>
        </w:rPr>
        <w:t xml:space="preserve">Source: Premier’s </w:t>
      </w:r>
      <w:r w:rsidRPr="006F6B98">
        <w:rPr>
          <w:sz w:val="20"/>
          <w:szCs w:val="20"/>
        </w:rPr>
        <w:t>Media release, ‘Victoria’s Big Housing Build’, 15 November 2020</w:t>
      </w:r>
    </w:p>
  </w:endnote>
  <w:endnote w:id="3">
    <w:p w14:paraId="7F1F8778" w14:textId="58C78D8B" w:rsidR="00850DFF" w:rsidRPr="006F6B98" w:rsidRDefault="00850DFF"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Source: </w:t>
      </w:r>
      <w:r w:rsidR="00585148" w:rsidRPr="006F6B98">
        <w:rPr>
          <w:sz w:val="20"/>
          <w:szCs w:val="20"/>
        </w:rPr>
        <w:t xml:space="preserve">Internal data from the </w:t>
      </w:r>
      <w:r w:rsidRPr="006F6B98">
        <w:rPr>
          <w:sz w:val="20"/>
          <w:szCs w:val="20"/>
        </w:rPr>
        <w:t>Service Agreement Management System (SAMS)</w:t>
      </w:r>
      <w:r w:rsidR="000C32AA" w:rsidRPr="006F6B98">
        <w:rPr>
          <w:sz w:val="20"/>
          <w:szCs w:val="20"/>
        </w:rPr>
        <w:t>,</w:t>
      </w:r>
      <w:r w:rsidRPr="006F6B98">
        <w:rPr>
          <w:sz w:val="20"/>
          <w:szCs w:val="20"/>
        </w:rPr>
        <w:t xml:space="preserve"> </w:t>
      </w:r>
      <w:r w:rsidR="00FB6996" w:rsidRPr="006F6B98">
        <w:rPr>
          <w:sz w:val="20"/>
          <w:szCs w:val="20"/>
        </w:rPr>
        <w:t>July</w:t>
      </w:r>
      <w:r w:rsidRPr="006F6B98">
        <w:rPr>
          <w:sz w:val="20"/>
          <w:szCs w:val="20"/>
        </w:rPr>
        <w:t xml:space="preserve"> 2021</w:t>
      </w:r>
    </w:p>
  </w:endnote>
  <w:endnote w:id="4">
    <w:p w14:paraId="2BF1992F" w14:textId="03A1E058" w:rsidR="007E4042" w:rsidRPr="006F6B98" w:rsidRDefault="007E4042" w:rsidP="00A0184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BB3239" w:rsidRPr="006F6B98">
        <w:rPr>
          <w:sz w:val="20"/>
          <w:szCs w:val="20"/>
        </w:rPr>
        <w:t xml:space="preserve">Source: </w:t>
      </w:r>
      <w:hyperlink r:id="rId1" w:history="1">
        <w:r w:rsidR="00575683" w:rsidRPr="006F6B98">
          <w:rPr>
            <w:rStyle w:val="Hyperlink"/>
            <w:sz w:val="20"/>
            <w:szCs w:val="20"/>
          </w:rPr>
          <w:t>Vi</w:t>
        </w:r>
        <w:hyperlink r:id="rId2" w:history="1">
          <w:r w:rsidR="00575683" w:rsidRPr="006F6B98">
            <w:rPr>
              <w:rStyle w:val="Hyperlink"/>
              <w:sz w:val="20"/>
              <w:szCs w:val="20"/>
            </w:rPr>
            <w:t>ctorian Budget 2020/21: The Hon Luke Donnellan MP Minister for Disability, Ageing and Carers</w:t>
          </w:r>
        </w:hyperlink>
      </w:hyperlink>
      <w:r w:rsidR="00575683" w:rsidRPr="006F6B98">
        <w:rPr>
          <w:sz w:val="20"/>
          <w:szCs w:val="20"/>
        </w:rPr>
        <w:t xml:space="preserve"> &lt;</w:t>
      </w:r>
      <w:r w:rsidR="0033221B" w:rsidRPr="006F6B98">
        <w:rPr>
          <w:sz w:val="20"/>
          <w:szCs w:val="20"/>
        </w:rPr>
        <w:t>https://www.parliament.vic.gov.au/images/stories/committees/paec/2021-22_Budget_Estimates/Presentations/18_June/Donnellan/PAEC_DAC_presentation_-_FINAL.pdf</w:t>
      </w:r>
      <w:r w:rsidR="00575683" w:rsidRPr="006F6B98">
        <w:rPr>
          <w:sz w:val="20"/>
          <w:szCs w:val="20"/>
        </w:rPr>
        <w:t xml:space="preserve">&gt;, </w:t>
      </w:r>
      <w:r w:rsidR="004B14C8" w:rsidRPr="006F6B98">
        <w:rPr>
          <w:sz w:val="20"/>
          <w:szCs w:val="20"/>
        </w:rPr>
        <w:t xml:space="preserve">18 </w:t>
      </w:r>
      <w:r w:rsidR="0033221B" w:rsidRPr="006F6B98">
        <w:rPr>
          <w:sz w:val="20"/>
          <w:szCs w:val="20"/>
        </w:rPr>
        <w:t>June</w:t>
      </w:r>
      <w:r w:rsidR="00575683" w:rsidRPr="006F6B98">
        <w:rPr>
          <w:sz w:val="20"/>
          <w:szCs w:val="20"/>
        </w:rPr>
        <w:t xml:space="preserve"> 202</w:t>
      </w:r>
      <w:r w:rsidR="004B14C8" w:rsidRPr="006F6B98">
        <w:rPr>
          <w:sz w:val="20"/>
          <w:szCs w:val="20"/>
        </w:rPr>
        <w:t>1</w:t>
      </w:r>
    </w:p>
  </w:endnote>
  <w:endnote w:id="5">
    <w:p w14:paraId="3CC86D46" w14:textId="0BFC5992" w:rsidR="004E169D" w:rsidRPr="006F6B98" w:rsidRDefault="004E169D" w:rsidP="00A0184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FC0D90" w:rsidRPr="006F6B98">
        <w:rPr>
          <w:rFonts w:eastAsia="Arial" w:cs="Arial"/>
          <w:sz w:val="20"/>
          <w:szCs w:val="20"/>
        </w:rPr>
        <w:t xml:space="preserve">Source: Internal data from </w:t>
      </w:r>
      <w:r w:rsidR="000C32AA" w:rsidRPr="006F6B98">
        <w:rPr>
          <w:rFonts w:eastAsia="Arial" w:cs="Arial"/>
          <w:sz w:val="20"/>
          <w:szCs w:val="20"/>
        </w:rPr>
        <w:t xml:space="preserve">the department’s </w:t>
      </w:r>
      <w:r w:rsidR="00FC0D90" w:rsidRPr="006F6B98">
        <w:rPr>
          <w:rFonts w:eastAsia="Arial" w:cs="Arial"/>
          <w:sz w:val="20"/>
          <w:szCs w:val="20"/>
        </w:rPr>
        <w:t>grant management system</w:t>
      </w:r>
      <w:r w:rsidR="008D44A6" w:rsidRPr="006F6B98">
        <w:rPr>
          <w:rFonts w:eastAsia="Arial" w:cs="Arial"/>
          <w:sz w:val="20"/>
          <w:szCs w:val="20"/>
        </w:rPr>
        <w:t>, July 2021</w:t>
      </w:r>
    </w:p>
  </w:endnote>
  <w:endnote w:id="6">
    <w:p w14:paraId="779CF9D5" w14:textId="1886C888" w:rsidR="00850DFF" w:rsidRPr="006F6B98" w:rsidRDefault="00850DFF"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Source: </w:t>
      </w:r>
      <w:r w:rsidR="008D44A6" w:rsidRPr="006F6B98">
        <w:rPr>
          <w:sz w:val="20"/>
          <w:szCs w:val="20"/>
        </w:rPr>
        <w:t xml:space="preserve">Internal data from the </w:t>
      </w:r>
      <w:r w:rsidRPr="006F6B98">
        <w:rPr>
          <w:sz w:val="20"/>
          <w:szCs w:val="20"/>
        </w:rPr>
        <w:t>Client Relationship Information System (CRIS)</w:t>
      </w:r>
      <w:r w:rsidR="000C32AA" w:rsidRPr="006F6B98">
        <w:rPr>
          <w:sz w:val="20"/>
          <w:szCs w:val="20"/>
        </w:rPr>
        <w:t>,</w:t>
      </w:r>
      <w:r w:rsidRPr="006F6B98">
        <w:rPr>
          <w:sz w:val="20"/>
          <w:szCs w:val="20"/>
        </w:rPr>
        <w:t xml:space="preserve"> </w:t>
      </w:r>
      <w:r w:rsidR="008D44A6" w:rsidRPr="006F6B98">
        <w:rPr>
          <w:sz w:val="20"/>
          <w:szCs w:val="20"/>
        </w:rPr>
        <w:t xml:space="preserve">July </w:t>
      </w:r>
      <w:r w:rsidRPr="006F6B98">
        <w:rPr>
          <w:sz w:val="20"/>
          <w:szCs w:val="20"/>
        </w:rPr>
        <w:t>2021</w:t>
      </w:r>
    </w:p>
  </w:endnote>
  <w:endnote w:id="7">
    <w:p w14:paraId="5C29484E" w14:textId="3132A6A3" w:rsidR="00850DFF" w:rsidRPr="006F6B98" w:rsidRDefault="00850DFF"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Source: Department of Health and Human Services</w:t>
      </w:r>
      <w:r w:rsidR="009B683B" w:rsidRPr="006F6B98">
        <w:rPr>
          <w:sz w:val="20"/>
          <w:szCs w:val="20"/>
        </w:rPr>
        <w:t xml:space="preserve"> 2020,</w:t>
      </w:r>
      <w:r w:rsidRPr="006F6B98">
        <w:rPr>
          <w:sz w:val="20"/>
          <w:szCs w:val="20"/>
        </w:rPr>
        <w:t xml:space="preserve"> </w:t>
      </w:r>
      <w:r w:rsidRPr="006F6B98">
        <w:rPr>
          <w:i/>
          <w:iCs/>
          <w:sz w:val="20"/>
          <w:szCs w:val="20"/>
        </w:rPr>
        <w:t xml:space="preserve">Annual </w:t>
      </w:r>
      <w:r w:rsidR="009B683B" w:rsidRPr="006F6B98">
        <w:rPr>
          <w:i/>
          <w:iCs/>
          <w:sz w:val="20"/>
          <w:szCs w:val="20"/>
        </w:rPr>
        <w:t>r</w:t>
      </w:r>
      <w:r w:rsidRPr="006F6B98">
        <w:rPr>
          <w:i/>
          <w:iCs/>
          <w:sz w:val="20"/>
          <w:szCs w:val="20"/>
        </w:rPr>
        <w:t>eport 2019</w:t>
      </w:r>
      <w:r w:rsidR="009B683B" w:rsidRPr="006F6B98">
        <w:rPr>
          <w:i/>
          <w:iCs/>
          <w:sz w:val="20"/>
          <w:szCs w:val="20"/>
        </w:rPr>
        <w:t>–</w:t>
      </w:r>
      <w:r w:rsidRPr="006F6B98">
        <w:rPr>
          <w:i/>
          <w:iCs/>
          <w:sz w:val="20"/>
          <w:szCs w:val="20"/>
        </w:rPr>
        <w:t>20</w:t>
      </w:r>
      <w:r w:rsidR="009B683B" w:rsidRPr="006F6B98">
        <w:rPr>
          <w:sz w:val="20"/>
          <w:szCs w:val="20"/>
        </w:rPr>
        <w:t>, State Government of Victoria, Melbourne</w:t>
      </w:r>
    </w:p>
  </w:endnote>
  <w:endnote w:id="8">
    <w:p w14:paraId="07633894" w14:textId="42627319" w:rsidR="008B1021" w:rsidRPr="006F6B98" w:rsidRDefault="008B1021" w:rsidP="00A0184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256963" w:rsidRPr="006F6B98">
        <w:rPr>
          <w:rFonts w:eastAsia="Calibri" w:cs="Arial"/>
          <w:color w:val="201F1E"/>
          <w:sz w:val="20"/>
          <w:szCs w:val="20"/>
        </w:rPr>
        <w:t xml:space="preserve">Source: </w:t>
      </w:r>
      <w:r w:rsidR="00917E28" w:rsidRPr="006F6B98">
        <w:rPr>
          <w:rFonts w:eastAsia="Calibri" w:cs="Arial"/>
          <w:color w:val="201F1E"/>
          <w:sz w:val="20"/>
          <w:szCs w:val="20"/>
        </w:rPr>
        <w:t xml:space="preserve">Premier’s </w:t>
      </w:r>
      <w:r w:rsidR="00256963" w:rsidRPr="006F6B98">
        <w:rPr>
          <w:rFonts w:cs="Arial"/>
          <w:sz w:val="20"/>
          <w:szCs w:val="20"/>
          <w:lang w:eastAsia="en-AU"/>
        </w:rPr>
        <w:t xml:space="preserve">Media release, </w:t>
      </w:r>
      <w:r w:rsidR="000C32AA" w:rsidRPr="006F6B98">
        <w:rPr>
          <w:rFonts w:cs="Arial"/>
          <w:sz w:val="20"/>
          <w:szCs w:val="20"/>
          <w:lang w:eastAsia="en-AU"/>
        </w:rPr>
        <w:t>‘</w:t>
      </w:r>
      <w:r w:rsidR="00256963" w:rsidRPr="006F6B98">
        <w:rPr>
          <w:rFonts w:cs="Arial"/>
          <w:sz w:val="20"/>
          <w:szCs w:val="20"/>
          <w:lang w:eastAsia="en-AU"/>
        </w:rPr>
        <w:t xml:space="preserve">Orange Door Coming </w:t>
      </w:r>
      <w:r w:rsidR="000C32AA" w:rsidRPr="006F6B98">
        <w:rPr>
          <w:rFonts w:cs="Arial"/>
          <w:sz w:val="20"/>
          <w:szCs w:val="20"/>
          <w:lang w:eastAsia="en-AU"/>
        </w:rPr>
        <w:t>T</w:t>
      </w:r>
      <w:r w:rsidR="00256963" w:rsidRPr="006F6B98">
        <w:rPr>
          <w:rFonts w:cs="Arial"/>
          <w:sz w:val="20"/>
          <w:szCs w:val="20"/>
          <w:lang w:eastAsia="en-AU"/>
        </w:rPr>
        <w:t>o Outer Easter</w:t>
      </w:r>
      <w:r w:rsidR="000C32AA" w:rsidRPr="006F6B98">
        <w:rPr>
          <w:rFonts w:cs="Arial"/>
          <w:sz w:val="20"/>
          <w:szCs w:val="20"/>
          <w:lang w:eastAsia="en-AU"/>
        </w:rPr>
        <w:t>n</w:t>
      </w:r>
      <w:r w:rsidR="00256963" w:rsidRPr="006F6B98">
        <w:rPr>
          <w:rFonts w:cs="Arial"/>
          <w:sz w:val="20"/>
          <w:szCs w:val="20"/>
          <w:lang w:eastAsia="en-AU"/>
        </w:rPr>
        <w:t xml:space="preserve"> Melbourne</w:t>
      </w:r>
      <w:r w:rsidR="000C32AA" w:rsidRPr="006F6B98">
        <w:rPr>
          <w:rFonts w:cs="Arial"/>
          <w:sz w:val="20"/>
          <w:szCs w:val="20"/>
          <w:lang w:eastAsia="en-AU"/>
        </w:rPr>
        <w:t>’</w:t>
      </w:r>
      <w:r w:rsidR="00256963" w:rsidRPr="006F6B98">
        <w:rPr>
          <w:rFonts w:cs="Arial"/>
          <w:sz w:val="20"/>
          <w:szCs w:val="20"/>
          <w:lang w:eastAsia="en-AU"/>
        </w:rPr>
        <w:t>, 1 July 2021</w:t>
      </w:r>
    </w:p>
  </w:endnote>
  <w:endnote w:id="9">
    <w:p w14:paraId="1B26E77C" w14:textId="0BDB909C" w:rsidR="00D651CF" w:rsidRPr="006F6B98" w:rsidRDefault="00D651CF" w:rsidP="00A0184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Pr="006F6B98">
        <w:rPr>
          <w:rFonts w:eastAsia="Arial" w:cs="Arial"/>
          <w:sz w:val="20"/>
          <w:szCs w:val="20"/>
        </w:rPr>
        <w:t>Source: COTA Victoria</w:t>
      </w:r>
      <w:r w:rsidR="009B683B" w:rsidRPr="006F6B98">
        <w:rPr>
          <w:rFonts w:eastAsia="Arial" w:cs="Arial"/>
          <w:sz w:val="20"/>
          <w:szCs w:val="20"/>
        </w:rPr>
        <w:t xml:space="preserve"> 2020,</w:t>
      </w:r>
      <w:r w:rsidRPr="006F6B98">
        <w:rPr>
          <w:rFonts w:eastAsia="Arial" w:cs="Arial"/>
          <w:sz w:val="20"/>
          <w:szCs w:val="20"/>
        </w:rPr>
        <w:t xml:space="preserve"> </w:t>
      </w:r>
      <w:r w:rsidRPr="006F6B98">
        <w:rPr>
          <w:rFonts w:eastAsia="Arial" w:cs="Arial"/>
          <w:i/>
          <w:iCs/>
          <w:sz w:val="20"/>
          <w:szCs w:val="20"/>
        </w:rPr>
        <w:t>2019</w:t>
      </w:r>
      <w:r w:rsidR="009B683B" w:rsidRPr="006F6B98">
        <w:rPr>
          <w:rFonts w:eastAsia="Arial" w:cs="Arial"/>
          <w:i/>
          <w:iCs/>
          <w:sz w:val="20"/>
          <w:szCs w:val="20"/>
        </w:rPr>
        <w:t>–</w:t>
      </w:r>
      <w:r w:rsidRPr="006F6B98">
        <w:rPr>
          <w:rFonts w:eastAsia="Arial" w:cs="Arial"/>
          <w:i/>
          <w:iCs/>
          <w:sz w:val="20"/>
          <w:szCs w:val="20"/>
        </w:rPr>
        <w:t xml:space="preserve">20 </w:t>
      </w:r>
      <w:r w:rsidR="009B683B" w:rsidRPr="006F6B98">
        <w:rPr>
          <w:rFonts w:eastAsia="Arial" w:cs="Arial"/>
          <w:i/>
          <w:iCs/>
          <w:sz w:val="20"/>
          <w:szCs w:val="20"/>
        </w:rPr>
        <w:t>a</w:t>
      </w:r>
      <w:r w:rsidRPr="006F6B98">
        <w:rPr>
          <w:rFonts w:eastAsia="Arial" w:cs="Arial"/>
          <w:i/>
          <w:iCs/>
          <w:sz w:val="20"/>
          <w:szCs w:val="20"/>
        </w:rPr>
        <w:t xml:space="preserve">nnual </w:t>
      </w:r>
      <w:r w:rsidR="009B683B" w:rsidRPr="006F6B98">
        <w:rPr>
          <w:rFonts w:eastAsia="Arial" w:cs="Arial"/>
          <w:i/>
          <w:iCs/>
          <w:sz w:val="20"/>
          <w:szCs w:val="20"/>
        </w:rPr>
        <w:t>r</w:t>
      </w:r>
      <w:r w:rsidRPr="006F6B98">
        <w:rPr>
          <w:rFonts w:eastAsia="Arial" w:cs="Arial"/>
          <w:i/>
          <w:iCs/>
          <w:sz w:val="20"/>
          <w:szCs w:val="20"/>
        </w:rPr>
        <w:t>eport</w:t>
      </w:r>
      <w:r w:rsidR="009B683B" w:rsidRPr="006F6B98">
        <w:rPr>
          <w:rFonts w:eastAsia="Arial" w:cs="Arial"/>
          <w:sz w:val="20"/>
          <w:szCs w:val="20"/>
        </w:rPr>
        <w:t>, COTA, Melbourne</w:t>
      </w:r>
    </w:p>
  </w:endnote>
  <w:endnote w:id="10">
    <w:p w14:paraId="78D3D7FD" w14:textId="2DD954F3" w:rsidR="00850DFF" w:rsidRPr="006F6B98" w:rsidRDefault="00850DFF"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Source: Department of Health and Human Services</w:t>
      </w:r>
      <w:r w:rsidR="009B683B" w:rsidRPr="006F6B98">
        <w:rPr>
          <w:sz w:val="20"/>
          <w:szCs w:val="20"/>
        </w:rPr>
        <w:t xml:space="preserve"> 2020,</w:t>
      </w:r>
      <w:r w:rsidRPr="006F6B98">
        <w:rPr>
          <w:sz w:val="20"/>
          <w:szCs w:val="20"/>
        </w:rPr>
        <w:t xml:space="preserve"> </w:t>
      </w:r>
      <w:r w:rsidRPr="006F6B98">
        <w:rPr>
          <w:i/>
          <w:iCs/>
          <w:sz w:val="20"/>
          <w:szCs w:val="20"/>
        </w:rPr>
        <w:t xml:space="preserve">Annual </w:t>
      </w:r>
      <w:r w:rsidR="009B683B" w:rsidRPr="006F6B98">
        <w:rPr>
          <w:i/>
          <w:iCs/>
          <w:sz w:val="20"/>
          <w:szCs w:val="20"/>
        </w:rPr>
        <w:t>r</w:t>
      </w:r>
      <w:r w:rsidRPr="006F6B98">
        <w:rPr>
          <w:i/>
          <w:iCs/>
          <w:sz w:val="20"/>
          <w:szCs w:val="20"/>
        </w:rPr>
        <w:t>eport 2019</w:t>
      </w:r>
      <w:r w:rsidR="009B683B" w:rsidRPr="006F6B98">
        <w:rPr>
          <w:i/>
          <w:iCs/>
          <w:sz w:val="20"/>
          <w:szCs w:val="20"/>
        </w:rPr>
        <w:t>–</w:t>
      </w:r>
      <w:r w:rsidRPr="006F6B98">
        <w:rPr>
          <w:i/>
          <w:iCs/>
          <w:sz w:val="20"/>
          <w:szCs w:val="20"/>
        </w:rPr>
        <w:t>20</w:t>
      </w:r>
      <w:r w:rsidR="009B683B" w:rsidRPr="006F6B98">
        <w:rPr>
          <w:sz w:val="20"/>
          <w:szCs w:val="20"/>
        </w:rPr>
        <w:t>, State Government of Victoria, Melbourne</w:t>
      </w:r>
    </w:p>
  </w:endnote>
  <w:endnote w:id="11">
    <w:p w14:paraId="1CD4AE96" w14:textId="6FCB169F" w:rsidR="001629FE" w:rsidRPr="006F6B98" w:rsidRDefault="001629FE" w:rsidP="00EF4E84">
      <w:pPr>
        <w:pStyle w:val="EndnoteText"/>
        <w:spacing w:after="0" w:line="240" w:lineRule="auto"/>
        <w:rPr>
          <w:sz w:val="20"/>
          <w:szCs w:val="20"/>
        </w:rPr>
      </w:pPr>
      <w:r w:rsidRPr="006F6B98">
        <w:rPr>
          <w:rStyle w:val="EndnoteReference"/>
          <w:rFonts w:eastAsia="MS Gothic"/>
          <w:sz w:val="20"/>
          <w:szCs w:val="20"/>
        </w:rPr>
        <w:endnoteRef/>
      </w:r>
      <w:r w:rsidRPr="006F6B98">
        <w:rPr>
          <w:rStyle w:val="EndnoteReference"/>
          <w:rFonts w:eastAsia="MS Gothic"/>
          <w:sz w:val="20"/>
          <w:szCs w:val="20"/>
        </w:rPr>
        <w:t xml:space="preserve"> </w:t>
      </w:r>
      <w:r w:rsidR="00A42181" w:rsidRPr="006F6B98">
        <w:rPr>
          <w:sz w:val="20"/>
          <w:szCs w:val="20"/>
        </w:rPr>
        <w:t>Source:</w:t>
      </w:r>
      <w:r w:rsidR="00A42181" w:rsidRPr="006F6B98">
        <w:rPr>
          <w:rStyle w:val="EndnoteReference"/>
          <w:rFonts w:eastAsia="MS Gothic"/>
          <w:sz w:val="20"/>
          <w:szCs w:val="20"/>
        </w:rPr>
        <w:t xml:space="preserve"> </w:t>
      </w:r>
      <w:r w:rsidR="00A22714" w:rsidRPr="006F6B98">
        <w:rPr>
          <w:sz w:val="20"/>
          <w:szCs w:val="20"/>
        </w:rPr>
        <w:t xml:space="preserve">Internal data from the </w:t>
      </w:r>
      <w:r w:rsidR="00A42181" w:rsidRPr="006F6B98">
        <w:rPr>
          <w:sz w:val="20"/>
          <w:szCs w:val="20"/>
        </w:rPr>
        <w:t>Personal Hardship Assistance Program (PHAP) system</w:t>
      </w:r>
      <w:r w:rsidR="000C32AA" w:rsidRPr="006F6B98">
        <w:rPr>
          <w:sz w:val="20"/>
          <w:szCs w:val="20"/>
        </w:rPr>
        <w:t>,</w:t>
      </w:r>
      <w:r w:rsidR="00A42181" w:rsidRPr="006F6B98">
        <w:rPr>
          <w:sz w:val="20"/>
          <w:szCs w:val="20"/>
        </w:rPr>
        <w:t xml:space="preserve"> July 2021</w:t>
      </w:r>
    </w:p>
  </w:endnote>
  <w:endnote w:id="12">
    <w:p w14:paraId="19CA76AA" w14:textId="714123B2" w:rsidR="003059B7" w:rsidRPr="006F6B98" w:rsidRDefault="003059B7" w:rsidP="00EF4E84">
      <w:pPr>
        <w:pStyle w:val="DHHSbody"/>
        <w:spacing w:after="0" w:line="240" w:lineRule="auto"/>
      </w:pPr>
      <w:r w:rsidRPr="006F6B98">
        <w:rPr>
          <w:rStyle w:val="EndnoteReference"/>
        </w:rPr>
        <w:endnoteRef/>
      </w:r>
      <w:r w:rsidRPr="006F6B98">
        <w:t xml:space="preserve"> </w:t>
      </w:r>
      <w:r w:rsidR="006E6582" w:rsidRPr="006F6B98">
        <w:t>Source</w:t>
      </w:r>
      <w:r w:rsidR="00EF4E84" w:rsidRPr="006F6B98">
        <w:t>:</w:t>
      </w:r>
      <w:r w:rsidR="006E6582" w:rsidRPr="006F6B98">
        <w:t xml:space="preserve"> </w:t>
      </w:r>
      <w:r w:rsidR="006934BB" w:rsidRPr="006F6B98">
        <w:t>Victorian Budget Paper 3 202</w:t>
      </w:r>
      <w:r w:rsidR="00824FDE" w:rsidRPr="006F6B98">
        <w:t>1–22</w:t>
      </w:r>
      <w:r w:rsidR="006934BB" w:rsidRPr="006F6B98">
        <w:t>, p</w:t>
      </w:r>
      <w:r w:rsidR="00873366" w:rsidRPr="006F6B98">
        <w:t xml:space="preserve">. </w:t>
      </w:r>
      <w:r w:rsidR="005C02AD" w:rsidRPr="006F6B98">
        <w:t>46</w:t>
      </w:r>
    </w:p>
  </w:endnote>
  <w:endnote w:id="13">
    <w:p w14:paraId="5A044C24" w14:textId="7B26B876" w:rsidR="00EF4E84" w:rsidRPr="006F6B98" w:rsidRDefault="00EF4E84" w:rsidP="00EF4E84">
      <w:pPr>
        <w:pStyle w:val="DHHSbody"/>
        <w:spacing w:after="0" w:line="240" w:lineRule="auto"/>
      </w:pPr>
      <w:r w:rsidRPr="006F6B98">
        <w:rPr>
          <w:rStyle w:val="EndnoteReference"/>
        </w:rPr>
        <w:endnoteRef/>
      </w:r>
      <w:r w:rsidRPr="006F6B98">
        <w:t xml:space="preserve"> Source: Victorian Budget Paper 3 202</w:t>
      </w:r>
      <w:r w:rsidR="00824FDE" w:rsidRPr="006F6B98">
        <w:t>1–22</w:t>
      </w:r>
      <w:r w:rsidRPr="006F6B98">
        <w:t>, p. 58</w:t>
      </w:r>
    </w:p>
  </w:endnote>
  <w:endnote w:id="14">
    <w:p w14:paraId="3BBDA559" w14:textId="77777777" w:rsidR="00BA475E" w:rsidRPr="006F6B98" w:rsidRDefault="00BA475E" w:rsidP="00BA475E">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Internal data from High-Risk Accommodation Response (HRAR), 09 August 2021 </w:t>
      </w:r>
    </w:p>
  </w:endnote>
  <w:endnote w:id="15">
    <w:p w14:paraId="3DC73237" w14:textId="77777777" w:rsidR="00001C34" w:rsidRPr="006F6B98" w:rsidRDefault="00001C34"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w:t>
      </w:r>
      <w:r w:rsidRPr="006F6B98">
        <w:rPr>
          <w:rFonts w:eastAsia="Arial"/>
          <w:sz w:val="20"/>
          <w:szCs w:val="20"/>
        </w:rPr>
        <w:t>Source: Victorian Population Health Survey 2017</w:t>
      </w:r>
    </w:p>
  </w:endnote>
  <w:endnote w:id="16">
    <w:p w14:paraId="1DDE3B3A" w14:textId="213B6E46" w:rsidR="00001C34" w:rsidRPr="006F6B98" w:rsidRDefault="00001C34"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w:t>
      </w:r>
      <w:r w:rsidRPr="006F6B98">
        <w:rPr>
          <w:rFonts w:eastAsia="Arial"/>
          <w:sz w:val="20"/>
          <w:szCs w:val="20"/>
        </w:rPr>
        <w:t>Source: Australian Bureau of Statistics (ABS)</w:t>
      </w:r>
      <w:r w:rsidR="000C32AA" w:rsidRPr="006F6B98">
        <w:rPr>
          <w:rFonts w:eastAsia="Arial"/>
          <w:sz w:val="20"/>
          <w:szCs w:val="20"/>
        </w:rPr>
        <w:t>,</w:t>
      </w:r>
      <w:r w:rsidRPr="006F6B98">
        <w:rPr>
          <w:rFonts w:eastAsia="Arial"/>
          <w:sz w:val="20"/>
          <w:szCs w:val="20"/>
        </w:rPr>
        <w:t xml:space="preserve"> December 2019</w:t>
      </w:r>
    </w:p>
  </w:endnote>
  <w:endnote w:id="17">
    <w:p w14:paraId="7192F257" w14:textId="55DDE466" w:rsidR="00001C34" w:rsidRPr="006F6B98" w:rsidRDefault="00001C34"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w:t>
      </w:r>
      <w:r w:rsidRPr="006F6B98">
        <w:rPr>
          <w:rFonts w:eastAsia="Arial"/>
          <w:sz w:val="20"/>
          <w:szCs w:val="20"/>
        </w:rPr>
        <w:t>Source: Australian Bureau of Statistics (ABS)</w:t>
      </w:r>
      <w:r w:rsidR="000C32AA" w:rsidRPr="006F6B98">
        <w:rPr>
          <w:rFonts w:eastAsia="Arial"/>
          <w:sz w:val="20"/>
          <w:szCs w:val="20"/>
        </w:rPr>
        <w:t xml:space="preserve"> 2019,</w:t>
      </w:r>
      <w:r w:rsidRPr="006F6B98">
        <w:rPr>
          <w:rFonts w:eastAsia="Arial"/>
          <w:sz w:val="20"/>
          <w:szCs w:val="20"/>
        </w:rPr>
        <w:t xml:space="preserve"> </w:t>
      </w:r>
      <w:r w:rsidRPr="006F6B98">
        <w:rPr>
          <w:rFonts w:eastAsia="Arial"/>
          <w:i/>
          <w:iCs/>
          <w:sz w:val="20"/>
          <w:szCs w:val="20"/>
        </w:rPr>
        <w:t xml:space="preserve">Estimates and </w:t>
      </w:r>
      <w:r w:rsidR="000C32AA" w:rsidRPr="006F6B98">
        <w:rPr>
          <w:rFonts w:eastAsia="Arial"/>
          <w:i/>
          <w:iCs/>
          <w:sz w:val="20"/>
          <w:szCs w:val="20"/>
        </w:rPr>
        <w:t>p</w:t>
      </w:r>
      <w:r w:rsidRPr="006F6B98">
        <w:rPr>
          <w:rFonts w:eastAsia="Arial"/>
          <w:i/>
          <w:iCs/>
          <w:sz w:val="20"/>
          <w:szCs w:val="20"/>
        </w:rPr>
        <w:t>rojections</w:t>
      </w:r>
      <w:r w:rsidR="000C32AA" w:rsidRPr="006F6B98">
        <w:rPr>
          <w:rFonts w:eastAsia="Arial"/>
          <w:i/>
          <w:iCs/>
          <w:sz w:val="20"/>
          <w:szCs w:val="20"/>
        </w:rPr>
        <w:t>:</w:t>
      </w:r>
      <w:r w:rsidRPr="006F6B98">
        <w:rPr>
          <w:rFonts w:eastAsia="Arial"/>
          <w:i/>
          <w:iCs/>
          <w:sz w:val="20"/>
          <w:szCs w:val="20"/>
        </w:rPr>
        <w:t xml:space="preserve"> Aboriginal and Torres Strait Islander Australians</w:t>
      </w:r>
      <w:r w:rsidRPr="006F6B98">
        <w:rPr>
          <w:rFonts w:eastAsia="Arial"/>
          <w:sz w:val="20"/>
          <w:szCs w:val="20"/>
        </w:rPr>
        <w:t>,</w:t>
      </w:r>
      <w:r w:rsidR="000C32AA" w:rsidRPr="006F6B98">
        <w:rPr>
          <w:rFonts w:eastAsia="Arial"/>
          <w:sz w:val="20"/>
          <w:szCs w:val="20"/>
        </w:rPr>
        <w:t xml:space="preserve"> ABS, Canberra</w:t>
      </w:r>
    </w:p>
  </w:endnote>
  <w:endnote w:id="18">
    <w:p w14:paraId="2D67DE61" w14:textId="77777777" w:rsidR="00001C34" w:rsidRPr="006F6B98" w:rsidRDefault="00001C34"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w:t>
      </w:r>
      <w:r w:rsidRPr="006F6B98">
        <w:rPr>
          <w:rFonts w:eastAsia="Arial"/>
          <w:sz w:val="20"/>
          <w:szCs w:val="20"/>
          <w:lang w:val="en-GB"/>
        </w:rPr>
        <w:t xml:space="preserve">Source: 2016 </w:t>
      </w:r>
      <w:r w:rsidRPr="006F6B98">
        <w:rPr>
          <w:rFonts w:eastAsia="Arial"/>
          <w:sz w:val="20"/>
          <w:szCs w:val="20"/>
        </w:rPr>
        <w:t xml:space="preserve">Australian Bureau of Statistics (ABS) </w:t>
      </w:r>
      <w:r w:rsidRPr="006F6B98">
        <w:rPr>
          <w:rFonts w:eastAsia="Arial"/>
          <w:sz w:val="20"/>
          <w:szCs w:val="20"/>
          <w:lang w:val="en-GB"/>
        </w:rPr>
        <w:t>Census</w:t>
      </w:r>
    </w:p>
  </w:endnote>
  <w:endnote w:id="19">
    <w:p w14:paraId="64206AE3" w14:textId="6F1EBFF9" w:rsidR="001D32DB" w:rsidRPr="006F6B98" w:rsidRDefault="001D32DB" w:rsidP="00A0184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BC26CA" w:rsidRPr="006F6B98">
        <w:rPr>
          <w:rFonts w:eastAsia="Arial" w:cs="Arial"/>
          <w:sz w:val="20"/>
          <w:szCs w:val="20"/>
        </w:rPr>
        <w:t xml:space="preserve">Source: 2016 </w:t>
      </w:r>
      <w:r w:rsidR="00340CFA" w:rsidRPr="006F6B98">
        <w:rPr>
          <w:rFonts w:eastAsia="Arial" w:cs="Arial"/>
          <w:sz w:val="20"/>
          <w:szCs w:val="20"/>
        </w:rPr>
        <w:t>Australian Bureau of Statistics (</w:t>
      </w:r>
      <w:r w:rsidR="00BC26CA" w:rsidRPr="006F6B98">
        <w:rPr>
          <w:rFonts w:eastAsia="Arial" w:cs="Arial"/>
          <w:sz w:val="20"/>
          <w:szCs w:val="20"/>
        </w:rPr>
        <w:t>ABS</w:t>
      </w:r>
      <w:r w:rsidR="00340CFA" w:rsidRPr="006F6B98">
        <w:rPr>
          <w:rFonts w:eastAsia="Arial" w:cs="Arial"/>
          <w:sz w:val="20"/>
          <w:szCs w:val="20"/>
        </w:rPr>
        <w:t>)</w:t>
      </w:r>
      <w:r w:rsidR="00BC26CA" w:rsidRPr="006F6B98">
        <w:rPr>
          <w:rFonts w:eastAsia="Arial" w:cs="Arial"/>
          <w:sz w:val="20"/>
          <w:szCs w:val="20"/>
        </w:rPr>
        <w:t xml:space="preserve"> Census</w:t>
      </w:r>
    </w:p>
  </w:endnote>
  <w:endnote w:id="20">
    <w:p w14:paraId="62E2F0C0" w14:textId="4DEC26D9" w:rsidR="00001C34" w:rsidRPr="006F6B98" w:rsidRDefault="00001C34" w:rsidP="00944515">
      <w:pPr>
        <w:pStyle w:val="ListParagraph"/>
        <w:spacing w:after="0" w:line="240" w:lineRule="auto"/>
        <w:ind w:left="0"/>
        <w:contextualSpacing w:val="0"/>
        <w:rPr>
          <w:sz w:val="20"/>
        </w:rPr>
      </w:pPr>
      <w:r w:rsidRPr="006F6B98">
        <w:rPr>
          <w:rStyle w:val="EndnoteReference"/>
          <w:rFonts w:eastAsia="MS Gothic"/>
          <w:sz w:val="20"/>
        </w:rPr>
        <w:endnoteRef/>
      </w:r>
      <w:r w:rsidR="00944515" w:rsidRPr="006F6B98">
        <w:rPr>
          <w:sz w:val="20"/>
        </w:rPr>
        <w:t xml:space="preserve"> </w:t>
      </w:r>
      <w:r w:rsidR="00944515" w:rsidRPr="006F6B98">
        <w:rPr>
          <w:rFonts w:cs="Arial"/>
          <w:sz w:val="20"/>
        </w:rPr>
        <w:t xml:space="preserve">Source: </w:t>
      </w:r>
      <w:r w:rsidR="00944515" w:rsidRPr="006F6B98">
        <w:rPr>
          <w:sz w:val="20"/>
        </w:rPr>
        <w:t xml:space="preserve">Department of Veterans Affairs 2020, </w:t>
      </w:r>
      <w:r w:rsidR="00944515" w:rsidRPr="006F6B98">
        <w:rPr>
          <w:i/>
          <w:iCs/>
          <w:sz w:val="20"/>
        </w:rPr>
        <w:t>Population Projections: Executive Summary</w:t>
      </w:r>
      <w:r w:rsidR="00E90629" w:rsidRPr="006F6B98">
        <w:rPr>
          <w:i/>
          <w:iCs/>
          <w:sz w:val="20"/>
        </w:rPr>
        <w:t xml:space="preserve">, </w:t>
      </w:r>
      <w:r w:rsidR="00944515" w:rsidRPr="006F6B98">
        <w:rPr>
          <w:sz w:val="20"/>
        </w:rPr>
        <w:t>December 2020</w:t>
      </w:r>
      <w:r w:rsidR="00140296" w:rsidRPr="006F6B98">
        <w:rPr>
          <w:sz w:val="20"/>
        </w:rPr>
        <w:t xml:space="preserve"> </w:t>
      </w:r>
    </w:p>
  </w:endnote>
  <w:endnote w:id="21">
    <w:p w14:paraId="6A465870" w14:textId="7ACE778C" w:rsidR="00001C34" w:rsidRPr="006F6B98" w:rsidRDefault="00001C34" w:rsidP="00A01844">
      <w:pPr>
        <w:pStyle w:val="EndnoteText"/>
        <w:spacing w:after="0" w:line="240" w:lineRule="auto"/>
        <w:rPr>
          <w:sz w:val="20"/>
          <w:szCs w:val="20"/>
        </w:rPr>
      </w:pPr>
      <w:r w:rsidRPr="006F6B98">
        <w:rPr>
          <w:rStyle w:val="EndnoteReference"/>
          <w:rFonts w:eastAsia="MS Gothic"/>
          <w:sz w:val="20"/>
          <w:szCs w:val="20"/>
        </w:rPr>
        <w:endnoteRef/>
      </w:r>
      <w:r w:rsidRPr="006F6B98">
        <w:rPr>
          <w:sz w:val="20"/>
          <w:szCs w:val="20"/>
        </w:rPr>
        <w:t xml:space="preserve"> Source: </w:t>
      </w:r>
      <w:r w:rsidR="009B683B" w:rsidRPr="006F6B98">
        <w:rPr>
          <w:sz w:val="20"/>
          <w:szCs w:val="20"/>
        </w:rPr>
        <w:t xml:space="preserve">Commissioner for Senior Victorians 2020, </w:t>
      </w:r>
      <w:r w:rsidRPr="006F6B98">
        <w:rPr>
          <w:i/>
          <w:iCs/>
          <w:sz w:val="20"/>
          <w:szCs w:val="20"/>
        </w:rPr>
        <w:t>Ageing well in a changing world</w:t>
      </w:r>
      <w:r w:rsidRPr="006F6B98">
        <w:rPr>
          <w:sz w:val="20"/>
          <w:szCs w:val="20"/>
        </w:rPr>
        <w:t xml:space="preserve">, </w:t>
      </w:r>
      <w:r w:rsidR="009B683B" w:rsidRPr="006F6B98">
        <w:rPr>
          <w:sz w:val="20"/>
          <w:szCs w:val="20"/>
        </w:rPr>
        <w:t>State Government of Victoria, Melbourne</w:t>
      </w:r>
    </w:p>
  </w:endnote>
  <w:endnote w:id="22">
    <w:p w14:paraId="62C4469F" w14:textId="22927518" w:rsidR="001137B6" w:rsidRPr="006F6B98" w:rsidRDefault="001137B6" w:rsidP="00A0184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875734" w:rsidRPr="006F6B98">
        <w:rPr>
          <w:rFonts w:eastAsia="Arial" w:cs="Arial"/>
          <w:sz w:val="20"/>
          <w:szCs w:val="20"/>
        </w:rPr>
        <w:t>Source:</w:t>
      </w:r>
      <w:r w:rsidR="009B683B" w:rsidRPr="006F6B98">
        <w:rPr>
          <w:rFonts w:eastAsia="Arial" w:cs="Arial"/>
          <w:sz w:val="20"/>
          <w:szCs w:val="20"/>
        </w:rPr>
        <w:t xml:space="preserve"> Department of Health 2018,</w:t>
      </w:r>
      <w:r w:rsidR="00875734" w:rsidRPr="006F6B98">
        <w:rPr>
          <w:rFonts w:eastAsia="Arial" w:cs="Arial"/>
          <w:sz w:val="20"/>
          <w:szCs w:val="20"/>
        </w:rPr>
        <w:t xml:space="preserve"> </w:t>
      </w:r>
      <w:r w:rsidR="00875734" w:rsidRPr="006F6B98">
        <w:rPr>
          <w:rFonts w:eastAsia="Arial" w:cs="Arial"/>
          <w:i/>
          <w:iCs/>
          <w:sz w:val="20"/>
          <w:szCs w:val="20"/>
        </w:rPr>
        <w:t xml:space="preserve">Victorian </w:t>
      </w:r>
      <w:r w:rsidR="009B683B" w:rsidRPr="006F6B98">
        <w:rPr>
          <w:rFonts w:eastAsia="Arial" w:cs="Arial"/>
          <w:i/>
          <w:iCs/>
          <w:sz w:val="20"/>
          <w:szCs w:val="20"/>
        </w:rPr>
        <w:t>c</w:t>
      </w:r>
      <w:r w:rsidR="00875734" w:rsidRPr="006F6B98">
        <w:rPr>
          <w:rFonts w:eastAsia="Arial" w:cs="Arial"/>
          <w:i/>
          <w:iCs/>
          <w:sz w:val="20"/>
          <w:szCs w:val="20"/>
        </w:rPr>
        <w:t xml:space="preserve">arer </w:t>
      </w:r>
      <w:r w:rsidR="009B683B" w:rsidRPr="006F6B98">
        <w:rPr>
          <w:rFonts w:eastAsia="Arial" w:cs="Arial"/>
          <w:i/>
          <w:iCs/>
          <w:sz w:val="20"/>
          <w:szCs w:val="20"/>
        </w:rPr>
        <w:t>s</w:t>
      </w:r>
      <w:r w:rsidR="00875734" w:rsidRPr="006F6B98">
        <w:rPr>
          <w:rFonts w:eastAsia="Arial" w:cs="Arial"/>
          <w:i/>
          <w:iCs/>
          <w:sz w:val="20"/>
          <w:szCs w:val="20"/>
        </w:rPr>
        <w:t>trategy 2018</w:t>
      </w:r>
      <w:r w:rsidR="009B683B" w:rsidRPr="006F6B98">
        <w:rPr>
          <w:rFonts w:eastAsia="Arial" w:cs="Arial"/>
          <w:i/>
          <w:iCs/>
          <w:sz w:val="20"/>
          <w:szCs w:val="20"/>
        </w:rPr>
        <w:t>–20</w:t>
      </w:r>
      <w:r w:rsidR="00875734" w:rsidRPr="006F6B98">
        <w:rPr>
          <w:rFonts w:eastAsia="Arial" w:cs="Arial"/>
          <w:i/>
          <w:iCs/>
          <w:sz w:val="20"/>
          <w:szCs w:val="20"/>
        </w:rPr>
        <w:t>22</w:t>
      </w:r>
      <w:r w:rsidR="009B683B" w:rsidRPr="006F6B98">
        <w:rPr>
          <w:rFonts w:eastAsia="Arial" w:cs="Arial"/>
          <w:sz w:val="20"/>
          <w:szCs w:val="20"/>
        </w:rPr>
        <w:t xml:space="preserve">, </w:t>
      </w:r>
      <w:r w:rsidR="009B683B" w:rsidRPr="006F6B98">
        <w:rPr>
          <w:sz w:val="20"/>
          <w:szCs w:val="20"/>
        </w:rPr>
        <w:t>State Government of Victoria, Melbourne</w:t>
      </w:r>
    </w:p>
  </w:endnote>
  <w:endnote w:id="23">
    <w:p w14:paraId="4129A7AA" w14:textId="2548491C" w:rsidR="00A274D9" w:rsidRPr="006F6B98" w:rsidRDefault="00A274D9" w:rsidP="00A01844">
      <w:pPr>
        <w:pStyle w:val="EndnoteText"/>
        <w:spacing w:after="0" w:line="240" w:lineRule="auto"/>
        <w:rPr>
          <w:i/>
          <w:iCs/>
          <w:sz w:val="20"/>
          <w:szCs w:val="20"/>
        </w:rPr>
      </w:pPr>
      <w:r w:rsidRPr="006F6B98">
        <w:rPr>
          <w:rStyle w:val="EndnoteReference"/>
          <w:sz w:val="20"/>
          <w:szCs w:val="20"/>
        </w:rPr>
        <w:endnoteRef/>
      </w:r>
      <w:r w:rsidRPr="006F6B98">
        <w:rPr>
          <w:sz w:val="20"/>
          <w:szCs w:val="20"/>
        </w:rPr>
        <w:t xml:space="preserve"> Source: </w:t>
      </w:r>
      <w:r w:rsidR="006D562C" w:rsidRPr="006F6B98">
        <w:rPr>
          <w:sz w:val="20"/>
          <w:szCs w:val="20"/>
        </w:rPr>
        <w:t xml:space="preserve">Australian Bureau of Statistics, </w:t>
      </w:r>
      <w:r w:rsidR="006D562C" w:rsidRPr="006F6B98">
        <w:rPr>
          <w:i/>
          <w:iCs/>
          <w:sz w:val="20"/>
          <w:szCs w:val="20"/>
        </w:rPr>
        <w:t>Disability, Ageing and Carers, Australia: Victoria, 2018,</w:t>
      </w:r>
      <w:r w:rsidR="006D562C" w:rsidRPr="006F6B98">
        <w:rPr>
          <w:sz w:val="20"/>
          <w:szCs w:val="20"/>
        </w:rPr>
        <w:t xml:space="preserve"> </w:t>
      </w:r>
      <w:r w:rsidR="00B401A7" w:rsidRPr="006F6B98">
        <w:rPr>
          <w:sz w:val="20"/>
          <w:szCs w:val="20"/>
        </w:rPr>
        <w:t>Table 1.3</w:t>
      </w:r>
      <w:r w:rsidR="006D562C" w:rsidRPr="006F6B98">
        <w:rPr>
          <w:sz w:val="20"/>
          <w:szCs w:val="20"/>
        </w:rPr>
        <w:t xml:space="preserve">. </w:t>
      </w:r>
    </w:p>
  </w:endnote>
  <w:endnote w:id="24">
    <w:p w14:paraId="58DA276C" w14:textId="4366FEA5" w:rsidR="00BA475E" w:rsidRPr="006F6B98" w:rsidRDefault="00BA475E" w:rsidP="00BA475E">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w:t>
      </w:r>
      <w:hyperlink r:id="rId3" w:history="1">
        <w:r w:rsidRPr="006F6B98">
          <w:rPr>
            <w:rStyle w:val="Hyperlink"/>
            <w:sz w:val="20"/>
            <w:szCs w:val="20"/>
          </w:rPr>
          <w:t>Supporting multicultural communities through coronavirus (COVID-19)</w:t>
        </w:r>
      </w:hyperlink>
      <w:r w:rsidRPr="006F6B98">
        <w:rPr>
          <w:sz w:val="20"/>
          <w:szCs w:val="20"/>
        </w:rPr>
        <w:t xml:space="preserve"> </w:t>
      </w:r>
      <w:r w:rsidR="00575683" w:rsidRPr="006F6B98">
        <w:rPr>
          <w:sz w:val="20"/>
          <w:szCs w:val="20"/>
        </w:rPr>
        <w:t>&lt;https://www.vic.gov.au/supporting-multicultural-communities-through-coronavirus-covid-19&gt;</w:t>
      </w:r>
      <w:r w:rsidRPr="006F6B98">
        <w:rPr>
          <w:sz w:val="20"/>
          <w:szCs w:val="20"/>
        </w:rPr>
        <w:t xml:space="preserve">, June 2021 </w:t>
      </w:r>
    </w:p>
  </w:endnote>
  <w:endnote w:id="25">
    <w:p w14:paraId="6EFEA1C8" w14:textId="2FB6C923" w:rsidR="0093255B" w:rsidRPr="006F6B98" w:rsidRDefault="00A358A9" w:rsidP="003455DE">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w:t>
      </w:r>
      <w:r w:rsidR="00502A1A" w:rsidRPr="006F6B98">
        <w:rPr>
          <w:sz w:val="20"/>
          <w:szCs w:val="20"/>
        </w:rPr>
        <w:t xml:space="preserve"> </w:t>
      </w:r>
      <w:hyperlink r:id="rId4" w:history="1">
        <w:r w:rsidR="00502A1A" w:rsidRPr="006F6B98">
          <w:rPr>
            <w:rStyle w:val="Hyperlink"/>
            <w:sz w:val="20"/>
            <w:szCs w:val="20"/>
          </w:rPr>
          <w:t>Reducing racism during COVID-19, Victorian Equal Opportunity and Human Rights Commission</w:t>
        </w:r>
      </w:hyperlink>
      <w:r w:rsidR="00502A1A" w:rsidRPr="006F6B98">
        <w:rPr>
          <w:sz w:val="20"/>
          <w:szCs w:val="20"/>
        </w:rPr>
        <w:t xml:space="preserve"> </w:t>
      </w:r>
      <w:r w:rsidR="00575683" w:rsidRPr="006F6B98">
        <w:rPr>
          <w:sz w:val="20"/>
          <w:szCs w:val="20"/>
        </w:rPr>
        <w:t>&lt;https://www.humanrights.vic.gov.au/legal-and-policy/covid-19-and-human-rights/reducing-racism-during-covid-19/&gt;</w:t>
      </w:r>
    </w:p>
  </w:endnote>
  <w:endnote w:id="26">
    <w:p w14:paraId="016506F7" w14:textId="53FDC24A" w:rsidR="00B864A6" w:rsidRPr="006F6B98" w:rsidRDefault="00B864A6" w:rsidP="00D767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A415AD" w:rsidRPr="006F6B98">
        <w:rPr>
          <w:sz w:val="20"/>
          <w:szCs w:val="20"/>
        </w:rPr>
        <w:t xml:space="preserve">Source: </w:t>
      </w:r>
      <w:hyperlink r:id="rId5" w:history="1">
        <w:r w:rsidR="00F362B3" w:rsidRPr="006F6B98">
          <w:rPr>
            <w:rStyle w:val="Hyperlink"/>
            <w:sz w:val="20"/>
            <w:szCs w:val="20"/>
          </w:rPr>
          <w:t>Insights from Australia’s first Population Statement</w:t>
        </w:r>
      </w:hyperlink>
      <w:r w:rsidR="00F362B3" w:rsidRPr="006F6B98">
        <w:rPr>
          <w:sz w:val="20"/>
          <w:szCs w:val="20"/>
        </w:rPr>
        <w:t xml:space="preserve"> &lt;</w:t>
      </w:r>
      <w:r w:rsidR="007E6CAE" w:rsidRPr="006F6B98">
        <w:rPr>
          <w:sz w:val="20"/>
          <w:szCs w:val="20"/>
        </w:rPr>
        <w:t>https://population.gov.au/publications/publications-population-statement.html&gt;</w:t>
      </w:r>
      <w:r w:rsidR="006202C4" w:rsidRPr="006F6B98">
        <w:rPr>
          <w:sz w:val="20"/>
          <w:szCs w:val="20"/>
        </w:rPr>
        <w:t xml:space="preserve"> </w:t>
      </w:r>
    </w:p>
  </w:endnote>
  <w:endnote w:id="27">
    <w:p w14:paraId="24DFF784" w14:textId="5F9BA1E7" w:rsidR="00D767DC" w:rsidRPr="006F6B98" w:rsidRDefault="00D767DC" w:rsidP="00D767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w:t>
      </w:r>
      <w:hyperlink r:id="rId6" w:history="1">
        <w:r w:rsidRPr="006F6B98">
          <w:rPr>
            <w:rStyle w:val="Hyperlink"/>
            <w:sz w:val="20"/>
            <w:szCs w:val="20"/>
          </w:rPr>
          <w:t>Insights from Australia’s first Population Statement</w:t>
        </w:r>
      </w:hyperlink>
      <w:r w:rsidRPr="006F6B98">
        <w:rPr>
          <w:sz w:val="20"/>
          <w:szCs w:val="20"/>
        </w:rPr>
        <w:t xml:space="preserve"> &lt;https://population.gov.au/publications/publications-population-statement.html&gt;</w:t>
      </w:r>
    </w:p>
  </w:endnote>
  <w:endnote w:id="28">
    <w:p w14:paraId="5029A385" w14:textId="2DBD37E8" w:rsidR="0023331A" w:rsidRPr="006F6B98" w:rsidRDefault="0023331A" w:rsidP="00D767DC">
      <w:pPr>
        <w:pStyle w:val="EndnoteText"/>
        <w:spacing w:after="0" w:line="240" w:lineRule="auto"/>
        <w:rPr>
          <w:i/>
          <w:iCs/>
          <w:sz w:val="20"/>
          <w:szCs w:val="20"/>
        </w:rPr>
      </w:pPr>
      <w:r w:rsidRPr="006F6B98">
        <w:rPr>
          <w:rStyle w:val="EndnoteReference"/>
          <w:sz w:val="20"/>
          <w:szCs w:val="20"/>
        </w:rPr>
        <w:endnoteRef/>
      </w:r>
      <w:r w:rsidRPr="006F6B98">
        <w:rPr>
          <w:sz w:val="20"/>
          <w:szCs w:val="20"/>
        </w:rPr>
        <w:t xml:space="preserve"> </w:t>
      </w:r>
      <w:r w:rsidR="00791B04" w:rsidRPr="006F6B98">
        <w:rPr>
          <w:sz w:val="20"/>
          <w:szCs w:val="20"/>
        </w:rPr>
        <w:t xml:space="preserve">Source: Australian Human Rights Commission 2019, </w:t>
      </w:r>
      <w:r w:rsidR="00791B04" w:rsidRPr="006F6B98">
        <w:rPr>
          <w:i/>
          <w:iCs/>
          <w:sz w:val="20"/>
          <w:szCs w:val="20"/>
        </w:rPr>
        <w:t xml:space="preserve">Older Women’s Risk of Homelessness: Background Paper. </w:t>
      </w:r>
    </w:p>
  </w:endnote>
  <w:endnote w:id="29">
    <w:p w14:paraId="38948D91" w14:textId="7BBB5578" w:rsidR="00BB3EE6" w:rsidRPr="006F6B98" w:rsidRDefault="00BB3EE6" w:rsidP="009338A0">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E51466" w:rsidRPr="006F6B98">
        <w:rPr>
          <w:sz w:val="20"/>
          <w:szCs w:val="20"/>
        </w:rPr>
        <w:t xml:space="preserve">Source: </w:t>
      </w:r>
      <w:hyperlink r:id="rId7" w:history="1">
        <w:r w:rsidR="00E51466" w:rsidRPr="006F6B98">
          <w:rPr>
            <w:rStyle w:val="Hyperlink"/>
            <w:sz w:val="20"/>
            <w:szCs w:val="20"/>
          </w:rPr>
          <w:t>About the NDIS in Victoria</w:t>
        </w:r>
      </w:hyperlink>
      <w:r w:rsidR="009338A0" w:rsidRPr="006F6B98">
        <w:rPr>
          <w:sz w:val="20"/>
          <w:szCs w:val="20"/>
        </w:rPr>
        <w:t xml:space="preserve"> </w:t>
      </w:r>
      <w:r w:rsidR="00575683" w:rsidRPr="006F6B98">
        <w:rPr>
          <w:sz w:val="20"/>
          <w:szCs w:val="20"/>
        </w:rPr>
        <w:t>&lt;https://www.vic.gov.au/about-ndis-victoria&gt;</w:t>
      </w:r>
    </w:p>
  </w:endnote>
  <w:endnote w:id="30">
    <w:p w14:paraId="2600C85F" w14:textId="47E731E7" w:rsidR="00BA475E" w:rsidRPr="006F6B98" w:rsidRDefault="00BA475E" w:rsidP="00BA475E">
      <w:pPr>
        <w:pStyle w:val="EndnoteText"/>
        <w:spacing w:after="0" w:line="240" w:lineRule="auto"/>
        <w:contextualSpacing/>
        <w:rPr>
          <w:sz w:val="20"/>
          <w:szCs w:val="20"/>
        </w:rPr>
      </w:pPr>
      <w:r w:rsidRPr="006F6B98">
        <w:rPr>
          <w:rStyle w:val="EndnoteReference"/>
          <w:sz w:val="20"/>
          <w:szCs w:val="20"/>
        </w:rPr>
        <w:endnoteRef/>
      </w:r>
      <w:r w:rsidRPr="006F6B98">
        <w:rPr>
          <w:sz w:val="20"/>
          <w:szCs w:val="20"/>
        </w:rPr>
        <w:t xml:space="preserve"> Source:</w:t>
      </w:r>
      <w:r w:rsidRPr="006F6B98">
        <w:rPr>
          <w:rStyle w:val="EndnoteReference"/>
          <w:rFonts w:eastAsia="MS Gothic"/>
          <w:sz w:val="20"/>
          <w:szCs w:val="20"/>
        </w:rPr>
        <w:t xml:space="preserve"> </w:t>
      </w:r>
      <w:r w:rsidRPr="006F6B98">
        <w:rPr>
          <w:sz w:val="20"/>
          <w:szCs w:val="20"/>
        </w:rPr>
        <w:t>Internal data from the Personal Hardship Assistance Program (PHAP) system,</w:t>
      </w:r>
      <w:r w:rsidR="00BD21F9" w:rsidRPr="006F6B98">
        <w:rPr>
          <w:sz w:val="20"/>
          <w:szCs w:val="20"/>
        </w:rPr>
        <w:t xml:space="preserve"> 12 </w:t>
      </w:r>
      <w:r w:rsidRPr="006F6B98">
        <w:rPr>
          <w:sz w:val="20"/>
          <w:szCs w:val="20"/>
        </w:rPr>
        <w:t>August 2021</w:t>
      </w:r>
    </w:p>
  </w:endnote>
  <w:endnote w:id="31">
    <w:p w14:paraId="30E90CCC" w14:textId="3E7EA613" w:rsidR="00E156AA" w:rsidRPr="006F6B98" w:rsidRDefault="00E156AA" w:rsidP="00E156AA">
      <w:pPr>
        <w:pStyle w:val="EndnoteText"/>
        <w:spacing w:after="0" w:line="240" w:lineRule="auto"/>
        <w:contextualSpacing/>
        <w:rPr>
          <w:sz w:val="20"/>
          <w:szCs w:val="20"/>
        </w:rPr>
      </w:pPr>
      <w:r w:rsidRPr="006F6B98">
        <w:rPr>
          <w:rStyle w:val="EndnoteReference"/>
          <w:sz w:val="20"/>
          <w:szCs w:val="20"/>
        </w:rPr>
        <w:endnoteRef/>
      </w:r>
      <w:r w:rsidRPr="006F6B98">
        <w:rPr>
          <w:sz w:val="20"/>
          <w:szCs w:val="20"/>
        </w:rPr>
        <w:t xml:space="preserve"> Source: Internal data from the Service Agreement Management System (SAMS), </w:t>
      </w:r>
      <w:r w:rsidR="004316F7" w:rsidRPr="006F6B98">
        <w:rPr>
          <w:sz w:val="20"/>
          <w:szCs w:val="20"/>
        </w:rPr>
        <w:t>July</w:t>
      </w:r>
      <w:r w:rsidRPr="006F6B98">
        <w:rPr>
          <w:sz w:val="20"/>
          <w:szCs w:val="20"/>
        </w:rPr>
        <w:t xml:space="preserve"> 2021 </w:t>
      </w:r>
    </w:p>
  </w:endnote>
  <w:endnote w:id="32">
    <w:p w14:paraId="71BCA200" w14:textId="772C83F3" w:rsidR="00453930" w:rsidRPr="006F6B98" w:rsidRDefault="00453930" w:rsidP="00453930">
      <w:pPr>
        <w:pStyle w:val="EndnoteText"/>
        <w:spacing w:after="0" w:line="240" w:lineRule="auto"/>
        <w:contextualSpacing/>
        <w:rPr>
          <w:sz w:val="20"/>
          <w:szCs w:val="20"/>
        </w:rPr>
      </w:pPr>
      <w:r w:rsidRPr="006F6B98">
        <w:rPr>
          <w:rStyle w:val="EndnoteReference"/>
          <w:sz w:val="20"/>
          <w:szCs w:val="20"/>
        </w:rPr>
        <w:endnoteRef/>
      </w:r>
      <w:r w:rsidRPr="006F6B98">
        <w:rPr>
          <w:sz w:val="20"/>
          <w:szCs w:val="20"/>
        </w:rPr>
        <w:t xml:space="preserve"> Source: Internal data from the Service Agreement Management System (SAMS), </w:t>
      </w:r>
      <w:r w:rsidR="004316F7" w:rsidRPr="006F6B98">
        <w:rPr>
          <w:sz w:val="20"/>
          <w:szCs w:val="20"/>
        </w:rPr>
        <w:t>July</w:t>
      </w:r>
      <w:r w:rsidRPr="006F6B98">
        <w:rPr>
          <w:sz w:val="20"/>
          <w:szCs w:val="20"/>
        </w:rPr>
        <w:t xml:space="preserve"> 2021 </w:t>
      </w:r>
    </w:p>
  </w:endnote>
  <w:endnote w:id="33">
    <w:p w14:paraId="73C348B3" w14:textId="78E3BFD0" w:rsidR="00ED2270" w:rsidRPr="006F6B98" w:rsidRDefault="007C077E"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9E0EDB" w:rsidRPr="006F6B98">
        <w:rPr>
          <w:sz w:val="20"/>
          <w:szCs w:val="20"/>
        </w:rPr>
        <w:t xml:space="preserve">Source: </w:t>
      </w:r>
      <w:hyperlink r:id="rId8" w:history="1">
        <w:r w:rsidR="00CB1596" w:rsidRPr="006F6B98">
          <w:rPr>
            <w:rStyle w:val="Hyperlink"/>
            <w:sz w:val="20"/>
            <w:szCs w:val="20"/>
          </w:rPr>
          <w:t>Vi</w:t>
        </w:r>
        <w:hyperlink r:id="rId9" w:history="1">
          <w:r w:rsidR="00CB1596" w:rsidRPr="006F6B98">
            <w:rPr>
              <w:rStyle w:val="Hyperlink"/>
              <w:sz w:val="20"/>
              <w:szCs w:val="20"/>
            </w:rPr>
            <w:t>ctorian Budget 2020/21: The Hon Luke Donnellan MP Minister for Disability, Ageing and Carers</w:t>
          </w:r>
        </w:hyperlink>
      </w:hyperlink>
      <w:r w:rsidR="00CB1596" w:rsidRPr="006F6B98">
        <w:rPr>
          <w:sz w:val="20"/>
          <w:szCs w:val="20"/>
        </w:rPr>
        <w:t xml:space="preserve"> &lt;https://www.parliament.vic.gov.au/images/stories/committees/paec/2021-22_Budget_Estimates/Presentations/18_June/Donnellan/PAEC_DAC_presentation_-_FINAL.pdf&gt;, 18 June 2021</w:t>
      </w:r>
    </w:p>
  </w:endnote>
  <w:endnote w:id="34">
    <w:p w14:paraId="1E576D74" w14:textId="03515CF8" w:rsidR="00E1043B" w:rsidRPr="006F6B98" w:rsidRDefault="00E1043B" w:rsidP="00A0184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Internal data from </w:t>
      </w:r>
      <w:r w:rsidR="00A53F9B" w:rsidRPr="006F6B98">
        <w:rPr>
          <w:rFonts w:eastAsia="Arial" w:cs="Arial"/>
          <w:sz w:val="20"/>
          <w:szCs w:val="20"/>
        </w:rPr>
        <w:t>the department’s</w:t>
      </w:r>
      <w:r w:rsidRPr="006F6B98">
        <w:rPr>
          <w:sz w:val="20"/>
          <w:szCs w:val="20"/>
        </w:rPr>
        <w:t xml:space="preserve"> grant management system</w:t>
      </w:r>
      <w:r w:rsidR="009E0EDB" w:rsidRPr="006F6B98">
        <w:rPr>
          <w:sz w:val="20"/>
          <w:szCs w:val="20"/>
        </w:rPr>
        <w:t>, July 2021</w:t>
      </w:r>
    </w:p>
  </w:endnote>
  <w:endnote w:id="35">
    <w:p w14:paraId="717A97B6" w14:textId="0F76B16E" w:rsidR="00CE1579" w:rsidRPr="006F6B98" w:rsidRDefault="00CE1579"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714DD7" w:rsidRPr="006F6B98">
        <w:rPr>
          <w:sz w:val="20"/>
          <w:szCs w:val="20"/>
        </w:rPr>
        <w:t xml:space="preserve">Source: </w:t>
      </w:r>
      <w:r w:rsidR="005C2B06" w:rsidRPr="006F6B98">
        <w:rPr>
          <w:sz w:val="20"/>
          <w:szCs w:val="20"/>
        </w:rPr>
        <w:t>Victorian Budget Paper 3, 202</w:t>
      </w:r>
      <w:r w:rsidR="00824FDE" w:rsidRPr="006F6B98">
        <w:rPr>
          <w:sz w:val="20"/>
          <w:szCs w:val="20"/>
        </w:rPr>
        <w:t>1–22</w:t>
      </w:r>
      <w:r w:rsidR="005C2B06" w:rsidRPr="006F6B98">
        <w:rPr>
          <w:sz w:val="20"/>
          <w:szCs w:val="20"/>
        </w:rPr>
        <w:t>, p. 4</w:t>
      </w:r>
      <w:r w:rsidR="00714DD7" w:rsidRPr="006F6B98">
        <w:rPr>
          <w:sz w:val="20"/>
          <w:szCs w:val="20"/>
        </w:rPr>
        <w:t xml:space="preserve">. </w:t>
      </w:r>
    </w:p>
  </w:endnote>
  <w:endnote w:id="36">
    <w:p w14:paraId="784CA70A" w14:textId="209AA350" w:rsidR="002C0519" w:rsidRPr="006F6B98" w:rsidRDefault="002C0519"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w:t>
      </w:r>
      <w:r w:rsidR="00EA0349" w:rsidRPr="006F6B98">
        <w:rPr>
          <w:sz w:val="20"/>
          <w:szCs w:val="20"/>
        </w:rPr>
        <w:t>Victorian Budget Paper 3, 202</w:t>
      </w:r>
      <w:r w:rsidR="00824FDE" w:rsidRPr="006F6B98">
        <w:rPr>
          <w:sz w:val="20"/>
          <w:szCs w:val="20"/>
        </w:rPr>
        <w:t>1–22</w:t>
      </w:r>
      <w:r w:rsidR="00EA0349" w:rsidRPr="006F6B98">
        <w:rPr>
          <w:sz w:val="20"/>
          <w:szCs w:val="20"/>
        </w:rPr>
        <w:t>, p. 46</w:t>
      </w:r>
      <w:r w:rsidRPr="006F6B98">
        <w:rPr>
          <w:sz w:val="20"/>
          <w:szCs w:val="20"/>
        </w:rPr>
        <w:t xml:space="preserve"> </w:t>
      </w:r>
    </w:p>
  </w:endnote>
  <w:endnote w:id="37">
    <w:p w14:paraId="574AF2E5" w14:textId="3BBAD91E" w:rsidR="002C0519" w:rsidRPr="006F6B98" w:rsidRDefault="002C0519"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w:t>
      </w:r>
      <w:r w:rsidR="0058070D" w:rsidRPr="006F6B98">
        <w:rPr>
          <w:sz w:val="20"/>
          <w:szCs w:val="20"/>
        </w:rPr>
        <w:t>’s</w:t>
      </w:r>
      <w:r w:rsidRPr="006F6B98">
        <w:rPr>
          <w:sz w:val="20"/>
          <w:szCs w:val="20"/>
        </w:rPr>
        <w:t xml:space="preserve"> Media Release, </w:t>
      </w:r>
      <w:r w:rsidR="0048435C" w:rsidRPr="006F6B98">
        <w:rPr>
          <w:sz w:val="20"/>
          <w:szCs w:val="20"/>
        </w:rPr>
        <w:t>‘</w:t>
      </w:r>
      <w:r w:rsidRPr="006F6B98">
        <w:rPr>
          <w:sz w:val="20"/>
          <w:szCs w:val="20"/>
        </w:rPr>
        <w:t>Transforming the System for Our Most Vulnerable Kids</w:t>
      </w:r>
      <w:r w:rsidR="0048435C" w:rsidRPr="006F6B98">
        <w:rPr>
          <w:sz w:val="20"/>
          <w:szCs w:val="20"/>
        </w:rPr>
        <w:t>’</w:t>
      </w:r>
      <w:r w:rsidR="002E6342" w:rsidRPr="006F6B98">
        <w:rPr>
          <w:sz w:val="20"/>
          <w:szCs w:val="20"/>
        </w:rPr>
        <w:t>, 20 May 2021</w:t>
      </w:r>
      <w:r w:rsidRPr="006F6B98">
        <w:rPr>
          <w:sz w:val="20"/>
          <w:szCs w:val="20"/>
        </w:rPr>
        <w:t xml:space="preserve"> </w:t>
      </w:r>
    </w:p>
  </w:endnote>
  <w:endnote w:id="38">
    <w:p w14:paraId="0D279F73" w14:textId="6C3BA717" w:rsidR="00833E50" w:rsidRPr="006F6B98" w:rsidRDefault="00833E50"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w:t>
      </w:r>
      <w:r w:rsidR="0058070D" w:rsidRPr="006F6B98">
        <w:rPr>
          <w:sz w:val="20"/>
          <w:szCs w:val="20"/>
        </w:rPr>
        <w:t>’s</w:t>
      </w:r>
      <w:r w:rsidRPr="006F6B98">
        <w:rPr>
          <w:sz w:val="20"/>
          <w:szCs w:val="20"/>
        </w:rPr>
        <w:t xml:space="preserve"> Media Release, </w:t>
      </w:r>
      <w:r w:rsidR="0048435C" w:rsidRPr="006F6B98">
        <w:rPr>
          <w:sz w:val="20"/>
          <w:szCs w:val="20"/>
        </w:rPr>
        <w:t>‘</w:t>
      </w:r>
      <w:r w:rsidRPr="006F6B98">
        <w:rPr>
          <w:sz w:val="20"/>
          <w:szCs w:val="20"/>
        </w:rPr>
        <w:t xml:space="preserve">Transforming the System for Our Most Vulnerable </w:t>
      </w:r>
      <w:r w:rsidR="0048435C" w:rsidRPr="006F6B98">
        <w:rPr>
          <w:sz w:val="20"/>
          <w:szCs w:val="20"/>
        </w:rPr>
        <w:t>Kids’, 20 May 2021</w:t>
      </w:r>
    </w:p>
  </w:endnote>
  <w:endnote w:id="39">
    <w:p w14:paraId="3D0809AF" w14:textId="6EFE0472" w:rsidR="00622B86" w:rsidRPr="006F6B98" w:rsidRDefault="00622B86"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w:t>
      </w:r>
      <w:r w:rsidR="0058070D" w:rsidRPr="006F6B98">
        <w:rPr>
          <w:sz w:val="20"/>
          <w:szCs w:val="20"/>
        </w:rPr>
        <w:t>’s</w:t>
      </w:r>
      <w:r w:rsidRPr="006F6B98">
        <w:rPr>
          <w:sz w:val="20"/>
          <w:szCs w:val="20"/>
        </w:rPr>
        <w:t xml:space="preserve"> Media Release, </w:t>
      </w:r>
      <w:r w:rsidR="0048435C" w:rsidRPr="006F6B98">
        <w:rPr>
          <w:sz w:val="20"/>
          <w:szCs w:val="20"/>
        </w:rPr>
        <w:t>‘</w:t>
      </w:r>
      <w:r w:rsidRPr="006F6B98">
        <w:rPr>
          <w:sz w:val="20"/>
          <w:szCs w:val="20"/>
        </w:rPr>
        <w:t xml:space="preserve">Transforming the System for Our Most Vulnerable </w:t>
      </w:r>
      <w:r w:rsidR="0048435C" w:rsidRPr="006F6B98">
        <w:rPr>
          <w:sz w:val="20"/>
          <w:szCs w:val="20"/>
        </w:rPr>
        <w:t>Kids’, 20 May 2021</w:t>
      </w:r>
    </w:p>
  </w:endnote>
  <w:endnote w:id="40">
    <w:p w14:paraId="12614313" w14:textId="31251BF2" w:rsidR="00637E02" w:rsidRPr="006F6B98" w:rsidRDefault="00637E02"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w:t>
      </w:r>
      <w:r w:rsidR="00BD4829" w:rsidRPr="006F6B98">
        <w:rPr>
          <w:sz w:val="20"/>
          <w:szCs w:val="20"/>
        </w:rPr>
        <w:t xml:space="preserve">Internal data from </w:t>
      </w:r>
      <w:r w:rsidRPr="006F6B98">
        <w:rPr>
          <w:sz w:val="20"/>
          <w:szCs w:val="20"/>
        </w:rPr>
        <w:t xml:space="preserve">Client Relationship Information System (CRIS), </w:t>
      </w:r>
      <w:r w:rsidR="00BD4829" w:rsidRPr="006F6B98">
        <w:rPr>
          <w:sz w:val="20"/>
          <w:szCs w:val="20"/>
        </w:rPr>
        <w:t>July</w:t>
      </w:r>
      <w:r w:rsidRPr="006F6B98">
        <w:rPr>
          <w:sz w:val="20"/>
          <w:szCs w:val="20"/>
        </w:rPr>
        <w:t xml:space="preserve"> 2021.</w:t>
      </w:r>
    </w:p>
  </w:endnote>
  <w:endnote w:id="41">
    <w:p w14:paraId="6610A533" w14:textId="741F4744" w:rsidR="00413107" w:rsidRPr="006F6B98" w:rsidRDefault="00413107" w:rsidP="00CC11D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w:t>
      </w:r>
      <w:r w:rsidR="0058070D" w:rsidRPr="006F6B98">
        <w:rPr>
          <w:sz w:val="20"/>
          <w:szCs w:val="20"/>
        </w:rPr>
        <w:t>’s</w:t>
      </w:r>
      <w:r w:rsidRPr="006F6B98">
        <w:rPr>
          <w:sz w:val="20"/>
          <w:szCs w:val="20"/>
        </w:rPr>
        <w:t xml:space="preserve"> Media Release, </w:t>
      </w:r>
      <w:r w:rsidR="0048435C" w:rsidRPr="006F6B98">
        <w:rPr>
          <w:sz w:val="20"/>
          <w:szCs w:val="20"/>
        </w:rPr>
        <w:t>‘</w:t>
      </w:r>
      <w:r w:rsidRPr="006F6B98">
        <w:rPr>
          <w:sz w:val="20"/>
          <w:szCs w:val="20"/>
        </w:rPr>
        <w:t xml:space="preserve">Transforming the System for Our Most Vulnerable </w:t>
      </w:r>
      <w:r w:rsidR="0048435C" w:rsidRPr="006F6B98">
        <w:rPr>
          <w:sz w:val="20"/>
          <w:szCs w:val="20"/>
        </w:rPr>
        <w:t xml:space="preserve">Kids’, 20 May 2021 </w:t>
      </w:r>
      <w:r w:rsidRPr="006F6B98">
        <w:rPr>
          <w:sz w:val="20"/>
          <w:szCs w:val="20"/>
        </w:rPr>
        <w:t xml:space="preserve"> </w:t>
      </w:r>
    </w:p>
  </w:endnote>
  <w:endnote w:id="42">
    <w:p w14:paraId="04AA6C57" w14:textId="13AFA584" w:rsidR="00B32EF5" w:rsidRPr="006F6B98" w:rsidRDefault="00B32EF5" w:rsidP="003E74BA">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285B03" w:rsidRPr="006F6B98">
        <w:rPr>
          <w:sz w:val="20"/>
          <w:szCs w:val="20"/>
        </w:rPr>
        <w:t xml:space="preserve">Source: </w:t>
      </w:r>
      <w:r w:rsidR="00811B28" w:rsidRPr="006F6B98">
        <w:rPr>
          <w:sz w:val="20"/>
          <w:szCs w:val="20"/>
        </w:rPr>
        <w:t>Premier</w:t>
      </w:r>
      <w:r w:rsidR="0058070D" w:rsidRPr="006F6B98">
        <w:rPr>
          <w:sz w:val="20"/>
          <w:szCs w:val="20"/>
        </w:rPr>
        <w:t>’s</w:t>
      </w:r>
      <w:r w:rsidR="00811B28" w:rsidRPr="006F6B98">
        <w:rPr>
          <w:sz w:val="20"/>
          <w:szCs w:val="20"/>
        </w:rPr>
        <w:t xml:space="preserve"> Media Release</w:t>
      </w:r>
      <w:r w:rsidR="00E64FF8" w:rsidRPr="006F6B98">
        <w:rPr>
          <w:sz w:val="20"/>
          <w:szCs w:val="20"/>
        </w:rPr>
        <w:t xml:space="preserve">, </w:t>
      </w:r>
      <w:r w:rsidR="0048435C" w:rsidRPr="006F6B98">
        <w:rPr>
          <w:sz w:val="20"/>
          <w:szCs w:val="20"/>
        </w:rPr>
        <w:t>‘</w:t>
      </w:r>
      <w:r w:rsidR="00FD3AF3" w:rsidRPr="006F6B98">
        <w:rPr>
          <w:sz w:val="20"/>
          <w:szCs w:val="20"/>
        </w:rPr>
        <w:t xml:space="preserve">Transforming the System for Our Most Vulnerable </w:t>
      </w:r>
      <w:r w:rsidR="0048435C" w:rsidRPr="006F6B98">
        <w:rPr>
          <w:sz w:val="20"/>
          <w:szCs w:val="20"/>
        </w:rPr>
        <w:t>Kids’, 20 May 2021</w:t>
      </w:r>
    </w:p>
  </w:endnote>
  <w:endnote w:id="43">
    <w:p w14:paraId="2E645CCB" w14:textId="030510BE" w:rsidR="00B06C7A" w:rsidRPr="006F6B98" w:rsidRDefault="00B06C7A" w:rsidP="003E74BA">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Pr="006F6B98">
        <w:rPr>
          <w:rFonts w:cs="Arial"/>
          <w:sz w:val="20"/>
          <w:szCs w:val="20"/>
        </w:rPr>
        <w:t>Source: Victorian Budget Paper 3 202</w:t>
      </w:r>
      <w:r w:rsidR="00824FDE" w:rsidRPr="006F6B98">
        <w:rPr>
          <w:rFonts w:cs="Arial"/>
          <w:sz w:val="20"/>
          <w:szCs w:val="20"/>
        </w:rPr>
        <w:t>1–22</w:t>
      </w:r>
      <w:r w:rsidRPr="006F6B98">
        <w:rPr>
          <w:rFonts w:cs="Arial"/>
          <w:sz w:val="20"/>
          <w:szCs w:val="20"/>
        </w:rPr>
        <w:t>, p</w:t>
      </w:r>
      <w:r w:rsidR="00873366" w:rsidRPr="006F6B98">
        <w:rPr>
          <w:rFonts w:cs="Arial"/>
          <w:sz w:val="20"/>
          <w:szCs w:val="20"/>
        </w:rPr>
        <w:t>.</w:t>
      </w:r>
      <w:r w:rsidRPr="006F6B98">
        <w:rPr>
          <w:rFonts w:cs="Arial"/>
          <w:sz w:val="20"/>
          <w:szCs w:val="20"/>
        </w:rPr>
        <w:t>49</w:t>
      </w:r>
    </w:p>
  </w:endnote>
  <w:endnote w:id="44">
    <w:p w14:paraId="63955D31" w14:textId="0C8B481A" w:rsidR="002C05E6" w:rsidRPr="006F6B98" w:rsidRDefault="002C05E6" w:rsidP="00314968">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w:t>
      </w:r>
      <w:r w:rsidR="002C4F00" w:rsidRPr="006F6B98">
        <w:rPr>
          <w:sz w:val="20"/>
          <w:szCs w:val="20"/>
        </w:rPr>
        <w:t xml:space="preserve">Source: Premier’s Media Release, </w:t>
      </w:r>
      <w:r w:rsidR="0048435C" w:rsidRPr="006F6B98">
        <w:rPr>
          <w:sz w:val="20"/>
          <w:szCs w:val="20"/>
        </w:rPr>
        <w:t>‘</w:t>
      </w:r>
      <w:r w:rsidR="00DE7A3E" w:rsidRPr="006F6B98">
        <w:rPr>
          <w:sz w:val="20"/>
          <w:szCs w:val="20"/>
        </w:rPr>
        <w:t xml:space="preserve">Keeping our promise with </w:t>
      </w:r>
      <w:r w:rsidR="0073264D" w:rsidRPr="006F6B98">
        <w:rPr>
          <w:sz w:val="20"/>
          <w:szCs w:val="20"/>
        </w:rPr>
        <w:t>five more Orange Doors to open</w:t>
      </w:r>
      <w:r w:rsidR="0048435C" w:rsidRPr="006F6B98">
        <w:rPr>
          <w:sz w:val="20"/>
          <w:szCs w:val="20"/>
        </w:rPr>
        <w:t>’</w:t>
      </w:r>
      <w:r w:rsidR="00314968" w:rsidRPr="006F6B98">
        <w:rPr>
          <w:sz w:val="20"/>
          <w:szCs w:val="20"/>
        </w:rPr>
        <w:t>, 27 August 2020</w:t>
      </w:r>
    </w:p>
  </w:endnote>
  <w:endnote w:id="45">
    <w:p w14:paraId="2CC3A264" w14:textId="0163BA02" w:rsidR="00A460A2" w:rsidRPr="006F6B98" w:rsidRDefault="00A460A2" w:rsidP="003E74BA">
      <w:pPr>
        <w:pStyle w:val="EndnoteText"/>
        <w:spacing w:after="0" w:line="240" w:lineRule="auto"/>
        <w:rPr>
          <w:i/>
          <w:iCs/>
          <w:sz w:val="20"/>
          <w:szCs w:val="20"/>
        </w:rPr>
      </w:pPr>
      <w:r w:rsidRPr="006F6B98">
        <w:rPr>
          <w:rStyle w:val="EndnoteReference"/>
          <w:sz w:val="20"/>
          <w:szCs w:val="20"/>
        </w:rPr>
        <w:endnoteRef/>
      </w:r>
      <w:r w:rsidRPr="006F6B98">
        <w:rPr>
          <w:sz w:val="20"/>
          <w:szCs w:val="20"/>
        </w:rPr>
        <w:t xml:space="preserve"> Source: Premier</w:t>
      </w:r>
      <w:r w:rsidR="0058070D" w:rsidRPr="006F6B98">
        <w:rPr>
          <w:sz w:val="20"/>
          <w:szCs w:val="20"/>
        </w:rPr>
        <w:t>’s</w:t>
      </w:r>
      <w:r w:rsidRPr="006F6B98">
        <w:rPr>
          <w:sz w:val="20"/>
          <w:szCs w:val="20"/>
        </w:rPr>
        <w:t xml:space="preserve"> Media Release, </w:t>
      </w:r>
      <w:r w:rsidR="0048435C" w:rsidRPr="006F6B98">
        <w:rPr>
          <w:sz w:val="20"/>
          <w:szCs w:val="20"/>
        </w:rPr>
        <w:t>‘</w:t>
      </w:r>
      <w:r w:rsidRPr="006F6B98">
        <w:rPr>
          <w:sz w:val="20"/>
          <w:szCs w:val="20"/>
        </w:rPr>
        <w:t>Putting the Safety of Victorian Women and Children First</w:t>
      </w:r>
      <w:r w:rsidR="0048435C" w:rsidRPr="006F6B98">
        <w:rPr>
          <w:sz w:val="20"/>
          <w:szCs w:val="20"/>
        </w:rPr>
        <w:t>’</w:t>
      </w:r>
      <w:r w:rsidR="000B7F28" w:rsidRPr="006F6B98">
        <w:rPr>
          <w:sz w:val="20"/>
          <w:szCs w:val="20"/>
        </w:rPr>
        <w:t>,</w:t>
      </w:r>
      <w:r w:rsidR="000B7F28" w:rsidRPr="006F6B98">
        <w:rPr>
          <w:i/>
          <w:iCs/>
          <w:sz w:val="20"/>
          <w:szCs w:val="20"/>
        </w:rPr>
        <w:t xml:space="preserve"> </w:t>
      </w:r>
      <w:r w:rsidR="000B7F28" w:rsidRPr="006F6B98">
        <w:rPr>
          <w:sz w:val="20"/>
          <w:szCs w:val="20"/>
        </w:rPr>
        <w:t>20 May 2021</w:t>
      </w:r>
      <w:r w:rsidRPr="006F6B98">
        <w:rPr>
          <w:i/>
          <w:iCs/>
          <w:sz w:val="20"/>
          <w:szCs w:val="20"/>
        </w:rPr>
        <w:t xml:space="preserve"> </w:t>
      </w:r>
    </w:p>
  </w:endnote>
  <w:endnote w:id="46">
    <w:p w14:paraId="7644203C" w14:textId="7EE98467" w:rsidR="00A107C1" w:rsidRPr="006F6B98" w:rsidRDefault="00A107C1" w:rsidP="003E74BA">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w:t>
      </w:r>
      <w:hyperlink r:id="rId10" w:history="1">
        <w:r w:rsidRPr="006F6B98">
          <w:rPr>
            <w:rStyle w:val="Hyperlink"/>
            <w:sz w:val="20"/>
            <w:szCs w:val="20"/>
          </w:rPr>
          <w:t xml:space="preserve">Housing, </w:t>
        </w:r>
        <w:r w:rsidR="00AC014F" w:rsidRPr="006F6B98">
          <w:rPr>
            <w:rStyle w:val="Hyperlink"/>
            <w:sz w:val="20"/>
            <w:szCs w:val="20"/>
          </w:rPr>
          <w:t xml:space="preserve">family violence reform rolling action plan </w:t>
        </w:r>
        <w:r w:rsidRPr="006F6B98">
          <w:rPr>
            <w:rStyle w:val="Hyperlink"/>
            <w:sz w:val="20"/>
            <w:szCs w:val="20"/>
          </w:rPr>
          <w:t>2020</w:t>
        </w:r>
        <w:r w:rsidR="00824FDE" w:rsidRPr="006F6B98">
          <w:rPr>
            <w:rStyle w:val="Hyperlink"/>
            <w:sz w:val="20"/>
            <w:szCs w:val="20"/>
          </w:rPr>
          <w:t>–</w:t>
        </w:r>
        <w:r w:rsidRPr="006F6B98">
          <w:rPr>
            <w:rStyle w:val="Hyperlink"/>
            <w:sz w:val="20"/>
            <w:szCs w:val="20"/>
          </w:rPr>
          <w:t>2023</w:t>
        </w:r>
      </w:hyperlink>
      <w:r w:rsidRPr="006F6B98">
        <w:rPr>
          <w:sz w:val="20"/>
          <w:szCs w:val="20"/>
        </w:rPr>
        <w:t xml:space="preserve">  </w:t>
      </w:r>
      <w:r w:rsidR="00AC014F" w:rsidRPr="006F6B98">
        <w:rPr>
          <w:sz w:val="20"/>
          <w:szCs w:val="20"/>
        </w:rPr>
        <w:t>&lt;https://www.vic.gov.au/family-violence-reform-rolling-action-plan-2020-2023/priorities-for-2020-2023/housing&gt;</w:t>
      </w:r>
      <w:r w:rsidR="00783C68" w:rsidRPr="006F6B98">
        <w:rPr>
          <w:sz w:val="20"/>
          <w:szCs w:val="20"/>
        </w:rPr>
        <w:t xml:space="preserve">, 19 April 2021 </w:t>
      </w:r>
    </w:p>
  </w:endnote>
  <w:endnote w:id="47">
    <w:p w14:paraId="3D0AE843" w14:textId="6FABA311" w:rsidR="00DA12F3" w:rsidRPr="006F6B98" w:rsidRDefault="00DA12F3" w:rsidP="003E74BA">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w:t>
      </w:r>
      <w:r w:rsidR="0058070D" w:rsidRPr="006F6B98">
        <w:rPr>
          <w:sz w:val="20"/>
          <w:szCs w:val="20"/>
        </w:rPr>
        <w:t>’s</w:t>
      </w:r>
      <w:r w:rsidRPr="006F6B98">
        <w:rPr>
          <w:sz w:val="20"/>
          <w:szCs w:val="20"/>
        </w:rPr>
        <w:t xml:space="preserve"> Media Release, </w:t>
      </w:r>
      <w:r w:rsidR="0048435C" w:rsidRPr="006F6B98">
        <w:rPr>
          <w:sz w:val="20"/>
          <w:szCs w:val="20"/>
        </w:rPr>
        <w:t>‘</w:t>
      </w:r>
      <w:r w:rsidR="0053787C" w:rsidRPr="006F6B98">
        <w:rPr>
          <w:sz w:val="20"/>
          <w:szCs w:val="20"/>
        </w:rPr>
        <w:t>New Fund to Support Aboriginal Family Violence Sector</w:t>
      </w:r>
      <w:r w:rsidR="0048435C" w:rsidRPr="006F6B98">
        <w:rPr>
          <w:sz w:val="20"/>
          <w:szCs w:val="20"/>
        </w:rPr>
        <w:t>’</w:t>
      </w:r>
      <w:r w:rsidR="0053787C" w:rsidRPr="006F6B98">
        <w:rPr>
          <w:sz w:val="20"/>
          <w:szCs w:val="20"/>
        </w:rPr>
        <w:t>,</w:t>
      </w:r>
      <w:r w:rsidR="0053787C" w:rsidRPr="006F6B98">
        <w:rPr>
          <w:i/>
          <w:iCs/>
          <w:sz w:val="20"/>
          <w:szCs w:val="20"/>
        </w:rPr>
        <w:t xml:space="preserve"> </w:t>
      </w:r>
      <w:r w:rsidR="0053787C" w:rsidRPr="006F6B98">
        <w:rPr>
          <w:sz w:val="20"/>
          <w:szCs w:val="20"/>
        </w:rPr>
        <w:t>23 September 2020</w:t>
      </w:r>
    </w:p>
  </w:endnote>
  <w:endnote w:id="48">
    <w:p w14:paraId="44A77382" w14:textId="1E00790E" w:rsidR="003827AB" w:rsidRPr="006F6B98" w:rsidRDefault="003827AB" w:rsidP="003E74BA">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w:t>
      </w:r>
      <w:r w:rsidR="00E34C26" w:rsidRPr="006F6B98">
        <w:rPr>
          <w:sz w:val="20"/>
          <w:szCs w:val="20"/>
        </w:rPr>
        <w:t xml:space="preserve">3 </w:t>
      </w:r>
      <w:r w:rsidRPr="006F6B98">
        <w:rPr>
          <w:sz w:val="20"/>
          <w:szCs w:val="20"/>
        </w:rPr>
        <w:t>202</w:t>
      </w:r>
      <w:r w:rsidR="00824FDE" w:rsidRPr="006F6B98">
        <w:rPr>
          <w:sz w:val="20"/>
          <w:szCs w:val="20"/>
        </w:rPr>
        <w:t>1–22</w:t>
      </w:r>
      <w:r w:rsidRPr="006F6B98">
        <w:rPr>
          <w:sz w:val="20"/>
          <w:szCs w:val="20"/>
        </w:rPr>
        <w:t xml:space="preserve">, p.46 </w:t>
      </w:r>
    </w:p>
  </w:endnote>
  <w:endnote w:id="49">
    <w:p w14:paraId="32AA80E1" w14:textId="513C3A73" w:rsidR="00AF32F6" w:rsidRPr="006F6B98" w:rsidRDefault="00AF32F6" w:rsidP="003E74BA">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3 202</w:t>
      </w:r>
      <w:r w:rsidR="00824FDE" w:rsidRPr="006F6B98">
        <w:rPr>
          <w:sz w:val="20"/>
          <w:szCs w:val="20"/>
        </w:rPr>
        <w:t>1–22</w:t>
      </w:r>
      <w:r w:rsidRPr="006F6B98">
        <w:rPr>
          <w:sz w:val="20"/>
          <w:szCs w:val="20"/>
        </w:rPr>
        <w:t>, p. 46</w:t>
      </w:r>
    </w:p>
  </w:endnote>
  <w:endnote w:id="50">
    <w:p w14:paraId="59016A67" w14:textId="70B630CB" w:rsidR="00C01505" w:rsidRPr="006F6B98" w:rsidRDefault="00C01505" w:rsidP="00C01505">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3, 202</w:t>
      </w:r>
      <w:r w:rsidR="00824FDE" w:rsidRPr="006F6B98">
        <w:rPr>
          <w:sz w:val="20"/>
          <w:szCs w:val="20"/>
        </w:rPr>
        <w:t>1–22</w:t>
      </w:r>
      <w:r w:rsidRPr="006F6B98">
        <w:rPr>
          <w:sz w:val="20"/>
          <w:szCs w:val="20"/>
        </w:rPr>
        <w:t>, p.47.</w:t>
      </w:r>
    </w:p>
  </w:endnote>
  <w:endnote w:id="51">
    <w:p w14:paraId="2D39C062" w14:textId="7FC8FB62" w:rsidR="000779BE" w:rsidRPr="006F6B98" w:rsidRDefault="000779BE" w:rsidP="003E74BA">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w:t>
      </w:r>
      <w:r w:rsidR="0048435C" w:rsidRPr="006F6B98">
        <w:rPr>
          <w:sz w:val="20"/>
          <w:szCs w:val="20"/>
        </w:rPr>
        <w:t>‘</w:t>
      </w:r>
      <w:r w:rsidR="003E74BA" w:rsidRPr="006F6B98">
        <w:rPr>
          <w:sz w:val="20"/>
          <w:szCs w:val="20"/>
        </w:rPr>
        <w:t>Keeping People Connected And Included As We Recover</w:t>
      </w:r>
      <w:r w:rsidR="0048435C" w:rsidRPr="006F6B98">
        <w:rPr>
          <w:sz w:val="20"/>
          <w:szCs w:val="20"/>
        </w:rPr>
        <w:t>’</w:t>
      </w:r>
      <w:r w:rsidR="003E74BA" w:rsidRPr="006F6B98">
        <w:rPr>
          <w:sz w:val="20"/>
          <w:szCs w:val="20"/>
        </w:rPr>
        <w:t>,</w:t>
      </w:r>
      <w:r w:rsidR="003E74BA" w:rsidRPr="006F6B98">
        <w:rPr>
          <w:i/>
          <w:iCs/>
          <w:sz w:val="20"/>
          <w:szCs w:val="20"/>
        </w:rPr>
        <w:t xml:space="preserve"> </w:t>
      </w:r>
      <w:r w:rsidR="003E74BA" w:rsidRPr="006F6B98">
        <w:rPr>
          <w:sz w:val="20"/>
          <w:szCs w:val="20"/>
        </w:rPr>
        <w:t>20 May 2021</w:t>
      </w:r>
    </w:p>
  </w:endnote>
  <w:endnote w:id="52">
    <w:p w14:paraId="5BDAF426" w14:textId="1DBC1D4F" w:rsidR="001A30DF" w:rsidRPr="006F6B98" w:rsidRDefault="001A30DF" w:rsidP="00253E4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w:t>
      </w:r>
      <w:r w:rsidR="003C404B" w:rsidRPr="006F6B98">
        <w:rPr>
          <w:sz w:val="20"/>
          <w:szCs w:val="20"/>
        </w:rPr>
        <w:t>‘</w:t>
      </w:r>
      <w:r w:rsidRPr="006F6B98">
        <w:rPr>
          <w:sz w:val="20"/>
          <w:szCs w:val="20"/>
        </w:rPr>
        <w:t>Keeping People Connected And Included As We Recover</w:t>
      </w:r>
      <w:r w:rsidR="003C404B" w:rsidRPr="006F6B98">
        <w:rPr>
          <w:sz w:val="20"/>
          <w:szCs w:val="20"/>
        </w:rPr>
        <w:t>’</w:t>
      </w:r>
      <w:r w:rsidRPr="006F6B98">
        <w:rPr>
          <w:i/>
          <w:iCs/>
          <w:sz w:val="20"/>
          <w:szCs w:val="20"/>
        </w:rPr>
        <w:t xml:space="preserve">, </w:t>
      </w:r>
      <w:r w:rsidRPr="006F6B98">
        <w:rPr>
          <w:sz w:val="20"/>
          <w:szCs w:val="20"/>
        </w:rPr>
        <w:t>20 May 2021.</w:t>
      </w:r>
    </w:p>
  </w:endnote>
  <w:endnote w:id="53">
    <w:p w14:paraId="4A509695" w14:textId="20553A70" w:rsidR="006D562C" w:rsidRPr="006F6B98" w:rsidRDefault="006D562C" w:rsidP="00253E4C">
      <w:pPr>
        <w:pStyle w:val="EndnoteText"/>
        <w:spacing w:after="0" w:line="240" w:lineRule="auto"/>
        <w:rPr>
          <w:i/>
          <w:iCs/>
          <w:sz w:val="20"/>
          <w:szCs w:val="20"/>
        </w:rPr>
      </w:pPr>
      <w:r w:rsidRPr="006F6B98">
        <w:rPr>
          <w:rStyle w:val="EndnoteReference"/>
          <w:sz w:val="20"/>
          <w:szCs w:val="20"/>
        </w:rPr>
        <w:endnoteRef/>
      </w:r>
      <w:r w:rsidRPr="006F6B98">
        <w:rPr>
          <w:sz w:val="20"/>
          <w:szCs w:val="20"/>
        </w:rPr>
        <w:t xml:space="preserve"> Source: Australian Bureau of Statistics, </w:t>
      </w:r>
      <w:r w:rsidRPr="006F6B98">
        <w:rPr>
          <w:i/>
          <w:iCs/>
          <w:sz w:val="20"/>
          <w:szCs w:val="20"/>
        </w:rPr>
        <w:t>Disability, Ageing and Carers, Australia: Victoria, 2018,</w:t>
      </w:r>
      <w:r w:rsidRPr="006F6B98">
        <w:rPr>
          <w:sz w:val="20"/>
          <w:szCs w:val="20"/>
        </w:rPr>
        <w:t xml:space="preserve"> Table 1.</w:t>
      </w:r>
      <w:r w:rsidR="00253E4C" w:rsidRPr="006F6B98">
        <w:rPr>
          <w:sz w:val="20"/>
          <w:szCs w:val="20"/>
        </w:rPr>
        <w:t>1.</w:t>
      </w:r>
    </w:p>
  </w:endnote>
  <w:endnote w:id="54">
    <w:p w14:paraId="188B09D9" w14:textId="45055C81" w:rsidR="00AB354F" w:rsidRPr="006F6B98" w:rsidRDefault="00AB354F" w:rsidP="00FF5974">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3 2019-20, pp. 50, 5</w:t>
      </w:r>
      <w:r w:rsidR="00FC5592" w:rsidRPr="006F6B98">
        <w:rPr>
          <w:sz w:val="20"/>
          <w:szCs w:val="20"/>
        </w:rPr>
        <w:t>4</w:t>
      </w:r>
    </w:p>
  </w:endnote>
  <w:endnote w:id="55">
    <w:p w14:paraId="749B8373" w14:textId="335DC3F1" w:rsidR="00942AC4" w:rsidRPr="006F6B98" w:rsidRDefault="00942AC4" w:rsidP="00FF5974">
      <w:pPr>
        <w:pStyle w:val="EndnoteText"/>
        <w:spacing w:after="0" w:line="240" w:lineRule="auto"/>
        <w:rPr>
          <w:i/>
          <w:sz w:val="20"/>
          <w:szCs w:val="20"/>
        </w:rPr>
      </w:pPr>
      <w:r w:rsidRPr="006F6B98">
        <w:rPr>
          <w:rStyle w:val="EndnoteReference"/>
          <w:sz w:val="20"/>
          <w:szCs w:val="20"/>
        </w:rPr>
        <w:endnoteRef/>
      </w:r>
      <w:r w:rsidRPr="006F6B98">
        <w:rPr>
          <w:sz w:val="20"/>
          <w:szCs w:val="20"/>
        </w:rPr>
        <w:t xml:space="preserve"> Source: </w:t>
      </w:r>
      <w:hyperlink r:id="rId11" w:history="1">
        <w:r w:rsidR="00723B84" w:rsidRPr="006F6B98">
          <w:rPr>
            <w:rStyle w:val="Hyperlink"/>
            <w:sz w:val="20"/>
            <w:szCs w:val="20"/>
          </w:rPr>
          <w:t>Strong carers, stronger children</w:t>
        </w:r>
      </w:hyperlink>
      <w:r w:rsidR="00723B84" w:rsidRPr="006F6B98">
        <w:rPr>
          <w:i/>
          <w:iCs/>
          <w:sz w:val="20"/>
          <w:szCs w:val="20"/>
        </w:rPr>
        <w:t xml:space="preserve"> </w:t>
      </w:r>
      <w:r w:rsidR="00575683" w:rsidRPr="006F6B98">
        <w:rPr>
          <w:i/>
          <w:iCs/>
          <w:sz w:val="20"/>
          <w:szCs w:val="20"/>
        </w:rPr>
        <w:t>&lt;</w:t>
      </w:r>
      <w:r w:rsidR="00575683" w:rsidRPr="006F6B98">
        <w:rPr>
          <w:sz w:val="20"/>
          <w:szCs w:val="20"/>
        </w:rPr>
        <w:t>https://www.dhhs.vic.gov.au/publications/strong-carers-stronger-children&gt;</w:t>
      </w:r>
      <w:r w:rsidR="00FF5974" w:rsidRPr="006F6B98">
        <w:rPr>
          <w:sz w:val="20"/>
          <w:szCs w:val="20"/>
        </w:rPr>
        <w:t>, 26 July 2021</w:t>
      </w:r>
    </w:p>
  </w:endnote>
  <w:endnote w:id="56">
    <w:p w14:paraId="16C8B662" w14:textId="39E22738" w:rsidR="00B63D23" w:rsidRPr="006F6B98" w:rsidRDefault="00B63D23" w:rsidP="00B63D23">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3, 202</w:t>
      </w:r>
      <w:r w:rsidR="00824FDE" w:rsidRPr="006F6B98">
        <w:rPr>
          <w:sz w:val="20"/>
          <w:szCs w:val="20"/>
        </w:rPr>
        <w:t>1–22</w:t>
      </w:r>
      <w:r w:rsidRPr="006F6B98">
        <w:rPr>
          <w:sz w:val="20"/>
          <w:szCs w:val="20"/>
        </w:rPr>
        <w:t>, p. 46</w:t>
      </w:r>
    </w:p>
  </w:endnote>
  <w:endnote w:id="57">
    <w:p w14:paraId="0530CDFB" w14:textId="18FC7D09" w:rsidR="00B733BC" w:rsidRPr="006F6B98" w:rsidRDefault="00B733BC" w:rsidP="00B733BC">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3, 202</w:t>
      </w:r>
      <w:r w:rsidR="00824FDE" w:rsidRPr="006F6B98">
        <w:rPr>
          <w:sz w:val="20"/>
          <w:szCs w:val="20"/>
        </w:rPr>
        <w:t>1–22</w:t>
      </w:r>
      <w:r w:rsidRPr="006F6B98">
        <w:rPr>
          <w:sz w:val="20"/>
          <w:szCs w:val="20"/>
        </w:rPr>
        <w:t>, p.47</w:t>
      </w:r>
    </w:p>
  </w:endnote>
  <w:endnote w:id="58">
    <w:p w14:paraId="57EF4E31" w14:textId="5255E6BC" w:rsidR="00890F6D" w:rsidRPr="006F6B98" w:rsidRDefault="00890F6D" w:rsidP="00890F6D">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3 202</w:t>
      </w:r>
      <w:r w:rsidR="00824FDE" w:rsidRPr="006F6B98">
        <w:rPr>
          <w:sz w:val="20"/>
          <w:szCs w:val="20"/>
        </w:rPr>
        <w:t>1–22</w:t>
      </w:r>
      <w:r w:rsidRPr="006F6B98">
        <w:rPr>
          <w:sz w:val="20"/>
          <w:szCs w:val="20"/>
        </w:rPr>
        <w:t>, p.47</w:t>
      </w:r>
    </w:p>
  </w:endnote>
  <w:endnote w:id="59">
    <w:p w14:paraId="745D667A" w14:textId="267405CA" w:rsidR="00F4497E" w:rsidRPr="006F6B98" w:rsidRDefault="00F4497E" w:rsidP="00F4497E">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Internal data from </w:t>
      </w:r>
      <w:r w:rsidR="00F56EC4" w:rsidRPr="006F6B98">
        <w:rPr>
          <w:sz w:val="20"/>
          <w:szCs w:val="20"/>
        </w:rPr>
        <w:t>Veterans,</w:t>
      </w:r>
      <w:r w:rsidRPr="006F6B98">
        <w:rPr>
          <w:sz w:val="20"/>
          <w:szCs w:val="20"/>
        </w:rPr>
        <w:t xml:space="preserve"> Fairer Victoria</w:t>
      </w:r>
      <w:r w:rsidR="00F56EC4" w:rsidRPr="006F6B98">
        <w:rPr>
          <w:sz w:val="20"/>
          <w:szCs w:val="20"/>
        </w:rPr>
        <w:t>, August 2021</w:t>
      </w:r>
    </w:p>
  </w:endnote>
  <w:endnote w:id="60">
    <w:p w14:paraId="39CE9183" w14:textId="3A1FB442" w:rsidR="00F0381B" w:rsidRPr="006F6B98" w:rsidRDefault="00F0381B" w:rsidP="00F0381B">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Victorian Budget Paper 3 202</w:t>
      </w:r>
      <w:r w:rsidR="00824FDE" w:rsidRPr="006F6B98">
        <w:rPr>
          <w:sz w:val="20"/>
          <w:szCs w:val="20"/>
        </w:rPr>
        <w:t>1–22</w:t>
      </w:r>
      <w:r w:rsidRPr="006F6B98">
        <w:rPr>
          <w:sz w:val="20"/>
          <w:szCs w:val="20"/>
        </w:rPr>
        <w:t>, p. 47</w:t>
      </w:r>
    </w:p>
  </w:endnote>
  <w:endnote w:id="61">
    <w:p w14:paraId="3BE9D7A5" w14:textId="3CFD9708" w:rsidR="005F6FC4" w:rsidRPr="006F6B98" w:rsidRDefault="005F6FC4" w:rsidP="006D0FB2">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w:t>
      </w:r>
      <w:r w:rsidR="008E0C2F" w:rsidRPr="006F6B98">
        <w:rPr>
          <w:sz w:val="20"/>
          <w:szCs w:val="20"/>
        </w:rPr>
        <w:t>‘</w:t>
      </w:r>
      <w:r w:rsidR="006D0FB2" w:rsidRPr="006F6B98">
        <w:rPr>
          <w:sz w:val="20"/>
          <w:szCs w:val="20"/>
        </w:rPr>
        <w:t>Building Stronger Communities Across The State</w:t>
      </w:r>
      <w:r w:rsidR="008E0C2F" w:rsidRPr="006F6B98">
        <w:rPr>
          <w:sz w:val="20"/>
          <w:szCs w:val="20"/>
        </w:rPr>
        <w:t>’</w:t>
      </w:r>
      <w:r w:rsidR="006D0FB2" w:rsidRPr="006F6B98">
        <w:rPr>
          <w:i/>
          <w:iCs/>
          <w:sz w:val="20"/>
          <w:szCs w:val="20"/>
        </w:rPr>
        <w:t xml:space="preserve">, </w:t>
      </w:r>
      <w:r w:rsidR="006D0FB2" w:rsidRPr="006F6B98">
        <w:rPr>
          <w:sz w:val="20"/>
          <w:szCs w:val="20"/>
        </w:rPr>
        <w:t xml:space="preserve">20 May 2021 </w:t>
      </w:r>
    </w:p>
  </w:endnote>
  <w:endnote w:id="62">
    <w:p w14:paraId="5E51E839" w14:textId="43B7FC5C" w:rsidR="006D0FB2" w:rsidRPr="006F6B98" w:rsidRDefault="006D0FB2" w:rsidP="006D0FB2">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w:t>
      </w:r>
      <w:r w:rsidR="008E0C2F" w:rsidRPr="006F6B98">
        <w:rPr>
          <w:sz w:val="20"/>
          <w:szCs w:val="20"/>
        </w:rPr>
        <w:t>‘</w:t>
      </w:r>
      <w:r w:rsidRPr="006F6B98">
        <w:rPr>
          <w:sz w:val="20"/>
          <w:szCs w:val="20"/>
        </w:rPr>
        <w:t xml:space="preserve">Building Stronger Communities Across The </w:t>
      </w:r>
      <w:r w:rsidR="008E0C2F" w:rsidRPr="006F6B98">
        <w:rPr>
          <w:sz w:val="20"/>
          <w:szCs w:val="20"/>
        </w:rPr>
        <w:t>State’</w:t>
      </w:r>
      <w:r w:rsidRPr="006F6B98">
        <w:rPr>
          <w:i/>
          <w:iCs/>
          <w:sz w:val="20"/>
          <w:szCs w:val="20"/>
        </w:rPr>
        <w:t xml:space="preserve">, </w:t>
      </w:r>
      <w:r w:rsidRPr="006F6B98">
        <w:rPr>
          <w:sz w:val="20"/>
          <w:szCs w:val="20"/>
        </w:rPr>
        <w:t>20 May 2021</w:t>
      </w:r>
    </w:p>
  </w:endnote>
  <w:endnote w:id="63">
    <w:p w14:paraId="56E513F0" w14:textId="1479A40F" w:rsidR="00B0285A" w:rsidRPr="006F6B98" w:rsidRDefault="00B0285A" w:rsidP="00135BE5">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w:t>
      </w:r>
      <w:r w:rsidR="003C404B" w:rsidRPr="006F6B98">
        <w:rPr>
          <w:sz w:val="20"/>
          <w:szCs w:val="20"/>
        </w:rPr>
        <w:t>‘No One Left Behind: More Support for Victorians in Need’, 7 June 2021</w:t>
      </w:r>
    </w:p>
  </w:endnote>
  <w:endnote w:id="64">
    <w:p w14:paraId="4F8D7EC9" w14:textId="46AAEC09" w:rsidR="00F4497E" w:rsidRPr="006F6B98" w:rsidRDefault="00F4497E" w:rsidP="00F4497E">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Internal data from High-Risk Accommodation Response (HRAR), 09 August 2021</w:t>
      </w:r>
    </w:p>
  </w:endnote>
  <w:endnote w:id="65">
    <w:p w14:paraId="0C697D09" w14:textId="77777777" w:rsidR="005E339F" w:rsidRPr="006F6B98" w:rsidRDefault="005E339F" w:rsidP="005E339F">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‘Victoria’s Big Housing Build’, 15 November 2020</w:t>
      </w:r>
    </w:p>
  </w:endnote>
  <w:endnote w:id="66">
    <w:p w14:paraId="371AF783" w14:textId="77777777" w:rsidR="00F93E87" w:rsidRPr="006F6B98" w:rsidRDefault="00F93E87" w:rsidP="00F93E87">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‘Victoria’s Big Housing Build’, 15 November 2020</w:t>
      </w:r>
    </w:p>
  </w:endnote>
  <w:endnote w:id="67">
    <w:p w14:paraId="3D953926" w14:textId="77777777" w:rsidR="00DF23AF" w:rsidRPr="0008576B" w:rsidRDefault="00DF23AF" w:rsidP="00DF23AF">
      <w:pPr>
        <w:pStyle w:val="EndnoteText"/>
        <w:spacing w:after="0" w:line="240" w:lineRule="auto"/>
        <w:rPr>
          <w:sz w:val="20"/>
          <w:szCs w:val="20"/>
        </w:rPr>
      </w:pPr>
      <w:r w:rsidRPr="006F6B98">
        <w:rPr>
          <w:rStyle w:val="EndnoteReference"/>
          <w:sz w:val="20"/>
          <w:szCs w:val="20"/>
        </w:rPr>
        <w:endnoteRef/>
      </w:r>
      <w:r w:rsidRPr="006F6B98">
        <w:rPr>
          <w:sz w:val="20"/>
          <w:szCs w:val="20"/>
        </w:rPr>
        <w:t xml:space="preserve"> Source: Premier’s Media release, ‘Victoria’s</w:t>
      </w:r>
      <w:r w:rsidRPr="0008576B">
        <w:rPr>
          <w:sz w:val="20"/>
          <w:szCs w:val="20"/>
        </w:rPr>
        <w:t xml:space="preserve"> Big Housing Build’, 15 November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0FFE2" w14:textId="18A30E38" w:rsidR="006D4DBB" w:rsidRDefault="006D4DBB">
    <w:pPr>
      <w:pStyle w:val="Footer"/>
      <w:jc w:val="right"/>
    </w:pPr>
    <w:r>
      <w:rPr>
        <w:noProof/>
      </w:rPr>
      <mc:AlternateContent>
        <mc:Choice Requires="wps">
          <w:drawing>
            <wp:anchor distT="0" distB="0" distL="114300" distR="114300" simplePos="0" relativeHeight="251658249" behindDoc="0" locked="0" layoutInCell="0" allowOverlap="1" wp14:anchorId="642D4AAB" wp14:editId="0E251C43">
              <wp:simplePos x="0" y="0"/>
              <wp:positionH relativeFrom="page">
                <wp:posOffset>0</wp:posOffset>
              </wp:positionH>
              <wp:positionV relativeFrom="page">
                <wp:posOffset>10189210</wp:posOffset>
              </wp:positionV>
              <wp:extent cx="7560310" cy="311785"/>
              <wp:effectExtent l="0" t="0" r="0" b="12065"/>
              <wp:wrapNone/>
              <wp:docPr id="5" name="MSIPCM8ea049799ec604da811217e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D6758E" w14:textId="020094BA"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2D4AAB" id="_x0000_t202" coordsize="21600,21600" o:spt="202" path="m,l,21600r21600,l21600,xe">
              <v:stroke joinstyle="miter"/>
              <v:path gradientshapeok="t" o:connecttype="rect"/>
            </v:shapetype>
            <v:shape id="MSIPCM8ea049799ec604da811217e2" o:spid="_x0000_s1026"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QDK7qK8CAABIBQAADgAA&#10;AAAAAAAAAAAAAAAuAgAAZHJzL2Uyb0RvYy54bWxQSwECLQAUAAYACAAAACEASA1emt8AAAALAQAA&#10;DwAAAAAAAAAAAAAAAAAJBQAAZHJzL2Rvd25yZXYueG1sUEsFBgAAAAAEAAQA8wAAABUGAAAAAA==&#10;" o:allowincell="f" filled="f" stroked="f" strokeweight=".5pt">
              <v:textbox inset=",0,,0">
                <w:txbxContent>
                  <w:p w14:paraId="7ED6758E" w14:textId="020094BA"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v:textbox>
              <w10:wrap anchorx="page" anchory="page"/>
            </v:shape>
          </w:pict>
        </mc:Fallback>
      </mc:AlternateContent>
    </w:r>
    <w:sdt>
      <w:sdtPr>
        <w:id w:val="896015553"/>
        <w:docPartObj>
          <w:docPartGallery w:val="Page Numbers (Bottom of Page)"/>
          <w:docPartUnique/>
        </w:docPartObj>
      </w:sdtPr>
      <w:sdtEndPr>
        <w:rPr>
          <w:noProof/>
        </w:rPr>
      </w:sdtEndPr>
      <w:sdtContent/>
    </w:sdt>
  </w:p>
  <w:p w14:paraId="12A00CB1" w14:textId="5CD9CB16" w:rsidR="006D4DBB" w:rsidRDefault="006D4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C2E6" w14:textId="3DE64E35" w:rsidR="006D4DBB" w:rsidRDefault="006D4DBB">
    <w:pPr>
      <w:pStyle w:val="Footer"/>
    </w:pPr>
    <w:r>
      <w:rPr>
        <w:noProof/>
      </w:rPr>
      <mc:AlternateContent>
        <mc:Choice Requires="wps">
          <w:drawing>
            <wp:anchor distT="0" distB="0" distL="114300" distR="114300" simplePos="0" relativeHeight="251658248" behindDoc="0" locked="0" layoutInCell="0" allowOverlap="1" wp14:anchorId="47531854" wp14:editId="21CDE09C">
              <wp:simplePos x="0" y="0"/>
              <wp:positionH relativeFrom="page">
                <wp:posOffset>0</wp:posOffset>
              </wp:positionH>
              <wp:positionV relativeFrom="page">
                <wp:posOffset>10189210</wp:posOffset>
              </wp:positionV>
              <wp:extent cx="7560310" cy="311785"/>
              <wp:effectExtent l="0" t="0" r="0" b="12065"/>
              <wp:wrapNone/>
              <wp:docPr id="4" name="MSIPCM02a945f880b8c2f7fd774bd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1DB82" w14:textId="5FBA432F"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531854" id="_x0000_t202" coordsize="21600,21600" o:spt="202" path="m,l,21600r21600,l21600,xe">
              <v:stroke joinstyle="miter"/>
              <v:path gradientshapeok="t" o:connecttype="rect"/>
            </v:shapetype>
            <v:shape id="MSIPCM02a945f880b8c2f7fd774bd7"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6pLejrgIAAEwFAAAOAAAA&#10;AAAAAAAAAAAAAC4CAABkcnMvZTJvRG9jLnhtbFBLAQItABQABgAIAAAAIQBIDV6a3wAAAAsBAAAP&#10;AAAAAAAAAAAAAAAAAAgFAABkcnMvZG93bnJldi54bWxQSwUGAAAAAAQABADzAAAAFAYAAAAA&#10;" o:allowincell="f" filled="f" stroked="f" strokeweight=".5pt">
              <v:textbox inset=",0,,0">
                <w:txbxContent>
                  <w:p w14:paraId="7841DB82" w14:textId="5FBA432F"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1F0BD" w14:textId="77777777" w:rsidR="006D4DBB" w:rsidRDefault="006D4DBB">
    <w:pPr>
      <w:pStyle w:val="Footer"/>
    </w:pPr>
    <w:r>
      <w:rPr>
        <w:noProof/>
      </w:rPr>
      <mc:AlternateContent>
        <mc:Choice Requires="wps">
          <w:drawing>
            <wp:anchor distT="0" distB="0" distL="114300" distR="114300" simplePos="0" relativeHeight="251658240" behindDoc="0" locked="0" layoutInCell="0" allowOverlap="1" wp14:anchorId="3CA4DE37" wp14:editId="1BEDA94B">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82FBA" w14:textId="77777777" w:rsidR="006D4DBB" w:rsidRPr="00EB4BC7" w:rsidRDefault="006D4DBB"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A4DE3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21E82FBA" w14:textId="77777777" w:rsidR="006D4DBB" w:rsidRPr="00EB4BC7" w:rsidRDefault="006D4DBB"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2E3C2" w14:textId="58D4DBAD" w:rsidR="006D4DBB" w:rsidRPr="001D2E87" w:rsidRDefault="006D4DBB">
    <w:pPr>
      <w:pStyle w:val="Footer"/>
      <w:jc w:val="right"/>
      <w:rPr>
        <w:sz w:val="18"/>
      </w:rPr>
    </w:pPr>
    <w:r>
      <w:rPr>
        <w:noProof/>
      </w:rPr>
      <mc:AlternateContent>
        <mc:Choice Requires="wps">
          <w:drawing>
            <wp:anchor distT="0" distB="0" distL="114300" distR="114300" simplePos="0" relativeHeight="251658241" behindDoc="0" locked="0" layoutInCell="0" allowOverlap="1" wp14:anchorId="2E1BA11D" wp14:editId="33575D5D">
              <wp:simplePos x="0" y="0"/>
              <wp:positionH relativeFrom="page">
                <wp:posOffset>0</wp:posOffset>
              </wp:positionH>
              <wp:positionV relativeFrom="page">
                <wp:posOffset>10189210</wp:posOffset>
              </wp:positionV>
              <wp:extent cx="7560310" cy="311785"/>
              <wp:effectExtent l="0" t="0" r="0" b="12065"/>
              <wp:wrapNone/>
              <wp:docPr id="8" name="MSIPCM93404f0f80f83c5657883bf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D061FD" w14:textId="7DF6FFE2"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BA11D" id="_x0000_t202" coordsize="21600,21600" o:spt="202" path="m,l,21600r21600,l21600,xe">
              <v:stroke joinstyle="miter"/>
              <v:path gradientshapeok="t" o:connecttype="rect"/>
            </v:shapetype>
            <v:shape id="MSIPCM93404f0f80f83c5657883bf0"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HnRtVWwAgAATAUAAA4A&#10;AAAAAAAAAAAAAAAALgIAAGRycy9lMm9Eb2MueG1sUEsBAi0AFAAGAAgAAAAhAEgNXprfAAAACwEA&#10;AA8AAAAAAAAAAAAAAAAACgUAAGRycy9kb3ducmV2LnhtbFBLBQYAAAAABAAEAPMAAAAWBgAAAAA=&#10;" o:allowincell="f" filled="f" stroked="f" strokeweight=".5pt">
              <v:textbox inset=",0,,0">
                <w:txbxContent>
                  <w:p w14:paraId="36D061FD" w14:textId="7DF6FFE2"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v:textbox>
              <w10:wrap anchorx="page" anchory="page"/>
            </v:shape>
          </w:pict>
        </mc:Fallback>
      </mc:AlternateContent>
    </w:r>
    <w:sdt>
      <w:sdtPr>
        <w:id w:val="-1541743237"/>
        <w:docPartObj>
          <w:docPartGallery w:val="Page Numbers (Bottom of Page)"/>
          <w:docPartUnique/>
        </w:docPartObj>
      </w:sdtPr>
      <w:sdtEndPr>
        <w:rPr>
          <w:noProof/>
          <w:sz w:val="18"/>
        </w:rPr>
      </w:sdtEndPr>
      <w:sdtContent/>
    </w:sdt>
  </w:p>
  <w:p w14:paraId="0F3EAE81" w14:textId="0463E849" w:rsidR="006D4DBB" w:rsidRDefault="006D4D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FDE90" w14:textId="29E28946" w:rsidR="006D4DBB" w:rsidRDefault="006D4DBB">
    <w:pPr>
      <w:pStyle w:val="Footer"/>
      <w:jc w:val="right"/>
    </w:pPr>
    <w:r>
      <w:rPr>
        <w:noProof/>
      </w:rPr>
      <mc:AlternateContent>
        <mc:Choice Requires="wps">
          <w:drawing>
            <wp:anchor distT="0" distB="0" distL="114300" distR="114300" simplePos="0" relativeHeight="251658247" behindDoc="0" locked="0" layoutInCell="0" allowOverlap="1" wp14:anchorId="354E890E" wp14:editId="7CD17977">
              <wp:simplePos x="0" y="0"/>
              <wp:positionH relativeFrom="page">
                <wp:posOffset>0</wp:posOffset>
              </wp:positionH>
              <wp:positionV relativeFrom="page">
                <wp:posOffset>10189210</wp:posOffset>
              </wp:positionV>
              <wp:extent cx="7560310" cy="311785"/>
              <wp:effectExtent l="0" t="0" r="0" b="12065"/>
              <wp:wrapNone/>
              <wp:docPr id="11" name="MSIPCMe1eb4537b2cd7ab6c8cc57a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62800" w14:textId="47202F62" w:rsidR="006D4DBB" w:rsidRPr="0067793A" w:rsidRDefault="006D4DBB" w:rsidP="0067793A">
                          <w:pPr>
                            <w:spacing w:after="0"/>
                            <w:jc w:val="center"/>
                            <w:rPr>
                              <w:rFonts w:ascii="Arial Black" w:hAnsi="Arial Black"/>
                              <w:color w:val="000000"/>
                              <w:sz w:val="20"/>
                            </w:rPr>
                          </w:pPr>
                          <w:r w:rsidRPr="006779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4E890E" id="_x0000_t202" coordsize="21600,21600" o:spt="202" path="m,l,21600r21600,l21600,xe">
              <v:stroke joinstyle="miter"/>
              <v:path gradientshapeok="t" o:connecttype="rect"/>
            </v:shapetype>
            <v:shape id="MSIPCMe1eb4537b2cd7ab6c8cc57a6"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" o:allowincell="f" filled="f" stroked="f" strokeweight=".5pt">
              <v:textbox inset=",0,,0">
                <w:txbxContent>
                  <w:p w14:paraId="4C862800" w14:textId="47202F62" w:rsidR="006D4DBB" w:rsidRPr="0067793A" w:rsidRDefault="006D4DBB" w:rsidP="0067793A">
                    <w:pPr>
                      <w:spacing w:after="0"/>
                      <w:jc w:val="center"/>
                      <w:rPr>
                        <w:rFonts w:ascii="Arial Black" w:hAnsi="Arial Black"/>
                        <w:color w:val="000000"/>
                        <w:sz w:val="20"/>
                      </w:rPr>
                    </w:pPr>
                    <w:r w:rsidRPr="0067793A">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4E31E870" wp14:editId="15A599F2">
              <wp:simplePos x="0" y="0"/>
              <wp:positionH relativeFrom="page">
                <wp:posOffset>0</wp:posOffset>
              </wp:positionH>
              <wp:positionV relativeFrom="page">
                <wp:posOffset>10189210</wp:posOffset>
              </wp:positionV>
              <wp:extent cx="7560310" cy="311785"/>
              <wp:effectExtent l="0" t="0" r="0" b="12065"/>
              <wp:wrapNone/>
              <wp:docPr id="3" name="MSIPCM258248a5a00b417e4ad220b0"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B5618" w14:textId="40683E31" w:rsidR="006D4DBB" w:rsidRPr="005836DB" w:rsidRDefault="006D4DBB" w:rsidP="005836DB">
                          <w:pPr>
                            <w:spacing w:after="0"/>
                            <w:jc w:val="center"/>
                            <w:rPr>
                              <w:rFonts w:ascii="Arial Black" w:hAnsi="Arial Black"/>
                              <w:color w:val="000000"/>
                              <w:sz w:val="20"/>
                            </w:rPr>
                          </w:pPr>
                          <w:r w:rsidRPr="005836D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31E870" id="MSIPCM258248a5a00b417e4ad220b0" o:spid="_x0000_s1031" type="#_x0000_t202" alt="{&quot;HashCode&quot;:904758361,&quot;Height&quot;:841.0,&quot;Width&quot;:595.0,&quot;Placement&quot;:&quot;Footer&quot;,&quot;Index&quot;:&quot;OddAndEven&quot;,&quot;Section&quot;:4,&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bMIf6sQIAAE8FAAAO&#10;AAAAAAAAAAAAAAAAAC4CAABkcnMvZTJvRG9jLnhtbFBLAQItABQABgAIAAAAIQBIDV6a3wAAAAsB&#10;AAAPAAAAAAAAAAAAAAAAAAsFAABkcnMvZG93bnJldi54bWxQSwUGAAAAAAQABADzAAAAFwYAAAAA&#10;" o:allowincell="f" filled="f" stroked="f" strokeweight=".5pt">
              <v:textbox inset=",0,,0">
                <w:txbxContent>
                  <w:p w14:paraId="18EB5618" w14:textId="40683E31" w:rsidR="006D4DBB" w:rsidRPr="005836DB" w:rsidRDefault="006D4DBB" w:rsidP="005836DB">
                    <w:pPr>
                      <w:spacing w:after="0"/>
                      <w:jc w:val="center"/>
                      <w:rPr>
                        <w:rFonts w:ascii="Arial Black" w:hAnsi="Arial Black"/>
                        <w:color w:val="000000"/>
                        <w:sz w:val="20"/>
                      </w:rPr>
                    </w:pPr>
                    <w:r w:rsidRPr="005836D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72B91C7E" wp14:editId="3C7B9839">
              <wp:simplePos x="0" y="0"/>
              <wp:positionH relativeFrom="page">
                <wp:posOffset>0</wp:posOffset>
              </wp:positionH>
              <wp:positionV relativeFrom="page">
                <wp:posOffset>10189210</wp:posOffset>
              </wp:positionV>
              <wp:extent cx="7560310" cy="311785"/>
              <wp:effectExtent l="0" t="0" r="0" b="12065"/>
              <wp:wrapNone/>
              <wp:docPr id="10" name="MSIPCMd4ed4ea5a35ab8a7304386ea" descr="{&quot;HashCode&quot;:904758361,&quot;Height&quot;:841.0,&quot;Width&quot;:595.0,&quot;Placement&quot;:&quot;Footer&quot;,&quot;Index&quot;:&quot;OddAndEven&quot;,&quot;Section&quot;: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A7816D" w14:textId="4A5452F4"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B91C7E" id="MSIPCMd4ed4ea5a35ab8a7304386ea" o:spid="_x0000_s1032" type="#_x0000_t202" alt="{&quot;HashCode&quot;:904758361,&quot;Height&quot;:841.0,&quot;Width&quot;:595.0,&quot;Placement&quot;:&quot;Footer&quot;,&quot;Index&quot;:&quot;OddAndEven&quot;,&quot;Section&quot;:6,&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NpLFA7ICAABQBQAA&#10;DgAAAAAAAAAAAAAAAAAuAgAAZHJzL2Uyb0RvYy54bWxQSwECLQAUAAYACAAAACEASA1emt8AAAAL&#10;AQAADwAAAAAAAAAAAAAAAAAMBQAAZHJzL2Rvd25yZXYueG1sUEsFBgAAAAAEAAQA8wAAABgGAAAA&#10;AA==&#10;" o:allowincell="f" filled="f" stroked="f" strokeweight=".5pt">
              <v:textbox inset=",0,,0">
                <w:txbxContent>
                  <w:p w14:paraId="44A7816D" w14:textId="4A5452F4"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v:textbox>
              <w10:wrap anchorx="page" anchory="page"/>
            </v:shape>
          </w:pict>
        </mc:Fallback>
      </mc:AlternateContent>
    </w:r>
    <w:sdt>
      <w:sdtPr>
        <w:id w:val="-5611741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962BBB2" w14:textId="6C6BBBC8" w:rsidR="006D4DBB" w:rsidRDefault="006D4D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864B" w14:textId="01177E9A" w:rsidR="006D4DBB" w:rsidRDefault="006D4DBB">
    <w:pPr>
      <w:pStyle w:val="Footer"/>
      <w:jc w:val="right"/>
    </w:pPr>
    <w:r>
      <w:rPr>
        <w:noProof/>
      </w:rPr>
      <mc:AlternateContent>
        <mc:Choice Requires="wps">
          <w:drawing>
            <wp:anchor distT="0" distB="0" distL="114300" distR="114300" simplePos="0" relativeHeight="251658246" behindDoc="0" locked="0" layoutInCell="0" allowOverlap="1" wp14:anchorId="7BD643D7" wp14:editId="535902D4">
              <wp:simplePos x="0" y="0"/>
              <wp:positionH relativeFrom="page">
                <wp:posOffset>0</wp:posOffset>
              </wp:positionH>
              <wp:positionV relativeFrom="page">
                <wp:posOffset>10189210</wp:posOffset>
              </wp:positionV>
              <wp:extent cx="7560310" cy="311785"/>
              <wp:effectExtent l="0" t="0" r="0" b="12065"/>
              <wp:wrapNone/>
              <wp:docPr id="7" name="MSIPCMd48444c59936a44d0194def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2A4DD" w14:textId="19636D41" w:rsidR="006D4DBB" w:rsidRPr="0067793A" w:rsidRDefault="006D4DBB" w:rsidP="0067793A">
                          <w:pPr>
                            <w:spacing w:after="0"/>
                            <w:jc w:val="center"/>
                            <w:rPr>
                              <w:rFonts w:ascii="Arial Black" w:hAnsi="Arial Black"/>
                              <w:color w:val="000000"/>
                              <w:sz w:val="20"/>
                            </w:rPr>
                          </w:pPr>
                          <w:r w:rsidRPr="006779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D643D7" id="_x0000_t202" coordsize="21600,21600" o:spt="202" path="m,l,21600r21600,l21600,xe">
              <v:stroke joinstyle="miter"/>
              <v:path gradientshapeok="t" o:connecttype="rect"/>
            </v:shapetype>
            <v:shape id="MSIPCMd48444c59936a44d0194def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iCjR6rgIAAEwFAAAOAAAA&#10;AAAAAAAAAAAAAC4CAABkcnMvZTJvRG9jLnhtbFBLAQItABQABgAIAAAAIQBIDV6a3wAAAAsBAAAP&#10;AAAAAAAAAAAAAAAAAAgFAABkcnMvZG93bnJldi54bWxQSwUGAAAAAAQABADzAAAAFAYAAAAA&#10;" o:allowincell="f" filled="f" stroked="f" strokeweight=".5pt">
              <v:textbox inset=",0,,0">
                <w:txbxContent>
                  <w:p w14:paraId="38C2A4DD" w14:textId="19636D41" w:rsidR="006D4DBB" w:rsidRPr="0067793A" w:rsidRDefault="006D4DBB" w:rsidP="0067793A">
                    <w:pPr>
                      <w:spacing w:after="0"/>
                      <w:jc w:val="center"/>
                      <w:rPr>
                        <w:rFonts w:ascii="Arial Black" w:hAnsi="Arial Black"/>
                        <w:color w:val="000000"/>
                        <w:sz w:val="20"/>
                      </w:rPr>
                    </w:pPr>
                    <w:r w:rsidRPr="0067793A">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23DD70A2" wp14:editId="492905DD">
              <wp:simplePos x="0" y="0"/>
              <wp:positionH relativeFrom="page">
                <wp:posOffset>0</wp:posOffset>
              </wp:positionH>
              <wp:positionV relativeFrom="page">
                <wp:posOffset>10189210</wp:posOffset>
              </wp:positionV>
              <wp:extent cx="7560310" cy="311785"/>
              <wp:effectExtent l="0" t="0" r="0" b="12065"/>
              <wp:wrapNone/>
              <wp:docPr id="1" name="MSIPCMaf1d427a8bf95b87f78056d8"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7CBA1" w14:textId="35F486A9" w:rsidR="006D4DBB" w:rsidRPr="005836DB" w:rsidRDefault="006D4DBB" w:rsidP="005836DB">
                          <w:pPr>
                            <w:spacing w:after="0"/>
                            <w:jc w:val="center"/>
                            <w:rPr>
                              <w:rFonts w:ascii="Arial Black" w:hAnsi="Arial Black"/>
                              <w:color w:val="000000"/>
                              <w:sz w:val="20"/>
                            </w:rPr>
                          </w:pPr>
                          <w:r w:rsidRPr="005836D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3DD70A2" id="MSIPCMaf1d427a8bf95b87f78056d8" o:spid="_x0000_s1034"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CQjy8YsQIAAEwFAAAO&#10;AAAAAAAAAAAAAAAAAC4CAABkcnMvZTJvRG9jLnhtbFBLAQItABQABgAIAAAAIQBIDV6a3wAAAAsB&#10;AAAPAAAAAAAAAAAAAAAAAAsFAABkcnMvZG93bnJldi54bWxQSwUGAAAAAAQABADzAAAAFwYAAAAA&#10;" o:allowincell="f" filled="f" stroked="f" strokeweight=".5pt">
              <v:textbox inset=",0,,0">
                <w:txbxContent>
                  <w:p w14:paraId="3E67CBA1" w14:textId="35F486A9" w:rsidR="006D4DBB" w:rsidRPr="005836DB" w:rsidRDefault="006D4DBB" w:rsidP="005836DB">
                    <w:pPr>
                      <w:spacing w:after="0"/>
                      <w:jc w:val="center"/>
                      <w:rPr>
                        <w:rFonts w:ascii="Arial Black" w:hAnsi="Arial Black"/>
                        <w:color w:val="000000"/>
                        <w:sz w:val="20"/>
                      </w:rPr>
                    </w:pPr>
                    <w:r w:rsidRPr="005836D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440817EC" wp14:editId="75EDB23F">
              <wp:simplePos x="0" y="0"/>
              <wp:positionH relativeFrom="page">
                <wp:posOffset>0</wp:posOffset>
              </wp:positionH>
              <wp:positionV relativeFrom="page">
                <wp:posOffset>10189210</wp:posOffset>
              </wp:positionV>
              <wp:extent cx="7560310" cy="311785"/>
              <wp:effectExtent l="0" t="0" r="0" b="12065"/>
              <wp:wrapNone/>
              <wp:docPr id="9" name="MSIPCM7b14445993c16274871f8fc4" descr="{&quot;HashCode&quot;:904758361,&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D709E5" w14:textId="517DF752"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0817EC" id="MSIPCM7b14445993c16274871f8fc4" o:spid="_x0000_s1035" type="#_x0000_t202" alt="{&quot;HashCode&quot;:904758361,&quot;Height&quot;:841.0,&quot;Width&quot;:595.0,&quot;Placement&quot;:&quot;Footer&quot;,&quot;Index&quot;:&quot;Primary&quot;,&quot;Section&quot;:6,&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BKKLl68CAABMBQAADgAA&#10;AAAAAAAAAAAAAAAuAgAAZHJzL2Uyb0RvYy54bWxQSwECLQAUAAYACAAAACEASA1emt8AAAALAQAA&#10;DwAAAAAAAAAAAAAAAAAJBQAAZHJzL2Rvd25yZXYueG1sUEsFBgAAAAAEAAQA8wAAABUGAAAAAA==&#10;" o:allowincell="f" filled="f" stroked="f" strokeweight=".5pt">
              <v:textbox inset=",0,,0">
                <w:txbxContent>
                  <w:p w14:paraId="6FD709E5" w14:textId="517DF752" w:rsidR="006D4DBB" w:rsidRPr="00ED307D" w:rsidRDefault="006D4DBB" w:rsidP="00ED307D">
                    <w:pPr>
                      <w:spacing w:after="0"/>
                      <w:jc w:val="center"/>
                      <w:rPr>
                        <w:rFonts w:ascii="Arial Black" w:hAnsi="Arial Black"/>
                        <w:color w:val="000000"/>
                        <w:sz w:val="20"/>
                      </w:rPr>
                    </w:pPr>
                    <w:r w:rsidRPr="00ED307D">
                      <w:rPr>
                        <w:rFonts w:ascii="Arial Black" w:hAnsi="Arial Black"/>
                        <w:color w:val="000000"/>
                        <w:sz w:val="20"/>
                      </w:rPr>
                      <w:t>OFFICIAL</w:t>
                    </w:r>
                  </w:p>
                </w:txbxContent>
              </v:textbox>
              <w10:wrap anchorx="page" anchory="page"/>
            </v:shape>
          </w:pict>
        </mc:Fallback>
      </mc:AlternateContent>
    </w:r>
  </w:p>
  <w:p w14:paraId="5E38A46E" w14:textId="58F2FCFE" w:rsidR="006D4DBB" w:rsidRDefault="006D4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A8C01" w14:textId="77777777" w:rsidR="00A038D4" w:rsidRDefault="00A038D4" w:rsidP="00207717">
      <w:pPr>
        <w:spacing w:before="120"/>
      </w:pPr>
      <w:r>
        <w:separator/>
      </w:r>
    </w:p>
  </w:footnote>
  <w:footnote w:type="continuationSeparator" w:id="0">
    <w:p w14:paraId="3B15A7A8" w14:textId="77777777" w:rsidR="00A038D4" w:rsidRDefault="00A038D4">
      <w:r>
        <w:continuationSeparator/>
      </w:r>
    </w:p>
    <w:p w14:paraId="48CDBAF0" w14:textId="77777777" w:rsidR="00A038D4" w:rsidRDefault="00A038D4"/>
  </w:footnote>
  <w:footnote w:type="continuationNotice" w:id="1">
    <w:p w14:paraId="0D07B0F3" w14:textId="77777777" w:rsidR="00A038D4" w:rsidRDefault="00A038D4">
      <w:pPr>
        <w:spacing w:after="0" w:line="240" w:lineRule="auto"/>
      </w:pPr>
    </w:p>
  </w:footnote>
  <w:footnote w:id="2">
    <w:p w14:paraId="714DEFE5" w14:textId="50A32F91" w:rsidR="00C927DB" w:rsidRPr="008910EE" w:rsidRDefault="00C927DB" w:rsidP="00C927DB">
      <w:pPr>
        <w:pStyle w:val="EndnoteText"/>
        <w:spacing w:after="0" w:line="240" w:lineRule="auto"/>
        <w:rPr>
          <w:sz w:val="20"/>
          <w:szCs w:val="20"/>
        </w:rPr>
      </w:pPr>
      <w:r w:rsidRPr="008910EE">
        <w:rPr>
          <w:rStyle w:val="FootnoteReference"/>
        </w:rPr>
        <w:footnoteRef/>
      </w:r>
      <w:r w:rsidRPr="008910EE">
        <w:t xml:space="preserve"> </w:t>
      </w:r>
      <w:r w:rsidRPr="008910EE">
        <w:rPr>
          <w:sz w:val="20"/>
          <w:szCs w:val="20"/>
        </w:rPr>
        <w:t>In addition to the Victorian community as a whole, the Department of Families</w:t>
      </w:r>
      <w:r w:rsidR="001035E8" w:rsidRPr="008910EE">
        <w:rPr>
          <w:sz w:val="20"/>
          <w:szCs w:val="20"/>
        </w:rPr>
        <w:t>,</w:t>
      </w:r>
      <w:r w:rsidRPr="008910EE">
        <w:rPr>
          <w:sz w:val="20"/>
          <w:szCs w:val="20"/>
        </w:rPr>
        <w:t xml:space="preserve"> Fairness and Housing works with a range of communities including women, culturally diverse people, LGBTIQ+ communities, and Aboriginal Victorians, as well as veterans, seniors, youth, people with disability, survivors of institutional care and abuse, victim-survivors of family violence, and more</w:t>
      </w:r>
    </w:p>
    <w:p w14:paraId="389BC1A9" w14:textId="77777777" w:rsidR="00A9288F" w:rsidRPr="008910EE" w:rsidRDefault="00A9288F" w:rsidP="00C927DB">
      <w:pPr>
        <w:pStyle w:val="EndnoteText"/>
        <w:spacing w:after="0" w:line="240" w:lineRule="auto"/>
        <w:rPr>
          <w:sz w:val="20"/>
          <w:szCs w:val="20"/>
        </w:rPr>
      </w:pPr>
    </w:p>
    <w:p w14:paraId="7DE62ADE" w14:textId="0912D315" w:rsidR="003E357B" w:rsidRPr="00C927DB" w:rsidRDefault="003E357B" w:rsidP="003E357B">
      <w:pPr>
        <w:pStyle w:val="EndnoteText"/>
        <w:spacing w:after="0" w:line="240" w:lineRule="auto"/>
        <w:rPr>
          <w:sz w:val="20"/>
          <w:szCs w:val="20"/>
        </w:rPr>
      </w:pPr>
      <w:r w:rsidRPr="008910EE">
        <w:rPr>
          <w:sz w:val="20"/>
          <w:szCs w:val="20"/>
        </w:rPr>
        <w:t>* These indicators contribute to Closing the Gap targets</w:t>
      </w:r>
    </w:p>
  </w:footnote>
  <w:footnote w:id="3">
    <w:p w14:paraId="73AE9796" w14:textId="72051B6B" w:rsidR="00F33E30" w:rsidRPr="008910EE" w:rsidRDefault="00F33E30">
      <w:pPr>
        <w:pStyle w:val="FootnoteText"/>
        <w:rPr>
          <w:sz w:val="20"/>
          <w:szCs w:val="20"/>
        </w:rPr>
      </w:pPr>
      <w:r w:rsidRPr="008910EE">
        <w:rPr>
          <w:rStyle w:val="FootnoteReference"/>
        </w:rPr>
        <w:footnoteRef/>
      </w:r>
      <w:r w:rsidRPr="008910EE">
        <w:t xml:space="preserve"> </w:t>
      </w:r>
      <w:r w:rsidRPr="008910EE">
        <w:rPr>
          <w:sz w:val="20"/>
          <w:szCs w:val="20"/>
        </w:rPr>
        <w:t>Includes transitions from justice settings, supported residential and disability care, care services placements and other specialised accommodation.</w:t>
      </w:r>
    </w:p>
    <w:p w14:paraId="48F9CE8F" w14:textId="32761300" w:rsidR="008910EE" w:rsidRPr="008910EE" w:rsidRDefault="008910EE">
      <w:pPr>
        <w:pStyle w:val="FootnoteText"/>
        <w:rPr>
          <w:sz w:val="20"/>
          <w:szCs w:val="20"/>
        </w:rPr>
      </w:pPr>
    </w:p>
    <w:p w14:paraId="76C3B2AD" w14:textId="4CAA8238" w:rsidR="008910EE" w:rsidRDefault="008910EE">
      <w:pPr>
        <w:pStyle w:val="FootnoteText"/>
      </w:pPr>
      <w:r w:rsidRPr="008910EE">
        <w:rPr>
          <w:sz w:val="20"/>
          <w:szCs w:val="20"/>
        </w:rPr>
        <w:t>* These indicators contribute to Closing the Gap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D3C1E" w14:textId="082D9C61" w:rsidR="00FB73EA" w:rsidRPr="008153F2" w:rsidRDefault="008153F2" w:rsidP="008153F2">
    <w:pPr>
      <w:pStyle w:val="Header"/>
      <w:rPr>
        <w:b/>
        <w:bCs/>
        <w:sz w:val="20"/>
        <w:szCs w:val="20"/>
      </w:rPr>
    </w:pPr>
    <w:r w:rsidRPr="008153F2">
      <w:rPr>
        <w:b/>
        <w:bCs/>
        <w:sz w:val="20"/>
        <w:szCs w:val="20"/>
      </w:rPr>
      <w:t>Department of Families, Fairness and Housing strategic plan 2021–2023 (accessible)</w:t>
    </w:r>
    <w:r w:rsidRPr="008153F2">
      <w:rPr>
        <w:b/>
        <w:bCs/>
        <w:sz w:val="20"/>
        <w:szCs w:val="20"/>
      </w:rPr>
      <w:ptab w:relativeTo="margin" w:alignment="right" w:leader="none"/>
    </w:r>
    <w:r w:rsidRPr="008153F2">
      <w:rPr>
        <w:b/>
        <w:bCs/>
        <w:sz w:val="20"/>
        <w:szCs w:val="20"/>
      </w:rPr>
      <w:fldChar w:fldCharType="begin"/>
    </w:r>
    <w:r w:rsidRPr="008153F2">
      <w:rPr>
        <w:b/>
        <w:bCs/>
        <w:sz w:val="20"/>
        <w:szCs w:val="20"/>
      </w:rPr>
      <w:instrText xml:space="preserve"> PAGE </w:instrText>
    </w:r>
    <w:r w:rsidRPr="008153F2">
      <w:rPr>
        <w:b/>
        <w:bCs/>
        <w:sz w:val="20"/>
        <w:szCs w:val="20"/>
      </w:rPr>
      <w:fldChar w:fldCharType="separate"/>
    </w:r>
    <w:r w:rsidRPr="008153F2">
      <w:rPr>
        <w:b/>
        <w:bCs/>
        <w:sz w:val="20"/>
        <w:szCs w:val="20"/>
      </w:rPr>
      <w:t>48</w:t>
    </w:r>
    <w:r w:rsidRPr="008153F2">
      <w:rPr>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49BF0" w14:textId="0671BD3A" w:rsidR="00FB73EA" w:rsidRPr="008153F2" w:rsidRDefault="008153F2" w:rsidP="008153F2">
    <w:pPr>
      <w:pStyle w:val="Header"/>
      <w:rPr>
        <w:b/>
        <w:bCs/>
        <w:sz w:val="20"/>
        <w:szCs w:val="20"/>
      </w:rPr>
    </w:pPr>
    <w:r w:rsidRPr="008153F2">
      <w:rPr>
        <w:b/>
        <w:bCs/>
        <w:sz w:val="20"/>
        <w:szCs w:val="20"/>
      </w:rPr>
      <w:t xml:space="preserve">Department of Families, Fairness and </w:t>
    </w:r>
    <w:r w:rsidRPr="006F6B98">
      <w:rPr>
        <w:b/>
        <w:bCs/>
        <w:sz w:val="20"/>
        <w:szCs w:val="20"/>
      </w:rPr>
      <w:t xml:space="preserve">Housing </w:t>
    </w:r>
    <w:r w:rsidR="00F14533" w:rsidRPr="006F6B98">
      <w:rPr>
        <w:b/>
        <w:bCs/>
        <w:sz w:val="20"/>
        <w:szCs w:val="20"/>
      </w:rPr>
      <w:t xml:space="preserve">2021 </w:t>
    </w:r>
    <w:r w:rsidRPr="006F6B98">
      <w:rPr>
        <w:b/>
        <w:bCs/>
        <w:sz w:val="20"/>
        <w:szCs w:val="20"/>
      </w:rPr>
      <w:t>strategic plan (accessible)</w:t>
    </w:r>
    <w:r w:rsidRPr="006F6B98">
      <w:rPr>
        <w:b/>
        <w:bCs/>
        <w:sz w:val="20"/>
        <w:szCs w:val="20"/>
      </w:rPr>
      <w:ptab w:relativeTo="margin" w:alignment="right" w:leader="none"/>
    </w:r>
    <w:r w:rsidRPr="006F6B98">
      <w:rPr>
        <w:b/>
        <w:bCs/>
        <w:sz w:val="20"/>
        <w:szCs w:val="20"/>
      </w:rPr>
      <w:fldChar w:fldCharType="begin"/>
    </w:r>
    <w:r w:rsidRPr="006F6B98">
      <w:rPr>
        <w:b/>
        <w:bCs/>
        <w:sz w:val="20"/>
        <w:szCs w:val="20"/>
      </w:rPr>
      <w:instrText xml:space="preserve"> PAGE </w:instrText>
    </w:r>
    <w:r w:rsidRPr="006F6B98">
      <w:rPr>
        <w:b/>
        <w:bCs/>
        <w:sz w:val="20"/>
        <w:szCs w:val="20"/>
      </w:rPr>
      <w:fldChar w:fldCharType="separate"/>
    </w:r>
    <w:r w:rsidRPr="006F6B98">
      <w:rPr>
        <w:b/>
        <w:bCs/>
        <w:sz w:val="20"/>
        <w:szCs w:val="20"/>
      </w:rPr>
      <w:t>48</w:t>
    </w:r>
    <w:r w:rsidRPr="006F6B98">
      <w:rPr>
        <w:b/>
        <w:b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273B4" w14:textId="77777777" w:rsidR="008C4805" w:rsidRDefault="008C48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66673" w14:textId="772E433D" w:rsidR="006D4DBB" w:rsidRPr="008153F2" w:rsidRDefault="008153F2" w:rsidP="008153F2">
    <w:pPr>
      <w:pStyle w:val="Header"/>
      <w:rPr>
        <w:b/>
        <w:bCs/>
        <w:sz w:val="20"/>
        <w:szCs w:val="20"/>
      </w:rPr>
    </w:pPr>
    <w:r w:rsidRPr="008153F2">
      <w:rPr>
        <w:b/>
        <w:bCs/>
        <w:sz w:val="20"/>
        <w:szCs w:val="20"/>
      </w:rPr>
      <w:t>Department of Families, Fairness and Housing strategic plan 2021–2023 (accessible)</w:t>
    </w:r>
    <w:r w:rsidRPr="008153F2">
      <w:rPr>
        <w:b/>
        <w:bCs/>
        <w:sz w:val="20"/>
        <w:szCs w:val="20"/>
      </w:rPr>
      <w:ptab w:relativeTo="margin" w:alignment="right" w:leader="none"/>
    </w:r>
    <w:r w:rsidRPr="008153F2">
      <w:rPr>
        <w:b/>
        <w:bCs/>
        <w:sz w:val="20"/>
        <w:szCs w:val="20"/>
      </w:rPr>
      <w:fldChar w:fldCharType="begin"/>
    </w:r>
    <w:r w:rsidRPr="008153F2">
      <w:rPr>
        <w:b/>
        <w:bCs/>
        <w:sz w:val="20"/>
        <w:szCs w:val="20"/>
      </w:rPr>
      <w:instrText xml:space="preserve"> PAGE </w:instrText>
    </w:r>
    <w:r w:rsidRPr="008153F2">
      <w:rPr>
        <w:b/>
        <w:bCs/>
        <w:sz w:val="20"/>
        <w:szCs w:val="20"/>
      </w:rPr>
      <w:fldChar w:fldCharType="separate"/>
    </w:r>
    <w:r w:rsidRPr="008153F2">
      <w:rPr>
        <w:b/>
        <w:bCs/>
        <w:sz w:val="20"/>
        <w:szCs w:val="20"/>
      </w:rPr>
      <w:t>3</w:t>
    </w:r>
    <w:r w:rsidRPr="008153F2">
      <w:rPr>
        <w:b/>
        <w:bCs/>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DA2EE" w14:textId="62DE9AE0" w:rsidR="006D4DBB" w:rsidRPr="008153F2" w:rsidRDefault="008153F2" w:rsidP="008153F2">
    <w:pPr>
      <w:pStyle w:val="Header"/>
      <w:rPr>
        <w:b/>
        <w:bCs/>
        <w:sz w:val="20"/>
        <w:szCs w:val="20"/>
      </w:rPr>
    </w:pPr>
    <w:r w:rsidRPr="008153F2">
      <w:rPr>
        <w:b/>
        <w:bCs/>
        <w:sz w:val="20"/>
        <w:szCs w:val="20"/>
      </w:rPr>
      <w:t xml:space="preserve">Department of Families, Fairness and Housing </w:t>
    </w:r>
    <w:r w:rsidR="00E40701" w:rsidRPr="006F6B98">
      <w:rPr>
        <w:b/>
        <w:bCs/>
        <w:sz w:val="20"/>
        <w:szCs w:val="20"/>
      </w:rPr>
      <w:t xml:space="preserve">2021 </w:t>
    </w:r>
    <w:r w:rsidRPr="006F6B98">
      <w:rPr>
        <w:b/>
        <w:bCs/>
        <w:sz w:val="20"/>
        <w:szCs w:val="20"/>
      </w:rPr>
      <w:t>strategic plan (accessible)</w:t>
    </w:r>
    <w:r w:rsidRPr="008153F2">
      <w:rPr>
        <w:b/>
        <w:bCs/>
        <w:sz w:val="20"/>
        <w:szCs w:val="20"/>
      </w:rPr>
      <w:ptab w:relativeTo="margin" w:alignment="right" w:leader="none"/>
    </w:r>
    <w:r w:rsidRPr="008153F2">
      <w:rPr>
        <w:b/>
        <w:bCs/>
        <w:sz w:val="20"/>
        <w:szCs w:val="20"/>
      </w:rPr>
      <w:fldChar w:fldCharType="begin"/>
    </w:r>
    <w:r w:rsidRPr="008153F2">
      <w:rPr>
        <w:b/>
        <w:bCs/>
        <w:sz w:val="20"/>
        <w:szCs w:val="20"/>
      </w:rPr>
      <w:instrText xml:space="preserve"> PAGE </w:instrText>
    </w:r>
    <w:r w:rsidRPr="008153F2">
      <w:rPr>
        <w:b/>
        <w:bCs/>
        <w:sz w:val="20"/>
        <w:szCs w:val="20"/>
      </w:rPr>
      <w:fldChar w:fldCharType="separate"/>
    </w:r>
    <w:r w:rsidRPr="008153F2">
      <w:rPr>
        <w:b/>
        <w:bCs/>
        <w:sz w:val="20"/>
        <w:szCs w:val="20"/>
      </w:rPr>
      <w:t>3</w:t>
    </w:r>
    <w:r w:rsidRPr="008153F2">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F086468"/>
    <w:multiLevelType w:val="hybridMultilevel"/>
    <w:tmpl w:val="9CFC025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B33A2DBC"/>
    <w:styleLink w:val="ZZQuotebullets"/>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hybridMultilevel"/>
    <w:tmpl w:val="986E24B0"/>
    <w:styleLink w:val="ZZNumberslowerroman"/>
    <w:lvl w:ilvl="0" w:tplc="88AE24AE">
      <w:start w:val="1"/>
      <w:numFmt w:val="lowerRoman"/>
      <w:pStyle w:val="Numberlowerroman"/>
      <w:lvlText w:val="(%1)"/>
      <w:lvlJc w:val="left"/>
      <w:pPr>
        <w:tabs>
          <w:tab w:val="num" w:pos="397"/>
        </w:tabs>
        <w:ind w:left="397" w:hanging="397"/>
      </w:pPr>
      <w:rPr>
        <w:rFonts w:hint="default"/>
      </w:rPr>
    </w:lvl>
    <w:lvl w:ilvl="1" w:tplc="694E53F2">
      <w:start w:val="1"/>
      <w:numFmt w:val="lowerRoman"/>
      <w:pStyle w:val="Numberlowerromanindent"/>
      <w:lvlText w:val="(%2)"/>
      <w:lvlJc w:val="left"/>
      <w:pPr>
        <w:tabs>
          <w:tab w:val="num" w:pos="794"/>
        </w:tabs>
        <w:ind w:left="794" w:hanging="397"/>
      </w:pPr>
      <w:rPr>
        <w:rFonts w:hint="default"/>
      </w:rPr>
    </w:lvl>
    <w:lvl w:ilvl="2" w:tplc="F3C6BBD4">
      <w:start w:val="1"/>
      <w:numFmt w:val="none"/>
      <w:lvlRestart w:val="0"/>
      <w:lvlText w:val=""/>
      <w:lvlJc w:val="left"/>
      <w:pPr>
        <w:ind w:left="0" w:firstLine="0"/>
      </w:pPr>
      <w:rPr>
        <w:rFonts w:hint="default"/>
      </w:rPr>
    </w:lvl>
    <w:lvl w:ilvl="3" w:tplc="3DE62EF6">
      <w:start w:val="1"/>
      <w:numFmt w:val="none"/>
      <w:lvlRestart w:val="0"/>
      <w:lvlText w:val=""/>
      <w:lvlJc w:val="left"/>
      <w:pPr>
        <w:ind w:left="0" w:firstLine="0"/>
      </w:pPr>
      <w:rPr>
        <w:rFonts w:hint="default"/>
      </w:rPr>
    </w:lvl>
    <w:lvl w:ilvl="4" w:tplc="1A383284">
      <w:start w:val="1"/>
      <w:numFmt w:val="none"/>
      <w:lvlRestart w:val="0"/>
      <w:lvlText w:val=""/>
      <w:lvlJc w:val="left"/>
      <w:pPr>
        <w:ind w:left="0" w:firstLine="0"/>
      </w:pPr>
      <w:rPr>
        <w:rFonts w:hint="default"/>
      </w:rPr>
    </w:lvl>
    <w:lvl w:ilvl="5" w:tplc="57863D9A">
      <w:start w:val="1"/>
      <w:numFmt w:val="none"/>
      <w:lvlRestart w:val="0"/>
      <w:lvlText w:val=""/>
      <w:lvlJc w:val="left"/>
      <w:pPr>
        <w:ind w:left="0" w:firstLine="0"/>
      </w:pPr>
      <w:rPr>
        <w:rFonts w:hint="default"/>
      </w:rPr>
    </w:lvl>
    <w:lvl w:ilvl="6" w:tplc="BEF8BBD8">
      <w:start w:val="1"/>
      <w:numFmt w:val="none"/>
      <w:lvlRestart w:val="0"/>
      <w:lvlText w:val=""/>
      <w:lvlJc w:val="left"/>
      <w:pPr>
        <w:ind w:left="0" w:firstLine="0"/>
      </w:pPr>
      <w:rPr>
        <w:rFonts w:hint="default"/>
      </w:rPr>
    </w:lvl>
    <w:lvl w:ilvl="7" w:tplc="07081610">
      <w:start w:val="1"/>
      <w:numFmt w:val="none"/>
      <w:lvlRestart w:val="0"/>
      <w:lvlText w:val=""/>
      <w:lvlJc w:val="left"/>
      <w:pPr>
        <w:ind w:left="0" w:firstLine="0"/>
      </w:pPr>
      <w:rPr>
        <w:rFonts w:hint="default"/>
      </w:rPr>
    </w:lvl>
    <w:lvl w:ilvl="8" w:tplc="C212E6A6">
      <w:start w:val="1"/>
      <w:numFmt w:val="none"/>
      <w:lvlRestart w:val="0"/>
      <w:lvlText w:val=""/>
      <w:lvlJc w:val="left"/>
      <w:pPr>
        <w:ind w:left="0" w:firstLine="0"/>
      </w:pPr>
      <w:rPr>
        <w:rFonts w:hint="default"/>
      </w:rPr>
    </w:lvl>
  </w:abstractNum>
  <w:abstractNum w:abstractNumId="5" w15:restartNumberingAfterBreak="0">
    <w:nsid w:val="541611C2"/>
    <w:multiLevelType w:val="hybridMultilevel"/>
    <w:tmpl w:val="350ED9F2"/>
    <w:styleLink w:val="ZZTablebullets"/>
    <w:lvl w:ilvl="0" w:tplc="2CC03386">
      <w:start w:val="1"/>
      <w:numFmt w:val="bullet"/>
      <w:pStyle w:val="Tablebullet1"/>
      <w:lvlText w:val="•"/>
      <w:lvlJc w:val="left"/>
      <w:pPr>
        <w:ind w:left="227" w:hanging="227"/>
      </w:pPr>
      <w:rPr>
        <w:rFonts w:ascii="Calibri" w:hAnsi="Calibri" w:hint="default"/>
      </w:rPr>
    </w:lvl>
    <w:lvl w:ilvl="1" w:tplc="0786E914">
      <w:start w:val="1"/>
      <w:numFmt w:val="bullet"/>
      <w:lvlRestart w:val="0"/>
      <w:pStyle w:val="Tablebullet2"/>
      <w:lvlText w:val="–"/>
      <w:lvlJc w:val="left"/>
      <w:pPr>
        <w:tabs>
          <w:tab w:val="num" w:pos="227"/>
        </w:tabs>
        <w:ind w:left="454" w:hanging="227"/>
      </w:pPr>
      <w:rPr>
        <w:rFonts w:ascii="Calibri" w:hAnsi="Calibri" w:hint="default"/>
      </w:rPr>
    </w:lvl>
    <w:lvl w:ilvl="2" w:tplc="5B64A178">
      <w:start w:val="1"/>
      <w:numFmt w:val="none"/>
      <w:lvlRestart w:val="0"/>
      <w:lvlText w:val=""/>
      <w:lvlJc w:val="left"/>
      <w:pPr>
        <w:ind w:left="0" w:firstLine="0"/>
      </w:pPr>
      <w:rPr>
        <w:rFonts w:hint="default"/>
      </w:rPr>
    </w:lvl>
    <w:lvl w:ilvl="3" w:tplc="FC88A608">
      <w:start w:val="1"/>
      <w:numFmt w:val="none"/>
      <w:lvlRestart w:val="0"/>
      <w:lvlText w:val=""/>
      <w:lvlJc w:val="left"/>
      <w:pPr>
        <w:ind w:left="0" w:firstLine="0"/>
      </w:pPr>
      <w:rPr>
        <w:rFonts w:hint="default"/>
      </w:rPr>
    </w:lvl>
    <w:lvl w:ilvl="4" w:tplc="ED7E9EDC">
      <w:start w:val="1"/>
      <w:numFmt w:val="none"/>
      <w:lvlRestart w:val="0"/>
      <w:lvlText w:val=""/>
      <w:lvlJc w:val="left"/>
      <w:pPr>
        <w:ind w:left="0" w:firstLine="0"/>
      </w:pPr>
      <w:rPr>
        <w:rFonts w:hint="default"/>
      </w:rPr>
    </w:lvl>
    <w:lvl w:ilvl="5" w:tplc="D130A512">
      <w:start w:val="1"/>
      <w:numFmt w:val="none"/>
      <w:lvlRestart w:val="0"/>
      <w:lvlText w:val=""/>
      <w:lvlJc w:val="left"/>
      <w:pPr>
        <w:ind w:left="0" w:firstLine="0"/>
      </w:pPr>
      <w:rPr>
        <w:rFonts w:hint="default"/>
      </w:rPr>
    </w:lvl>
    <w:lvl w:ilvl="6" w:tplc="4B7AECC6">
      <w:start w:val="1"/>
      <w:numFmt w:val="none"/>
      <w:lvlRestart w:val="0"/>
      <w:lvlText w:val=""/>
      <w:lvlJc w:val="left"/>
      <w:pPr>
        <w:ind w:left="0" w:firstLine="0"/>
      </w:pPr>
      <w:rPr>
        <w:rFonts w:hint="default"/>
      </w:rPr>
    </w:lvl>
    <w:lvl w:ilvl="7" w:tplc="03486054">
      <w:start w:val="1"/>
      <w:numFmt w:val="none"/>
      <w:lvlRestart w:val="0"/>
      <w:lvlText w:val=""/>
      <w:lvlJc w:val="left"/>
      <w:pPr>
        <w:ind w:left="0" w:firstLine="0"/>
      </w:pPr>
      <w:rPr>
        <w:rFonts w:hint="default"/>
      </w:rPr>
    </w:lvl>
    <w:lvl w:ilvl="8" w:tplc="FEB4C4AA">
      <w:start w:val="1"/>
      <w:numFmt w:val="none"/>
      <w:lvlRestart w:val="0"/>
      <w:lvlText w:val=""/>
      <w:lvlJc w:val="left"/>
      <w:pPr>
        <w:ind w:left="0" w:firstLine="0"/>
      </w:pPr>
      <w:rPr>
        <w:rFonts w:hint="default"/>
      </w:rPr>
    </w:lvl>
  </w:abstractNum>
  <w:abstractNum w:abstractNumId="6" w15:restartNumberingAfterBreak="0">
    <w:nsid w:val="54BA1E5A"/>
    <w:multiLevelType w:val="hybridMultilevel"/>
    <w:tmpl w:val="F05C78C0"/>
    <w:styleLink w:val="ZZBullets"/>
    <w:lvl w:ilvl="0" w:tplc="2E327EC0">
      <w:start w:val="1"/>
      <w:numFmt w:val="bullet"/>
      <w:pStyle w:val="Bullet1"/>
      <w:lvlText w:val="•"/>
      <w:lvlJc w:val="left"/>
      <w:pPr>
        <w:ind w:left="284" w:hanging="284"/>
      </w:pPr>
      <w:rPr>
        <w:rFonts w:ascii="Calibri" w:hAnsi="Calibri" w:hint="default"/>
      </w:rPr>
    </w:lvl>
    <w:lvl w:ilvl="1" w:tplc="EC8C3732">
      <w:start w:val="1"/>
      <w:numFmt w:val="bullet"/>
      <w:lvlRestart w:val="0"/>
      <w:pStyle w:val="Bullet2"/>
      <w:lvlText w:val="–"/>
      <w:lvlJc w:val="left"/>
      <w:pPr>
        <w:ind w:left="567" w:hanging="283"/>
      </w:pPr>
      <w:rPr>
        <w:rFonts w:ascii="Calibri" w:hAnsi="Calibri" w:hint="default"/>
      </w:rPr>
    </w:lvl>
    <w:lvl w:ilvl="2" w:tplc="CC4C1012">
      <w:start w:val="1"/>
      <w:numFmt w:val="none"/>
      <w:lvlRestart w:val="0"/>
      <w:lvlText w:val=""/>
      <w:lvlJc w:val="left"/>
      <w:pPr>
        <w:ind w:left="0" w:firstLine="0"/>
      </w:pPr>
      <w:rPr>
        <w:rFonts w:hint="default"/>
      </w:rPr>
    </w:lvl>
    <w:lvl w:ilvl="3" w:tplc="CE3C748C">
      <w:start w:val="1"/>
      <w:numFmt w:val="none"/>
      <w:lvlRestart w:val="0"/>
      <w:lvlText w:val=""/>
      <w:lvlJc w:val="left"/>
      <w:pPr>
        <w:ind w:left="0" w:firstLine="0"/>
      </w:pPr>
      <w:rPr>
        <w:rFonts w:hint="default"/>
      </w:rPr>
    </w:lvl>
    <w:lvl w:ilvl="4" w:tplc="934C7594">
      <w:start w:val="1"/>
      <w:numFmt w:val="none"/>
      <w:lvlRestart w:val="0"/>
      <w:lvlText w:val=""/>
      <w:lvlJc w:val="left"/>
      <w:pPr>
        <w:ind w:left="0" w:firstLine="0"/>
      </w:pPr>
      <w:rPr>
        <w:rFonts w:hint="default"/>
      </w:rPr>
    </w:lvl>
    <w:lvl w:ilvl="5" w:tplc="4614E76A">
      <w:start w:val="1"/>
      <w:numFmt w:val="none"/>
      <w:lvlRestart w:val="0"/>
      <w:lvlText w:val=""/>
      <w:lvlJc w:val="left"/>
      <w:pPr>
        <w:ind w:left="0" w:firstLine="0"/>
      </w:pPr>
      <w:rPr>
        <w:rFonts w:hint="default"/>
      </w:rPr>
    </w:lvl>
    <w:lvl w:ilvl="6" w:tplc="6536680C">
      <w:start w:val="1"/>
      <w:numFmt w:val="none"/>
      <w:lvlRestart w:val="0"/>
      <w:lvlText w:val=""/>
      <w:lvlJc w:val="left"/>
      <w:pPr>
        <w:ind w:left="0" w:firstLine="0"/>
      </w:pPr>
      <w:rPr>
        <w:rFonts w:hint="default"/>
      </w:rPr>
    </w:lvl>
    <w:lvl w:ilvl="7" w:tplc="0E4CC06E">
      <w:start w:val="1"/>
      <w:numFmt w:val="none"/>
      <w:lvlRestart w:val="0"/>
      <w:lvlText w:val=""/>
      <w:lvlJc w:val="left"/>
      <w:pPr>
        <w:ind w:left="0" w:firstLine="0"/>
      </w:pPr>
      <w:rPr>
        <w:rFonts w:hint="default"/>
      </w:rPr>
    </w:lvl>
    <w:lvl w:ilvl="8" w:tplc="C22EDC32">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5F0EC1"/>
    <w:multiLevelType w:val="hybridMultilevel"/>
    <w:tmpl w:val="DE0AAFE6"/>
    <w:lvl w:ilvl="0" w:tplc="DEF299F6">
      <w:numFmt w:val="bullet"/>
      <w:lvlText w:val=""/>
      <w:lvlJc w:val="left"/>
      <w:pPr>
        <w:ind w:left="720" w:hanging="360"/>
      </w:pPr>
      <w:rPr>
        <w:rFonts w:ascii="Symbol" w:eastAsia="MS Gothic"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FF2E25"/>
    <w:multiLevelType w:val="hybridMultilevel"/>
    <w:tmpl w:val="02944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7A"/>
    <w:rsid w:val="00000719"/>
    <w:rsid w:val="00000FB4"/>
    <w:rsid w:val="00001A4D"/>
    <w:rsid w:val="00001B45"/>
    <w:rsid w:val="00001B67"/>
    <w:rsid w:val="00001BF3"/>
    <w:rsid w:val="00001C34"/>
    <w:rsid w:val="00001D0B"/>
    <w:rsid w:val="0000248B"/>
    <w:rsid w:val="000029C2"/>
    <w:rsid w:val="00002B91"/>
    <w:rsid w:val="00002D68"/>
    <w:rsid w:val="000031FB"/>
    <w:rsid w:val="000033F7"/>
    <w:rsid w:val="00003403"/>
    <w:rsid w:val="00003585"/>
    <w:rsid w:val="00003921"/>
    <w:rsid w:val="00003AF2"/>
    <w:rsid w:val="00004057"/>
    <w:rsid w:val="00004345"/>
    <w:rsid w:val="00004654"/>
    <w:rsid w:val="00005347"/>
    <w:rsid w:val="0000585C"/>
    <w:rsid w:val="00005C62"/>
    <w:rsid w:val="0000670D"/>
    <w:rsid w:val="00006914"/>
    <w:rsid w:val="000072B6"/>
    <w:rsid w:val="00007318"/>
    <w:rsid w:val="00007749"/>
    <w:rsid w:val="000078B0"/>
    <w:rsid w:val="00007AB6"/>
    <w:rsid w:val="0001021B"/>
    <w:rsid w:val="00010D3D"/>
    <w:rsid w:val="00010DB2"/>
    <w:rsid w:val="000110DF"/>
    <w:rsid w:val="00011C34"/>
    <w:rsid w:val="00011CD6"/>
    <w:rsid w:val="00011D89"/>
    <w:rsid w:val="00012418"/>
    <w:rsid w:val="0001335B"/>
    <w:rsid w:val="00013C58"/>
    <w:rsid w:val="0001408A"/>
    <w:rsid w:val="000142FC"/>
    <w:rsid w:val="000149B9"/>
    <w:rsid w:val="00015071"/>
    <w:rsid w:val="000154FD"/>
    <w:rsid w:val="0001559F"/>
    <w:rsid w:val="00015719"/>
    <w:rsid w:val="0001574A"/>
    <w:rsid w:val="00015A87"/>
    <w:rsid w:val="00016109"/>
    <w:rsid w:val="000163D6"/>
    <w:rsid w:val="00016A14"/>
    <w:rsid w:val="00016BF0"/>
    <w:rsid w:val="00016C1B"/>
    <w:rsid w:val="00017ACF"/>
    <w:rsid w:val="00017C1C"/>
    <w:rsid w:val="00017C31"/>
    <w:rsid w:val="00017D32"/>
    <w:rsid w:val="00020452"/>
    <w:rsid w:val="00020548"/>
    <w:rsid w:val="00021797"/>
    <w:rsid w:val="00022271"/>
    <w:rsid w:val="0002227C"/>
    <w:rsid w:val="00022397"/>
    <w:rsid w:val="00022405"/>
    <w:rsid w:val="000226A4"/>
    <w:rsid w:val="00022A79"/>
    <w:rsid w:val="00022ED5"/>
    <w:rsid w:val="0002309F"/>
    <w:rsid w:val="000235E8"/>
    <w:rsid w:val="00023852"/>
    <w:rsid w:val="00023A3D"/>
    <w:rsid w:val="00023CD2"/>
    <w:rsid w:val="00024607"/>
    <w:rsid w:val="00024856"/>
    <w:rsid w:val="00024D89"/>
    <w:rsid w:val="00024FFE"/>
    <w:rsid w:val="000250B6"/>
    <w:rsid w:val="0002627B"/>
    <w:rsid w:val="00026367"/>
    <w:rsid w:val="000269D4"/>
    <w:rsid w:val="00026D58"/>
    <w:rsid w:val="0002797C"/>
    <w:rsid w:val="00027D89"/>
    <w:rsid w:val="00027DCF"/>
    <w:rsid w:val="00027E85"/>
    <w:rsid w:val="000303D8"/>
    <w:rsid w:val="0003043C"/>
    <w:rsid w:val="00030753"/>
    <w:rsid w:val="00030F19"/>
    <w:rsid w:val="000312DC"/>
    <w:rsid w:val="00031970"/>
    <w:rsid w:val="000321EB"/>
    <w:rsid w:val="000325BF"/>
    <w:rsid w:val="000327D9"/>
    <w:rsid w:val="00032925"/>
    <w:rsid w:val="00032A11"/>
    <w:rsid w:val="000334CC"/>
    <w:rsid w:val="00033D81"/>
    <w:rsid w:val="00033DC9"/>
    <w:rsid w:val="00034A6A"/>
    <w:rsid w:val="00034B22"/>
    <w:rsid w:val="00034E24"/>
    <w:rsid w:val="00034FE7"/>
    <w:rsid w:val="00035D31"/>
    <w:rsid w:val="000360A6"/>
    <w:rsid w:val="00036790"/>
    <w:rsid w:val="00036878"/>
    <w:rsid w:val="000368A5"/>
    <w:rsid w:val="000369A6"/>
    <w:rsid w:val="00037366"/>
    <w:rsid w:val="000407DD"/>
    <w:rsid w:val="000409A1"/>
    <w:rsid w:val="00041166"/>
    <w:rsid w:val="00041532"/>
    <w:rsid w:val="00041BF0"/>
    <w:rsid w:val="00041CBA"/>
    <w:rsid w:val="00042115"/>
    <w:rsid w:val="000422B5"/>
    <w:rsid w:val="0004237A"/>
    <w:rsid w:val="00042532"/>
    <w:rsid w:val="00042758"/>
    <w:rsid w:val="000428A4"/>
    <w:rsid w:val="00042C8A"/>
    <w:rsid w:val="00042E37"/>
    <w:rsid w:val="00042E84"/>
    <w:rsid w:val="00042FCD"/>
    <w:rsid w:val="000438CB"/>
    <w:rsid w:val="00043FC3"/>
    <w:rsid w:val="00044328"/>
    <w:rsid w:val="00044DAD"/>
    <w:rsid w:val="00044E59"/>
    <w:rsid w:val="00045312"/>
    <w:rsid w:val="0004536B"/>
    <w:rsid w:val="00045958"/>
    <w:rsid w:val="00045BC4"/>
    <w:rsid w:val="0004622E"/>
    <w:rsid w:val="000466DD"/>
    <w:rsid w:val="000469E8"/>
    <w:rsid w:val="00046B68"/>
    <w:rsid w:val="00047C0A"/>
    <w:rsid w:val="00047C20"/>
    <w:rsid w:val="0005027A"/>
    <w:rsid w:val="000504CD"/>
    <w:rsid w:val="000507F1"/>
    <w:rsid w:val="00050A61"/>
    <w:rsid w:val="00050ADA"/>
    <w:rsid w:val="00050BED"/>
    <w:rsid w:val="000510D5"/>
    <w:rsid w:val="00051723"/>
    <w:rsid w:val="000518E4"/>
    <w:rsid w:val="00051987"/>
    <w:rsid w:val="00051CDD"/>
    <w:rsid w:val="00051E14"/>
    <w:rsid w:val="00051EA7"/>
    <w:rsid w:val="000527DD"/>
    <w:rsid w:val="00052FB9"/>
    <w:rsid w:val="0005347D"/>
    <w:rsid w:val="000542EF"/>
    <w:rsid w:val="0005438D"/>
    <w:rsid w:val="000547AB"/>
    <w:rsid w:val="00055E3B"/>
    <w:rsid w:val="00056BB6"/>
    <w:rsid w:val="00056EC4"/>
    <w:rsid w:val="0005785A"/>
    <w:rsid w:val="000578B2"/>
    <w:rsid w:val="00057A8D"/>
    <w:rsid w:val="00057BE7"/>
    <w:rsid w:val="00060959"/>
    <w:rsid w:val="00060B08"/>
    <w:rsid w:val="00060C8F"/>
    <w:rsid w:val="00060F48"/>
    <w:rsid w:val="00061905"/>
    <w:rsid w:val="00061BFF"/>
    <w:rsid w:val="00062103"/>
    <w:rsid w:val="000621DB"/>
    <w:rsid w:val="0006228F"/>
    <w:rsid w:val="0006298A"/>
    <w:rsid w:val="000629D0"/>
    <w:rsid w:val="00063334"/>
    <w:rsid w:val="00063477"/>
    <w:rsid w:val="0006364F"/>
    <w:rsid w:val="00063871"/>
    <w:rsid w:val="00063E40"/>
    <w:rsid w:val="00064499"/>
    <w:rsid w:val="000651B3"/>
    <w:rsid w:val="000655B1"/>
    <w:rsid w:val="0006578D"/>
    <w:rsid w:val="00065F46"/>
    <w:rsid w:val="000663CD"/>
    <w:rsid w:val="00066EA2"/>
    <w:rsid w:val="00067033"/>
    <w:rsid w:val="000673EE"/>
    <w:rsid w:val="00067D96"/>
    <w:rsid w:val="00070122"/>
    <w:rsid w:val="00070463"/>
    <w:rsid w:val="000707FF"/>
    <w:rsid w:val="00070E4D"/>
    <w:rsid w:val="00071EC8"/>
    <w:rsid w:val="00072172"/>
    <w:rsid w:val="00072F6B"/>
    <w:rsid w:val="000733FE"/>
    <w:rsid w:val="00073630"/>
    <w:rsid w:val="00073645"/>
    <w:rsid w:val="00073A82"/>
    <w:rsid w:val="00073BEB"/>
    <w:rsid w:val="00073FB2"/>
    <w:rsid w:val="00074219"/>
    <w:rsid w:val="00074595"/>
    <w:rsid w:val="00074D69"/>
    <w:rsid w:val="00074ED5"/>
    <w:rsid w:val="00074FD2"/>
    <w:rsid w:val="0007500F"/>
    <w:rsid w:val="0007544E"/>
    <w:rsid w:val="00075861"/>
    <w:rsid w:val="0007589F"/>
    <w:rsid w:val="00075C7C"/>
    <w:rsid w:val="00075DFF"/>
    <w:rsid w:val="00076643"/>
    <w:rsid w:val="000767ED"/>
    <w:rsid w:val="00076B26"/>
    <w:rsid w:val="00076F42"/>
    <w:rsid w:val="000771E8"/>
    <w:rsid w:val="000778DE"/>
    <w:rsid w:val="000779BE"/>
    <w:rsid w:val="0008076A"/>
    <w:rsid w:val="00080C7D"/>
    <w:rsid w:val="00080D1F"/>
    <w:rsid w:val="00081F72"/>
    <w:rsid w:val="0008204A"/>
    <w:rsid w:val="00082176"/>
    <w:rsid w:val="0008218E"/>
    <w:rsid w:val="00082335"/>
    <w:rsid w:val="00082416"/>
    <w:rsid w:val="00082421"/>
    <w:rsid w:val="00082519"/>
    <w:rsid w:val="00082652"/>
    <w:rsid w:val="00082716"/>
    <w:rsid w:val="0008279A"/>
    <w:rsid w:val="000831B0"/>
    <w:rsid w:val="00083306"/>
    <w:rsid w:val="00083686"/>
    <w:rsid w:val="00083BC0"/>
    <w:rsid w:val="00083E0A"/>
    <w:rsid w:val="00083E25"/>
    <w:rsid w:val="000845C3"/>
    <w:rsid w:val="000845E6"/>
    <w:rsid w:val="00084791"/>
    <w:rsid w:val="00084879"/>
    <w:rsid w:val="000848A2"/>
    <w:rsid w:val="0008497A"/>
    <w:rsid w:val="00084CEB"/>
    <w:rsid w:val="0008508E"/>
    <w:rsid w:val="00085203"/>
    <w:rsid w:val="000853B7"/>
    <w:rsid w:val="0008576B"/>
    <w:rsid w:val="000859AB"/>
    <w:rsid w:val="00085F61"/>
    <w:rsid w:val="00085F65"/>
    <w:rsid w:val="000860C1"/>
    <w:rsid w:val="00086946"/>
    <w:rsid w:val="00086C59"/>
    <w:rsid w:val="00086C6A"/>
    <w:rsid w:val="00087951"/>
    <w:rsid w:val="000900BA"/>
    <w:rsid w:val="000903B1"/>
    <w:rsid w:val="000903D4"/>
    <w:rsid w:val="00090EBA"/>
    <w:rsid w:val="0009113B"/>
    <w:rsid w:val="00091517"/>
    <w:rsid w:val="0009167F"/>
    <w:rsid w:val="00091756"/>
    <w:rsid w:val="00091B0E"/>
    <w:rsid w:val="00092073"/>
    <w:rsid w:val="000920F5"/>
    <w:rsid w:val="0009264A"/>
    <w:rsid w:val="00092967"/>
    <w:rsid w:val="0009301F"/>
    <w:rsid w:val="00093023"/>
    <w:rsid w:val="00093402"/>
    <w:rsid w:val="0009340A"/>
    <w:rsid w:val="00093551"/>
    <w:rsid w:val="00093B4E"/>
    <w:rsid w:val="000940ED"/>
    <w:rsid w:val="00094645"/>
    <w:rsid w:val="000947EC"/>
    <w:rsid w:val="00094C81"/>
    <w:rsid w:val="00094D16"/>
    <w:rsid w:val="00094DA3"/>
    <w:rsid w:val="00095082"/>
    <w:rsid w:val="000950B1"/>
    <w:rsid w:val="000951D5"/>
    <w:rsid w:val="0009553C"/>
    <w:rsid w:val="000969CE"/>
    <w:rsid w:val="00096C90"/>
    <w:rsid w:val="00096CD1"/>
    <w:rsid w:val="00096D05"/>
    <w:rsid w:val="00096F0E"/>
    <w:rsid w:val="00096F42"/>
    <w:rsid w:val="000971DA"/>
    <w:rsid w:val="0009765F"/>
    <w:rsid w:val="00097C4F"/>
    <w:rsid w:val="000A012C"/>
    <w:rsid w:val="000A0BB7"/>
    <w:rsid w:val="000A0E7C"/>
    <w:rsid w:val="000A0EB9"/>
    <w:rsid w:val="000A1030"/>
    <w:rsid w:val="000A156C"/>
    <w:rsid w:val="000A186C"/>
    <w:rsid w:val="000A18CF"/>
    <w:rsid w:val="000A1EA4"/>
    <w:rsid w:val="000A1FC0"/>
    <w:rsid w:val="000A2476"/>
    <w:rsid w:val="000A27DF"/>
    <w:rsid w:val="000A2852"/>
    <w:rsid w:val="000A28D5"/>
    <w:rsid w:val="000A314F"/>
    <w:rsid w:val="000A3182"/>
    <w:rsid w:val="000A334F"/>
    <w:rsid w:val="000A3889"/>
    <w:rsid w:val="000A38FE"/>
    <w:rsid w:val="000A412B"/>
    <w:rsid w:val="000A42E4"/>
    <w:rsid w:val="000A43A9"/>
    <w:rsid w:val="000A4817"/>
    <w:rsid w:val="000A5265"/>
    <w:rsid w:val="000A52DA"/>
    <w:rsid w:val="000A54FC"/>
    <w:rsid w:val="000A5517"/>
    <w:rsid w:val="000A5E30"/>
    <w:rsid w:val="000A641A"/>
    <w:rsid w:val="000A7A20"/>
    <w:rsid w:val="000B0680"/>
    <w:rsid w:val="000B0CF0"/>
    <w:rsid w:val="000B0EFD"/>
    <w:rsid w:val="000B0F07"/>
    <w:rsid w:val="000B109A"/>
    <w:rsid w:val="000B1402"/>
    <w:rsid w:val="000B1423"/>
    <w:rsid w:val="000B1E3C"/>
    <w:rsid w:val="000B26A8"/>
    <w:rsid w:val="000B2CA4"/>
    <w:rsid w:val="000B2D8E"/>
    <w:rsid w:val="000B2E27"/>
    <w:rsid w:val="000B2F76"/>
    <w:rsid w:val="000B31E7"/>
    <w:rsid w:val="000B3EDB"/>
    <w:rsid w:val="000B481E"/>
    <w:rsid w:val="000B4DA4"/>
    <w:rsid w:val="000B4E6F"/>
    <w:rsid w:val="000B4E9B"/>
    <w:rsid w:val="000B543D"/>
    <w:rsid w:val="000B54A2"/>
    <w:rsid w:val="000B5514"/>
    <w:rsid w:val="000B55F9"/>
    <w:rsid w:val="000B5BF7"/>
    <w:rsid w:val="000B6902"/>
    <w:rsid w:val="000B6BC8"/>
    <w:rsid w:val="000B6D1F"/>
    <w:rsid w:val="000B6D29"/>
    <w:rsid w:val="000B6ED7"/>
    <w:rsid w:val="000B74C3"/>
    <w:rsid w:val="000B753A"/>
    <w:rsid w:val="000B7997"/>
    <w:rsid w:val="000B7F28"/>
    <w:rsid w:val="000B7FE5"/>
    <w:rsid w:val="000C00B0"/>
    <w:rsid w:val="000C0303"/>
    <w:rsid w:val="000C059D"/>
    <w:rsid w:val="000C076A"/>
    <w:rsid w:val="000C0B28"/>
    <w:rsid w:val="000C103B"/>
    <w:rsid w:val="000C21F4"/>
    <w:rsid w:val="000C2A66"/>
    <w:rsid w:val="000C325E"/>
    <w:rsid w:val="000C32AA"/>
    <w:rsid w:val="000C3E19"/>
    <w:rsid w:val="000C3EED"/>
    <w:rsid w:val="000C42EA"/>
    <w:rsid w:val="000C4546"/>
    <w:rsid w:val="000C527C"/>
    <w:rsid w:val="000C556F"/>
    <w:rsid w:val="000C5702"/>
    <w:rsid w:val="000C5F90"/>
    <w:rsid w:val="000C605D"/>
    <w:rsid w:val="000C72AD"/>
    <w:rsid w:val="000C746F"/>
    <w:rsid w:val="000C7494"/>
    <w:rsid w:val="000C7B32"/>
    <w:rsid w:val="000CA58F"/>
    <w:rsid w:val="000D015B"/>
    <w:rsid w:val="000D045F"/>
    <w:rsid w:val="000D07FE"/>
    <w:rsid w:val="000D09FB"/>
    <w:rsid w:val="000D0A7B"/>
    <w:rsid w:val="000D1114"/>
    <w:rsid w:val="000D1242"/>
    <w:rsid w:val="000D1319"/>
    <w:rsid w:val="000D15C2"/>
    <w:rsid w:val="000D165B"/>
    <w:rsid w:val="000D1D92"/>
    <w:rsid w:val="000D1E17"/>
    <w:rsid w:val="000D2034"/>
    <w:rsid w:val="000D2171"/>
    <w:rsid w:val="000D2ABA"/>
    <w:rsid w:val="000D2BEA"/>
    <w:rsid w:val="000D2D7C"/>
    <w:rsid w:val="000D2FC5"/>
    <w:rsid w:val="000D30AA"/>
    <w:rsid w:val="000D3551"/>
    <w:rsid w:val="000D36B1"/>
    <w:rsid w:val="000D36B7"/>
    <w:rsid w:val="000D3D3A"/>
    <w:rsid w:val="000D3FB9"/>
    <w:rsid w:val="000D462B"/>
    <w:rsid w:val="000D5168"/>
    <w:rsid w:val="000D56B5"/>
    <w:rsid w:val="000D6ABD"/>
    <w:rsid w:val="000D7845"/>
    <w:rsid w:val="000D7D16"/>
    <w:rsid w:val="000D7DF8"/>
    <w:rsid w:val="000D7E48"/>
    <w:rsid w:val="000DE929"/>
    <w:rsid w:val="000E033F"/>
    <w:rsid w:val="000E0970"/>
    <w:rsid w:val="000E184E"/>
    <w:rsid w:val="000E1F94"/>
    <w:rsid w:val="000E2972"/>
    <w:rsid w:val="000E3270"/>
    <w:rsid w:val="000E3CC7"/>
    <w:rsid w:val="000E4391"/>
    <w:rsid w:val="000E43A4"/>
    <w:rsid w:val="000E46D4"/>
    <w:rsid w:val="000E506C"/>
    <w:rsid w:val="000E53D7"/>
    <w:rsid w:val="000E55D5"/>
    <w:rsid w:val="000E576F"/>
    <w:rsid w:val="000E5AFE"/>
    <w:rsid w:val="000E6B71"/>
    <w:rsid w:val="000E6BD4"/>
    <w:rsid w:val="000E6C88"/>
    <w:rsid w:val="000E6D6D"/>
    <w:rsid w:val="000E6F7B"/>
    <w:rsid w:val="000E740D"/>
    <w:rsid w:val="000E78D8"/>
    <w:rsid w:val="000E7E4B"/>
    <w:rsid w:val="000F062C"/>
    <w:rsid w:val="000F1355"/>
    <w:rsid w:val="000F16D4"/>
    <w:rsid w:val="000F1F1E"/>
    <w:rsid w:val="000F20A2"/>
    <w:rsid w:val="000F2259"/>
    <w:rsid w:val="000F2BB0"/>
    <w:rsid w:val="000F2DDA"/>
    <w:rsid w:val="000F2EA0"/>
    <w:rsid w:val="000F3051"/>
    <w:rsid w:val="000F3073"/>
    <w:rsid w:val="000F37AB"/>
    <w:rsid w:val="000F39F3"/>
    <w:rsid w:val="000F3A1E"/>
    <w:rsid w:val="000F3AA9"/>
    <w:rsid w:val="000F3BF0"/>
    <w:rsid w:val="000F3F63"/>
    <w:rsid w:val="000F4482"/>
    <w:rsid w:val="000F4895"/>
    <w:rsid w:val="000F503A"/>
    <w:rsid w:val="000F5213"/>
    <w:rsid w:val="000F54AF"/>
    <w:rsid w:val="000F59F8"/>
    <w:rsid w:val="000F5F17"/>
    <w:rsid w:val="000F5F7A"/>
    <w:rsid w:val="000F706C"/>
    <w:rsid w:val="000F7370"/>
    <w:rsid w:val="000F7455"/>
    <w:rsid w:val="000F7873"/>
    <w:rsid w:val="000F79A3"/>
    <w:rsid w:val="000F79E4"/>
    <w:rsid w:val="000F7DD2"/>
    <w:rsid w:val="00100617"/>
    <w:rsid w:val="00100817"/>
    <w:rsid w:val="00101001"/>
    <w:rsid w:val="0010150D"/>
    <w:rsid w:val="00101DA4"/>
    <w:rsid w:val="00102973"/>
    <w:rsid w:val="001029DD"/>
    <w:rsid w:val="00103276"/>
    <w:rsid w:val="001035E8"/>
    <w:rsid w:val="0010392D"/>
    <w:rsid w:val="0010447F"/>
    <w:rsid w:val="001047FA"/>
    <w:rsid w:val="00104EBC"/>
    <w:rsid w:val="00104FE3"/>
    <w:rsid w:val="0010541C"/>
    <w:rsid w:val="00105B0A"/>
    <w:rsid w:val="00105BEF"/>
    <w:rsid w:val="00105F11"/>
    <w:rsid w:val="00106335"/>
    <w:rsid w:val="00106971"/>
    <w:rsid w:val="00107085"/>
    <w:rsid w:val="0010714F"/>
    <w:rsid w:val="0010762B"/>
    <w:rsid w:val="00107D23"/>
    <w:rsid w:val="00107DA4"/>
    <w:rsid w:val="00107EFB"/>
    <w:rsid w:val="0011028E"/>
    <w:rsid w:val="001107F9"/>
    <w:rsid w:val="00111564"/>
    <w:rsid w:val="00111A92"/>
    <w:rsid w:val="001120C5"/>
    <w:rsid w:val="001127B8"/>
    <w:rsid w:val="00112BFF"/>
    <w:rsid w:val="00112D9E"/>
    <w:rsid w:val="001134C9"/>
    <w:rsid w:val="001137B6"/>
    <w:rsid w:val="0011387B"/>
    <w:rsid w:val="00113CAD"/>
    <w:rsid w:val="00114AFA"/>
    <w:rsid w:val="00114CDD"/>
    <w:rsid w:val="00115138"/>
    <w:rsid w:val="001153D3"/>
    <w:rsid w:val="00115784"/>
    <w:rsid w:val="0011593C"/>
    <w:rsid w:val="00116F01"/>
    <w:rsid w:val="00116F1C"/>
    <w:rsid w:val="00117712"/>
    <w:rsid w:val="00120307"/>
    <w:rsid w:val="00120BD3"/>
    <w:rsid w:val="0012145A"/>
    <w:rsid w:val="00122887"/>
    <w:rsid w:val="00122893"/>
    <w:rsid w:val="001228D8"/>
    <w:rsid w:val="00122E3A"/>
    <w:rsid w:val="00122FEA"/>
    <w:rsid w:val="001232BD"/>
    <w:rsid w:val="00123639"/>
    <w:rsid w:val="00124141"/>
    <w:rsid w:val="00124645"/>
    <w:rsid w:val="00124D06"/>
    <w:rsid w:val="00124ED5"/>
    <w:rsid w:val="00125321"/>
    <w:rsid w:val="001254BC"/>
    <w:rsid w:val="001258BD"/>
    <w:rsid w:val="00125CB4"/>
    <w:rsid w:val="00125D2C"/>
    <w:rsid w:val="00125F43"/>
    <w:rsid w:val="001261A0"/>
    <w:rsid w:val="0012656A"/>
    <w:rsid w:val="00126C33"/>
    <w:rsid w:val="001271F1"/>
    <w:rsid w:val="001274BE"/>
    <w:rsid w:val="00127683"/>
    <w:rsid w:val="001276FA"/>
    <w:rsid w:val="00130051"/>
    <w:rsid w:val="0013056B"/>
    <w:rsid w:val="001306D7"/>
    <w:rsid w:val="00130983"/>
    <w:rsid w:val="001321F1"/>
    <w:rsid w:val="001323D1"/>
    <w:rsid w:val="00132770"/>
    <w:rsid w:val="00132BC3"/>
    <w:rsid w:val="00132F2C"/>
    <w:rsid w:val="001347EA"/>
    <w:rsid w:val="00134A92"/>
    <w:rsid w:val="00134FF9"/>
    <w:rsid w:val="00135046"/>
    <w:rsid w:val="00135BE5"/>
    <w:rsid w:val="00135E3E"/>
    <w:rsid w:val="0013627D"/>
    <w:rsid w:val="001363CF"/>
    <w:rsid w:val="00136A82"/>
    <w:rsid w:val="00136C5E"/>
    <w:rsid w:val="00136F17"/>
    <w:rsid w:val="0013703C"/>
    <w:rsid w:val="001379C0"/>
    <w:rsid w:val="00137A08"/>
    <w:rsid w:val="00137ADC"/>
    <w:rsid w:val="00137ED4"/>
    <w:rsid w:val="00140296"/>
    <w:rsid w:val="00140A84"/>
    <w:rsid w:val="00140CD2"/>
    <w:rsid w:val="00141507"/>
    <w:rsid w:val="001426B5"/>
    <w:rsid w:val="001428EA"/>
    <w:rsid w:val="00143080"/>
    <w:rsid w:val="0014334A"/>
    <w:rsid w:val="00143540"/>
    <w:rsid w:val="00143951"/>
    <w:rsid w:val="00143B77"/>
    <w:rsid w:val="00144158"/>
    <w:rsid w:val="001447B3"/>
    <w:rsid w:val="00144B4D"/>
    <w:rsid w:val="00145405"/>
    <w:rsid w:val="0014579B"/>
    <w:rsid w:val="00145CC1"/>
    <w:rsid w:val="00145E5D"/>
    <w:rsid w:val="00146388"/>
    <w:rsid w:val="001466A7"/>
    <w:rsid w:val="0014672F"/>
    <w:rsid w:val="00146B50"/>
    <w:rsid w:val="00146B8E"/>
    <w:rsid w:val="0014726B"/>
    <w:rsid w:val="0014742E"/>
    <w:rsid w:val="0014751B"/>
    <w:rsid w:val="00147B8D"/>
    <w:rsid w:val="00147DFC"/>
    <w:rsid w:val="00147F49"/>
    <w:rsid w:val="00150B40"/>
    <w:rsid w:val="00150C36"/>
    <w:rsid w:val="001512BE"/>
    <w:rsid w:val="0015186B"/>
    <w:rsid w:val="00151961"/>
    <w:rsid w:val="00152073"/>
    <w:rsid w:val="0015207D"/>
    <w:rsid w:val="001521F4"/>
    <w:rsid w:val="00152329"/>
    <w:rsid w:val="0015257B"/>
    <w:rsid w:val="00152F7A"/>
    <w:rsid w:val="00153590"/>
    <w:rsid w:val="001535BD"/>
    <w:rsid w:val="00153A97"/>
    <w:rsid w:val="00153CA9"/>
    <w:rsid w:val="00153DF9"/>
    <w:rsid w:val="00154255"/>
    <w:rsid w:val="001543BC"/>
    <w:rsid w:val="0015468C"/>
    <w:rsid w:val="001549B3"/>
    <w:rsid w:val="00154A91"/>
    <w:rsid w:val="00154B3E"/>
    <w:rsid w:val="00154EC6"/>
    <w:rsid w:val="00155224"/>
    <w:rsid w:val="001555E8"/>
    <w:rsid w:val="001558A3"/>
    <w:rsid w:val="00155F18"/>
    <w:rsid w:val="00156123"/>
    <w:rsid w:val="00156598"/>
    <w:rsid w:val="00156789"/>
    <w:rsid w:val="00156B2B"/>
    <w:rsid w:val="00156F16"/>
    <w:rsid w:val="001570A8"/>
    <w:rsid w:val="001572E8"/>
    <w:rsid w:val="0016049E"/>
    <w:rsid w:val="00160535"/>
    <w:rsid w:val="001608DD"/>
    <w:rsid w:val="00160A81"/>
    <w:rsid w:val="00160BFC"/>
    <w:rsid w:val="00160D90"/>
    <w:rsid w:val="001613B8"/>
    <w:rsid w:val="00161532"/>
    <w:rsid w:val="0016190D"/>
    <w:rsid w:val="00161939"/>
    <w:rsid w:val="00161AA0"/>
    <w:rsid w:val="00161AD0"/>
    <w:rsid w:val="00161D2E"/>
    <w:rsid w:val="00161F3E"/>
    <w:rsid w:val="00162093"/>
    <w:rsid w:val="00162211"/>
    <w:rsid w:val="001628F1"/>
    <w:rsid w:val="001628FB"/>
    <w:rsid w:val="001629FE"/>
    <w:rsid w:val="00162AC0"/>
    <w:rsid w:val="00162AFE"/>
    <w:rsid w:val="00162CA9"/>
    <w:rsid w:val="00162D17"/>
    <w:rsid w:val="001632D0"/>
    <w:rsid w:val="00163CFA"/>
    <w:rsid w:val="0016403F"/>
    <w:rsid w:val="00164170"/>
    <w:rsid w:val="001641F8"/>
    <w:rsid w:val="00164511"/>
    <w:rsid w:val="001651AA"/>
    <w:rsid w:val="00165291"/>
    <w:rsid w:val="00165459"/>
    <w:rsid w:val="00165744"/>
    <w:rsid w:val="00165A57"/>
    <w:rsid w:val="00165B48"/>
    <w:rsid w:val="00165C64"/>
    <w:rsid w:val="00165D03"/>
    <w:rsid w:val="00165D5C"/>
    <w:rsid w:val="00165FBE"/>
    <w:rsid w:val="00165FD6"/>
    <w:rsid w:val="00166402"/>
    <w:rsid w:val="00167175"/>
    <w:rsid w:val="001676FB"/>
    <w:rsid w:val="00170506"/>
    <w:rsid w:val="001706B6"/>
    <w:rsid w:val="001709A4"/>
    <w:rsid w:val="001712C2"/>
    <w:rsid w:val="00172164"/>
    <w:rsid w:val="001725C6"/>
    <w:rsid w:val="0017268B"/>
    <w:rsid w:val="00172B90"/>
    <w:rsid w:val="00172BAF"/>
    <w:rsid w:val="00173128"/>
    <w:rsid w:val="001733D2"/>
    <w:rsid w:val="00173437"/>
    <w:rsid w:val="00173536"/>
    <w:rsid w:val="00173BCF"/>
    <w:rsid w:val="001743C3"/>
    <w:rsid w:val="001744BB"/>
    <w:rsid w:val="00174957"/>
    <w:rsid w:val="00175345"/>
    <w:rsid w:val="00175EA0"/>
    <w:rsid w:val="00175F6B"/>
    <w:rsid w:val="0017674D"/>
    <w:rsid w:val="00176A75"/>
    <w:rsid w:val="00176AE0"/>
    <w:rsid w:val="00177182"/>
    <w:rsid w:val="001771DD"/>
    <w:rsid w:val="00177995"/>
    <w:rsid w:val="00177A8C"/>
    <w:rsid w:val="00180445"/>
    <w:rsid w:val="00181168"/>
    <w:rsid w:val="0018184A"/>
    <w:rsid w:val="00181CE5"/>
    <w:rsid w:val="0018244E"/>
    <w:rsid w:val="00182E3C"/>
    <w:rsid w:val="00182F86"/>
    <w:rsid w:val="00183751"/>
    <w:rsid w:val="00183DB5"/>
    <w:rsid w:val="00183E35"/>
    <w:rsid w:val="0018448F"/>
    <w:rsid w:val="00184980"/>
    <w:rsid w:val="00184DCC"/>
    <w:rsid w:val="00184E69"/>
    <w:rsid w:val="00184ED7"/>
    <w:rsid w:val="001854AB"/>
    <w:rsid w:val="00185A2D"/>
    <w:rsid w:val="00185B70"/>
    <w:rsid w:val="00186560"/>
    <w:rsid w:val="00186B33"/>
    <w:rsid w:val="001872FC"/>
    <w:rsid w:val="00187A93"/>
    <w:rsid w:val="00187D4A"/>
    <w:rsid w:val="00187E06"/>
    <w:rsid w:val="00187EDC"/>
    <w:rsid w:val="001908D6"/>
    <w:rsid w:val="00190A7C"/>
    <w:rsid w:val="00190F26"/>
    <w:rsid w:val="0019123A"/>
    <w:rsid w:val="00191329"/>
    <w:rsid w:val="001918F7"/>
    <w:rsid w:val="00191B1E"/>
    <w:rsid w:val="00191FA4"/>
    <w:rsid w:val="00192659"/>
    <w:rsid w:val="00192F9D"/>
    <w:rsid w:val="001930C7"/>
    <w:rsid w:val="001934F2"/>
    <w:rsid w:val="001938E7"/>
    <w:rsid w:val="00193933"/>
    <w:rsid w:val="00193C06"/>
    <w:rsid w:val="00194B4E"/>
    <w:rsid w:val="001953C3"/>
    <w:rsid w:val="00195A82"/>
    <w:rsid w:val="00195C4A"/>
    <w:rsid w:val="00195DA7"/>
    <w:rsid w:val="00196EB8"/>
    <w:rsid w:val="00196EFB"/>
    <w:rsid w:val="0019770D"/>
    <w:rsid w:val="00197721"/>
    <w:rsid w:val="001978B6"/>
    <w:rsid w:val="001979D4"/>
    <w:rsid w:val="001979FF"/>
    <w:rsid w:val="00197A80"/>
    <w:rsid w:val="00197B17"/>
    <w:rsid w:val="00197B97"/>
    <w:rsid w:val="001A0155"/>
    <w:rsid w:val="001A09F8"/>
    <w:rsid w:val="001A0D94"/>
    <w:rsid w:val="001A1514"/>
    <w:rsid w:val="001A1950"/>
    <w:rsid w:val="001A1C54"/>
    <w:rsid w:val="001A1F8C"/>
    <w:rsid w:val="001A2B41"/>
    <w:rsid w:val="001A2C2B"/>
    <w:rsid w:val="001A2FD1"/>
    <w:rsid w:val="001A30DF"/>
    <w:rsid w:val="001A346B"/>
    <w:rsid w:val="001A3500"/>
    <w:rsid w:val="001A369D"/>
    <w:rsid w:val="001A37B2"/>
    <w:rsid w:val="001A3ACE"/>
    <w:rsid w:val="001A4033"/>
    <w:rsid w:val="001A4867"/>
    <w:rsid w:val="001A5422"/>
    <w:rsid w:val="001A5671"/>
    <w:rsid w:val="001A56B3"/>
    <w:rsid w:val="001A5DCA"/>
    <w:rsid w:val="001A6272"/>
    <w:rsid w:val="001A6FCB"/>
    <w:rsid w:val="001A73D9"/>
    <w:rsid w:val="001A7454"/>
    <w:rsid w:val="001A76F6"/>
    <w:rsid w:val="001A7AFB"/>
    <w:rsid w:val="001A7B35"/>
    <w:rsid w:val="001A7B92"/>
    <w:rsid w:val="001A7E9B"/>
    <w:rsid w:val="001B058F"/>
    <w:rsid w:val="001B071B"/>
    <w:rsid w:val="001B073E"/>
    <w:rsid w:val="001B0FA0"/>
    <w:rsid w:val="001B1034"/>
    <w:rsid w:val="001B157E"/>
    <w:rsid w:val="001B1B03"/>
    <w:rsid w:val="001B3293"/>
    <w:rsid w:val="001B3315"/>
    <w:rsid w:val="001B43FF"/>
    <w:rsid w:val="001B52E0"/>
    <w:rsid w:val="001B572C"/>
    <w:rsid w:val="001B5C1F"/>
    <w:rsid w:val="001B61DD"/>
    <w:rsid w:val="001B6382"/>
    <w:rsid w:val="001B6642"/>
    <w:rsid w:val="001B66E8"/>
    <w:rsid w:val="001B67F1"/>
    <w:rsid w:val="001B68D1"/>
    <w:rsid w:val="001B6B96"/>
    <w:rsid w:val="001B70E2"/>
    <w:rsid w:val="001B736D"/>
    <w:rsid w:val="001B738B"/>
    <w:rsid w:val="001B7925"/>
    <w:rsid w:val="001B7A21"/>
    <w:rsid w:val="001B7E6D"/>
    <w:rsid w:val="001C018E"/>
    <w:rsid w:val="001C09DB"/>
    <w:rsid w:val="001C0AA5"/>
    <w:rsid w:val="001C0B44"/>
    <w:rsid w:val="001C0C72"/>
    <w:rsid w:val="001C0FD5"/>
    <w:rsid w:val="001C1068"/>
    <w:rsid w:val="001C14E5"/>
    <w:rsid w:val="001C1537"/>
    <w:rsid w:val="001C1547"/>
    <w:rsid w:val="001C1F84"/>
    <w:rsid w:val="001C277E"/>
    <w:rsid w:val="001C2A72"/>
    <w:rsid w:val="001C3010"/>
    <w:rsid w:val="001C31B7"/>
    <w:rsid w:val="001C3381"/>
    <w:rsid w:val="001C36B9"/>
    <w:rsid w:val="001C416C"/>
    <w:rsid w:val="001C4285"/>
    <w:rsid w:val="001C4695"/>
    <w:rsid w:val="001C4A70"/>
    <w:rsid w:val="001C4B84"/>
    <w:rsid w:val="001C4D22"/>
    <w:rsid w:val="001C4F41"/>
    <w:rsid w:val="001C54EF"/>
    <w:rsid w:val="001C55A2"/>
    <w:rsid w:val="001C5679"/>
    <w:rsid w:val="001C5957"/>
    <w:rsid w:val="001C5A0E"/>
    <w:rsid w:val="001C5B41"/>
    <w:rsid w:val="001C5D83"/>
    <w:rsid w:val="001C6DD0"/>
    <w:rsid w:val="001C7A26"/>
    <w:rsid w:val="001C7B49"/>
    <w:rsid w:val="001D0361"/>
    <w:rsid w:val="001D07D0"/>
    <w:rsid w:val="001D0890"/>
    <w:rsid w:val="001D0B0D"/>
    <w:rsid w:val="001D0B75"/>
    <w:rsid w:val="001D0E71"/>
    <w:rsid w:val="001D0FB5"/>
    <w:rsid w:val="001D1433"/>
    <w:rsid w:val="001D15A6"/>
    <w:rsid w:val="001D1910"/>
    <w:rsid w:val="001D28AB"/>
    <w:rsid w:val="001D2BE7"/>
    <w:rsid w:val="001D2E87"/>
    <w:rsid w:val="001D32DB"/>
    <w:rsid w:val="001D3494"/>
    <w:rsid w:val="001D39A5"/>
    <w:rsid w:val="001D3B20"/>
    <w:rsid w:val="001D3C09"/>
    <w:rsid w:val="001D44E8"/>
    <w:rsid w:val="001D547C"/>
    <w:rsid w:val="001D5B11"/>
    <w:rsid w:val="001D5C3A"/>
    <w:rsid w:val="001D5D05"/>
    <w:rsid w:val="001D5E15"/>
    <w:rsid w:val="001D60EC"/>
    <w:rsid w:val="001D6467"/>
    <w:rsid w:val="001D6F59"/>
    <w:rsid w:val="001D7360"/>
    <w:rsid w:val="001D74C0"/>
    <w:rsid w:val="001D757C"/>
    <w:rsid w:val="001D75D8"/>
    <w:rsid w:val="001D78A6"/>
    <w:rsid w:val="001D7AA5"/>
    <w:rsid w:val="001E0E02"/>
    <w:rsid w:val="001E207E"/>
    <w:rsid w:val="001E20D0"/>
    <w:rsid w:val="001E21D0"/>
    <w:rsid w:val="001E26BE"/>
    <w:rsid w:val="001E26D7"/>
    <w:rsid w:val="001E2E03"/>
    <w:rsid w:val="001E32ED"/>
    <w:rsid w:val="001E347F"/>
    <w:rsid w:val="001E367E"/>
    <w:rsid w:val="001E4351"/>
    <w:rsid w:val="001E44DF"/>
    <w:rsid w:val="001E466D"/>
    <w:rsid w:val="001E49B2"/>
    <w:rsid w:val="001E4BD7"/>
    <w:rsid w:val="001E4D3C"/>
    <w:rsid w:val="001E4E45"/>
    <w:rsid w:val="001E54C4"/>
    <w:rsid w:val="001E5808"/>
    <w:rsid w:val="001E5906"/>
    <w:rsid w:val="001E5A70"/>
    <w:rsid w:val="001E5DEE"/>
    <w:rsid w:val="001E60EC"/>
    <w:rsid w:val="001E666A"/>
    <w:rsid w:val="001E68A5"/>
    <w:rsid w:val="001E6959"/>
    <w:rsid w:val="001E6BB0"/>
    <w:rsid w:val="001E700C"/>
    <w:rsid w:val="001E71B0"/>
    <w:rsid w:val="001E7282"/>
    <w:rsid w:val="001E736D"/>
    <w:rsid w:val="001E745F"/>
    <w:rsid w:val="001E7567"/>
    <w:rsid w:val="001F0410"/>
    <w:rsid w:val="001F0BFF"/>
    <w:rsid w:val="001F13FE"/>
    <w:rsid w:val="001F180A"/>
    <w:rsid w:val="001F1A77"/>
    <w:rsid w:val="001F2D9E"/>
    <w:rsid w:val="001F3062"/>
    <w:rsid w:val="001F36E4"/>
    <w:rsid w:val="001F3826"/>
    <w:rsid w:val="001F4046"/>
    <w:rsid w:val="001F42E4"/>
    <w:rsid w:val="001F498C"/>
    <w:rsid w:val="001F4A1D"/>
    <w:rsid w:val="001F4D2F"/>
    <w:rsid w:val="001F5A8B"/>
    <w:rsid w:val="001F5F76"/>
    <w:rsid w:val="001F6000"/>
    <w:rsid w:val="001F6D68"/>
    <w:rsid w:val="001F6E46"/>
    <w:rsid w:val="001F6FB6"/>
    <w:rsid w:val="001F74C5"/>
    <w:rsid w:val="001F7C91"/>
    <w:rsid w:val="001F7EA4"/>
    <w:rsid w:val="00200199"/>
    <w:rsid w:val="00200427"/>
    <w:rsid w:val="00200982"/>
    <w:rsid w:val="00200F80"/>
    <w:rsid w:val="00201249"/>
    <w:rsid w:val="00201FF5"/>
    <w:rsid w:val="002021B3"/>
    <w:rsid w:val="0020230E"/>
    <w:rsid w:val="00202683"/>
    <w:rsid w:val="00202EBF"/>
    <w:rsid w:val="0020314F"/>
    <w:rsid w:val="0020315C"/>
    <w:rsid w:val="002033B7"/>
    <w:rsid w:val="00203C34"/>
    <w:rsid w:val="00204280"/>
    <w:rsid w:val="002044C1"/>
    <w:rsid w:val="002047DC"/>
    <w:rsid w:val="00204DED"/>
    <w:rsid w:val="00204F45"/>
    <w:rsid w:val="002051CF"/>
    <w:rsid w:val="0020526F"/>
    <w:rsid w:val="00205F33"/>
    <w:rsid w:val="00206085"/>
    <w:rsid w:val="00206110"/>
    <w:rsid w:val="00206463"/>
    <w:rsid w:val="002068F2"/>
    <w:rsid w:val="00206C77"/>
    <w:rsid w:val="00206CBA"/>
    <w:rsid w:val="00206F2F"/>
    <w:rsid w:val="00207037"/>
    <w:rsid w:val="002073D8"/>
    <w:rsid w:val="00207717"/>
    <w:rsid w:val="00210315"/>
    <w:rsid w:val="0021053D"/>
    <w:rsid w:val="002107DE"/>
    <w:rsid w:val="0021085F"/>
    <w:rsid w:val="00210A92"/>
    <w:rsid w:val="00212B95"/>
    <w:rsid w:val="00213706"/>
    <w:rsid w:val="00213976"/>
    <w:rsid w:val="00213AE9"/>
    <w:rsid w:val="00213E50"/>
    <w:rsid w:val="00213EA1"/>
    <w:rsid w:val="002146A9"/>
    <w:rsid w:val="00214B9D"/>
    <w:rsid w:val="00214E93"/>
    <w:rsid w:val="002152BA"/>
    <w:rsid w:val="002152F5"/>
    <w:rsid w:val="0021561A"/>
    <w:rsid w:val="002159E5"/>
    <w:rsid w:val="00215BDF"/>
    <w:rsid w:val="00215CC8"/>
    <w:rsid w:val="00215CFE"/>
    <w:rsid w:val="00215DCC"/>
    <w:rsid w:val="002163C1"/>
    <w:rsid w:val="002169B8"/>
    <w:rsid w:val="00216C03"/>
    <w:rsid w:val="0021751D"/>
    <w:rsid w:val="00220A1A"/>
    <w:rsid w:val="00220C04"/>
    <w:rsid w:val="00220EFA"/>
    <w:rsid w:val="00221328"/>
    <w:rsid w:val="0022150D"/>
    <w:rsid w:val="00221545"/>
    <w:rsid w:val="00221548"/>
    <w:rsid w:val="002215AB"/>
    <w:rsid w:val="0022188F"/>
    <w:rsid w:val="00221AC7"/>
    <w:rsid w:val="00221CFC"/>
    <w:rsid w:val="002221EE"/>
    <w:rsid w:val="0022278D"/>
    <w:rsid w:val="0022288F"/>
    <w:rsid w:val="00223043"/>
    <w:rsid w:val="00223749"/>
    <w:rsid w:val="002239C0"/>
    <w:rsid w:val="00223A4E"/>
    <w:rsid w:val="00223B16"/>
    <w:rsid w:val="00223D4D"/>
    <w:rsid w:val="00223D82"/>
    <w:rsid w:val="00224165"/>
    <w:rsid w:val="0022453A"/>
    <w:rsid w:val="002248D2"/>
    <w:rsid w:val="00224C8D"/>
    <w:rsid w:val="00224CDB"/>
    <w:rsid w:val="00224D83"/>
    <w:rsid w:val="00225465"/>
    <w:rsid w:val="0022580B"/>
    <w:rsid w:val="00225892"/>
    <w:rsid w:val="00225CE6"/>
    <w:rsid w:val="00225D00"/>
    <w:rsid w:val="00225D3E"/>
    <w:rsid w:val="00226313"/>
    <w:rsid w:val="00226E81"/>
    <w:rsid w:val="0022701F"/>
    <w:rsid w:val="00227535"/>
    <w:rsid w:val="002276A8"/>
    <w:rsid w:val="00227C68"/>
    <w:rsid w:val="00227D78"/>
    <w:rsid w:val="002300C7"/>
    <w:rsid w:val="002303E4"/>
    <w:rsid w:val="002306A6"/>
    <w:rsid w:val="00230D4C"/>
    <w:rsid w:val="00230FAB"/>
    <w:rsid w:val="00231211"/>
    <w:rsid w:val="002312D9"/>
    <w:rsid w:val="0023152F"/>
    <w:rsid w:val="00231CC2"/>
    <w:rsid w:val="00232230"/>
    <w:rsid w:val="00232270"/>
    <w:rsid w:val="00232307"/>
    <w:rsid w:val="00232979"/>
    <w:rsid w:val="00232ABE"/>
    <w:rsid w:val="00232EED"/>
    <w:rsid w:val="00233144"/>
    <w:rsid w:val="00233173"/>
    <w:rsid w:val="0023331A"/>
    <w:rsid w:val="002333D6"/>
    <w:rsid w:val="002333F5"/>
    <w:rsid w:val="00233724"/>
    <w:rsid w:val="002339BB"/>
    <w:rsid w:val="00233C66"/>
    <w:rsid w:val="0023430F"/>
    <w:rsid w:val="002345B8"/>
    <w:rsid w:val="00234ACA"/>
    <w:rsid w:val="00234C16"/>
    <w:rsid w:val="00235148"/>
    <w:rsid w:val="00235167"/>
    <w:rsid w:val="002352D6"/>
    <w:rsid w:val="002353FD"/>
    <w:rsid w:val="0023544C"/>
    <w:rsid w:val="00235608"/>
    <w:rsid w:val="00235BFC"/>
    <w:rsid w:val="00235EAD"/>
    <w:rsid w:val="00235FAA"/>
    <w:rsid w:val="002365B4"/>
    <w:rsid w:val="002365F3"/>
    <w:rsid w:val="002373F8"/>
    <w:rsid w:val="0023772A"/>
    <w:rsid w:val="002377CB"/>
    <w:rsid w:val="00237A5B"/>
    <w:rsid w:val="00240124"/>
    <w:rsid w:val="00240244"/>
    <w:rsid w:val="002415A0"/>
    <w:rsid w:val="002417CA"/>
    <w:rsid w:val="00241B5E"/>
    <w:rsid w:val="00241D8A"/>
    <w:rsid w:val="0024289E"/>
    <w:rsid w:val="00242C73"/>
    <w:rsid w:val="002432E1"/>
    <w:rsid w:val="00243382"/>
    <w:rsid w:val="00243E83"/>
    <w:rsid w:val="00244715"/>
    <w:rsid w:val="00244B70"/>
    <w:rsid w:val="00244D0E"/>
    <w:rsid w:val="00244E97"/>
    <w:rsid w:val="002451F3"/>
    <w:rsid w:val="00245BC8"/>
    <w:rsid w:val="00246207"/>
    <w:rsid w:val="00246C5E"/>
    <w:rsid w:val="00246D69"/>
    <w:rsid w:val="002470F9"/>
    <w:rsid w:val="00247498"/>
    <w:rsid w:val="00247590"/>
    <w:rsid w:val="002476F5"/>
    <w:rsid w:val="00247CDB"/>
    <w:rsid w:val="002504BB"/>
    <w:rsid w:val="00250960"/>
    <w:rsid w:val="00250B10"/>
    <w:rsid w:val="00251196"/>
    <w:rsid w:val="00251343"/>
    <w:rsid w:val="002515E3"/>
    <w:rsid w:val="00251AA2"/>
    <w:rsid w:val="00251F85"/>
    <w:rsid w:val="00252236"/>
    <w:rsid w:val="00252380"/>
    <w:rsid w:val="00252572"/>
    <w:rsid w:val="00252EC9"/>
    <w:rsid w:val="002536A4"/>
    <w:rsid w:val="00253E4C"/>
    <w:rsid w:val="0025411F"/>
    <w:rsid w:val="002541EF"/>
    <w:rsid w:val="00254B53"/>
    <w:rsid w:val="00254E19"/>
    <w:rsid w:val="00254F58"/>
    <w:rsid w:val="00254FD9"/>
    <w:rsid w:val="00255417"/>
    <w:rsid w:val="00255811"/>
    <w:rsid w:val="00255D87"/>
    <w:rsid w:val="00256963"/>
    <w:rsid w:val="00256D0E"/>
    <w:rsid w:val="00256F36"/>
    <w:rsid w:val="0025764F"/>
    <w:rsid w:val="0025769B"/>
    <w:rsid w:val="0026111E"/>
    <w:rsid w:val="00261289"/>
    <w:rsid w:val="00261764"/>
    <w:rsid w:val="002620BC"/>
    <w:rsid w:val="00262747"/>
    <w:rsid w:val="00262802"/>
    <w:rsid w:val="002629A4"/>
    <w:rsid w:val="002629D6"/>
    <w:rsid w:val="00263647"/>
    <w:rsid w:val="00263A90"/>
    <w:rsid w:val="00263B06"/>
    <w:rsid w:val="00263DE3"/>
    <w:rsid w:val="0026408B"/>
    <w:rsid w:val="00265444"/>
    <w:rsid w:val="002656C1"/>
    <w:rsid w:val="002657DE"/>
    <w:rsid w:val="00265B48"/>
    <w:rsid w:val="00266038"/>
    <w:rsid w:val="00266A09"/>
    <w:rsid w:val="00267092"/>
    <w:rsid w:val="0026714C"/>
    <w:rsid w:val="00267C3E"/>
    <w:rsid w:val="0027019C"/>
    <w:rsid w:val="00270858"/>
    <w:rsid w:val="002709BB"/>
    <w:rsid w:val="00270CD5"/>
    <w:rsid w:val="00270FA1"/>
    <w:rsid w:val="0027131C"/>
    <w:rsid w:val="00271F24"/>
    <w:rsid w:val="00272286"/>
    <w:rsid w:val="002724DA"/>
    <w:rsid w:val="00272561"/>
    <w:rsid w:val="00272588"/>
    <w:rsid w:val="00272707"/>
    <w:rsid w:val="002728E8"/>
    <w:rsid w:val="00272A49"/>
    <w:rsid w:val="00273534"/>
    <w:rsid w:val="00273B17"/>
    <w:rsid w:val="00273BAC"/>
    <w:rsid w:val="00273D4D"/>
    <w:rsid w:val="00273E69"/>
    <w:rsid w:val="00273F96"/>
    <w:rsid w:val="0027401C"/>
    <w:rsid w:val="00274287"/>
    <w:rsid w:val="0027428F"/>
    <w:rsid w:val="00274ADD"/>
    <w:rsid w:val="00275585"/>
    <w:rsid w:val="00275B05"/>
    <w:rsid w:val="002763B3"/>
    <w:rsid w:val="002765A1"/>
    <w:rsid w:val="00276C3F"/>
    <w:rsid w:val="00276CBF"/>
    <w:rsid w:val="00276DED"/>
    <w:rsid w:val="00276E75"/>
    <w:rsid w:val="002771D2"/>
    <w:rsid w:val="00277D9B"/>
    <w:rsid w:val="00280122"/>
    <w:rsid w:val="00280153"/>
    <w:rsid w:val="002802E3"/>
    <w:rsid w:val="0028043E"/>
    <w:rsid w:val="002804D1"/>
    <w:rsid w:val="002805A9"/>
    <w:rsid w:val="00280D16"/>
    <w:rsid w:val="00281276"/>
    <w:rsid w:val="0028156E"/>
    <w:rsid w:val="0028213D"/>
    <w:rsid w:val="002821D3"/>
    <w:rsid w:val="00282685"/>
    <w:rsid w:val="00282A1B"/>
    <w:rsid w:val="00282C46"/>
    <w:rsid w:val="00282DAA"/>
    <w:rsid w:val="002833E7"/>
    <w:rsid w:val="002848D1"/>
    <w:rsid w:val="00285655"/>
    <w:rsid w:val="002858E0"/>
    <w:rsid w:val="00285B03"/>
    <w:rsid w:val="002862F1"/>
    <w:rsid w:val="00286382"/>
    <w:rsid w:val="002864FE"/>
    <w:rsid w:val="002869DE"/>
    <w:rsid w:val="00286D5E"/>
    <w:rsid w:val="00286FA9"/>
    <w:rsid w:val="00290967"/>
    <w:rsid w:val="002910C2"/>
    <w:rsid w:val="002911E7"/>
    <w:rsid w:val="00291373"/>
    <w:rsid w:val="0029154E"/>
    <w:rsid w:val="00291952"/>
    <w:rsid w:val="00291BB5"/>
    <w:rsid w:val="0029207A"/>
    <w:rsid w:val="0029219E"/>
    <w:rsid w:val="00292605"/>
    <w:rsid w:val="00292B67"/>
    <w:rsid w:val="00293106"/>
    <w:rsid w:val="00293790"/>
    <w:rsid w:val="00293BD7"/>
    <w:rsid w:val="00294827"/>
    <w:rsid w:val="002949BA"/>
    <w:rsid w:val="00294F16"/>
    <w:rsid w:val="002954D4"/>
    <w:rsid w:val="00295914"/>
    <w:rsid w:val="0029597D"/>
    <w:rsid w:val="00295A71"/>
    <w:rsid w:val="00296286"/>
    <w:rsid w:val="002962C3"/>
    <w:rsid w:val="002963C1"/>
    <w:rsid w:val="00296616"/>
    <w:rsid w:val="002969BE"/>
    <w:rsid w:val="002972AA"/>
    <w:rsid w:val="0029752B"/>
    <w:rsid w:val="002A0120"/>
    <w:rsid w:val="002A0448"/>
    <w:rsid w:val="002A0A9C"/>
    <w:rsid w:val="002A0AB4"/>
    <w:rsid w:val="002A0EBD"/>
    <w:rsid w:val="002A11B0"/>
    <w:rsid w:val="002A1CE6"/>
    <w:rsid w:val="002A21CB"/>
    <w:rsid w:val="002A28D2"/>
    <w:rsid w:val="002A2AFC"/>
    <w:rsid w:val="002A2C2E"/>
    <w:rsid w:val="002A2F6E"/>
    <w:rsid w:val="002A3319"/>
    <w:rsid w:val="002A3AF6"/>
    <w:rsid w:val="002A415D"/>
    <w:rsid w:val="002A483C"/>
    <w:rsid w:val="002A4B3F"/>
    <w:rsid w:val="002A4E7A"/>
    <w:rsid w:val="002A4EA9"/>
    <w:rsid w:val="002A4F8C"/>
    <w:rsid w:val="002A52CE"/>
    <w:rsid w:val="002A55A4"/>
    <w:rsid w:val="002A55BC"/>
    <w:rsid w:val="002A57BF"/>
    <w:rsid w:val="002A5EFC"/>
    <w:rsid w:val="002A5F0A"/>
    <w:rsid w:val="002A6F8B"/>
    <w:rsid w:val="002A71FE"/>
    <w:rsid w:val="002A740C"/>
    <w:rsid w:val="002A7599"/>
    <w:rsid w:val="002A76E0"/>
    <w:rsid w:val="002B001C"/>
    <w:rsid w:val="002B08B0"/>
    <w:rsid w:val="002B0C7C"/>
    <w:rsid w:val="002B106A"/>
    <w:rsid w:val="002B12D1"/>
    <w:rsid w:val="002B1307"/>
    <w:rsid w:val="002B151C"/>
    <w:rsid w:val="002B1729"/>
    <w:rsid w:val="002B1889"/>
    <w:rsid w:val="002B199D"/>
    <w:rsid w:val="002B1D70"/>
    <w:rsid w:val="002B3592"/>
    <w:rsid w:val="002B36C7"/>
    <w:rsid w:val="002B37EE"/>
    <w:rsid w:val="002B3BA6"/>
    <w:rsid w:val="002B426B"/>
    <w:rsid w:val="002B4676"/>
    <w:rsid w:val="002B46A4"/>
    <w:rsid w:val="002B4DD4"/>
    <w:rsid w:val="002B4F5B"/>
    <w:rsid w:val="002B511E"/>
    <w:rsid w:val="002B5277"/>
    <w:rsid w:val="002B5375"/>
    <w:rsid w:val="002B561A"/>
    <w:rsid w:val="002B56DF"/>
    <w:rsid w:val="002B64A4"/>
    <w:rsid w:val="002B6756"/>
    <w:rsid w:val="002B70F1"/>
    <w:rsid w:val="002B731C"/>
    <w:rsid w:val="002B771E"/>
    <w:rsid w:val="002B77C1"/>
    <w:rsid w:val="002B785C"/>
    <w:rsid w:val="002B7E0F"/>
    <w:rsid w:val="002C0519"/>
    <w:rsid w:val="002C05E6"/>
    <w:rsid w:val="002C0E06"/>
    <w:rsid w:val="002C0ED7"/>
    <w:rsid w:val="002C14C3"/>
    <w:rsid w:val="002C16E2"/>
    <w:rsid w:val="002C16EE"/>
    <w:rsid w:val="002C1EE5"/>
    <w:rsid w:val="002C2022"/>
    <w:rsid w:val="002C24F9"/>
    <w:rsid w:val="002C2728"/>
    <w:rsid w:val="002C293D"/>
    <w:rsid w:val="002C2B9F"/>
    <w:rsid w:val="002C3AFE"/>
    <w:rsid w:val="002C3F04"/>
    <w:rsid w:val="002C405F"/>
    <w:rsid w:val="002C44ED"/>
    <w:rsid w:val="002C4A49"/>
    <w:rsid w:val="002C4A96"/>
    <w:rsid w:val="002C4C42"/>
    <w:rsid w:val="002C4F00"/>
    <w:rsid w:val="002C50B3"/>
    <w:rsid w:val="002C5B7C"/>
    <w:rsid w:val="002C5E35"/>
    <w:rsid w:val="002C63A3"/>
    <w:rsid w:val="002C7671"/>
    <w:rsid w:val="002D0134"/>
    <w:rsid w:val="002D1821"/>
    <w:rsid w:val="002D1A05"/>
    <w:rsid w:val="002D1E0D"/>
    <w:rsid w:val="002D2081"/>
    <w:rsid w:val="002D2690"/>
    <w:rsid w:val="002D2BEF"/>
    <w:rsid w:val="002D3A8A"/>
    <w:rsid w:val="002D411D"/>
    <w:rsid w:val="002D4C36"/>
    <w:rsid w:val="002D4E39"/>
    <w:rsid w:val="002D5006"/>
    <w:rsid w:val="002D5453"/>
    <w:rsid w:val="002D5591"/>
    <w:rsid w:val="002D5652"/>
    <w:rsid w:val="002D5D2D"/>
    <w:rsid w:val="002D6595"/>
    <w:rsid w:val="002D6649"/>
    <w:rsid w:val="002D6872"/>
    <w:rsid w:val="002D6EF0"/>
    <w:rsid w:val="002D721E"/>
    <w:rsid w:val="002D72C1"/>
    <w:rsid w:val="002D761B"/>
    <w:rsid w:val="002D779B"/>
    <w:rsid w:val="002D79E3"/>
    <w:rsid w:val="002D7C61"/>
    <w:rsid w:val="002D7FBE"/>
    <w:rsid w:val="002E01D0"/>
    <w:rsid w:val="002E085E"/>
    <w:rsid w:val="002E0C9F"/>
    <w:rsid w:val="002E10DC"/>
    <w:rsid w:val="002E128D"/>
    <w:rsid w:val="002E154B"/>
    <w:rsid w:val="002E161D"/>
    <w:rsid w:val="002E16AC"/>
    <w:rsid w:val="002E1876"/>
    <w:rsid w:val="002E1A5D"/>
    <w:rsid w:val="002E2184"/>
    <w:rsid w:val="002E28A2"/>
    <w:rsid w:val="002E2A61"/>
    <w:rsid w:val="002E3053"/>
    <w:rsid w:val="002E3100"/>
    <w:rsid w:val="002E34C9"/>
    <w:rsid w:val="002E3BF3"/>
    <w:rsid w:val="002E3DD8"/>
    <w:rsid w:val="002E3F1A"/>
    <w:rsid w:val="002E4600"/>
    <w:rsid w:val="002E48C7"/>
    <w:rsid w:val="002E4981"/>
    <w:rsid w:val="002E4DEA"/>
    <w:rsid w:val="002E4E14"/>
    <w:rsid w:val="002E57DD"/>
    <w:rsid w:val="002E6342"/>
    <w:rsid w:val="002E6C95"/>
    <w:rsid w:val="002E7C36"/>
    <w:rsid w:val="002E7F5B"/>
    <w:rsid w:val="002F03F6"/>
    <w:rsid w:val="002F09DA"/>
    <w:rsid w:val="002F12F3"/>
    <w:rsid w:val="002F17F1"/>
    <w:rsid w:val="002F1870"/>
    <w:rsid w:val="002F19F1"/>
    <w:rsid w:val="002F1C4F"/>
    <w:rsid w:val="002F2955"/>
    <w:rsid w:val="002F29A7"/>
    <w:rsid w:val="002F2B9D"/>
    <w:rsid w:val="002F2BC2"/>
    <w:rsid w:val="002F2FF9"/>
    <w:rsid w:val="002F3435"/>
    <w:rsid w:val="002F3832"/>
    <w:rsid w:val="002F3B74"/>
    <w:rsid w:val="002F3D32"/>
    <w:rsid w:val="002F4A24"/>
    <w:rsid w:val="002F51DE"/>
    <w:rsid w:val="002F56EE"/>
    <w:rsid w:val="002F5902"/>
    <w:rsid w:val="002F5A2C"/>
    <w:rsid w:val="002F5A6E"/>
    <w:rsid w:val="002F5DCB"/>
    <w:rsid w:val="002F5F31"/>
    <w:rsid w:val="002F5F46"/>
    <w:rsid w:val="002F6346"/>
    <w:rsid w:val="002F6E75"/>
    <w:rsid w:val="002F7271"/>
    <w:rsid w:val="002F7AB1"/>
    <w:rsid w:val="002F7D65"/>
    <w:rsid w:val="0030008D"/>
    <w:rsid w:val="00300627"/>
    <w:rsid w:val="003007B5"/>
    <w:rsid w:val="003018D2"/>
    <w:rsid w:val="00301A7E"/>
    <w:rsid w:val="00301BAE"/>
    <w:rsid w:val="00302216"/>
    <w:rsid w:val="003031BA"/>
    <w:rsid w:val="00303265"/>
    <w:rsid w:val="00303CE8"/>
    <w:rsid w:val="00303D0E"/>
    <w:rsid w:val="00303E53"/>
    <w:rsid w:val="003042CE"/>
    <w:rsid w:val="00304956"/>
    <w:rsid w:val="00304B3C"/>
    <w:rsid w:val="003059B7"/>
    <w:rsid w:val="00305C15"/>
    <w:rsid w:val="00305C5C"/>
    <w:rsid w:val="00305CC1"/>
    <w:rsid w:val="00306498"/>
    <w:rsid w:val="003065C5"/>
    <w:rsid w:val="00306E5F"/>
    <w:rsid w:val="003071F0"/>
    <w:rsid w:val="003075EC"/>
    <w:rsid w:val="00307AE8"/>
    <w:rsid w:val="00307B4B"/>
    <w:rsid w:val="00307B6B"/>
    <w:rsid w:val="00307B8F"/>
    <w:rsid w:val="00307DEB"/>
    <w:rsid w:val="00307E14"/>
    <w:rsid w:val="00310657"/>
    <w:rsid w:val="00310670"/>
    <w:rsid w:val="0031293B"/>
    <w:rsid w:val="00313458"/>
    <w:rsid w:val="00313901"/>
    <w:rsid w:val="00313A05"/>
    <w:rsid w:val="00313BEA"/>
    <w:rsid w:val="00314054"/>
    <w:rsid w:val="0031459C"/>
    <w:rsid w:val="0031479E"/>
    <w:rsid w:val="00314968"/>
    <w:rsid w:val="00315091"/>
    <w:rsid w:val="00315859"/>
    <w:rsid w:val="00315B79"/>
    <w:rsid w:val="003164C1"/>
    <w:rsid w:val="003168DC"/>
    <w:rsid w:val="003168F4"/>
    <w:rsid w:val="00316D8C"/>
    <w:rsid w:val="00316F27"/>
    <w:rsid w:val="0031704F"/>
    <w:rsid w:val="00320241"/>
    <w:rsid w:val="00320460"/>
    <w:rsid w:val="0032081E"/>
    <w:rsid w:val="00321078"/>
    <w:rsid w:val="00321080"/>
    <w:rsid w:val="00321324"/>
    <w:rsid w:val="0032141F"/>
    <w:rsid w:val="003214F1"/>
    <w:rsid w:val="003217E5"/>
    <w:rsid w:val="00322272"/>
    <w:rsid w:val="00322513"/>
    <w:rsid w:val="003228F0"/>
    <w:rsid w:val="00322C3A"/>
    <w:rsid w:val="00322E4B"/>
    <w:rsid w:val="00323E39"/>
    <w:rsid w:val="00324468"/>
    <w:rsid w:val="00324517"/>
    <w:rsid w:val="00324C6F"/>
    <w:rsid w:val="00324CDA"/>
    <w:rsid w:val="0032543D"/>
    <w:rsid w:val="0032576E"/>
    <w:rsid w:val="003258CE"/>
    <w:rsid w:val="0032592A"/>
    <w:rsid w:val="00326081"/>
    <w:rsid w:val="003261B8"/>
    <w:rsid w:val="00326336"/>
    <w:rsid w:val="00326A73"/>
    <w:rsid w:val="00326F63"/>
    <w:rsid w:val="00327870"/>
    <w:rsid w:val="00327929"/>
    <w:rsid w:val="00327E8D"/>
    <w:rsid w:val="00330AD5"/>
    <w:rsid w:val="00331188"/>
    <w:rsid w:val="0033144A"/>
    <w:rsid w:val="003318AF"/>
    <w:rsid w:val="00331EA6"/>
    <w:rsid w:val="00331ED7"/>
    <w:rsid w:val="003320F5"/>
    <w:rsid w:val="0033221B"/>
    <w:rsid w:val="003322FC"/>
    <w:rsid w:val="0033259D"/>
    <w:rsid w:val="00332A5F"/>
    <w:rsid w:val="00332E5C"/>
    <w:rsid w:val="0033308C"/>
    <w:rsid w:val="003333D2"/>
    <w:rsid w:val="003336EF"/>
    <w:rsid w:val="003337B8"/>
    <w:rsid w:val="00333869"/>
    <w:rsid w:val="003339EF"/>
    <w:rsid w:val="00333B41"/>
    <w:rsid w:val="00333BC7"/>
    <w:rsid w:val="00333D57"/>
    <w:rsid w:val="00333DC8"/>
    <w:rsid w:val="00334686"/>
    <w:rsid w:val="0033480F"/>
    <w:rsid w:val="003348FB"/>
    <w:rsid w:val="0033490F"/>
    <w:rsid w:val="00334F0B"/>
    <w:rsid w:val="0033557B"/>
    <w:rsid w:val="00335BE3"/>
    <w:rsid w:val="0033628A"/>
    <w:rsid w:val="00337339"/>
    <w:rsid w:val="00337B77"/>
    <w:rsid w:val="003400F6"/>
    <w:rsid w:val="00340345"/>
    <w:rsid w:val="003406C6"/>
    <w:rsid w:val="003407FB"/>
    <w:rsid w:val="00340CFA"/>
    <w:rsid w:val="003410E1"/>
    <w:rsid w:val="003411E6"/>
    <w:rsid w:val="0034169E"/>
    <w:rsid w:val="003418CC"/>
    <w:rsid w:val="003426A8"/>
    <w:rsid w:val="00342C7D"/>
    <w:rsid w:val="003434EE"/>
    <w:rsid w:val="003439A6"/>
    <w:rsid w:val="003445F3"/>
    <w:rsid w:val="0034469B"/>
    <w:rsid w:val="00344790"/>
    <w:rsid w:val="00344D0B"/>
    <w:rsid w:val="003452B4"/>
    <w:rsid w:val="003455B4"/>
    <w:rsid w:val="003455DE"/>
    <w:rsid w:val="003457B8"/>
    <w:rsid w:val="003459BD"/>
    <w:rsid w:val="00345FEE"/>
    <w:rsid w:val="003461D1"/>
    <w:rsid w:val="003465AF"/>
    <w:rsid w:val="003472EE"/>
    <w:rsid w:val="003476BC"/>
    <w:rsid w:val="00347BB4"/>
    <w:rsid w:val="00347BF9"/>
    <w:rsid w:val="00347F09"/>
    <w:rsid w:val="003501C8"/>
    <w:rsid w:val="00350805"/>
    <w:rsid w:val="003508DE"/>
    <w:rsid w:val="00350C8A"/>
    <w:rsid w:val="00350D38"/>
    <w:rsid w:val="00350F3A"/>
    <w:rsid w:val="00351526"/>
    <w:rsid w:val="00351660"/>
    <w:rsid w:val="00351B36"/>
    <w:rsid w:val="00351B67"/>
    <w:rsid w:val="0035236D"/>
    <w:rsid w:val="00352D77"/>
    <w:rsid w:val="00352F59"/>
    <w:rsid w:val="00353080"/>
    <w:rsid w:val="0035326F"/>
    <w:rsid w:val="00353B3A"/>
    <w:rsid w:val="0035418D"/>
    <w:rsid w:val="003546D1"/>
    <w:rsid w:val="00354C5F"/>
    <w:rsid w:val="00354D26"/>
    <w:rsid w:val="00354FA2"/>
    <w:rsid w:val="0035506E"/>
    <w:rsid w:val="003554DF"/>
    <w:rsid w:val="00355DD8"/>
    <w:rsid w:val="00355EEA"/>
    <w:rsid w:val="00356877"/>
    <w:rsid w:val="00356B3B"/>
    <w:rsid w:val="003572F9"/>
    <w:rsid w:val="003575D6"/>
    <w:rsid w:val="0035767E"/>
    <w:rsid w:val="00357B4E"/>
    <w:rsid w:val="00357C15"/>
    <w:rsid w:val="00357CDE"/>
    <w:rsid w:val="00357D96"/>
    <w:rsid w:val="00360165"/>
    <w:rsid w:val="00360455"/>
    <w:rsid w:val="00361261"/>
    <w:rsid w:val="00361A14"/>
    <w:rsid w:val="00361D03"/>
    <w:rsid w:val="003621C6"/>
    <w:rsid w:val="0036230D"/>
    <w:rsid w:val="00362710"/>
    <w:rsid w:val="00363513"/>
    <w:rsid w:val="00364843"/>
    <w:rsid w:val="00364C4D"/>
    <w:rsid w:val="00364FAF"/>
    <w:rsid w:val="003650FA"/>
    <w:rsid w:val="00365262"/>
    <w:rsid w:val="003657F3"/>
    <w:rsid w:val="0036725F"/>
    <w:rsid w:val="003677B0"/>
    <w:rsid w:val="0036789C"/>
    <w:rsid w:val="00367C83"/>
    <w:rsid w:val="00367FD5"/>
    <w:rsid w:val="003716FD"/>
    <w:rsid w:val="0037204B"/>
    <w:rsid w:val="00372D5C"/>
    <w:rsid w:val="00373460"/>
    <w:rsid w:val="003734F2"/>
    <w:rsid w:val="00373998"/>
    <w:rsid w:val="00373C5E"/>
    <w:rsid w:val="003740C1"/>
    <w:rsid w:val="003744CF"/>
    <w:rsid w:val="00374717"/>
    <w:rsid w:val="00374B2C"/>
    <w:rsid w:val="00374E16"/>
    <w:rsid w:val="00374F8C"/>
    <w:rsid w:val="003758B6"/>
    <w:rsid w:val="00375AB7"/>
    <w:rsid w:val="003760CA"/>
    <w:rsid w:val="0037676C"/>
    <w:rsid w:val="003774A0"/>
    <w:rsid w:val="00377AD3"/>
    <w:rsid w:val="00377F5C"/>
    <w:rsid w:val="00380526"/>
    <w:rsid w:val="0038058F"/>
    <w:rsid w:val="003806F6"/>
    <w:rsid w:val="00380E83"/>
    <w:rsid w:val="00380F95"/>
    <w:rsid w:val="00381043"/>
    <w:rsid w:val="00381358"/>
    <w:rsid w:val="003813E9"/>
    <w:rsid w:val="003814CF"/>
    <w:rsid w:val="003824D8"/>
    <w:rsid w:val="003827AB"/>
    <w:rsid w:val="003827E5"/>
    <w:rsid w:val="00382966"/>
    <w:rsid w:val="003829E5"/>
    <w:rsid w:val="00382C78"/>
    <w:rsid w:val="00383A73"/>
    <w:rsid w:val="00383D1B"/>
    <w:rsid w:val="00384193"/>
    <w:rsid w:val="00384438"/>
    <w:rsid w:val="0038451F"/>
    <w:rsid w:val="00384EE2"/>
    <w:rsid w:val="0038501E"/>
    <w:rsid w:val="0038516B"/>
    <w:rsid w:val="00385201"/>
    <w:rsid w:val="003853CC"/>
    <w:rsid w:val="00385E58"/>
    <w:rsid w:val="00385F1A"/>
    <w:rsid w:val="00386109"/>
    <w:rsid w:val="00386944"/>
    <w:rsid w:val="00386B0C"/>
    <w:rsid w:val="00386DB8"/>
    <w:rsid w:val="003870E6"/>
    <w:rsid w:val="003874C0"/>
    <w:rsid w:val="00387993"/>
    <w:rsid w:val="0039037C"/>
    <w:rsid w:val="003915D1"/>
    <w:rsid w:val="003915E4"/>
    <w:rsid w:val="003917A3"/>
    <w:rsid w:val="00391E5E"/>
    <w:rsid w:val="0039251D"/>
    <w:rsid w:val="00392BE1"/>
    <w:rsid w:val="003930CD"/>
    <w:rsid w:val="00393920"/>
    <w:rsid w:val="00394939"/>
    <w:rsid w:val="00395009"/>
    <w:rsid w:val="003956CC"/>
    <w:rsid w:val="00395C9A"/>
    <w:rsid w:val="00395E6B"/>
    <w:rsid w:val="00396765"/>
    <w:rsid w:val="00396DD4"/>
    <w:rsid w:val="00396F7F"/>
    <w:rsid w:val="003972E0"/>
    <w:rsid w:val="00397978"/>
    <w:rsid w:val="003979E3"/>
    <w:rsid w:val="003A0095"/>
    <w:rsid w:val="003A015A"/>
    <w:rsid w:val="003A0225"/>
    <w:rsid w:val="003A0246"/>
    <w:rsid w:val="003A0853"/>
    <w:rsid w:val="003A1A73"/>
    <w:rsid w:val="003A1C01"/>
    <w:rsid w:val="003A263D"/>
    <w:rsid w:val="003A26DC"/>
    <w:rsid w:val="003A44DB"/>
    <w:rsid w:val="003A5EA8"/>
    <w:rsid w:val="003A5F06"/>
    <w:rsid w:val="003A67AE"/>
    <w:rsid w:val="003A6B67"/>
    <w:rsid w:val="003A745C"/>
    <w:rsid w:val="003B03F1"/>
    <w:rsid w:val="003B0ECF"/>
    <w:rsid w:val="003B13AC"/>
    <w:rsid w:val="003B13B6"/>
    <w:rsid w:val="003B14C3"/>
    <w:rsid w:val="003B15E6"/>
    <w:rsid w:val="003B1653"/>
    <w:rsid w:val="003B1A91"/>
    <w:rsid w:val="003B21A3"/>
    <w:rsid w:val="003B22EF"/>
    <w:rsid w:val="003B24F5"/>
    <w:rsid w:val="003B2B24"/>
    <w:rsid w:val="003B340F"/>
    <w:rsid w:val="003B346C"/>
    <w:rsid w:val="003B3CCF"/>
    <w:rsid w:val="003B3D5A"/>
    <w:rsid w:val="003B408A"/>
    <w:rsid w:val="003B415D"/>
    <w:rsid w:val="003B434A"/>
    <w:rsid w:val="003B4A9D"/>
    <w:rsid w:val="003B4EA1"/>
    <w:rsid w:val="003B5229"/>
    <w:rsid w:val="003B52C0"/>
    <w:rsid w:val="003B555C"/>
    <w:rsid w:val="003B5591"/>
    <w:rsid w:val="003B5A49"/>
    <w:rsid w:val="003B5BF1"/>
    <w:rsid w:val="003B5CD5"/>
    <w:rsid w:val="003B60D8"/>
    <w:rsid w:val="003B6243"/>
    <w:rsid w:val="003B69A7"/>
    <w:rsid w:val="003B6B36"/>
    <w:rsid w:val="003B6E07"/>
    <w:rsid w:val="003B6F9B"/>
    <w:rsid w:val="003B7173"/>
    <w:rsid w:val="003B7315"/>
    <w:rsid w:val="003B7441"/>
    <w:rsid w:val="003B7597"/>
    <w:rsid w:val="003B75F5"/>
    <w:rsid w:val="003C047F"/>
    <w:rsid w:val="003C08A2"/>
    <w:rsid w:val="003C0CE5"/>
    <w:rsid w:val="003C0E29"/>
    <w:rsid w:val="003C18D8"/>
    <w:rsid w:val="003C1959"/>
    <w:rsid w:val="003C1D62"/>
    <w:rsid w:val="003C2045"/>
    <w:rsid w:val="003C2656"/>
    <w:rsid w:val="003C2DAF"/>
    <w:rsid w:val="003C3298"/>
    <w:rsid w:val="003C3AA9"/>
    <w:rsid w:val="003C404B"/>
    <w:rsid w:val="003C43A1"/>
    <w:rsid w:val="003C4849"/>
    <w:rsid w:val="003C4FC0"/>
    <w:rsid w:val="003C55F4"/>
    <w:rsid w:val="003C5929"/>
    <w:rsid w:val="003C5AE8"/>
    <w:rsid w:val="003C64F7"/>
    <w:rsid w:val="003C6580"/>
    <w:rsid w:val="003C662C"/>
    <w:rsid w:val="003C7513"/>
    <w:rsid w:val="003C7897"/>
    <w:rsid w:val="003C7A3F"/>
    <w:rsid w:val="003D0A9F"/>
    <w:rsid w:val="003D1008"/>
    <w:rsid w:val="003D1186"/>
    <w:rsid w:val="003D14E3"/>
    <w:rsid w:val="003D1A81"/>
    <w:rsid w:val="003D1CFE"/>
    <w:rsid w:val="003D1DB6"/>
    <w:rsid w:val="003D2766"/>
    <w:rsid w:val="003D2A74"/>
    <w:rsid w:val="003D2A9F"/>
    <w:rsid w:val="003D3D88"/>
    <w:rsid w:val="003D3E8F"/>
    <w:rsid w:val="003D4C27"/>
    <w:rsid w:val="003D53AD"/>
    <w:rsid w:val="003D5961"/>
    <w:rsid w:val="003D5B01"/>
    <w:rsid w:val="003D6475"/>
    <w:rsid w:val="003D6EE6"/>
    <w:rsid w:val="003D7135"/>
    <w:rsid w:val="003D7207"/>
    <w:rsid w:val="003D725E"/>
    <w:rsid w:val="003D7933"/>
    <w:rsid w:val="003D7A00"/>
    <w:rsid w:val="003D7A27"/>
    <w:rsid w:val="003E006E"/>
    <w:rsid w:val="003E00A7"/>
    <w:rsid w:val="003E0554"/>
    <w:rsid w:val="003E0A37"/>
    <w:rsid w:val="003E0FB1"/>
    <w:rsid w:val="003E2714"/>
    <w:rsid w:val="003E2FC5"/>
    <w:rsid w:val="003E3312"/>
    <w:rsid w:val="003E357B"/>
    <w:rsid w:val="003E375C"/>
    <w:rsid w:val="003E3967"/>
    <w:rsid w:val="003E4086"/>
    <w:rsid w:val="003E46A6"/>
    <w:rsid w:val="003E5058"/>
    <w:rsid w:val="003E553C"/>
    <w:rsid w:val="003E5611"/>
    <w:rsid w:val="003E5C28"/>
    <w:rsid w:val="003E639E"/>
    <w:rsid w:val="003E690B"/>
    <w:rsid w:val="003E6BD4"/>
    <w:rsid w:val="003E6CBE"/>
    <w:rsid w:val="003E71E5"/>
    <w:rsid w:val="003E74BA"/>
    <w:rsid w:val="003E74C0"/>
    <w:rsid w:val="003E7734"/>
    <w:rsid w:val="003E7995"/>
    <w:rsid w:val="003E7D2B"/>
    <w:rsid w:val="003F03A1"/>
    <w:rsid w:val="003F0445"/>
    <w:rsid w:val="003F0875"/>
    <w:rsid w:val="003F0C75"/>
    <w:rsid w:val="003F0CF0"/>
    <w:rsid w:val="003F0E42"/>
    <w:rsid w:val="003F14B1"/>
    <w:rsid w:val="003F15F4"/>
    <w:rsid w:val="003F18A4"/>
    <w:rsid w:val="003F18B1"/>
    <w:rsid w:val="003F192D"/>
    <w:rsid w:val="003F27C0"/>
    <w:rsid w:val="003F2A54"/>
    <w:rsid w:val="003F2B20"/>
    <w:rsid w:val="003F31DF"/>
    <w:rsid w:val="003F3240"/>
    <w:rsid w:val="003F3289"/>
    <w:rsid w:val="003F3395"/>
    <w:rsid w:val="003F3B3C"/>
    <w:rsid w:val="003F3C62"/>
    <w:rsid w:val="003F3DE1"/>
    <w:rsid w:val="003F44B3"/>
    <w:rsid w:val="003F4A44"/>
    <w:rsid w:val="003F4A9D"/>
    <w:rsid w:val="003F4C82"/>
    <w:rsid w:val="003F53B9"/>
    <w:rsid w:val="003F54E8"/>
    <w:rsid w:val="003F5B85"/>
    <w:rsid w:val="003F5CB7"/>
    <w:rsid w:val="003F5CB9"/>
    <w:rsid w:val="003F74B8"/>
    <w:rsid w:val="003F78DC"/>
    <w:rsid w:val="0040080C"/>
    <w:rsid w:val="0040114A"/>
    <w:rsid w:val="004013C7"/>
    <w:rsid w:val="004015F2"/>
    <w:rsid w:val="0040171A"/>
    <w:rsid w:val="00401FCF"/>
    <w:rsid w:val="0040214F"/>
    <w:rsid w:val="00402469"/>
    <w:rsid w:val="00402765"/>
    <w:rsid w:val="004029CF"/>
    <w:rsid w:val="00403703"/>
    <w:rsid w:val="00403723"/>
    <w:rsid w:val="00403EF4"/>
    <w:rsid w:val="00404069"/>
    <w:rsid w:val="00404565"/>
    <w:rsid w:val="00404A20"/>
    <w:rsid w:val="00404E34"/>
    <w:rsid w:val="0040505C"/>
    <w:rsid w:val="004050E6"/>
    <w:rsid w:val="00405124"/>
    <w:rsid w:val="00405AA3"/>
    <w:rsid w:val="00406285"/>
    <w:rsid w:val="00406594"/>
    <w:rsid w:val="004065C1"/>
    <w:rsid w:val="004067DC"/>
    <w:rsid w:val="0040689A"/>
    <w:rsid w:val="00406D26"/>
    <w:rsid w:val="00407962"/>
    <w:rsid w:val="00410630"/>
    <w:rsid w:val="004108CD"/>
    <w:rsid w:val="004109A6"/>
    <w:rsid w:val="00410B20"/>
    <w:rsid w:val="00410B4A"/>
    <w:rsid w:val="0041124D"/>
    <w:rsid w:val="0041153C"/>
    <w:rsid w:val="00412633"/>
    <w:rsid w:val="00412902"/>
    <w:rsid w:val="004129B1"/>
    <w:rsid w:val="00412B66"/>
    <w:rsid w:val="00412C67"/>
    <w:rsid w:val="00413107"/>
    <w:rsid w:val="004132DB"/>
    <w:rsid w:val="0041395D"/>
    <w:rsid w:val="00413994"/>
    <w:rsid w:val="00414327"/>
    <w:rsid w:val="00414675"/>
    <w:rsid w:val="004148F9"/>
    <w:rsid w:val="00414A10"/>
    <w:rsid w:val="004152C3"/>
    <w:rsid w:val="0041604F"/>
    <w:rsid w:val="00416371"/>
    <w:rsid w:val="004165BD"/>
    <w:rsid w:val="0041682F"/>
    <w:rsid w:val="004168EB"/>
    <w:rsid w:val="0041709E"/>
    <w:rsid w:val="004170A7"/>
    <w:rsid w:val="00417642"/>
    <w:rsid w:val="004178B1"/>
    <w:rsid w:val="00417F9F"/>
    <w:rsid w:val="00420054"/>
    <w:rsid w:val="0042036A"/>
    <w:rsid w:val="004207D4"/>
    <w:rsid w:val="0042084E"/>
    <w:rsid w:val="004209DA"/>
    <w:rsid w:val="004213C8"/>
    <w:rsid w:val="00421EEF"/>
    <w:rsid w:val="00421FFB"/>
    <w:rsid w:val="0042246B"/>
    <w:rsid w:val="004228BF"/>
    <w:rsid w:val="00422B1F"/>
    <w:rsid w:val="00422E7F"/>
    <w:rsid w:val="00423D3F"/>
    <w:rsid w:val="0042405F"/>
    <w:rsid w:val="0042448A"/>
    <w:rsid w:val="00424632"/>
    <w:rsid w:val="00424A16"/>
    <w:rsid w:val="00424D65"/>
    <w:rsid w:val="00424F7A"/>
    <w:rsid w:val="004252AA"/>
    <w:rsid w:val="004256D6"/>
    <w:rsid w:val="004260D9"/>
    <w:rsid w:val="004265D0"/>
    <w:rsid w:val="00426786"/>
    <w:rsid w:val="004269EE"/>
    <w:rsid w:val="00426A31"/>
    <w:rsid w:val="004271A8"/>
    <w:rsid w:val="00427A85"/>
    <w:rsid w:val="00427F7F"/>
    <w:rsid w:val="00430023"/>
    <w:rsid w:val="00430393"/>
    <w:rsid w:val="0043046F"/>
    <w:rsid w:val="004306BF"/>
    <w:rsid w:val="004310D8"/>
    <w:rsid w:val="0043122A"/>
    <w:rsid w:val="00431264"/>
    <w:rsid w:val="004316F7"/>
    <w:rsid w:val="00431738"/>
    <w:rsid w:val="00431806"/>
    <w:rsid w:val="00431870"/>
    <w:rsid w:val="004319B6"/>
    <w:rsid w:val="00431A70"/>
    <w:rsid w:val="00431AE2"/>
    <w:rsid w:val="00431B6D"/>
    <w:rsid w:val="00431C84"/>
    <w:rsid w:val="00431F42"/>
    <w:rsid w:val="00432006"/>
    <w:rsid w:val="0043210B"/>
    <w:rsid w:val="00432532"/>
    <w:rsid w:val="00432860"/>
    <w:rsid w:val="00433228"/>
    <w:rsid w:val="00433462"/>
    <w:rsid w:val="004337FE"/>
    <w:rsid w:val="00433944"/>
    <w:rsid w:val="00433CC2"/>
    <w:rsid w:val="00434127"/>
    <w:rsid w:val="004345A9"/>
    <w:rsid w:val="00434EDB"/>
    <w:rsid w:val="00434EF3"/>
    <w:rsid w:val="004353D3"/>
    <w:rsid w:val="00435416"/>
    <w:rsid w:val="004356BA"/>
    <w:rsid w:val="00435890"/>
    <w:rsid w:val="00435D92"/>
    <w:rsid w:val="00435DFD"/>
    <w:rsid w:val="004365D4"/>
    <w:rsid w:val="00436848"/>
    <w:rsid w:val="004369A4"/>
    <w:rsid w:val="00436A48"/>
    <w:rsid w:val="004374B1"/>
    <w:rsid w:val="00440365"/>
    <w:rsid w:val="00442B11"/>
    <w:rsid w:val="00442C6C"/>
    <w:rsid w:val="0044342C"/>
    <w:rsid w:val="0044380D"/>
    <w:rsid w:val="00443A7A"/>
    <w:rsid w:val="00443CBE"/>
    <w:rsid w:val="00443E8A"/>
    <w:rsid w:val="004441BC"/>
    <w:rsid w:val="00444450"/>
    <w:rsid w:val="00444857"/>
    <w:rsid w:val="00445746"/>
    <w:rsid w:val="00445C7D"/>
    <w:rsid w:val="00445DF8"/>
    <w:rsid w:val="00445E32"/>
    <w:rsid w:val="004468AC"/>
    <w:rsid w:val="004468B4"/>
    <w:rsid w:val="00446B8A"/>
    <w:rsid w:val="00446D86"/>
    <w:rsid w:val="00446DC2"/>
    <w:rsid w:val="00446EF9"/>
    <w:rsid w:val="00446F52"/>
    <w:rsid w:val="00447150"/>
    <w:rsid w:val="00447836"/>
    <w:rsid w:val="00447FE4"/>
    <w:rsid w:val="004500A4"/>
    <w:rsid w:val="00450548"/>
    <w:rsid w:val="004505B0"/>
    <w:rsid w:val="004505BB"/>
    <w:rsid w:val="00450963"/>
    <w:rsid w:val="00450D3A"/>
    <w:rsid w:val="00451474"/>
    <w:rsid w:val="004517BA"/>
    <w:rsid w:val="004517E2"/>
    <w:rsid w:val="0045204C"/>
    <w:rsid w:val="0045230A"/>
    <w:rsid w:val="004525B9"/>
    <w:rsid w:val="004526B7"/>
    <w:rsid w:val="00452A4F"/>
    <w:rsid w:val="00452EDA"/>
    <w:rsid w:val="00453154"/>
    <w:rsid w:val="004535E0"/>
    <w:rsid w:val="004536A1"/>
    <w:rsid w:val="00453930"/>
    <w:rsid w:val="00453B15"/>
    <w:rsid w:val="004540EA"/>
    <w:rsid w:val="0045459F"/>
    <w:rsid w:val="00454719"/>
    <w:rsid w:val="004548FB"/>
    <w:rsid w:val="00454AD0"/>
    <w:rsid w:val="00454C8D"/>
    <w:rsid w:val="004550E7"/>
    <w:rsid w:val="00455358"/>
    <w:rsid w:val="004555E8"/>
    <w:rsid w:val="004557A2"/>
    <w:rsid w:val="0045629D"/>
    <w:rsid w:val="00456A52"/>
    <w:rsid w:val="00457337"/>
    <w:rsid w:val="0045796F"/>
    <w:rsid w:val="00457B4A"/>
    <w:rsid w:val="0046093F"/>
    <w:rsid w:val="00460BDB"/>
    <w:rsid w:val="00461289"/>
    <w:rsid w:val="004614E1"/>
    <w:rsid w:val="004616B8"/>
    <w:rsid w:val="00461D82"/>
    <w:rsid w:val="004623EA"/>
    <w:rsid w:val="00462470"/>
    <w:rsid w:val="00462C13"/>
    <w:rsid w:val="00462E3D"/>
    <w:rsid w:val="00463C35"/>
    <w:rsid w:val="0046477F"/>
    <w:rsid w:val="004653D4"/>
    <w:rsid w:val="00465FA1"/>
    <w:rsid w:val="00465FB2"/>
    <w:rsid w:val="004660D9"/>
    <w:rsid w:val="00466A1A"/>
    <w:rsid w:val="00466D25"/>
    <w:rsid w:val="00466E79"/>
    <w:rsid w:val="004670EB"/>
    <w:rsid w:val="00467B90"/>
    <w:rsid w:val="00467F0C"/>
    <w:rsid w:val="0047032E"/>
    <w:rsid w:val="004706B7"/>
    <w:rsid w:val="00470D7D"/>
    <w:rsid w:val="00471335"/>
    <w:rsid w:val="00471357"/>
    <w:rsid w:val="00471523"/>
    <w:rsid w:val="004716B7"/>
    <w:rsid w:val="00472769"/>
    <w:rsid w:val="00472792"/>
    <w:rsid w:val="00472BF0"/>
    <w:rsid w:val="004733BB"/>
    <w:rsid w:val="0047372D"/>
    <w:rsid w:val="00473BA3"/>
    <w:rsid w:val="00473BB0"/>
    <w:rsid w:val="004741CC"/>
    <w:rsid w:val="004743DD"/>
    <w:rsid w:val="00474B37"/>
    <w:rsid w:val="00474BCC"/>
    <w:rsid w:val="00474CEA"/>
    <w:rsid w:val="00475070"/>
    <w:rsid w:val="004751A4"/>
    <w:rsid w:val="00475278"/>
    <w:rsid w:val="00475A85"/>
    <w:rsid w:val="00475EAA"/>
    <w:rsid w:val="00476055"/>
    <w:rsid w:val="00476945"/>
    <w:rsid w:val="004769F0"/>
    <w:rsid w:val="00476AA8"/>
    <w:rsid w:val="004770C0"/>
    <w:rsid w:val="00477262"/>
    <w:rsid w:val="00477610"/>
    <w:rsid w:val="00477654"/>
    <w:rsid w:val="0048036A"/>
    <w:rsid w:val="004819C0"/>
    <w:rsid w:val="00481D15"/>
    <w:rsid w:val="00481EDF"/>
    <w:rsid w:val="00482091"/>
    <w:rsid w:val="00483968"/>
    <w:rsid w:val="004841BE"/>
    <w:rsid w:val="0048435C"/>
    <w:rsid w:val="00484F86"/>
    <w:rsid w:val="00485ED3"/>
    <w:rsid w:val="004861BD"/>
    <w:rsid w:val="00486C14"/>
    <w:rsid w:val="00486EF3"/>
    <w:rsid w:val="00486F18"/>
    <w:rsid w:val="00487F85"/>
    <w:rsid w:val="00490746"/>
    <w:rsid w:val="00490852"/>
    <w:rsid w:val="00490F2B"/>
    <w:rsid w:val="00491036"/>
    <w:rsid w:val="004910B6"/>
    <w:rsid w:val="004911E6"/>
    <w:rsid w:val="00491376"/>
    <w:rsid w:val="00491AC9"/>
    <w:rsid w:val="00491C9C"/>
    <w:rsid w:val="00491CEF"/>
    <w:rsid w:val="00492F30"/>
    <w:rsid w:val="00493678"/>
    <w:rsid w:val="004936F2"/>
    <w:rsid w:val="00494283"/>
    <w:rsid w:val="004943E8"/>
    <w:rsid w:val="004946F4"/>
    <w:rsid w:val="0049487E"/>
    <w:rsid w:val="00494F9E"/>
    <w:rsid w:val="0049503D"/>
    <w:rsid w:val="004954C8"/>
    <w:rsid w:val="004954F0"/>
    <w:rsid w:val="0049552F"/>
    <w:rsid w:val="00495B66"/>
    <w:rsid w:val="00495D23"/>
    <w:rsid w:val="00496190"/>
    <w:rsid w:val="0049670D"/>
    <w:rsid w:val="00496AB8"/>
    <w:rsid w:val="00496D7A"/>
    <w:rsid w:val="00497112"/>
    <w:rsid w:val="00497412"/>
    <w:rsid w:val="004977E3"/>
    <w:rsid w:val="00497CD3"/>
    <w:rsid w:val="004A03F5"/>
    <w:rsid w:val="004A0582"/>
    <w:rsid w:val="004A142A"/>
    <w:rsid w:val="004A160D"/>
    <w:rsid w:val="004A1B2A"/>
    <w:rsid w:val="004A251D"/>
    <w:rsid w:val="004A2DEE"/>
    <w:rsid w:val="004A35DD"/>
    <w:rsid w:val="004A3D20"/>
    <w:rsid w:val="004A3E81"/>
    <w:rsid w:val="004A413E"/>
    <w:rsid w:val="004A4195"/>
    <w:rsid w:val="004A474B"/>
    <w:rsid w:val="004A5047"/>
    <w:rsid w:val="004A5074"/>
    <w:rsid w:val="004A5C62"/>
    <w:rsid w:val="004A5CE5"/>
    <w:rsid w:val="004A63FD"/>
    <w:rsid w:val="004A65AE"/>
    <w:rsid w:val="004A690C"/>
    <w:rsid w:val="004A6B6D"/>
    <w:rsid w:val="004A6DB4"/>
    <w:rsid w:val="004A6F97"/>
    <w:rsid w:val="004A707D"/>
    <w:rsid w:val="004A7559"/>
    <w:rsid w:val="004A7D0C"/>
    <w:rsid w:val="004A7F59"/>
    <w:rsid w:val="004B00D9"/>
    <w:rsid w:val="004B0974"/>
    <w:rsid w:val="004B0A07"/>
    <w:rsid w:val="004B0F78"/>
    <w:rsid w:val="004B14C8"/>
    <w:rsid w:val="004B1925"/>
    <w:rsid w:val="004B1A01"/>
    <w:rsid w:val="004B31D9"/>
    <w:rsid w:val="004B3208"/>
    <w:rsid w:val="004B40B8"/>
    <w:rsid w:val="004B4185"/>
    <w:rsid w:val="004B4334"/>
    <w:rsid w:val="004B43DB"/>
    <w:rsid w:val="004B4804"/>
    <w:rsid w:val="004B490A"/>
    <w:rsid w:val="004B4AE4"/>
    <w:rsid w:val="004B4E01"/>
    <w:rsid w:val="004B5073"/>
    <w:rsid w:val="004B522C"/>
    <w:rsid w:val="004B5421"/>
    <w:rsid w:val="004B5B46"/>
    <w:rsid w:val="004B5BFE"/>
    <w:rsid w:val="004B651E"/>
    <w:rsid w:val="004B6587"/>
    <w:rsid w:val="004B6709"/>
    <w:rsid w:val="004B7511"/>
    <w:rsid w:val="004C0564"/>
    <w:rsid w:val="004C08AD"/>
    <w:rsid w:val="004C1106"/>
    <w:rsid w:val="004C1510"/>
    <w:rsid w:val="004C2261"/>
    <w:rsid w:val="004C23BB"/>
    <w:rsid w:val="004C3E2B"/>
    <w:rsid w:val="004C4EBF"/>
    <w:rsid w:val="004C5541"/>
    <w:rsid w:val="004C5FD0"/>
    <w:rsid w:val="004C6625"/>
    <w:rsid w:val="004C6979"/>
    <w:rsid w:val="004C6B26"/>
    <w:rsid w:val="004C6EEE"/>
    <w:rsid w:val="004C702B"/>
    <w:rsid w:val="004C75DF"/>
    <w:rsid w:val="004C776A"/>
    <w:rsid w:val="004C77E2"/>
    <w:rsid w:val="004C7B9C"/>
    <w:rsid w:val="004C7F1B"/>
    <w:rsid w:val="004D0033"/>
    <w:rsid w:val="004D016B"/>
    <w:rsid w:val="004D0B94"/>
    <w:rsid w:val="004D13E2"/>
    <w:rsid w:val="004D182B"/>
    <w:rsid w:val="004D1B22"/>
    <w:rsid w:val="004D2032"/>
    <w:rsid w:val="004D23CC"/>
    <w:rsid w:val="004D248C"/>
    <w:rsid w:val="004D2DE7"/>
    <w:rsid w:val="004D3612"/>
    <w:rsid w:val="004D36F2"/>
    <w:rsid w:val="004D4078"/>
    <w:rsid w:val="004D4277"/>
    <w:rsid w:val="004D46F3"/>
    <w:rsid w:val="004D4E7B"/>
    <w:rsid w:val="004D53A8"/>
    <w:rsid w:val="004D5A6A"/>
    <w:rsid w:val="004D5B89"/>
    <w:rsid w:val="004D5EDB"/>
    <w:rsid w:val="004D6143"/>
    <w:rsid w:val="004D6993"/>
    <w:rsid w:val="004D6C00"/>
    <w:rsid w:val="004D7140"/>
    <w:rsid w:val="004D7740"/>
    <w:rsid w:val="004D77E5"/>
    <w:rsid w:val="004D7896"/>
    <w:rsid w:val="004D790C"/>
    <w:rsid w:val="004D7E9A"/>
    <w:rsid w:val="004E0491"/>
    <w:rsid w:val="004E09E0"/>
    <w:rsid w:val="004E0D4E"/>
    <w:rsid w:val="004E0E62"/>
    <w:rsid w:val="004E1106"/>
    <w:rsid w:val="004E128F"/>
    <w:rsid w:val="004E138F"/>
    <w:rsid w:val="004E1492"/>
    <w:rsid w:val="004E169D"/>
    <w:rsid w:val="004E171E"/>
    <w:rsid w:val="004E1E1F"/>
    <w:rsid w:val="004E1FF5"/>
    <w:rsid w:val="004E3200"/>
    <w:rsid w:val="004E34AF"/>
    <w:rsid w:val="004E34EA"/>
    <w:rsid w:val="004E3887"/>
    <w:rsid w:val="004E3C8B"/>
    <w:rsid w:val="004E412E"/>
    <w:rsid w:val="004E417A"/>
    <w:rsid w:val="004E4649"/>
    <w:rsid w:val="004E555C"/>
    <w:rsid w:val="004E55E2"/>
    <w:rsid w:val="004E5983"/>
    <w:rsid w:val="004E5C2B"/>
    <w:rsid w:val="004E5D7D"/>
    <w:rsid w:val="004E5FCA"/>
    <w:rsid w:val="004E61CC"/>
    <w:rsid w:val="004E63B7"/>
    <w:rsid w:val="004E65F4"/>
    <w:rsid w:val="004E703A"/>
    <w:rsid w:val="004E7A05"/>
    <w:rsid w:val="004E7D9F"/>
    <w:rsid w:val="004E7F3F"/>
    <w:rsid w:val="004F00DD"/>
    <w:rsid w:val="004F0153"/>
    <w:rsid w:val="004F04DE"/>
    <w:rsid w:val="004F0C78"/>
    <w:rsid w:val="004F0F55"/>
    <w:rsid w:val="004F1C01"/>
    <w:rsid w:val="004F1F77"/>
    <w:rsid w:val="004F2133"/>
    <w:rsid w:val="004F2B32"/>
    <w:rsid w:val="004F2FCE"/>
    <w:rsid w:val="004F3408"/>
    <w:rsid w:val="004F387F"/>
    <w:rsid w:val="004F4870"/>
    <w:rsid w:val="004F4A51"/>
    <w:rsid w:val="004F51F7"/>
    <w:rsid w:val="004F5398"/>
    <w:rsid w:val="004F55F1"/>
    <w:rsid w:val="004F5857"/>
    <w:rsid w:val="004F5BEA"/>
    <w:rsid w:val="004F5E77"/>
    <w:rsid w:val="004F6054"/>
    <w:rsid w:val="004F65D3"/>
    <w:rsid w:val="004F66EF"/>
    <w:rsid w:val="004F6936"/>
    <w:rsid w:val="004F6A2F"/>
    <w:rsid w:val="004F6B7A"/>
    <w:rsid w:val="004F6C88"/>
    <w:rsid w:val="004F6CCF"/>
    <w:rsid w:val="004F7319"/>
    <w:rsid w:val="004F7FAD"/>
    <w:rsid w:val="00500315"/>
    <w:rsid w:val="00500770"/>
    <w:rsid w:val="00500A23"/>
    <w:rsid w:val="00500EA8"/>
    <w:rsid w:val="00500F83"/>
    <w:rsid w:val="0050166C"/>
    <w:rsid w:val="005018B9"/>
    <w:rsid w:val="00502136"/>
    <w:rsid w:val="00502394"/>
    <w:rsid w:val="0050248D"/>
    <w:rsid w:val="005026C5"/>
    <w:rsid w:val="00502A1A"/>
    <w:rsid w:val="005030C4"/>
    <w:rsid w:val="00503160"/>
    <w:rsid w:val="00503216"/>
    <w:rsid w:val="005039E9"/>
    <w:rsid w:val="00503C5F"/>
    <w:rsid w:val="00503DC6"/>
    <w:rsid w:val="00503E8A"/>
    <w:rsid w:val="00503FD8"/>
    <w:rsid w:val="00504553"/>
    <w:rsid w:val="00504876"/>
    <w:rsid w:val="00504932"/>
    <w:rsid w:val="00504BF0"/>
    <w:rsid w:val="00504D41"/>
    <w:rsid w:val="00504F63"/>
    <w:rsid w:val="00505105"/>
    <w:rsid w:val="005051C0"/>
    <w:rsid w:val="00505567"/>
    <w:rsid w:val="0050574B"/>
    <w:rsid w:val="00505B14"/>
    <w:rsid w:val="00505C80"/>
    <w:rsid w:val="00505DEA"/>
    <w:rsid w:val="00506977"/>
    <w:rsid w:val="00506E3F"/>
    <w:rsid w:val="00506F5D"/>
    <w:rsid w:val="00507ED0"/>
    <w:rsid w:val="00507FA7"/>
    <w:rsid w:val="00510163"/>
    <w:rsid w:val="0051072D"/>
    <w:rsid w:val="00510C37"/>
    <w:rsid w:val="00510EB4"/>
    <w:rsid w:val="00511149"/>
    <w:rsid w:val="0051138F"/>
    <w:rsid w:val="005114EA"/>
    <w:rsid w:val="00511673"/>
    <w:rsid w:val="005119AA"/>
    <w:rsid w:val="00511A28"/>
    <w:rsid w:val="00512300"/>
    <w:rsid w:val="005126D0"/>
    <w:rsid w:val="00512CD5"/>
    <w:rsid w:val="0051347D"/>
    <w:rsid w:val="00513E8D"/>
    <w:rsid w:val="00514667"/>
    <w:rsid w:val="0051518B"/>
    <w:rsid w:val="0051560A"/>
    <w:rsid w:val="0051568D"/>
    <w:rsid w:val="0051578A"/>
    <w:rsid w:val="005158D9"/>
    <w:rsid w:val="00515999"/>
    <w:rsid w:val="00515A5E"/>
    <w:rsid w:val="00515DAB"/>
    <w:rsid w:val="005161D4"/>
    <w:rsid w:val="0051706E"/>
    <w:rsid w:val="00517260"/>
    <w:rsid w:val="0051766E"/>
    <w:rsid w:val="00517CB2"/>
    <w:rsid w:val="005204AB"/>
    <w:rsid w:val="005205AE"/>
    <w:rsid w:val="005207AB"/>
    <w:rsid w:val="005207C8"/>
    <w:rsid w:val="00520A96"/>
    <w:rsid w:val="00522B51"/>
    <w:rsid w:val="00522D3E"/>
    <w:rsid w:val="00522E72"/>
    <w:rsid w:val="0052317A"/>
    <w:rsid w:val="0052377E"/>
    <w:rsid w:val="00524493"/>
    <w:rsid w:val="00524571"/>
    <w:rsid w:val="00524C07"/>
    <w:rsid w:val="00524D59"/>
    <w:rsid w:val="00524F11"/>
    <w:rsid w:val="00526693"/>
    <w:rsid w:val="00526899"/>
    <w:rsid w:val="00526AC7"/>
    <w:rsid w:val="00526C15"/>
    <w:rsid w:val="00526E97"/>
    <w:rsid w:val="00527022"/>
    <w:rsid w:val="0052702C"/>
    <w:rsid w:val="005270E9"/>
    <w:rsid w:val="00527DE3"/>
    <w:rsid w:val="005305FD"/>
    <w:rsid w:val="00530B44"/>
    <w:rsid w:val="00530BF1"/>
    <w:rsid w:val="00530DA3"/>
    <w:rsid w:val="00530DC8"/>
    <w:rsid w:val="00530F07"/>
    <w:rsid w:val="00530F76"/>
    <w:rsid w:val="005322EE"/>
    <w:rsid w:val="0053253D"/>
    <w:rsid w:val="00532C56"/>
    <w:rsid w:val="0053310C"/>
    <w:rsid w:val="00533238"/>
    <w:rsid w:val="00533660"/>
    <w:rsid w:val="00533B06"/>
    <w:rsid w:val="00533DE0"/>
    <w:rsid w:val="00534049"/>
    <w:rsid w:val="00534264"/>
    <w:rsid w:val="005346BD"/>
    <w:rsid w:val="00534E45"/>
    <w:rsid w:val="00534FA0"/>
    <w:rsid w:val="00535334"/>
    <w:rsid w:val="00535714"/>
    <w:rsid w:val="00535AEC"/>
    <w:rsid w:val="00535DE6"/>
    <w:rsid w:val="00535E13"/>
    <w:rsid w:val="00536499"/>
    <w:rsid w:val="005364FF"/>
    <w:rsid w:val="00536A6E"/>
    <w:rsid w:val="00536AB4"/>
    <w:rsid w:val="005373FC"/>
    <w:rsid w:val="00537625"/>
    <w:rsid w:val="0053787C"/>
    <w:rsid w:val="00540827"/>
    <w:rsid w:val="00541137"/>
    <w:rsid w:val="005422CC"/>
    <w:rsid w:val="00542A03"/>
    <w:rsid w:val="00543226"/>
    <w:rsid w:val="0054359B"/>
    <w:rsid w:val="005435F4"/>
    <w:rsid w:val="005436E9"/>
    <w:rsid w:val="00543712"/>
    <w:rsid w:val="00543903"/>
    <w:rsid w:val="00543953"/>
    <w:rsid w:val="00543BCC"/>
    <w:rsid w:val="00543F11"/>
    <w:rsid w:val="00544757"/>
    <w:rsid w:val="005455BC"/>
    <w:rsid w:val="005456EA"/>
    <w:rsid w:val="00545745"/>
    <w:rsid w:val="00545B81"/>
    <w:rsid w:val="00546305"/>
    <w:rsid w:val="00546528"/>
    <w:rsid w:val="00546DC4"/>
    <w:rsid w:val="00546F96"/>
    <w:rsid w:val="00547A95"/>
    <w:rsid w:val="0055063D"/>
    <w:rsid w:val="005506B6"/>
    <w:rsid w:val="005506BD"/>
    <w:rsid w:val="005507B2"/>
    <w:rsid w:val="0055119B"/>
    <w:rsid w:val="005511A1"/>
    <w:rsid w:val="00552B25"/>
    <w:rsid w:val="005537FE"/>
    <w:rsid w:val="00553A50"/>
    <w:rsid w:val="00553A95"/>
    <w:rsid w:val="00553E55"/>
    <w:rsid w:val="00554646"/>
    <w:rsid w:val="005548B3"/>
    <w:rsid w:val="00554C03"/>
    <w:rsid w:val="005553D7"/>
    <w:rsid w:val="00555462"/>
    <w:rsid w:val="00555CD8"/>
    <w:rsid w:val="00556377"/>
    <w:rsid w:val="0055641F"/>
    <w:rsid w:val="00556DE7"/>
    <w:rsid w:val="005575B4"/>
    <w:rsid w:val="005576AA"/>
    <w:rsid w:val="005577C9"/>
    <w:rsid w:val="00557D6B"/>
    <w:rsid w:val="00560E5C"/>
    <w:rsid w:val="00560FD1"/>
    <w:rsid w:val="00561202"/>
    <w:rsid w:val="00561590"/>
    <w:rsid w:val="00561EFC"/>
    <w:rsid w:val="00562319"/>
    <w:rsid w:val="00562384"/>
    <w:rsid w:val="0056241D"/>
    <w:rsid w:val="00562507"/>
    <w:rsid w:val="00562811"/>
    <w:rsid w:val="00563133"/>
    <w:rsid w:val="005631DF"/>
    <w:rsid w:val="005633E0"/>
    <w:rsid w:val="00564F0F"/>
    <w:rsid w:val="00565304"/>
    <w:rsid w:val="005658B1"/>
    <w:rsid w:val="00565F76"/>
    <w:rsid w:val="005660FA"/>
    <w:rsid w:val="00566AB8"/>
    <w:rsid w:val="00566FC4"/>
    <w:rsid w:val="00567047"/>
    <w:rsid w:val="00567116"/>
    <w:rsid w:val="00567180"/>
    <w:rsid w:val="00567659"/>
    <w:rsid w:val="005701C3"/>
    <w:rsid w:val="00570A78"/>
    <w:rsid w:val="00570DEB"/>
    <w:rsid w:val="00570F90"/>
    <w:rsid w:val="00572031"/>
    <w:rsid w:val="00572282"/>
    <w:rsid w:val="0057251E"/>
    <w:rsid w:val="00572741"/>
    <w:rsid w:val="0057293C"/>
    <w:rsid w:val="00572C1A"/>
    <w:rsid w:val="00572E01"/>
    <w:rsid w:val="005733BD"/>
    <w:rsid w:val="0057348D"/>
    <w:rsid w:val="00573B0B"/>
    <w:rsid w:val="00573CE3"/>
    <w:rsid w:val="00573DAA"/>
    <w:rsid w:val="00573FB4"/>
    <w:rsid w:val="005744E9"/>
    <w:rsid w:val="00574538"/>
    <w:rsid w:val="00574F26"/>
    <w:rsid w:val="0057526C"/>
    <w:rsid w:val="005754F2"/>
    <w:rsid w:val="00575624"/>
    <w:rsid w:val="00575683"/>
    <w:rsid w:val="005756A8"/>
    <w:rsid w:val="005756B0"/>
    <w:rsid w:val="00575892"/>
    <w:rsid w:val="00575B20"/>
    <w:rsid w:val="005760B7"/>
    <w:rsid w:val="005761B5"/>
    <w:rsid w:val="0057692F"/>
    <w:rsid w:val="00576E84"/>
    <w:rsid w:val="00576EF5"/>
    <w:rsid w:val="005772E9"/>
    <w:rsid w:val="00577799"/>
    <w:rsid w:val="00580394"/>
    <w:rsid w:val="005806CE"/>
    <w:rsid w:val="0058070D"/>
    <w:rsid w:val="005809CD"/>
    <w:rsid w:val="0058172C"/>
    <w:rsid w:val="005819B8"/>
    <w:rsid w:val="005820EC"/>
    <w:rsid w:val="00582B34"/>
    <w:rsid w:val="00582B8C"/>
    <w:rsid w:val="00582D3C"/>
    <w:rsid w:val="005836DB"/>
    <w:rsid w:val="00583FCB"/>
    <w:rsid w:val="00584179"/>
    <w:rsid w:val="0058418B"/>
    <w:rsid w:val="005848B0"/>
    <w:rsid w:val="00584AFD"/>
    <w:rsid w:val="0058504F"/>
    <w:rsid w:val="00585148"/>
    <w:rsid w:val="00586C4D"/>
    <w:rsid w:val="00586F78"/>
    <w:rsid w:val="0058732C"/>
    <w:rsid w:val="0058757E"/>
    <w:rsid w:val="00587AEF"/>
    <w:rsid w:val="00587C54"/>
    <w:rsid w:val="00587C97"/>
    <w:rsid w:val="0059071D"/>
    <w:rsid w:val="00590784"/>
    <w:rsid w:val="00590A13"/>
    <w:rsid w:val="00590C47"/>
    <w:rsid w:val="00590C88"/>
    <w:rsid w:val="00590CC1"/>
    <w:rsid w:val="00590E8E"/>
    <w:rsid w:val="00591C4C"/>
    <w:rsid w:val="005923B0"/>
    <w:rsid w:val="005926AB"/>
    <w:rsid w:val="0059289B"/>
    <w:rsid w:val="00592937"/>
    <w:rsid w:val="005936AF"/>
    <w:rsid w:val="00594857"/>
    <w:rsid w:val="00594B06"/>
    <w:rsid w:val="00595630"/>
    <w:rsid w:val="005957BB"/>
    <w:rsid w:val="00595D62"/>
    <w:rsid w:val="00595E29"/>
    <w:rsid w:val="00595EED"/>
    <w:rsid w:val="005961CF"/>
    <w:rsid w:val="0059641D"/>
    <w:rsid w:val="005964EE"/>
    <w:rsid w:val="00596A4B"/>
    <w:rsid w:val="00596B40"/>
    <w:rsid w:val="00596B75"/>
    <w:rsid w:val="00597507"/>
    <w:rsid w:val="0059774B"/>
    <w:rsid w:val="0059783E"/>
    <w:rsid w:val="00597EAB"/>
    <w:rsid w:val="00597F7E"/>
    <w:rsid w:val="00597FC6"/>
    <w:rsid w:val="00597FFA"/>
    <w:rsid w:val="005A0081"/>
    <w:rsid w:val="005A02DF"/>
    <w:rsid w:val="005A06BA"/>
    <w:rsid w:val="005A089D"/>
    <w:rsid w:val="005A09E3"/>
    <w:rsid w:val="005A0DC1"/>
    <w:rsid w:val="005A1172"/>
    <w:rsid w:val="005A178B"/>
    <w:rsid w:val="005A17C7"/>
    <w:rsid w:val="005A18C5"/>
    <w:rsid w:val="005A1AC4"/>
    <w:rsid w:val="005A1D71"/>
    <w:rsid w:val="005A2668"/>
    <w:rsid w:val="005A283A"/>
    <w:rsid w:val="005A2A20"/>
    <w:rsid w:val="005A2FE5"/>
    <w:rsid w:val="005A32F6"/>
    <w:rsid w:val="005A3546"/>
    <w:rsid w:val="005A35AA"/>
    <w:rsid w:val="005A3FE7"/>
    <w:rsid w:val="005A479D"/>
    <w:rsid w:val="005A4E1A"/>
    <w:rsid w:val="005A50B9"/>
    <w:rsid w:val="005A530B"/>
    <w:rsid w:val="005A53AC"/>
    <w:rsid w:val="005A5E7E"/>
    <w:rsid w:val="005A6204"/>
    <w:rsid w:val="005A6D7F"/>
    <w:rsid w:val="005A72F0"/>
    <w:rsid w:val="005A7391"/>
    <w:rsid w:val="005A7B87"/>
    <w:rsid w:val="005A7EB5"/>
    <w:rsid w:val="005B0210"/>
    <w:rsid w:val="005B06CD"/>
    <w:rsid w:val="005B07C7"/>
    <w:rsid w:val="005B0CF1"/>
    <w:rsid w:val="005B0DED"/>
    <w:rsid w:val="005B15D3"/>
    <w:rsid w:val="005B1C6D"/>
    <w:rsid w:val="005B21B6"/>
    <w:rsid w:val="005B2CEC"/>
    <w:rsid w:val="005B313F"/>
    <w:rsid w:val="005B325B"/>
    <w:rsid w:val="005B3493"/>
    <w:rsid w:val="005B352D"/>
    <w:rsid w:val="005B3A08"/>
    <w:rsid w:val="005B3D4C"/>
    <w:rsid w:val="005B4BBD"/>
    <w:rsid w:val="005B4E09"/>
    <w:rsid w:val="005B4FA9"/>
    <w:rsid w:val="005B5A29"/>
    <w:rsid w:val="005B5CFB"/>
    <w:rsid w:val="005B5E14"/>
    <w:rsid w:val="005B6518"/>
    <w:rsid w:val="005B6E62"/>
    <w:rsid w:val="005B6F50"/>
    <w:rsid w:val="005B7465"/>
    <w:rsid w:val="005B7703"/>
    <w:rsid w:val="005B7A63"/>
    <w:rsid w:val="005C009B"/>
    <w:rsid w:val="005C02AD"/>
    <w:rsid w:val="005C04F9"/>
    <w:rsid w:val="005C0955"/>
    <w:rsid w:val="005C0AEA"/>
    <w:rsid w:val="005C2258"/>
    <w:rsid w:val="005C27F8"/>
    <w:rsid w:val="005C2B06"/>
    <w:rsid w:val="005C307E"/>
    <w:rsid w:val="005C379A"/>
    <w:rsid w:val="005C49DA"/>
    <w:rsid w:val="005C4DB4"/>
    <w:rsid w:val="005C4FBC"/>
    <w:rsid w:val="005C50F3"/>
    <w:rsid w:val="005C5374"/>
    <w:rsid w:val="005C54B5"/>
    <w:rsid w:val="005C5717"/>
    <w:rsid w:val="005C59D7"/>
    <w:rsid w:val="005C5D80"/>
    <w:rsid w:val="005C5D91"/>
    <w:rsid w:val="005C715A"/>
    <w:rsid w:val="005C741A"/>
    <w:rsid w:val="005C7BB3"/>
    <w:rsid w:val="005D06DB"/>
    <w:rsid w:val="005D0705"/>
    <w:rsid w:val="005D07B8"/>
    <w:rsid w:val="005D1412"/>
    <w:rsid w:val="005D1B81"/>
    <w:rsid w:val="005D1C85"/>
    <w:rsid w:val="005D25E8"/>
    <w:rsid w:val="005D2AC9"/>
    <w:rsid w:val="005D2D64"/>
    <w:rsid w:val="005D300C"/>
    <w:rsid w:val="005D3130"/>
    <w:rsid w:val="005D35D0"/>
    <w:rsid w:val="005D36E6"/>
    <w:rsid w:val="005D3B05"/>
    <w:rsid w:val="005D4051"/>
    <w:rsid w:val="005D494B"/>
    <w:rsid w:val="005D4CEF"/>
    <w:rsid w:val="005D57E1"/>
    <w:rsid w:val="005D6572"/>
    <w:rsid w:val="005D6597"/>
    <w:rsid w:val="005D7406"/>
    <w:rsid w:val="005D74F8"/>
    <w:rsid w:val="005E00A6"/>
    <w:rsid w:val="005E027D"/>
    <w:rsid w:val="005E0D15"/>
    <w:rsid w:val="005E10AA"/>
    <w:rsid w:val="005E1129"/>
    <w:rsid w:val="005E1402"/>
    <w:rsid w:val="005E14E7"/>
    <w:rsid w:val="005E158D"/>
    <w:rsid w:val="005E1984"/>
    <w:rsid w:val="005E19ED"/>
    <w:rsid w:val="005E1F07"/>
    <w:rsid w:val="005E1FD3"/>
    <w:rsid w:val="005E254C"/>
    <w:rsid w:val="005E2600"/>
    <w:rsid w:val="005E26A3"/>
    <w:rsid w:val="005E285E"/>
    <w:rsid w:val="005E2DD7"/>
    <w:rsid w:val="005E2ECB"/>
    <w:rsid w:val="005E2F9B"/>
    <w:rsid w:val="005E30B1"/>
    <w:rsid w:val="005E30B3"/>
    <w:rsid w:val="005E3272"/>
    <w:rsid w:val="005E339F"/>
    <w:rsid w:val="005E3524"/>
    <w:rsid w:val="005E441F"/>
    <w:rsid w:val="005E447E"/>
    <w:rsid w:val="005E4C6B"/>
    <w:rsid w:val="005E4E2B"/>
    <w:rsid w:val="005E4FD1"/>
    <w:rsid w:val="005E579C"/>
    <w:rsid w:val="005E5951"/>
    <w:rsid w:val="005E648C"/>
    <w:rsid w:val="005E69AC"/>
    <w:rsid w:val="005E7673"/>
    <w:rsid w:val="005E7827"/>
    <w:rsid w:val="005E794B"/>
    <w:rsid w:val="005E7959"/>
    <w:rsid w:val="005F0338"/>
    <w:rsid w:val="005F0775"/>
    <w:rsid w:val="005F07B1"/>
    <w:rsid w:val="005F0875"/>
    <w:rsid w:val="005F0B77"/>
    <w:rsid w:val="005F0C88"/>
    <w:rsid w:val="005F0CF5"/>
    <w:rsid w:val="005F0F33"/>
    <w:rsid w:val="005F17AC"/>
    <w:rsid w:val="005F190A"/>
    <w:rsid w:val="005F196A"/>
    <w:rsid w:val="005F1D68"/>
    <w:rsid w:val="005F21EB"/>
    <w:rsid w:val="005F2662"/>
    <w:rsid w:val="005F3E2C"/>
    <w:rsid w:val="005F3FFC"/>
    <w:rsid w:val="005F43E7"/>
    <w:rsid w:val="005F47DD"/>
    <w:rsid w:val="005F4A11"/>
    <w:rsid w:val="005F4FAE"/>
    <w:rsid w:val="005F4FCB"/>
    <w:rsid w:val="005F5352"/>
    <w:rsid w:val="005F5D8F"/>
    <w:rsid w:val="005F5D90"/>
    <w:rsid w:val="005F64CF"/>
    <w:rsid w:val="005F6582"/>
    <w:rsid w:val="005F6930"/>
    <w:rsid w:val="005F6DE1"/>
    <w:rsid w:val="005F6EC3"/>
    <w:rsid w:val="005F6FC4"/>
    <w:rsid w:val="0060022D"/>
    <w:rsid w:val="00600422"/>
    <w:rsid w:val="006006D4"/>
    <w:rsid w:val="0060088C"/>
    <w:rsid w:val="00600B65"/>
    <w:rsid w:val="00600C8F"/>
    <w:rsid w:val="006011FE"/>
    <w:rsid w:val="006013E6"/>
    <w:rsid w:val="006014B1"/>
    <w:rsid w:val="006017F5"/>
    <w:rsid w:val="0060235D"/>
    <w:rsid w:val="006026E3"/>
    <w:rsid w:val="00602E79"/>
    <w:rsid w:val="00603E79"/>
    <w:rsid w:val="006041AD"/>
    <w:rsid w:val="0060420B"/>
    <w:rsid w:val="00604BB4"/>
    <w:rsid w:val="006050FC"/>
    <w:rsid w:val="00605281"/>
    <w:rsid w:val="00605908"/>
    <w:rsid w:val="00606289"/>
    <w:rsid w:val="006065AD"/>
    <w:rsid w:val="00606C61"/>
    <w:rsid w:val="00607042"/>
    <w:rsid w:val="00607286"/>
    <w:rsid w:val="00607850"/>
    <w:rsid w:val="00607E89"/>
    <w:rsid w:val="00607EF7"/>
    <w:rsid w:val="0061026F"/>
    <w:rsid w:val="00610663"/>
    <w:rsid w:val="0061098A"/>
    <w:rsid w:val="00610D7C"/>
    <w:rsid w:val="00611452"/>
    <w:rsid w:val="00611BDA"/>
    <w:rsid w:val="00611C1B"/>
    <w:rsid w:val="006120CC"/>
    <w:rsid w:val="00612156"/>
    <w:rsid w:val="00612211"/>
    <w:rsid w:val="00612607"/>
    <w:rsid w:val="0061294A"/>
    <w:rsid w:val="00612B5F"/>
    <w:rsid w:val="006133FD"/>
    <w:rsid w:val="00613414"/>
    <w:rsid w:val="006137B7"/>
    <w:rsid w:val="00613CCE"/>
    <w:rsid w:val="006141AE"/>
    <w:rsid w:val="006141E4"/>
    <w:rsid w:val="006149A6"/>
    <w:rsid w:val="00614BCA"/>
    <w:rsid w:val="00614C72"/>
    <w:rsid w:val="00614EB3"/>
    <w:rsid w:val="00614F32"/>
    <w:rsid w:val="00615B6C"/>
    <w:rsid w:val="00615F06"/>
    <w:rsid w:val="00616126"/>
    <w:rsid w:val="006164C7"/>
    <w:rsid w:val="00616AD6"/>
    <w:rsid w:val="00616C9C"/>
    <w:rsid w:val="00616E6D"/>
    <w:rsid w:val="0061730C"/>
    <w:rsid w:val="006176F6"/>
    <w:rsid w:val="00617760"/>
    <w:rsid w:val="00617A03"/>
    <w:rsid w:val="00620154"/>
    <w:rsid w:val="006202C4"/>
    <w:rsid w:val="00620F91"/>
    <w:rsid w:val="00620FA5"/>
    <w:rsid w:val="00621B8B"/>
    <w:rsid w:val="00621C3A"/>
    <w:rsid w:val="00622497"/>
    <w:rsid w:val="00622B32"/>
    <w:rsid w:val="00622B86"/>
    <w:rsid w:val="00623B92"/>
    <w:rsid w:val="0062408D"/>
    <w:rsid w:val="006240CC"/>
    <w:rsid w:val="006243EC"/>
    <w:rsid w:val="006244DB"/>
    <w:rsid w:val="00624676"/>
    <w:rsid w:val="00624940"/>
    <w:rsid w:val="00624A7B"/>
    <w:rsid w:val="00624ACB"/>
    <w:rsid w:val="00624B1F"/>
    <w:rsid w:val="00624DFC"/>
    <w:rsid w:val="00624E44"/>
    <w:rsid w:val="006254F8"/>
    <w:rsid w:val="0062573C"/>
    <w:rsid w:val="00625ABD"/>
    <w:rsid w:val="00626025"/>
    <w:rsid w:val="0062623C"/>
    <w:rsid w:val="00626864"/>
    <w:rsid w:val="00626B8B"/>
    <w:rsid w:val="00626D5A"/>
    <w:rsid w:val="00626ECE"/>
    <w:rsid w:val="006273F4"/>
    <w:rsid w:val="00627454"/>
    <w:rsid w:val="00627DA7"/>
    <w:rsid w:val="00627E2E"/>
    <w:rsid w:val="006309CD"/>
    <w:rsid w:val="00630C08"/>
    <w:rsid w:val="00630DA4"/>
    <w:rsid w:val="00631C35"/>
    <w:rsid w:val="00631CD4"/>
    <w:rsid w:val="0063232D"/>
    <w:rsid w:val="00632597"/>
    <w:rsid w:val="00632A36"/>
    <w:rsid w:val="00634690"/>
    <w:rsid w:val="00634B4D"/>
    <w:rsid w:val="00634D13"/>
    <w:rsid w:val="00635667"/>
    <w:rsid w:val="0063570E"/>
    <w:rsid w:val="006357A6"/>
    <w:rsid w:val="006358B4"/>
    <w:rsid w:val="006358FA"/>
    <w:rsid w:val="00635B2E"/>
    <w:rsid w:val="00635C4E"/>
    <w:rsid w:val="006370E3"/>
    <w:rsid w:val="00637708"/>
    <w:rsid w:val="00637E02"/>
    <w:rsid w:val="00637F6B"/>
    <w:rsid w:val="0064041D"/>
    <w:rsid w:val="0064054E"/>
    <w:rsid w:val="00641425"/>
    <w:rsid w:val="00641724"/>
    <w:rsid w:val="006419AA"/>
    <w:rsid w:val="00641C0D"/>
    <w:rsid w:val="00641DA2"/>
    <w:rsid w:val="00642567"/>
    <w:rsid w:val="006425C5"/>
    <w:rsid w:val="00642721"/>
    <w:rsid w:val="00642863"/>
    <w:rsid w:val="0064380E"/>
    <w:rsid w:val="00643ABC"/>
    <w:rsid w:val="00643E26"/>
    <w:rsid w:val="00643F82"/>
    <w:rsid w:val="00644216"/>
    <w:rsid w:val="00644996"/>
    <w:rsid w:val="00644B1F"/>
    <w:rsid w:val="00644B7E"/>
    <w:rsid w:val="006454E6"/>
    <w:rsid w:val="00645A90"/>
    <w:rsid w:val="006460D9"/>
    <w:rsid w:val="00646235"/>
    <w:rsid w:val="00646981"/>
    <w:rsid w:val="00646A68"/>
    <w:rsid w:val="00646FCB"/>
    <w:rsid w:val="006472BA"/>
    <w:rsid w:val="006476BF"/>
    <w:rsid w:val="00647793"/>
    <w:rsid w:val="00647E0F"/>
    <w:rsid w:val="006505BD"/>
    <w:rsid w:val="006508EA"/>
    <w:rsid w:val="0065092E"/>
    <w:rsid w:val="00650C34"/>
    <w:rsid w:val="006514D2"/>
    <w:rsid w:val="00652171"/>
    <w:rsid w:val="006521A3"/>
    <w:rsid w:val="0065244F"/>
    <w:rsid w:val="00652BD6"/>
    <w:rsid w:val="00652D9A"/>
    <w:rsid w:val="00654381"/>
    <w:rsid w:val="00654576"/>
    <w:rsid w:val="006548B4"/>
    <w:rsid w:val="00654B4A"/>
    <w:rsid w:val="00654D84"/>
    <w:rsid w:val="0065518D"/>
    <w:rsid w:val="00655217"/>
    <w:rsid w:val="006557A7"/>
    <w:rsid w:val="00656290"/>
    <w:rsid w:val="00656CD3"/>
    <w:rsid w:val="00656E5D"/>
    <w:rsid w:val="00656F4D"/>
    <w:rsid w:val="00657328"/>
    <w:rsid w:val="0065799B"/>
    <w:rsid w:val="00657A30"/>
    <w:rsid w:val="00657AA9"/>
    <w:rsid w:val="00657AE2"/>
    <w:rsid w:val="00657D15"/>
    <w:rsid w:val="00657FD0"/>
    <w:rsid w:val="006601C9"/>
    <w:rsid w:val="006608D8"/>
    <w:rsid w:val="00660E26"/>
    <w:rsid w:val="0066100D"/>
    <w:rsid w:val="0066130C"/>
    <w:rsid w:val="006613C8"/>
    <w:rsid w:val="006621D7"/>
    <w:rsid w:val="0066288A"/>
    <w:rsid w:val="0066302A"/>
    <w:rsid w:val="006632DC"/>
    <w:rsid w:val="00663378"/>
    <w:rsid w:val="00663649"/>
    <w:rsid w:val="006636AD"/>
    <w:rsid w:val="00663EF0"/>
    <w:rsid w:val="00663EF8"/>
    <w:rsid w:val="006640BA"/>
    <w:rsid w:val="00664407"/>
    <w:rsid w:val="00664C82"/>
    <w:rsid w:val="006652D5"/>
    <w:rsid w:val="006652F8"/>
    <w:rsid w:val="006666D4"/>
    <w:rsid w:val="006669C5"/>
    <w:rsid w:val="00666A10"/>
    <w:rsid w:val="00666F34"/>
    <w:rsid w:val="006672D0"/>
    <w:rsid w:val="00667770"/>
    <w:rsid w:val="006701C9"/>
    <w:rsid w:val="0067025A"/>
    <w:rsid w:val="00670401"/>
    <w:rsid w:val="00670597"/>
    <w:rsid w:val="006706D0"/>
    <w:rsid w:val="00670C38"/>
    <w:rsid w:val="00670C64"/>
    <w:rsid w:val="00671341"/>
    <w:rsid w:val="006716AF"/>
    <w:rsid w:val="00671A59"/>
    <w:rsid w:val="006725B1"/>
    <w:rsid w:val="00672873"/>
    <w:rsid w:val="00672A59"/>
    <w:rsid w:val="00673119"/>
    <w:rsid w:val="00673478"/>
    <w:rsid w:val="00675718"/>
    <w:rsid w:val="00675C0A"/>
    <w:rsid w:val="00675DB1"/>
    <w:rsid w:val="00676136"/>
    <w:rsid w:val="0067660C"/>
    <w:rsid w:val="00676A5F"/>
    <w:rsid w:val="006774A9"/>
    <w:rsid w:val="006774D2"/>
    <w:rsid w:val="00677574"/>
    <w:rsid w:val="0067793A"/>
    <w:rsid w:val="00680030"/>
    <w:rsid w:val="00680276"/>
    <w:rsid w:val="0068084D"/>
    <w:rsid w:val="00680A29"/>
    <w:rsid w:val="00680A8F"/>
    <w:rsid w:val="00680CC0"/>
    <w:rsid w:val="006810EB"/>
    <w:rsid w:val="006811D2"/>
    <w:rsid w:val="006812ED"/>
    <w:rsid w:val="006817A2"/>
    <w:rsid w:val="00681C74"/>
    <w:rsid w:val="006823C8"/>
    <w:rsid w:val="00682763"/>
    <w:rsid w:val="006830F3"/>
    <w:rsid w:val="00683878"/>
    <w:rsid w:val="00683A2F"/>
    <w:rsid w:val="00684343"/>
    <w:rsid w:val="00684380"/>
    <w:rsid w:val="0068454C"/>
    <w:rsid w:val="00684753"/>
    <w:rsid w:val="00685C20"/>
    <w:rsid w:val="00686361"/>
    <w:rsid w:val="006873B8"/>
    <w:rsid w:val="0068740A"/>
    <w:rsid w:val="00687920"/>
    <w:rsid w:val="00687AB2"/>
    <w:rsid w:val="00687C9D"/>
    <w:rsid w:val="00687EA6"/>
    <w:rsid w:val="00690390"/>
    <w:rsid w:val="00691B62"/>
    <w:rsid w:val="0069232C"/>
    <w:rsid w:val="006923A6"/>
    <w:rsid w:val="00692EF5"/>
    <w:rsid w:val="006930A1"/>
    <w:rsid w:val="00693350"/>
    <w:rsid w:val="006933B5"/>
    <w:rsid w:val="006934BB"/>
    <w:rsid w:val="00693615"/>
    <w:rsid w:val="00693D14"/>
    <w:rsid w:val="0069464E"/>
    <w:rsid w:val="006946CC"/>
    <w:rsid w:val="00694C31"/>
    <w:rsid w:val="006952CC"/>
    <w:rsid w:val="00695AC3"/>
    <w:rsid w:val="00695AF7"/>
    <w:rsid w:val="00696D8D"/>
    <w:rsid w:val="00696EB2"/>
    <w:rsid w:val="00696F17"/>
    <w:rsid w:val="00696F27"/>
    <w:rsid w:val="00697451"/>
    <w:rsid w:val="00697A7A"/>
    <w:rsid w:val="006A0142"/>
    <w:rsid w:val="006A10D7"/>
    <w:rsid w:val="006A18C2"/>
    <w:rsid w:val="006A1C17"/>
    <w:rsid w:val="006A1C9D"/>
    <w:rsid w:val="006A205C"/>
    <w:rsid w:val="006A22F8"/>
    <w:rsid w:val="006A2521"/>
    <w:rsid w:val="006A299F"/>
    <w:rsid w:val="006A29A2"/>
    <w:rsid w:val="006A2A92"/>
    <w:rsid w:val="006A2DAD"/>
    <w:rsid w:val="006A3383"/>
    <w:rsid w:val="006A39B7"/>
    <w:rsid w:val="006A39BB"/>
    <w:rsid w:val="006A3D28"/>
    <w:rsid w:val="006A46EB"/>
    <w:rsid w:val="006A49CD"/>
    <w:rsid w:val="006A4B11"/>
    <w:rsid w:val="006A4E27"/>
    <w:rsid w:val="006A5032"/>
    <w:rsid w:val="006A513D"/>
    <w:rsid w:val="006A5347"/>
    <w:rsid w:val="006A5779"/>
    <w:rsid w:val="006A5B2E"/>
    <w:rsid w:val="006A5F6D"/>
    <w:rsid w:val="006A6132"/>
    <w:rsid w:val="006A661A"/>
    <w:rsid w:val="006A6698"/>
    <w:rsid w:val="006A669E"/>
    <w:rsid w:val="006A6BE1"/>
    <w:rsid w:val="006A735A"/>
    <w:rsid w:val="006A7363"/>
    <w:rsid w:val="006A790A"/>
    <w:rsid w:val="006B077C"/>
    <w:rsid w:val="006B078C"/>
    <w:rsid w:val="006B0BDF"/>
    <w:rsid w:val="006B0EA0"/>
    <w:rsid w:val="006B1009"/>
    <w:rsid w:val="006B14B8"/>
    <w:rsid w:val="006B1BFD"/>
    <w:rsid w:val="006B1D9F"/>
    <w:rsid w:val="006B1DC6"/>
    <w:rsid w:val="006B1FE7"/>
    <w:rsid w:val="006B2518"/>
    <w:rsid w:val="006B313D"/>
    <w:rsid w:val="006B3A72"/>
    <w:rsid w:val="006B3AE3"/>
    <w:rsid w:val="006B4065"/>
    <w:rsid w:val="006B41E6"/>
    <w:rsid w:val="006B5463"/>
    <w:rsid w:val="006B5C23"/>
    <w:rsid w:val="006B60FC"/>
    <w:rsid w:val="006B6234"/>
    <w:rsid w:val="006B62C0"/>
    <w:rsid w:val="006B6522"/>
    <w:rsid w:val="006B6588"/>
    <w:rsid w:val="006B65A1"/>
    <w:rsid w:val="006B6803"/>
    <w:rsid w:val="006B75DB"/>
    <w:rsid w:val="006B79CB"/>
    <w:rsid w:val="006C045B"/>
    <w:rsid w:val="006C052A"/>
    <w:rsid w:val="006C0707"/>
    <w:rsid w:val="006C0A79"/>
    <w:rsid w:val="006C1335"/>
    <w:rsid w:val="006C1508"/>
    <w:rsid w:val="006C1AA6"/>
    <w:rsid w:val="006C20C1"/>
    <w:rsid w:val="006C27ED"/>
    <w:rsid w:val="006C2FD6"/>
    <w:rsid w:val="006C3243"/>
    <w:rsid w:val="006C33C3"/>
    <w:rsid w:val="006C3738"/>
    <w:rsid w:val="006C37A3"/>
    <w:rsid w:val="006C4D53"/>
    <w:rsid w:val="006C4E31"/>
    <w:rsid w:val="006C4E77"/>
    <w:rsid w:val="006C53CB"/>
    <w:rsid w:val="006C5834"/>
    <w:rsid w:val="006C5DA7"/>
    <w:rsid w:val="006C5DE3"/>
    <w:rsid w:val="006C602F"/>
    <w:rsid w:val="006C60D5"/>
    <w:rsid w:val="006C6376"/>
    <w:rsid w:val="006C6A52"/>
    <w:rsid w:val="006C6BC6"/>
    <w:rsid w:val="006D0128"/>
    <w:rsid w:val="006D034A"/>
    <w:rsid w:val="006D0A5B"/>
    <w:rsid w:val="006D0D46"/>
    <w:rsid w:val="006D0F16"/>
    <w:rsid w:val="006D0FB2"/>
    <w:rsid w:val="006D1718"/>
    <w:rsid w:val="006D1A4F"/>
    <w:rsid w:val="006D2166"/>
    <w:rsid w:val="006D2173"/>
    <w:rsid w:val="006D2590"/>
    <w:rsid w:val="006D2A3F"/>
    <w:rsid w:val="006D2FBC"/>
    <w:rsid w:val="006D315B"/>
    <w:rsid w:val="006D3472"/>
    <w:rsid w:val="006D4A7F"/>
    <w:rsid w:val="006D4DBB"/>
    <w:rsid w:val="006D4EE4"/>
    <w:rsid w:val="006D53B8"/>
    <w:rsid w:val="006D53D6"/>
    <w:rsid w:val="006D5481"/>
    <w:rsid w:val="006D562C"/>
    <w:rsid w:val="006D5974"/>
    <w:rsid w:val="006D66B8"/>
    <w:rsid w:val="006D686E"/>
    <w:rsid w:val="006D6E34"/>
    <w:rsid w:val="006D7256"/>
    <w:rsid w:val="006D7306"/>
    <w:rsid w:val="006D78FF"/>
    <w:rsid w:val="006E05B8"/>
    <w:rsid w:val="006E138B"/>
    <w:rsid w:val="006E13C3"/>
    <w:rsid w:val="006E1605"/>
    <w:rsid w:val="006E1867"/>
    <w:rsid w:val="006E1918"/>
    <w:rsid w:val="006E20B9"/>
    <w:rsid w:val="006E24B0"/>
    <w:rsid w:val="006E2ADC"/>
    <w:rsid w:val="006E2C82"/>
    <w:rsid w:val="006E300F"/>
    <w:rsid w:val="006E346B"/>
    <w:rsid w:val="006E474D"/>
    <w:rsid w:val="006E485C"/>
    <w:rsid w:val="006E48D7"/>
    <w:rsid w:val="006E4DD3"/>
    <w:rsid w:val="006E537D"/>
    <w:rsid w:val="006E60D6"/>
    <w:rsid w:val="006E638E"/>
    <w:rsid w:val="006E6582"/>
    <w:rsid w:val="006E693D"/>
    <w:rsid w:val="006E6AC2"/>
    <w:rsid w:val="006E706A"/>
    <w:rsid w:val="006E72C6"/>
    <w:rsid w:val="006E72F8"/>
    <w:rsid w:val="006E7F56"/>
    <w:rsid w:val="006F0330"/>
    <w:rsid w:val="006F07F8"/>
    <w:rsid w:val="006F0FCD"/>
    <w:rsid w:val="006F15A3"/>
    <w:rsid w:val="006F1D45"/>
    <w:rsid w:val="006F1FDC"/>
    <w:rsid w:val="006F21DA"/>
    <w:rsid w:val="006F29E7"/>
    <w:rsid w:val="006F2DC3"/>
    <w:rsid w:val="006F2E9E"/>
    <w:rsid w:val="006F420E"/>
    <w:rsid w:val="006F4614"/>
    <w:rsid w:val="006F4999"/>
    <w:rsid w:val="006F49A8"/>
    <w:rsid w:val="006F4E62"/>
    <w:rsid w:val="006F5174"/>
    <w:rsid w:val="006F523F"/>
    <w:rsid w:val="006F5261"/>
    <w:rsid w:val="006F5290"/>
    <w:rsid w:val="006F5CB1"/>
    <w:rsid w:val="006F5E7D"/>
    <w:rsid w:val="006F5F03"/>
    <w:rsid w:val="006F6567"/>
    <w:rsid w:val="006F6B8C"/>
    <w:rsid w:val="006F6B98"/>
    <w:rsid w:val="006F73DE"/>
    <w:rsid w:val="006F7C6D"/>
    <w:rsid w:val="006F7D8C"/>
    <w:rsid w:val="00700153"/>
    <w:rsid w:val="007013A0"/>
    <w:rsid w:val="007013AC"/>
    <w:rsid w:val="007013EF"/>
    <w:rsid w:val="00701489"/>
    <w:rsid w:val="007014BD"/>
    <w:rsid w:val="007015EB"/>
    <w:rsid w:val="0070198B"/>
    <w:rsid w:val="00701CF6"/>
    <w:rsid w:val="007028AA"/>
    <w:rsid w:val="00702DE0"/>
    <w:rsid w:val="00702EFF"/>
    <w:rsid w:val="00703190"/>
    <w:rsid w:val="0070341D"/>
    <w:rsid w:val="00703659"/>
    <w:rsid w:val="00703C01"/>
    <w:rsid w:val="007044DB"/>
    <w:rsid w:val="00704591"/>
    <w:rsid w:val="00705128"/>
    <w:rsid w:val="007055BD"/>
    <w:rsid w:val="00705A66"/>
    <w:rsid w:val="0070684E"/>
    <w:rsid w:val="00706A04"/>
    <w:rsid w:val="00707E3D"/>
    <w:rsid w:val="0071018B"/>
    <w:rsid w:val="007101E7"/>
    <w:rsid w:val="007105F8"/>
    <w:rsid w:val="007107B2"/>
    <w:rsid w:val="00710906"/>
    <w:rsid w:val="00710945"/>
    <w:rsid w:val="00710AD8"/>
    <w:rsid w:val="00710E33"/>
    <w:rsid w:val="00711C3B"/>
    <w:rsid w:val="00711DA4"/>
    <w:rsid w:val="00713A2E"/>
    <w:rsid w:val="00713AE6"/>
    <w:rsid w:val="00713D6C"/>
    <w:rsid w:val="00713FD4"/>
    <w:rsid w:val="0071422B"/>
    <w:rsid w:val="00714296"/>
    <w:rsid w:val="00714353"/>
    <w:rsid w:val="0071484E"/>
    <w:rsid w:val="00714DD7"/>
    <w:rsid w:val="00715BAA"/>
    <w:rsid w:val="00715D08"/>
    <w:rsid w:val="0071618B"/>
    <w:rsid w:val="00716498"/>
    <w:rsid w:val="0071673E"/>
    <w:rsid w:val="0071725F"/>
    <w:rsid w:val="007173CA"/>
    <w:rsid w:val="007173EA"/>
    <w:rsid w:val="0071751E"/>
    <w:rsid w:val="007176AE"/>
    <w:rsid w:val="00717738"/>
    <w:rsid w:val="00717E55"/>
    <w:rsid w:val="00720332"/>
    <w:rsid w:val="00720964"/>
    <w:rsid w:val="00720FCB"/>
    <w:rsid w:val="00721615"/>
    <w:rsid w:val="00721651"/>
    <w:rsid w:val="007216AA"/>
    <w:rsid w:val="00721AB5"/>
    <w:rsid w:val="00721CFB"/>
    <w:rsid w:val="00721DEF"/>
    <w:rsid w:val="007222FB"/>
    <w:rsid w:val="007227A9"/>
    <w:rsid w:val="00722BF7"/>
    <w:rsid w:val="00722DFB"/>
    <w:rsid w:val="00722EDC"/>
    <w:rsid w:val="007230E9"/>
    <w:rsid w:val="007232C1"/>
    <w:rsid w:val="007233DE"/>
    <w:rsid w:val="00723822"/>
    <w:rsid w:val="00723A47"/>
    <w:rsid w:val="00723B84"/>
    <w:rsid w:val="00724591"/>
    <w:rsid w:val="007246A9"/>
    <w:rsid w:val="007246C4"/>
    <w:rsid w:val="00724A43"/>
    <w:rsid w:val="00724CBA"/>
    <w:rsid w:val="00724F8C"/>
    <w:rsid w:val="007250F6"/>
    <w:rsid w:val="007261CB"/>
    <w:rsid w:val="00726366"/>
    <w:rsid w:val="007264F4"/>
    <w:rsid w:val="007268E9"/>
    <w:rsid w:val="00726D65"/>
    <w:rsid w:val="007273AC"/>
    <w:rsid w:val="00727CA6"/>
    <w:rsid w:val="00730173"/>
    <w:rsid w:val="00730E81"/>
    <w:rsid w:val="007312D5"/>
    <w:rsid w:val="00731AD4"/>
    <w:rsid w:val="007323A1"/>
    <w:rsid w:val="0073264D"/>
    <w:rsid w:val="007326DA"/>
    <w:rsid w:val="00732863"/>
    <w:rsid w:val="0073295C"/>
    <w:rsid w:val="00732C47"/>
    <w:rsid w:val="00732E71"/>
    <w:rsid w:val="00733657"/>
    <w:rsid w:val="00733BAB"/>
    <w:rsid w:val="00733D23"/>
    <w:rsid w:val="00733D97"/>
    <w:rsid w:val="007346E4"/>
    <w:rsid w:val="0073470D"/>
    <w:rsid w:val="007348EC"/>
    <w:rsid w:val="00735564"/>
    <w:rsid w:val="00735679"/>
    <w:rsid w:val="00735E42"/>
    <w:rsid w:val="007366A6"/>
    <w:rsid w:val="007369B1"/>
    <w:rsid w:val="007369F6"/>
    <w:rsid w:val="00736D32"/>
    <w:rsid w:val="007375BE"/>
    <w:rsid w:val="00737897"/>
    <w:rsid w:val="00737B21"/>
    <w:rsid w:val="00737D75"/>
    <w:rsid w:val="00737E50"/>
    <w:rsid w:val="007403E9"/>
    <w:rsid w:val="00740F22"/>
    <w:rsid w:val="00741515"/>
    <w:rsid w:val="007418F5"/>
    <w:rsid w:val="00741BCF"/>
    <w:rsid w:val="00741CF0"/>
    <w:rsid w:val="00741EF9"/>
    <w:rsid w:val="00741F1A"/>
    <w:rsid w:val="00742608"/>
    <w:rsid w:val="00743277"/>
    <w:rsid w:val="0074382D"/>
    <w:rsid w:val="00744157"/>
    <w:rsid w:val="007447B7"/>
    <w:rsid w:val="007447DA"/>
    <w:rsid w:val="00744A3D"/>
    <w:rsid w:val="007450F8"/>
    <w:rsid w:val="00745A0A"/>
    <w:rsid w:val="00745DD4"/>
    <w:rsid w:val="00746211"/>
    <w:rsid w:val="007468A6"/>
    <w:rsid w:val="0074696E"/>
    <w:rsid w:val="00746BC4"/>
    <w:rsid w:val="00746F59"/>
    <w:rsid w:val="00747435"/>
    <w:rsid w:val="0074765A"/>
    <w:rsid w:val="00750135"/>
    <w:rsid w:val="00750429"/>
    <w:rsid w:val="007504A0"/>
    <w:rsid w:val="00750516"/>
    <w:rsid w:val="0075079C"/>
    <w:rsid w:val="00750E02"/>
    <w:rsid w:val="00750EC2"/>
    <w:rsid w:val="00751021"/>
    <w:rsid w:val="00751B45"/>
    <w:rsid w:val="00751CF7"/>
    <w:rsid w:val="00751E7C"/>
    <w:rsid w:val="007528A5"/>
    <w:rsid w:val="00752AFA"/>
    <w:rsid w:val="00752B28"/>
    <w:rsid w:val="00752C60"/>
    <w:rsid w:val="00752E82"/>
    <w:rsid w:val="0075343F"/>
    <w:rsid w:val="007536BC"/>
    <w:rsid w:val="007541A9"/>
    <w:rsid w:val="00754226"/>
    <w:rsid w:val="00754A6E"/>
    <w:rsid w:val="00754B5B"/>
    <w:rsid w:val="00754E36"/>
    <w:rsid w:val="00755201"/>
    <w:rsid w:val="007553BF"/>
    <w:rsid w:val="00755802"/>
    <w:rsid w:val="007558E6"/>
    <w:rsid w:val="007568F4"/>
    <w:rsid w:val="007569F2"/>
    <w:rsid w:val="00756A20"/>
    <w:rsid w:val="00757A1C"/>
    <w:rsid w:val="00757F37"/>
    <w:rsid w:val="00761043"/>
    <w:rsid w:val="00761503"/>
    <w:rsid w:val="007616B8"/>
    <w:rsid w:val="007617DA"/>
    <w:rsid w:val="007625EE"/>
    <w:rsid w:val="00762C6C"/>
    <w:rsid w:val="00762F22"/>
    <w:rsid w:val="00763139"/>
    <w:rsid w:val="007631FC"/>
    <w:rsid w:val="0076428D"/>
    <w:rsid w:val="007643CA"/>
    <w:rsid w:val="0076488D"/>
    <w:rsid w:val="00764D38"/>
    <w:rsid w:val="00765CE1"/>
    <w:rsid w:val="00765F77"/>
    <w:rsid w:val="007663CE"/>
    <w:rsid w:val="0076683D"/>
    <w:rsid w:val="00766978"/>
    <w:rsid w:val="00766D00"/>
    <w:rsid w:val="00766EA8"/>
    <w:rsid w:val="00766F5A"/>
    <w:rsid w:val="00767235"/>
    <w:rsid w:val="007676A1"/>
    <w:rsid w:val="00767DE6"/>
    <w:rsid w:val="00770526"/>
    <w:rsid w:val="00770A15"/>
    <w:rsid w:val="00770A4C"/>
    <w:rsid w:val="00770B93"/>
    <w:rsid w:val="00770F37"/>
    <w:rsid w:val="007711A0"/>
    <w:rsid w:val="0077149F"/>
    <w:rsid w:val="0077199A"/>
    <w:rsid w:val="007721D6"/>
    <w:rsid w:val="00772B7E"/>
    <w:rsid w:val="00772CA0"/>
    <w:rsid w:val="00772D5E"/>
    <w:rsid w:val="0077315D"/>
    <w:rsid w:val="0077382D"/>
    <w:rsid w:val="00773A1B"/>
    <w:rsid w:val="00773F38"/>
    <w:rsid w:val="007743D5"/>
    <w:rsid w:val="0077463E"/>
    <w:rsid w:val="00774687"/>
    <w:rsid w:val="00774B23"/>
    <w:rsid w:val="00774FC8"/>
    <w:rsid w:val="007761E3"/>
    <w:rsid w:val="00776928"/>
    <w:rsid w:val="00776D56"/>
    <w:rsid w:val="00776D9C"/>
    <w:rsid w:val="00776E0F"/>
    <w:rsid w:val="007774B1"/>
    <w:rsid w:val="00777BE1"/>
    <w:rsid w:val="00777E6E"/>
    <w:rsid w:val="00777EEE"/>
    <w:rsid w:val="00780088"/>
    <w:rsid w:val="00780490"/>
    <w:rsid w:val="00780645"/>
    <w:rsid w:val="00780A95"/>
    <w:rsid w:val="00780EAF"/>
    <w:rsid w:val="007812A2"/>
    <w:rsid w:val="00781896"/>
    <w:rsid w:val="00781972"/>
    <w:rsid w:val="00781EEC"/>
    <w:rsid w:val="00782222"/>
    <w:rsid w:val="00782345"/>
    <w:rsid w:val="00782B77"/>
    <w:rsid w:val="0078310B"/>
    <w:rsid w:val="007833D8"/>
    <w:rsid w:val="00783562"/>
    <w:rsid w:val="00783A11"/>
    <w:rsid w:val="00783C54"/>
    <w:rsid w:val="00783C68"/>
    <w:rsid w:val="00783CD5"/>
    <w:rsid w:val="00783DCC"/>
    <w:rsid w:val="0078421A"/>
    <w:rsid w:val="00785677"/>
    <w:rsid w:val="00785981"/>
    <w:rsid w:val="00785C6C"/>
    <w:rsid w:val="00786D91"/>
    <w:rsid w:val="00786F16"/>
    <w:rsid w:val="00787604"/>
    <w:rsid w:val="0079007F"/>
    <w:rsid w:val="00790133"/>
    <w:rsid w:val="00790701"/>
    <w:rsid w:val="00790FEE"/>
    <w:rsid w:val="007911F8"/>
    <w:rsid w:val="007912BD"/>
    <w:rsid w:val="007919CB"/>
    <w:rsid w:val="00791B04"/>
    <w:rsid w:val="00791BD7"/>
    <w:rsid w:val="00792569"/>
    <w:rsid w:val="00793135"/>
    <w:rsid w:val="007933F7"/>
    <w:rsid w:val="00793A3A"/>
    <w:rsid w:val="007941E7"/>
    <w:rsid w:val="00794797"/>
    <w:rsid w:val="007947C2"/>
    <w:rsid w:val="00794D01"/>
    <w:rsid w:val="007953D9"/>
    <w:rsid w:val="0079571F"/>
    <w:rsid w:val="007958A7"/>
    <w:rsid w:val="00795B27"/>
    <w:rsid w:val="00796102"/>
    <w:rsid w:val="00796142"/>
    <w:rsid w:val="00796221"/>
    <w:rsid w:val="0079675E"/>
    <w:rsid w:val="00796774"/>
    <w:rsid w:val="007968BB"/>
    <w:rsid w:val="00796E20"/>
    <w:rsid w:val="00797BE3"/>
    <w:rsid w:val="00797C32"/>
    <w:rsid w:val="007A0012"/>
    <w:rsid w:val="007A0113"/>
    <w:rsid w:val="007A0510"/>
    <w:rsid w:val="007A0BDB"/>
    <w:rsid w:val="007A11E8"/>
    <w:rsid w:val="007A16B2"/>
    <w:rsid w:val="007A2D91"/>
    <w:rsid w:val="007A3E49"/>
    <w:rsid w:val="007A3FCD"/>
    <w:rsid w:val="007A4888"/>
    <w:rsid w:val="007A49F0"/>
    <w:rsid w:val="007A4A50"/>
    <w:rsid w:val="007A4D1C"/>
    <w:rsid w:val="007A4E36"/>
    <w:rsid w:val="007A5219"/>
    <w:rsid w:val="007A55FF"/>
    <w:rsid w:val="007A57CB"/>
    <w:rsid w:val="007A5906"/>
    <w:rsid w:val="007A6442"/>
    <w:rsid w:val="007A6F54"/>
    <w:rsid w:val="007A7058"/>
    <w:rsid w:val="007A7BD4"/>
    <w:rsid w:val="007B0403"/>
    <w:rsid w:val="007B0642"/>
    <w:rsid w:val="007B0914"/>
    <w:rsid w:val="007B0ACD"/>
    <w:rsid w:val="007B0DA4"/>
    <w:rsid w:val="007B1374"/>
    <w:rsid w:val="007B1D59"/>
    <w:rsid w:val="007B1EC2"/>
    <w:rsid w:val="007B2576"/>
    <w:rsid w:val="007B286A"/>
    <w:rsid w:val="007B2DDC"/>
    <w:rsid w:val="007B32E5"/>
    <w:rsid w:val="007B38B5"/>
    <w:rsid w:val="007B3A98"/>
    <w:rsid w:val="007B3DB9"/>
    <w:rsid w:val="007B4B55"/>
    <w:rsid w:val="007B510A"/>
    <w:rsid w:val="007B5454"/>
    <w:rsid w:val="007B589F"/>
    <w:rsid w:val="007B6186"/>
    <w:rsid w:val="007B67A7"/>
    <w:rsid w:val="007B6D9F"/>
    <w:rsid w:val="007B73BC"/>
    <w:rsid w:val="007B7469"/>
    <w:rsid w:val="007B7E3C"/>
    <w:rsid w:val="007C0673"/>
    <w:rsid w:val="007C077E"/>
    <w:rsid w:val="007C0BD4"/>
    <w:rsid w:val="007C0C60"/>
    <w:rsid w:val="007C1628"/>
    <w:rsid w:val="007C1838"/>
    <w:rsid w:val="007C186B"/>
    <w:rsid w:val="007C18DE"/>
    <w:rsid w:val="007C2084"/>
    <w:rsid w:val="007C20B9"/>
    <w:rsid w:val="007C2D56"/>
    <w:rsid w:val="007C3129"/>
    <w:rsid w:val="007C38CA"/>
    <w:rsid w:val="007C525B"/>
    <w:rsid w:val="007C554A"/>
    <w:rsid w:val="007C56DC"/>
    <w:rsid w:val="007C60EA"/>
    <w:rsid w:val="007C6385"/>
    <w:rsid w:val="007C65C3"/>
    <w:rsid w:val="007C677C"/>
    <w:rsid w:val="007C6811"/>
    <w:rsid w:val="007C69E5"/>
    <w:rsid w:val="007C6CD8"/>
    <w:rsid w:val="007C7301"/>
    <w:rsid w:val="007C7440"/>
    <w:rsid w:val="007C7859"/>
    <w:rsid w:val="007C78A8"/>
    <w:rsid w:val="007C7EE4"/>
    <w:rsid w:val="007C7F28"/>
    <w:rsid w:val="007D0C0B"/>
    <w:rsid w:val="007D0C1C"/>
    <w:rsid w:val="007D0F49"/>
    <w:rsid w:val="007D0F82"/>
    <w:rsid w:val="007D1466"/>
    <w:rsid w:val="007D1786"/>
    <w:rsid w:val="007D18E8"/>
    <w:rsid w:val="007D1B38"/>
    <w:rsid w:val="007D25C6"/>
    <w:rsid w:val="007D27CB"/>
    <w:rsid w:val="007D2BDE"/>
    <w:rsid w:val="007D2FB6"/>
    <w:rsid w:val="007D331D"/>
    <w:rsid w:val="007D3749"/>
    <w:rsid w:val="007D3EDA"/>
    <w:rsid w:val="007D403D"/>
    <w:rsid w:val="007D458A"/>
    <w:rsid w:val="007D4590"/>
    <w:rsid w:val="007D49EB"/>
    <w:rsid w:val="007D4A21"/>
    <w:rsid w:val="007D4BAB"/>
    <w:rsid w:val="007D4C70"/>
    <w:rsid w:val="007D4D77"/>
    <w:rsid w:val="007D5114"/>
    <w:rsid w:val="007D5981"/>
    <w:rsid w:val="007D5D3E"/>
    <w:rsid w:val="007D5E1C"/>
    <w:rsid w:val="007D6574"/>
    <w:rsid w:val="007D6863"/>
    <w:rsid w:val="007D69BB"/>
    <w:rsid w:val="007D6BFB"/>
    <w:rsid w:val="007D6F27"/>
    <w:rsid w:val="007D7357"/>
    <w:rsid w:val="007D7DA4"/>
    <w:rsid w:val="007E0122"/>
    <w:rsid w:val="007E0C05"/>
    <w:rsid w:val="007E0DE2"/>
    <w:rsid w:val="007E107F"/>
    <w:rsid w:val="007E11D8"/>
    <w:rsid w:val="007E152C"/>
    <w:rsid w:val="007E15CC"/>
    <w:rsid w:val="007E16D2"/>
    <w:rsid w:val="007E1D64"/>
    <w:rsid w:val="007E2132"/>
    <w:rsid w:val="007E2247"/>
    <w:rsid w:val="007E2414"/>
    <w:rsid w:val="007E2ACF"/>
    <w:rsid w:val="007E2D9A"/>
    <w:rsid w:val="007E324A"/>
    <w:rsid w:val="007E3667"/>
    <w:rsid w:val="007E3B98"/>
    <w:rsid w:val="007E4042"/>
    <w:rsid w:val="007E417A"/>
    <w:rsid w:val="007E4419"/>
    <w:rsid w:val="007E44FD"/>
    <w:rsid w:val="007E4634"/>
    <w:rsid w:val="007E5670"/>
    <w:rsid w:val="007E5684"/>
    <w:rsid w:val="007E591F"/>
    <w:rsid w:val="007E693B"/>
    <w:rsid w:val="007E6C29"/>
    <w:rsid w:val="007E6CAE"/>
    <w:rsid w:val="007E704A"/>
    <w:rsid w:val="007E7466"/>
    <w:rsid w:val="007E760A"/>
    <w:rsid w:val="007E78DD"/>
    <w:rsid w:val="007E79E4"/>
    <w:rsid w:val="007F04D0"/>
    <w:rsid w:val="007F0842"/>
    <w:rsid w:val="007F0A2E"/>
    <w:rsid w:val="007F0E3A"/>
    <w:rsid w:val="007F1089"/>
    <w:rsid w:val="007F15BF"/>
    <w:rsid w:val="007F1B73"/>
    <w:rsid w:val="007F1F6E"/>
    <w:rsid w:val="007F2033"/>
    <w:rsid w:val="007F20A8"/>
    <w:rsid w:val="007F24A9"/>
    <w:rsid w:val="007F2C01"/>
    <w:rsid w:val="007F2E8C"/>
    <w:rsid w:val="007F31B6"/>
    <w:rsid w:val="007F348B"/>
    <w:rsid w:val="007F4323"/>
    <w:rsid w:val="007F4DA4"/>
    <w:rsid w:val="007F4EF7"/>
    <w:rsid w:val="007F4F27"/>
    <w:rsid w:val="007F546C"/>
    <w:rsid w:val="007F550A"/>
    <w:rsid w:val="007F5693"/>
    <w:rsid w:val="007F58C0"/>
    <w:rsid w:val="007F5A46"/>
    <w:rsid w:val="007F625F"/>
    <w:rsid w:val="007F665E"/>
    <w:rsid w:val="007F7797"/>
    <w:rsid w:val="007F7C0A"/>
    <w:rsid w:val="008000EF"/>
    <w:rsid w:val="00800412"/>
    <w:rsid w:val="00800998"/>
    <w:rsid w:val="00800F1C"/>
    <w:rsid w:val="00801667"/>
    <w:rsid w:val="00801D84"/>
    <w:rsid w:val="00801DB0"/>
    <w:rsid w:val="00802011"/>
    <w:rsid w:val="0080258D"/>
    <w:rsid w:val="008027D0"/>
    <w:rsid w:val="0080371A"/>
    <w:rsid w:val="00803AF9"/>
    <w:rsid w:val="00803B5D"/>
    <w:rsid w:val="008041B7"/>
    <w:rsid w:val="00804337"/>
    <w:rsid w:val="00804D7D"/>
    <w:rsid w:val="00804DA0"/>
    <w:rsid w:val="00805463"/>
    <w:rsid w:val="008054BE"/>
    <w:rsid w:val="00805807"/>
    <w:rsid w:val="0080587B"/>
    <w:rsid w:val="00805CD7"/>
    <w:rsid w:val="0080606D"/>
    <w:rsid w:val="008060ED"/>
    <w:rsid w:val="00806468"/>
    <w:rsid w:val="00806A55"/>
    <w:rsid w:val="00806F66"/>
    <w:rsid w:val="00807077"/>
    <w:rsid w:val="00807396"/>
    <w:rsid w:val="008073EA"/>
    <w:rsid w:val="008078D0"/>
    <w:rsid w:val="008079F3"/>
    <w:rsid w:val="00807AA0"/>
    <w:rsid w:val="00807EAE"/>
    <w:rsid w:val="008106BB"/>
    <w:rsid w:val="00811879"/>
    <w:rsid w:val="008119CA"/>
    <w:rsid w:val="00811B28"/>
    <w:rsid w:val="00811F11"/>
    <w:rsid w:val="00812208"/>
    <w:rsid w:val="00812411"/>
    <w:rsid w:val="008129A4"/>
    <w:rsid w:val="008130C4"/>
    <w:rsid w:val="00813114"/>
    <w:rsid w:val="00814429"/>
    <w:rsid w:val="00814A83"/>
    <w:rsid w:val="00815168"/>
    <w:rsid w:val="008153BA"/>
    <w:rsid w:val="008153F2"/>
    <w:rsid w:val="008155F0"/>
    <w:rsid w:val="00815821"/>
    <w:rsid w:val="0081598E"/>
    <w:rsid w:val="00815997"/>
    <w:rsid w:val="00815C7F"/>
    <w:rsid w:val="00815E6D"/>
    <w:rsid w:val="008163E1"/>
    <w:rsid w:val="00816735"/>
    <w:rsid w:val="008169CE"/>
    <w:rsid w:val="00816B62"/>
    <w:rsid w:val="00816D8A"/>
    <w:rsid w:val="00817054"/>
    <w:rsid w:val="008170CA"/>
    <w:rsid w:val="00817A43"/>
    <w:rsid w:val="00820141"/>
    <w:rsid w:val="0082088A"/>
    <w:rsid w:val="00820E0C"/>
    <w:rsid w:val="008211C1"/>
    <w:rsid w:val="008226E1"/>
    <w:rsid w:val="00822852"/>
    <w:rsid w:val="00822926"/>
    <w:rsid w:val="00823053"/>
    <w:rsid w:val="00823275"/>
    <w:rsid w:val="0082366F"/>
    <w:rsid w:val="00823E2A"/>
    <w:rsid w:val="0082459B"/>
    <w:rsid w:val="008248CA"/>
    <w:rsid w:val="00824C8A"/>
    <w:rsid w:val="00824FDE"/>
    <w:rsid w:val="00825641"/>
    <w:rsid w:val="008257C8"/>
    <w:rsid w:val="00825A64"/>
    <w:rsid w:val="008260F9"/>
    <w:rsid w:val="00826518"/>
    <w:rsid w:val="0082771D"/>
    <w:rsid w:val="00827754"/>
    <w:rsid w:val="00827824"/>
    <w:rsid w:val="00827ABE"/>
    <w:rsid w:val="00827FEE"/>
    <w:rsid w:val="00830B7B"/>
    <w:rsid w:val="00830E0E"/>
    <w:rsid w:val="00831280"/>
    <w:rsid w:val="0083178E"/>
    <w:rsid w:val="008317F5"/>
    <w:rsid w:val="00831804"/>
    <w:rsid w:val="0083210D"/>
    <w:rsid w:val="0083299C"/>
    <w:rsid w:val="008338A2"/>
    <w:rsid w:val="00833E50"/>
    <w:rsid w:val="00834968"/>
    <w:rsid w:val="00834AC2"/>
    <w:rsid w:val="00834F3D"/>
    <w:rsid w:val="0083586B"/>
    <w:rsid w:val="0083595B"/>
    <w:rsid w:val="00835FA8"/>
    <w:rsid w:val="008361A6"/>
    <w:rsid w:val="00836E60"/>
    <w:rsid w:val="00836EAB"/>
    <w:rsid w:val="00841775"/>
    <w:rsid w:val="008418C0"/>
    <w:rsid w:val="00841AA9"/>
    <w:rsid w:val="00841EB6"/>
    <w:rsid w:val="00842154"/>
    <w:rsid w:val="00842B1E"/>
    <w:rsid w:val="00842CEC"/>
    <w:rsid w:val="00842E2E"/>
    <w:rsid w:val="00842EF2"/>
    <w:rsid w:val="008430E5"/>
    <w:rsid w:val="0084337A"/>
    <w:rsid w:val="008442FD"/>
    <w:rsid w:val="00844319"/>
    <w:rsid w:val="008444E2"/>
    <w:rsid w:val="008449E1"/>
    <w:rsid w:val="00844EAF"/>
    <w:rsid w:val="008451F0"/>
    <w:rsid w:val="0084541E"/>
    <w:rsid w:val="008457B6"/>
    <w:rsid w:val="0084582F"/>
    <w:rsid w:val="00845C47"/>
    <w:rsid w:val="00845CA2"/>
    <w:rsid w:val="00845F03"/>
    <w:rsid w:val="0084602A"/>
    <w:rsid w:val="008468C3"/>
    <w:rsid w:val="008474FE"/>
    <w:rsid w:val="008475A0"/>
    <w:rsid w:val="00847B92"/>
    <w:rsid w:val="00847DFA"/>
    <w:rsid w:val="008500D2"/>
    <w:rsid w:val="008502D5"/>
    <w:rsid w:val="00850DFF"/>
    <w:rsid w:val="00851564"/>
    <w:rsid w:val="00851811"/>
    <w:rsid w:val="00851BD3"/>
    <w:rsid w:val="00851C01"/>
    <w:rsid w:val="00851D90"/>
    <w:rsid w:val="008524B9"/>
    <w:rsid w:val="00852652"/>
    <w:rsid w:val="00852D09"/>
    <w:rsid w:val="00852E52"/>
    <w:rsid w:val="00852FD4"/>
    <w:rsid w:val="008531A6"/>
    <w:rsid w:val="0085325C"/>
    <w:rsid w:val="008534F1"/>
    <w:rsid w:val="00853E3E"/>
    <w:rsid w:val="00853EE4"/>
    <w:rsid w:val="00854808"/>
    <w:rsid w:val="00854D88"/>
    <w:rsid w:val="00855535"/>
    <w:rsid w:val="0085621E"/>
    <w:rsid w:val="008568CA"/>
    <w:rsid w:val="00856E81"/>
    <w:rsid w:val="00857042"/>
    <w:rsid w:val="008576B0"/>
    <w:rsid w:val="008578F4"/>
    <w:rsid w:val="00857C5A"/>
    <w:rsid w:val="00857E1B"/>
    <w:rsid w:val="008608BE"/>
    <w:rsid w:val="00860CBE"/>
    <w:rsid w:val="00861C9E"/>
    <w:rsid w:val="0086255E"/>
    <w:rsid w:val="0086265A"/>
    <w:rsid w:val="00863057"/>
    <w:rsid w:val="00863110"/>
    <w:rsid w:val="008633F0"/>
    <w:rsid w:val="00863C33"/>
    <w:rsid w:val="00863ED7"/>
    <w:rsid w:val="008648DD"/>
    <w:rsid w:val="0086522C"/>
    <w:rsid w:val="0086524B"/>
    <w:rsid w:val="0086572A"/>
    <w:rsid w:val="00865781"/>
    <w:rsid w:val="00865B26"/>
    <w:rsid w:val="00866293"/>
    <w:rsid w:val="008663F4"/>
    <w:rsid w:val="00866959"/>
    <w:rsid w:val="00866FF5"/>
    <w:rsid w:val="008678F2"/>
    <w:rsid w:val="00867D9D"/>
    <w:rsid w:val="00867F8B"/>
    <w:rsid w:val="0087009F"/>
    <w:rsid w:val="00870115"/>
    <w:rsid w:val="00870590"/>
    <w:rsid w:val="008705B9"/>
    <w:rsid w:val="00870BD0"/>
    <w:rsid w:val="00871003"/>
    <w:rsid w:val="008719A8"/>
    <w:rsid w:val="008721D2"/>
    <w:rsid w:val="00872976"/>
    <w:rsid w:val="00872BB9"/>
    <w:rsid w:val="00872E0A"/>
    <w:rsid w:val="00872FFA"/>
    <w:rsid w:val="00873366"/>
    <w:rsid w:val="00873570"/>
    <w:rsid w:val="00873594"/>
    <w:rsid w:val="0087380F"/>
    <w:rsid w:val="00873819"/>
    <w:rsid w:val="00873B4A"/>
    <w:rsid w:val="008744DE"/>
    <w:rsid w:val="00875285"/>
    <w:rsid w:val="008754C0"/>
    <w:rsid w:val="0087560A"/>
    <w:rsid w:val="0087572B"/>
    <w:rsid w:val="00875734"/>
    <w:rsid w:val="00875D86"/>
    <w:rsid w:val="00875EBF"/>
    <w:rsid w:val="00876654"/>
    <w:rsid w:val="00876F34"/>
    <w:rsid w:val="00877BAB"/>
    <w:rsid w:val="00880C5D"/>
    <w:rsid w:val="00880D2D"/>
    <w:rsid w:val="00880E53"/>
    <w:rsid w:val="008813AF"/>
    <w:rsid w:val="00881F8C"/>
    <w:rsid w:val="008823F9"/>
    <w:rsid w:val="008828D2"/>
    <w:rsid w:val="00882E84"/>
    <w:rsid w:val="008836BD"/>
    <w:rsid w:val="00883B7C"/>
    <w:rsid w:val="00883DB7"/>
    <w:rsid w:val="00884209"/>
    <w:rsid w:val="00884B62"/>
    <w:rsid w:val="00884BA1"/>
    <w:rsid w:val="0088511C"/>
    <w:rsid w:val="0088529C"/>
    <w:rsid w:val="0088545E"/>
    <w:rsid w:val="00885C4C"/>
    <w:rsid w:val="008862EB"/>
    <w:rsid w:val="00886764"/>
    <w:rsid w:val="00886878"/>
    <w:rsid w:val="00886A55"/>
    <w:rsid w:val="00886C12"/>
    <w:rsid w:val="00887406"/>
    <w:rsid w:val="00887893"/>
    <w:rsid w:val="00887903"/>
    <w:rsid w:val="00887D72"/>
    <w:rsid w:val="00887FE8"/>
    <w:rsid w:val="00890373"/>
    <w:rsid w:val="00890F36"/>
    <w:rsid w:val="00890F6D"/>
    <w:rsid w:val="008910DF"/>
    <w:rsid w:val="008910EE"/>
    <w:rsid w:val="0089114C"/>
    <w:rsid w:val="00891439"/>
    <w:rsid w:val="00891623"/>
    <w:rsid w:val="00891B54"/>
    <w:rsid w:val="0089242E"/>
    <w:rsid w:val="008925C8"/>
    <w:rsid w:val="0089266D"/>
    <w:rsid w:val="0089270A"/>
    <w:rsid w:val="008927A3"/>
    <w:rsid w:val="008929FA"/>
    <w:rsid w:val="00892DE3"/>
    <w:rsid w:val="00892ECF"/>
    <w:rsid w:val="008935B0"/>
    <w:rsid w:val="00893AF6"/>
    <w:rsid w:val="00894557"/>
    <w:rsid w:val="00894BC4"/>
    <w:rsid w:val="00894FF6"/>
    <w:rsid w:val="00895332"/>
    <w:rsid w:val="00895634"/>
    <w:rsid w:val="00895D85"/>
    <w:rsid w:val="00896890"/>
    <w:rsid w:val="00896FCF"/>
    <w:rsid w:val="0089736C"/>
    <w:rsid w:val="0089773C"/>
    <w:rsid w:val="00897AD3"/>
    <w:rsid w:val="00897C49"/>
    <w:rsid w:val="00897FC4"/>
    <w:rsid w:val="008A02F2"/>
    <w:rsid w:val="008A0454"/>
    <w:rsid w:val="008A0710"/>
    <w:rsid w:val="008A09C4"/>
    <w:rsid w:val="008A0B0B"/>
    <w:rsid w:val="008A109E"/>
    <w:rsid w:val="008A1444"/>
    <w:rsid w:val="008A2350"/>
    <w:rsid w:val="008A244E"/>
    <w:rsid w:val="008A28A8"/>
    <w:rsid w:val="008A352F"/>
    <w:rsid w:val="008A415E"/>
    <w:rsid w:val="008A4424"/>
    <w:rsid w:val="008A4533"/>
    <w:rsid w:val="008A4728"/>
    <w:rsid w:val="008A4FD2"/>
    <w:rsid w:val="008A5487"/>
    <w:rsid w:val="008A5B32"/>
    <w:rsid w:val="008A63C6"/>
    <w:rsid w:val="008A6805"/>
    <w:rsid w:val="008A6BD5"/>
    <w:rsid w:val="008A6C7E"/>
    <w:rsid w:val="008A7ED5"/>
    <w:rsid w:val="008B06FF"/>
    <w:rsid w:val="008B075E"/>
    <w:rsid w:val="008B080E"/>
    <w:rsid w:val="008B08CC"/>
    <w:rsid w:val="008B0AE4"/>
    <w:rsid w:val="008B1021"/>
    <w:rsid w:val="008B11DF"/>
    <w:rsid w:val="008B1624"/>
    <w:rsid w:val="008B197F"/>
    <w:rsid w:val="008B1AAE"/>
    <w:rsid w:val="008B1D7B"/>
    <w:rsid w:val="008B2029"/>
    <w:rsid w:val="008B2373"/>
    <w:rsid w:val="008B27ED"/>
    <w:rsid w:val="008B2DF9"/>
    <w:rsid w:val="008B2E9B"/>
    <w:rsid w:val="008B2EE4"/>
    <w:rsid w:val="008B3821"/>
    <w:rsid w:val="008B3B83"/>
    <w:rsid w:val="008B3CE0"/>
    <w:rsid w:val="008B4413"/>
    <w:rsid w:val="008B481A"/>
    <w:rsid w:val="008B4D3D"/>
    <w:rsid w:val="008B57C7"/>
    <w:rsid w:val="008B5BD1"/>
    <w:rsid w:val="008B5D9B"/>
    <w:rsid w:val="008B68D2"/>
    <w:rsid w:val="008B6FFE"/>
    <w:rsid w:val="008B7A74"/>
    <w:rsid w:val="008B7CEA"/>
    <w:rsid w:val="008C060C"/>
    <w:rsid w:val="008C088F"/>
    <w:rsid w:val="008C0BB7"/>
    <w:rsid w:val="008C153F"/>
    <w:rsid w:val="008C264C"/>
    <w:rsid w:val="008C26D6"/>
    <w:rsid w:val="008C27BD"/>
    <w:rsid w:val="008C294E"/>
    <w:rsid w:val="008C2F92"/>
    <w:rsid w:val="008C3546"/>
    <w:rsid w:val="008C37DC"/>
    <w:rsid w:val="008C38BE"/>
    <w:rsid w:val="008C393B"/>
    <w:rsid w:val="008C39C3"/>
    <w:rsid w:val="008C3A34"/>
    <w:rsid w:val="008C3C12"/>
    <w:rsid w:val="008C4768"/>
    <w:rsid w:val="008C4795"/>
    <w:rsid w:val="008C4805"/>
    <w:rsid w:val="008C4AF5"/>
    <w:rsid w:val="008C544E"/>
    <w:rsid w:val="008C589D"/>
    <w:rsid w:val="008C5C0E"/>
    <w:rsid w:val="008C622E"/>
    <w:rsid w:val="008C62C9"/>
    <w:rsid w:val="008C66A0"/>
    <w:rsid w:val="008C6A6D"/>
    <w:rsid w:val="008C6D51"/>
    <w:rsid w:val="008C6E4C"/>
    <w:rsid w:val="008C737C"/>
    <w:rsid w:val="008C7CA6"/>
    <w:rsid w:val="008C7DCC"/>
    <w:rsid w:val="008D0876"/>
    <w:rsid w:val="008D191E"/>
    <w:rsid w:val="008D19A5"/>
    <w:rsid w:val="008D246E"/>
    <w:rsid w:val="008D25BF"/>
    <w:rsid w:val="008D2846"/>
    <w:rsid w:val="008D35C0"/>
    <w:rsid w:val="008D398F"/>
    <w:rsid w:val="008D3E82"/>
    <w:rsid w:val="008D4236"/>
    <w:rsid w:val="008D44A6"/>
    <w:rsid w:val="008D462F"/>
    <w:rsid w:val="008D4824"/>
    <w:rsid w:val="008D5089"/>
    <w:rsid w:val="008D5218"/>
    <w:rsid w:val="008D525B"/>
    <w:rsid w:val="008D5879"/>
    <w:rsid w:val="008D5A05"/>
    <w:rsid w:val="008D5A81"/>
    <w:rsid w:val="008D5E9E"/>
    <w:rsid w:val="008D6243"/>
    <w:rsid w:val="008D6B00"/>
    <w:rsid w:val="008D6B30"/>
    <w:rsid w:val="008D6BFC"/>
    <w:rsid w:val="008D6DCF"/>
    <w:rsid w:val="008D7437"/>
    <w:rsid w:val="008D77F0"/>
    <w:rsid w:val="008D7832"/>
    <w:rsid w:val="008D7940"/>
    <w:rsid w:val="008D799C"/>
    <w:rsid w:val="008E0C2F"/>
    <w:rsid w:val="008E0F40"/>
    <w:rsid w:val="008E1C36"/>
    <w:rsid w:val="008E2120"/>
    <w:rsid w:val="008E278E"/>
    <w:rsid w:val="008E2999"/>
    <w:rsid w:val="008E31CD"/>
    <w:rsid w:val="008E3552"/>
    <w:rsid w:val="008E3C87"/>
    <w:rsid w:val="008E3ED7"/>
    <w:rsid w:val="008E3F9D"/>
    <w:rsid w:val="008E4301"/>
    <w:rsid w:val="008E4376"/>
    <w:rsid w:val="008E49CE"/>
    <w:rsid w:val="008E4C81"/>
    <w:rsid w:val="008E528D"/>
    <w:rsid w:val="008E5714"/>
    <w:rsid w:val="008E6DD4"/>
    <w:rsid w:val="008E6EEE"/>
    <w:rsid w:val="008E719C"/>
    <w:rsid w:val="008E7430"/>
    <w:rsid w:val="008E747E"/>
    <w:rsid w:val="008E7A0A"/>
    <w:rsid w:val="008E7AA3"/>
    <w:rsid w:val="008E7B49"/>
    <w:rsid w:val="008E7F20"/>
    <w:rsid w:val="008F06DD"/>
    <w:rsid w:val="008F0B3A"/>
    <w:rsid w:val="008F1422"/>
    <w:rsid w:val="008F143B"/>
    <w:rsid w:val="008F1773"/>
    <w:rsid w:val="008F1775"/>
    <w:rsid w:val="008F17CE"/>
    <w:rsid w:val="008F1B23"/>
    <w:rsid w:val="008F24E0"/>
    <w:rsid w:val="008F2864"/>
    <w:rsid w:val="008F298B"/>
    <w:rsid w:val="008F2E2A"/>
    <w:rsid w:val="008F3062"/>
    <w:rsid w:val="008F34DC"/>
    <w:rsid w:val="008F3BD5"/>
    <w:rsid w:val="008F3DB7"/>
    <w:rsid w:val="008F5300"/>
    <w:rsid w:val="008F54A7"/>
    <w:rsid w:val="008F59F6"/>
    <w:rsid w:val="008F6310"/>
    <w:rsid w:val="008F72F7"/>
    <w:rsid w:val="008F78D0"/>
    <w:rsid w:val="00900719"/>
    <w:rsid w:val="009009AA"/>
    <w:rsid w:val="00900C41"/>
    <w:rsid w:val="00901046"/>
    <w:rsid w:val="0090130D"/>
    <w:rsid w:val="009017AC"/>
    <w:rsid w:val="00901845"/>
    <w:rsid w:val="00901940"/>
    <w:rsid w:val="009019F4"/>
    <w:rsid w:val="00901A4E"/>
    <w:rsid w:val="00901CF5"/>
    <w:rsid w:val="00901E93"/>
    <w:rsid w:val="00902A9A"/>
    <w:rsid w:val="00902F7E"/>
    <w:rsid w:val="0090374F"/>
    <w:rsid w:val="00903781"/>
    <w:rsid w:val="00903C44"/>
    <w:rsid w:val="00904753"/>
    <w:rsid w:val="009048D8"/>
    <w:rsid w:val="00904A1C"/>
    <w:rsid w:val="00904FB1"/>
    <w:rsid w:val="00905030"/>
    <w:rsid w:val="00905178"/>
    <w:rsid w:val="00905C88"/>
    <w:rsid w:val="0090602E"/>
    <w:rsid w:val="009060FE"/>
    <w:rsid w:val="00906490"/>
    <w:rsid w:val="00906562"/>
    <w:rsid w:val="009066EF"/>
    <w:rsid w:val="00907CEF"/>
    <w:rsid w:val="00907FE2"/>
    <w:rsid w:val="00910331"/>
    <w:rsid w:val="009103FD"/>
    <w:rsid w:val="009108C9"/>
    <w:rsid w:val="00910C25"/>
    <w:rsid w:val="00910C38"/>
    <w:rsid w:val="00910CB6"/>
    <w:rsid w:val="00910E7C"/>
    <w:rsid w:val="009111B2"/>
    <w:rsid w:val="009116F4"/>
    <w:rsid w:val="00911C60"/>
    <w:rsid w:val="009122E5"/>
    <w:rsid w:val="00912530"/>
    <w:rsid w:val="00912F1C"/>
    <w:rsid w:val="00913354"/>
    <w:rsid w:val="0091336A"/>
    <w:rsid w:val="00913A54"/>
    <w:rsid w:val="00913C9D"/>
    <w:rsid w:val="009151F5"/>
    <w:rsid w:val="009152EF"/>
    <w:rsid w:val="009154BD"/>
    <w:rsid w:val="00915A5D"/>
    <w:rsid w:val="00916A20"/>
    <w:rsid w:val="00916AF6"/>
    <w:rsid w:val="00916D03"/>
    <w:rsid w:val="00916E49"/>
    <w:rsid w:val="00917856"/>
    <w:rsid w:val="00917D1A"/>
    <w:rsid w:val="00917E28"/>
    <w:rsid w:val="0092000F"/>
    <w:rsid w:val="009200A4"/>
    <w:rsid w:val="0092027D"/>
    <w:rsid w:val="009216D8"/>
    <w:rsid w:val="009219F7"/>
    <w:rsid w:val="00921FBB"/>
    <w:rsid w:val="009223C7"/>
    <w:rsid w:val="00922EFC"/>
    <w:rsid w:val="009238ED"/>
    <w:rsid w:val="00923D5D"/>
    <w:rsid w:val="009242F1"/>
    <w:rsid w:val="0092440B"/>
    <w:rsid w:val="009244DC"/>
    <w:rsid w:val="00924AE1"/>
    <w:rsid w:val="00925D77"/>
    <w:rsid w:val="00926213"/>
    <w:rsid w:val="00926443"/>
    <w:rsid w:val="009269B1"/>
    <w:rsid w:val="00927078"/>
    <w:rsid w:val="0092724D"/>
    <w:rsid w:val="009272B3"/>
    <w:rsid w:val="00927450"/>
    <w:rsid w:val="00927542"/>
    <w:rsid w:val="00930562"/>
    <w:rsid w:val="00930D69"/>
    <w:rsid w:val="00930E1D"/>
    <w:rsid w:val="00930F12"/>
    <w:rsid w:val="00931106"/>
    <w:rsid w:val="009315BE"/>
    <w:rsid w:val="00931F6D"/>
    <w:rsid w:val="0093206C"/>
    <w:rsid w:val="0093255B"/>
    <w:rsid w:val="009326DD"/>
    <w:rsid w:val="00932A39"/>
    <w:rsid w:val="00932B85"/>
    <w:rsid w:val="009331F0"/>
    <w:rsid w:val="0093338F"/>
    <w:rsid w:val="0093389E"/>
    <w:rsid w:val="009338A0"/>
    <w:rsid w:val="009339B0"/>
    <w:rsid w:val="0093478D"/>
    <w:rsid w:val="009352CF"/>
    <w:rsid w:val="009353FE"/>
    <w:rsid w:val="00935F66"/>
    <w:rsid w:val="00936152"/>
    <w:rsid w:val="00936C92"/>
    <w:rsid w:val="0093720D"/>
    <w:rsid w:val="009378A9"/>
    <w:rsid w:val="00937A02"/>
    <w:rsid w:val="00937BD9"/>
    <w:rsid w:val="00940A7E"/>
    <w:rsid w:val="009418A9"/>
    <w:rsid w:val="00942026"/>
    <w:rsid w:val="00942062"/>
    <w:rsid w:val="00942143"/>
    <w:rsid w:val="00942A2C"/>
    <w:rsid w:val="00942AC4"/>
    <w:rsid w:val="00943145"/>
    <w:rsid w:val="0094357A"/>
    <w:rsid w:val="00943680"/>
    <w:rsid w:val="0094392C"/>
    <w:rsid w:val="00943969"/>
    <w:rsid w:val="009439AB"/>
    <w:rsid w:val="00944515"/>
    <w:rsid w:val="00944908"/>
    <w:rsid w:val="0094495C"/>
    <w:rsid w:val="0094512E"/>
    <w:rsid w:val="009453B6"/>
    <w:rsid w:val="00945A25"/>
    <w:rsid w:val="0094624E"/>
    <w:rsid w:val="009464FE"/>
    <w:rsid w:val="00946565"/>
    <w:rsid w:val="00946AA4"/>
    <w:rsid w:val="00947B0F"/>
    <w:rsid w:val="009501A9"/>
    <w:rsid w:val="009504C9"/>
    <w:rsid w:val="00950AFF"/>
    <w:rsid w:val="00950E2C"/>
    <w:rsid w:val="00951843"/>
    <w:rsid w:val="00951D50"/>
    <w:rsid w:val="009522E7"/>
    <w:rsid w:val="009525EB"/>
    <w:rsid w:val="00953504"/>
    <w:rsid w:val="0095470B"/>
    <w:rsid w:val="00954837"/>
    <w:rsid w:val="00954874"/>
    <w:rsid w:val="00954BBD"/>
    <w:rsid w:val="009558DD"/>
    <w:rsid w:val="00955D8A"/>
    <w:rsid w:val="0095613F"/>
    <w:rsid w:val="0095615A"/>
    <w:rsid w:val="009564BF"/>
    <w:rsid w:val="009565C4"/>
    <w:rsid w:val="00956602"/>
    <w:rsid w:val="00956606"/>
    <w:rsid w:val="0095664D"/>
    <w:rsid w:val="009566F2"/>
    <w:rsid w:val="00956FAE"/>
    <w:rsid w:val="0095753C"/>
    <w:rsid w:val="00957A96"/>
    <w:rsid w:val="00957E7D"/>
    <w:rsid w:val="00957F77"/>
    <w:rsid w:val="009602F7"/>
    <w:rsid w:val="00961094"/>
    <w:rsid w:val="009611A5"/>
    <w:rsid w:val="00961253"/>
    <w:rsid w:val="00961400"/>
    <w:rsid w:val="0096155F"/>
    <w:rsid w:val="009615BB"/>
    <w:rsid w:val="00961D74"/>
    <w:rsid w:val="009629EE"/>
    <w:rsid w:val="00963190"/>
    <w:rsid w:val="00963646"/>
    <w:rsid w:val="00964716"/>
    <w:rsid w:val="00964823"/>
    <w:rsid w:val="0096483E"/>
    <w:rsid w:val="009650A7"/>
    <w:rsid w:val="00965173"/>
    <w:rsid w:val="009651C4"/>
    <w:rsid w:val="0096577C"/>
    <w:rsid w:val="00965C61"/>
    <w:rsid w:val="00965DCD"/>
    <w:rsid w:val="00965DF3"/>
    <w:rsid w:val="00965F70"/>
    <w:rsid w:val="0096617F"/>
    <w:rsid w:val="0096632D"/>
    <w:rsid w:val="0096651E"/>
    <w:rsid w:val="00966CC1"/>
    <w:rsid w:val="0096706B"/>
    <w:rsid w:val="00967124"/>
    <w:rsid w:val="009672C4"/>
    <w:rsid w:val="0096781E"/>
    <w:rsid w:val="00967C8D"/>
    <w:rsid w:val="00970982"/>
    <w:rsid w:val="00970B56"/>
    <w:rsid w:val="00970CBC"/>
    <w:rsid w:val="009713BD"/>
    <w:rsid w:val="0097166C"/>
    <w:rsid w:val="009718C7"/>
    <w:rsid w:val="00972121"/>
    <w:rsid w:val="0097214B"/>
    <w:rsid w:val="00972206"/>
    <w:rsid w:val="00972331"/>
    <w:rsid w:val="00972AD6"/>
    <w:rsid w:val="00972E42"/>
    <w:rsid w:val="009730D1"/>
    <w:rsid w:val="0097358B"/>
    <w:rsid w:val="00974382"/>
    <w:rsid w:val="00974BE8"/>
    <w:rsid w:val="00974C52"/>
    <w:rsid w:val="009750A6"/>
    <w:rsid w:val="0097559F"/>
    <w:rsid w:val="00975B5F"/>
    <w:rsid w:val="009761E9"/>
    <w:rsid w:val="009761EA"/>
    <w:rsid w:val="00976230"/>
    <w:rsid w:val="00976353"/>
    <w:rsid w:val="009772F4"/>
    <w:rsid w:val="00977515"/>
    <w:rsid w:val="0097761E"/>
    <w:rsid w:val="00977886"/>
    <w:rsid w:val="00977CAE"/>
    <w:rsid w:val="009803E0"/>
    <w:rsid w:val="0098060D"/>
    <w:rsid w:val="00980CF9"/>
    <w:rsid w:val="00980D42"/>
    <w:rsid w:val="009810C2"/>
    <w:rsid w:val="00981363"/>
    <w:rsid w:val="0098156F"/>
    <w:rsid w:val="00981653"/>
    <w:rsid w:val="00981711"/>
    <w:rsid w:val="0098180D"/>
    <w:rsid w:val="00981AB4"/>
    <w:rsid w:val="00982454"/>
    <w:rsid w:val="009824EF"/>
    <w:rsid w:val="00982576"/>
    <w:rsid w:val="00982670"/>
    <w:rsid w:val="0098290B"/>
    <w:rsid w:val="00982CF0"/>
    <w:rsid w:val="0098317B"/>
    <w:rsid w:val="00983233"/>
    <w:rsid w:val="00983ADA"/>
    <w:rsid w:val="00983E3E"/>
    <w:rsid w:val="00984024"/>
    <w:rsid w:val="009845DA"/>
    <w:rsid w:val="009846E5"/>
    <w:rsid w:val="0098529A"/>
    <w:rsid w:val="009853E1"/>
    <w:rsid w:val="00986235"/>
    <w:rsid w:val="009868DA"/>
    <w:rsid w:val="00986AA3"/>
    <w:rsid w:val="00986C95"/>
    <w:rsid w:val="00986E6B"/>
    <w:rsid w:val="00987116"/>
    <w:rsid w:val="009874BD"/>
    <w:rsid w:val="00987A42"/>
    <w:rsid w:val="00990032"/>
    <w:rsid w:val="009903C0"/>
    <w:rsid w:val="0099050A"/>
    <w:rsid w:val="009908D7"/>
    <w:rsid w:val="00990AD9"/>
    <w:rsid w:val="00990B19"/>
    <w:rsid w:val="0099153B"/>
    <w:rsid w:val="00991769"/>
    <w:rsid w:val="0099232C"/>
    <w:rsid w:val="00992CE3"/>
    <w:rsid w:val="009937D9"/>
    <w:rsid w:val="00993A3A"/>
    <w:rsid w:val="00994386"/>
    <w:rsid w:val="009945DF"/>
    <w:rsid w:val="009948FD"/>
    <w:rsid w:val="00994A58"/>
    <w:rsid w:val="00995115"/>
    <w:rsid w:val="009956AB"/>
    <w:rsid w:val="00995735"/>
    <w:rsid w:val="00995F4B"/>
    <w:rsid w:val="00996686"/>
    <w:rsid w:val="0099675B"/>
    <w:rsid w:val="00997406"/>
    <w:rsid w:val="009974C2"/>
    <w:rsid w:val="009977AD"/>
    <w:rsid w:val="00997D2C"/>
    <w:rsid w:val="009A024D"/>
    <w:rsid w:val="009A03F9"/>
    <w:rsid w:val="009A0A5C"/>
    <w:rsid w:val="009A1220"/>
    <w:rsid w:val="009A12CF"/>
    <w:rsid w:val="009A13D8"/>
    <w:rsid w:val="009A14A4"/>
    <w:rsid w:val="009A18C2"/>
    <w:rsid w:val="009A279E"/>
    <w:rsid w:val="009A2973"/>
    <w:rsid w:val="009A3015"/>
    <w:rsid w:val="009A3490"/>
    <w:rsid w:val="009A3A33"/>
    <w:rsid w:val="009A419C"/>
    <w:rsid w:val="009A422B"/>
    <w:rsid w:val="009A5020"/>
    <w:rsid w:val="009A51BF"/>
    <w:rsid w:val="009A5560"/>
    <w:rsid w:val="009A56D7"/>
    <w:rsid w:val="009A5BB9"/>
    <w:rsid w:val="009A6320"/>
    <w:rsid w:val="009A6696"/>
    <w:rsid w:val="009A6BA2"/>
    <w:rsid w:val="009A6F9A"/>
    <w:rsid w:val="009A7921"/>
    <w:rsid w:val="009B0249"/>
    <w:rsid w:val="009B0670"/>
    <w:rsid w:val="009B0A6F"/>
    <w:rsid w:val="009B0A94"/>
    <w:rsid w:val="009B0C62"/>
    <w:rsid w:val="009B134C"/>
    <w:rsid w:val="009B13F1"/>
    <w:rsid w:val="009B1439"/>
    <w:rsid w:val="009B1462"/>
    <w:rsid w:val="009B19DE"/>
    <w:rsid w:val="009B1CAE"/>
    <w:rsid w:val="009B2AE8"/>
    <w:rsid w:val="009B3297"/>
    <w:rsid w:val="009B39B6"/>
    <w:rsid w:val="009B39ED"/>
    <w:rsid w:val="009B43C5"/>
    <w:rsid w:val="009B4877"/>
    <w:rsid w:val="009B49D1"/>
    <w:rsid w:val="009B4A03"/>
    <w:rsid w:val="009B4C2D"/>
    <w:rsid w:val="009B4D1A"/>
    <w:rsid w:val="009B5622"/>
    <w:rsid w:val="009B59E9"/>
    <w:rsid w:val="009B5CA7"/>
    <w:rsid w:val="009B6143"/>
    <w:rsid w:val="009B65BB"/>
    <w:rsid w:val="009B683B"/>
    <w:rsid w:val="009B6950"/>
    <w:rsid w:val="009B70AA"/>
    <w:rsid w:val="009B7496"/>
    <w:rsid w:val="009B7672"/>
    <w:rsid w:val="009B797B"/>
    <w:rsid w:val="009B7FC4"/>
    <w:rsid w:val="009C055D"/>
    <w:rsid w:val="009C0573"/>
    <w:rsid w:val="009C0AD0"/>
    <w:rsid w:val="009C0D6B"/>
    <w:rsid w:val="009C1FD0"/>
    <w:rsid w:val="009C2341"/>
    <w:rsid w:val="009C245E"/>
    <w:rsid w:val="009C250B"/>
    <w:rsid w:val="009C25D2"/>
    <w:rsid w:val="009C34BD"/>
    <w:rsid w:val="009C3876"/>
    <w:rsid w:val="009C3973"/>
    <w:rsid w:val="009C3A56"/>
    <w:rsid w:val="009C3B54"/>
    <w:rsid w:val="009C3F87"/>
    <w:rsid w:val="009C54D7"/>
    <w:rsid w:val="009C583C"/>
    <w:rsid w:val="009C5A1A"/>
    <w:rsid w:val="009C5D9E"/>
    <w:rsid w:val="009C5E77"/>
    <w:rsid w:val="009C6493"/>
    <w:rsid w:val="009C6BA2"/>
    <w:rsid w:val="009C6F0A"/>
    <w:rsid w:val="009C7154"/>
    <w:rsid w:val="009C73BF"/>
    <w:rsid w:val="009C7A71"/>
    <w:rsid w:val="009C7A7E"/>
    <w:rsid w:val="009C7C89"/>
    <w:rsid w:val="009D02E8"/>
    <w:rsid w:val="009D064C"/>
    <w:rsid w:val="009D0A78"/>
    <w:rsid w:val="009D14BD"/>
    <w:rsid w:val="009D1CE8"/>
    <w:rsid w:val="009D29EF"/>
    <w:rsid w:val="009D415E"/>
    <w:rsid w:val="009D47D9"/>
    <w:rsid w:val="009D48CC"/>
    <w:rsid w:val="009D4E73"/>
    <w:rsid w:val="009D51D0"/>
    <w:rsid w:val="009D52E2"/>
    <w:rsid w:val="009D588A"/>
    <w:rsid w:val="009D5D32"/>
    <w:rsid w:val="009D6057"/>
    <w:rsid w:val="009D6AFB"/>
    <w:rsid w:val="009D70A4"/>
    <w:rsid w:val="009D7720"/>
    <w:rsid w:val="009D7765"/>
    <w:rsid w:val="009D7A89"/>
    <w:rsid w:val="009D7B14"/>
    <w:rsid w:val="009E03FD"/>
    <w:rsid w:val="009E086C"/>
    <w:rsid w:val="009E08D1"/>
    <w:rsid w:val="009E0D96"/>
    <w:rsid w:val="009E0EDB"/>
    <w:rsid w:val="009E0F34"/>
    <w:rsid w:val="009E118A"/>
    <w:rsid w:val="009E11DD"/>
    <w:rsid w:val="009E15E5"/>
    <w:rsid w:val="009E1B95"/>
    <w:rsid w:val="009E1C08"/>
    <w:rsid w:val="009E1E64"/>
    <w:rsid w:val="009E2517"/>
    <w:rsid w:val="009E2EAB"/>
    <w:rsid w:val="009E2FA2"/>
    <w:rsid w:val="009E35AA"/>
    <w:rsid w:val="009E36E7"/>
    <w:rsid w:val="009E3B20"/>
    <w:rsid w:val="009E3C36"/>
    <w:rsid w:val="009E4399"/>
    <w:rsid w:val="009E496F"/>
    <w:rsid w:val="009E4B0D"/>
    <w:rsid w:val="009E4E77"/>
    <w:rsid w:val="009E509B"/>
    <w:rsid w:val="009E5250"/>
    <w:rsid w:val="009E542C"/>
    <w:rsid w:val="009E57D2"/>
    <w:rsid w:val="009E5DCD"/>
    <w:rsid w:val="009E5FCF"/>
    <w:rsid w:val="009E60C4"/>
    <w:rsid w:val="009E63C5"/>
    <w:rsid w:val="009E6402"/>
    <w:rsid w:val="009E68E3"/>
    <w:rsid w:val="009E6D23"/>
    <w:rsid w:val="009E7417"/>
    <w:rsid w:val="009E7A5B"/>
    <w:rsid w:val="009E7A69"/>
    <w:rsid w:val="009E7F92"/>
    <w:rsid w:val="009F02A3"/>
    <w:rsid w:val="009F0626"/>
    <w:rsid w:val="009F09E2"/>
    <w:rsid w:val="009F18DF"/>
    <w:rsid w:val="009F1B04"/>
    <w:rsid w:val="009F2182"/>
    <w:rsid w:val="009F2226"/>
    <w:rsid w:val="009F2345"/>
    <w:rsid w:val="009F2705"/>
    <w:rsid w:val="009F286F"/>
    <w:rsid w:val="009F2CD1"/>
    <w:rsid w:val="009F2F27"/>
    <w:rsid w:val="009F2F43"/>
    <w:rsid w:val="009F337E"/>
    <w:rsid w:val="009F34AA"/>
    <w:rsid w:val="009F3534"/>
    <w:rsid w:val="009F3A68"/>
    <w:rsid w:val="009F3B64"/>
    <w:rsid w:val="009F3C4A"/>
    <w:rsid w:val="009F3F49"/>
    <w:rsid w:val="009F43CB"/>
    <w:rsid w:val="009F4889"/>
    <w:rsid w:val="009F4F71"/>
    <w:rsid w:val="009F50C8"/>
    <w:rsid w:val="009F5201"/>
    <w:rsid w:val="009F54DF"/>
    <w:rsid w:val="009F58BA"/>
    <w:rsid w:val="009F5EFC"/>
    <w:rsid w:val="009F6202"/>
    <w:rsid w:val="009F64B0"/>
    <w:rsid w:val="009F69BD"/>
    <w:rsid w:val="009F6BCB"/>
    <w:rsid w:val="009F6DA2"/>
    <w:rsid w:val="009F6F24"/>
    <w:rsid w:val="009F70C6"/>
    <w:rsid w:val="009F7B78"/>
    <w:rsid w:val="00A00235"/>
    <w:rsid w:val="00A0057A"/>
    <w:rsid w:val="00A00966"/>
    <w:rsid w:val="00A01844"/>
    <w:rsid w:val="00A0197C"/>
    <w:rsid w:val="00A01E1A"/>
    <w:rsid w:val="00A02BD7"/>
    <w:rsid w:val="00A02FA1"/>
    <w:rsid w:val="00A03289"/>
    <w:rsid w:val="00A033BF"/>
    <w:rsid w:val="00A03418"/>
    <w:rsid w:val="00A035E0"/>
    <w:rsid w:val="00A038D4"/>
    <w:rsid w:val="00A03903"/>
    <w:rsid w:val="00A03AE9"/>
    <w:rsid w:val="00A03CF5"/>
    <w:rsid w:val="00A04CCE"/>
    <w:rsid w:val="00A0511C"/>
    <w:rsid w:val="00A05793"/>
    <w:rsid w:val="00A05940"/>
    <w:rsid w:val="00A05B44"/>
    <w:rsid w:val="00A06642"/>
    <w:rsid w:val="00A06A15"/>
    <w:rsid w:val="00A072ED"/>
    <w:rsid w:val="00A07421"/>
    <w:rsid w:val="00A07434"/>
    <w:rsid w:val="00A076B8"/>
    <w:rsid w:val="00A0776B"/>
    <w:rsid w:val="00A079F2"/>
    <w:rsid w:val="00A07D04"/>
    <w:rsid w:val="00A07F58"/>
    <w:rsid w:val="00A1000C"/>
    <w:rsid w:val="00A10162"/>
    <w:rsid w:val="00A1075E"/>
    <w:rsid w:val="00A107C1"/>
    <w:rsid w:val="00A10A9F"/>
    <w:rsid w:val="00A10E74"/>
    <w:rsid w:val="00A10FB9"/>
    <w:rsid w:val="00A11003"/>
    <w:rsid w:val="00A112FC"/>
    <w:rsid w:val="00A11421"/>
    <w:rsid w:val="00A1177A"/>
    <w:rsid w:val="00A11849"/>
    <w:rsid w:val="00A11C21"/>
    <w:rsid w:val="00A1289D"/>
    <w:rsid w:val="00A1294C"/>
    <w:rsid w:val="00A1298F"/>
    <w:rsid w:val="00A12B14"/>
    <w:rsid w:val="00A12EA5"/>
    <w:rsid w:val="00A1307A"/>
    <w:rsid w:val="00A133EF"/>
    <w:rsid w:val="00A1389F"/>
    <w:rsid w:val="00A139DA"/>
    <w:rsid w:val="00A13C56"/>
    <w:rsid w:val="00A1437E"/>
    <w:rsid w:val="00A14F1C"/>
    <w:rsid w:val="00A15098"/>
    <w:rsid w:val="00A15554"/>
    <w:rsid w:val="00A15587"/>
    <w:rsid w:val="00A157B1"/>
    <w:rsid w:val="00A15A7D"/>
    <w:rsid w:val="00A15D4B"/>
    <w:rsid w:val="00A15D55"/>
    <w:rsid w:val="00A16DF6"/>
    <w:rsid w:val="00A16EF6"/>
    <w:rsid w:val="00A17C97"/>
    <w:rsid w:val="00A2043C"/>
    <w:rsid w:val="00A21101"/>
    <w:rsid w:val="00A211B6"/>
    <w:rsid w:val="00A21253"/>
    <w:rsid w:val="00A21BCD"/>
    <w:rsid w:val="00A21DEA"/>
    <w:rsid w:val="00A22229"/>
    <w:rsid w:val="00A22714"/>
    <w:rsid w:val="00A2295A"/>
    <w:rsid w:val="00A22ADC"/>
    <w:rsid w:val="00A22D0C"/>
    <w:rsid w:val="00A2315C"/>
    <w:rsid w:val="00A231F0"/>
    <w:rsid w:val="00A2362D"/>
    <w:rsid w:val="00A239E8"/>
    <w:rsid w:val="00A23BB7"/>
    <w:rsid w:val="00A23CFA"/>
    <w:rsid w:val="00A2405A"/>
    <w:rsid w:val="00A24442"/>
    <w:rsid w:val="00A24891"/>
    <w:rsid w:val="00A24977"/>
    <w:rsid w:val="00A24ADA"/>
    <w:rsid w:val="00A251C6"/>
    <w:rsid w:val="00A25831"/>
    <w:rsid w:val="00A25D91"/>
    <w:rsid w:val="00A25DA9"/>
    <w:rsid w:val="00A25F4F"/>
    <w:rsid w:val="00A26099"/>
    <w:rsid w:val="00A27266"/>
    <w:rsid w:val="00A274D9"/>
    <w:rsid w:val="00A27705"/>
    <w:rsid w:val="00A27BE8"/>
    <w:rsid w:val="00A27D6D"/>
    <w:rsid w:val="00A3035F"/>
    <w:rsid w:val="00A304EA"/>
    <w:rsid w:val="00A30D2E"/>
    <w:rsid w:val="00A30D7E"/>
    <w:rsid w:val="00A31F53"/>
    <w:rsid w:val="00A32577"/>
    <w:rsid w:val="00A3287B"/>
    <w:rsid w:val="00A32F36"/>
    <w:rsid w:val="00A330BB"/>
    <w:rsid w:val="00A33467"/>
    <w:rsid w:val="00A33856"/>
    <w:rsid w:val="00A340E1"/>
    <w:rsid w:val="00A34856"/>
    <w:rsid w:val="00A350C0"/>
    <w:rsid w:val="00A35237"/>
    <w:rsid w:val="00A3540F"/>
    <w:rsid w:val="00A358A9"/>
    <w:rsid w:val="00A35F4F"/>
    <w:rsid w:val="00A3668D"/>
    <w:rsid w:val="00A36762"/>
    <w:rsid w:val="00A36AA4"/>
    <w:rsid w:val="00A36B76"/>
    <w:rsid w:val="00A36EDA"/>
    <w:rsid w:val="00A36FA8"/>
    <w:rsid w:val="00A37736"/>
    <w:rsid w:val="00A4076E"/>
    <w:rsid w:val="00A40CD8"/>
    <w:rsid w:val="00A4115F"/>
    <w:rsid w:val="00A41377"/>
    <w:rsid w:val="00A415AD"/>
    <w:rsid w:val="00A41D4D"/>
    <w:rsid w:val="00A42181"/>
    <w:rsid w:val="00A42CE6"/>
    <w:rsid w:val="00A4313A"/>
    <w:rsid w:val="00A43C58"/>
    <w:rsid w:val="00A43F80"/>
    <w:rsid w:val="00A4416E"/>
    <w:rsid w:val="00A4454B"/>
    <w:rsid w:val="00A446F5"/>
    <w:rsid w:val="00A44882"/>
    <w:rsid w:val="00A44E2E"/>
    <w:rsid w:val="00A45125"/>
    <w:rsid w:val="00A4568E"/>
    <w:rsid w:val="00A45918"/>
    <w:rsid w:val="00A460A2"/>
    <w:rsid w:val="00A46973"/>
    <w:rsid w:val="00A46CB7"/>
    <w:rsid w:val="00A46F9F"/>
    <w:rsid w:val="00A47026"/>
    <w:rsid w:val="00A472CD"/>
    <w:rsid w:val="00A474E1"/>
    <w:rsid w:val="00A47516"/>
    <w:rsid w:val="00A504CF"/>
    <w:rsid w:val="00A50DD6"/>
    <w:rsid w:val="00A50F2B"/>
    <w:rsid w:val="00A514BE"/>
    <w:rsid w:val="00A51EC9"/>
    <w:rsid w:val="00A521CA"/>
    <w:rsid w:val="00A5371E"/>
    <w:rsid w:val="00A53A57"/>
    <w:rsid w:val="00A53F9B"/>
    <w:rsid w:val="00A54037"/>
    <w:rsid w:val="00A541D6"/>
    <w:rsid w:val="00A54715"/>
    <w:rsid w:val="00A5475F"/>
    <w:rsid w:val="00A55419"/>
    <w:rsid w:val="00A554B8"/>
    <w:rsid w:val="00A5550A"/>
    <w:rsid w:val="00A557C4"/>
    <w:rsid w:val="00A558E0"/>
    <w:rsid w:val="00A55D5C"/>
    <w:rsid w:val="00A5600E"/>
    <w:rsid w:val="00A560B4"/>
    <w:rsid w:val="00A5643B"/>
    <w:rsid w:val="00A568EA"/>
    <w:rsid w:val="00A56972"/>
    <w:rsid w:val="00A57776"/>
    <w:rsid w:val="00A57C1E"/>
    <w:rsid w:val="00A6061C"/>
    <w:rsid w:val="00A60911"/>
    <w:rsid w:val="00A60B60"/>
    <w:rsid w:val="00A61354"/>
    <w:rsid w:val="00A61F7B"/>
    <w:rsid w:val="00A624CE"/>
    <w:rsid w:val="00A6266E"/>
    <w:rsid w:val="00A6294E"/>
    <w:rsid w:val="00A62ACB"/>
    <w:rsid w:val="00A62D44"/>
    <w:rsid w:val="00A6359B"/>
    <w:rsid w:val="00A63EA2"/>
    <w:rsid w:val="00A64553"/>
    <w:rsid w:val="00A64B0C"/>
    <w:rsid w:val="00A65BA8"/>
    <w:rsid w:val="00A65E18"/>
    <w:rsid w:val="00A66493"/>
    <w:rsid w:val="00A6663E"/>
    <w:rsid w:val="00A6669F"/>
    <w:rsid w:val="00A671D9"/>
    <w:rsid w:val="00A67263"/>
    <w:rsid w:val="00A67F1E"/>
    <w:rsid w:val="00A700B8"/>
    <w:rsid w:val="00A703DE"/>
    <w:rsid w:val="00A7056A"/>
    <w:rsid w:val="00A707BC"/>
    <w:rsid w:val="00A7161C"/>
    <w:rsid w:val="00A71666"/>
    <w:rsid w:val="00A7182A"/>
    <w:rsid w:val="00A7198D"/>
    <w:rsid w:val="00A71C12"/>
    <w:rsid w:val="00A71CE4"/>
    <w:rsid w:val="00A71ECF"/>
    <w:rsid w:val="00A72640"/>
    <w:rsid w:val="00A72A73"/>
    <w:rsid w:val="00A72AD4"/>
    <w:rsid w:val="00A72B82"/>
    <w:rsid w:val="00A72FD7"/>
    <w:rsid w:val="00A730F1"/>
    <w:rsid w:val="00A73B9C"/>
    <w:rsid w:val="00A7475C"/>
    <w:rsid w:val="00A74B6A"/>
    <w:rsid w:val="00A74D8B"/>
    <w:rsid w:val="00A75570"/>
    <w:rsid w:val="00A76221"/>
    <w:rsid w:val="00A76990"/>
    <w:rsid w:val="00A76C33"/>
    <w:rsid w:val="00A76F2D"/>
    <w:rsid w:val="00A77348"/>
    <w:rsid w:val="00A77AA3"/>
    <w:rsid w:val="00A8046E"/>
    <w:rsid w:val="00A80649"/>
    <w:rsid w:val="00A807FD"/>
    <w:rsid w:val="00A80AAA"/>
    <w:rsid w:val="00A80D59"/>
    <w:rsid w:val="00A8177C"/>
    <w:rsid w:val="00A81E8B"/>
    <w:rsid w:val="00A822B1"/>
    <w:rsid w:val="00A8236D"/>
    <w:rsid w:val="00A8242A"/>
    <w:rsid w:val="00A82A7E"/>
    <w:rsid w:val="00A831BE"/>
    <w:rsid w:val="00A832A3"/>
    <w:rsid w:val="00A835E3"/>
    <w:rsid w:val="00A8427F"/>
    <w:rsid w:val="00A8448E"/>
    <w:rsid w:val="00A854A9"/>
    <w:rsid w:val="00A854EB"/>
    <w:rsid w:val="00A855C2"/>
    <w:rsid w:val="00A858D4"/>
    <w:rsid w:val="00A85909"/>
    <w:rsid w:val="00A85FA2"/>
    <w:rsid w:val="00A864A7"/>
    <w:rsid w:val="00A86577"/>
    <w:rsid w:val="00A865CE"/>
    <w:rsid w:val="00A865EF"/>
    <w:rsid w:val="00A86C89"/>
    <w:rsid w:val="00A872E5"/>
    <w:rsid w:val="00A87489"/>
    <w:rsid w:val="00A87731"/>
    <w:rsid w:val="00A87841"/>
    <w:rsid w:val="00A87B7E"/>
    <w:rsid w:val="00A87C98"/>
    <w:rsid w:val="00A9008C"/>
    <w:rsid w:val="00A90224"/>
    <w:rsid w:val="00A90331"/>
    <w:rsid w:val="00A90D85"/>
    <w:rsid w:val="00A90F2B"/>
    <w:rsid w:val="00A9137C"/>
    <w:rsid w:val="00A91406"/>
    <w:rsid w:val="00A91898"/>
    <w:rsid w:val="00A91AA8"/>
    <w:rsid w:val="00A920C4"/>
    <w:rsid w:val="00A925FB"/>
    <w:rsid w:val="00A9288F"/>
    <w:rsid w:val="00A92BC0"/>
    <w:rsid w:val="00A92CD5"/>
    <w:rsid w:val="00A934A2"/>
    <w:rsid w:val="00A93746"/>
    <w:rsid w:val="00A944B6"/>
    <w:rsid w:val="00A94BDE"/>
    <w:rsid w:val="00A958CD"/>
    <w:rsid w:val="00A95EAB"/>
    <w:rsid w:val="00A9605C"/>
    <w:rsid w:val="00A96185"/>
    <w:rsid w:val="00A965E3"/>
    <w:rsid w:val="00A96792"/>
    <w:rsid w:val="00A96C71"/>
    <w:rsid w:val="00A96E65"/>
    <w:rsid w:val="00A96ECE"/>
    <w:rsid w:val="00A97035"/>
    <w:rsid w:val="00A97706"/>
    <w:rsid w:val="00A97C72"/>
    <w:rsid w:val="00AA0219"/>
    <w:rsid w:val="00AA07EE"/>
    <w:rsid w:val="00AA0BF8"/>
    <w:rsid w:val="00AA1976"/>
    <w:rsid w:val="00AA19D0"/>
    <w:rsid w:val="00AA20C3"/>
    <w:rsid w:val="00AA24C2"/>
    <w:rsid w:val="00AA2530"/>
    <w:rsid w:val="00AA2BB5"/>
    <w:rsid w:val="00AA2C8A"/>
    <w:rsid w:val="00AA2D24"/>
    <w:rsid w:val="00AA310B"/>
    <w:rsid w:val="00AA36E6"/>
    <w:rsid w:val="00AA39D4"/>
    <w:rsid w:val="00AA3A64"/>
    <w:rsid w:val="00AA4011"/>
    <w:rsid w:val="00AA439A"/>
    <w:rsid w:val="00AA48F1"/>
    <w:rsid w:val="00AA55C6"/>
    <w:rsid w:val="00AA5801"/>
    <w:rsid w:val="00AA59C1"/>
    <w:rsid w:val="00AA63D4"/>
    <w:rsid w:val="00AA63E2"/>
    <w:rsid w:val="00AA6493"/>
    <w:rsid w:val="00AA6966"/>
    <w:rsid w:val="00AA6D57"/>
    <w:rsid w:val="00AA6D70"/>
    <w:rsid w:val="00AA7E22"/>
    <w:rsid w:val="00AB056B"/>
    <w:rsid w:val="00AB06E8"/>
    <w:rsid w:val="00AB1CD3"/>
    <w:rsid w:val="00AB2308"/>
    <w:rsid w:val="00AB352F"/>
    <w:rsid w:val="00AB354F"/>
    <w:rsid w:val="00AB3915"/>
    <w:rsid w:val="00AB3C7A"/>
    <w:rsid w:val="00AB463E"/>
    <w:rsid w:val="00AB4EFE"/>
    <w:rsid w:val="00AB501E"/>
    <w:rsid w:val="00AB545D"/>
    <w:rsid w:val="00AB56EA"/>
    <w:rsid w:val="00AB5926"/>
    <w:rsid w:val="00AB60A2"/>
    <w:rsid w:val="00AB6788"/>
    <w:rsid w:val="00AB68FD"/>
    <w:rsid w:val="00AB6A7F"/>
    <w:rsid w:val="00AB6EB2"/>
    <w:rsid w:val="00AB7A63"/>
    <w:rsid w:val="00AB7F1B"/>
    <w:rsid w:val="00AC014F"/>
    <w:rsid w:val="00AC0515"/>
    <w:rsid w:val="00AC09C9"/>
    <w:rsid w:val="00AC0F62"/>
    <w:rsid w:val="00AC19D5"/>
    <w:rsid w:val="00AC2094"/>
    <w:rsid w:val="00AC2694"/>
    <w:rsid w:val="00AC274B"/>
    <w:rsid w:val="00AC36F1"/>
    <w:rsid w:val="00AC393F"/>
    <w:rsid w:val="00AC39B3"/>
    <w:rsid w:val="00AC3BF4"/>
    <w:rsid w:val="00AC3F42"/>
    <w:rsid w:val="00AC4008"/>
    <w:rsid w:val="00AC4153"/>
    <w:rsid w:val="00AC41A3"/>
    <w:rsid w:val="00AC45F3"/>
    <w:rsid w:val="00AC4764"/>
    <w:rsid w:val="00AC4B59"/>
    <w:rsid w:val="00AC56A0"/>
    <w:rsid w:val="00AC6706"/>
    <w:rsid w:val="00AC6BFB"/>
    <w:rsid w:val="00AC6D36"/>
    <w:rsid w:val="00AC7AD2"/>
    <w:rsid w:val="00AC7BF1"/>
    <w:rsid w:val="00AC7EB9"/>
    <w:rsid w:val="00AD0490"/>
    <w:rsid w:val="00AD0CBA"/>
    <w:rsid w:val="00AD1BDD"/>
    <w:rsid w:val="00AD1EA9"/>
    <w:rsid w:val="00AD26E2"/>
    <w:rsid w:val="00AD2E81"/>
    <w:rsid w:val="00AD3093"/>
    <w:rsid w:val="00AD3A12"/>
    <w:rsid w:val="00AD3BFA"/>
    <w:rsid w:val="00AD42EF"/>
    <w:rsid w:val="00AD4CF6"/>
    <w:rsid w:val="00AD4D17"/>
    <w:rsid w:val="00AD5087"/>
    <w:rsid w:val="00AD5458"/>
    <w:rsid w:val="00AD5D50"/>
    <w:rsid w:val="00AD60D5"/>
    <w:rsid w:val="00AD6C0C"/>
    <w:rsid w:val="00AD6C23"/>
    <w:rsid w:val="00AD71FD"/>
    <w:rsid w:val="00AD7818"/>
    <w:rsid w:val="00AD784C"/>
    <w:rsid w:val="00AD786E"/>
    <w:rsid w:val="00AD78C0"/>
    <w:rsid w:val="00AD798C"/>
    <w:rsid w:val="00AD79A8"/>
    <w:rsid w:val="00AE0002"/>
    <w:rsid w:val="00AE08F9"/>
    <w:rsid w:val="00AE0C96"/>
    <w:rsid w:val="00AE126A"/>
    <w:rsid w:val="00AE17FF"/>
    <w:rsid w:val="00AE183B"/>
    <w:rsid w:val="00AE1A60"/>
    <w:rsid w:val="00AE1BAE"/>
    <w:rsid w:val="00AE1FED"/>
    <w:rsid w:val="00AE2141"/>
    <w:rsid w:val="00AE2350"/>
    <w:rsid w:val="00AE29BD"/>
    <w:rsid w:val="00AE29EA"/>
    <w:rsid w:val="00AE2FFC"/>
    <w:rsid w:val="00AE3005"/>
    <w:rsid w:val="00AE3160"/>
    <w:rsid w:val="00AE3191"/>
    <w:rsid w:val="00AE32A1"/>
    <w:rsid w:val="00AE3BD5"/>
    <w:rsid w:val="00AE3CB0"/>
    <w:rsid w:val="00AE5437"/>
    <w:rsid w:val="00AE5762"/>
    <w:rsid w:val="00AE59A0"/>
    <w:rsid w:val="00AE5A38"/>
    <w:rsid w:val="00AE60CC"/>
    <w:rsid w:val="00AE6322"/>
    <w:rsid w:val="00AE648C"/>
    <w:rsid w:val="00AE6769"/>
    <w:rsid w:val="00AE68DA"/>
    <w:rsid w:val="00AE6ED9"/>
    <w:rsid w:val="00AE6EDE"/>
    <w:rsid w:val="00AE6F41"/>
    <w:rsid w:val="00AE72CC"/>
    <w:rsid w:val="00AE750C"/>
    <w:rsid w:val="00AE7553"/>
    <w:rsid w:val="00AE79EB"/>
    <w:rsid w:val="00AE7CD7"/>
    <w:rsid w:val="00AE7E19"/>
    <w:rsid w:val="00AF0B80"/>
    <w:rsid w:val="00AF0C57"/>
    <w:rsid w:val="00AF0CDB"/>
    <w:rsid w:val="00AF0E38"/>
    <w:rsid w:val="00AF130A"/>
    <w:rsid w:val="00AF17E9"/>
    <w:rsid w:val="00AF1D06"/>
    <w:rsid w:val="00AF1EAF"/>
    <w:rsid w:val="00AF1EDB"/>
    <w:rsid w:val="00AF1F14"/>
    <w:rsid w:val="00AF23A5"/>
    <w:rsid w:val="00AF26F3"/>
    <w:rsid w:val="00AF32AB"/>
    <w:rsid w:val="00AF32F6"/>
    <w:rsid w:val="00AF350B"/>
    <w:rsid w:val="00AF3A9B"/>
    <w:rsid w:val="00AF3AE7"/>
    <w:rsid w:val="00AF3BE2"/>
    <w:rsid w:val="00AF49AB"/>
    <w:rsid w:val="00AF53ED"/>
    <w:rsid w:val="00AF5433"/>
    <w:rsid w:val="00AF59A6"/>
    <w:rsid w:val="00AF5DDB"/>
    <w:rsid w:val="00AF5F04"/>
    <w:rsid w:val="00AF62DB"/>
    <w:rsid w:val="00AF6E0D"/>
    <w:rsid w:val="00AF73EE"/>
    <w:rsid w:val="00AF78AF"/>
    <w:rsid w:val="00AF7E05"/>
    <w:rsid w:val="00AF7EF9"/>
    <w:rsid w:val="00B00672"/>
    <w:rsid w:val="00B00A2D"/>
    <w:rsid w:val="00B01A9C"/>
    <w:rsid w:val="00B01B4D"/>
    <w:rsid w:val="00B0245E"/>
    <w:rsid w:val="00B02713"/>
    <w:rsid w:val="00B02749"/>
    <w:rsid w:val="00B0285A"/>
    <w:rsid w:val="00B0361F"/>
    <w:rsid w:val="00B04489"/>
    <w:rsid w:val="00B04A36"/>
    <w:rsid w:val="00B04B39"/>
    <w:rsid w:val="00B04D44"/>
    <w:rsid w:val="00B04E18"/>
    <w:rsid w:val="00B04F99"/>
    <w:rsid w:val="00B0506A"/>
    <w:rsid w:val="00B052AB"/>
    <w:rsid w:val="00B0549E"/>
    <w:rsid w:val="00B0580B"/>
    <w:rsid w:val="00B05C7C"/>
    <w:rsid w:val="00B05FC1"/>
    <w:rsid w:val="00B05FF6"/>
    <w:rsid w:val="00B0616E"/>
    <w:rsid w:val="00B06571"/>
    <w:rsid w:val="00B065B4"/>
    <w:rsid w:val="00B06646"/>
    <w:rsid w:val="00B068BA"/>
    <w:rsid w:val="00B06C7A"/>
    <w:rsid w:val="00B070C5"/>
    <w:rsid w:val="00B07217"/>
    <w:rsid w:val="00B072EE"/>
    <w:rsid w:val="00B07B98"/>
    <w:rsid w:val="00B07DC1"/>
    <w:rsid w:val="00B0E746"/>
    <w:rsid w:val="00B10100"/>
    <w:rsid w:val="00B1011D"/>
    <w:rsid w:val="00B1072B"/>
    <w:rsid w:val="00B10BB0"/>
    <w:rsid w:val="00B10CCE"/>
    <w:rsid w:val="00B10EDA"/>
    <w:rsid w:val="00B10F39"/>
    <w:rsid w:val="00B117BD"/>
    <w:rsid w:val="00B12701"/>
    <w:rsid w:val="00B127CA"/>
    <w:rsid w:val="00B12C5E"/>
    <w:rsid w:val="00B131A9"/>
    <w:rsid w:val="00B135DA"/>
    <w:rsid w:val="00B13773"/>
    <w:rsid w:val="00B13851"/>
    <w:rsid w:val="00B13AB7"/>
    <w:rsid w:val="00B13B1C"/>
    <w:rsid w:val="00B13C91"/>
    <w:rsid w:val="00B13D3A"/>
    <w:rsid w:val="00B14B5F"/>
    <w:rsid w:val="00B1590C"/>
    <w:rsid w:val="00B15A95"/>
    <w:rsid w:val="00B16427"/>
    <w:rsid w:val="00B16503"/>
    <w:rsid w:val="00B1656D"/>
    <w:rsid w:val="00B16579"/>
    <w:rsid w:val="00B167BD"/>
    <w:rsid w:val="00B16868"/>
    <w:rsid w:val="00B171B2"/>
    <w:rsid w:val="00B176D4"/>
    <w:rsid w:val="00B17F2C"/>
    <w:rsid w:val="00B20652"/>
    <w:rsid w:val="00B2071B"/>
    <w:rsid w:val="00B20954"/>
    <w:rsid w:val="00B20BCE"/>
    <w:rsid w:val="00B21272"/>
    <w:rsid w:val="00B21676"/>
    <w:rsid w:val="00B21831"/>
    <w:rsid w:val="00B21DB1"/>
    <w:rsid w:val="00B21F62"/>
    <w:rsid w:val="00B21F90"/>
    <w:rsid w:val="00B22156"/>
    <w:rsid w:val="00B22291"/>
    <w:rsid w:val="00B224AF"/>
    <w:rsid w:val="00B22560"/>
    <w:rsid w:val="00B22C9E"/>
    <w:rsid w:val="00B22D80"/>
    <w:rsid w:val="00B22FC0"/>
    <w:rsid w:val="00B23268"/>
    <w:rsid w:val="00B23943"/>
    <w:rsid w:val="00B23F9A"/>
    <w:rsid w:val="00B2417B"/>
    <w:rsid w:val="00B243DC"/>
    <w:rsid w:val="00B24499"/>
    <w:rsid w:val="00B24A74"/>
    <w:rsid w:val="00B24E6F"/>
    <w:rsid w:val="00B24FAA"/>
    <w:rsid w:val="00B257BA"/>
    <w:rsid w:val="00B25A78"/>
    <w:rsid w:val="00B25CB9"/>
    <w:rsid w:val="00B25F87"/>
    <w:rsid w:val="00B25FF1"/>
    <w:rsid w:val="00B26102"/>
    <w:rsid w:val="00B2658F"/>
    <w:rsid w:val="00B269E1"/>
    <w:rsid w:val="00B26C08"/>
    <w:rsid w:val="00B26CB5"/>
    <w:rsid w:val="00B26F0E"/>
    <w:rsid w:val="00B2752E"/>
    <w:rsid w:val="00B27B89"/>
    <w:rsid w:val="00B27F4D"/>
    <w:rsid w:val="00B301DD"/>
    <w:rsid w:val="00B30625"/>
    <w:rsid w:val="00B307CC"/>
    <w:rsid w:val="00B30861"/>
    <w:rsid w:val="00B31667"/>
    <w:rsid w:val="00B31A46"/>
    <w:rsid w:val="00B31AED"/>
    <w:rsid w:val="00B326B7"/>
    <w:rsid w:val="00B3273F"/>
    <w:rsid w:val="00B328C2"/>
    <w:rsid w:val="00B32906"/>
    <w:rsid w:val="00B32D9B"/>
    <w:rsid w:val="00B32EF5"/>
    <w:rsid w:val="00B33421"/>
    <w:rsid w:val="00B339F1"/>
    <w:rsid w:val="00B33BE4"/>
    <w:rsid w:val="00B33F46"/>
    <w:rsid w:val="00B3541F"/>
    <w:rsid w:val="00B3588E"/>
    <w:rsid w:val="00B369B4"/>
    <w:rsid w:val="00B36C62"/>
    <w:rsid w:val="00B36E59"/>
    <w:rsid w:val="00B36E5B"/>
    <w:rsid w:val="00B370D4"/>
    <w:rsid w:val="00B37896"/>
    <w:rsid w:val="00B378CB"/>
    <w:rsid w:val="00B379CF"/>
    <w:rsid w:val="00B37ACD"/>
    <w:rsid w:val="00B37EA2"/>
    <w:rsid w:val="00B401A7"/>
    <w:rsid w:val="00B406F4"/>
    <w:rsid w:val="00B41781"/>
    <w:rsid w:val="00B41969"/>
    <w:rsid w:val="00B4198F"/>
    <w:rsid w:val="00B41996"/>
    <w:rsid w:val="00B41B14"/>
    <w:rsid w:val="00B41F3D"/>
    <w:rsid w:val="00B41F59"/>
    <w:rsid w:val="00B42221"/>
    <w:rsid w:val="00B42A3A"/>
    <w:rsid w:val="00B42AF4"/>
    <w:rsid w:val="00B4306B"/>
    <w:rsid w:val="00B431E8"/>
    <w:rsid w:val="00B43655"/>
    <w:rsid w:val="00B4366B"/>
    <w:rsid w:val="00B43743"/>
    <w:rsid w:val="00B43D42"/>
    <w:rsid w:val="00B44040"/>
    <w:rsid w:val="00B44216"/>
    <w:rsid w:val="00B44940"/>
    <w:rsid w:val="00B44AA0"/>
    <w:rsid w:val="00B45141"/>
    <w:rsid w:val="00B454F2"/>
    <w:rsid w:val="00B45793"/>
    <w:rsid w:val="00B45C1B"/>
    <w:rsid w:val="00B45DB0"/>
    <w:rsid w:val="00B46DA7"/>
    <w:rsid w:val="00B46F4A"/>
    <w:rsid w:val="00B471AA"/>
    <w:rsid w:val="00B47A0B"/>
    <w:rsid w:val="00B47E31"/>
    <w:rsid w:val="00B509DF"/>
    <w:rsid w:val="00B50D88"/>
    <w:rsid w:val="00B51754"/>
    <w:rsid w:val="00B518E9"/>
    <w:rsid w:val="00B519CD"/>
    <w:rsid w:val="00B51DB6"/>
    <w:rsid w:val="00B51EC6"/>
    <w:rsid w:val="00B52101"/>
    <w:rsid w:val="00B5238C"/>
    <w:rsid w:val="00B52587"/>
    <w:rsid w:val="00B5268C"/>
    <w:rsid w:val="00B5273A"/>
    <w:rsid w:val="00B53AEA"/>
    <w:rsid w:val="00B53F2F"/>
    <w:rsid w:val="00B54009"/>
    <w:rsid w:val="00B549BF"/>
    <w:rsid w:val="00B54E2B"/>
    <w:rsid w:val="00B55291"/>
    <w:rsid w:val="00B559DD"/>
    <w:rsid w:val="00B56993"/>
    <w:rsid w:val="00B56BC1"/>
    <w:rsid w:val="00B56DE0"/>
    <w:rsid w:val="00B56E1F"/>
    <w:rsid w:val="00B571D6"/>
    <w:rsid w:val="00B57304"/>
    <w:rsid w:val="00B57329"/>
    <w:rsid w:val="00B57751"/>
    <w:rsid w:val="00B57788"/>
    <w:rsid w:val="00B602EF"/>
    <w:rsid w:val="00B6079E"/>
    <w:rsid w:val="00B60E61"/>
    <w:rsid w:val="00B614B2"/>
    <w:rsid w:val="00B619FA"/>
    <w:rsid w:val="00B61EE6"/>
    <w:rsid w:val="00B62031"/>
    <w:rsid w:val="00B62076"/>
    <w:rsid w:val="00B6217B"/>
    <w:rsid w:val="00B62454"/>
    <w:rsid w:val="00B62B50"/>
    <w:rsid w:val="00B62F61"/>
    <w:rsid w:val="00B630DF"/>
    <w:rsid w:val="00B63578"/>
    <w:rsid w:val="00B63589"/>
    <w:rsid w:val="00B635B7"/>
    <w:rsid w:val="00B63AE8"/>
    <w:rsid w:val="00B63CCC"/>
    <w:rsid w:val="00B63D23"/>
    <w:rsid w:val="00B64112"/>
    <w:rsid w:val="00B641DC"/>
    <w:rsid w:val="00B642D6"/>
    <w:rsid w:val="00B6455A"/>
    <w:rsid w:val="00B64C46"/>
    <w:rsid w:val="00B6550B"/>
    <w:rsid w:val="00B656D0"/>
    <w:rsid w:val="00B65950"/>
    <w:rsid w:val="00B65DDE"/>
    <w:rsid w:val="00B661C7"/>
    <w:rsid w:val="00B66C7D"/>
    <w:rsid w:val="00B66D2D"/>
    <w:rsid w:val="00B66D44"/>
    <w:rsid w:val="00B66D83"/>
    <w:rsid w:val="00B66FA0"/>
    <w:rsid w:val="00B67043"/>
    <w:rsid w:val="00B670EC"/>
    <w:rsid w:val="00B672C0"/>
    <w:rsid w:val="00B67656"/>
    <w:rsid w:val="00B676FD"/>
    <w:rsid w:val="00B67754"/>
    <w:rsid w:val="00B678B6"/>
    <w:rsid w:val="00B70451"/>
    <w:rsid w:val="00B70684"/>
    <w:rsid w:val="00B70B43"/>
    <w:rsid w:val="00B70C51"/>
    <w:rsid w:val="00B70C91"/>
    <w:rsid w:val="00B711B2"/>
    <w:rsid w:val="00B71227"/>
    <w:rsid w:val="00B71C37"/>
    <w:rsid w:val="00B7216E"/>
    <w:rsid w:val="00B72C91"/>
    <w:rsid w:val="00B730A0"/>
    <w:rsid w:val="00B73164"/>
    <w:rsid w:val="00B73321"/>
    <w:rsid w:val="00B7337D"/>
    <w:rsid w:val="00B733BC"/>
    <w:rsid w:val="00B737F4"/>
    <w:rsid w:val="00B73AA9"/>
    <w:rsid w:val="00B74227"/>
    <w:rsid w:val="00B7425F"/>
    <w:rsid w:val="00B7429E"/>
    <w:rsid w:val="00B74700"/>
    <w:rsid w:val="00B74AFE"/>
    <w:rsid w:val="00B754E2"/>
    <w:rsid w:val="00B75646"/>
    <w:rsid w:val="00B75B0D"/>
    <w:rsid w:val="00B7629B"/>
    <w:rsid w:val="00B7629E"/>
    <w:rsid w:val="00B7711F"/>
    <w:rsid w:val="00B77BF8"/>
    <w:rsid w:val="00B803B3"/>
    <w:rsid w:val="00B804F6"/>
    <w:rsid w:val="00B808F2"/>
    <w:rsid w:val="00B80F62"/>
    <w:rsid w:val="00B8120B"/>
    <w:rsid w:val="00B81857"/>
    <w:rsid w:val="00B81984"/>
    <w:rsid w:val="00B81ADF"/>
    <w:rsid w:val="00B81C3B"/>
    <w:rsid w:val="00B82140"/>
    <w:rsid w:val="00B828F8"/>
    <w:rsid w:val="00B82994"/>
    <w:rsid w:val="00B82D24"/>
    <w:rsid w:val="00B82F79"/>
    <w:rsid w:val="00B83E7E"/>
    <w:rsid w:val="00B84A1E"/>
    <w:rsid w:val="00B84B6A"/>
    <w:rsid w:val="00B8539A"/>
    <w:rsid w:val="00B85625"/>
    <w:rsid w:val="00B85C41"/>
    <w:rsid w:val="00B86359"/>
    <w:rsid w:val="00B864A6"/>
    <w:rsid w:val="00B865AD"/>
    <w:rsid w:val="00B867C2"/>
    <w:rsid w:val="00B8725F"/>
    <w:rsid w:val="00B87279"/>
    <w:rsid w:val="00B875AC"/>
    <w:rsid w:val="00B879A3"/>
    <w:rsid w:val="00B87A43"/>
    <w:rsid w:val="00B87B62"/>
    <w:rsid w:val="00B9057E"/>
    <w:rsid w:val="00B90729"/>
    <w:rsid w:val="00B907A1"/>
    <w:rsid w:val="00B907DA"/>
    <w:rsid w:val="00B90F05"/>
    <w:rsid w:val="00B915D7"/>
    <w:rsid w:val="00B91616"/>
    <w:rsid w:val="00B91727"/>
    <w:rsid w:val="00B91A66"/>
    <w:rsid w:val="00B91C98"/>
    <w:rsid w:val="00B91FFB"/>
    <w:rsid w:val="00B9245E"/>
    <w:rsid w:val="00B9266D"/>
    <w:rsid w:val="00B930F0"/>
    <w:rsid w:val="00B933AE"/>
    <w:rsid w:val="00B93795"/>
    <w:rsid w:val="00B93C39"/>
    <w:rsid w:val="00B9467B"/>
    <w:rsid w:val="00B94C5E"/>
    <w:rsid w:val="00B94DD6"/>
    <w:rsid w:val="00B950BC"/>
    <w:rsid w:val="00B9579C"/>
    <w:rsid w:val="00B95BFA"/>
    <w:rsid w:val="00B95C3F"/>
    <w:rsid w:val="00B95DC3"/>
    <w:rsid w:val="00B95E68"/>
    <w:rsid w:val="00B96C9A"/>
    <w:rsid w:val="00B9714C"/>
    <w:rsid w:val="00B976F4"/>
    <w:rsid w:val="00B97FD0"/>
    <w:rsid w:val="00BA02F5"/>
    <w:rsid w:val="00BA0850"/>
    <w:rsid w:val="00BA0B05"/>
    <w:rsid w:val="00BA0F1D"/>
    <w:rsid w:val="00BA0F3F"/>
    <w:rsid w:val="00BA1390"/>
    <w:rsid w:val="00BA20C6"/>
    <w:rsid w:val="00BA210D"/>
    <w:rsid w:val="00BA29AD"/>
    <w:rsid w:val="00BA2AEA"/>
    <w:rsid w:val="00BA2B38"/>
    <w:rsid w:val="00BA2E12"/>
    <w:rsid w:val="00BA2F91"/>
    <w:rsid w:val="00BA2FC9"/>
    <w:rsid w:val="00BA33CF"/>
    <w:rsid w:val="00BA38BB"/>
    <w:rsid w:val="00BA3CE5"/>
    <w:rsid w:val="00BA3D53"/>
    <w:rsid w:val="00BA3F8D"/>
    <w:rsid w:val="00BA45D0"/>
    <w:rsid w:val="00BA475E"/>
    <w:rsid w:val="00BA4853"/>
    <w:rsid w:val="00BA4B74"/>
    <w:rsid w:val="00BA552A"/>
    <w:rsid w:val="00BA5582"/>
    <w:rsid w:val="00BA566A"/>
    <w:rsid w:val="00BA643F"/>
    <w:rsid w:val="00BA65AD"/>
    <w:rsid w:val="00BA6719"/>
    <w:rsid w:val="00BA6976"/>
    <w:rsid w:val="00BA6AB0"/>
    <w:rsid w:val="00BA6D1C"/>
    <w:rsid w:val="00BA713B"/>
    <w:rsid w:val="00BA76B5"/>
    <w:rsid w:val="00BA7B93"/>
    <w:rsid w:val="00BB0164"/>
    <w:rsid w:val="00BB0B78"/>
    <w:rsid w:val="00BB12BB"/>
    <w:rsid w:val="00BB14A4"/>
    <w:rsid w:val="00BB1BC9"/>
    <w:rsid w:val="00BB25D2"/>
    <w:rsid w:val="00BB2FC8"/>
    <w:rsid w:val="00BB2FCF"/>
    <w:rsid w:val="00BB3239"/>
    <w:rsid w:val="00BB368E"/>
    <w:rsid w:val="00BB3992"/>
    <w:rsid w:val="00BB3EAB"/>
    <w:rsid w:val="00BB3EE6"/>
    <w:rsid w:val="00BB41D4"/>
    <w:rsid w:val="00BB447F"/>
    <w:rsid w:val="00BB46C4"/>
    <w:rsid w:val="00BB48FC"/>
    <w:rsid w:val="00BB4B33"/>
    <w:rsid w:val="00BB510F"/>
    <w:rsid w:val="00BB516A"/>
    <w:rsid w:val="00BB5D04"/>
    <w:rsid w:val="00BB6D50"/>
    <w:rsid w:val="00BB6F5F"/>
    <w:rsid w:val="00BB71DE"/>
    <w:rsid w:val="00BB7350"/>
    <w:rsid w:val="00BB7559"/>
    <w:rsid w:val="00BB76BD"/>
    <w:rsid w:val="00BB7A10"/>
    <w:rsid w:val="00BB7BB2"/>
    <w:rsid w:val="00BB7D0D"/>
    <w:rsid w:val="00BC021B"/>
    <w:rsid w:val="00BC05A1"/>
    <w:rsid w:val="00BC0860"/>
    <w:rsid w:val="00BC0983"/>
    <w:rsid w:val="00BC0EB2"/>
    <w:rsid w:val="00BC11A0"/>
    <w:rsid w:val="00BC13A1"/>
    <w:rsid w:val="00BC147F"/>
    <w:rsid w:val="00BC1703"/>
    <w:rsid w:val="00BC1975"/>
    <w:rsid w:val="00BC1D82"/>
    <w:rsid w:val="00BC2099"/>
    <w:rsid w:val="00BC26CA"/>
    <w:rsid w:val="00BC27E6"/>
    <w:rsid w:val="00BC2858"/>
    <w:rsid w:val="00BC31F9"/>
    <w:rsid w:val="00BC323C"/>
    <w:rsid w:val="00BC3EB3"/>
    <w:rsid w:val="00BC42FB"/>
    <w:rsid w:val="00BC4A58"/>
    <w:rsid w:val="00BC4C39"/>
    <w:rsid w:val="00BC4C78"/>
    <w:rsid w:val="00BC4F56"/>
    <w:rsid w:val="00BC5291"/>
    <w:rsid w:val="00BC52BB"/>
    <w:rsid w:val="00BC5762"/>
    <w:rsid w:val="00BC5851"/>
    <w:rsid w:val="00BC60BE"/>
    <w:rsid w:val="00BC6A61"/>
    <w:rsid w:val="00BC6F88"/>
    <w:rsid w:val="00BC7468"/>
    <w:rsid w:val="00BC7D3A"/>
    <w:rsid w:val="00BC7D4F"/>
    <w:rsid w:val="00BC7ED7"/>
    <w:rsid w:val="00BD0B58"/>
    <w:rsid w:val="00BD1139"/>
    <w:rsid w:val="00BD1231"/>
    <w:rsid w:val="00BD1960"/>
    <w:rsid w:val="00BD1F75"/>
    <w:rsid w:val="00BD21F9"/>
    <w:rsid w:val="00BD2232"/>
    <w:rsid w:val="00BD2449"/>
    <w:rsid w:val="00BD2850"/>
    <w:rsid w:val="00BD37C1"/>
    <w:rsid w:val="00BD4210"/>
    <w:rsid w:val="00BD4299"/>
    <w:rsid w:val="00BD456D"/>
    <w:rsid w:val="00BD4829"/>
    <w:rsid w:val="00BD489A"/>
    <w:rsid w:val="00BD5223"/>
    <w:rsid w:val="00BD5261"/>
    <w:rsid w:val="00BD5525"/>
    <w:rsid w:val="00BD5610"/>
    <w:rsid w:val="00BD5ECF"/>
    <w:rsid w:val="00BD62A2"/>
    <w:rsid w:val="00BD65F6"/>
    <w:rsid w:val="00BD6E09"/>
    <w:rsid w:val="00BD7334"/>
    <w:rsid w:val="00BD7683"/>
    <w:rsid w:val="00BD792B"/>
    <w:rsid w:val="00BD7D1D"/>
    <w:rsid w:val="00BE0A84"/>
    <w:rsid w:val="00BE0BE6"/>
    <w:rsid w:val="00BE0DA3"/>
    <w:rsid w:val="00BE0F2A"/>
    <w:rsid w:val="00BE18C7"/>
    <w:rsid w:val="00BE19F7"/>
    <w:rsid w:val="00BE22AA"/>
    <w:rsid w:val="00BE26AD"/>
    <w:rsid w:val="00BE2899"/>
    <w:rsid w:val="00BE28D2"/>
    <w:rsid w:val="00BE32BB"/>
    <w:rsid w:val="00BE35E3"/>
    <w:rsid w:val="00BE3C2A"/>
    <w:rsid w:val="00BE45E7"/>
    <w:rsid w:val="00BE4895"/>
    <w:rsid w:val="00BE48E7"/>
    <w:rsid w:val="00BE4A64"/>
    <w:rsid w:val="00BE4CDD"/>
    <w:rsid w:val="00BE50D9"/>
    <w:rsid w:val="00BE5365"/>
    <w:rsid w:val="00BE5B8D"/>
    <w:rsid w:val="00BE5C78"/>
    <w:rsid w:val="00BE5E43"/>
    <w:rsid w:val="00BE5F26"/>
    <w:rsid w:val="00BE6198"/>
    <w:rsid w:val="00BE6C86"/>
    <w:rsid w:val="00BE7198"/>
    <w:rsid w:val="00BE7661"/>
    <w:rsid w:val="00BE7828"/>
    <w:rsid w:val="00BE7FD7"/>
    <w:rsid w:val="00BF0259"/>
    <w:rsid w:val="00BF0A85"/>
    <w:rsid w:val="00BF10CE"/>
    <w:rsid w:val="00BF22C2"/>
    <w:rsid w:val="00BF259D"/>
    <w:rsid w:val="00BF2711"/>
    <w:rsid w:val="00BF2980"/>
    <w:rsid w:val="00BF2A99"/>
    <w:rsid w:val="00BF2ED5"/>
    <w:rsid w:val="00BF41C0"/>
    <w:rsid w:val="00BF44F7"/>
    <w:rsid w:val="00BF494F"/>
    <w:rsid w:val="00BF4BA5"/>
    <w:rsid w:val="00BF4F78"/>
    <w:rsid w:val="00BF4FD2"/>
    <w:rsid w:val="00BF5338"/>
    <w:rsid w:val="00BF5512"/>
    <w:rsid w:val="00BF557D"/>
    <w:rsid w:val="00BF5596"/>
    <w:rsid w:val="00BF595E"/>
    <w:rsid w:val="00BF5A23"/>
    <w:rsid w:val="00BF5A4A"/>
    <w:rsid w:val="00BF658D"/>
    <w:rsid w:val="00BF66B6"/>
    <w:rsid w:val="00BF6AEC"/>
    <w:rsid w:val="00BF6D97"/>
    <w:rsid w:val="00BF731F"/>
    <w:rsid w:val="00BF7656"/>
    <w:rsid w:val="00BF78D7"/>
    <w:rsid w:val="00BF792B"/>
    <w:rsid w:val="00BF7B8F"/>
    <w:rsid w:val="00BF7E16"/>
    <w:rsid w:val="00BF7F3F"/>
    <w:rsid w:val="00BF7F58"/>
    <w:rsid w:val="00C00341"/>
    <w:rsid w:val="00C00A3B"/>
    <w:rsid w:val="00C00E27"/>
    <w:rsid w:val="00C01381"/>
    <w:rsid w:val="00C01505"/>
    <w:rsid w:val="00C01AB1"/>
    <w:rsid w:val="00C01D33"/>
    <w:rsid w:val="00C0211B"/>
    <w:rsid w:val="00C02406"/>
    <w:rsid w:val="00C026A0"/>
    <w:rsid w:val="00C02D7D"/>
    <w:rsid w:val="00C02EAE"/>
    <w:rsid w:val="00C03185"/>
    <w:rsid w:val="00C0320C"/>
    <w:rsid w:val="00C03713"/>
    <w:rsid w:val="00C0385D"/>
    <w:rsid w:val="00C038DB"/>
    <w:rsid w:val="00C03C01"/>
    <w:rsid w:val="00C03DDD"/>
    <w:rsid w:val="00C041EE"/>
    <w:rsid w:val="00C04358"/>
    <w:rsid w:val="00C0464A"/>
    <w:rsid w:val="00C04B86"/>
    <w:rsid w:val="00C04CB2"/>
    <w:rsid w:val="00C056AB"/>
    <w:rsid w:val="00C05B82"/>
    <w:rsid w:val="00C05D5D"/>
    <w:rsid w:val="00C060C6"/>
    <w:rsid w:val="00C06137"/>
    <w:rsid w:val="00C064C5"/>
    <w:rsid w:val="00C06929"/>
    <w:rsid w:val="00C06A17"/>
    <w:rsid w:val="00C06B0C"/>
    <w:rsid w:val="00C06BCC"/>
    <w:rsid w:val="00C079B8"/>
    <w:rsid w:val="00C10037"/>
    <w:rsid w:val="00C10588"/>
    <w:rsid w:val="00C109B2"/>
    <w:rsid w:val="00C10F73"/>
    <w:rsid w:val="00C115E1"/>
    <w:rsid w:val="00C117B5"/>
    <w:rsid w:val="00C11FDF"/>
    <w:rsid w:val="00C123EA"/>
    <w:rsid w:val="00C125A7"/>
    <w:rsid w:val="00C12A49"/>
    <w:rsid w:val="00C12E78"/>
    <w:rsid w:val="00C12F8B"/>
    <w:rsid w:val="00C133EE"/>
    <w:rsid w:val="00C13B20"/>
    <w:rsid w:val="00C1457D"/>
    <w:rsid w:val="00C149D0"/>
    <w:rsid w:val="00C149D6"/>
    <w:rsid w:val="00C14E43"/>
    <w:rsid w:val="00C15175"/>
    <w:rsid w:val="00C15D15"/>
    <w:rsid w:val="00C15E80"/>
    <w:rsid w:val="00C1631B"/>
    <w:rsid w:val="00C16489"/>
    <w:rsid w:val="00C16E64"/>
    <w:rsid w:val="00C17C1C"/>
    <w:rsid w:val="00C2020D"/>
    <w:rsid w:val="00C20394"/>
    <w:rsid w:val="00C2047D"/>
    <w:rsid w:val="00C20E34"/>
    <w:rsid w:val="00C211E8"/>
    <w:rsid w:val="00C2126E"/>
    <w:rsid w:val="00C21689"/>
    <w:rsid w:val="00C21900"/>
    <w:rsid w:val="00C21949"/>
    <w:rsid w:val="00C22085"/>
    <w:rsid w:val="00C2231F"/>
    <w:rsid w:val="00C2268D"/>
    <w:rsid w:val="00C2339C"/>
    <w:rsid w:val="00C23477"/>
    <w:rsid w:val="00C23AF8"/>
    <w:rsid w:val="00C25E5F"/>
    <w:rsid w:val="00C25FD4"/>
    <w:rsid w:val="00C26232"/>
    <w:rsid w:val="00C262B5"/>
    <w:rsid w:val="00C26420"/>
    <w:rsid w:val="00C26588"/>
    <w:rsid w:val="00C2694F"/>
    <w:rsid w:val="00C270F1"/>
    <w:rsid w:val="00C2735A"/>
    <w:rsid w:val="00C274AF"/>
    <w:rsid w:val="00C275A5"/>
    <w:rsid w:val="00C27919"/>
    <w:rsid w:val="00C279EA"/>
    <w:rsid w:val="00C27DE9"/>
    <w:rsid w:val="00C27E88"/>
    <w:rsid w:val="00C30506"/>
    <w:rsid w:val="00C30566"/>
    <w:rsid w:val="00C30692"/>
    <w:rsid w:val="00C3076A"/>
    <w:rsid w:val="00C307B7"/>
    <w:rsid w:val="00C31099"/>
    <w:rsid w:val="00C311DD"/>
    <w:rsid w:val="00C3134E"/>
    <w:rsid w:val="00C31A09"/>
    <w:rsid w:val="00C31BD7"/>
    <w:rsid w:val="00C31C0C"/>
    <w:rsid w:val="00C320E0"/>
    <w:rsid w:val="00C3218A"/>
    <w:rsid w:val="00C3227F"/>
    <w:rsid w:val="00C3232E"/>
    <w:rsid w:val="00C32989"/>
    <w:rsid w:val="00C3305F"/>
    <w:rsid w:val="00C3336D"/>
    <w:rsid w:val="00C33388"/>
    <w:rsid w:val="00C334C0"/>
    <w:rsid w:val="00C33B12"/>
    <w:rsid w:val="00C34536"/>
    <w:rsid w:val="00C345AC"/>
    <w:rsid w:val="00C349C4"/>
    <w:rsid w:val="00C34BBB"/>
    <w:rsid w:val="00C34CAA"/>
    <w:rsid w:val="00C34D43"/>
    <w:rsid w:val="00C35484"/>
    <w:rsid w:val="00C355B3"/>
    <w:rsid w:val="00C355EB"/>
    <w:rsid w:val="00C3618E"/>
    <w:rsid w:val="00C362A6"/>
    <w:rsid w:val="00C36542"/>
    <w:rsid w:val="00C36973"/>
    <w:rsid w:val="00C36A83"/>
    <w:rsid w:val="00C36B6A"/>
    <w:rsid w:val="00C36C09"/>
    <w:rsid w:val="00C3710F"/>
    <w:rsid w:val="00C3764D"/>
    <w:rsid w:val="00C37D29"/>
    <w:rsid w:val="00C40276"/>
    <w:rsid w:val="00C4045B"/>
    <w:rsid w:val="00C4049C"/>
    <w:rsid w:val="00C4071F"/>
    <w:rsid w:val="00C40896"/>
    <w:rsid w:val="00C40A83"/>
    <w:rsid w:val="00C40BE8"/>
    <w:rsid w:val="00C40C0B"/>
    <w:rsid w:val="00C40D40"/>
    <w:rsid w:val="00C41237"/>
    <w:rsid w:val="00C413FA"/>
    <w:rsid w:val="00C4173A"/>
    <w:rsid w:val="00C41825"/>
    <w:rsid w:val="00C41A3F"/>
    <w:rsid w:val="00C43ABE"/>
    <w:rsid w:val="00C43D63"/>
    <w:rsid w:val="00C445C2"/>
    <w:rsid w:val="00C45C38"/>
    <w:rsid w:val="00C4632D"/>
    <w:rsid w:val="00C467CB"/>
    <w:rsid w:val="00C46864"/>
    <w:rsid w:val="00C46A9E"/>
    <w:rsid w:val="00C46BA2"/>
    <w:rsid w:val="00C4754F"/>
    <w:rsid w:val="00C4761C"/>
    <w:rsid w:val="00C47BC3"/>
    <w:rsid w:val="00C47E56"/>
    <w:rsid w:val="00C50AE1"/>
    <w:rsid w:val="00C50DED"/>
    <w:rsid w:val="00C51569"/>
    <w:rsid w:val="00C52217"/>
    <w:rsid w:val="00C52403"/>
    <w:rsid w:val="00C52624"/>
    <w:rsid w:val="00C534D9"/>
    <w:rsid w:val="00C53AEF"/>
    <w:rsid w:val="00C54052"/>
    <w:rsid w:val="00C547EA"/>
    <w:rsid w:val="00C54C66"/>
    <w:rsid w:val="00C54E11"/>
    <w:rsid w:val="00C55BF3"/>
    <w:rsid w:val="00C5664B"/>
    <w:rsid w:val="00C568B1"/>
    <w:rsid w:val="00C56B6D"/>
    <w:rsid w:val="00C56E1D"/>
    <w:rsid w:val="00C57067"/>
    <w:rsid w:val="00C5706C"/>
    <w:rsid w:val="00C57B13"/>
    <w:rsid w:val="00C57BA8"/>
    <w:rsid w:val="00C602FF"/>
    <w:rsid w:val="00C603AA"/>
    <w:rsid w:val="00C60411"/>
    <w:rsid w:val="00C6067A"/>
    <w:rsid w:val="00C60924"/>
    <w:rsid w:val="00C61174"/>
    <w:rsid w:val="00C6148F"/>
    <w:rsid w:val="00C619E6"/>
    <w:rsid w:val="00C61DE2"/>
    <w:rsid w:val="00C621B1"/>
    <w:rsid w:val="00C62853"/>
    <w:rsid w:val="00C62B15"/>
    <w:rsid w:val="00C62F7A"/>
    <w:rsid w:val="00C638F0"/>
    <w:rsid w:val="00C63B9C"/>
    <w:rsid w:val="00C63BE6"/>
    <w:rsid w:val="00C63FFF"/>
    <w:rsid w:val="00C64300"/>
    <w:rsid w:val="00C64509"/>
    <w:rsid w:val="00C64B8B"/>
    <w:rsid w:val="00C64E33"/>
    <w:rsid w:val="00C65B2B"/>
    <w:rsid w:val="00C65F35"/>
    <w:rsid w:val="00C66104"/>
    <w:rsid w:val="00C6682F"/>
    <w:rsid w:val="00C669E6"/>
    <w:rsid w:val="00C67333"/>
    <w:rsid w:val="00C6756F"/>
    <w:rsid w:val="00C67BF4"/>
    <w:rsid w:val="00C7008F"/>
    <w:rsid w:val="00C700A1"/>
    <w:rsid w:val="00C70B5E"/>
    <w:rsid w:val="00C713E1"/>
    <w:rsid w:val="00C7190D"/>
    <w:rsid w:val="00C71C36"/>
    <w:rsid w:val="00C71F62"/>
    <w:rsid w:val="00C7275E"/>
    <w:rsid w:val="00C72E3A"/>
    <w:rsid w:val="00C72E78"/>
    <w:rsid w:val="00C73123"/>
    <w:rsid w:val="00C731AF"/>
    <w:rsid w:val="00C73387"/>
    <w:rsid w:val="00C733C9"/>
    <w:rsid w:val="00C73733"/>
    <w:rsid w:val="00C73796"/>
    <w:rsid w:val="00C73B23"/>
    <w:rsid w:val="00C73CF5"/>
    <w:rsid w:val="00C74083"/>
    <w:rsid w:val="00C7419D"/>
    <w:rsid w:val="00C74438"/>
    <w:rsid w:val="00C7469B"/>
    <w:rsid w:val="00C746D2"/>
    <w:rsid w:val="00C7473B"/>
    <w:rsid w:val="00C74A34"/>
    <w:rsid w:val="00C74C5D"/>
    <w:rsid w:val="00C74E9A"/>
    <w:rsid w:val="00C75062"/>
    <w:rsid w:val="00C7578E"/>
    <w:rsid w:val="00C757C2"/>
    <w:rsid w:val="00C7587C"/>
    <w:rsid w:val="00C759D5"/>
    <w:rsid w:val="00C76390"/>
    <w:rsid w:val="00C76790"/>
    <w:rsid w:val="00C76F3D"/>
    <w:rsid w:val="00C77084"/>
    <w:rsid w:val="00C77093"/>
    <w:rsid w:val="00C77A5A"/>
    <w:rsid w:val="00C77FA8"/>
    <w:rsid w:val="00C805C7"/>
    <w:rsid w:val="00C8074F"/>
    <w:rsid w:val="00C80BFA"/>
    <w:rsid w:val="00C80D3F"/>
    <w:rsid w:val="00C8121A"/>
    <w:rsid w:val="00C813AD"/>
    <w:rsid w:val="00C81B9E"/>
    <w:rsid w:val="00C8229A"/>
    <w:rsid w:val="00C825A9"/>
    <w:rsid w:val="00C82818"/>
    <w:rsid w:val="00C828CE"/>
    <w:rsid w:val="00C82CFD"/>
    <w:rsid w:val="00C82E12"/>
    <w:rsid w:val="00C83034"/>
    <w:rsid w:val="00C83175"/>
    <w:rsid w:val="00C831BA"/>
    <w:rsid w:val="00C83836"/>
    <w:rsid w:val="00C83D26"/>
    <w:rsid w:val="00C8423E"/>
    <w:rsid w:val="00C84397"/>
    <w:rsid w:val="00C84788"/>
    <w:rsid w:val="00C84A5D"/>
    <w:rsid w:val="00C84FA1"/>
    <w:rsid w:val="00C858DF"/>
    <w:rsid w:val="00C85ADD"/>
    <w:rsid w:val="00C85CDE"/>
    <w:rsid w:val="00C863C4"/>
    <w:rsid w:val="00C86CCB"/>
    <w:rsid w:val="00C86D26"/>
    <w:rsid w:val="00C86ECE"/>
    <w:rsid w:val="00C87509"/>
    <w:rsid w:val="00C87E37"/>
    <w:rsid w:val="00C87E8C"/>
    <w:rsid w:val="00C9047C"/>
    <w:rsid w:val="00C90BC6"/>
    <w:rsid w:val="00C90C20"/>
    <w:rsid w:val="00C90DAB"/>
    <w:rsid w:val="00C917B4"/>
    <w:rsid w:val="00C91FB4"/>
    <w:rsid w:val="00C920EA"/>
    <w:rsid w:val="00C9220E"/>
    <w:rsid w:val="00C927DB"/>
    <w:rsid w:val="00C92B24"/>
    <w:rsid w:val="00C92D8C"/>
    <w:rsid w:val="00C9321A"/>
    <w:rsid w:val="00C93496"/>
    <w:rsid w:val="00C935F2"/>
    <w:rsid w:val="00C93C3E"/>
    <w:rsid w:val="00C94060"/>
    <w:rsid w:val="00C943DE"/>
    <w:rsid w:val="00C9471C"/>
    <w:rsid w:val="00C947DE"/>
    <w:rsid w:val="00C96271"/>
    <w:rsid w:val="00C969C3"/>
    <w:rsid w:val="00C96A9C"/>
    <w:rsid w:val="00C96C55"/>
    <w:rsid w:val="00C96F07"/>
    <w:rsid w:val="00C975D7"/>
    <w:rsid w:val="00C97C73"/>
    <w:rsid w:val="00CA00EE"/>
    <w:rsid w:val="00CA0770"/>
    <w:rsid w:val="00CA11E2"/>
    <w:rsid w:val="00CA12E3"/>
    <w:rsid w:val="00CA1476"/>
    <w:rsid w:val="00CA14DC"/>
    <w:rsid w:val="00CA1D66"/>
    <w:rsid w:val="00CA2280"/>
    <w:rsid w:val="00CA29EE"/>
    <w:rsid w:val="00CA365B"/>
    <w:rsid w:val="00CA368E"/>
    <w:rsid w:val="00CA36EF"/>
    <w:rsid w:val="00CA3817"/>
    <w:rsid w:val="00CA39CB"/>
    <w:rsid w:val="00CA4388"/>
    <w:rsid w:val="00CA4F5E"/>
    <w:rsid w:val="00CA51B6"/>
    <w:rsid w:val="00CA51FE"/>
    <w:rsid w:val="00CA5252"/>
    <w:rsid w:val="00CA55F5"/>
    <w:rsid w:val="00CA5B45"/>
    <w:rsid w:val="00CA5C11"/>
    <w:rsid w:val="00CA6611"/>
    <w:rsid w:val="00CA6AE6"/>
    <w:rsid w:val="00CA6CED"/>
    <w:rsid w:val="00CA714C"/>
    <w:rsid w:val="00CA782F"/>
    <w:rsid w:val="00CA78FC"/>
    <w:rsid w:val="00CA7CDF"/>
    <w:rsid w:val="00CA7F62"/>
    <w:rsid w:val="00CB03EF"/>
    <w:rsid w:val="00CB0687"/>
    <w:rsid w:val="00CB0894"/>
    <w:rsid w:val="00CB0898"/>
    <w:rsid w:val="00CB0E3B"/>
    <w:rsid w:val="00CB111E"/>
    <w:rsid w:val="00CB1157"/>
    <w:rsid w:val="00CB1351"/>
    <w:rsid w:val="00CB1596"/>
    <w:rsid w:val="00CB16F5"/>
    <w:rsid w:val="00CB187B"/>
    <w:rsid w:val="00CB1B35"/>
    <w:rsid w:val="00CB1BE2"/>
    <w:rsid w:val="00CB1EB9"/>
    <w:rsid w:val="00CB2827"/>
    <w:rsid w:val="00CB2835"/>
    <w:rsid w:val="00CB3285"/>
    <w:rsid w:val="00CB39B9"/>
    <w:rsid w:val="00CB3CDD"/>
    <w:rsid w:val="00CB3FAE"/>
    <w:rsid w:val="00CB4500"/>
    <w:rsid w:val="00CB459D"/>
    <w:rsid w:val="00CB4D8D"/>
    <w:rsid w:val="00CB5F71"/>
    <w:rsid w:val="00CB5FA9"/>
    <w:rsid w:val="00CB6210"/>
    <w:rsid w:val="00CB6F7C"/>
    <w:rsid w:val="00CB72FE"/>
    <w:rsid w:val="00CB73A5"/>
    <w:rsid w:val="00CB747D"/>
    <w:rsid w:val="00CB7824"/>
    <w:rsid w:val="00CB7D5D"/>
    <w:rsid w:val="00CC0119"/>
    <w:rsid w:val="00CC011D"/>
    <w:rsid w:val="00CC02E9"/>
    <w:rsid w:val="00CC06AE"/>
    <w:rsid w:val="00CC0B28"/>
    <w:rsid w:val="00CC0C4A"/>
    <w:rsid w:val="00CC0C72"/>
    <w:rsid w:val="00CC10F2"/>
    <w:rsid w:val="00CC11DC"/>
    <w:rsid w:val="00CC15BD"/>
    <w:rsid w:val="00CC17A5"/>
    <w:rsid w:val="00CC1A5A"/>
    <w:rsid w:val="00CC1E1B"/>
    <w:rsid w:val="00CC213F"/>
    <w:rsid w:val="00CC2307"/>
    <w:rsid w:val="00CC28D9"/>
    <w:rsid w:val="00CC2B6D"/>
    <w:rsid w:val="00CC2BFD"/>
    <w:rsid w:val="00CC356A"/>
    <w:rsid w:val="00CC5292"/>
    <w:rsid w:val="00CC52B3"/>
    <w:rsid w:val="00CC5C9A"/>
    <w:rsid w:val="00CC64F2"/>
    <w:rsid w:val="00CC65A1"/>
    <w:rsid w:val="00CC6811"/>
    <w:rsid w:val="00CC6F40"/>
    <w:rsid w:val="00CC7B88"/>
    <w:rsid w:val="00CC7BD6"/>
    <w:rsid w:val="00CC7DF5"/>
    <w:rsid w:val="00CC7FA5"/>
    <w:rsid w:val="00CD1099"/>
    <w:rsid w:val="00CD1157"/>
    <w:rsid w:val="00CD126C"/>
    <w:rsid w:val="00CD183C"/>
    <w:rsid w:val="00CD2AF6"/>
    <w:rsid w:val="00CD2EB9"/>
    <w:rsid w:val="00CD3476"/>
    <w:rsid w:val="00CD457F"/>
    <w:rsid w:val="00CD4732"/>
    <w:rsid w:val="00CD4A70"/>
    <w:rsid w:val="00CD4B74"/>
    <w:rsid w:val="00CD4FCB"/>
    <w:rsid w:val="00CD5938"/>
    <w:rsid w:val="00CD5A88"/>
    <w:rsid w:val="00CD5ACA"/>
    <w:rsid w:val="00CD64DF"/>
    <w:rsid w:val="00CD6976"/>
    <w:rsid w:val="00CD7046"/>
    <w:rsid w:val="00CD70F5"/>
    <w:rsid w:val="00CD740A"/>
    <w:rsid w:val="00CD7849"/>
    <w:rsid w:val="00CD7E80"/>
    <w:rsid w:val="00CE029D"/>
    <w:rsid w:val="00CE07C6"/>
    <w:rsid w:val="00CE07E3"/>
    <w:rsid w:val="00CE08E7"/>
    <w:rsid w:val="00CE09EF"/>
    <w:rsid w:val="00CE1579"/>
    <w:rsid w:val="00CE1CB3"/>
    <w:rsid w:val="00CE1DC3"/>
    <w:rsid w:val="00CE225F"/>
    <w:rsid w:val="00CE2418"/>
    <w:rsid w:val="00CE2C78"/>
    <w:rsid w:val="00CE3302"/>
    <w:rsid w:val="00CE37A6"/>
    <w:rsid w:val="00CE3CF6"/>
    <w:rsid w:val="00CE4870"/>
    <w:rsid w:val="00CE48ED"/>
    <w:rsid w:val="00CE4EBF"/>
    <w:rsid w:val="00CE516C"/>
    <w:rsid w:val="00CE5A44"/>
    <w:rsid w:val="00CE5A8E"/>
    <w:rsid w:val="00CE5BF2"/>
    <w:rsid w:val="00CE6DEA"/>
    <w:rsid w:val="00CE7020"/>
    <w:rsid w:val="00CE7473"/>
    <w:rsid w:val="00CF0BAA"/>
    <w:rsid w:val="00CF0CE8"/>
    <w:rsid w:val="00CF1614"/>
    <w:rsid w:val="00CF227A"/>
    <w:rsid w:val="00CF2319"/>
    <w:rsid w:val="00CF241F"/>
    <w:rsid w:val="00CF2DEF"/>
    <w:rsid w:val="00CF2F50"/>
    <w:rsid w:val="00CF2F80"/>
    <w:rsid w:val="00CF34E1"/>
    <w:rsid w:val="00CF36FC"/>
    <w:rsid w:val="00CF3AF4"/>
    <w:rsid w:val="00CF3FB5"/>
    <w:rsid w:val="00CF41DE"/>
    <w:rsid w:val="00CF44C8"/>
    <w:rsid w:val="00CF5122"/>
    <w:rsid w:val="00CF56EB"/>
    <w:rsid w:val="00CF6198"/>
    <w:rsid w:val="00CF630D"/>
    <w:rsid w:val="00CF692A"/>
    <w:rsid w:val="00CF72F3"/>
    <w:rsid w:val="00CF75F9"/>
    <w:rsid w:val="00CF75FD"/>
    <w:rsid w:val="00CF7641"/>
    <w:rsid w:val="00CF790A"/>
    <w:rsid w:val="00D00133"/>
    <w:rsid w:val="00D00B04"/>
    <w:rsid w:val="00D013F1"/>
    <w:rsid w:val="00D0171E"/>
    <w:rsid w:val="00D018EC"/>
    <w:rsid w:val="00D01962"/>
    <w:rsid w:val="00D02816"/>
    <w:rsid w:val="00D02919"/>
    <w:rsid w:val="00D0323D"/>
    <w:rsid w:val="00D03566"/>
    <w:rsid w:val="00D03608"/>
    <w:rsid w:val="00D03653"/>
    <w:rsid w:val="00D03E64"/>
    <w:rsid w:val="00D03F86"/>
    <w:rsid w:val="00D04021"/>
    <w:rsid w:val="00D04C61"/>
    <w:rsid w:val="00D05036"/>
    <w:rsid w:val="00D050EB"/>
    <w:rsid w:val="00D05557"/>
    <w:rsid w:val="00D05B8D"/>
    <w:rsid w:val="00D05B9B"/>
    <w:rsid w:val="00D060EA"/>
    <w:rsid w:val="00D0617B"/>
    <w:rsid w:val="00D0622B"/>
    <w:rsid w:val="00D065A2"/>
    <w:rsid w:val="00D065D6"/>
    <w:rsid w:val="00D06771"/>
    <w:rsid w:val="00D06E6A"/>
    <w:rsid w:val="00D079AA"/>
    <w:rsid w:val="00D07BFD"/>
    <w:rsid w:val="00D07F00"/>
    <w:rsid w:val="00D07F9C"/>
    <w:rsid w:val="00D1037A"/>
    <w:rsid w:val="00D10D01"/>
    <w:rsid w:val="00D11194"/>
    <w:rsid w:val="00D11226"/>
    <w:rsid w:val="00D1130F"/>
    <w:rsid w:val="00D1194D"/>
    <w:rsid w:val="00D1199C"/>
    <w:rsid w:val="00D11ABD"/>
    <w:rsid w:val="00D11DED"/>
    <w:rsid w:val="00D1213D"/>
    <w:rsid w:val="00D12192"/>
    <w:rsid w:val="00D129A9"/>
    <w:rsid w:val="00D133DB"/>
    <w:rsid w:val="00D1420A"/>
    <w:rsid w:val="00D15444"/>
    <w:rsid w:val="00D1571E"/>
    <w:rsid w:val="00D159C1"/>
    <w:rsid w:val="00D160FC"/>
    <w:rsid w:val="00D162F5"/>
    <w:rsid w:val="00D164D9"/>
    <w:rsid w:val="00D166A2"/>
    <w:rsid w:val="00D1687C"/>
    <w:rsid w:val="00D16999"/>
    <w:rsid w:val="00D16D0C"/>
    <w:rsid w:val="00D17522"/>
    <w:rsid w:val="00D1752B"/>
    <w:rsid w:val="00D175B8"/>
    <w:rsid w:val="00D17B72"/>
    <w:rsid w:val="00D17FFE"/>
    <w:rsid w:val="00D20327"/>
    <w:rsid w:val="00D20A3B"/>
    <w:rsid w:val="00D20DC0"/>
    <w:rsid w:val="00D21582"/>
    <w:rsid w:val="00D222F5"/>
    <w:rsid w:val="00D2257A"/>
    <w:rsid w:val="00D22CF8"/>
    <w:rsid w:val="00D22FF4"/>
    <w:rsid w:val="00D23352"/>
    <w:rsid w:val="00D23E4C"/>
    <w:rsid w:val="00D24013"/>
    <w:rsid w:val="00D24566"/>
    <w:rsid w:val="00D24628"/>
    <w:rsid w:val="00D257C5"/>
    <w:rsid w:val="00D268A2"/>
    <w:rsid w:val="00D27495"/>
    <w:rsid w:val="00D27B0A"/>
    <w:rsid w:val="00D27E49"/>
    <w:rsid w:val="00D30080"/>
    <w:rsid w:val="00D30313"/>
    <w:rsid w:val="00D308F2"/>
    <w:rsid w:val="00D30F1F"/>
    <w:rsid w:val="00D315E8"/>
    <w:rsid w:val="00D31755"/>
    <w:rsid w:val="00D3185C"/>
    <w:rsid w:val="00D318F4"/>
    <w:rsid w:val="00D3205F"/>
    <w:rsid w:val="00D3294C"/>
    <w:rsid w:val="00D32C89"/>
    <w:rsid w:val="00D3318E"/>
    <w:rsid w:val="00D332A8"/>
    <w:rsid w:val="00D33861"/>
    <w:rsid w:val="00D33E72"/>
    <w:rsid w:val="00D34078"/>
    <w:rsid w:val="00D34593"/>
    <w:rsid w:val="00D34E68"/>
    <w:rsid w:val="00D35BD6"/>
    <w:rsid w:val="00D35DE6"/>
    <w:rsid w:val="00D35F8D"/>
    <w:rsid w:val="00D3610E"/>
    <w:rsid w:val="00D361B5"/>
    <w:rsid w:val="00D3625D"/>
    <w:rsid w:val="00D37A53"/>
    <w:rsid w:val="00D37F12"/>
    <w:rsid w:val="00D40036"/>
    <w:rsid w:val="00D4110B"/>
    <w:rsid w:val="00D411A2"/>
    <w:rsid w:val="00D411A4"/>
    <w:rsid w:val="00D41CFC"/>
    <w:rsid w:val="00D41D4A"/>
    <w:rsid w:val="00D422BF"/>
    <w:rsid w:val="00D4262D"/>
    <w:rsid w:val="00D42831"/>
    <w:rsid w:val="00D42973"/>
    <w:rsid w:val="00D43717"/>
    <w:rsid w:val="00D43F33"/>
    <w:rsid w:val="00D44C5F"/>
    <w:rsid w:val="00D45587"/>
    <w:rsid w:val="00D45653"/>
    <w:rsid w:val="00D4573C"/>
    <w:rsid w:val="00D459D9"/>
    <w:rsid w:val="00D45CF2"/>
    <w:rsid w:val="00D45E74"/>
    <w:rsid w:val="00D4606D"/>
    <w:rsid w:val="00D46552"/>
    <w:rsid w:val="00D46699"/>
    <w:rsid w:val="00D466A3"/>
    <w:rsid w:val="00D46717"/>
    <w:rsid w:val="00D467F6"/>
    <w:rsid w:val="00D4698B"/>
    <w:rsid w:val="00D46C57"/>
    <w:rsid w:val="00D47A3C"/>
    <w:rsid w:val="00D47E10"/>
    <w:rsid w:val="00D50404"/>
    <w:rsid w:val="00D50B9C"/>
    <w:rsid w:val="00D513AF"/>
    <w:rsid w:val="00D515B3"/>
    <w:rsid w:val="00D51707"/>
    <w:rsid w:val="00D51872"/>
    <w:rsid w:val="00D51AD2"/>
    <w:rsid w:val="00D523B7"/>
    <w:rsid w:val="00D52B6A"/>
    <w:rsid w:val="00D52D48"/>
    <w:rsid w:val="00D52D73"/>
    <w:rsid w:val="00D52E58"/>
    <w:rsid w:val="00D53489"/>
    <w:rsid w:val="00D53519"/>
    <w:rsid w:val="00D53B6F"/>
    <w:rsid w:val="00D53D79"/>
    <w:rsid w:val="00D53F20"/>
    <w:rsid w:val="00D54196"/>
    <w:rsid w:val="00D55522"/>
    <w:rsid w:val="00D5582C"/>
    <w:rsid w:val="00D55973"/>
    <w:rsid w:val="00D56046"/>
    <w:rsid w:val="00D564B6"/>
    <w:rsid w:val="00D56AEA"/>
    <w:rsid w:val="00D56B20"/>
    <w:rsid w:val="00D56D4D"/>
    <w:rsid w:val="00D57744"/>
    <w:rsid w:val="00D578B3"/>
    <w:rsid w:val="00D57AA8"/>
    <w:rsid w:val="00D57EAF"/>
    <w:rsid w:val="00D6027A"/>
    <w:rsid w:val="00D605A0"/>
    <w:rsid w:val="00D60642"/>
    <w:rsid w:val="00D606CA"/>
    <w:rsid w:val="00D60910"/>
    <w:rsid w:val="00D6154F"/>
    <w:rsid w:val="00D61578"/>
    <w:rsid w:val="00D616EC"/>
    <w:rsid w:val="00D6183E"/>
    <w:rsid w:val="00D618F4"/>
    <w:rsid w:val="00D619B9"/>
    <w:rsid w:val="00D61A0B"/>
    <w:rsid w:val="00D61BF0"/>
    <w:rsid w:val="00D61BFB"/>
    <w:rsid w:val="00D61DA8"/>
    <w:rsid w:val="00D61F35"/>
    <w:rsid w:val="00D62568"/>
    <w:rsid w:val="00D629A6"/>
    <w:rsid w:val="00D62F1D"/>
    <w:rsid w:val="00D6301F"/>
    <w:rsid w:val="00D63183"/>
    <w:rsid w:val="00D63236"/>
    <w:rsid w:val="00D63579"/>
    <w:rsid w:val="00D63636"/>
    <w:rsid w:val="00D6394F"/>
    <w:rsid w:val="00D63975"/>
    <w:rsid w:val="00D63E21"/>
    <w:rsid w:val="00D64117"/>
    <w:rsid w:val="00D647F7"/>
    <w:rsid w:val="00D64A26"/>
    <w:rsid w:val="00D651CF"/>
    <w:rsid w:val="00D65971"/>
    <w:rsid w:val="00D65C6C"/>
    <w:rsid w:val="00D65E01"/>
    <w:rsid w:val="00D661C4"/>
    <w:rsid w:val="00D6634B"/>
    <w:rsid w:val="00D66571"/>
    <w:rsid w:val="00D66A35"/>
    <w:rsid w:val="00D66AC9"/>
    <w:rsid w:val="00D66E15"/>
    <w:rsid w:val="00D677A2"/>
    <w:rsid w:val="00D706C3"/>
    <w:rsid w:val="00D709EF"/>
    <w:rsid w:val="00D70A82"/>
    <w:rsid w:val="00D70B28"/>
    <w:rsid w:val="00D70EDB"/>
    <w:rsid w:val="00D714CC"/>
    <w:rsid w:val="00D71613"/>
    <w:rsid w:val="00D7179F"/>
    <w:rsid w:val="00D720B7"/>
    <w:rsid w:val="00D72191"/>
    <w:rsid w:val="00D727D7"/>
    <w:rsid w:val="00D72B25"/>
    <w:rsid w:val="00D72B26"/>
    <w:rsid w:val="00D73071"/>
    <w:rsid w:val="00D73113"/>
    <w:rsid w:val="00D736D1"/>
    <w:rsid w:val="00D73940"/>
    <w:rsid w:val="00D73CD1"/>
    <w:rsid w:val="00D744E3"/>
    <w:rsid w:val="00D74A53"/>
    <w:rsid w:val="00D74B1D"/>
    <w:rsid w:val="00D74C58"/>
    <w:rsid w:val="00D75392"/>
    <w:rsid w:val="00D75CC4"/>
    <w:rsid w:val="00D75E2E"/>
    <w:rsid w:val="00D75EA7"/>
    <w:rsid w:val="00D75FB3"/>
    <w:rsid w:val="00D761A9"/>
    <w:rsid w:val="00D765B8"/>
    <w:rsid w:val="00D765CD"/>
    <w:rsid w:val="00D767DC"/>
    <w:rsid w:val="00D776E6"/>
    <w:rsid w:val="00D77ECB"/>
    <w:rsid w:val="00D8065A"/>
    <w:rsid w:val="00D8088B"/>
    <w:rsid w:val="00D80F0A"/>
    <w:rsid w:val="00D81306"/>
    <w:rsid w:val="00D81863"/>
    <w:rsid w:val="00D81ADF"/>
    <w:rsid w:val="00D81E8E"/>
    <w:rsid w:val="00D81F21"/>
    <w:rsid w:val="00D822A4"/>
    <w:rsid w:val="00D82554"/>
    <w:rsid w:val="00D82984"/>
    <w:rsid w:val="00D82C90"/>
    <w:rsid w:val="00D82DA0"/>
    <w:rsid w:val="00D82F09"/>
    <w:rsid w:val="00D83171"/>
    <w:rsid w:val="00D83E65"/>
    <w:rsid w:val="00D84187"/>
    <w:rsid w:val="00D841EA"/>
    <w:rsid w:val="00D842F8"/>
    <w:rsid w:val="00D84A02"/>
    <w:rsid w:val="00D84F02"/>
    <w:rsid w:val="00D850A3"/>
    <w:rsid w:val="00D858C2"/>
    <w:rsid w:val="00D86236"/>
    <w:rsid w:val="00D8628E"/>
    <w:rsid w:val="00D864F2"/>
    <w:rsid w:val="00D866E4"/>
    <w:rsid w:val="00D876DB"/>
    <w:rsid w:val="00D87C9F"/>
    <w:rsid w:val="00D905AA"/>
    <w:rsid w:val="00D90680"/>
    <w:rsid w:val="00D9077E"/>
    <w:rsid w:val="00D907A1"/>
    <w:rsid w:val="00D908A2"/>
    <w:rsid w:val="00D9148C"/>
    <w:rsid w:val="00D9165E"/>
    <w:rsid w:val="00D91AC9"/>
    <w:rsid w:val="00D922BB"/>
    <w:rsid w:val="00D926C2"/>
    <w:rsid w:val="00D92D03"/>
    <w:rsid w:val="00D934CF"/>
    <w:rsid w:val="00D93FC2"/>
    <w:rsid w:val="00D942B1"/>
    <w:rsid w:val="00D943F8"/>
    <w:rsid w:val="00D944AE"/>
    <w:rsid w:val="00D95470"/>
    <w:rsid w:val="00D95597"/>
    <w:rsid w:val="00D95AA2"/>
    <w:rsid w:val="00D95C70"/>
    <w:rsid w:val="00D95FF7"/>
    <w:rsid w:val="00D968C9"/>
    <w:rsid w:val="00D96B55"/>
    <w:rsid w:val="00D96C6F"/>
    <w:rsid w:val="00D96D10"/>
    <w:rsid w:val="00D96E25"/>
    <w:rsid w:val="00DA011F"/>
    <w:rsid w:val="00DA046B"/>
    <w:rsid w:val="00DA0895"/>
    <w:rsid w:val="00DA08D7"/>
    <w:rsid w:val="00DA0BAF"/>
    <w:rsid w:val="00DA0DB6"/>
    <w:rsid w:val="00DA12F3"/>
    <w:rsid w:val="00DA1B05"/>
    <w:rsid w:val="00DA1BEC"/>
    <w:rsid w:val="00DA1DA9"/>
    <w:rsid w:val="00DA1FE6"/>
    <w:rsid w:val="00DA23C9"/>
    <w:rsid w:val="00DA24FA"/>
    <w:rsid w:val="00DA2597"/>
    <w:rsid w:val="00DA2619"/>
    <w:rsid w:val="00DA313A"/>
    <w:rsid w:val="00DA3349"/>
    <w:rsid w:val="00DA3730"/>
    <w:rsid w:val="00DA4069"/>
    <w:rsid w:val="00DA4239"/>
    <w:rsid w:val="00DA4E31"/>
    <w:rsid w:val="00DA4FE2"/>
    <w:rsid w:val="00DA52CB"/>
    <w:rsid w:val="00DA588C"/>
    <w:rsid w:val="00DA59B3"/>
    <w:rsid w:val="00DA5A17"/>
    <w:rsid w:val="00DA5E43"/>
    <w:rsid w:val="00DA5EBF"/>
    <w:rsid w:val="00DA6005"/>
    <w:rsid w:val="00DA65DE"/>
    <w:rsid w:val="00DA735F"/>
    <w:rsid w:val="00DA77DD"/>
    <w:rsid w:val="00DB0AD2"/>
    <w:rsid w:val="00DB0B61"/>
    <w:rsid w:val="00DB0E42"/>
    <w:rsid w:val="00DB1294"/>
    <w:rsid w:val="00DB1474"/>
    <w:rsid w:val="00DB1A20"/>
    <w:rsid w:val="00DB1FF8"/>
    <w:rsid w:val="00DB2562"/>
    <w:rsid w:val="00DB27AF"/>
    <w:rsid w:val="00DB285B"/>
    <w:rsid w:val="00DB2962"/>
    <w:rsid w:val="00DB3485"/>
    <w:rsid w:val="00DB3AFC"/>
    <w:rsid w:val="00DB4224"/>
    <w:rsid w:val="00DB433F"/>
    <w:rsid w:val="00DB47AC"/>
    <w:rsid w:val="00DB4990"/>
    <w:rsid w:val="00DB4E59"/>
    <w:rsid w:val="00DB52FB"/>
    <w:rsid w:val="00DB54FC"/>
    <w:rsid w:val="00DB58EA"/>
    <w:rsid w:val="00DB5D46"/>
    <w:rsid w:val="00DB5E3C"/>
    <w:rsid w:val="00DB67B7"/>
    <w:rsid w:val="00DB6C6C"/>
    <w:rsid w:val="00DB7633"/>
    <w:rsid w:val="00DB7A59"/>
    <w:rsid w:val="00DC013B"/>
    <w:rsid w:val="00DC0335"/>
    <w:rsid w:val="00DC04FB"/>
    <w:rsid w:val="00DC090B"/>
    <w:rsid w:val="00DC0BC9"/>
    <w:rsid w:val="00DC0CA0"/>
    <w:rsid w:val="00DC13D3"/>
    <w:rsid w:val="00DC15E6"/>
    <w:rsid w:val="00DC1679"/>
    <w:rsid w:val="00DC16AF"/>
    <w:rsid w:val="00DC219B"/>
    <w:rsid w:val="00DC295F"/>
    <w:rsid w:val="00DC2CF1"/>
    <w:rsid w:val="00DC2D34"/>
    <w:rsid w:val="00DC2DC7"/>
    <w:rsid w:val="00DC2F40"/>
    <w:rsid w:val="00DC316C"/>
    <w:rsid w:val="00DC37AD"/>
    <w:rsid w:val="00DC38A8"/>
    <w:rsid w:val="00DC3A7C"/>
    <w:rsid w:val="00DC41D9"/>
    <w:rsid w:val="00DC424B"/>
    <w:rsid w:val="00DC4FCF"/>
    <w:rsid w:val="00DC50E0"/>
    <w:rsid w:val="00DC55F3"/>
    <w:rsid w:val="00DC57AA"/>
    <w:rsid w:val="00DC6386"/>
    <w:rsid w:val="00DC6581"/>
    <w:rsid w:val="00DC663F"/>
    <w:rsid w:val="00DC6F30"/>
    <w:rsid w:val="00DC702D"/>
    <w:rsid w:val="00DC7D6E"/>
    <w:rsid w:val="00DD003A"/>
    <w:rsid w:val="00DD02E6"/>
    <w:rsid w:val="00DD0450"/>
    <w:rsid w:val="00DD0AA6"/>
    <w:rsid w:val="00DD0C3D"/>
    <w:rsid w:val="00DD1130"/>
    <w:rsid w:val="00DD187A"/>
    <w:rsid w:val="00DD1951"/>
    <w:rsid w:val="00DD1BD4"/>
    <w:rsid w:val="00DD2398"/>
    <w:rsid w:val="00DD2406"/>
    <w:rsid w:val="00DD2DEC"/>
    <w:rsid w:val="00DD3354"/>
    <w:rsid w:val="00DD3629"/>
    <w:rsid w:val="00DD368E"/>
    <w:rsid w:val="00DD3AF6"/>
    <w:rsid w:val="00DD3EF0"/>
    <w:rsid w:val="00DD41E3"/>
    <w:rsid w:val="00DD4374"/>
    <w:rsid w:val="00DD46BD"/>
    <w:rsid w:val="00DD487D"/>
    <w:rsid w:val="00DD4BEE"/>
    <w:rsid w:val="00DD4E83"/>
    <w:rsid w:val="00DD50CE"/>
    <w:rsid w:val="00DD5554"/>
    <w:rsid w:val="00DD5C73"/>
    <w:rsid w:val="00DD5F2D"/>
    <w:rsid w:val="00DD6274"/>
    <w:rsid w:val="00DD63D1"/>
    <w:rsid w:val="00DD6628"/>
    <w:rsid w:val="00DD6945"/>
    <w:rsid w:val="00DD6E0A"/>
    <w:rsid w:val="00DE007A"/>
    <w:rsid w:val="00DE065C"/>
    <w:rsid w:val="00DE0E35"/>
    <w:rsid w:val="00DE1118"/>
    <w:rsid w:val="00DE146C"/>
    <w:rsid w:val="00DE1833"/>
    <w:rsid w:val="00DE1988"/>
    <w:rsid w:val="00DE1BDC"/>
    <w:rsid w:val="00DE1E27"/>
    <w:rsid w:val="00DE1E8D"/>
    <w:rsid w:val="00DE26E8"/>
    <w:rsid w:val="00DE2774"/>
    <w:rsid w:val="00DE2D04"/>
    <w:rsid w:val="00DE2F6F"/>
    <w:rsid w:val="00DE31DE"/>
    <w:rsid w:val="00DE3250"/>
    <w:rsid w:val="00DE3315"/>
    <w:rsid w:val="00DE3E16"/>
    <w:rsid w:val="00DE3EC8"/>
    <w:rsid w:val="00DE48E2"/>
    <w:rsid w:val="00DE49D7"/>
    <w:rsid w:val="00DE4BD6"/>
    <w:rsid w:val="00DE4D73"/>
    <w:rsid w:val="00DE52FC"/>
    <w:rsid w:val="00DE55E0"/>
    <w:rsid w:val="00DE5834"/>
    <w:rsid w:val="00DE6028"/>
    <w:rsid w:val="00DE6278"/>
    <w:rsid w:val="00DE63B4"/>
    <w:rsid w:val="00DE6AEA"/>
    <w:rsid w:val="00DE6C85"/>
    <w:rsid w:val="00DE78A3"/>
    <w:rsid w:val="00DE7A3E"/>
    <w:rsid w:val="00DE7E95"/>
    <w:rsid w:val="00DF16CB"/>
    <w:rsid w:val="00DF1A71"/>
    <w:rsid w:val="00DF1E76"/>
    <w:rsid w:val="00DF2082"/>
    <w:rsid w:val="00DF23AF"/>
    <w:rsid w:val="00DF27F1"/>
    <w:rsid w:val="00DF29D6"/>
    <w:rsid w:val="00DF2B80"/>
    <w:rsid w:val="00DF2DBD"/>
    <w:rsid w:val="00DF343B"/>
    <w:rsid w:val="00DF36B5"/>
    <w:rsid w:val="00DF381B"/>
    <w:rsid w:val="00DF3CA3"/>
    <w:rsid w:val="00DF4308"/>
    <w:rsid w:val="00DF4892"/>
    <w:rsid w:val="00DF4B7A"/>
    <w:rsid w:val="00DF50FC"/>
    <w:rsid w:val="00DF5114"/>
    <w:rsid w:val="00DF612F"/>
    <w:rsid w:val="00DF6406"/>
    <w:rsid w:val="00DF64FA"/>
    <w:rsid w:val="00DF68C7"/>
    <w:rsid w:val="00DF731A"/>
    <w:rsid w:val="00DF75D1"/>
    <w:rsid w:val="00DF77D1"/>
    <w:rsid w:val="00DF77FA"/>
    <w:rsid w:val="00DF7C8D"/>
    <w:rsid w:val="00E00294"/>
    <w:rsid w:val="00E002A2"/>
    <w:rsid w:val="00E009CC"/>
    <w:rsid w:val="00E009E2"/>
    <w:rsid w:val="00E01870"/>
    <w:rsid w:val="00E0221E"/>
    <w:rsid w:val="00E023BB"/>
    <w:rsid w:val="00E02E68"/>
    <w:rsid w:val="00E02FBC"/>
    <w:rsid w:val="00E03B39"/>
    <w:rsid w:val="00E03E6E"/>
    <w:rsid w:val="00E03FEA"/>
    <w:rsid w:val="00E0413B"/>
    <w:rsid w:val="00E0470C"/>
    <w:rsid w:val="00E05251"/>
    <w:rsid w:val="00E05914"/>
    <w:rsid w:val="00E05C85"/>
    <w:rsid w:val="00E05CB9"/>
    <w:rsid w:val="00E05D6B"/>
    <w:rsid w:val="00E0630F"/>
    <w:rsid w:val="00E06B75"/>
    <w:rsid w:val="00E071BE"/>
    <w:rsid w:val="00E07ECD"/>
    <w:rsid w:val="00E1043B"/>
    <w:rsid w:val="00E10980"/>
    <w:rsid w:val="00E10F7F"/>
    <w:rsid w:val="00E11332"/>
    <w:rsid w:val="00E11352"/>
    <w:rsid w:val="00E1174D"/>
    <w:rsid w:val="00E11DFA"/>
    <w:rsid w:val="00E12769"/>
    <w:rsid w:val="00E127B8"/>
    <w:rsid w:val="00E12808"/>
    <w:rsid w:val="00E12B10"/>
    <w:rsid w:val="00E13051"/>
    <w:rsid w:val="00E143A1"/>
    <w:rsid w:val="00E14888"/>
    <w:rsid w:val="00E148EC"/>
    <w:rsid w:val="00E155EF"/>
    <w:rsid w:val="00E156AA"/>
    <w:rsid w:val="00E15BA7"/>
    <w:rsid w:val="00E15DF2"/>
    <w:rsid w:val="00E16477"/>
    <w:rsid w:val="00E16A9A"/>
    <w:rsid w:val="00E170DC"/>
    <w:rsid w:val="00E17546"/>
    <w:rsid w:val="00E1786E"/>
    <w:rsid w:val="00E17C30"/>
    <w:rsid w:val="00E2079A"/>
    <w:rsid w:val="00E20A9E"/>
    <w:rsid w:val="00E20AE4"/>
    <w:rsid w:val="00E20CE7"/>
    <w:rsid w:val="00E20E8E"/>
    <w:rsid w:val="00E210B5"/>
    <w:rsid w:val="00E210CB"/>
    <w:rsid w:val="00E215D8"/>
    <w:rsid w:val="00E21737"/>
    <w:rsid w:val="00E222FC"/>
    <w:rsid w:val="00E22421"/>
    <w:rsid w:val="00E225E6"/>
    <w:rsid w:val="00E2278A"/>
    <w:rsid w:val="00E230DE"/>
    <w:rsid w:val="00E239A1"/>
    <w:rsid w:val="00E23FE6"/>
    <w:rsid w:val="00E2492A"/>
    <w:rsid w:val="00E24954"/>
    <w:rsid w:val="00E24ECD"/>
    <w:rsid w:val="00E250B5"/>
    <w:rsid w:val="00E25172"/>
    <w:rsid w:val="00E25231"/>
    <w:rsid w:val="00E2527E"/>
    <w:rsid w:val="00E2531E"/>
    <w:rsid w:val="00E25423"/>
    <w:rsid w:val="00E2559F"/>
    <w:rsid w:val="00E25CD7"/>
    <w:rsid w:val="00E25E74"/>
    <w:rsid w:val="00E261B3"/>
    <w:rsid w:val="00E26818"/>
    <w:rsid w:val="00E26C21"/>
    <w:rsid w:val="00E27CB9"/>
    <w:rsid w:val="00E27F0F"/>
    <w:rsid w:val="00E27FFC"/>
    <w:rsid w:val="00E3000F"/>
    <w:rsid w:val="00E30031"/>
    <w:rsid w:val="00E300EB"/>
    <w:rsid w:val="00E30B09"/>
    <w:rsid w:val="00E30B15"/>
    <w:rsid w:val="00E3192A"/>
    <w:rsid w:val="00E31AC9"/>
    <w:rsid w:val="00E31CAF"/>
    <w:rsid w:val="00E31D90"/>
    <w:rsid w:val="00E31EAE"/>
    <w:rsid w:val="00E31EEF"/>
    <w:rsid w:val="00E32C3E"/>
    <w:rsid w:val="00E33042"/>
    <w:rsid w:val="00E331C4"/>
    <w:rsid w:val="00E33237"/>
    <w:rsid w:val="00E332B3"/>
    <w:rsid w:val="00E332DB"/>
    <w:rsid w:val="00E336C9"/>
    <w:rsid w:val="00E338C3"/>
    <w:rsid w:val="00E33A0A"/>
    <w:rsid w:val="00E33FBE"/>
    <w:rsid w:val="00E34B5E"/>
    <w:rsid w:val="00E34C26"/>
    <w:rsid w:val="00E3543E"/>
    <w:rsid w:val="00E354B0"/>
    <w:rsid w:val="00E35793"/>
    <w:rsid w:val="00E35C61"/>
    <w:rsid w:val="00E35E60"/>
    <w:rsid w:val="00E36068"/>
    <w:rsid w:val="00E3610D"/>
    <w:rsid w:val="00E36315"/>
    <w:rsid w:val="00E363A7"/>
    <w:rsid w:val="00E366A4"/>
    <w:rsid w:val="00E36DF7"/>
    <w:rsid w:val="00E370A2"/>
    <w:rsid w:val="00E375F9"/>
    <w:rsid w:val="00E37841"/>
    <w:rsid w:val="00E37988"/>
    <w:rsid w:val="00E379BE"/>
    <w:rsid w:val="00E37B43"/>
    <w:rsid w:val="00E4009D"/>
    <w:rsid w:val="00E40181"/>
    <w:rsid w:val="00E40442"/>
    <w:rsid w:val="00E40701"/>
    <w:rsid w:val="00E40C7D"/>
    <w:rsid w:val="00E412D2"/>
    <w:rsid w:val="00E41A06"/>
    <w:rsid w:val="00E41AE7"/>
    <w:rsid w:val="00E4201C"/>
    <w:rsid w:val="00E4226A"/>
    <w:rsid w:val="00E42533"/>
    <w:rsid w:val="00E429B2"/>
    <w:rsid w:val="00E42CBF"/>
    <w:rsid w:val="00E432FA"/>
    <w:rsid w:val="00E433E8"/>
    <w:rsid w:val="00E43980"/>
    <w:rsid w:val="00E43B1E"/>
    <w:rsid w:val="00E43E22"/>
    <w:rsid w:val="00E4456B"/>
    <w:rsid w:val="00E44C5A"/>
    <w:rsid w:val="00E45395"/>
    <w:rsid w:val="00E45871"/>
    <w:rsid w:val="00E45AF4"/>
    <w:rsid w:val="00E4603E"/>
    <w:rsid w:val="00E4610A"/>
    <w:rsid w:val="00E47C3A"/>
    <w:rsid w:val="00E47DBC"/>
    <w:rsid w:val="00E5062A"/>
    <w:rsid w:val="00E5068A"/>
    <w:rsid w:val="00E50BE2"/>
    <w:rsid w:val="00E50E02"/>
    <w:rsid w:val="00E51466"/>
    <w:rsid w:val="00E51531"/>
    <w:rsid w:val="00E517C8"/>
    <w:rsid w:val="00E517CD"/>
    <w:rsid w:val="00E517D9"/>
    <w:rsid w:val="00E51877"/>
    <w:rsid w:val="00E534DD"/>
    <w:rsid w:val="00E53AE2"/>
    <w:rsid w:val="00E53B9C"/>
    <w:rsid w:val="00E54893"/>
    <w:rsid w:val="00E54950"/>
    <w:rsid w:val="00E54EDC"/>
    <w:rsid w:val="00E54F3C"/>
    <w:rsid w:val="00E55D97"/>
    <w:rsid w:val="00E55FB3"/>
    <w:rsid w:val="00E56896"/>
    <w:rsid w:val="00E56A01"/>
    <w:rsid w:val="00E56F5E"/>
    <w:rsid w:val="00E570D1"/>
    <w:rsid w:val="00E57148"/>
    <w:rsid w:val="00E5733C"/>
    <w:rsid w:val="00E57727"/>
    <w:rsid w:val="00E57B74"/>
    <w:rsid w:val="00E6005B"/>
    <w:rsid w:val="00E604A3"/>
    <w:rsid w:val="00E60C81"/>
    <w:rsid w:val="00E61342"/>
    <w:rsid w:val="00E61DE7"/>
    <w:rsid w:val="00E61F8C"/>
    <w:rsid w:val="00E6241D"/>
    <w:rsid w:val="00E6269E"/>
    <w:rsid w:val="00E629A1"/>
    <w:rsid w:val="00E62A6C"/>
    <w:rsid w:val="00E62D2D"/>
    <w:rsid w:val="00E62E78"/>
    <w:rsid w:val="00E62FE6"/>
    <w:rsid w:val="00E636D2"/>
    <w:rsid w:val="00E63A0D"/>
    <w:rsid w:val="00E63F58"/>
    <w:rsid w:val="00E64862"/>
    <w:rsid w:val="00E64FF8"/>
    <w:rsid w:val="00E6677D"/>
    <w:rsid w:val="00E668B6"/>
    <w:rsid w:val="00E66E3F"/>
    <w:rsid w:val="00E66E81"/>
    <w:rsid w:val="00E671E2"/>
    <w:rsid w:val="00E67582"/>
    <w:rsid w:val="00E6794C"/>
    <w:rsid w:val="00E67A77"/>
    <w:rsid w:val="00E67AA4"/>
    <w:rsid w:val="00E67ABF"/>
    <w:rsid w:val="00E67B3E"/>
    <w:rsid w:val="00E70133"/>
    <w:rsid w:val="00E70931"/>
    <w:rsid w:val="00E70E99"/>
    <w:rsid w:val="00E712F6"/>
    <w:rsid w:val="00E713F0"/>
    <w:rsid w:val="00E7146D"/>
    <w:rsid w:val="00E71591"/>
    <w:rsid w:val="00E71CEB"/>
    <w:rsid w:val="00E725C2"/>
    <w:rsid w:val="00E728DB"/>
    <w:rsid w:val="00E72E62"/>
    <w:rsid w:val="00E72FC2"/>
    <w:rsid w:val="00E73098"/>
    <w:rsid w:val="00E73126"/>
    <w:rsid w:val="00E731FC"/>
    <w:rsid w:val="00E738C3"/>
    <w:rsid w:val="00E73B0E"/>
    <w:rsid w:val="00E73B2F"/>
    <w:rsid w:val="00E73B80"/>
    <w:rsid w:val="00E7474F"/>
    <w:rsid w:val="00E74C71"/>
    <w:rsid w:val="00E74DFC"/>
    <w:rsid w:val="00E75923"/>
    <w:rsid w:val="00E75D4B"/>
    <w:rsid w:val="00E76174"/>
    <w:rsid w:val="00E761BB"/>
    <w:rsid w:val="00E76275"/>
    <w:rsid w:val="00E76C96"/>
    <w:rsid w:val="00E800F8"/>
    <w:rsid w:val="00E807FB"/>
    <w:rsid w:val="00E80A4F"/>
    <w:rsid w:val="00E80D88"/>
    <w:rsid w:val="00E80DE3"/>
    <w:rsid w:val="00E80F39"/>
    <w:rsid w:val="00E810FA"/>
    <w:rsid w:val="00E8114F"/>
    <w:rsid w:val="00E81354"/>
    <w:rsid w:val="00E815EC"/>
    <w:rsid w:val="00E81881"/>
    <w:rsid w:val="00E82380"/>
    <w:rsid w:val="00E82A61"/>
    <w:rsid w:val="00E82C55"/>
    <w:rsid w:val="00E8316D"/>
    <w:rsid w:val="00E83215"/>
    <w:rsid w:val="00E838EB"/>
    <w:rsid w:val="00E83D1B"/>
    <w:rsid w:val="00E83E9D"/>
    <w:rsid w:val="00E8407F"/>
    <w:rsid w:val="00E841E7"/>
    <w:rsid w:val="00E84213"/>
    <w:rsid w:val="00E84C12"/>
    <w:rsid w:val="00E86483"/>
    <w:rsid w:val="00E8660D"/>
    <w:rsid w:val="00E86D1D"/>
    <w:rsid w:val="00E8787E"/>
    <w:rsid w:val="00E87B9E"/>
    <w:rsid w:val="00E87F5B"/>
    <w:rsid w:val="00E9038A"/>
    <w:rsid w:val="00E90629"/>
    <w:rsid w:val="00E90EB5"/>
    <w:rsid w:val="00E912F0"/>
    <w:rsid w:val="00E92878"/>
    <w:rsid w:val="00E92A70"/>
    <w:rsid w:val="00E92AC3"/>
    <w:rsid w:val="00E92D6D"/>
    <w:rsid w:val="00E9300C"/>
    <w:rsid w:val="00E940AB"/>
    <w:rsid w:val="00E943FB"/>
    <w:rsid w:val="00E945D7"/>
    <w:rsid w:val="00E94D87"/>
    <w:rsid w:val="00E9536E"/>
    <w:rsid w:val="00E96135"/>
    <w:rsid w:val="00E961DF"/>
    <w:rsid w:val="00E97D19"/>
    <w:rsid w:val="00E97F38"/>
    <w:rsid w:val="00EA00F7"/>
    <w:rsid w:val="00EA0205"/>
    <w:rsid w:val="00EA0349"/>
    <w:rsid w:val="00EA0B1F"/>
    <w:rsid w:val="00EA1266"/>
    <w:rsid w:val="00EA1A51"/>
    <w:rsid w:val="00EA1D09"/>
    <w:rsid w:val="00EA205E"/>
    <w:rsid w:val="00EA2F6A"/>
    <w:rsid w:val="00EA30F6"/>
    <w:rsid w:val="00EA39AC"/>
    <w:rsid w:val="00EA3EE0"/>
    <w:rsid w:val="00EA3EF2"/>
    <w:rsid w:val="00EA412E"/>
    <w:rsid w:val="00EA4145"/>
    <w:rsid w:val="00EA4FD9"/>
    <w:rsid w:val="00EA5154"/>
    <w:rsid w:val="00EA5637"/>
    <w:rsid w:val="00EA5721"/>
    <w:rsid w:val="00EA5C63"/>
    <w:rsid w:val="00EA5C73"/>
    <w:rsid w:val="00EA6720"/>
    <w:rsid w:val="00EA76C2"/>
    <w:rsid w:val="00EB00E0"/>
    <w:rsid w:val="00EB01F8"/>
    <w:rsid w:val="00EB05D5"/>
    <w:rsid w:val="00EB0866"/>
    <w:rsid w:val="00EB0BD9"/>
    <w:rsid w:val="00EB2050"/>
    <w:rsid w:val="00EB2591"/>
    <w:rsid w:val="00EB2D7E"/>
    <w:rsid w:val="00EB3ABE"/>
    <w:rsid w:val="00EB4A53"/>
    <w:rsid w:val="00EB4BC7"/>
    <w:rsid w:val="00EB5606"/>
    <w:rsid w:val="00EB56DF"/>
    <w:rsid w:val="00EB6942"/>
    <w:rsid w:val="00EB6E59"/>
    <w:rsid w:val="00EB7015"/>
    <w:rsid w:val="00EB70A9"/>
    <w:rsid w:val="00EB7902"/>
    <w:rsid w:val="00EB7C96"/>
    <w:rsid w:val="00EC059F"/>
    <w:rsid w:val="00EC0995"/>
    <w:rsid w:val="00EC0B71"/>
    <w:rsid w:val="00EC0C73"/>
    <w:rsid w:val="00EC1643"/>
    <w:rsid w:val="00EC1B7B"/>
    <w:rsid w:val="00EC1F24"/>
    <w:rsid w:val="00EC1F4E"/>
    <w:rsid w:val="00EC21C1"/>
    <w:rsid w:val="00EC22F6"/>
    <w:rsid w:val="00EC321C"/>
    <w:rsid w:val="00EC33CF"/>
    <w:rsid w:val="00EC3D6A"/>
    <w:rsid w:val="00EC3DB9"/>
    <w:rsid w:val="00EC48D8"/>
    <w:rsid w:val="00EC53BF"/>
    <w:rsid w:val="00EC5E44"/>
    <w:rsid w:val="00EC631A"/>
    <w:rsid w:val="00EC6658"/>
    <w:rsid w:val="00EC7040"/>
    <w:rsid w:val="00EC79B3"/>
    <w:rsid w:val="00ED03B7"/>
    <w:rsid w:val="00ED186C"/>
    <w:rsid w:val="00ED21B6"/>
    <w:rsid w:val="00ED2270"/>
    <w:rsid w:val="00ED2BE2"/>
    <w:rsid w:val="00ED2EBF"/>
    <w:rsid w:val="00ED2F16"/>
    <w:rsid w:val="00ED2F9B"/>
    <w:rsid w:val="00ED307D"/>
    <w:rsid w:val="00ED34A0"/>
    <w:rsid w:val="00ED369D"/>
    <w:rsid w:val="00ED3838"/>
    <w:rsid w:val="00ED3893"/>
    <w:rsid w:val="00ED4375"/>
    <w:rsid w:val="00ED44E8"/>
    <w:rsid w:val="00ED4655"/>
    <w:rsid w:val="00ED48F3"/>
    <w:rsid w:val="00ED4EB8"/>
    <w:rsid w:val="00ED59D7"/>
    <w:rsid w:val="00ED5B9B"/>
    <w:rsid w:val="00ED6BAD"/>
    <w:rsid w:val="00ED6BF1"/>
    <w:rsid w:val="00ED72F2"/>
    <w:rsid w:val="00ED7447"/>
    <w:rsid w:val="00ED744B"/>
    <w:rsid w:val="00ED7762"/>
    <w:rsid w:val="00ED7D03"/>
    <w:rsid w:val="00ED7DB1"/>
    <w:rsid w:val="00ED7F98"/>
    <w:rsid w:val="00EE00D6"/>
    <w:rsid w:val="00EE0136"/>
    <w:rsid w:val="00EE0447"/>
    <w:rsid w:val="00EE0796"/>
    <w:rsid w:val="00EE0DA7"/>
    <w:rsid w:val="00EE0F07"/>
    <w:rsid w:val="00EE11E7"/>
    <w:rsid w:val="00EE1468"/>
    <w:rsid w:val="00EE1488"/>
    <w:rsid w:val="00EE15BE"/>
    <w:rsid w:val="00EE1B74"/>
    <w:rsid w:val="00EE217E"/>
    <w:rsid w:val="00EE2780"/>
    <w:rsid w:val="00EE29AD"/>
    <w:rsid w:val="00EE2D20"/>
    <w:rsid w:val="00EE2F97"/>
    <w:rsid w:val="00EE3046"/>
    <w:rsid w:val="00EE3E24"/>
    <w:rsid w:val="00EE49B3"/>
    <w:rsid w:val="00EE4D5D"/>
    <w:rsid w:val="00EE5131"/>
    <w:rsid w:val="00EE61E4"/>
    <w:rsid w:val="00EE65E0"/>
    <w:rsid w:val="00EE69E3"/>
    <w:rsid w:val="00EE6B19"/>
    <w:rsid w:val="00EE6D3D"/>
    <w:rsid w:val="00EE6DF9"/>
    <w:rsid w:val="00EE6EF7"/>
    <w:rsid w:val="00EE7013"/>
    <w:rsid w:val="00EE76D0"/>
    <w:rsid w:val="00EE7B98"/>
    <w:rsid w:val="00EE7ED1"/>
    <w:rsid w:val="00EE7FC0"/>
    <w:rsid w:val="00EE7FE3"/>
    <w:rsid w:val="00EF109B"/>
    <w:rsid w:val="00EF11C3"/>
    <w:rsid w:val="00EF155C"/>
    <w:rsid w:val="00EF16FE"/>
    <w:rsid w:val="00EF1C3A"/>
    <w:rsid w:val="00EF1CD2"/>
    <w:rsid w:val="00EF201C"/>
    <w:rsid w:val="00EF2C72"/>
    <w:rsid w:val="00EF36AF"/>
    <w:rsid w:val="00EF3CD7"/>
    <w:rsid w:val="00EF4592"/>
    <w:rsid w:val="00EF4B65"/>
    <w:rsid w:val="00EF4E84"/>
    <w:rsid w:val="00EF59A3"/>
    <w:rsid w:val="00EF5DF3"/>
    <w:rsid w:val="00EF5EA0"/>
    <w:rsid w:val="00EF601B"/>
    <w:rsid w:val="00EF611F"/>
    <w:rsid w:val="00EF6675"/>
    <w:rsid w:val="00EF67E6"/>
    <w:rsid w:val="00F004BB"/>
    <w:rsid w:val="00F0063D"/>
    <w:rsid w:val="00F00F9C"/>
    <w:rsid w:val="00F012B8"/>
    <w:rsid w:val="00F0179A"/>
    <w:rsid w:val="00F01853"/>
    <w:rsid w:val="00F018B1"/>
    <w:rsid w:val="00F01C66"/>
    <w:rsid w:val="00F01DF3"/>
    <w:rsid w:val="00F01E5F"/>
    <w:rsid w:val="00F024F3"/>
    <w:rsid w:val="00F0268F"/>
    <w:rsid w:val="00F02ABA"/>
    <w:rsid w:val="00F02CCE"/>
    <w:rsid w:val="00F02DF9"/>
    <w:rsid w:val="00F03401"/>
    <w:rsid w:val="00F0381B"/>
    <w:rsid w:val="00F03A69"/>
    <w:rsid w:val="00F0437A"/>
    <w:rsid w:val="00F046C7"/>
    <w:rsid w:val="00F04D2E"/>
    <w:rsid w:val="00F04D41"/>
    <w:rsid w:val="00F05083"/>
    <w:rsid w:val="00F053D8"/>
    <w:rsid w:val="00F05D6E"/>
    <w:rsid w:val="00F05DCE"/>
    <w:rsid w:val="00F06187"/>
    <w:rsid w:val="00F06230"/>
    <w:rsid w:val="00F06265"/>
    <w:rsid w:val="00F06421"/>
    <w:rsid w:val="00F067CC"/>
    <w:rsid w:val="00F069EA"/>
    <w:rsid w:val="00F06E99"/>
    <w:rsid w:val="00F0711B"/>
    <w:rsid w:val="00F07A05"/>
    <w:rsid w:val="00F07AC5"/>
    <w:rsid w:val="00F07CA3"/>
    <w:rsid w:val="00F101B8"/>
    <w:rsid w:val="00F1022F"/>
    <w:rsid w:val="00F107F3"/>
    <w:rsid w:val="00F11037"/>
    <w:rsid w:val="00F11516"/>
    <w:rsid w:val="00F11A64"/>
    <w:rsid w:val="00F122AB"/>
    <w:rsid w:val="00F12303"/>
    <w:rsid w:val="00F1279C"/>
    <w:rsid w:val="00F12EE6"/>
    <w:rsid w:val="00F13570"/>
    <w:rsid w:val="00F13D8F"/>
    <w:rsid w:val="00F13EC9"/>
    <w:rsid w:val="00F143B0"/>
    <w:rsid w:val="00F14533"/>
    <w:rsid w:val="00F14B48"/>
    <w:rsid w:val="00F14C5F"/>
    <w:rsid w:val="00F15086"/>
    <w:rsid w:val="00F151C7"/>
    <w:rsid w:val="00F151EB"/>
    <w:rsid w:val="00F155B7"/>
    <w:rsid w:val="00F157B9"/>
    <w:rsid w:val="00F1586A"/>
    <w:rsid w:val="00F15B24"/>
    <w:rsid w:val="00F15E7F"/>
    <w:rsid w:val="00F15F78"/>
    <w:rsid w:val="00F1620D"/>
    <w:rsid w:val="00F16496"/>
    <w:rsid w:val="00F16572"/>
    <w:rsid w:val="00F16AEE"/>
    <w:rsid w:val="00F16D08"/>
    <w:rsid w:val="00F16E5A"/>
    <w:rsid w:val="00F16EDC"/>
    <w:rsid w:val="00F16F1B"/>
    <w:rsid w:val="00F17121"/>
    <w:rsid w:val="00F17ECA"/>
    <w:rsid w:val="00F20B0F"/>
    <w:rsid w:val="00F20B58"/>
    <w:rsid w:val="00F2118E"/>
    <w:rsid w:val="00F21763"/>
    <w:rsid w:val="00F21B54"/>
    <w:rsid w:val="00F21D05"/>
    <w:rsid w:val="00F22081"/>
    <w:rsid w:val="00F22C31"/>
    <w:rsid w:val="00F232BF"/>
    <w:rsid w:val="00F23D1C"/>
    <w:rsid w:val="00F23FBE"/>
    <w:rsid w:val="00F24574"/>
    <w:rsid w:val="00F24E02"/>
    <w:rsid w:val="00F250A9"/>
    <w:rsid w:val="00F253CA"/>
    <w:rsid w:val="00F255FB"/>
    <w:rsid w:val="00F256EB"/>
    <w:rsid w:val="00F25D48"/>
    <w:rsid w:val="00F264AA"/>
    <w:rsid w:val="00F265BE"/>
    <w:rsid w:val="00F2665F"/>
    <w:rsid w:val="00F266DC"/>
    <w:rsid w:val="00F267AF"/>
    <w:rsid w:val="00F26966"/>
    <w:rsid w:val="00F26D4C"/>
    <w:rsid w:val="00F27A59"/>
    <w:rsid w:val="00F27BC0"/>
    <w:rsid w:val="00F27CB1"/>
    <w:rsid w:val="00F27EC0"/>
    <w:rsid w:val="00F27F52"/>
    <w:rsid w:val="00F27F86"/>
    <w:rsid w:val="00F3012F"/>
    <w:rsid w:val="00F302C6"/>
    <w:rsid w:val="00F3084F"/>
    <w:rsid w:val="00F308BA"/>
    <w:rsid w:val="00F30AE3"/>
    <w:rsid w:val="00F30C61"/>
    <w:rsid w:val="00F30FF4"/>
    <w:rsid w:val="00F3122E"/>
    <w:rsid w:val="00F31824"/>
    <w:rsid w:val="00F31DD7"/>
    <w:rsid w:val="00F322BA"/>
    <w:rsid w:val="00F32368"/>
    <w:rsid w:val="00F326B0"/>
    <w:rsid w:val="00F326B3"/>
    <w:rsid w:val="00F32745"/>
    <w:rsid w:val="00F331AD"/>
    <w:rsid w:val="00F334CD"/>
    <w:rsid w:val="00F33E30"/>
    <w:rsid w:val="00F3498F"/>
    <w:rsid w:val="00F35287"/>
    <w:rsid w:val="00F35466"/>
    <w:rsid w:val="00F35BA7"/>
    <w:rsid w:val="00F35D47"/>
    <w:rsid w:val="00F362AF"/>
    <w:rsid w:val="00F362B3"/>
    <w:rsid w:val="00F36445"/>
    <w:rsid w:val="00F3716A"/>
    <w:rsid w:val="00F379E1"/>
    <w:rsid w:val="00F37CD5"/>
    <w:rsid w:val="00F40439"/>
    <w:rsid w:val="00F40A70"/>
    <w:rsid w:val="00F40AFB"/>
    <w:rsid w:val="00F40C41"/>
    <w:rsid w:val="00F411B4"/>
    <w:rsid w:val="00F41ECB"/>
    <w:rsid w:val="00F4213D"/>
    <w:rsid w:val="00F42283"/>
    <w:rsid w:val="00F427BB"/>
    <w:rsid w:val="00F42838"/>
    <w:rsid w:val="00F42912"/>
    <w:rsid w:val="00F42D88"/>
    <w:rsid w:val="00F42F5D"/>
    <w:rsid w:val="00F431DD"/>
    <w:rsid w:val="00F435C6"/>
    <w:rsid w:val="00F4388F"/>
    <w:rsid w:val="00F43A37"/>
    <w:rsid w:val="00F43FD5"/>
    <w:rsid w:val="00F44164"/>
    <w:rsid w:val="00F446B1"/>
    <w:rsid w:val="00F4497E"/>
    <w:rsid w:val="00F44DB4"/>
    <w:rsid w:val="00F455E4"/>
    <w:rsid w:val="00F463C9"/>
    <w:rsid w:val="00F4641B"/>
    <w:rsid w:val="00F46EB8"/>
    <w:rsid w:val="00F47189"/>
    <w:rsid w:val="00F4752F"/>
    <w:rsid w:val="00F4759F"/>
    <w:rsid w:val="00F476CA"/>
    <w:rsid w:val="00F47AD3"/>
    <w:rsid w:val="00F47D0C"/>
    <w:rsid w:val="00F47D10"/>
    <w:rsid w:val="00F502B2"/>
    <w:rsid w:val="00F504C7"/>
    <w:rsid w:val="00F50567"/>
    <w:rsid w:val="00F50CD1"/>
    <w:rsid w:val="00F50FED"/>
    <w:rsid w:val="00F5107A"/>
    <w:rsid w:val="00F51140"/>
    <w:rsid w:val="00F51190"/>
    <w:rsid w:val="00F511E4"/>
    <w:rsid w:val="00F5130A"/>
    <w:rsid w:val="00F52871"/>
    <w:rsid w:val="00F52D09"/>
    <w:rsid w:val="00F52E08"/>
    <w:rsid w:val="00F5311B"/>
    <w:rsid w:val="00F53A66"/>
    <w:rsid w:val="00F53E1F"/>
    <w:rsid w:val="00F54075"/>
    <w:rsid w:val="00F5462D"/>
    <w:rsid w:val="00F54C40"/>
    <w:rsid w:val="00F54D02"/>
    <w:rsid w:val="00F54D8B"/>
    <w:rsid w:val="00F55154"/>
    <w:rsid w:val="00F5591A"/>
    <w:rsid w:val="00F55AB1"/>
    <w:rsid w:val="00F55AFC"/>
    <w:rsid w:val="00F55B21"/>
    <w:rsid w:val="00F55D6C"/>
    <w:rsid w:val="00F56EC4"/>
    <w:rsid w:val="00F56EF6"/>
    <w:rsid w:val="00F56F75"/>
    <w:rsid w:val="00F5711D"/>
    <w:rsid w:val="00F576EE"/>
    <w:rsid w:val="00F57902"/>
    <w:rsid w:val="00F57BA2"/>
    <w:rsid w:val="00F57CF6"/>
    <w:rsid w:val="00F57EF6"/>
    <w:rsid w:val="00F60082"/>
    <w:rsid w:val="00F6023A"/>
    <w:rsid w:val="00F60321"/>
    <w:rsid w:val="00F61161"/>
    <w:rsid w:val="00F612E4"/>
    <w:rsid w:val="00F6143E"/>
    <w:rsid w:val="00F61A9F"/>
    <w:rsid w:val="00F61B14"/>
    <w:rsid w:val="00F61B5F"/>
    <w:rsid w:val="00F6299A"/>
    <w:rsid w:val="00F63B3A"/>
    <w:rsid w:val="00F644B9"/>
    <w:rsid w:val="00F64696"/>
    <w:rsid w:val="00F646C1"/>
    <w:rsid w:val="00F646C5"/>
    <w:rsid w:val="00F647BD"/>
    <w:rsid w:val="00F64FE5"/>
    <w:rsid w:val="00F65AA9"/>
    <w:rsid w:val="00F6648A"/>
    <w:rsid w:val="00F6768F"/>
    <w:rsid w:val="00F6798F"/>
    <w:rsid w:val="00F67CC4"/>
    <w:rsid w:val="00F7048D"/>
    <w:rsid w:val="00F70B55"/>
    <w:rsid w:val="00F70D6F"/>
    <w:rsid w:val="00F71148"/>
    <w:rsid w:val="00F71824"/>
    <w:rsid w:val="00F71955"/>
    <w:rsid w:val="00F72259"/>
    <w:rsid w:val="00F7255E"/>
    <w:rsid w:val="00F72672"/>
    <w:rsid w:val="00F726FE"/>
    <w:rsid w:val="00F72C2C"/>
    <w:rsid w:val="00F72DF6"/>
    <w:rsid w:val="00F7316B"/>
    <w:rsid w:val="00F732C7"/>
    <w:rsid w:val="00F7345D"/>
    <w:rsid w:val="00F73511"/>
    <w:rsid w:val="00F73A18"/>
    <w:rsid w:val="00F73A45"/>
    <w:rsid w:val="00F74053"/>
    <w:rsid w:val="00F741F2"/>
    <w:rsid w:val="00F741FE"/>
    <w:rsid w:val="00F746C4"/>
    <w:rsid w:val="00F74DA3"/>
    <w:rsid w:val="00F75314"/>
    <w:rsid w:val="00F7555B"/>
    <w:rsid w:val="00F756D3"/>
    <w:rsid w:val="00F75B5A"/>
    <w:rsid w:val="00F75D50"/>
    <w:rsid w:val="00F765AB"/>
    <w:rsid w:val="00F76650"/>
    <w:rsid w:val="00F76974"/>
    <w:rsid w:val="00F76B35"/>
    <w:rsid w:val="00F76CAB"/>
    <w:rsid w:val="00F77205"/>
    <w:rsid w:val="00F772C6"/>
    <w:rsid w:val="00F77E10"/>
    <w:rsid w:val="00F8003C"/>
    <w:rsid w:val="00F8044B"/>
    <w:rsid w:val="00F805E1"/>
    <w:rsid w:val="00F811C2"/>
    <w:rsid w:val="00F815B5"/>
    <w:rsid w:val="00F8163E"/>
    <w:rsid w:val="00F81792"/>
    <w:rsid w:val="00F81BB8"/>
    <w:rsid w:val="00F81D85"/>
    <w:rsid w:val="00F82118"/>
    <w:rsid w:val="00F8243C"/>
    <w:rsid w:val="00F83240"/>
    <w:rsid w:val="00F836A6"/>
    <w:rsid w:val="00F83DB6"/>
    <w:rsid w:val="00F84BF4"/>
    <w:rsid w:val="00F84DE5"/>
    <w:rsid w:val="00F84F6B"/>
    <w:rsid w:val="00F85195"/>
    <w:rsid w:val="00F85C7C"/>
    <w:rsid w:val="00F8671E"/>
    <w:rsid w:val="00F868E3"/>
    <w:rsid w:val="00F86EA3"/>
    <w:rsid w:val="00F86FF9"/>
    <w:rsid w:val="00F8731D"/>
    <w:rsid w:val="00F87622"/>
    <w:rsid w:val="00F87BB7"/>
    <w:rsid w:val="00F90009"/>
    <w:rsid w:val="00F90BA3"/>
    <w:rsid w:val="00F91472"/>
    <w:rsid w:val="00F91783"/>
    <w:rsid w:val="00F9189D"/>
    <w:rsid w:val="00F91CB1"/>
    <w:rsid w:val="00F91CB9"/>
    <w:rsid w:val="00F91E38"/>
    <w:rsid w:val="00F933C6"/>
    <w:rsid w:val="00F93595"/>
    <w:rsid w:val="00F937A2"/>
    <w:rsid w:val="00F938BA"/>
    <w:rsid w:val="00F93CF9"/>
    <w:rsid w:val="00F93E07"/>
    <w:rsid w:val="00F93E87"/>
    <w:rsid w:val="00F942C9"/>
    <w:rsid w:val="00F9455D"/>
    <w:rsid w:val="00F94681"/>
    <w:rsid w:val="00F9485C"/>
    <w:rsid w:val="00F9496F"/>
    <w:rsid w:val="00F94CA5"/>
    <w:rsid w:val="00F94FF7"/>
    <w:rsid w:val="00F953B2"/>
    <w:rsid w:val="00F9546B"/>
    <w:rsid w:val="00F957C2"/>
    <w:rsid w:val="00F95834"/>
    <w:rsid w:val="00F962F9"/>
    <w:rsid w:val="00F96514"/>
    <w:rsid w:val="00F96902"/>
    <w:rsid w:val="00F96BA2"/>
    <w:rsid w:val="00F9729C"/>
    <w:rsid w:val="00F975EC"/>
    <w:rsid w:val="00F97919"/>
    <w:rsid w:val="00FA00A0"/>
    <w:rsid w:val="00FA038F"/>
    <w:rsid w:val="00FA0DE7"/>
    <w:rsid w:val="00FA13F6"/>
    <w:rsid w:val="00FA154F"/>
    <w:rsid w:val="00FA1CDF"/>
    <w:rsid w:val="00FA29D4"/>
    <w:rsid w:val="00FA2A2D"/>
    <w:rsid w:val="00FA2C46"/>
    <w:rsid w:val="00FA3525"/>
    <w:rsid w:val="00FA3768"/>
    <w:rsid w:val="00FA4967"/>
    <w:rsid w:val="00FA4C6C"/>
    <w:rsid w:val="00FA4D8F"/>
    <w:rsid w:val="00FA50EA"/>
    <w:rsid w:val="00FA57B9"/>
    <w:rsid w:val="00FA57E5"/>
    <w:rsid w:val="00FA5811"/>
    <w:rsid w:val="00FA5A53"/>
    <w:rsid w:val="00FA5BB1"/>
    <w:rsid w:val="00FA5CCB"/>
    <w:rsid w:val="00FA5DE8"/>
    <w:rsid w:val="00FA6015"/>
    <w:rsid w:val="00FA6355"/>
    <w:rsid w:val="00FA6631"/>
    <w:rsid w:val="00FA685D"/>
    <w:rsid w:val="00FA6F96"/>
    <w:rsid w:val="00FA71DD"/>
    <w:rsid w:val="00FB01CC"/>
    <w:rsid w:val="00FB06C8"/>
    <w:rsid w:val="00FB086E"/>
    <w:rsid w:val="00FB1088"/>
    <w:rsid w:val="00FB10EE"/>
    <w:rsid w:val="00FB1496"/>
    <w:rsid w:val="00FB1507"/>
    <w:rsid w:val="00FB1E0B"/>
    <w:rsid w:val="00FB1EEF"/>
    <w:rsid w:val="00FB1F6E"/>
    <w:rsid w:val="00FB21CE"/>
    <w:rsid w:val="00FB2C0E"/>
    <w:rsid w:val="00FB2D94"/>
    <w:rsid w:val="00FB2EE0"/>
    <w:rsid w:val="00FB36F5"/>
    <w:rsid w:val="00FB3952"/>
    <w:rsid w:val="00FB3A75"/>
    <w:rsid w:val="00FB3EF1"/>
    <w:rsid w:val="00FB428C"/>
    <w:rsid w:val="00FB4769"/>
    <w:rsid w:val="00FB4877"/>
    <w:rsid w:val="00FB4CDA"/>
    <w:rsid w:val="00FB4E80"/>
    <w:rsid w:val="00FB4F90"/>
    <w:rsid w:val="00FB50D0"/>
    <w:rsid w:val="00FB530E"/>
    <w:rsid w:val="00FB5CC3"/>
    <w:rsid w:val="00FB6481"/>
    <w:rsid w:val="00FB68A3"/>
    <w:rsid w:val="00FB6958"/>
    <w:rsid w:val="00FB6996"/>
    <w:rsid w:val="00FB6D36"/>
    <w:rsid w:val="00FB7024"/>
    <w:rsid w:val="00FB71A8"/>
    <w:rsid w:val="00FB7293"/>
    <w:rsid w:val="00FB73EA"/>
    <w:rsid w:val="00FB7848"/>
    <w:rsid w:val="00FB7941"/>
    <w:rsid w:val="00FB7F77"/>
    <w:rsid w:val="00FC0965"/>
    <w:rsid w:val="00FC0B2B"/>
    <w:rsid w:val="00FC0D90"/>
    <w:rsid w:val="00FC0E83"/>
    <w:rsid w:val="00FC0F81"/>
    <w:rsid w:val="00FC18F4"/>
    <w:rsid w:val="00FC1B1A"/>
    <w:rsid w:val="00FC1DD7"/>
    <w:rsid w:val="00FC1E90"/>
    <w:rsid w:val="00FC252F"/>
    <w:rsid w:val="00FC277A"/>
    <w:rsid w:val="00FC2849"/>
    <w:rsid w:val="00FC395C"/>
    <w:rsid w:val="00FC42C4"/>
    <w:rsid w:val="00FC4B78"/>
    <w:rsid w:val="00FC5382"/>
    <w:rsid w:val="00FC5592"/>
    <w:rsid w:val="00FC5681"/>
    <w:rsid w:val="00FC5975"/>
    <w:rsid w:val="00FC5BC9"/>
    <w:rsid w:val="00FC5E8E"/>
    <w:rsid w:val="00FC6811"/>
    <w:rsid w:val="00FC6E0A"/>
    <w:rsid w:val="00FC6E13"/>
    <w:rsid w:val="00FC720C"/>
    <w:rsid w:val="00FC7462"/>
    <w:rsid w:val="00FC7588"/>
    <w:rsid w:val="00FC7F53"/>
    <w:rsid w:val="00FD081A"/>
    <w:rsid w:val="00FD0992"/>
    <w:rsid w:val="00FD1715"/>
    <w:rsid w:val="00FD247D"/>
    <w:rsid w:val="00FD2A53"/>
    <w:rsid w:val="00FD3766"/>
    <w:rsid w:val="00FD3915"/>
    <w:rsid w:val="00FD3AF3"/>
    <w:rsid w:val="00FD3D05"/>
    <w:rsid w:val="00FD4247"/>
    <w:rsid w:val="00FD469F"/>
    <w:rsid w:val="00FD47C4"/>
    <w:rsid w:val="00FD4C84"/>
    <w:rsid w:val="00FD56B1"/>
    <w:rsid w:val="00FD58F9"/>
    <w:rsid w:val="00FD6EB6"/>
    <w:rsid w:val="00FD765D"/>
    <w:rsid w:val="00FD7835"/>
    <w:rsid w:val="00FD7DAD"/>
    <w:rsid w:val="00FE1406"/>
    <w:rsid w:val="00FE25E0"/>
    <w:rsid w:val="00FE2A34"/>
    <w:rsid w:val="00FE2DCF"/>
    <w:rsid w:val="00FE3ED8"/>
    <w:rsid w:val="00FE3FA7"/>
    <w:rsid w:val="00FE4081"/>
    <w:rsid w:val="00FE4237"/>
    <w:rsid w:val="00FE427F"/>
    <w:rsid w:val="00FE48ED"/>
    <w:rsid w:val="00FE4F51"/>
    <w:rsid w:val="00FE541C"/>
    <w:rsid w:val="00FE5600"/>
    <w:rsid w:val="00FE676F"/>
    <w:rsid w:val="00FE723A"/>
    <w:rsid w:val="00FF02FA"/>
    <w:rsid w:val="00FF0F3A"/>
    <w:rsid w:val="00FF1383"/>
    <w:rsid w:val="00FF14FF"/>
    <w:rsid w:val="00FF1C7E"/>
    <w:rsid w:val="00FF21C3"/>
    <w:rsid w:val="00FF2390"/>
    <w:rsid w:val="00FF26FB"/>
    <w:rsid w:val="00FF2A4E"/>
    <w:rsid w:val="00FF2D9A"/>
    <w:rsid w:val="00FF2F78"/>
    <w:rsid w:val="00FF2FCE"/>
    <w:rsid w:val="00FF2FFC"/>
    <w:rsid w:val="00FF34D0"/>
    <w:rsid w:val="00FF35F6"/>
    <w:rsid w:val="00FF41B0"/>
    <w:rsid w:val="00FF45F0"/>
    <w:rsid w:val="00FF4684"/>
    <w:rsid w:val="00FF4A5C"/>
    <w:rsid w:val="00FF4AF3"/>
    <w:rsid w:val="00FF4F7D"/>
    <w:rsid w:val="00FF57E8"/>
    <w:rsid w:val="00FF58A3"/>
    <w:rsid w:val="00FF5974"/>
    <w:rsid w:val="00FF5E0A"/>
    <w:rsid w:val="00FF65CA"/>
    <w:rsid w:val="00FF6D9D"/>
    <w:rsid w:val="00FF6E80"/>
    <w:rsid w:val="00FF72FE"/>
    <w:rsid w:val="00FF7620"/>
    <w:rsid w:val="00FF7866"/>
    <w:rsid w:val="00FF7897"/>
    <w:rsid w:val="00FF7DD5"/>
    <w:rsid w:val="00FF7E28"/>
    <w:rsid w:val="01043C08"/>
    <w:rsid w:val="010AA7E9"/>
    <w:rsid w:val="0126D0B8"/>
    <w:rsid w:val="012BD350"/>
    <w:rsid w:val="013C47B7"/>
    <w:rsid w:val="0177CD39"/>
    <w:rsid w:val="018E2F10"/>
    <w:rsid w:val="01D39DEC"/>
    <w:rsid w:val="01ED8189"/>
    <w:rsid w:val="021BBE74"/>
    <w:rsid w:val="02302855"/>
    <w:rsid w:val="02351567"/>
    <w:rsid w:val="0243143A"/>
    <w:rsid w:val="02547D52"/>
    <w:rsid w:val="02A165F0"/>
    <w:rsid w:val="02D81818"/>
    <w:rsid w:val="02DABFE9"/>
    <w:rsid w:val="031BFBF7"/>
    <w:rsid w:val="03688628"/>
    <w:rsid w:val="036C0568"/>
    <w:rsid w:val="037C7014"/>
    <w:rsid w:val="037E4DAF"/>
    <w:rsid w:val="038ADE76"/>
    <w:rsid w:val="039A1731"/>
    <w:rsid w:val="03A8D4C3"/>
    <w:rsid w:val="03AC06B2"/>
    <w:rsid w:val="03AC438F"/>
    <w:rsid w:val="03CBDB0B"/>
    <w:rsid w:val="03E5A0DE"/>
    <w:rsid w:val="03EF3A73"/>
    <w:rsid w:val="03F15F5E"/>
    <w:rsid w:val="041A9924"/>
    <w:rsid w:val="04208AEC"/>
    <w:rsid w:val="044FF698"/>
    <w:rsid w:val="04690B22"/>
    <w:rsid w:val="04A21A65"/>
    <w:rsid w:val="04B5E2B3"/>
    <w:rsid w:val="04C73D59"/>
    <w:rsid w:val="052A7F20"/>
    <w:rsid w:val="0555A09C"/>
    <w:rsid w:val="057EC504"/>
    <w:rsid w:val="05A24A6A"/>
    <w:rsid w:val="05C3992F"/>
    <w:rsid w:val="05F37501"/>
    <w:rsid w:val="060B7646"/>
    <w:rsid w:val="06123E97"/>
    <w:rsid w:val="065DE7EA"/>
    <w:rsid w:val="066AFD16"/>
    <w:rsid w:val="068F405B"/>
    <w:rsid w:val="06983A5F"/>
    <w:rsid w:val="06CD09F6"/>
    <w:rsid w:val="0708B24C"/>
    <w:rsid w:val="074AA863"/>
    <w:rsid w:val="0783EEDF"/>
    <w:rsid w:val="07A746A7"/>
    <w:rsid w:val="07C093A1"/>
    <w:rsid w:val="07CA3A2F"/>
    <w:rsid w:val="07D60957"/>
    <w:rsid w:val="07F96F25"/>
    <w:rsid w:val="081571DA"/>
    <w:rsid w:val="0836F9D9"/>
    <w:rsid w:val="08444212"/>
    <w:rsid w:val="08568659"/>
    <w:rsid w:val="0871D79B"/>
    <w:rsid w:val="089E31A1"/>
    <w:rsid w:val="08C3BF9A"/>
    <w:rsid w:val="08C9DE48"/>
    <w:rsid w:val="08CC7F61"/>
    <w:rsid w:val="08FD227E"/>
    <w:rsid w:val="0905D1DC"/>
    <w:rsid w:val="092AB84E"/>
    <w:rsid w:val="0930C0F5"/>
    <w:rsid w:val="09403B0D"/>
    <w:rsid w:val="096A3B95"/>
    <w:rsid w:val="09770A3A"/>
    <w:rsid w:val="0983A641"/>
    <w:rsid w:val="09896D41"/>
    <w:rsid w:val="09D16EB8"/>
    <w:rsid w:val="09EA8B26"/>
    <w:rsid w:val="09F9E446"/>
    <w:rsid w:val="09FC3EFB"/>
    <w:rsid w:val="0A0DA7FC"/>
    <w:rsid w:val="0A1D937C"/>
    <w:rsid w:val="0A49310C"/>
    <w:rsid w:val="0A6BE9A0"/>
    <w:rsid w:val="0A7ECFDF"/>
    <w:rsid w:val="0A9CE62C"/>
    <w:rsid w:val="0AA26744"/>
    <w:rsid w:val="0AE08E67"/>
    <w:rsid w:val="0B0F4806"/>
    <w:rsid w:val="0B253DA2"/>
    <w:rsid w:val="0B7CFC84"/>
    <w:rsid w:val="0B84796C"/>
    <w:rsid w:val="0BAA0B19"/>
    <w:rsid w:val="0BC6F22D"/>
    <w:rsid w:val="0BCB8C71"/>
    <w:rsid w:val="0BF60AD4"/>
    <w:rsid w:val="0BF8AE06"/>
    <w:rsid w:val="0C016B1E"/>
    <w:rsid w:val="0C03344D"/>
    <w:rsid w:val="0C279DC5"/>
    <w:rsid w:val="0C2F47F1"/>
    <w:rsid w:val="0C590B6A"/>
    <w:rsid w:val="0C739A10"/>
    <w:rsid w:val="0C88BD5B"/>
    <w:rsid w:val="0C9ED07C"/>
    <w:rsid w:val="0C9FFCDE"/>
    <w:rsid w:val="0CA4D247"/>
    <w:rsid w:val="0CB418A5"/>
    <w:rsid w:val="0D090F7A"/>
    <w:rsid w:val="0D0DB831"/>
    <w:rsid w:val="0D260DD5"/>
    <w:rsid w:val="0D668D37"/>
    <w:rsid w:val="0D765DD4"/>
    <w:rsid w:val="0E1E23C3"/>
    <w:rsid w:val="0E645952"/>
    <w:rsid w:val="0EA340B1"/>
    <w:rsid w:val="0EA98892"/>
    <w:rsid w:val="0ED11CA9"/>
    <w:rsid w:val="0EECDB0B"/>
    <w:rsid w:val="0EEFBCC5"/>
    <w:rsid w:val="0F4CCA28"/>
    <w:rsid w:val="0F51DE5B"/>
    <w:rsid w:val="0F6DF023"/>
    <w:rsid w:val="0F90AC2C"/>
    <w:rsid w:val="0FB2588C"/>
    <w:rsid w:val="0FC39363"/>
    <w:rsid w:val="0FC7ABF7"/>
    <w:rsid w:val="0FDF8668"/>
    <w:rsid w:val="100587C1"/>
    <w:rsid w:val="1030BDA2"/>
    <w:rsid w:val="107CE980"/>
    <w:rsid w:val="10819E90"/>
    <w:rsid w:val="10A7B832"/>
    <w:rsid w:val="10E82632"/>
    <w:rsid w:val="10EC386C"/>
    <w:rsid w:val="10FBA9BC"/>
    <w:rsid w:val="1101030F"/>
    <w:rsid w:val="111E505B"/>
    <w:rsid w:val="117B56C9"/>
    <w:rsid w:val="1187290E"/>
    <w:rsid w:val="118A678C"/>
    <w:rsid w:val="118DAA3B"/>
    <w:rsid w:val="11B9D2DF"/>
    <w:rsid w:val="11BC2A6B"/>
    <w:rsid w:val="11C405E3"/>
    <w:rsid w:val="11D73E10"/>
    <w:rsid w:val="11DCF4F4"/>
    <w:rsid w:val="11DD777A"/>
    <w:rsid w:val="1202ED18"/>
    <w:rsid w:val="1248BE2A"/>
    <w:rsid w:val="128A843E"/>
    <w:rsid w:val="12A9C2DB"/>
    <w:rsid w:val="12C0E86E"/>
    <w:rsid w:val="12CB420C"/>
    <w:rsid w:val="12F47F4A"/>
    <w:rsid w:val="133D0535"/>
    <w:rsid w:val="1364A79B"/>
    <w:rsid w:val="136C89EF"/>
    <w:rsid w:val="136FBCCF"/>
    <w:rsid w:val="138EEF1D"/>
    <w:rsid w:val="13BC0FE1"/>
    <w:rsid w:val="13D3A91B"/>
    <w:rsid w:val="13ED2377"/>
    <w:rsid w:val="13F870FB"/>
    <w:rsid w:val="14203B4B"/>
    <w:rsid w:val="14507209"/>
    <w:rsid w:val="145BCB15"/>
    <w:rsid w:val="148D9D32"/>
    <w:rsid w:val="149C403B"/>
    <w:rsid w:val="149D01EF"/>
    <w:rsid w:val="14BA8AA6"/>
    <w:rsid w:val="14DD9838"/>
    <w:rsid w:val="14F76442"/>
    <w:rsid w:val="1506B108"/>
    <w:rsid w:val="15406ECA"/>
    <w:rsid w:val="15449E52"/>
    <w:rsid w:val="15522063"/>
    <w:rsid w:val="1559B736"/>
    <w:rsid w:val="156A5074"/>
    <w:rsid w:val="15B6368B"/>
    <w:rsid w:val="15E5FC37"/>
    <w:rsid w:val="15F1685B"/>
    <w:rsid w:val="162F1790"/>
    <w:rsid w:val="1654A97E"/>
    <w:rsid w:val="167E8A64"/>
    <w:rsid w:val="168B892A"/>
    <w:rsid w:val="16D8DCDE"/>
    <w:rsid w:val="1703560B"/>
    <w:rsid w:val="170D610B"/>
    <w:rsid w:val="176DE90D"/>
    <w:rsid w:val="17B0722E"/>
    <w:rsid w:val="17C30A33"/>
    <w:rsid w:val="17F9FD55"/>
    <w:rsid w:val="1825A142"/>
    <w:rsid w:val="183AA910"/>
    <w:rsid w:val="1862631C"/>
    <w:rsid w:val="186534F7"/>
    <w:rsid w:val="187F7C4F"/>
    <w:rsid w:val="18CAD237"/>
    <w:rsid w:val="18FE3025"/>
    <w:rsid w:val="1901029A"/>
    <w:rsid w:val="19159DD1"/>
    <w:rsid w:val="194D6CFA"/>
    <w:rsid w:val="1972EB73"/>
    <w:rsid w:val="19776F11"/>
    <w:rsid w:val="197BBE58"/>
    <w:rsid w:val="1A45103F"/>
    <w:rsid w:val="1A6B3204"/>
    <w:rsid w:val="1AA1D6E6"/>
    <w:rsid w:val="1ABFFC7A"/>
    <w:rsid w:val="1AC55AF6"/>
    <w:rsid w:val="1AD3F593"/>
    <w:rsid w:val="1ADE06EC"/>
    <w:rsid w:val="1AE6EA1A"/>
    <w:rsid w:val="1AF53D30"/>
    <w:rsid w:val="1B07D700"/>
    <w:rsid w:val="1B0A5F9F"/>
    <w:rsid w:val="1B109B0D"/>
    <w:rsid w:val="1B3C1B78"/>
    <w:rsid w:val="1B456FBA"/>
    <w:rsid w:val="1B764F1E"/>
    <w:rsid w:val="1B8E91C1"/>
    <w:rsid w:val="1BBFBD46"/>
    <w:rsid w:val="1BDB4CCB"/>
    <w:rsid w:val="1BF12D30"/>
    <w:rsid w:val="1C05F5D1"/>
    <w:rsid w:val="1C688707"/>
    <w:rsid w:val="1C9979B1"/>
    <w:rsid w:val="1CF9C039"/>
    <w:rsid w:val="1D1A83C8"/>
    <w:rsid w:val="1D26BB28"/>
    <w:rsid w:val="1D391B6F"/>
    <w:rsid w:val="1D43005C"/>
    <w:rsid w:val="1D604D33"/>
    <w:rsid w:val="1D96C286"/>
    <w:rsid w:val="1DAD698C"/>
    <w:rsid w:val="1DC6FA07"/>
    <w:rsid w:val="1DD1D579"/>
    <w:rsid w:val="1DEC6A71"/>
    <w:rsid w:val="1DF963F1"/>
    <w:rsid w:val="1E418DF5"/>
    <w:rsid w:val="1E6CFBD3"/>
    <w:rsid w:val="1E6FFBC3"/>
    <w:rsid w:val="1E731182"/>
    <w:rsid w:val="1E7883E3"/>
    <w:rsid w:val="1E89729C"/>
    <w:rsid w:val="1ED5743F"/>
    <w:rsid w:val="1F0D448E"/>
    <w:rsid w:val="1F1EBC34"/>
    <w:rsid w:val="1F2A95C9"/>
    <w:rsid w:val="1F3F4FCF"/>
    <w:rsid w:val="1F4882AE"/>
    <w:rsid w:val="1F710478"/>
    <w:rsid w:val="1F754CC5"/>
    <w:rsid w:val="1FE24213"/>
    <w:rsid w:val="2057F505"/>
    <w:rsid w:val="207A841A"/>
    <w:rsid w:val="20842939"/>
    <w:rsid w:val="20BC3F49"/>
    <w:rsid w:val="20BDDFBD"/>
    <w:rsid w:val="20CCC7CC"/>
    <w:rsid w:val="20E4530F"/>
    <w:rsid w:val="21029DBC"/>
    <w:rsid w:val="21048F9F"/>
    <w:rsid w:val="2170F603"/>
    <w:rsid w:val="2173A95B"/>
    <w:rsid w:val="21790B6C"/>
    <w:rsid w:val="21A814B6"/>
    <w:rsid w:val="21D3E26B"/>
    <w:rsid w:val="21D4FB61"/>
    <w:rsid w:val="21DBC802"/>
    <w:rsid w:val="21E6EF0B"/>
    <w:rsid w:val="2224280F"/>
    <w:rsid w:val="222786A7"/>
    <w:rsid w:val="223EE74D"/>
    <w:rsid w:val="224329E1"/>
    <w:rsid w:val="22579779"/>
    <w:rsid w:val="229D5134"/>
    <w:rsid w:val="22B68569"/>
    <w:rsid w:val="22F6D24D"/>
    <w:rsid w:val="2307405A"/>
    <w:rsid w:val="2310E60F"/>
    <w:rsid w:val="23316C9F"/>
    <w:rsid w:val="238C98D4"/>
    <w:rsid w:val="23B9E18C"/>
    <w:rsid w:val="23F89DED"/>
    <w:rsid w:val="2412C0F2"/>
    <w:rsid w:val="241756D0"/>
    <w:rsid w:val="2429F016"/>
    <w:rsid w:val="24367ADA"/>
    <w:rsid w:val="2438E162"/>
    <w:rsid w:val="2439A08B"/>
    <w:rsid w:val="2453BBD2"/>
    <w:rsid w:val="245DCC56"/>
    <w:rsid w:val="24A72DB4"/>
    <w:rsid w:val="2503F243"/>
    <w:rsid w:val="250B832D"/>
    <w:rsid w:val="253B9B81"/>
    <w:rsid w:val="25E2171C"/>
    <w:rsid w:val="2624E8B1"/>
    <w:rsid w:val="262AC597"/>
    <w:rsid w:val="262AE56C"/>
    <w:rsid w:val="26510483"/>
    <w:rsid w:val="2653B0DF"/>
    <w:rsid w:val="26689DBF"/>
    <w:rsid w:val="2669F21D"/>
    <w:rsid w:val="26948481"/>
    <w:rsid w:val="26D24107"/>
    <w:rsid w:val="26E15C3E"/>
    <w:rsid w:val="26EF16FF"/>
    <w:rsid w:val="27125870"/>
    <w:rsid w:val="274B9F73"/>
    <w:rsid w:val="27623BDA"/>
    <w:rsid w:val="2785D33F"/>
    <w:rsid w:val="27A65B81"/>
    <w:rsid w:val="27D0C317"/>
    <w:rsid w:val="27EF8140"/>
    <w:rsid w:val="2810248B"/>
    <w:rsid w:val="2810C27E"/>
    <w:rsid w:val="284323EF"/>
    <w:rsid w:val="285C35B3"/>
    <w:rsid w:val="2863FC1A"/>
    <w:rsid w:val="28652344"/>
    <w:rsid w:val="2869EEF2"/>
    <w:rsid w:val="28D3031D"/>
    <w:rsid w:val="28E2D19B"/>
    <w:rsid w:val="29018581"/>
    <w:rsid w:val="29409604"/>
    <w:rsid w:val="294D1DFE"/>
    <w:rsid w:val="29DB1D06"/>
    <w:rsid w:val="29F1242C"/>
    <w:rsid w:val="29F8ED31"/>
    <w:rsid w:val="2A0D54F4"/>
    <w:rsid w:val="2A25F232"/>
    <w:rsid w:val="2A63218F"/>
    <w:rsid w:val="2A8A5A52"/>
    <w:rsid w:val="2A8EA594"/>
    <w:rsid w:val="2AD70BB2"/>
    <w:rsid w:val="2B30187D"/>
    <w:rsid w:val="2B320C0E"/>
    <w:rsid w:val="2B719242"/>
    <w:rsid w:val="2B72A39B"/>
    <w:rsid w:val="2BC4B7EB"/>
    <w:rsid w:val="2BD029BB"/>
    <w:rsid w:val="2BF3DE8B"/>
    <w:rsid w:val="2BF7046A"/>
    <w:rsid w:val="2C0D6249"/>
    <w:rsid w:val="2C33D406"/>
    <w:rsid w:val="2C54BC53"/>
    <w:rsid w:val="2C76153A"/>
    <w:rsid w:val="2C7828DC"/>
    <w:rsid w:val="2C94D184"/>
    <w:rsid w:val="2CB0C1B4"/>
    <w:rsid w:val="2CDA8802"/>
    <w:rsid w:val="2CE18E00"/>
    <w:rsid w:val="2CE395AE"/>
    <w:rsid w:val="2CFF547B"/>
    <w:rsid w:val="2D1A838C"/>
    <w:rsid w:val="2D81BD5C"/>
    <w:rsid w:val="2D9A4109"/>
    <w:rsid w:val="2DD797B2"/>
    <w:rsid w:val="2DE5C5DE"/>
    <w:rsid w:val="2DF66AF1"/>
    <w:rsid w:val="2E15A62A"/>
    <w:rsid w:val="2E3918F2"/>
    <w:rsid w:val="2E61F585"/>
    <w:rsid w:val="2E63AF35"/>
    <w:rsid w:val="2E6CF859"/>
    <w:rsid w:val="2E803C1B"/>
    <w:rsid w:val="2EB078F2"/>
    <w:rsid w:val="2EE0EA30"/>
    <w:rsid w:val="2EE812AF"/>
    <w:rsid w:val="2EECFB03"/>
    <w:rsid w:val="2F461BD0"/>
    <w:rsid w:val="2F7222BC"/>
    <w:rsid w:val="2F8BA782"/>
    <w:rsid w:val="2F97EDFD"/>
    <w:rsid w:val="2FC1CDCC"/>
    <w:rsid w:val="2FCDEEBF"/>
    <w:rsid w:val="2FECE3B6"/>
    <w:rsid w:val="2FEEFB47"/>
    <w:rsid w:val="2FF16D85"/>
    <w:rsid w:val="300280AB"/>
    <w:rsid w:val="3049368C"/>
    <w:rsid w:val="307F1B80"/>
    <w:rsid w:val="30813295"/>
    <w:rsid w:val="30A06EF5"/>
    <w:rsid w:val="30AE1EFC"/>
    <w:rsid w:val="30E0EFC3"/>
    <w:rsid w:val="30F133B9"/>
    <w:rsid w:val="310214C5"/>
    <w:rsid w:val="3122A96A"/>
    <w:rsid w:val="3176A4A2"/>
    <w:rsid w:val="319E7C67"/>
    <w:rsid w:val="31BE3880"/>
    <w:rsid w:val="31CB5926"/>
    <w:rsid w:val="31D1D03E"/>
    <w:rsid w:val="31E1A673"/>
    <w:rsid w:val="32188AF2"/>
    <w:rsid w:val="321FB371"/>
    <w:rsid w:val="3246EF21"/>
    <w:rsid w:val="3250BDE0"/>
    <w:rsid w:val="326E3374"/>
    <w:rsid w:val="3297E3B0"/>
    <w:rsid w:val="32A591F2"/>
    <w:rsid w:val="32A95A1F"/>
    <w:rsid w:val="32D8B238"/>
    <w:rsid w:val="32F1A941"/>
    <w:rsid w:val="33289C25"/>
    <w:rsid w:val="332B1168"/>
    <w:rsid w:val="33314260"/>
    <w:rsid w:val="3393D212"/>
    <w:rsid w:val="33AF438A"/>
    <w:rsid w:val="33E3AC1D"/>
    <w:rsid w:val="33EF1C0E"/>
    <w:rsid w:val="3417C06D"/>
    <w:rsid w:val="34435901"/>
    <w:rsid w:val="3452FB8A"/>
    <w:rsid w:val="3469D0BB"/>
    <w:rsid w:val="3482E791"/>
    <w:rsid w:val="349B5C12"/>
    <w:rsid w:val="34A12558"/>
    <w:rsid w:val="3544253B"/>
    <w:rsid w:val="3557C080"/>
    <w:rsid w:val="355963D5"/>
    <w:rsid w:val="356580EF"/>
    <w:rsid w:val="356BEE5F"/>
    <w:rsid w:val="35746532"/>
    <w:rsid w:val="359DD977"/>
    <w:rsid w:val="35A3B7A3"/>
    <w:rsid w:val="35A89EDE"/>
    <w:rsid w:val="35E3C1DE"/>
    <w:rsid w:val="35EEA817"/>
    <w:rsid w:val="360BE440"/>
    <w:rsid w:val="362F5898"/>
    <w:rsid w:val="363DF378"/>
    <w:rsid w:val="364D3CF3"/>
    <w:rsid w:val="3652298E"/>
    <w:rsid w:val="365C8CC1"/>
    <w:rsid w:val="36657927"/>
    <w:rsid w:val="36880A64"/>
    <w:rsid w:val="369BD436"/>
    <w:rsid w:val="369D29BC"/>
    <w:rsid w:val="36B4B812"/>
    <w:rsid w:val="36C11F0A"/>
    <w:rsid w:val="36C18E49"/>
    <w:rsid w:val="36E5B1E4"/>
    <w:rsid w:val="36F57D32"/>
    <w:rsid w:val="371B83F7"/>
    <w:rsid w:val="371E7939"/>
    <w:rsid w:val="37402756"/>
    <w:rsid w:val="3778840A"/>
    <w:rsid w:val="3781260E"/>
    <w:rsid w:val="3795FF60"/>
    <w:rsid w:val="37BD2246"/>
    <w:rsid w:val="37E90D54"/>
    <w:rsid w:val="37FA92CD"/>
    <w:rsid w:val="3803FD02"/>
    <w:rsid w:val="387531DE"/>
    <w:rsid w:val="388E8074"/>
    <w:rsid w:val="38B43C7E"/>
    <w:rsid w:val="38CC3A21"/>
    <w:rsid w:val="38D3D5B9"/>
    <w:rsid w:val="38DD2BA4"/>
    <w:rsid w:val="38E5EFFB"/>
    <w:rsid w:val="38E6764C"/>
    <w:rsid w:val="38F967FD"/>
    <w:rsid w:val="390FF083"/>
    <w:rsid w:val="39121B7D"/>
    <w:rsid w:val="394685E0"/>
    <w:rsid w:val="39795371"/>
    <w:rsid w:val="3987135C"/>
    <w:rsid w:val="398E271C"/>
    <w:rsid w:val="399F2F8F"/>
    <w:rsid w:val="39CA1D9A"/>
    <w:rsid w:val="39D3D738"/>
    <w:rsid w:val="39F8A3FC"/>
    <w:rsid w:val="3A120428"/>
    <w:rsid w:val="3A37E9ED"/>
    <w:rsid w:val="3A3CF717"/>
    <w:rsid w:val="3A5AC63E"/>
    <w:rsid w:val="3A680A82"/>
    <w:rsid w:val="3A86AF64"/>
    <w:rsid w:val="3AA013C6"/>
    <w:rsid w:val="3AAE68F5"/>
    <w:rsid w:val="3ADAE246"/>
    <w:rsid w:val="3B2869EC"/>
    <w:rsid w:val="3B35B237"/>
    <w:rsid w:val="3B956470"/>
    <w:rsid w:val="3B9E4C7F"/>
    <w:rsid w:val="3BA3C359"/>
    <w:rsid w:val="3C1B64B8"/>
    <w:rsid w:val="3C6A702A"/>
    <w:rsid w:val="3C6B8311"/>
    <w:rsid w:val="3C72E780"/>
    <w:rsid w:val="3C985A21"/>
    <w:rsid w:val="3CB17EBF"/>
    <w:rsid w:val="3CC6FC7E"/>
    <w:rsid w:val="3CDACA87"/>
    <w:rsid w:val="3CE42A20"/>
    <w:rsid w:val="3D01A603"/>
    <w:rsid w:val="3D4C4848"/>
    <w:rsid w:val="3D64DFA3"/>
    <w:rsid w:val="3D9E0283"/>
    <w:rsid w:val="3DAB86A5"/>
    <w:rsid w:val="3DE19D18"/>
    <w:rsid w:val="3DFB88A3"/>
    <w:rsid w:val="3DFE2103"/>
    <w:rsid w:val="3E0516B1"/>
    <w:rsid w:val="3E134700"/>
    <w:rsid w:val="3E4CC494"/>
    <w:rsid w:val="3E5F1ED8"/>
    <w:rsid w:val="3E63ABB7"/>
    <w:rsid w:val="3E8DCB07"/>
    <w:rsid w:val="3E932E29"/>
    <w:rsid w:val="3E989360"/>
    <w:rsid w:val="3E9D4393"/>
    <w:rsid w:val="3EA40CC1"/>
    <w:rsid w:val="3EBAD005"/>
    <w:rsid w:val="3EC09633"/>
    <w:rsid w:val="3EC5B504"/>
    <w:rsid w:val="3ECD8F28"/>
    <w:rsid w:val="3F126AC5"/>
    <w:rsid w:val="3F292592"/>
    <w:rsid w:val="3F4229F4"/>
    <w:rsid w:val="3F70246F"/>
    <w:rsid w:val="3F934FB0"/>
    <w:rsid w:val="3FAF0654"/>
    <w:rsid w:val="3FAF0ADA"/>
    <w:rsid w:val="3FCB2E46"/>
    <w:rsid w:val="40118418"/>
    <w:rsid w:val="4013CB68"/>
    <w:rsid w:val="401C343E"/>
    <w:rsid w:val="4039E279"/>
    <w:rsid w:val="40665C8B"/>
    <w:rsid w:val="4071BDA2"/>
    <w:rsid w:val="40755EF5"/>
    <w:rsid w:val="409E49B4"/>
    <w:rsid w:val="40C2663D"/>
    <w:rsid w:val="40C86D70"/>
    <w:rsid w:val="40ECCEC7"/>
    <w:rsid w:val="4108BDF2"/>
    <w:rsid w:val="4114019C"/>
    <w:rsid w:val="41155475"/>
    <w:rsid w:val="4129FD17"/>
    <w:rsid w:val="414C7B59"/>
    <w:rsid w:val="4163D523"/>
    <w:rsid w:val="4168E431"/>
    <w:rsid w:val="418FB231"/>
    <w:rsid w:val="41ABC2DB"/>
    <w:rsid w:val="41F9DC80"/>
    <w:rsid w:val="41FE200B"/>
    <w:rsid w:val="42330E39"/>
    <w:rsid w:val="423857BB"/>
    <w:rsid w:val="424831D0"/>
    <w:rsid w:val="42591D6F"/>
    <w:rsid w:val="42870C2B"/>
    <w:rsid w:val="428BB2B6"/>
    <w:rsid w:val="42947C72"/>
    <w:rsid w:val="42A7C531"/>
    <w:rsid w:val="42C0DD73"/>
    <w:rsid w:val="42C5A98C"/>
    <w:rsid w:val="42CBCDDD"/>
    <w:rsid w:val="42D12E12"/>
    <w:rsid w:val="430DD02A"/>
    <w:rsid w:val="432FA61D"/>
    <w:rsid w:val="434006C3"/>
    <w:rsid w:val="4343234E"/>
    <w:rsid w:val="4370E787"/>
    <w:rsid w:val="43750474"/>
    <w:rsid w:val="437A3AE6"/>
    <w:rsid w:val="439FDA33"/>
    <w:rsid w:val="43AAC9C2"/>
    <w:rsid w:val="43C4FB0A"/>
    <w:rsid w:val="43C6BEA2"/>
    <w:rsid w:val="44004A77"/>
    <w:rsid w:val="44554B3B"/>
    <w:rsid w:val="44858A88"/>
    <w:rsid w:val="44AAC09C"/>
    <w:rsid w:val="44D579AE"/>
    <w:rsid w:val="45120608"/>
    <w:rsid w:val="45475180"/>
    <w:rsid w:val="4551E823"/>
    <w:rsid w:val="457AFABE"/>
    <w:rsid w:val="45873C2B"/>
    <w:rsid w:val="4591F15C"/>
    <w:rsid w:val="4593FBBD"/>
    <w:rsid w:val="45AABD29"/>
    <w:rsid w:val="45B31CC3"/>
    <w:rsid w:val="45BA3B10"/>
    <w:rsid w:val="45BD88F6"/>
    <w:rsid w:val="45EB68F7"/>
    <w:rsid w:val="4600DDF0"/>
    <w:rsid w:val="467CD3BC"/>
    <w:rsid w:val="4697F3D8"/>
    <w:rsid w:val="469C6C8F"/>
    <w:rsid w:val="46BBFDDF"/>
    <w:rsid w:val="46CF81CE"/>
    <w:rsid w:val="46DDA5FF"/>
    <w:rsid w:val="472B38A2"/>
    <w:rsid w:val="477B6FA0"/>
    <w:rsid w:val="479B66AB"/>
    <w:rsid w:val="479FB10C"/>
    <w:rsid w:val="47A50349"/>
    <w:rsid w:val="47D6465B"/>
    <w:rsid w:val="4829FFFD"/>
    <w:rsid w:val="4847A033"/>
    <w:rsid w:val="4867450D"/>
    <w:rsid w:val="4882091F"/>
    <w:rsid w:val="48823928"/>
    <w:rsid w:val="48A52E8E"/>
    <w:rsid w:val="48C1442E"/>
    <w:rsid w:val="48CC6825"/>
    <w:rsid w:val="48D2CFB5"/>
    <w:rsid w:val="48F1F8E6"/>
    <w:rsid w:val="49226085"/>
    <w:rsid w:val="4957A8BF"/>
    <w:rsid w:val="498169E3"/>
    <w:rsid w:val="498B9704"/>
    <w:rsid w:val="499CCE68"/>
    <w:rsid w:val="49F234A6"/>
    <w:rsid w:val="4A04C56C"/>
    <w:rsid w:val="4A15D783"/>
    <w:rsid w:val="4A279A2F"/>
    <w:rsid w:val="4A2885CA"/>
    <w:rsid w:val="4A375750"/>
    <w:rsid w:val="4A895666"/>
    <w:rsid w:val="4A99880A"/>
    <w:rsid w:val="4AA49BF3"/>
    <w:rsid w:val="4AC11F82"/>
    <w:rsid w:val="4AC17E1A"/>
    <w:rsid w:val="4AC85D86"/>
    <w:rsid w:val="4AF1FED1"/>
    <w:rsid w:val="4AF37920"/>
    <w:rsid w:val="4B45EC40"/>
    <w:rsid w:val="4B603955"/>
    <w:rsid w:val="4B6724A0"/>
    <w:rsid w:val="4B87D8A7"/>
    <w:rsid w:val="4B942B2A"/>
    <w:rsid w:val="4BA2D254"/>
    <w:rsid w:val="4BA5BB40"/>
    <w:rsid w:val="4BBFB921"/>
    <w:rsid w:val="4BFB2A26"/>
    <w:rsid w:val="4C0794BC"/>
    <w:rsid w:val="4C387412"/>
    <w:rsid w:val="4C453118"/>
    <w:rsid w:val="4C4EA777"/>
    <w:rsid w:val="4C57A84E"/>
    <w:rsid w:val="4C66511A"/>
    <w:rsid w:val="4C882644"/>
    <w:rsid w:val="4CA768F3"/>
    <w:rsid w:val="4CC298A5"/>
    <w:rsid w:val="4CDFB37A"/>
    <w:rsid w:val="4D2E16DD"/>
    <w:rsid w:val="4D30F411"/>
    <w:rsid w:val="4D5DB1C4"/>
    <w:rsid w:val="4D6C375F"/>
    <w:rsid w:val="4DADF5D5"/>
    <w:rsid w:val="4DBE8651"/>
    <w:rsid w:val="4DCE2E77"/>
    <w:rsid w:val="4DD1ED6E"/>
    <w:rsid w:val="4DD3EFC9"/>
    <w:rsid w:val="4E2B19E2"/>
    <w:rsid w:val="4E43F898"/>
    <w:rsid w:val="4E4E4219"/>
    <w:rsid w:val="4E5BA24F"/>
    <w:rsid w:val="4E634E02"/>
    <w:rsid w:val="4E6EBD44"/>
    <w:rsid w:val="4E6FBBA1"/>
    <w:rsid w:val="4E87E5A1"/>
    <w:rsid w:val="4E8E7BA2"/>
    <w:rsid w:val="4EAAFFA4"/>
    <w:rsid w:val="4EB0C7BE"/>
    <w:rsid w:val="4EB92906"/>
    <w:rsid w:val="4ED107AC"/>
    <w:rsid w:val="4EFE6B22"/>
    <w:rsid w:val="4EFF9F68"/>
    <w:rsid w:val="4F1A0134"/>
    <w:rsid w:val="4F36F1E7"/>
    <w:rsid w:val="4F483E90"/>
    <w:rsid w:val="4F6BBF16"/>
    <w:rsid w:val="4F9DB150"/>
    <w:rsid w:val="4FA057C3"/>
    <w:rsid w:val="4FA5E840"/>
    <w:rsid w:val="4FA7E4E9"/>
    <w:rsid w:val="4FBFF1E6"/>
    <w:rsid w:val="4FD92000"/>
    <w:rsid w:val="4FFC33A1"/>
    <w:rsid w:val="500A8DA5"/>
    <w:rsid w:val="5023E5DA"/>
    <w:rsid w:val="5033D59D"/>
    <w:rsid w:val="5034F973"/>
    <w:rsid w:val="50735F19"/>
    <w:rsid w:val="507737B2"/>
    <w:rsid w:val="508BC0D5"/>
    <w:rsid w:val="50A383C4"/>
    <w:rsid w:val="50AF7A27"/>
    <w:rsid w:val="50B97E5A"/>
    <w:rsid w:val="50BA8899"/>
    <w:rsid w:val="51001E6E"/>
    <w:rsid w:val="51111914"/>
    <w:rsid w:val="511E51C4"/>
    <w:rsid w:val="5174F061"/>
    <w:rsid w:val="517CE87F"/>
    <w:rsid w:val="51853696"/>
    <w:rsid w:val="5185E2DB"/>
    <w:rsid w:val="51A21D63"/>
    <w:rsid w:val="51B5B453"/>
    <w:rsid w:val="51C83396"/>
    <w:rsid w:val="51E87A9D"/>
    <w:rsid w:val="522CE373"/>
    <w:rsid w:val="523E2C9E"/>
    <w:rsid w:val="526ED0E9"/>
    <w:rsid w:val="528C0AD9"/>
    <w:rsid w:val="52A286DA"/>
    <w:rsid w:val="52A53336"/>
    <w:rsid w:val="52C59219"/>
    <w:rsid w:val="53047657"/>
    <w:rsid w:val="53331166"/>
    <w:rsid w:val="537FEE8F"/>
    <w:rsid w:val="53B0DD88"/>
    <w:rsid w:val="53D626A6"/>
    <w:rsid w:val="53D6468B"/>
    <w:rsid w:val="53DB78E3"/>
    <w:rsid w:val="53EDC402"/>
    <w:rsid w:val="5430E5EC"/>
    <w:rsid w:val="54A76C8D"/>
    <w:rsid w:val="54C82EEE"/>
    <w:rsid w:val="54DDFEC8"/>
    <w:rsid w:val="55472DF3"/>
    <w:rsid w:val="55884C82"/>
    <w:rsid w:val="55A599CE"/>
    <w:rsid w:val="55A809BA"/>
    <w:rsid w:val="55F779FD"/>
    <w:rsid w:val="5603A55D"/>
    <w:rsid w:val="56128D9C"/>
    <w:rsid w:val="563E1182"/>
    <w:rsid w:val="56605192"/>
    <w:rsid w:val="566A7F57"/>
    <w:rsid w:val="5687BB33"/>
    <w:rsid w:val="568D1603"/>
    <w:rsid w:val="56914F45"/>
    <w:rsid w:val="56934916"/>
    <w:rsid w:val="56B16DF7"/>
    <w:rsid w:val="56D1E2C0"/>
    <w:rsid w:val="56F90F33"/>
    <w:rsid w:val="56FB5750"/>
    <w:rsid w:val="5706D0AB"/>
    <w:rsid w:val="5713068E"/>
    <w:rsid w:val="574EE0E3"/>
    <w:rsid w:val="57669F39"/>
    <w:rsid w:val="579946A9"/>
    <w:rsid w:val="57A07AF9"/>
    <w:rsid w:val="57BE2E83"/>
    <w:rsid w:val="57C37232"/>
    <w:rsid w:val="57D316A6"/>
    <w:rsid w:val="57E0E2F6"/>
    <w:rsid w:val="5807D101"/>
    <w:rsid w:val="5821B9CB"/>
    <w:rsid w:val="58338567"/>
    <w:rsid w:val="583E821F"/>
    <w:rsid w:val="584886C1"/>
    <w:rsid w:val="589A7E48"/>
    <w:rsid w:val="58AC5A50"/>
    <w:rsid w:val="58AC7B3D"/>
    <w:rsid w:val="58EFB215"/>
    <w:rsid w:val="58FB4C5D"/>
    <w:rsid w:val="59026F9A"/>
    <w:rsid w:val="59162914"/>
    <w:rsid w:val="5925BEE5"/>
    <w:rsid w:val="5935170A"/>
    <w:rsid w:val="594784E2"/>
    <w:rsid w:val="594EEF0C"/>
    <w:rsid w:val="5955485C"/>
    <w:rsid w:val="59631821"/>
    <w:rsid w:val="596A4027"/>
    <w:rsid w:val="596C4B00"/>
    <w:rsid w:val="596D2E25"/>
    <w:rsid w:val="59A4C048"/>
    <w:rsid w:val="59B658AC"/>
    <w:rsid w:val="59CBC263"/>
    <w:rsid w:val="59D3AA55"/>
    <w:rsid w:val="59E04DA8"/>
    <w:rsid w:val="5A520EDA"/>
    <w:rsid w:val="5A545A66"/>
    <w:rsid w:val="5A719507"/>
    <w:rsid w:val="5A971CBE"/>
    <w:rsid w:val="5AB6B847"/>
    <w:rsid w:val="5AE133B8"/>
    <w:rsid w:val="5AE7A333"/>
    <w:rsid w:val="5B017B69"/>
    <w:rsid w:val="5B0AA268"/>
    <w:rsid w:val="5B4BED6F"/>
    <w:rsid w:val="5B52F985"/>
    <w:rsid w:val="5B6FBB6C"/>
    <w:rsid w:val="5B73342F"/>
    <w:rsid w:val="5B8D20EB"/>
    <w:rsid w:val="5BB168C0"/>
    <w:rsid w:val="5BC5BEAA"/>
    <w:rsid w:val="5BE2677B"/>
    <w:rsid w:val="5BE45745"/>
    <w:rsid w:val="5BE4C9A2"/>
    <w:rsid w:val="5C1C05FC"/>
    <w:rsid w:val="5C4204E8"/>
    <w:rsid w:val="5C57E2E2"/>
    <w:rsid w:val="5C73C0C1"/>
    <w:rsid w:val="5C7A2548"/>
    <w:rsid w:val="5C914FA2"/>
    <w:rsid w:val="5C91BF64"/>
    <w:rsid w:val="5D0ABD0D"/>
    <w:rsid w:val="5D17FD91"/>
    <w:rsid w:val="5D2D0DC2"/>
    <w:rsid w:val="5D966861"/>
    <w:rsid w:val="5DA9A8E2"/>
    <w:rsid w:val="5E0F9122"/>
    <w:rsid w:val="5E10C568"/>
    <w:rsid w:val="5E20E661"/>
    <w:rsid w:val="5E235FE2"/>
    <w:rsid w:val="5E2EDB51"/>
    <w:rsid w:val="5E725985"/>
    <w:rsid w:val="5E7EB9BC"/>
    <w:rsid w:val="5ED9CC02"/>
    <w:rsid w:val="5EDD8AB9"/>
    <w:rsid w:val="5EECEBE1"/>
    <w:rsid w:val="5EFB668F"/>
    <w:rsid w:val="5FA08869"/>
    <w:rsid w:val="5FB66429"/>
    <w:rsid w:val="5FCC6394"/>
    <w:rsid w:val="60188E8C"/>
    <w:rsid w:val="60219975"/>
    <w:rsid w:val="603A7049"/>
    <w:rsid w:val="60DFB80B"/>
    <w:rsid w:val="61099103"/>
    <w:rsid w:val="61175535"/>
    <w:rsid w:val="614587F8"/>
    <w:rsid w:val="616A5F9A"/>
    <w:rsid w:val="61BA5EA5"/>
    <w:rsid w:val="61D651D0"/>
    <w:rsid w:val="61D91605"/>
    <w:rsid w:val="61DBD268"/>
    <w:rsid w:val="6212D6FA"/>
    <w:rsid w:val="621CA69A"/>
    <w:rsid w:val="6221B0FC"/>
    <w:rsid w:val="62330751"/>
    <w:rsid w:val="6267CD8B"/>
    <w:rsid w:val="626A820F"/>
    <w:rsid w:val="626BB202"/>
    <w:rsid w:val="628C56E7"/>
    <w:rsid w:val="62C209D9"/>
    <w:rsid w:val="63504BA1"/>
    <w:rsid w:val="635807CF"/>
    <w:rsid w:val="6362ED4D"/>
    <w:rsid w:val="636F9604"/>
    <w:rsid w:val="638FA33A"/>
    <w:rsid w:val="63B0F268"/>
    <w:rsid w:val="63B432E4"/>
    <w:rsid w:val="6408EE50"/>
    <w:rsid w:val="642B83AB"/>
    <w:rsid w:val="644D679A"/>
    <w:rsid w:val="645DDA3A"/>
    <w:rsid w:val="648C876D"/>
    <w:rsid w:val="64A3ED34"/>
    <w:rsid w:val="64D5AB27"/>
    <w:rsid w:val="653CC48A"/>
    <w:rsid w:val="654AEA54"/>
    <w:rsid w:val="656AA813"/>
    <w:rsid w:val="6593FC30"/>
    <w:rsid w:val="65A2C09A"/>
    <w:rsid w:val="65B3245C"/>
    <w:rsid w:val="65E1BCEB"/>
    <w:rsid w:val="65E8E028"/>
    <w:rsid w:val="65EC5E99"/>
    <w:rsid w:val="66094A6B"/>
    <w:rsid w:val="6634C992"/>
    <w:rsid w:val="665BF6D1"/>
    <w:rsid w:val="666F6616"/>
    <w:rsid w:val="667C47AD"/>
    <w:rsid w:val="667C7198"/>
    <w:rsid w:val="668F9768"/>
    <w:rsid w:val="66A4A710"/>
    <w:rsid w:val="66C3B3F1"/>
    <w:rsid w:val="66DBA878"/>
    <w:rsid w:val="66E68169"/>
    <w:rsid w:val="66FD7741"/>
    <w:rsid w:val="67067874"/>
    <w:rsid w:val="670E65FA"/>
    <w:rsid w:val="6720BBA2"/>
    <w:rsid w:val="6746B4E0"/>
    <w:rsid w:val="674AD084"/>
    <w:rsid w:val="679BA11F"/>
    <w:rsid w:val="67E4E394"/>
    <w:rsid w:val="68321ACC"/>
    <w:rsid w:val="685B9855"/>
    <w:rsid w:val="686526DD"/>
    <w:rsid w:val="68867049"/>
    <w:rsid w:val="68B50C81"/>
    <w:rsid w:val="68F95189"/>
    <w:rsid w:val="6902768A"/>
    <w:rsid w:val="6914621F"/>
    <w:rsid w:val="6914A2E8"/>
    <w:rsid w:val="692080EA"/>
    <w:rsid w:val="6927FB98"/>
    <w:rsid w:val="69392028"/>
    <w:rsid w:val="694EF996"/>
    <w:rsid w:val="6956FD46"/>
    <w:rsid w:val="69B099CF"/>
    <w:rsid w:val="69C15EBB"/>
    <w:rsid w:val="69E94015"/>
    <w:rsid w:val="6A378C0E"/>
    <w:rsid w:val="6A4FA35A"/>
    <w:rsid w:val="6A6F92B1"/>
    <w:rsid w:val="6A71AFE4"/>
    <w:rsid w:val="6AA58999"/>
    <w:rsid w:val="6AAAE156"/>
    <w:rsid w:val="6AB3F361"/>
    <w:rsid w:val="6AF16BFA"/>
    <w:rsid w:val="6AF41960"/>
    <w:rsid w:val="6AF5E206"/>
    <w:rsid w:val="6AF6A2AD"/>
    <w:rsid w:val="6B038348"/>
    <w:rsid w:val="6B0762A0"/>
    <w:rsid w:val="6B7A5872"/>
    <w:rsid w:val="6B94F35F"/>
    <w:rsid w:val="6B953B10"/>
    <w:rsid w:val="6BAB5E95"/>
    <w:rsid w:val="6BDF9B48"/>
    <w:rsid w:val="6BF26F76"/>
    <w:rsid w:val="6BF7D20C"/>
    <w:rsid w:val="6BFA1CA8"/>
    <w:rsid w:val="6C0EF136"/>
    <w:rsid w:val="6C2099F8"/>
    <w:rsid w:val="6C47B2EE"/>
    <w:rsid w:val="6C8FF142"/>
    <w:rsid w:val="6C9B02BC"/>
    <w:rsid w:val="6CA93BA0"/>
    <w:rsid w:val="6CD325DB"/>
    <w:rsid w:val="6CEC8B6F"/>
    <w:rsid w:val="6D0BBA56"/>
    <w:rsid w:val="6D1E1890"/>
    <w:rsid w:val="6D6C2FEA"/>
    <w:rsid w:val="6D768A74"/>
    <w:rsid w:val="6D875206"/>
    <w:rsid w:val="6D8C6DF9"/>
    <w:rsid w:val="6DB47F07"/>
    <w:rsid w:val="6DBC6A59"/>
    <w:rsid w:val="6E06493D"/>
    <w:rsid w:val="6E14A3CA"/>
    <w:rsid w:val="6E24E286"/>
    <w:rsid w:val="6E25C195"/>
    <w:rsid w:val="6E38AD52"/>
    <w:rsid w:val="6E43D7CF"/>
    <w:rsid w:val="6E774CB0"/>
    <w:rsid w:val="6E7AA16D"/>
    <w:rsid w:val="6E969098"/>
    <w:rsid w:val="6EAFD571"/>
    <w:rsid w:val="6EB89C45"/>
    <w:rsid w:val="6EF1CC9A"/>
    <w:rsid w:val="6F583ABA"/>
    <w:rsid w:val="6F88CA8C"/>
    <w:rsid w:val="6FB3D47B"/>
    <w:rsid w:val="7004F594"/>
    <w:rsid w:val="703FBC67"/>
    <w:rsid w:val="705086DA"/>
    <w:rsid w:val="70755D50"/>
    <w:rsid w:val="707BEF8C"/>
    <w:rsid w:val="70A62D98"/>
    <w:rsid w:val="70BC5FA1"/>
    <w:rsid w:val="710AB01D"/>
    <w:rsid w:val="71246F92"/>
    <w:rsid w:val="713277E2"/>
    <w:rsid w:val="713DA22B"/>
    <w:rsid w:val="716C3B16"/>
    <w:rsid w:val="7180ED56"/>
    <w:rsid w:val="718EE23F"/>
    <w:rsid w:val="719AC45D"/>
    <w:rsid w:val="71A9BE2C"/>
    <w:rsid w:val="71DD6F10"/>
    <w:rsid w:val="72148AC2"/>
    <w:rsid w:val="722B21B6"/>
    <w:rsid w:val="723D1DFE"/>
    <w:rsid w:val="724FAACA"/>
    <w:rsid w:val="7276178A"/>
    <w:rsid w:val="728C7D4E"/>
    <w:rsid w:val="72F2AA80"/>
    <w:rsid w:val="72FA0AA0"/>
    <w:rsid w:val="731AD5F4"/>
    <w:rsid w:val="7342675F"/>
    <w:rsid w:val="7344C986"/>
    <w:rsid w:val="7347B939"/>
    <w:rsid w:val="7354021C"/>
    <w:rsid w:val="73AC1560"/>
    <w:rsid w:val="73B3904E"/>
    <w:rsid w:val="73C8BADF"/>
    <w:rsid w:val="73E8AD7F"/>
    <w:rsid w:val="73ECEDEB"/>
    <w:rsid w:val="7401FE00"/>
    <w:rsid w:val="743AB6EB"/>
    <w:rsid w:val="744E4120"/>
    <w:rsid w:val="7475AD46"/>
    <w:rsid w:val="7483D71A"/>
    <w:rsid w:val="7483E54E"/>
    <w:rsid w:val="74DE7353"/>
    <w:rsid w:val="752CF119"/>
    <w:rsid w:val="7545A324"/>
    <w:rsid w:val="7547E5C1"/>
    <w:rsid w:val="755B58B6"/>
    <w:rsid w:val="758E53A1"/>
    <w:rsid w:val="759BBAA5"/>
    <w:rsid w:val="75B42148"/>
    <w:rsid w:val="75D58CD9"/>
    <w:rsid w:val="75F2A816"/>
    <w:rsid w:val="7612CEE4"/>
    <w:rsid w:val="76312661"/>
    <w:rsid w:val="763B361C"/>
    <w:rsid w:val="7646D92A"/>
    <w:rsid w:val="7686757E"/>
    <w:rsid w:val="768D7766"/>
    <w:rsid w:val="76A0B8DF"/>
    <w:rsid w:val="76AB7E2E"/>
    <w:rsid w:val="76DD0FB8"/>
    <w:rsid w:val="76F590DE"/>
    <w:rsid w:val="77160F16"/>
    <w:rsid w:val="771C4E97"/>
    <w:rsid w:val="7728FB63"/>
    <w:rsid w:val="773DD83A"/>
    <w:rsid w:val="774340CC"/>
    <w:rsid w:val="77526AB6"/>
    <w:rsid w:val="777F7E89"/>
    <w:rsid w:val="77E4E486"/>
    <w:rsid w:val="77ECCA43"/>
    <w:rsid w:val="78071901"/>
    <w:rsid w:val="78105F31"/>
    <w:rsid w:val="7818DB12"/>
    <w:rsid w:val="78343025"/>
    <w:rsid w:val="785258A7"/>
    <w:rsid w:val="786A56E5"/>
    <w:rsid w:val="787F0365"/>
    <w:rsid w:val="78A587DC"/>
    <w:rsid w:val="78BF841F"/>
    <w:rsid w:val="78DC7F19"/>
    <w:rsid w:val="78DF112D"/>
    <w:rsid w:val="7901AAE4"/>
    <w:rsid w:val="791ADFAB"/>
    <w:rsid w:val="7956BA24"/>
    <w:rsid w:val="796C73FD"/>
    <w:rsid w:val="798EFE58"/>
    <w:rsid w:val="79AE1ADA"/>
    <w:rsid w:val="79C32E62"/>
    <w:rsid w:val="79FC7368"/>
    <w:rsid w:val="79FEC78A"/>
    <w:rsid w:val="7A150C2A"/>
    <w:rsid w:val="7A2209BD"/>
    <w:rsid w:val="7A441B86"/>
    <w:rsid w:val="7A5BE745"/>
    <w:rsid w:val="7A5D8743"/>
    <w:rsid w:val="7AE10459"/>
    <w:rsid w:val="7AEFFE1A"/>
    <w:rsid w:val="7AF326D2"/>
    <w:rsid w:val="7B0B1528"/>
    <w:rsid w:val="7B0EE08B"/>
    <w:rsid w:val="7BAC2F0D"/>
    <w:rsid w:val="7BC7480F"/>
    <w:rsid w:val="7BCCB549"/>
    <w:rsid w:val="7BDED28A"/>
    <w:rsid w:val="7C026A32"/>
    <w:rsid w:val="7C02E49C"/>
    <w:rsid w:val="7C088606"/>
    <w:rsid w:val="7C15A4BD"/>
    <w:rsid w:val="7C1AC429"/>
    <w:rsid w:val="7C407730"/>
    <w:rsid w:val="7C43CBED"/>
    <w:rsid w:val="7C802B24"/>
    <w:rsid w:val="7C8EF733"/>
    <w:rsid w:val="7CAC5111"/>
    <w:rsid w:val="7CB3873D"/>
    <w:rsid w:val="7CC8AFB9"/>
    <w:rsid w:val="7CCBDBD9"/>
    <w:rsid w:val="7CCDD05F"/>
    <w:rsid w:val="7CD6A8FF"/>
    <w:rsid w:val="7CDE2495"/>
    <w:rsid w:val="7CEF924F"/>
    <w:rsid w:val="7CF9B109"/>
    <w:rsid w:val="7D088BA3"/>
    <w:rsid w:val="7D8ACA15"/>
    <w:rsid w:val="7D93CB48"/>
    <w:rsid w:val="7D97FA9D"/>
    <w:rsid w:val="7E119F37"/>
    <w:rsid w:val="7E1D79BE"/>
    <w:rsid w:val="7E84222E"/>
    <w:rsid w:val="7E851A06"/>
    <w:rsid w:val="7E86F7EB"/>
    <w:rsid w:val="7E8947EB"/>
    <w:rsid w:val="7EA614B2"/>
    <w:rsid w:val="7EA62A39"/>
    <w:rsid w:val="7EC553FC"/>
    <w:rsid w:val="7ED8D26B"/>
    <w:rsid w:val="7EDC19A9"/>
    <w:rsid w:val="7EEAE437"/>
    <w:rsid w:val="7EFF945D"/>
    <w:rsid w:val="7F1C6866"/>
    <w:rsid w:val="7F35AF2A"/>
    <w:rsid w:val="7F4CDBA5"/>
    <w:rsid w:val="7F634932"/>
    <w:rsid w:val="7F8F09AD"/>
    <w:rsid w:val="7F992505"/>
    <w:rsid w:val="7FAC42CC"/>
    <w:rsid w:val="7FBB4B60"/>
    <w:rsid w:val="7FBBF2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57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125F43"/>
    <w:pPr>
      <w:keepNext/>
      <w:keepLines/>
      <w:spacing w:before="240" w:after="80" w:line="280" w:lineRule="atLeast"/>
      <w:outlineLvl w:val="3"/>
    </w:pPr>
    <w:rPr>
      <w:rFonts w:ascii="Arial" w:eastAsia="MS Mincho" w:hAnsi="Arial"/>
      <w:b/>
      <w:bCs/>
      <w:color w:val="201547"/>
      <w:sz w:val="26"/>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47AD3"/>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125F43"/>
    <w:rPr>
      <w:rFonts w:ascii="Arial" w:eastAsia="MS Mincho" w:hAnsi="Arial"/>
      <w:b/>
      <w:bCs/>
      <w:color w:val="201547"/>
      <w:sz w:val="26"/>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F47AD3"/>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F47AD3"/>
    <w:pPr>
      <w:keepLines/>
      <w:tabs>
        <w:tab w:val="right" w:leader="dot" w:pos="9299"/>
      </w:tabs>
      <w:spacing w:after="60" w:line="320" w:lineRule="atLeast"/>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C04B86"/>
    <w:pPr>
      <w:spacing w:before="80" w:after="60"/>
    </w:pPr>
    <w:rPr>
      <w:rFonts w:ascii="Arial" w:hAnsi="Arial"/>
      <w:sz w:val="24"/>
      <w:lang w:eastAsia="en-US"/>
    </w:rPr>
  </w:style>
  <w:style w:type="paragraph" w:customStyle="1" w:styleId="Tablecaption">
    <w:name w:val="Table caption"/>
    <w:next w:val="Body"/>
    <w:uiPriority w:val="3"/>
    <w:qFormat/>
    <w:rsid w:val="009E3C36"/>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C92D8C"/>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style>
  <w:style w:type="numbering" w:customStyle="1" w:styleId="ZZQuotebullets">
    <w:name w:val="ZZ Quote bullets"/>
    <w:basedOn w:val="ZZNumbersdigit"/>
    <w:rsid w:val="00C60411"/>
    <w:pPr>
      <w:numPr>
        <w:numId w:val="1"/>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4"/>
      </w:numPr>
    </w:pPr>
  </w:style>
  <w:style w:type="paragraph" w:customStyle="1" w:styleId="Quotebullet1">
    <w:name w:val="Quote bullet 1"/>
    <w:basedOn w:val="Quotetext"/>
    <w:rsid w:val="00C60411"/>
    <w:pPr>
      <w:tabs>
        <w:tab w:val="num" w:pos="397"/>
      </w:tabs>
      <w:ind w:hanging="397"/>
    </w:pPr>
  </w:style>
  <w:style w:type="paragraph" w:customStyle="1" w:styleId="Quotebullet2">
    <w:name w:val="Quote bullet 2"/>
    <w:basedOn w:val="Quotetext"/>
    <w:rsid w:val="00C60411"/>
    <w:pPr>
      <w:tabs>
        <w:tab w:val="num" w:pos="794"/>
      </w:tabs>
      <w:ind w:left="794" w:hanging="39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47AD3"/>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0B6D1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0B6D1F"/>
  </w:style>
  <w:style w:type="character" w:customStyle="1" w:styleId="eop">
    <w:name w:val="eop"/>
    <w:basedOn w:val="DefaultParagraphFont"/>
    <w:rsid w:val="000B6D1F"/>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351660"/>
    <w:pPr>
      <w:ind w:left="720"/>
      <w:contextualSpacing/>
    </w:p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254FD9"/>
    <w:rPr>
      <w:rFonts w:ascii="Arial" w:hAnsi="Arial"/>
      <w:sz w:val="21"/>
      <w:lang w:eastAsia="en-US"/>
    </w:rPr>
  </w:style>
  <w:style w:type="character" w:customStyle="1" w:styleId="FooterChar">
    <w:name w:val="Footer Char"/>
    <w:basedOn w:val="DefaultParagraphFont"/>
    <w:link w:val="Footer"/>
    <w:uiPriority w:val="99"/>
    <w:rsid w:val="00165B48"/>
    <w:rPr>
      <w:rFonts w:ascii="Arial" w:hAnsi="Arial" w:cs="Arial"/>
      <w:szCs w:val="18"/>
      <w:lang w:eastAsia="en-US"/>
    </w:rPr>
  </w:style>
  <w:style w:type="paragraph" w:customStyle="1" w:styleId="xparagraph">
    <w:name w:val="x_paragraph"/>
    <w:basedOn w:val="Normal"/>
    <w:rsid w:val="00A61354"/>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xnormaltextrun">
    <w:name w:val="x_normaltextrun"/>
    <w:basedOn w:val="DefaultParagraphFont"/>
    <w:rsid w:val="00A61354"/>
  </w:style>
  <w:style w:type="paragraph" w:styleId="NormalWeb">
    <w:name w:val="Normal (Web)"/>
    <w:basedOn w:val="Normal"/>
    <w:uiPriority w:val="99"/>
    <w:unhideWhenUsed/>
    <w:rsid w:val="00BD65F6"/>
    <w:pPr>
      <w:spacing w:before="100" w:beforeAutospacing="1" w:after="100" w:afterAutospacing="1" w:line="240" w:lineRule="auto"/>
    </w:pPr>
    <w:rPr>
      <w:rFonts w:ascii="Times New Roman" w:hAnsi="Times New Roman"/>
      <w:sz w:val="24"/>
      <w:szCs w:val="24"/>
      <w:lang w:eastAsia="en-AU"/>
    </w:rPr>
  </w:style>
  <w:style w:type="paragraph" w:customStyle="1" w:styleId="ARbody">
    <w:name w:val="AR body"/>
    <w:uiPriority w:val="99"/>
    <w:qFormat/>
    <w:rsid w:val="00201FF5"/>
    <w:pPr>
      <w:spacing w:after="120" w:line="260" w:lineRule="atLeast"/>
    </w:pPr>
    <w:rPr>
      <w:rFonts w:ascii="Arial" w:eastAsia="Times" w:hAnsi="Arial" w:cs="Arial"/>
      <w:szCs w:val="24"/>
      <w:lang w:eastAsia="en-US"/>
    </w:rPr>
  </w:style>
  <w:style w:type="paragraph" w:customStyle="1" w:styleId="DHHSbody">
    <w:name w:val="DHHS body"/>
    <w:qFormat/>
    <w:rsid w:val="005F4FCB"/>
    <w:pPr>
      <w:spacing w:after="120" w:line="270" w:lineRule="atLeast"/>
    </w:pPr>
    <w:rPr>
      <w:rFonts w:ascii="Arial" w:eastAsia="Times" w:hAnsi="Arial"/>
      <w:lang w:eastAsia="en-US"/>
    </w:rPr>
  </w:style>
  <w:style w:type="character" w:styleId="Emphasis">
    <w:name w:val="Emphasis"/>
    <w:basedOn w:val="DefaultParagraphFont"/>
    <w:uiPriority w:val="20"/>
    <w:qFormat/>
    <w:rsid w:val="005F4FCB"/>
    <w:rPr>
      <w:i/>
      <w:iCs/>
    </w:rPr>
  </w:style>
  <w:style w:type="paragraph" w:customStyle="1" w:styleId="xmsonormal">
    <w:name w:val="x_msonormal"/>
    <w:basedOn w:val="Normal"/>
    <w:rsid w:val="00D34593"/>
    <w:pPr>
      <w:spacing w:after="0" w:line="240" w:lineRule="auto"/>
    </w:pPr>
    <w:rPr>
      <w:rFonts w:ascii="Calibri" w:eastAsiaTheme="minorHAnsi" w:hAnsi="Calibri" w:cs="Calibri"/>
      <w:sz w:val="22"/>
      <w:szCs w:val="22"/>
      <w:lang w:eastAsia="en-AU"/>
    </w:rPr>
  </w:style>
  <w:style w:type="character" w:customStyle="1" w:styleId="normaltextrun1">
    <w:name w:val="normaltextrun1"/>
    <w:basedOn w:val="DefaultParagraphFont"/>
    <w:rsid w:val="007E591F"/>
  </w:style>
  <w:style w:type="paragraph" w:customStyle="1" w:styleId="BodyA">
    <w:name w:val="Body A"/>
    <w:rsid w:val="003F4C82"/>
    <w:pPr>
      <w:pBdr>
        <w:top w:val="nil"/>
        <w:left w:val="nil"/>
        <w:bottom w:val="nil"/>
        <w:right w:val="nil"/>
        <w:between w:val="nil"/>
        <w:bar w:val="nil"/>
      </w:pBdr>
      <w:spacing w:after="120" w:line="280" w:lineRule="atLeast"/>
    </w:pPr>
    <w:rPr>
      <w:rFonts w:ascii="Arial" w:eastAsia="Arial" w:hAnsi="Arial" w:cs="Arial"/>
      <w:color w:val="000000"/>
      <w:sz w:val="21"/>
      <w:szCs w:val="21"/>
      <w:u w:color="000000"/>
      <w:bdr w:val="nil"/>
      <w:lang w:val="en-US"/>
    </w:rPr>
  </w:style>
  <w:style w:type="paragraph" w:customStyle="1" w:styleId="Default">
    <w:name w:val="Default"/>
    <w:rsid w:val="003F4C82"/>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xmsolistparagraph">
    <w:name w:val="x_msolistparagraph"/>
    <w:basedOn w:val="Normal"/>
    <w:rsid w:val="00A15587"/>
    <w:pPr>
      <w:spacing w:after="0" w:line="240" w:lineRule="auto"/>
      <w:ind w:left="720"/>
    </w:pPr>
    <w:rPr>
      <w:rFonts w:ascii="Calibri" w:eastAsiaTheme="minorHAnsi" w:hAnsi="Calibri" w:cs="Calibri"/>
      <w:sz w:val="22"/>
      <w:szCs w:val="22"/>
      <w:lang w:eastAsia="en-AU"/>
    </w:rPr>
  </w:style>
  <w:style w:type="paragraph" w:customStyle="1" w:styleId="Source">
    <w:name w:val="Source"/>
    <w:basedOn w:val="Normal"/>
    <w:next w:val="Note"/>
    <w:link w:val="SourceChar"/>
    <w:uiPriority w:val="51"/>
    <w:qFormat/>
    <w:rsid w:val="006D4DBB"/>
    <w:pPr>
      <w:keepLines/>
      <w:spacing w:before="20" w:after="60" w:line="240" w:lineRule="auto"/>
    </w:pPr>
    <w:rPr>
      <w:rFonts w:asciiTheme="majorHAnsi" w:eastAsiaTheme="minorHAnsi" w:hAnsiTheme="majorHAnsi" w:cstheme="minorBidi"/>
      <w:i/>
      <w:spacing w:val="-2"/>
      <w:sz w:val="14"/>
      <w:szCs w:val="22"/>
    </w:rPr>
  </w:style>
  <w:style w:type="paragraph" w:customStyle="1" w:styleId="Note">
    <w:name w:val="Note"/>
    <w:basedOn w:val="Normal"/>
    <w:link w:val="NoteChar"/>
    <w:uiPriority w:val="52"/>
    <w:qFormat/>
    <w:rsid w:val="006D4DBB"/>
    <w:pPr>
      <w:keepLines/>
      <w:spacing w:before="20" w:after="0" w:line="240" w:lineRule="auto"/>
      <w:ind w:left="284" w:hanging="284"/>
      <w:contextualSpacing/>
    </w:pPr>
    <w:rPr>
      <w:rFonts w:asciiTheme="majorHAnsi" w:eastAsiaTheme="minorHAnsi" w:hAnsiTheme="majorHAnsi" w:cstheme="minorBidi"/>
      <w:i/>
      <w:spacing w:val="-2"/>
      <w:sz w:val="14"/>
      <w:szCs w:val="22"/>
    </w:rPr>
  </w:style>
  <w:style w:type="numbering" w:customStyle="1" w:styleId="A">
    <w:name w:val="(A)"/>
    <w:uiPriority w:val="99"/>
    <w:rsid w:val="006D4DBB"/>
    <w:pPr>
      <w:numPr>
        <w:numId w:val="9"/>
      </w:numPr>
    </w:pPr>
  </w:style>
  <w:style w:type="character" w:customStyle="1" w:styleId="NoteChar">
    <w:name w:val="Note Char"/>
    <w:basedOn w:val="DefaultParagraphFont"/>
    <w:link w:val="Note"/>
    <w:uiPriority w:val="52"/>
    <w:rsid w:val="006D4DBB"/>
    <w:rPr>
      <w:rFonts w:asciiTheme="majorHAnsi" w:eastAsiaTheme="minorHAnsi" w:hAnsiTheme="majorHAnsi" w:cstheme="minorBidi"/>
      <w:i/>
      <w:spacing w:val="-2"/>
      <w:sz w:val="14"/>
      <w:szCs w:val="22"/>
      <w:lang w:eastAsia="en-US"/>
    </w:rPr>
  </w:style>
  <w:style w:type="paragraph" w:customStyle="1" w:styleId="TableHeading">
    <w:name w:val="Table Heading"/>
    <w:basedOn w:val="Normal"/>
    <w:next w:val="Normal"/>
    <w:link w:val="TableHeadingChar"/>
    <w:uiPriority w:val="49"/>
    <w:qFormat/>
    <w:rsid w:val="006D4DBB"/>
    <w:pPr>
      <w:keepNext/>
      <w:keepLines/>
      <w:tabs>
        <w:tab w:val="left" w:pos="1134"/>
        <w:tab w:val="right" w:pos="7710"/>
      </w:tabs>
      <w:spacing w:before="240" w:after="60" w:line="240" w:lineRule="auto"/>
      <w:ind w:left="1134" w:hanging="1134"/>
    </w:pPr>
    <w:rPr>
      <w:rFonts w:asciiTheme="majorHAnsi" w:eastAsiaTheme="minorHAnsi" w:hAnsiTheme="majorHAnsi" w:cstheme="minorBidi"/>
      <w:b/>
      <w:sz w:val="20"/>
    </w:rPr>
  </w:style>
  <w:style w:type="table" w:customStyle="1" w:styleId="DTFTable">
    <w:name w:val="DTF Table"/>
    <w:basedOn w:val="TableNormal"/>
    <w:uiPriority w:val="99"/>
    <w:rsid w:val="006D4DBB"/>
    <w:pPr>
      <w:spacing w:before="20" w:after="20"/>
      <w:jc w:val="right"/>
    </w:pPr>
    <w:rPr>
      <w:rFonts w:asciiTheme="majorHAnsi" w:eastAsiaTheme="minorHAnsi" w:hAnsiTheme="majorHAnsi" w:cstheme="minorBidi"/>
      <w:sz w:val="17"/>
      <w:szCs w:val="22"/>
      <w:lang w:eastAsia="en-US"/>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EECE1" w:themeFill="background2"/>
      </w:tcPr>
    </w:tblStylePr>
    <w:tblStylePr w:type="band1Horz">
      <w:tblPr/>
      <w:tcPr>
        <w:shd w:val="clear" w:color="auto" w:fill="EEECE1" w:themeFill="background2"/>
      </w:tcPr>
    </w:tblStylePr>
    <w:tblStylePr w:type="band2Horz">
      <w:tblPr/>
      <w:tcPr>
        <w:shd w:val="clear" w:color="auto" w:fill="FFFFFF" w:themeFill="background1"/>
      </w:tcPr>
    </w:tblStylePr>
  </w:style>
  <w:style w:type="character" w:customStyle="1" w:styleId="SourceChar">
    <w:name w:val="Source Char"/>
    <w:link w:val="Source"/>
    <w:uiPriority w:val="51"/>
    <w:locked/>
    <w:rsid w:val="006D4DBB"/>
    <w:rPr>
      <w:rFonts w:asciiTheme="majorHAnsi" w:eastAsiaTheme="minorHAnsi" w:hAnsiTheme="majorHAnsi" w:cstheme="minorBidi"/>
      <w:i/>
      <w:spacing w:val="-2"/>
      <w:sz w:val="14"/>
      <w:szCs w:val="22"/>
      <w:lang w:eastAsia="en-US"/>
    </w:rPr>
  </w:style>
  <w:style w:type="character" w:customStyle="1" w:styleId="TableHeadingChar">
    <w:name w:val="Table Heading Char"/>
    <w:basedOn w:val="DefaultParagraphFont"/>
    <w:link w:val="TableHeading"/>
    <w:uiPriority w:val="49"/>
    <w:locked/>
    <w:rsid w:val="006D4DBB"/>
    <w:rPr>
      <w:rFonts w:asciiTheme="majorHAnsi" w:eastAsiaTheme="minorHAnsi" w:hAnsiTheme="majorHAnsi" w:cstheme="minorBid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596">
      <w:bodyDiv w:val="1"/>
      <w:marLeft w:val="0"/>
      <w:marRight w:val="0"/>
      <w:marTop w:val="0"/>
      <w:marBottom w:val="0"/>
      <w:divBdr>
        <w:top w:val="none" w:sz="0" w:space="0" w:color="auto"/>
        <w:left w:val="none" w:sz="0" w:space="0" w:color="auto"/>
        <w:bottom w:val="none" w:sz="0" w:space="0" w:color="auto"/>
        <w:right w:val="none" w:sz="0" w:space="0" w:color="auto"/>
      </w:divBdr>
      <w:divsChild>
        <w:div w:id="1005742280">
          <w:marLeft w:val="187"/>
          <w:marRight w:val="0"/>
          <w:marTop w:val="14"/>
          <w:marBottom w:val="0"/>
          <w:divBdr>
            <w:top w:val="none" w:sz="0" w:space="0" w:color="auto"/>
            <w:left w:val="none" w:sz="0" w:space="0" w:color="auto"/>
            <w:bottom w:val="none" w:sz="0" w:space="0" w:color="auto"/>
            <w:right w:val="none" w:sz="0" w:space="0" w:color="auto"/>
          </w:divBdr>
        </w:div>
        <w:div w:id="1125974863">
          <w:marLeft w:val="274"/>
          <w:marRight w:val="0"/>
          <w:marTop w:val="20"/>
          <w:marBottom w:val="0"/>
          <w:divBdr>
            <w:top w:val="none" w:sz="0" w:space="0" w:color="auto"/>
            <w:left w:val="none" w:sz="0" w:space="0" w:color="auto"/>
            <w:bottom w:val="none" w:sz="0" w:space="0" w:color="auto"/>
            <w:right w:val="none" w:sz="0" w:space="0" w:color="auto"/>
          </w:divBdr>
        </w:div>
        <w:div w:id="1151554466">
          <w:marLeft w:val="187"/>
          <w:marRight w:val="0"/>
          <w:marTop w:val="14"/>
          <w:marBottom w:val="0"/>
          <w:divBdr>
            <w:top w:val="none" w:sz="0" w:space="0" w:color="auto"/>
            <w:left w:val="none" w:sz="0" w:space="0" w:color="auto"/>
            <w:bottom w:val="none" w:sz="0" w:space="0" w:color="auto"/>
            <w:right w:val="none" w:sz="0" w:space="0" w:color="auto"/>
          </w:divBdr>
        </w:div>
        <w:div w:id="1265069954">
          <w:marLeft w:val="187"/>
          <w:marRight w:val="0"/>
          <w:marTop w:val="14"/>
          <w:marBottom w:val="0"/>
          <w:divBdr>
            <w:top w:val="none" w:sz="0" w:space="0" w:color="auto"/>
            <w:left w:val="none" w:sz="0" w:space="0" w:color="auto"/>
            <w:bottom w:val="none" w:sz="0" w:space="0" w:color="auto"/>
            <w:right w:val="none" w:sz="0" w:space="0" w:color="auto"/>
          </w:divBdr>
        </w:div>
        <w:div w:id="1530528304">
          <w:marLeft w:val="187"/>
          <w:marRight w:val="0"/>
          <w:marTop w:val="14"/>
          <w:marBottom w:val="0"/>
          <w:divBdr>
            <w:top w:val="none" w:sz="0" w:space="0" w:color="auto"/>
            <w:left w:val="none" w:sz="0" w:space="0" w:color="auto"/>
            <w:bottom w:val="none" w:sz="0" w:space="0" w:color="auto"/>
            <w:right w:val="none" w:sz="0" w:space="0" w:color="auto"/>
          </w:divBdr>
        </w:div>
        <w:div w:id="1545556197">
          <w:marLeft w:val="187"/>
          <w:marRight w:val="0"/>
          <w:marTop w:val="14"/>
          <w:marBottom w:val="0"/>
          <w:divBdr>
            <w:top w:val="none" w:sz="0" w:space="0" w:color="auto"/>
            <w:left w:val="none" w:sz="0" w:space="0" w:color="auto"/>
            <w:bottom w:val="none" w:sz="0" w:space="0" w:color="auto"/>
            <w:right w:val="none" w:sz="0" w:space="0" w:color="auto"/>
          </w:divBdr>
        </w:div>
      </w:divsChild>
    </w:div>
    <w:div w:id="82603858">
      <w:bodyDiv w:val="1"/>
      <w:marLeft w:val="0"/>
      <w:marRight w:val="0"/>
      <w:marTop w:val="0"/>
      <w:marBottom w:val="0"/>
      <w:divBdr>
        <w:top w:val="none" w:sz="0" w:space="0" w:color="auto"/>
        <w:left w:val="none" w:sz="0" w:space="0" w:color="auto"/>
        <w:bottom w:val="none" w:sz="0" w:space="0" w:color="auto"/>
        <w:right w:val="none" w:sz="0" w:space="0" w:color="auto"/>
      </w:divBdr>
      <w:divsChild>
        <w:div w:id="1429808464">
          <w:marLeft w:val="547"/>
          <w:marRight w:val="0"/>
          <w:marTop w:val="0"/>
          <w:marBottom w:val="0"/>
          <w:divBdr>
            <w:top w:val="none" w:sz="0" w:space="0" w:color="auto"/>
            <w:left w:val="none" w:sz="0" w:space="0" w:color="auto"/>
            <w:bottom w:val="none" w:sz="0" w:space="0" w:color="auto"/>
            <w:right w:val="none" w:sz="0" w:space="0" w:color="auto"/>
          </w:divBdr>
        </w:div>
      </w:divsChild>
    </w:div>
    <w:div w:id="86461986">
      <w:bodyDiv w:val="1"/>
      <w:marLeft w:val="0"/>
      <w:marRight w:val="0"/>
      <w:marTop w:val="0"/>
      <w:marBottom w:val="0"/>
      <w:divBdr>
        <w:top w:val="none" w:sz="0" w:space="0" w:color="auto"/>
        <w:left w:val="none" w:sz="0" w:space="0" w:color="auto"/>
        <w:bottom w:val="none" w:sz="0" w:space="0" w:color="auto"/>
        <w:right w:val="none" w:sz="0" w:space="0" w:color="auto"/>
      </w:divBdr>
    </w:div>
    <w:div w:id="86931381">
      <w:bodyDiv w:val="1"/>
      <w:marLeft w:val="0"/>
      <w:marRight w:val="0"/>
      <w:marTop w:val="0"/>
      <w:marBottom w:val="0"/>
      <w:divBdr>
        <w:top w:val="none" w:sz="0" w:space="0" w:color="auto"/>
        <w:left w:val="none" w:sz="0" w:space="0" w:color="auto"/>
        <w:bottom w:val="none" w:sz="0" w:space="0" w:color="auto"/>
        <w:right w:val="none" w:sz="0" w:space="0" w:color="auto"/>
      </w:divBdr>
      <w:divsChild>
        <w:div w:id="246381810">
          <w:marLeft w:val="547"/>
          <w:marRight w:val="0"/>
          <w:marTop w:val="0"/>
          <w:marBottom w:val="0"/>
          <w:divBdr>
            <w:top w:val="none" w:sz="0" w:space="0" w:color="auto"/>
            <w:left w:val="none" w:sz="0" w:space="0" w:color="auto"/>
            <w:bottom w:val="none" w:sz="0" w:space="0" w:color="auto"/>
            <w:right w:val="none" w:sz="0" w:space="0" w:color="auto"/>
          </w:divBdr>
        </w:div>
      </w:divsChild>
    </w:div>
    <w:div w:id="13356940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5359566">
      <w:bodyDiv w:val="1"/>
      <w:marLeft w:val="0"/>
      <w:marRight w:val="0"/>
      <w:marTop w:val="0"/>
      <w:marBottom w:val="0"/>
      <w:divBdr>
        <w:top w:val="none" w:sz="0" w:space="0" w:color="auto"/>
        <w:left w:val="none" w:sz="0" w:space="0" w:color="auto"/>
        <w:bottom w:val="none" w:sz="0" w:space="0" w:color="auto"/>
        <w:right w:val="none" w:sz="0" w:space="0" w:color="auto"/>
      </w:divBdr>
    </w:div>
    <w:div w:id="228733163">
      <w:bodyDiv w:val="1"/>
      <w:marLeft w:val="0"/>
      <w:marRight w:val="0"/>
      <w:marTop w:val="0"/>
      <w:marBottom w:val="0"/>
      <w:divBdr>
        <w:top w:val="none" w:sz="0" w:space="0" w:color="auto"/>
        <w:left w:val="none" w:sz="0" w:space="0" w:color="auto"/>
        <w:bottom w:val="none" w:sz="0" w:space="0" w:color="auto"/>
        <w:right w:val="none" w:sz="0" w:space="0" w:color="auto"/>
      </w:divBdr>
      <w:divsChild>
        <w:div w:id="1664821124">
          <w:marLeft w:val="547"/>
          <w:marRight w:val="0"/>
          <w:marTop w:val="0"/>
          <w:marBottom w:val="0"/>
          <w:divBdr>
            <w:top w:val="none" w:sz="0" w:space="0" w:color="auto"/>
            <w:left w:val="none" w:sz="0" w:space="0" w:color="auto"/>
            <w:bottom w:val="none" w:sz="0" w:space="0" w:color="auto"/>
            <w:right w:val="none" w:sz="0" w:space="0" w:color="auto"/>
          </w:divBdr>
        </w:div>
      </w:divsChild>
    </w:div>
    <w:div w:id="25409787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3260927">
      <w:bodyDiv w:val="1"/>
      <w:marLeft w:val="0"/>
      <w:marRight w:val="0"/>
      <w:marTop w:val="0"/>
      <w:marBottom w:val="0"/>
      <w:divBdr>
        <w:top w:val="none" w:sz="0" w:space="0" w:color="auto"/>
        <w:left w:val="none" w:sz="0" w:space="0" w:color="auto"/>
        <w:bottom w:val="none" w:sz="0" w:space="0" w:color="auto"/>
        <w:right w:val="none" w:sz="0" w:space="0" w:color="auto"/>
      </w:divBdr>
      <w:divsChild>
        <w:div w:id="1841189487">
          <w:marLeft w:val="547"/>
          <w:marRight w:val="0"/>
          <w:marTop w:val="0"/>
          <w:marBottom w:val="0"/>
          <w:divBdr>
            <w:top w:val="none" w:sz="0" w:space="0" w:color="auto"/>
            <w:left w:val="none" w:sz="0" w:space="0" w:color="auto"/>
            <w:bottom w:val="none" w:sz="0" w:space="0" w:color="auto"/>
            <w:right w:val="none" w:sz="0" w:space="0" w:color="auto"/>
          </w:divBdr>
        </w:div>
      </w:divsChild>
    </w:div>
    <w:div w:id="427582466">
      <w:bodyDiv w:val="1"/>
      <w:marLeft w:val="0"/>
      <w:marRight w:val="0"/>
      <w:marTop w:val="0"/>
      <w:marBottom w:val="0"/>
      <w:divBdr>
        <w:top w:val="none" w:sz="0" w:space="0" w:color="auto"/>
        <w:left w:val="none" w:sz="0" w:space="0" w:color="auto"/>
        <w:bottom w:val="none" w:sz="0" w:space="0" w:color="auto"/>
        <w:right w:val="none" w:sz="0" w:space="0" w:color="auto"/>
      </w:divBdr>
    </w:div>
    <w:div w:id="445585354">
      <w:bodyDiv w:val="1"/>
      <w:marLeft w:val="0"/>
      <w:marRight w:val="0"/>
      <w:marTop w:val="0"/>
      <w:marBottom w:val="0"/>
      <w:divBdr>
        <w:top w:val="none" w:sz="0" w:space="0" w:color="auto"/>
        <w:left w:val="none" w:sz="0" w:space="0" w:color="auto"/>
        <w:bottom w:val="none" w:sz="0" w:space="0" w:color="auto"/>
        <w:right w:val="none" w:sz="0" w:space="0" w:color="auto"/>
      </w:divBdr>
      <w:divsChild>
        <w:div w:id="242111400">
          <w:marLeft w:val="360"/>
          <w:marRight w:val="0"/>
          <w:marTop w:val="78"/>
          <w:marBottom w:val="0"/>
          <w:divBdr>
            <w:top w:val="none" w:sz="0" w:space="0" w:color="auto"/>
            <w:left w:val="none" w:sz="0" w:space="0" w:color="auto"/>
            <w:bottom w:val="none" w:sz="0" w:space="0" w:color="auto"/>
            <w:right w:val="none" w:sz="0" w:space="0" w:color="auto"/>
          </w:divBdr>
        </w:div>
        <w:div w:id="441538962">
          <w:marLeft w:val="360"/>
          <w:marRight w:val="0"/>
          <w:marTop w:val="78"/>
          <w:marBottom w:val="0"/>
          <w:divBdr>
            <w:top w:val="none" w:sz="0" w:space="0" w:color="auto"/>
            <w:left w:val="none" w:sz="0" w:space="0" w:color="auto"/>
            <w:bottom w:val="none" w:sz="0" w:space="0" w:color="auto"/>
            <w:right w:val="none" w:sz="0" w:space="0" w:color="auto"/>
          </w:divBdr>
        </w:div>
        <w:div w:id="814838332">
          <w:marLeft w:val="360"/>
          <w:marRight w:val="0"/>
          <w:marTop w:val="78"/>
          <w:marBottom w:val="0"/>
          <w:divBdr>
            <w:top w:val="none" w:sz="0" w:space="0" w:color="auto"/>
            <w:left w:val="none" w:sz="0" w:space="0" w:color="auto"/>
            <w:bottom w:val="none" w:sz="0" w:space="0" w:color="auto"/>
            <w:right w:val="none" w:sz="0" w:space="0" w:color="auto"/>
          </w:divBdr>
        </w:div>
        <w:div w:id="1200162924">
          <w:marLeft w:val="360"/>
          <w:marRight w:val="0"/>
          <w:marTop w:val="78"/>
          <w:marBottom w:val="0"/>
          <w:divBdr>
            <w:top w:val="none" w:sz="0" w:space="0" w:color="auto"/>
            <w:left w:val="none" w:sz="0" w:space="0" w:color="auto"/>
            <w:bottom w:val="none" w:sz="0" w:space="0" w:color="auto"/>
            <w:right w:val="none" w:sz="0" w:space="0" w:color="auto"/>
          </w:divBdr>
        </w:div>
        <w:div w:id="1696728325">
          <w:marLeft w:val="360"/>
          <w:marRight w:val="0"/>
          <w:marTop w:val="78"/>
          <w:marBottom w:val="0"/>
          <w:divBdr>
            <w:top w:val="none" w:sz="0" w:space="0" w:color="auto"/>
            <w:left w:val="none" w:sz="0" w:space="0" w:color="auto"/>
            <w:bottom w:val="none" w:sz="0" w:space="0" w:color="auto"/>
            <w:right w:val="none" w:sz="0" w:space="0" w:color="auto"/>
          </w:divBdr>
        </w:div>
        <w:div w:id="1712532645">
          <w:marLeft w:val="360"/>
          <w:marRight w:val="0"/>
          <w:marTop w:val="78"/>
          <w:marBottom w:val="0"/>
          <w:divBdr>
            <w:top w:val="none" w:sz="0" w:space="0" w:color="auto"/>
            <w:left w:val="none" w:sz="0" w:space="0" w:color="auto"/>
            <w:bottom w:val="none" w:sz="0" w:space="0" w:color="auto"/>
            <w:right w:val="none" w:sz="0" w:space="0" w:color="auto"/>
          </w:divBdr>
        </w:div>
        <w:div w:id="1815221384">
          <w:marLeft w:val="360"/>
          <w:marRight w:val="0"/>
          <w:marTop w:val="78"/>
          <w:marBottom w:val="0"/>
          <w:divBdr>
            <w:top w:val="none" w:sz="0" w:space="0" w:color="auto"/>
            <w:left w:val="none" w:sz="0" w:space="0" w:color="auto"/>
            <w:bottom w:val="none" w:sz="0" w:space="0" w:color="auto"/>
            <w:right w:val="none" w:sz="0" w:space="0" w:color="auto"/>
          </w:divBdr>
        </w:div>
        <w:div w:id="1988508448">
          <w:marLeft w:val="360"/>
          <w:marRight w:val="0"/>
          <w:marTop w:val="78"/>
          <w:marBottom w:val="0"/>
          <w:divBdr>
            <w:top w:val="none" w:sz="0" w:space="0" w:color="auto"/>
            <w:left w:val="none" w:sz="0" w:space="0" w:color="auto"/>
            <w:bottom w:val="none" w:sz="0" w:space="0" w:color="auto"/>
            <w:right w:val="none" w:sz="0" w:space="0" w:color="auto"/>
          </w:divBdr>
        </w:div>
        <w:div w:id="2011059359">
          <w:marLeft w:val="360"/>
          <w:marRight w:val="0"/>
          <w:marTop w:val="78"/>
          <w:marBottom w:val="0"/>
          <w:divBdr>
            <w:top w:val="none" w:sz="0" w:space="0" w:color="auto"/>
            <w:left w:val="none" w:sz="0" w:space="0" w:color="auto"/>
            <w:bottom w:val="none" w:sz="0" w:space="0" w:color="auto"/>
            <w:right w:val="none" w:sz="0" w:space="0" w:color="auto"/>
          </w:divBdr>
        </w:div>
      </w:divsChild>
    </w:div>
    <w:div w:id="474101126">
      <w:bodyDiv w:val="1"/>
      <w:marLeft w:val="0"/>
      <w:marRight w:val="0"/>
      <w:marTop w:val="0"/>
      <w:marBottom w:val="0"/>
      <w:divBdr>
        <w:top w:val="none" w:sz="0" w:space="0" w:color="auto"/>
        <w:left w:val="none" w:sz="0" w:space="0" w:color="auto"/>
        <w:bottom w:val="none" w:sz="0" w:space="0" w:color="auto"/>
        <w:right w:val="none" w:sz="0" w:space="0" w:color="auto"/>
      </w:divBdr>
      <w:divsChild>
        <w:div w:id="1333219681">
          <w:marLeft w:val="547"/>
          <w:marRight w:val="0"/>
          <w:marTop w:val="0"/>
          <w:marBottom w:val="0"/>
          <w:divBdr>
            <w:top w:val="none" w:sz="0" w:space="0" w:color="auto"/>
            <w:left w:val="none" w:sz="0" w:space="0" w:color="auto"/>
            <w:bottom w:val="none" w:sz="0" w:space="0" w:color="auto"/>
            <w:right w:val="none" w:sz="0" w:space="0" w:color="auto"/>
          </w:divBdr>
        </w:div>
      </w:divsChild>
    </w:div>
    <w:div w:id="502670695">
      <w:bodyDiv w:val="1"/>
      <w:marLeft w:val="0"/>
      <w:marRight w:val="0"/>
      <w:marTop w:val="0"/>
      <w:marBottom w:val="0"/>
      <w:divBdr>
        <w:top w:val="none" w:sz="0" w:space="0" w:color="auto"/>
        <w:left w:val="none" w:sz="0" w:space="0" w:color="auto"/>
        <w:bottom w:val="none" w:sz="0" w:space="0" w:color="auto"/>
        <w:right w:val="none" w:sz="0" w:space="0" w:color="auto"/>
      </w:divBdr>
    </w:div>
    <w:div w:id="526141817">
      <w:bodyDiv w:val="1"/>
      <w:marLeft w:val="0"/>
      <w:marRight w:val="0"/>
      <w:marTop w:val="0"/>
      <w:marBottom w:val="0"/>
      <w:divBdr>
        <w:top w:val="none" w:sz="0" w:space="0" w:color="auto"/>
        <w:left w:val="none" w:sz="0" w:space="0" w:color="auto"/>
        <w:bottom w:val="none" w:sz="0" w:space="0" w:color="auto"/>
        <w:right w:val="none" w:sz="0" w:space="0" w:color="auto"/>
      </w:divBdr>
    </w:div>
    <w:div w:id="558906136">
      <w:bodyDiv w:val="1"/>
      <w:marLeft w:val="0"/>
      <w:marRight w:val="0"/>
      <w:marTop w:val="0"/>
      <w:marBottom w:val="0"/>
      <w:divBdr>
        <w:top w:val="none" w:sz="0" w:space="0" w:color="auto"/>
        <w:left w:val="none" w:sz="0" w:space="0" w:color="auto"/>
        <w:bottom w:val="none" w:sz="0" w:space="0" w:color="auto"/>
        <w:right w:val="none" w:sz="0" w:space="0" w:color="auto"/>
      </w:divBdr>
    </w:div>
    <w:div w:id="567963241">
      <w:bodyDiv w:val="1"/>
      <w:marLeft w:val="0"/>
      <w:marRight w:val="0"/>
      <w:marTop w:val="0"/>
      <w:marBottom w:val="0"/>
      <w:divBdr>
        <w:top w:val="none" w:sz="0" w:space="0" w:color="auto"/>
        <w:left w:val="none" w:sz="0" w:space="0" w:color="auto"/>
        <w:bottom w:val="none" w:sz="0" w:space="0" w:color="auto"/>
        <w:right w:val="none" w:sz="0" w:space="0" w:color="auto"/>
      </w:divBdr>
    </w:div>
    <w:div w:id="678237901">
      <w:bodyDiv w:val="1"/>
      <w:marLeft w:val="0"/>
      <w:marRight w:val="0"/>
      <w:marTop w:val="0"/>
      <w:marBottom w:val="0"/>
      <w:divBdr>
        <w:top w:val="none" w:sz="0" w:space="0" w:color="auto"/>
        <w:left w:val="none" w:sz="0" w:space="0" w:color="auto"/>
        <w:bottom w:val="none" w:sz="0" w:space="0" w:color="auto"/>
        <w:right w:val="none" w:sz="0" w:space="0" w:color="auto"/>
      </w:divBdr>
    </w:div>
    <w:div w:id="681587273">
      <w:bodyDiv w:val="1"/>
      <w:marLeft w:val="0"/>
      <w:marRight w:val="0"/>
      <w:marTop w:val="0"/>
      <w:marBottom w:val="0"/>
      <w:divBdr>
        <w:top w:val="none" w:sz="0" w:space="0" w:color="auto"/>
        <w:left w:val="none" w:sz="0" w:space="0" w:color="auto"/>
        <w:bottom w:val="none" w:sz="0" w:space="0" w:color="auto"/>
        <w:right w:val="none" w:sz="0" w:space="0" w:color="auto"/>
      </w:divBdr>
      <w:divsChild>
        <w:div w:id="1033387604">
          <w:marLeft w:val="547"/>
          <w:marRight w:val="0"/>
          <w:marTop w:val="0"/>
          <w:marBottom w:val="0"/>
          <w:divBdr>
            <w:top w:val="none" w:sz="0" w:space="0" w:color="auto"/>
            <w:left w:val="none" w:sz="0" w:space="0" w:color="auto"/>
            <w:bottom w:val="none" w:sz="0" w:space="0" w:color="auto"/>
            <w:right w:val="none" w:sz="0" w:space="0" w:color="auto"/>
          </w:divBdr>
        </w:div>
      </w:divsChild>
    </w:div>
    <w:div w:id="711198813">
      <w:bodyDiv w:val="1"/>
      <w:marLeft w:val="0"/>
      <w:marRight w:val="0"/>
      <w:marTop w:val="0"/>
      <w:marBottom w:val="0"/>
      <w:divBdr>
        <w:top w:val="none" w:sz="0" w:space="0" w:color="auto"/>
        <w:left w:val="none" w:sz="0" w:space="0" w:color="auto"/>
        <w:bottom w:val="none" w:sz="0" w:space="0" w:color="auto"/>
        <w:right w:val="none" w:sz="0" w:space="0" w:color="auto"/>
      </w:divBdr>
      <w:divsChild>
        <w:div w:id="214316043">
          <w:marLeft w:val="274"/>
          <w:marRight w:val="0"/>
          <w:marTop w:val="0"/>
          <w:marBottom w:val="0"/>
          <w:divBdr>
            <w:top w:val="none" w:sz="0" w:space="0" w:color="auto"/>
            <w:left w:val="none" w:sz="0" w:space="0" w:color="auto"/>
            <w:bottom w:val="none" w:sz="0" w:space="0" w:color="auto"/>
            <w:right w:val="none" w:sz="0" w:space="0" w:color="auto"/>
          </w:divBdr>
        </w:div>
        <w:div w:id="272325539">
          <w:marLeft w:val="274"/>
          <w:marRight w:val="0"/>
          <w:marTop w:val="0"/>
          <w:marBottom w:val="0"/>
          <w:divBdr>
            <w:top w:val="none" w:sz="0" w:space="0" w:color="auto"/>
            <w:left w:val="none" w:sz="0" w:space="0" w:color="auto"/>
            <w:bottom w:val="none" w:sz="0" w:space="0" w:color="auto"/>
            <w:right w:val="none" w:sz="0" w:space="0" w:color="auto"/>
          </w:divBdr>
        </w:div>
        <w:div w:id="1884176273">
          <w:marLeft w:val="274"/>
          <w:marRight w:val="0"/>
          <w:marTop w:val="0"/>
          <w:marBottom w:val="0"/>
          <w:divBdr>
            <w:top w:val="none" w:sz="0" w:space="0" w:color="auto"/>
            <w:left w:val="none" w:sz="0" w:space="0" w:color="auto"/>
            <w:bottom w:val="none" w:sz="0" w:space="0" w:color="auto"/>
            <w:right w:val="none" w:sz="0" w:space="0" w:color="auto"/>
          </w:divBdr>
        </w:div>
      </w:divsChild>
    </w:div>
    <w:div w:id="758797050">
      <w:bodyDiv w:val="1"/>
      <w:marLeft w:val="0"/>
      <w:marRight w:val="0"/>
      <w:marTop w:val="0"/>
      <w:marBottom w:val="0"/>
      <w:divBdr>
        <w:top w:val="none" w:sz="0" w:space="0" w:color="auto"/>
        <w:left w:val="none" w:sz="0" w:space="0" w:color="auto"/>
        <w:bottom w:val="none" w:sz="0" w:space="0" w:color="auto"/>
        <w:right w:val="none" w:sz="0" w:space="0" w:color="auto"/>
      </w:divBdr>
    </w:div>
    <w:div w:id="762410264">
      <w:bodyDiv w:val="1"/>
      <w:marLeft w:val="0"/>
      <w:marRight w:val="0"/>
      <w:marTop w:val="0"/>
      <w:marBottom w:val="0"/>
      <w:divBdr>
        <w:top w:val="none" w:sz="0" w:space="0" w:color="auto"/>
        <w:left w:val="none" w:sz="0" w:space="0" w:color="auto"/>
        <w:bottom w:val="none" w:sz="0" w:space="0" w:color="auto"/>
        <w:right w:val="none" w:sz="0" w:space="0" w:color="auto"/>
      </w:divBdr>
      <w:divsChild>
        <w:div w:id="2027362033">
          <w:marLeft w:val="547"/>
          <w:marRight w:val="0"/>
          <w:marTop w:val="0"/>
          <w:marBottom w:val="0"/>
          <w:divBdr>
            <w:top w:val="none" w:sz="0" w:space="0" w:color="auto"/>
            <w:left w:val="none" w:sz="0" w:space="0" w:color="auto"/>
            <w:bottom w:val="none" w:sz="0" w:space="0" w:color="auto"/>
            <w:right w:val="none" w:sz="0" w:space="0" w:color="auto"/>
          </w:divBdr>
        </w:div>
      </w:divsChild>
    </w:div>
    <w:div w:id="788427711">
      <w:bodyDiv w:val="1"/>
      <w:marLeft w:val="0"/>
      <w:marRight w:val="0"/>
      <w:marTop w:val="0"/>
      <w:marBottom w:val="0"/>
      <w:divBdr>
        <w:top w:val="none" w:sz="0" w:space="0" w:color="auto"/>
        <w:left w:val="none" w:sz="0" w:space="0" w:color="auto"/>
        <w:bottom w:val="none" w:sz="0" w:space="0" w:color="auto"/>
        <w:right w:val="none" w:sz="0" w:space="0" w:color="auto"/>
      </w:divBdr>
    </w:div>
    <w:div w:id="805706542">
      <w:bodyDiv w:val="1"/>
      <w:marLeft w:val="0"/>
      <w:marRight w:val="0"/>
      <w:marTop w:val="0"/>
      <w:marBottom w:val="0"/>
      <w:divBdr>
        <w:top w:val="none" w:sz="0" w:space="0" w:color="auto"/>
        <w:left w:val="none" w:sz="0" w:space="0" w:color="auto"/>
        <w:bottom w:val="none" w:sz="0" w:space="0" w:color="auto"/>
        <w:right w:val="none" w:sz="0" w:space="0" w:color="auto"/>
      </w:divBdr>
      <w:divsChild>
        <w:div w:id="1098603397">
          <w:marLeft w:val="547"/>
          <w:marRight w:val="0"/>
          <w:marTop w:val="0"/>
          <w:marBottom w:val="0"/>
          <w:divBdr>
            <w:top w:val="none" w:sz="0" w:space="0" w:color="auto"/>
            <w:left w:val="none" w:sz="0" w:space="0" w:color="auto"/>
            <w:bottom w:val="none" w:sz="0" w:space="0" w:color="auto"/>
            <w:right w:val="none" w:sz="0" w:space="0" w:color="auto"/>
          </w:divBdr>
        </w:div>
      </w:divsChild>
    </w:div>
    <w:div w:id="825438526">
      <w:bodyDiv w:val="1"/>
      <w:marLeft w:val="0"/>
      <w:marRight w:val="0"/>
      <w:marTop w:val="0"/>
      <w:marBottom w:val="0"/>
      <w:divBdr>
        <w:top w:val="none" w:sz="0" w:space="0" w:color="auto"/>
        <w:left w:val="none" w:sz="0" w:space="0" w:color="auto"/>
        <w:bottom w:val="none" w:sz="0" w:space="0" w:color="auto"/>
        <w:right w:val="none" w:sz="0" w:space="0" w:color="auto"/>
      </w:divBdr>
      <w:divsChild>
        <w:div w:id="565460826">
          <w:marLeft w:val="274"/>
          <w:marRight w:val="0"/>
          <w:marTop w:val="0"/>
          <w:marBottom w:val="120"/>
          <w:divBdr>
            <w:top w:val="none" w:sz="0" w:space="0" w:color="auto"/>
            <w:left w:val="none" w:sz="0" w:space="0" w:color="auto"/>
            <w:bottom w:val="none" w:sz="0" w:space="0" w:color="auto"/>
            <w:right w:val="none" w:sz="0" w:space="0" w:color="auto"/>
          </w:divBdr>
        </w:div>
        <w:div w:id="675108765">
          <w:marLeft w:val="274"/>
          <w:marRight w:val="0"/>
          <w:marTop w:val="0"/>
          <w:marBottom w:val="120"/>
          <w:divBdr>
            <w:top w:val="none" w:sz="0" w:space="0" w:color="auto"/>
            <w:left w:val="none" w:sz="0" w:space="0" w:color="auto"/>
            <w:bottom w:val="none" w:sz="0" w:space="0" w:color="auto"/>
            <w:right w:val="none" w:sz="0" w:space="0" w:color="auto"/>
          </w:divBdr>
        </w:div>
        <w:div w:id="1550411754">
          <w:marLeft w:val="274"/>
          <w:marRight w:val="0"/>
          <w:marTop w:val="0"/>
          <w:marBottom w:val="0"/>
          <w:divBdr>
            <w:top w:val="none" w:sz="0" w:space="0" w:color="auto"/>
            <w:left w:val="none" w:sz="0" w:space="0" w:color="auto"/>
            <w:bottom w:val="none" w:sz="0" w:space="0" w:color="auto"/>
            <w:right w:val="none" w:sz="0" w:space="0" w:color="auto"/>
          </w:divBdr>
        </w:div>
        <w:div w:id="1682582899">
          <w:marLeft w:val="274"/>
          <w:marRight w:val="0"/>
          <w:marTop w:val="0"/>
          <w:marBottom w:val="120"/>
          <w:divBdr>
            <w:top w:val="none" w:sz="0" w:space="0" w:color="auto"/>
            <w:left w:val="none" w:sz="0" w:space="0" w:color="auto"/>
            <w:bottom w:val="none" w:sz="0" w:space="0" w:color="auto"/>
            <w:right w:val="none" w:sz="0" w:space="0" w:color="auto"/>
          </w:divBdr>
        </w:div>
      </w:divsChild>
    </w:div>
    <w:div w:id="83665416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2180821">
      <w:bodyDiv w:val="1"/>
      <w:marLeft w:val="0"/>
      <w:marRight w:val="0"/>
      <w:marTop w:val="0"/>
      <w:marBottom w:val="0"/>
      <w:divBdr>
        <w:top w:val="none" w:sz="0" w:space="0" w:color="auto"/>
        <w:left w:val="none" w:sz="0" w:space="0" w:color="auto"/>
        <w:bottom w:val="none" w:sz="0" w:space="0" w:color="auto"/>
        <w:right w:val="none" w:sz="0" w:space="0" w:color="auto"/>
      </w:divBdr>
      <w:divsChild>
        <w:div w:id="649870115">
          <w:marLeft w:val="547"/>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1842006">
      <w:bodyDiv w:val="1"/>
      <w:marLeft w:val="0"/>
      <w:marRight w:val="0"/>
      <w:marTop w:val="0"/>
      <w:marBottom w:val="0"/>
      <w:divBdr>
        <w:top w:val="none" w:sz="0" w:space="0" w:color="auto"/>
        <w:left w:val="none" w:sz="0" w:space="0" w:color="auto"/>
        <w:bottom w:val="none" w:sz="0" w:space="0" w:color="auto"/>
        <w:right w:val="none" w:sz="0" w:space="0" w:color="auto"/>
      </w:divBdr>
    </w:div>
    <w:div w:id="942301361">
      <w:bodyDiv w:val="1"/>
      <w:marLeft w:val="0"/>
      <w:marRight w:val="0"/>
      <w:marTop w:val="0"/>
      <w:marBottom w:val="0"/>
      <w:divBdr>
        <w:top w:val="none" w:sz="0" w:space="0" w:color="auto"/>
        <w:left w:val="none" w:sz="0" w:space="0" w:color="auto"/>
        <w:bottom w:val="none" w:sz="0" w:space="0" w:color="auto"/>
        <w:right w:val="none" w:sz="0" w:space="0" w:color="auto"/>
      </w:divBdr>
      <w:divsChild>
        <w:div w:id="318121454">
          <w:marLeft w:val="274"/>
          <w:marRight w:val="0"/>
          <w:marTop w:val="0"/>
          <w:marBottom w:val="0"/>
          <w:divBdr>
            <w:top w:val="none" w:sz="0" w:space="0" w:color="auto"/>
            <w:left w:val="none" w:sz="0" w:space="0" w:color="auto"/>
            <w:bottom w:val="none" w:sz="0" w:space="0" w:color="auto"/>
            <w:right w:val="none" w:sz="0" w:space="0" w:color="auto"/>
          </w:divBdr>
        </w:div>
        <w:div w:id="1101292892">
          <w:marLeft w:val="274"/>
          <w:marRight w:val="0"/>
          <w:marTop w:val="0"/>
          <w:marBottom w:val="0"/>
          <w:divBdr>
            <w:top w:val="none" w:sz="0" w:space="0" w:color="auto"/>
            <w:left w:val="none" w:sz="0" w:space="0" w:color="auto"/>
            <w:bottom w:val="none" w:sz="0" w:space="0" w:color="auto"/>
            <w:right w:val="none" w:sz="0" w:space="0" w:color="auto"/>
          </w:divBdr>
        </w:div>
        <w:div w:id="1583948477">
          <w:marLeft w:val="274"/>
          <w:marRight w:val="0"/>
          <w:marTop w:val="0"/>
          <w:marBottom w:val="0"/>
          <w:divBdr>
            <w:top w:val="none" w:sz="0" w:space="0" w:color="auto"/>
            <w:left w:val="none" w:sz="0" w:space="0" w:color="auto"/>
            <w:bottom w:val="none" w:sz="0" w:space="0" w:color="auto"/>
            <w:right w:val="none" w:sz="0" w:space="0" w:color="auto"/>
          </w:divBdr>
        </w:div>
      </w:divsChild>
    </w:div>
    <w:div w:id="947271409">
      <w:bodyDiv w:val="1"/>
      <w:marLeft w:val="0"/>
      <w:marRight w:val="0"/>
      <w:marTop w:val="0"/>
      <w:marBottom w:val="0"/>
      <w:divBdr>
        <w:top w:val="none" w:sz="0" w:space="0" w:color="auto"/>
        <w:left w:val="none" w:sz="0" w:space="0" w:color="auto"/>
        <w:bottom w:val="none" w:sz="0" w:space="0" w:color="auto"/>
        <w:right w:val="none" w:sz="0" w:space="0" w:color="auto"/>
      </w:divBdr>
      <w:divsChild>
        <w:div w:id="766001879">
          <w:marLeft w:val="274"/>
          <w:marRight w:val="0"/>
          <w:marTop w:val="0"/>
          <w:marBottom w:val="0"/>
          <w:divBdr>
            <w:top w:val="none" w:sz="0" w:space="0" w:color="auto"/>
            <w:left w:val="none" w:sz="0" w:space="0" w:color="auto"/>
            <w:bottom w:val="none" w:sz="0" w:space="0" w:color="auto"/>
            <w:right w:val="none" w:sz="0" w:space="0" w:color="auto"/>
          </w:divBdr>
        </w:div>
        <w:div w:id="1247109358">
          <w:marLeft w:val="274"/>
          <w:marRight w:val="0"/>
          <w:marTop w:val="0"/>
          <w:marBottom w:val="0"/>
          <w:divBdr>
            <w:top w:val="none" w:sz="0" w:space="0" w:color="auto"/>
            <w:left w:val="none" w:sz="0" w:space="0" w:color="auto"/>
            <w:bottom w:val="none" w:sz="0" w:space="0" w:color="auto"/>
            <w:right w:val="none" w:sz="0" w:space="0" w:color="auto"/>
          </w:divBdr>
        </w:div>
        <w:div w:id="1631982701">
          <w:marLeft w:val="274"/>
          <w:marRight w:val="0"/>
          <w:marTop w:val="0"/>
          <w:marBottom w:val="0"/>
          <w:divBdr>
            <w:top w:val="none" w:sz="0" w:space="0" w:color="auto"/>
            <w:left w:val="none" w:sz="0" w:space="0" w:color="auto"/>
            <w:bottom w:val="none" w:sz="0" w:space="0" w:color="auto"/>
            <w:right w:val="none" w:sz="0" w:space="0" w:color="auto"/>
          </w:divBdr>
        </w:div>
      </w:divsChild>
    </w:div>
    <w:div w:id="947587120">
      <w:bodyDiv w:val="1"/>
      <w:marLeft w:val="0"/>
      <w:marRight w:val="0"/>
      <w:marTop w:val="0"/>
      <w:marBottom w:val="0"/>
      <w:divBdr>
        <w:top w:val="none" w:sz="0" w:space="0" w:color="auto"/>
        <w:left w:val="none" w:sz="0" w:space="0" w:color="auto"/>
        <w:bottom w:val="none" w:sz="0" w:space="0" w:color="auto"/>
        <w:right w:val="none" w:sz="0" w:space="0" w:color="auto"/>
      </w:divBdr>
      <w:divsChild>
        <w:div w:id="261450577">
          <w:marLeft w:val="274"/>
          <w:marRight w:val="0"/>
          <w:marTop w:val="0"/>
          <w:marBottom w:val="0"/>
          <w:divBdr>
            <w:top w:val="none" w:sz="0" w:space="0" w:color="auto"/>
            <w:left w:val="none" w:sz="0" w:space="0" w:color="auto"/>
            <w:bottom w:val="none" w:sz="0" w:space="0" w:color="auto"/>
            <w:right w:val="none" w:sz="0" w:space="0" w:color="auto"/>
          </w:divBdr>
        </w:div>
        <w:div w:id="2022122336">
          <w:marLeft w:val="274"/>
          <w:marRight w:val="0"/>
          <w:marTop w:val="0"/>
          <w:marBottom w:val="0"/>
          <w:divBdr>
            <w:top w:val="none" w:sz="0" w:space="0" w:color="auto"/>
            <w:left w:val="none" w:sz="0" w:space="0" w:color="auto"/>
            <w:bottom w:val="none" w:sz="0" w:space="0" w:color="auto"/>
            <w:right w:val="none" w:sz="0" w:space="0" w:color="auto"/>
          </w:divBdr>
        </w:div>
      </w:divsChild>
    </w:div>
    <w:div w:id="947934509">
      <w:bodyDiv w:val="1"/>
      <w:marLeft w:val="0"/>
      <w:marRight w:val="0"/>
      <w:marTop w:val="0"/>
      <w:marBottom w:val="0"/>
      <w:divBdr>
        <w:top w:val="none" w:sz="0" w:space="0" w:color="auto"/>
        <w:left w:val="none" w:sz="0" w:space="0" w:color="auto"/>
        <w:bottom w:val="none" w:sz="0" w:space="0" w:color="auto"/>
        <w:right w:val="none" w:sz="0" w:space="0" w:color="auto"/>
      </w:divBdr>
    </w:div>
    <w:div w:id="974143239">
      <w:bodyDiv w:val="1"/>
      <w:marLeft w:val="0"/>
      <w:marRight w:val="0"/>
      <w:marTop w:val="0"/>
      <w:marBottom w:val="0"/>
      <w:divBdr>
        <w:top w:val="none" w:sz="0" w:space="0" w:color="auto"/>
        <w:left w:val="none" w:sz="0" w:space="0" w:color="auto"/>
        <w:bottom w:val="none" w:sz="0" w:space="0" w:color="auto"/>
        <w:right w:val="none" w:sz="0" w:space="0" w:color="auto"/>
      </w:divBdr>
      <w:divsChild>
        <w:div w:id="130291174">
          <w:marLeft w:val="274"/>
          <w:marRight w:val="0"/>
          <w:marTop w:val="0"/>
          <w:marBottom w:val="0"/>
          <w:divBdr>
            <w:top w:val="none" w:sz="0" w:space="0" w:color="auto"/>
            <w:left w:val="none" w:sz="0" w:space="0" w:color="auto"/>
            <w:bottom w:val="none" w:sz="0" w:space="0" w:color="auto"/>
            <w:right w:val="none" w:sz="0" w:space="0" w:color="auto"/>
          </w:divBdr>
        </w:div>
        <w:div w:id="166410600">
          <w:marLeft w:val="274"/>
          <w:marRight w:val="0"/>
          <w:marTop w:val="0"/>
          <w:marBottom w:val="0"/>
          <w:divBdr>
            <w:top w:val="none" w:sz="0" w:space="0" w:color="auto"/>
            <w:left w:val="none" w:sz="0" w:space="0" w:color="auto"/>
            <w:bottom w:val="none" w:sz="0" w:space="0" w:color="auto"/>
            <w:right w:val="none" w:sz="0" w:space="0" w:color="auto"/>
          </w:divBdr>
        </w:div>
        <w:div w:id="323053082">
          <w:marLeft w:val="274"/>
          <w:marRight w:val="0"/>
          <w:marTop w:val="0"/>
          <w:marBottom w:val="0"/>
          <w:divBdr>
            <w:top w:val="none" w:sz="0" w:space="0" w:color="auto"/>
            <w:left w:val="none" w:sz="0" w:space="0" w:color="auto"/>
            <w:bottom w:val="none" w:sz="0" w:space="0" w:color="auto"/>
            <w:right w:val="none" w:sz="0" w:space="0" w:color="auto"/>
          </w:divBdr>
        </w:div>
        <w:div w:id="565338400">
          <w:marLeft w:val="274"/>
          <w:marRight w:val="0"/>
          <w:marTop w:val="0"/>
          <w:marBottom w:val="0"/>
          <w:divBdr>
            <w:top w:val="none" w:sz="0" w:space="0" w:color="auto"/>
            <w:left w:val="none" w:sz="0" w:space="0" w:color="auto"/>
            <w:bottom w:val="none" w:sz="0" w:space="0" w:color="auto"/>
            <w:right w:val="none" w:sz="0" w:space="0" w:color="auto"/>
          </w:divBdr>
        </w:div>
        <w:div w:id="1496457527">
          <w:marLeft w:val="274"/>
          <w:marRight w:val="0"/>
          <w:marTop w:val="0"/>
          <w:marBottom w:val="0"/>
          <w:divBdr>
            <w:top w:val="none" w:sz="0" w:space="0" w:color="auto"/>
            <w:left w:val="none" w:sz="0" w:space="0" w:color="auto"/>
            <w:bottom w:val="none" w:sz="0" w:space="0" w:color="auto"/>
            <w:right w:val="none" w:sz="0" w:space="0" w:color="auto"/>
          </w:divBdr>
        </w:div>
      </w:divsChild>
    </w:div>
    <w:div w:id="983853614">
      <w:bodyDiv w:val="1"/>
      <w:marLeft w:val="0"/>
      <w:marRight w:val="0"/>
      <w:marTop w:val="0"/>
      <w:marBottom w:val="0"/>
      <w:divBdr>
        <w:top w:val="none" w:sz="0" w:space="0" w:color="auto"/>
        <w:left w:val="none" w:sz="0" w:space="0" w:color="auto"/>
        <w:bottom w:val="none" w:sz="0" w:space="0" w:color="auto"/>
        <w:right w:val="none" w:sz="0" w:space="0" w:color="auto"/>
      </w:divBdr>
      <w:divsChild>
        <w:div w:id="932738398">
          <w:marLeft w:val="274"/>
          <w:marRight w:val="0"/>
          <w:marTop w:val="0"/>
          <w:marBottom w:val="0"/>
          <w:divBdr>
            <w:top w:val="none" w:sz="0" w:space="0" w:color="auto"/>
            <w:left w:val="none" w:sz="0" w:space="0" w:color="auto"/>
            <w:bottom w:val="none" w:sz="0" w:space="0" w:color="auto"/>
            <w:right w:val="none" w:sz="0" w:space="0" w:color="auto"/>
          </w:divBdr>
        </w:div>
        <w:div w:id="1210219617">
          <w:marLeft w:val="274"/>
          <w:marRight w:val="0"/>
          <w:marTop w:val="0"/>
          <w:marBottom w:val="0"/>
          <w:divBdr>
            <w:top w:val="none" w:sz="0" w:space="0" w:color="auto"/>
            <w:left w:val="none" w:sz="0" w:space="0" w:color="auto"/>
            <w:bottom w:val="none" w:sz="0" w:space="0" w:color="auto"/>
            <w:right w:val="none" w:sz="0" w:space="0" w:color="auto"/>
          </w:divBdr>
        </w:div>
        <w:div w:id="1249850083">
          <w:marLeft w:val="274"/>
          <w:marRight w:val="0"/>
          <w:marTop w:val="0"/>
          <w:marBottom w:val="0"/>
          <w:divBdr>
            <w:top w:val="none" w:sz="0" w:space="0" w:color="auto"/>
            <w:left w:val="none" w:sz="0" w:space="0" w:color="auto"/>
            <w:bottom w:val="none" w:sz="0" w:space="0" w:color="auto"/>
            <w:right w:val="none" w:sz="0" w:space="0" w:color="auto"/>
          </w:divBdr>
        </w:div>
        <w:div w:id="1678730095">
          <w:marLeft w:val="274"/>
          <w:marRight w:val="0"/>
          <w:marTop w:val="0"/>
          <w:marBottom w:val="0"/>
          <w:divBdr>
            <w:top w:val="none" w:sz="0" w:space="0" w:color="auto"/>
            <w:left w:val="none" w:sz="0" w:space="0" w:color="auto"/>
            <w:bottom w:val="none" w:sz="0" w:space="0" w:color="auto"/>
            <w:right w:val="none" w:sz="0" w:space="0" w:color="auto"/>
          </w:divBdr>
        </w:div>
      </w:divsChild>
    </w:div>
    <w:div w:id="1047487500">
      <w:bodyDiv w:val="1"/>
      <w:marLeft w:val="0"/>
      <w:marRight w:val="0"/>
      <w:marTop w:val="0"/>
      <w:marBottom w:val="0"/>
      <w:divBdr>
        <w:top w:val="none" w:sz="0" w:space="0" w:color="auto"/>
        <w:left w:val="none" w:sz="0" w:space="0" w:color="auto"/>
        <w:bottom w:val="none" w:sz="0" w:space="0" w:color="auto"/>
        <w:right w:val="none" w:sz="0" w:space="0" w:color="auto"/>
      </w:divBdr>
    </w:div>
    <w:div w:id="1057122418">
      <w:bodyDiv w:val="1"/>
      <w:marLeft w:val="0"/>
      <w:marRight w:val="0"/>
      <w:marTop w:val="0"/>
      <w:marBottom w:val="0"/>
      <w:divBdr>
        <w:top w:val="none" w:sz="0" w:space="0" w:color="auto"/>
        <w:left w:val="none" w:sz="0" w:space="0" w:color="auto"/>
        <w:bottom w:val="none" w:sz="0" w:space="0" w:color="auto"/>
        <w:right w:val="none" w:sz="0" w:space="0" w:color="auto"/>
      </w:divBdr>
      <w:divsChild>
        <w:div w:id="1208565727">
          <w:marLeft w:val="274"/>
          <w:marRight w:val="0"/>
          <w:marTop w:val="0"/>
          <w:marBottom w:val="0"/>
          <w:divBdr>
            <w:top w:val="none" w:sz="0" w:space="0" w:color="auto"/>
            <w:left w:val="none" w:sz="0" w:space="0" w:color="auto"/>
            <w:bottom w:val="none" w:sz="0" w:space="0" w:color="auto"/>
            <w:right w:val="none" w:sz="0" w:space="0" w:color="auto"/>
          </w:divBdr>
        </w:div>
        <w:div w:id="1602453181">
          <w:marLeft w:val="274"/>
          <w:marRight w:val="0"/>
          <w:marTop w:val="0"/>
          <w:marBottom w:val="0"/>
          <w:divBdr>
            <w:top w:val="none" w:sz="0" w:space="0" w:color="auto"/>
            <w:left w:val="none" w:sz="0" w:space="0" w:color="auto"/>
            <w:bottom w:val="none" w:sz="0" w:space="0" w:color="auto"/>
            <w:right w:val="none" w:sz="0" w:space="0" w:color="auto"/>
          </w:divBdr>
        </w:div>
        <w:div w:id="1646162920">
          <w:marLeft w:val="274"/>
          <w:marRight w:val="0"/>
          <w:marTop w:val="0"/>
          <w:marBottom w:val="0"/>
          <w:divBdr>
            <w:top w:val="none" w:sz="0" w:space="0" w:color="auto"/>
            <w:left w:val="none" w:sz="0" w:space="0" w:color="auto"/>
            <w:bottom w:val="none" w:sz="0" w:space="0" w:color="auto"/>
            <w:right w:val="none" w:sz="0" w:space="0" w:color="auto"/>
          </w:divBdr>
        </w:div>
        <w:div w:id="1945261264">
          <w:marLeft w:val="274"/>
          <w:marRight w:val="0"/>
          <w:marTop w:val="0"/>
          <w:marBottom w:val="0"/>
          <w:divBdr>
            <w:top w:val="none" w:sz="0" w:space="0" w:color="auto"/>
            <w:left w:val="none" w:sz="0" w:space="0" w:color="auto"/>
            <w:bottom w:val="none" w:sz="0" w:space="0" w:color="auto"/>
            <w:right w:val="none" w:sz="0" w:space="0" w:color="auto"/>
          </w:divBdr>
        </w:div>
      </w:divsChild>
    </w:div>
    <w:div w:id="1081488512">
      <w:bodyDiv w:val="1"/>
      <w:marLeft w:val="0"/>
      <w:marRight w:val="0"/>
      <w:marTop w:val="0"/>
      <w:marBottom w:val="0"/>
      <w:divBdr>
        <w:top w:val="none" w:sz="0" w:space="0" w:color="auto"/>
        <w:left w:val="none" w:sz="0" w:space="0" w:color="auto"/>
        <w:bottom w:val="none" w:sz="0" w:space="0" w:color="auto"/>
        <w:right w:val="none" w:sz="0" w:space="0" w:color="auto"/>
      </w:divBdr>
    </w:div>
    <w:div w:id="1082677008">
      <w:bodyDiv w:val="1"/>
      <w:marLeft w:val="0"/>
      <w:marRight w:val="0"/>
      <w:marTop w:val="0"/>
      <w:marBottom w:val="0"/>
      <w:divBdr>
        <w:top w:val="none" w:sz="0" w:space="0" w:color="auto"/>
        <w:left w:val="none" w:sz="0" w:space="0" w:color="auto"/>
        <w:bottom w:val="none" w:sz="0" w:space="0" w:color="auto"/>
        <w:right w:val="none" w:sz="0" w:space="0" w:color="auto"/>
      </w:divBdr>
      <w:divsChild>
        <w:div w:id="158422144">
          <w:marLeft w:val="274"/>
          <w:marRight w:val="0"/>
          <w:marTop w:val="0"/>
          <w:marBottom w:val="0"/>
          <w:divBdr>
            <w:top w:val="none" w:sz="0" w:space="0" w:color="auto"/>
            <w:left w:val="none" w:sz="0" w:space="0" w:color="auto"/>
            <w:bottom w:val="none" w:sz="0" w:space="0" w:color="auto"/>
            <w:right w:val="none" w:sz="0" w:space="0" w:color="auto"/>
          </w:divBdr>
        </w:div>
        <w:div w:id="865602181">
          <w:marLeft w:val="274"/>
          <w:marRight w:val="0"/>
          <w:marTop w:val="0"/>
          <w:marBottom w:val="0"/>
          <w:divBdr>
            <w:top w:val="none" w:sz="0" w:space="0" w:color="auto"/>
            <w:left w:val="none" w:sz="0" w:space="0" w:color="auto"/>
            <w:bottom w:val="none" w:sz="0" w:space="0" w:color="auto"/>
            <w:right w:val="none" w:sz="0" w:space="0" w:color="auto"/>
          </w:divBdr>
        </w:div>
        <w:div w:id="1090929415">
          <w:marLeft w:val="274"/>
          <w:marRight w:val="0"/>
          <w:marTop w:val="0"/>
          <w:marBottom w:val="0"/>
          <w:divBdr>
            <w:top w:val="none" w:sz="0" w:space="0" w:color="auto"/>
            <w:left w:val="none" w:sz="0" w:space="0" w:color="auto"/>
            <w:bottom w:val="none" w:sz="0" w:space="0" w:color="auto"/>
            <w:right w:val="none" w:sz="0" w:space="0" w:color="auto"/>
          </w:divBdr>
        </w:div>
        <w:div w:id="1495758257">
          <w:marLeft w:val="274"/>
          <w:marRight w:val="0"/>
          <w:marTop w:val="0"/>
          <w:marBottom w:val="0"/>
          <w:divBdr>
            <w:top w:val="none" w:sz="0" w:space="0" w:color="auto"/>
            <w:left w:val="none" w:sz="0" w:space="0" w:color="auto"/>
            <w:bottom w:val="none" w:sz="0" w:space="0" w:color="auto"/>
            <w:right w:val="none" w:sz="0" w:space="0" w:color="auto"/>
          </w:divBdr>
        </w:div>
      </w:divsChild>
    </w:div>
    <w:div w:id="1110126616">
      <w:bodyDiv w:val="1"/>
      <w:marLeft w:val="0"/>
      <w:marRight w:val="0"/>
      <w:marTop w:val="0"/>
      <w:marBottom w:val="0"/>
      <w:divBdr>
        <w:top w:val="none" w:sz="0" w:space="0" w:color="auto"/>
        <w:left w:val="none" w:sz="0" w:space="0" w:color="auto"/>
        <w:bottom w:val="none" w:sz="0" w:space="0" w:color="auto"/>
        <w:right w:val="none" w:sz="0" w:space="0" w:color="auto"/>
      </w:divBdr>
    </w:div>
    <w:div w:id="1170676716">
      <w:bodyDiv w:val="1"/>
      <w:marLeft w:val="0"/>
      <w:marRight w:val="0"/>
      <w:marTop w:val="0"/>
      <w:marBottom w:val="0"/>
      <w:divBdr>
        <w:top w:val="none" w:sz="0" w:space="0" w:color="auto"/>
        <w:left w:val="none" w:sz="0" w:space="0" w:color="auto"/>
        <w:bottom w:val="none" w:sz="0" w:space="0" w:color="auto"/>
        <w:right w:val="none" w:sz="0" w:space="0" w:color="auto"/>
      </w:divBdr>
    </w:div>
    <w:div w:id="1179463458">
      <w:bodyDiv w:val="1"/>
      <w:marLeft w:val="0"/>
      <w:marRight w:val="0"/>
      <w:marTop w:val="0"/>
      <w:marBottom w:val="0"/>
      <w:divBdr>
        <w:top w:val="none" w:sz="0" w:space="0" w:color="auto"/>
        <w:left w:val="none" w:sz="0" w:space="0" w:color="auto"/>
        <w:bottom w:val="none" w:sz="0" w:space="0" w:color="auto"/>
        <w:right w:val="none" w:sz="0" w:space="0" w:color="auto"/>
      </w:divBdr>
      <w:divsChild>
        <w:div w:id="1292784664">
          <w:marLeft w:val="547"/>
          <w:marRight w:val="0"/>
          <w:marTop w:val="0"/>
          <w:marBottom w:val="0"/>
          <w:divBdr>
            <w:top w:val="none" w:sz="0" w:space="0" w:color="auto"/>
            <w:left w:val="none" w:sz="0" w:space="0" w:color="auto"/>
            <w:bottom w:val="none" w:sz="0" w:space="0" w:color="auto"/>
            <w:right w:val="none" w:sz="0" w:space="0" w:color="auto"/>
          </w:divBdr>
        </w:div>
      </w:divsChild>
    </w:div>
    <w:div w:id="1239825087">
      <w:bodyDiv w:val="1"/>
      <w:marLeft w:val="0"/>
      <w:marRight w:val="0"/>
      <w:marTop w:val="0"/>
      <w:marBottom w:val="0"/>
      <w:divBdr>
        <w:top w:val="none" w:sz="0" w:space="0" w:color="auto"/>
        <w:left w:val="none" w:sz="0" w:space="0" w:color="auto"/>
        <w:bottom w:val="none" w:sz="0" w:space="0" w:color="auto"/>
        <w:right w:val="none" w:sz="0" w:space="0" w:color="auto"/>
      </w:divBdr>
    </w:div>
    <w:div w:id="1247883239">
      <w:bodyDiv w:val="1"/>
      <w:marLeft w:val="0"/>
      <w:marRight w:val="0"/>
      <w:marTop w:val="0"/>
      <w:marBottom w:val="0"/>
      <w:divBdr>
        <w:top w:val="none" w:sz="0" w:space="0" w:color="auto"/>
        <w:left w:val="none" w:sz="0" w:space="0" w:color="auto"/>
        <w:bottom w:val="none" w:sz="0" w:space="0" w:color="auto"/>
        <w:right w:val="none" w:sz="0" w:space="0" w:color="auto"/>
      </w:divBdr>
      <w:divsChild>
        <w:div w:id="647246700">
          <w:marLeft w:val="274"/>
          <w:marRight w:val="0"/>
          <w:marTop w:val="0"/>
          <w:marBottom w:val="0"/>
          <w:divBdr>
            <w:top w:val="none" w:sz="0" w:space="0" w:color="auto"/>
            <w:left w:val="none" w:sz="0" w:space="0" w:color="auto"/>
            <w:bottom w:val="none" w:sz="0" w:space="0" w:color="auto"/>
            <w:right w:val="none" w:sz="0" w:space="0" w:color="auto"/>
          </w:divBdr>
        </w:div>
        <w:div w:id="819931206">
          <w:marLeft w:val="274"/>
          <w:marRight w:val="0"/>
          <w:marTop w:val="0"/>
          <w:marBottom w:val="0"/>
          <w:divBdr>
            <w:top w:val="none" w:sz="0" w:space="0" w:color="auto"/>
            <w:left w:val="none" w:sz="0" w:space="0" w:color="auto"/>
            <w:bottom w:val="none" w:sz="0" w:space="0" w:color="auto"/>
            <w:right w:val="none" w:sz="0" w:space="0" w:color="auto"/>
          </w:divBdr>
        </w:div>
        <w:div w:id="2074237455">
          <w:marLeft w:val="274"/>
          <w:marRight w:val="0"/>
          <w:marTop w:val="0"/>
          <w:marBottom w:val="0"/>
          <w:divBdr>
            <w:top w:val="none" w:sz="0" w:space="0" w:color="auto"/>
            <w:left w:val="none" w:sz="0" w:space="0" w:color="auto"/>
            <w:bottom w:val="none" w:sz="0" w:space="0" w:color="auto"/>
            <w:right w:val="none" w:sz="0" w:space="0" w:color="auto"/>
          </w:divBdr>
        </w:div>
      </w:divsChild>
    </w:div>
    <w:div w:id="1267074735">
      <w:bodyDiv w:val="1"/>
      <w:marLeft w:val="0"/>
      <w:marRight w:val="0"/>
      <w:marTop w:val="0"/>
      <w:marBottom w:val="0"/>
      <w:divBdr>
        <w:top w:val="none" w:sz="0" w:space="0" w:color="auto"/>
        <w:left w:val="none" w:sz="0" w:space="0" w:color="auto"/>
        <w:bottom w:val="none" w:sz="0" w:space="0" w:color="auto"/>
        <w:right w:val="none" w:sz="0" w:space="0" w:color="auto"/>
      </w:divBdr>
      <w:divsChild>
        <w:div w:id="82453900">
          <w:marLeft w:val="274"/>
          <w:marRight w:val="0"/>
          <w:marTop w:val="0"/>
          <w:marBottom w:val="0"/>
          <w:divBdr>
            <w:top w:val="none" w:sz="0" w:space="0" w:color="auto"/>
            <w:left w:val="none" w:sz="0" w:space="0" w:color="auto"/>
            <w:bottom w:val="none" w:sz="0" w:space="0" w:color="auto"/>
            <w:right w:val="none" w:sz="0" w:space="0" w:color="auto"/>
          </w:divBdr>
        </w:div>
        <w:div w:id="1210259536">
          <w:marLeft w:val="274"/>
          <w:marRight w:val="0"/>
          <w:marTop w:val="0"/>
          <w:marBottom w:val="0"/>
          <w:divBdr>
            <w:top w:val="none" w:sz="0" w:space="0" w:color="auto"/>
            <w:left w:val="none" w:sz="0" w:space="0" w:color="auto"/>
            <w:bottom w:val="none" w:sz="0" w:space="0" w:color="auto"/>
            <w:right w:val="none" w:sz="0" w:space="0" w:color="auto"/>
          </w:divBdr>
        </w:div>
      </w:divsChild>
    </w:div>
    <w:div w:id="1268781142">
      <w:bodyDiv w:val="1"/>
      <w:marLeft w:val="0"/>
      <w:marRight w:val="0"/>
      <w:marTop w:val="0"/>
      <w:marBottom w:val="0"/>
      <w:divBdr>
        <w:top w:val="none" w:sz="0" w:space="0" w:color="auto"/>
        <w:left w:val="none" w:sz="0" w:space="0" w:color="auto"/>
        <w:bottom w:val="none" w:sz="0" w:space="0" w:color="auto"/>
        <w:right w:val="none" w:sz="0" w:space="0" w:color="auto"/>
      </w:divBdr>
      <w:divsChild>
        <w:div w:id="19472704">
          <w:marLeft w:val="360"/>
          <w:marRight w:val="0"/>
          <w:marTop w:val="78"/>
          <w:marBottom w:val="0"/>
          <w:divBdr>
            <w:top w:val="none" w:sz="0" w:space="0" w:color="auto"/>
            <w:left w:val="none" w:sz="0" w:space="0" w:color="auto"/>
            <w:bottom w:val="none" w:sz="0" w:space="0" w:color="auto"/>
            <w:right w:val="none" w:sz="0" w:space="0" w:color="auto"/>
          </w:divBdr>
        </w:div>
        <w:div w:id="41053064">
          <w:marLeft w:val="360"/>
          <w:marRight w:val="0"/>
          <w:marTop w:val="78"/>
          <w:marBottom w:val="0"/>
          <w:divBdr>
            <w:top w:val="none" w:sz="0" w:space="0" w:color="auto"/>
            <w:left w:val="none" w:sz="0" w:space="0" w:color="auto"/>
            <w:bottom w:val="none" w:sz="0" w:space="0" w:color="auto"/>
            <w:right w:val="none" w:sz="0" w:space="0" w:color="auto"/>
          </w:divBdr>
        </w:div>
        <w:div w:id="470363074">
          <w:marLeft w:val="360"/>
          <w:marRight w:val="0"/>
          <w:marTop w:val="78"/>
          <w:marBottom w:val="0"/>
          <w:divBdr>
            <w:top w:val="none" w:sz="0" w:space="0" w:color="auto"/>
            <w:left w:val="none" w:sz="0" w:space="0" w:color="auto"/>
            <w:bottom w:val="none" w:sz="0" w:space="0" w:color="auto"/>
            <w:right w:val="none" w:sz="0" w:space="0" w:color="auto"/>
          </w:divBdr>
        </w:div>
        <w:div w:id="1107191473">
          <w:marLeft w:val="360"/>
          <w:marRight w:val="0"/>
          <w:marTop w:val="78"/>
          <w:marBottom w:val="0"/>
          <w:divBdr>
            <w:top w:val="none" w:sz="0" w:space="0" w:color="auto"/>
            <w:left w:val="none" w:sz="0" w:space="0" w:color="auto"/>
            <w:bottom w:val="none" w:sz="0" w:space="0" w:color="auto"/>
            <w:right w:val="none" w:sz="0" w:space="0" w:color="auto"/>
          </w:divBdr>
        </w:div>
        <w:div w:id="1523205380">
          <w:marLeft w:val="360"/>
          <w:marRight w:val="0"/>
          <w:marTop w:val="78"/>
          <w:marBottom w:val="0"/>
          <w:divBdr>
            <w:top w:val="none" w:sz="0" w:space="0" w:color="auto"/>
            <w:left w:val="none" w:sz="0" w:space="0" w:color="auto"/>
            <w:bottom w:val="none" w:sz="0" w:space="0" w:color="auto"/>
            <w:right w:val="none" w:sz="0" w:space="0" w:color="auto"/>
          </w:divBdr>
        </w:div>
        <w:div w:id="1699890880">
          <w:marLeft w:val="360"/>
          <w:marRight w:val="0"/>
          <w:marTop w:val="78"/>
          <w:marBottom w:val="0"/>
          <w:divBdr>
            <w:top w:val="none" w:sz="0" w:space="0" w:color="auto"/>
            <w:left w:val="none" w:sz="0" w:space="0" w:color="auto"/>
            <w:bottom w:val="none" w:sz="0" w:space="0" w:color="auto"/>
            <w:right w:val="none" w:sz="0" w:space="0" w:color="auto"/>
          </w:divBdr>
        </w:div>
        <w:div w:id="2072803440">
          <w:marLeft w:val="360"/>
          <w:marRight w:val="0"/>
          <w:marTop w:val="78"/>
          <w:marBottom w:val="0"/>
          <w:divBdr>
            <w:top w:val="none" w:sz="0" w:space="0" w:color="auto"/>
            <w:left w:val="none" w:sz="0" w:space="0" w:color="auto"/>
            <w:bottom w:val="none" w:sz="0" w:space="0" w:color="auto"/>
            <w:right w:val="none" w:sz="0" w:space="0" w:color="auto"/>
          </w:divBdr>
        </w:div>
        <w:div w:id="2080862709">
          <w:marLeft w:val="360"/>
          <w:marRight w:val="0"/>
          <w:marTop w:val="78"/>
          <w:marBottom w:val="0"/>
          <w:divBdr>
            <w:top w:val="none" w:sz="0" w:space="0" w:color="auto"/>
            <w:left w:val="none" w:sz="0" w:space="0" w:color="auto"/>
            <w:bottom w:val="none" w:sz="0" w:space="0" w:color="auto"/>
            <w:right w:val="none" w:sz="0" w:space="0" w:color="auto"/>
          </w:divBdr>
        </w:div>
      </w:divsChild>
    </w:div>
    <w:div w:id="1293562205">
      <w:bodyDiv w:val="1"/>
      <w:marLeft w:val="0"/>
      <w:marRight w:val="0"/>
      <w:marTop w:val="0"/>
      <w:marBottom w:val="0"/>
      <w:divBdr>
        <w:top w:val="none" w:sz="0" w:space="0" w:color="auto"/>
        <w:left w:val="none" w:sz="0" w:space="0" w:color="auto"/>
        <w:bottom w:val="none" w:sz="0" w:space="0" w:color="auto"/>
        <w:right w:val="none" w:sz="0" w:space="0" w:color="auto"/>
      </w:divBdr>
    </w:div>
    <w:div w:id="1299459795">
      <w:bodyDiv w:val="1"/>
      <w:marLeft w:val="0"/>
      <w:marRight w:val="0"/>
      <w:marTop w:val="0"/>
      <w:marBottom w:val="0"/>
      <w:divBdr>
        <w:top w:val="none" w:sz="0" w:space="0" w:color="auto"/>
        <w:left w:val="none" w:sz="0" w:space="0" w:color="auto"/>
        <w:bottom w:val="none" w:sz="0" w:space="0" w:color="auto"/>
        <w:right w:val="none" w:sz="0" w:space="0" w:color="auto"/>
      </w:divBdr>
    </w:div>
    <w:div w:id="138563626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3648816">
      <w:bodyDiv w:val="1"/>
      <w:marLeft w:val="0"/>
      <w:marRight w:val="0"/>
      <w:marTop w:val="0"/>
      <w:marBottom w:val="0"/>
      <w:divBdr>
        <w:top w:val="none" w:sz="0" w:space="0" w:color="auto"/>
        <w:left w:val="none" w:sz="0" w:space="0" w:color="auto"/>
        <w:bottom w:val="none" w:sz="0" w:space="0" w:color="auto"/>
        <w:right w:val="none" w:sz="0" w:space="0" w:color="auto"/>
      </w:divBdr>
      <w:divsChild>
        <w:div w:id="147140120">
          <w:marLeft w:val="360"/>
          <w:marRight w:val="0"/>
          <w:marTop w:val="78"/>
          <w:marBottom w:val="0"/>
          <w:divBdr>
            <w:top w:val="none" w:sz="0" w:space="0" w:color="auto"/>
            <w:left w:val="none" w:sz="0" w:space="0" w:color="auto"/>
            <w:bottom w:val="none" w:sz="0" w:space="0" w:color="auto"/>
            <w:right w:val="none" w:sz="0" w:space="0" w:color="auto"/>
          </w:divBdr>
        </w:div>
        <w:div w:id="379129232">
          <w:marLeft w:val="360"/>
          <w:marRight w:val="0"/>
          <w:marTop w:val="78"/>
          <w:marBottom w:val="0"/>
          <w:divBdr>
            <w:top w:val="none" w:sz="0" w:space="0" w:color="auto"/>
            <w:left w:val="none" w:sz="0" w:space="0" w:color="auto"/>
            <w:bottom w:val="none" w:sz="0" w:space="0" w:color="auto"/>
            <w:right w:val="none" w:sz="0" w:space="0" w:color="auto"/>
          </w:divBdr>
        </w:div>
        <w:div w:id="566304839">
          <w:marLeft w:val="360"/>
          <w:marRight w:val="0"/>
          <w:marTop w:val="78"/>
          <w:marBottom w:val="0"/>
          <w:divBdr>
            <w:top w:val="none" w:sz="0" w:space="0" w:color="auto"/>
            <w:left w:val="none" w:sz="0" w:space="0" w:color="auto"/>
            <w:bottom w:val="none" w:sz="0" w:space="0" w:color="auto"/>
            <w:right w:val="none" w:sz="0" w:space="0" w:color="auto"/>
          </w:divBdr>
        </w:div>
        <w:div w:id="629356881">
          <w:marLeft w:val="360"/>
          <w:marRight w:val="0"/>
          <w:marTop w:val="78"/>
          <w:marBottom w:val="0"/>
          <w:divBdr>
            <w:top w:val="none" w:sz="0" w:space="0" w:color="auto"/>
            <w:left w:val="none" w:sz="0" w:space="0" w:color="auto"/>
            <w:bottom w:val="none" w:sz="0" w:space="0" w:color="auto"/>
            <w:right w:val="none" w:sz="0" w:space="0" w:color="auto"/>
          </w:divBdr>
        </w:div>
        <w:div w:id="1294941161">
          <w:marLeft w:val="360"/>
          <w:marRight w:val="0"/>
          <w:marTop w:val="78"/>
          <w:marBottom w:val="0"/>
          <w:divBdr>
            <w:top w:val="none" w:sz="0" w:space="0" w:color="auto"/>
            <w:left w:val="none" w:sz="0" w:space="0" w:color="auto"/>
            <w:bottom w:val="none" w:sz="0" w:space="0" w:color="auto"/>
            <w:right w:val="none" w:sz="0" w:space="0" w:color="auto"/>
          </w:divBdr>
        </w:div>
        <w:div w:id="1727489445">
          <w:marLeft w:val="360"/>
          <w:marRight w:val="0"/>
          <w:marTop w:val="78"/>
          <w:marBottom w:val="0"/>
          <w:divBdr>
            <w:top w:val="none" w:sz="0" w:space="0" w:color="auto"/>
            <w:left w:val="none" w:sz="0" w:space="0" w:color="auto"/>
            <w:bottom w:val="none" w:sz="0" w:space="0" w:color="auto"/>
            <w:right w:val="none" w:sz="0" w:space="0" w:color="auto"/>
          </w:divBdr>
        </w:div>
        <w:div w:id="2097480928">
          <w:marLeft w:val="360"/>
          <w:marRight w:val="0"/>
          <w:marTop w:val="78"/>
          <w:marBottom w:val="0"/>
          <w:divBdr>
            <w:top w:val="none" w:sz="0" w:space="0" w:color="auto"/>
            <w:left w:val="none" w:sz="0" w:space="0" w:color="auto"/>
            <w:bottom w:val="none" w:sz="0" w:space="0" w:color="auto"/>
            <w:right w:val="none" w:sz="0" w:space="0" w:color="auto"/>
          </w:divBdr>
        </w:div>
      </w:divsChild>
    </w:div>
    <w:div w:id="1436704173">
      <w:bodyDiv w:val="1"/>
      <w:marLeft w:val="0"/>
      <w:marRight w:val="0"/>
      <w:marTop w:val="0"/>
      <w:marBottom w:val="0"/>
      <w:divBdr>
        <w:top w:val="none" w:sz="0" w:space="0" w:color="auto"/>
        <w:left w:val="none" w:sz="0" w:space="0" w:color="auto"/>
        <w:bottom w:val="none" w:sz="0" w:space="0" w:color="auto"/>
        <w:right w:val="none" w:sz="0" w:space="0" w:color="auto"/>
      </w:divBdr>
      <w:divsChild>
        <w:div w:id="167797178">
          <w:marLeft w:val="274"/>
          <w:marRight w:val="0"/>
          <w:marTop w:val="0"/>
          <w:marBottom w:val="0"/>
          <w:divBdr>
            <w:top w:val="none" w:sz="0" w:space="0" w:color="auto"/>
            <w:left w:val="none" w:sz="0" w:space="0" w:color="auto"/>
            <w:bottom w:val="none" w:sz="0" w:space="0" w:color="auto"/>
            <w:right w:val="none" w:sz="0" w:space="0" w:color="auto"/>
          </w:divBdr>
        </w:div>
        <w:div w:id="647784134">
          <w:marLeft w:val="274"/>
          <w:marRight w:val="0"/>
          <w:marTop w:val="0"/>
          <w:marBottom w:val="0"/>
          <w:divBdr>
            <w:top w:val="none" w:sz="0" w:space="0" w:color="auto"/>
            <w:left w:val="none" w:sz="0" w:space="0" w:color="auto"/>
            <w:bottom w:val="none" w:sz="0" w:space="0" w:color="auto"/>
            <w:right w:val="none" w:sz="0" w:space="0" w:color="auto"/>
          </w:divBdr>
        </w:div>
        <w:div w:id="680740955">
          <w:marLeft w:val="274"/>
          <w:marRight w:val="0"/>
          <w:marTop w:val="0"/>
          <w:marBottom w:val="0"/>
          <w:divBdr>
            <w:top w:val="none" w:sz="0" w:space="0" w:color="auto"/>
            <w:left w:val="none" w:sz="0" w:space="0" w:color="auto"/>
            <w:bottom w:val="none" w:sz="0" w:space="0" w:color="auto"/>
            <w:right w:val="none" w:sz="0" w:space="0" w:color="auto"/>
          </w:divBdr>
        </w:div>
        <w:div w:id="1704819900">
          <w:marLeft w:val="274"/>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068903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7697382">
      <w:bodyDiv w:val="1"/>
      <w:marLeft w:val="0"/>
      <w:marRight w:val="0"/>
      <w:marTop w:val="0"/>
      <w:marBottom w:val="0"/>
      <w:divBdr>
        <w:top w:val="none" w:sz="0" w:space="0" w:color="auto"/>
        <w:left w:val="none" w:sz="0" w:space="0" w:color="auto"/>
        <w:bottom w:val="none" w:sz="0" w:space="0" w:color="auto"/>
        <w:right w:val="none" w:sz="0" w:space="0" w:color="auto"/>
      </w:divBdr>
    </w:div>
    <w:div w:id="1582065293">
      <w:bodyDiv w:val="1"/>
      <w:marLeft w:val="0"/>
      <w:marRight w:val="0"/>
      <w:marTop w:val="0"/>
      <w:marBottom w:val="0"/>
      <w:divBdr>
        <w:top w:val="none" w:sz="0" w:space="0" w:color="auto"/>
        <w:left w:val="none" w:sz="0" w:space="0" w:color="auto"/>
        <w:bottom w:val="none" w:sz="0" w:space="0" w:color="auto"/>
        <w:right w:val="none" w:sz="0" w:space="0" w:color="auto"/>
      </w:divBdr>
    </w:div>
    <w:div w:id="1601835874">
      <w:bodyDiv w:val="1"/>
      <w:marLeft w:val="0"/>
      <w:marRight w:val="0"/>
      <w:marTop w:val="0"/>
      <w:marBottom w:val="0"/>
      <w:divBdr>
        <w:top w:val="none" w:sz="0" w:space="0" w:color="auto"/>
        <w:left w:val="none" w:sz="0" w:space="0" w:color="auto"/>
        <w:bottom w:val="none" w:sz="0" w:space="0" w:color="auto"/>
        <w:right w:val="none" w:sz="0" w:space="0" w:color="auto"/>
      </w:divBdr>
    </w:div>
    <w:div w:id="160826665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4823020">
      <w:bodyDiv w:val="1"/>
      <w:marLeft w:val="0"/>
      <w:marRight w:val="0"/>
      <w:marTop w:val="0"/>
      <w:marBottom w:val="0"/>
      <w:divBdr>
        <w:top w:val="none" w:sz="0" w:space="0" w:color="auto"/>
        <w:left w:val="none" w:sz="0" w:space="0" w:color="auto"/>
        <w:bottom w:val="none" w:sz="0" w:space="0" w:color="auto"/>
        <w:right w:val="none" w:sz="0" w:space="0" w:color="auto"/>
      </w:divBdr>
    </w:div>
    <w:div w:id="1628509434">
      <w:bodyDiv w:val="1"/>
      <w:marLeft w:val="0"/>
      <w:marRight w:val="0"/>
      <w:marTop w:val="0"/>
      <w:marBottom w:val="0"/>
      <w:divBdr>
        <w:top w:val="none" w:sz="0" w:space="0" w:color="auto"/>
        <w:left w:val="none" w:sz="0" w:space="0" w:color="auto"/>
        <w:bottom w:val="none" w:sz="0" w:space="0" w:color="auto"/>
        <w:right w:val="none" w:sz="0" w:space="0" w:color="auto"/>
      </w:divBdr>
      <w:divsChild>
        <w:div w:id="1873570763">
          <w:marLeft w:val="0"/>
          <w:marRight w:val="0"/>
          <w:marTop w:val="0"/>
          <w:marBottom w:val="0"/>
          <w:divBdr>
            <w:top w:val="none" w:sz="0" w:space="0" w:color="auto"/>
            <w:left w:val="none" w:sz="0" w:space="0" w:color="auto"/>
            <w:bottom w:val="none" w:sz="0" w:space="0" w:color="auto"/>
            <w:right w:val="none" w:sz="0" w:space="0" w:color="auto"/>
          </w:divBdr>
        </w:div>
      </w:divsChild>
    </w:div>
    <w:div w:id="1638994788">
      <w:bodyDiv w:val="1"/>
      <w:marLeft w:val="0"/>
      <w:marRight w:val="0"/>
      <w:marTop w:val="0"/>
      <w:marBottom w:val="0"/>
      <w:divBdr>
        <w:top w:val="none" w:sz="0" w:space="0" w:color="auto"/>
        <w:left w:val="none" w:sz="0" w:space="0" w:color="auto"/>
        <w:bottom w:val="none" w:sz="0" w:space="0" w:color="auto"/>
        <w:right w:val="none" w:sz="0" w:space="0" w:color="auto"/>
      </w:divBdr>
    </w:div>
    <w:div w:id="1661932642">
      <w:bodyDiv w:val="1"/>
      <w:marLeft w:val="0"/>
      <w:marRight w:val="0"/>
      <w:marTop w:val="0"/>
      <w:marBottom w:val="0"/>
      <w:divBdr>
        <w:top w:val="none" w:sz="0" w:space="0" w:color="auto"/>
        <w:left w:val="none" w:sz="0" w:space="0" w:color="auto"/>
        <w:bottom w:val="none" w:sz="0" w:space="0" w:color="auto"/>
        <w:right w:val="none" w:sz="0" w:space="0" w:color="auto"/>
      </w:divBdr>
      <w:divsChild>
        <w:div w:id="30352255">
          <w:marLeft w:val="274"/>
          <w:marRight w:val="0"/>
          <w:marTop w:val="0"/>
          <w:marBottom w:val="120"/>
          <w:divBdr>
            <w:top w:val="none" w:sz="0" w:space="0" w:color="auto"/>
            <w:left w:val="none" w:sz="0" w:space="0" w:color="auto"/>
            <w:bottom w:val="none" w:sz="0" w:space="0" w:color="auto"/>
            <w:right w:val="none" w:sz="0" w:space="0" w:color="auto"/>
          </w:divBdr>
        </w:div>
        <w:div w:id="104009102">
          <w:marLeft w:val="274"/>
          <w:marRight w:val="0"/>
          <w:marTop w:val="0"/>
          <w:marBottom w:val="120"/>
          <w:divBdr>
            <w:top w:val="none" w:sz="0" w:space="0" w:color="auto"/>
            <w:left w:val="none" w:sz="0" w:space="0" w:color="auto"/>
            <w:bottom w:val="none" w:sz="0" w:space="0" w:color="auto"/>
            <w:right w:val="none" w:sz="0" w:space="0" w:color="auto"/>
          </w:divBdr>
        </w:div>
        <w:div w:id="113060689">
          <w:marLeft w:val="274"/>
          <w:marRight w:val="0"/>
          <w:marTop w:val="0"/>
          <w:marBottom w:val="120"/>
          <w:divBdr>
            <w:top w:val="none" w:sz="0" w:space="0" w:color="auto"/>
            <w:left w:val="none" w:sz="0" w:space="0" w:color="auto"/>
            <w:bottom w:val="none" w:sz="0" w:space="0" w:color="auto"/>
            <w:right w:val="none" w:sz="0" w:space="0" w:color="auto"/>
          </w:divBdr>
        </w:div>
      </w:divsChild>
    </w:div>
    <w:div w:id="1706245837">
      <w:bodyDiv w:val="1"/>
      <w:marLeft w:val="0"/>
      <w:marRight w:val="0"/>
      <w:marTop w:val="0"/>
      <w:marBottom w:val="0"/>
      <w:divBdr>
        <w:top w:val="none" w:sz="0" w:space="0" w:color="auto"/>
        <w:left w:val="none" w:sz="0" w:space="0" w:color="auto"/>
        <w:bottom w:val="none" w:sz="0" w:space="0" w:color="auto"/>
        <w:right w:val="none" w:sz="0" w:space="0" w:color="auto"/>
      </w:divBdr>
    </w:div>
    <w:div w:id="1737046024">
      <w:bodyDiv w:val="1"/>
      <w:marLeft w:val="0"/>
      <w:marRight w:val="0"/>
      <w:marTop w:val="0"/>
      <w:marBottom w:val="0"/>
      <w:divBdr>
        <w:top w:val="none" w:sz="0" w:space="0" w:color="auto"/>
        <w:left w:val="none" w:sz="0" w:space="0" w:color="auto"/>
        <w:bottom w:val="none" w:sz="0" w:space="0" w:color="auto"/>
        <w:right w:val="none" w:sz="0" w:space="0" w:color="auto"/>
      </w:divBdr>
      <w:divsChild>
        <w:div w:id="63995379">
          <w:marLeft w:val="274"/>
          <w:marRight w:val="0"/>
          <w:marTop w:val="0"/>
          <w:marBottom w:val="0"/>
          <w:divBdr>
            <w:top w:val="none" w:sz="0" w:space="0" w:color="auto"/>
            <w:left w:val="none" w:sz="0" w:space="0" w:color="auto"/>
            <w:bottom w:val="none" w:sz="0" w:space="0" w:color="auto"/>
            <w:right w:val="none" w:sz="0" w:space="0" w:color="auto"/>
          </w:divBdr>
        </w:div>
        <w:div w:id="112478909">
          <w:marLeft w:val="274"/>
          <w:marRight w:val="0"/>
          <w:marTop w:val="0"/>
          <w:marBottom w:val="0"/>
          <w:divBdr>
            <w:top w:val="none" w:sz="0" w:space="0" w:color="auto"/>
            <w:left w:val="none" w:sz="0" w:space="0" w:color="auto"/>
            <w:bottom w:val="none" w:sz="0" w:space="0" w:color="auto"/>
            <w:right w:val="none" w:sz="0" w:space="0" w:color="auto"/>
          </w:divBdr>
        </w:div>
        <w:div w:id="700715235">
          <w:marLeft w:val="274"/>
          <w:marRight w:val="0"/>
          <w:marTop w:val="0"/>
          <w:marBottom w:val="0"/>
          <w:divBdr>
            <w:top w:val="none" w:sz="0" w:space="0" w:color="auto"/>
            <w:left w:val="none" w:sz="0" w:space="0" w:color="auto"/>
            <w:bottom w:val="none" w:sz="0" w:space="0" w:color="auto"/>
            <w:right w:val="none" w:sz="0" w:space="0" w:color="auto"/>
          </w:divBdr>
        </w:div>
        <w:div w:id="1309820784">
          <w:marLeft w:val="274"/>
          <w:marRight w:val="0"/>
          <w:marTop w:val="0"/>
          <w:marBottom w:val="0"/>
          <w:divBdr>
            <w:top w:val="none" w:sz="0" w:space="0" w:color="auto"/>
            <w:left w:val="none" w:sz="0" w:space="0" w:color="auto"/>
            <w:bottom w:val="none" w:sz="0" w:space="0" w:color="auto"/>
            <w:right w:val="none" w:sz="0" w:space="0" w:color="auto"/>
          </w:divBdr>
        </w:div>
        <w:div w:id="1524319817">
          <w:marLeft w:val="274"/>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3374551">
      <w:bodyDiv w:val="1"/>
      <w:marLeft w:val="0"/>
      <w:marRight w:val="0"/>
      <w:marTop w:val="0"/>
      <w:marBottom w:val="0"/>
      <w:divBdr>
        <w:top w:val="none" w:sz="0" w:space="0" w:color="auto"/>
        <w:left w:val="none" w:sz="0" w:space="0" w:color="auto"/>
        <w:bottom w:val="none" w:sz="0" w:space="0" w:color="auto"/>
        <w:right w:val="none" w:sz="0" w:space="0" w:color="auto"/>
      </w:divBdr>
      <w:divsChild>
        <w:div w:id="1066150748">
          <w:marLeft w:val="547"/>
          <w:marRight w:val="0"/>
          <w:marTop w:val="0"/>
          <w:marBottom w:val="0"/>
          <w:divBdr>
            <w:top w:val="none" w:sz="0" w:space="0" w:color="auto"/>
            <w:left w:val="none" w:sz="0" w:space="0" w:color="auto"/>
            <w:bottom w:val="none" w:sz="0" w:space="0" w:color="auto"/>
            <w:right w:val="none" w:sz="0" w:space="0" w:color="auto"/>
          </w:divBdr>
        </w:div>
      </w:divsChild>
    </w:div>
    <w:div w:id="1829636854">
      <w:bodyDiv w:val="1"/>
      <w:marLeft w:val="0"/>
      <w:marRight w:val="0"/>
      <w:marTop w:val="0"/>
      <w:marBottom w:val="0"/>
      <w:divBdr>
        <w:top w:val="none" w:sz="0" w:space="0" w:color="auto"/>
        <w:left w:val="none" w:sz="0" w:space="0" w:color="auto"/>
        <w:bottom w:val="none" w:sz="0" w:space="0" w:color="auto"/>
        <w:right w:val="none" w:sz="0" w:space="0" w:color="auto"/>
      </w:divBdr>
    </w:div>
    <w:div w:id="1872109559">
      <w:bodyDiv w:val="1"/>
      <w:marLeft w:val="0"/>
      <w:marRight w:val="0"/>
      <w:marTop w:val="0"/>
      <w:marBottom w:val="0"/>
      <w:divBdr>
        <w:top w:val="none" w:sz="0" w:space="0" w:color="auto"/>
        <w:left w:val="none" w:sz="0" w:space="0" w:color="auto"/>
        <w:bottom w:val="none" w:sz="0" w:space="0" w:color="auto"/>
        <w:right w:val="none" w:sz="0" w:space="0" w:color="auto"/>
      </w:divBdr>
      <w:divsChild>
        <w:div w:id="662976826">
          <w:marLeft w:val="274"/>
          <w:marRight w:val="0"/>
          <w:marTop w:val="0"/>
          <w:marBottom w:val="120"/>
          <w:divBdr>
            <w:top w:val="none" w:sz="0" w:space="0" w:color="auto"/>
            <w:left w:val="none" w:sz="0" w:space="0" w:color="auto"/>
            <w:bottom w:val="none" w:sz="0" w:space="0" w:color="auto"/>
            <w:right w:val="none" w:sz="0" w:space="0" w:color="auto"/>
          </w:divBdr>
        </w:div>
        <w:div w:id="1362196629">
          <w:marLeft w:val="274"/>
          <w:marRight w:val="0"/>
          <w:marTop w:val="0"/>
          <w:marBottom w:val="120"/>
          <w:divBdr>
            <w:top w:val="none" w:sz="0" w:space="0" w:color="auto"/>
            <w:left w:val="none" w:sz="0" w:space="0" w:color="auto"/>
            <w:bottom w:val="none" w:sz="0" w:space="0" w:color="auto"/>
            <w:right w:val="none" w:sz="0" w:space="0" w:color="auto"/>
          </w:divBdr>
        </w:div>
        <w:div w:id="1623875263">
          <w:marLeft w:val="274"/>
          <w:marRight w:val="0"/>
          <w:marTop w:val="0"/>
          <w:marBottom w:val="120"/>
          <w:divBdr>
            <w:top w:val="none" w:sz="0" w:space="0" w:color="auto"/>
            <w:left w:val="none" w:sz="0" w:space="0" w:color="auto"/>
            <w:bottom w:val="none" w:sz="0" w:space="0" w:color="auto"/>
            <w:right w:val="none" w:sz="0" w:space="0" w:color="auto"/>
          </w:divBdr>
        </w:div>
      </w:divsChild>
    </w:div>
    <w:div w:id="18960425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6618642">
      <w:bodyDiv w:val="1"/>
      <w:marLeft w:val="0"/>
      <w:marRight w:val="0"/>
      <w:marTop w:val="0"/>
      <w:marBottom w:val="0"/>
      <w:divBdr>
        <w:top w:val="none" w:sz="0" w:space="0" w:color="auto"/>
        <w:left w:val="none" w:sz="0" w:space="0" w:color="auto"/>
        <w:bottom w:val="none" w:sz="0" w:space="0" w:color="auto"/>
        <w:right w:val="none" w:sz="0" w:space="0" w:color="auto"/>
      </w:divBdr>
    </w:div>
    <w:div w:id="1969817045">
      <w:bodyDiv w:val="1"/>
      <w:marLeft w:val="0"/>
      <w:marRight w:val="0"/>
      <w:marTop w:val="0"/>
      <w:marBottom w:val="0"/>
      <w:divBdr>
        <w:top w:val="none" w:sz="0" w:space="0" w:color="auto"/>
        <w:left w:val="none" w:sz="0" w:space="0" w:color="auto"/>
        <w:bottom w:val="none" w:sz="0" w:space="0" w:color="auto"/>
        <w:right w:val="none" w:sz="0" w:space="0" w:color="auto"/>
      </w:divBdr>
    </w:div>
    <w:div w:id="1973443283">
      <w:bodyDiv w:val="1"/>
      <w:marLeft w:val="0"/>
      <w:marRight w:val="0"/>
      <w:marTop w:val="0"/>
      <w:marBottom w:val="0"/>
      <w:divBdr>
        <w:top w:val="none" w:sz="0" w:space="0" w:color="auto"/>
        <w:left w:val="none" w:sz="0" w:space="0" w:color="auto"/>
        <w:bottom w:val="none" w:sz="0" w:space="0" w:color="auto"/>
        <w:right w:val="none" w:sz="0" w:space="0" w:color="auto"/>
      </w:divBdr>
    </w:div>
    <w:div w:id="198877522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1619683">
      <w:bodyDiv w:val="1"/>
      <w:marLeft w:val="0"/>
      <w:marRight w:val="0"/>
      <w:marTop w:val="0"/>
      <w:marBottom w:val="0"/>
      <w:divBdr>
        <w:top w:val="none" w:sz="0" w:space="0" w:color="auto"/>
        <w:left w:val="none" w:sz="0" w:space="0" w:color="auto"/>
        <w:bottom w:val="none" w:sz="0" w:space="0" w:color="auto"/>
        <w:right w:val="none" w:sz="0" w:space="0" w:color="auto"/>
      </w:divBdr>
    </w:div>
    <w:div w:id="2043557575">
      <w:bodyDiv w:val="1"/>
      <w:marLeft w:val="0"/>
      <w:marRight w:val="0"/>
      <w:marTop w:val="0"/>
      <w:marBottom w:val="0"/>
      <w:divBdr>
        <w:top w:val="none" w:sz="0" w:space="0" w:color="auto"/>
        <w:left w:val="none" w:sz="0" w:space="0" w:color="auto"/>
        <w:bottom w:val="none" w:sz="0" w:space="0" w:color="auto"/>
        <w:right w:val="none" w:sz="0" w:space="0" w:color="auto"/>
      </w:divBdr>
      <w:divsChild>
        <w:div w:id="380400114">
          <w:marLeft w:val="274"/>
          <w:marRight w:val="0"/>
          <w:marTop w:val="0"/>
          <w:marBottom w:val="0"/>
          <w:divBdr>
            <w:top w:val="none" w:sz="0" w:space="0" w:color="auto"/>
            <w:left w:val="none" w:sz="0" w:space="0" w:color="auto"/>
            <w:bottom w:val="none" w:sz="0" w:space="0" w:color="auto"/>
            <w:right w:val="none" w:sz="0" w:space="0" w:color="auto"/>
          </w:divBdr>
        </w:div>
        <w:div w:id="909075927">
          <w:marLeft w:val="274"/>
          <w:marRight w:val="0"/>
          <w:marTop w:val="0"/>
          <w:marBottom w:val="0"/>
          <w:divBdr>
            <w:top w:val="none" w:sz="0" w:space="0" w:color="auto"/>
            <w:left w:val="none" w:sz="0" w:space="0" w:color="auto"/>
            <w:bottom w:val="none" w:sz="0" w:space="0" w:color="auto"/>
            <w:right w:val="none" w:sz="0" w:space="0" w:color="auto"/>
          </w:divBdr>
        </w:div>
        <w:div w:id="1667979013">
          <w:marLeft w:val="274"/>
          <w:marRight w:val="0"/>
          <w:marTop w:val="0"/>
          <w:marBottom w:val="0"/>
          <w:divBdr>
            <w:top w:val="none" w:sz="0" w:space="0" w:color="auto"/>
            <w:left w:val="none" w:sz="0" w:space="0" w:color="auto"/>
            <w:bottom w:val="none" w:sz="0" w:space="0" w:color="auto"/>
            <w:right w:val="none" w:sz="0" w:space="0" w:color="auto"/>
          </w:divBdr>
        </w:div>
        <w:div w:id="1945140998">
          <w:marLeft w:val="274"/>
          <w:marRight w:val="0"/>
          <w:marTop w:val="0"/>
          <w:marBottom w:val="0"/>
          <w:divBdr>
            <w:top w:val="none" w:sz="0" w:space="0" w:color="auto"/>
            <w:left w:val="none" w:sz="0" w:space="0" w:color="auto"/>
            <w:bottom w:val="none" w:sz="0" w:space="0" w:color="auto"/>
            <w:right w:val="none" w:sz="0" w:space="0" w:color="auto"/>
          </w:divBdr>
        </w:div>
      </w:divsChild>
    </w:div>
    <w:div w:id="2073846129">
      <w:bodyDiv w:val="1"/>
      <w:marLeft w:val="0"/>
      <w:marRight w:val="0"/>
      <w:marTop w:val="0"/>
      <w:marBottom w:val="0"/>
      <w:divBdr>
        <w:top w:val="none" w:sz="0" w:space="0" w:color="auto"/>
        <w:left w:val="none" w:sz="0" w:space="0" w:color="auto"/>
        <w:bottom w:val="none" w:sz="0" w:space="0" w:color="auto"/>
        <w:right w:val="none" w:sz="0" w:space="0" w:color="auto"/>
      </w:divBdr>
    </w:div>
    <w:div w:id="2128232348">
      <w:bodyDiv w:val="1"/>
      <w:marLeft w:val="0"/>
      <w:marRight w:val="0"/>
      <w:marTop w:val="0"/>
      <w:marBottom w:val="0"/>
      <w:divBdr>
        <w:top w:val="none" w:sz="0" w:space="0" w:color="auto"/>
        <w:left w:val="none" w:sz="0" w:space="0" w:color="auto"/>
        <w:bottom w:val="none" w:sz="0" w:space="0" w:color="auto"/>
        <w:right w:val="none" w:sz="0" w:space="0" w:color="auto"/>
      </w:divBdr>
    </w:div>
    <w:div w:id="2132018742">
      <w:bodyDiv w:val="1"/>
      <w:marLeft w:val="0"/>
      <w:marRight w:val="0"/>
      <w:marTop w:val="0"/>
      <w:marBottom w:val="0"/>
      <w:divBdr>
        <w:top w:val="none" w:sz="0" w:space="0" w:color="auto"/>
        <w:left w:val="none" w:sz="0" w:space="0" w:color="auto"/>
        <w:bottom w:val="none" w:sz="0" w:space="0" w:color="auto"/>
        <w:right w:val="none" w:sz="0" w:space="0" w:color="auto"/>
      </w:divBdr>
    </w:div>
    <w:div w:id="2142185468">
      <w:bodyDiv w:val="1"/>
      <w:marLeft w:val="0"/>
      <w:marRight w:val="0"/>
      <w:marTop w:val="0"/>
      <w:marBottom w:val="0"/>
      <w:divBdr>
        <w:top w:val="none" w:sz="0" w:space="0" w:color="auto"/>
        <w:left w:val="none" w:sz="0" w:space="0" w:color="auto"/>
        <w:bottom w:val="none" w:sz="0" w:space="0" w:color="auto"/>
        <w:right w:val="none" w:sz="0" w:space="0" w:color="auto"/>
      </w:divBdr>
      <w:divsChild>
        <w:div w:id="11078405">
          <w:marLeft w:val="360"/>
          <w:marRight w:val="0"/>
          <w:marTop w:val="20"/>
          <w:marBottom w:val="0"/>
          <w:divBdr>
            <w:top w:val="none" w:sz="0" w:space="0" w:color="auto"/>
            <w:left w:val="none" w:sz="0" w:space="0" w:color="auto"/>
            <w:bottom w:val="none" w:sz="0" w:space="0" w:color="auto"/>
            <w:right w:val="none" w:sz="0" w:space="0" w:color="auto"/>
          </w:divBdr>
        </w:div>
        <w:div w:id="1148866359">
          <w:marLeft w:val="360"/>
          <w:marRight w:val="0"/>
          <w:marTop w:val="20"/>
          <w:marBottom w:val="0"/>
          <w:divBdr>
            <w:top w:val="none" w:sz="0" w:space="0" w:color="auto"/>
            <w:left w:val="none" w:sz="0" w:space="0" w:color="auto"/>
            <w:bottom w:val="none" w:sz="0" w:space="0" w:color="auto"/>
            <w:right w:val="none" w:sz="0" w:space="0" w:color="auto"/>
          </w:divBdr>
        </w:div>
        <w:div w:id="1178036995">
          <w:marLeft w:val="360"/>
          <w:marRight w:val="0"/>
          <w:marTop w:val="20"/>
          <w:marBottom w:val="0"/>
          <w:divBdr>
            <w:top w:val="none" w:sz="0" w:space="0" w:color="auto"/>
            <w:left w:val="none" w:sz="0" w:space="0" w:color="auto"/>
            <w:bottom w:val="none" w:sz="0" w:space="0" w:color="auto"/>
            <w:right w:val="none" w:sz="0" w:space="0" w:color="auto"/>
          </w:divBdr>
        </w:div>
        <w:div w:id="1385256385">
          <w:marLeft w:val="360"/>
          <w:marRight w:val="0"/>
          <w:marTop w:val="20"/>
          <w:marBottom w:val="0"/>
          <w:divBdr>
            <w:top w:val="none" w:sz="0" w:space="0" w:color="auto"/>
            <w:left w:val="none" w:sz="0" w:space="0" w:color="auto"/>
            <w:bottom w:val="none" w:sz="0" w:space="0" w:color="auto"/>
            <w:right w:val="none" w:sz="0" w:space="0" w:color="auto"/>
          </w:divBdr>
        </w:div>
        <w:div w:id="1433015669">
          <w:marLeft w:val="360"/>
          <w:marRight w:val="0"/>
          <w:marTop w:val="20"/>
          <w:marBottom w:val="0"/>
          <w:divBdr>
            <w:top w:val="none" w:sz="0" w:space="0" w:color="auto"/>
            <w:left w:val="none" w:sz="0" w:space="0" w:color="auto"/>
            <w:bottom w:val="none" w:sz="0" w:space="0" w:color="auto"/>
            <w:right w:val="none" w:sz="0" w:space="0" w:color="auto"/>
          </w:divBdr>
        </w:div>
        <w:div w:id="1498229740">
          <w:marLeft w:val="360"/>
          <w:marRight w:val="0"/>
          <w:marTop w:val="20"/>
          <w:marBottom w:val="0"/>
          <w:divBdr>
            <w:top w:val="none" w:sz="0" w:space="0" w:color="auto"/>
            <w:left w:val="none" w:sz="0" w:space="0" w:color="auto"/>
            <w:bottom w:val="none" w:sz="0" w:space="0" w:color="auto"/>
            <w:right w:val="none" w:sz="0" w:space="0" w:color="auto"/>
          </w:divBdr>
        </w:div>
        <w:div w:id="1863274869">
          <w:marLeft w:val="360"/>
          <w:marRight w:val="0"/>
          <w:marTop w:val="2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vic.gov.au/family-safety-victoria"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vic.gov.au/department-families-fairness-and-housin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ervices.dffh.vic.gov.au/families-and-childre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vic.gov.au/homes-victor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vic.gov.au/department-families-fairness-and-housing" TargetMode="External"/><Relationship Id="rId23" Type="http://schemas.openxmlformats.org/officeDocument/2006/relationships/hyperlink" Target="https://www.vic.gov.au/department-families-fairness-and-housing"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ic.gov.au/family-violence-reform-rolling-action-plan-2020-2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trategy@dffh.vic.gov.au" TargetMode="External"/><Relationship Id="rId22" Type="http://schemas.openxmlformats.org/officeDocument/2006/relationships/hyperlink" Target="https://www.vic.gov.au/department-families-fairness-and-housing" TargetMode="External"/><Relationship Id="rId27" Type="http://schemas.openxmlformats.org/officeDocument/2006/relationships/footer" Target="footer6.xml"/></Relationships>
</file>

<file path=word/_rels/endnotes.xml.rels><?xml version="1.0" encoding="UTF-8" standalone="yes"?>
<Relationships xmlns="http://schemas.openxmlformats.org/package/2006/relationships"><Relationship Id="rId8" Type="http://schemas.openxmlformats.org/officeDocument/2006/relationships/hyperlink" Target="https://www.parliament.vic.gov.au/images/stories/committees/paec/2020-21_Budget_Estimates/Presentations/15_Dec/Donnellan/DAC_PAEC_20-21_BE_presentation_FINAL.pdf" TargetMode="External"/><Relationship Id="rId3" Type="http://schemas.openxmlformats.org/officeDocument/2006/relationships/hyperlink" Target="https://www.vic.gov.au/supporting-multicultural-communities-through-coronavirus-covid-19" TargetMode="External"/><Relationship Id="rId7" Type="http://schemas.openxmlformats.org/officeDocument/2006/relationships/hyperlink" Target="https://www.vic.gov.au/about-ndis-victoria" TargetMode="External"/><Relationship Id="rId2" Type="http://schemas.openxmlformats.org/officeDocument/2006/relationships/hyperlink" Target="https://www.parliament.vic.gov.au/images/stories/committees/paec/2021-22_Budget_Estimates/Presentations/18_June/Donnellan/PAEC_DAC_presentation_-_FINAL.pdf" TargetMode="External"/><Relationship Id="rId1" Type="http://schemas.openxmlformats.org/officeDocument/2006/relationships/hyperlink" Target="https://www.parliament.vic.gov.au/images/stories/committees/paec/2020-21_Budget_Estimates/Presentations/15_Dec/Donnellan/DAC_PAEC_20-21_BE_presentation_FINAL.pdf" TargetMode="External"/><Relationship Id="rId6" Type="http://schemas.openxmlformats.org/officeDocument/2006/relationships/hyperlink" Target="https://population.gov.au/publications/publications-population-statement.html" TargetMode="External"/><Relationship Id="rId11" Type="http://schemas.openxmlformats.org/officeDocument/2006/relationships/hyperlink" Target="https://www.dhhs.vic.gov.au/publications/strong-carers-stronger-children" TargetMode="External"/><Relationship Id="rId5" Type="http://schemas.openxmlformats.org/officeDocument/2006/relationships/hyperlink" Target="https://population.gov.au/publications/publications-population-statement.html" TargetMode="External"/><Relationship Id="rId10" Type="http://schemas.openxmlformats.org/officeDocument/2006/relationships/hyperlink" Target="https://www.vic.gov.au/family-violence-reform-rolling-action-plan-2020-2023/priorities-for-2020-2023/housing" TargetMode="External"/><Relationship Id="rId4" Type="http://schemas.openxmlformats.org/officeDocument/2006/relationships/hyperlink" Target="https://www.humanrights.vic.gov.au/legal-and-policy/covid-19-and-human-rights/reducing-racism-during-covid-19/" TargetMode="External"/><Relationship Id="rId9" Type="http://schemas.openxmlformats.org/officeDocument/2006/relationships/hyperlink" Target="https://www.parliament.vic.gov.au/images/stories/committees/paec/2021-22_Budget_Estimates/Presentations/18_June/Donnellan/PAEC_DAC_presentation_-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14399</Words>
  <Characters>86065</Characters>
  <Application>Microsoft Office Word</Application>
  <DocSecurity>0</DocSecurity>
  <Lines>717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100264</CharactersWithSpaces>
  <SharedDoc>false</SharedDoc>
  <HyperlinkBase/>
  <HLinks>
    <vt:vector size="222" baseType="variant">
      <vt:variant>
        <vt:i4>6160450</vt:i4>
      </vt:variant>
      <vt:variant>
        <vt:i4>171</vt:i4>
      </vt:variant>
      <vt:variant>
        <vt:i4>0</vt:i4>
      </vt:variant>
      <vt:variant>
        <vt:i4>5</vt:i4>
      </vt:variant>
      <vt:variant>
        <vt:lpwstr>https://www.vic.gov.au/homes-victoria</vt:lpwstr>
      </vt:variant>
      <vt:variant>
        <vt:lpwstr/>
      </vt:variant>
      <vt:variant>
        <vt:i4>2883702</vt:i4>
      </vt:variant>
      <vt:variant>
        <vt:i4>168</vt:i4>
      </vt:variant>
      <vt:variant>
        <vt:i4>0</vt:i4>
      </vt:variant>
      <vt:variant>
        <vt:i4>5</vt:i4>
      </vt:variant>
      <vt:variant>
        <vt:lpwstr>https://www.vic.gov.au/family-violence-reform-rolling-action-plan-2020-2023</vt:lpwstr>
      </vt:variant>
      <vt:variant>
        <vt:lpwstr/>
      </vt:variant>
      <vt:variant>
        <vt:i4>1310778</vt:i4>
      </vt:variant>
      <vt:variant>
        <vt:i4>161</vt:i4>
      </vt:variant>
      <vt:variant>
        <vt:i4>0</vt:i4>
      </vt:variant>
      <vt:variant>
        <vt:i4>5</vt:i4>
      </vt:variant>
      <vt:variant>
        <vt:lpwstr/>
      </vt:variant>
      <vt:variant>
        <vt:lpwstr>_Toc79239960</vt:lpwstr>
      </vt:variant>
      <vt:variant>
        <vt:i4>1900601</vt:i4>
      </vt:variant>
      <vt:variant>
        <vt:i4>155</vt:i4>
      </vt:variant>
      <vt:variant>
        <vt:i4>0</vt:i4>
      </vt:variant>
      <vt:variant>
        <vt:i4>5</vt:i4>
      </vt:variant>
      <vt:variant>
        <vt:lpwstr/>
      </vt:variant>
      <vt:variant>
        <vt:lpwstr>_Toc79239959</vt:lpwstr>
      </vt:variant>
      <vt:variant>
        <vt:i4>1835065</vt:i4>
      </vt:variant>
      <vt:variant>
        <vt:i4>149</vt:i4>
      </vt:variant>
      <vt:variant>
        <vt:i4>0</vt:i4>
      </vt:variant>
      <vt:variant>
        <vt:i4>5</vt:i4>
      </vt:variant>
      <vt:variant>
        <vt:lpwstr/>
      </vt:variant>
      <vt:variant>
        <vt:lpwstr>_Toc79239958</vt:lpwstr>
      </vt:variant>
      <vt:variant>
        <vt:i4>1245241</vt:i4>
      </vt:variant>
      <vt:variant>
        <vt:i4>143</vt:i4>
      </vt:variant>
      <vt:variant>
        <vt:i4>0</vt:i4>
      </vt:variant>
      <vt:variant>
        <vt:i4>5</vt:i4>
      </vt:variant>
      <vt:variant>
        <vt:lpwstr/>
      </vt:variant>
      <vt:variant>
        <vt:lpwstr>_Toc79239957</vt:lpwstr>
      </vt:variant>
      <vt:variant>
        <vt:i4>1179705</vt:i4>
      </vt:variant>
      <vt:variant>
        <vt:i4>137</vt:i4>
      </vt:variant>
      <vt:variant>
        <vt:i4>0</vt:i4>
      </vt:variant>
      <vt:variant>
        <vt:i4>5</vt:i4>
      </vt:variant>
      <vt:variant>
        <vt:lpwstr/>
      </vt:variant>
      <vt:variant>
        <vt:lpwstr>_Toc79239956</vt:lpwstr>
      </vt:variant>
      <vt:variant>
        <vt:i4>1114169</vt:i4>
      </vt:variant>
      <vt:variant>
        <vt:i4>131</vt:i4>
      </vt:variant>
      <vt:variant>
        <vt:i4>0</vt:i4>
      </vt:variant>
      <vt:variant>
        <vt:i4>5</vt:i4>
      </vt:variant>
      <vt:variant>
        <vt:lpwstr/>
      </vt:variant>
      <vt:variant>
        <vt:lpwstr>_Toc79239955</vt:lpwstr>
      </vt:variant>
      <vt:variant>
        <vt:i4>1048633</vt:i4>
      </vt:variant>
      <vt:variant>
        <vt:i4>125</vt:i4>
      </vt:variant>
      <vt:variant>
        <vt:i4>0</vt:i4>
      </vt:variant>
      <vt:variant>
        <vt:i4>5</vt:i4>
      </vt:variant>
      <vt:variant>
        <vt:lpwstr/>
      </vt:variant>
      <vt:variant>
        <vt:lpwstr>_Toc79239954</vt:lpwstr>
      </vt:variant>
      <vt:variant>
        <vt:i4>1507385</vt:i4>
      </vt:variant>
      <vt:variant>
        <vt:i4>119</vt:i4>
      </vt:variant>
      <vt:variant>
        <vt:i4>0</vt:i4>
      </vt:variant>
      <vt:variant>
        <vt:i4>5</vt:i4>
      </vt:variant>
      <vt:variant>
        <vt:lpwstr/>
      </vt:variant>
      <vt:variant>
        <vt:lpwstr>_Toc79239953</vt:lpwstr>
      </vt:variant>
      <vt:variant>
        <vt:i4>1441849</vt:i4>
      </vt:variant>
      <vt:variant>
        <vt:i4>113</vt:i4>
      </vt:variant>
      <vt:variant>
        <vt:i4>0</vt:i4>
      </vt:variant>
      <vt:variant>
        <vt:i4>5</vt:i4>
      </vt:variant>
      <vt:variant>
        <vt:lpwstr/>
      </vt:variant>
      <vt:variant>
        <vt:lpwstr>_Toc79239952</vt:lpwstr>
      </vt:variant>
      <vt:variant>
        <vt:i4>1376313</vt:i4>
      </vt:variant>
      <vt:variant>
        <vt:i4>107</vt:i4>
      </vt:variant>
      <vt:variant>
        <vt:i4>0</vt:i4>
      </vt:variant>
      <vt:variant>
        <vt:i4>5</vt:i4>
      </vt:variant>
      <vt:variant>
        <vt:lpwstr/>
      </vt:variant>
      <vt:variant>
        <vt:lpwstr>_Toc79239951</vt:lpwstr>
      </vt:variant>
      <vt:variant>
        <vt:i4>1310777</vt:i4>
      </vt:variant>
      <vt:variant>
        <vt:i4>101</vt:i4>
      </vt:variant>
      <vt:variant>
        <vt:i4>0</vt:i4>
      </vt:variant>
      <vt:variant>
        <vt:i4>5</vt:i4>
      </vt:variant>
      <vt:variant>
        <vt:lpwstr/>
      </vt:variant>
      <vt:variant>
        <vt:lpwstr>_Toc79239950</vt:lpwstr>
      </vt:variant>
      <vt:variant>
        <vt:i4>1900600</vt:i4>
      </vt:variant>
      <vt:variant>
        <vt:i4>95</vt:i4>
      </vt:variant>
      <vt:variant>
        <vt:i4>0</vt:i4>
      </vt:variant>
      <vt:variant>
        <vt:i4>5</vt:i4>
      </vt:variant>
      <vt:variant>
        <vt:lpwstr/>
      </vt:variant>
      <vt:variant>
        <vt:lpwstr>_Toc79239949</vt:lpwstr>
      </vt:variant>
      <vt:variant>
        <vt:i4>1835064</vt:i4>
      </vt:variant>
      <vt:variant>
        <vt:i4>89</vt:i4>
      </vt:variant>
      <vt:variant>
        <vt:i4>0</vt:i4>
      </vt:variant>
      <vt:variant>
        <vt:i4>5</vt:i4>
      </vt:variant>
      <vt:variant>
        <vt:lpwstr/>
      </vt:variant>
      <vt:variant>
        <vt:lpwstr>_Toc79239948</vt:lpwstr>
      </vt:variant>
      <vt:variant>
        <vt:i4>1245240</vt:i4>
      </vt:variant>
      <vt:variant>
        <vt:i4>83</vt:i4>
      </vt:variant>
      <vt:variant>
        <vt:i4>0</vt:i4>
      </vt:variant>
      <vt:variant>
        <vt:i4>5</vt:i4>
      </vt:variant>
      <vt:variant>
        <vt:lpwstr/>
      </vt:variant>
      <vt:variant>
        <vt:lpwstr>_Toc79239947</vt:lpwstr>
      </vt:variant>
      <vt:variant>
        <vt:i4>1179704</vt:i4>
      </vt:variant>
      <vt:variant>
        <vt:i4>77</vt:i4>
      </vt:variant>
      <vt:variant>
        <vt:i4>0</vt:i4>
      </vt:variant>
      <vt:variant>
        <vt:i4>5</vt:i4>
      </vt:variant>
      <vt:variant>
        <vt:lpwstr/>
      </vt:variant>
      <vt:variant>
        <vt:lpwstr>_Toc79239946</vt:lpwstr>
      </vt:variant>
      <vt:variant>
        <vt:i4>1114168</vt:i4>
      </vt:variant>
      <vt:variant>
        <vt:i4>71</vt:i4>
      </vt:variant>
      <vt:variant>
        <vt:i4>0</vt:i4>
      </vt:variant>
      <vt:variant>
        <vt:i4>5</vt:i4>
      </vt:variant>
      <vt:variant>
        <vt:lpwstr/>
      </vt:variant>
      <vt:variant>
        <vt:lpwstr>_Toc79239945</vt:lpwstr>
      </vt:variant>
      <vt:variant>
        <vt:i4>1048632</vt:i4>
      </vt:variant>
      <vt:variant>
        <vt:i4>65</vt:i4>
      </vt:variant>
      <vt:variant>
        <vt:i4>0</vt:i4>
      </vt:variant>
      <vt:variant>
        <vt:i4>5</vt:i4>
      </vt:variant>
      <vt:variant>
        <vt:lpwstr/>
      </vt:variant>
      <vt:variant>
        <vt:lpwstr>_Toc79239944</vt:lpwstr>
      </vt:variant>
      <vt:variant>
        <vt:i4>1507384</vt:i4>
      </vt:variant>
      <vt:variant>
        <vt:i4>59</vt:i4>
      </vt:variant>
      <vt:variant>
        <vt:i4>0</vt:i4>
      </vt:variant>
      <vt:variant>
        <vt:i4>5</vt:i4>
      </vt:variant>
      <vt:variant>
        <vt:lpwstr/>
      </vt:variant>
      <vt:variant>
        <vt:lpwstr>_Toc79239943</vt:lpwstr>
      </vt:variant>
      <vt:variant>
        <vt:i4>1441848</vt:i4>
      </vt:variant>
      <vt:variant>
        <vt:i4>53</vt:i4>
      </vt:variant>
      <vt:variant>
        <vt:i4>0</vt:i4>
      </vt:variant>
      <vt:variant>
        <vt:i4>5</vt:i4>
      </vt:variant>
      <vt:variant>
        <vt:lpwstr/>
      </vt:variant>
      <vt:variant>
        <vt:lpwstr>_Toc79239942</vt:lpwstr>
      </vt:variant>
      <vt:variant>
        <vt:i4>1376312</vt:i4>
      </vt:variant>
      <vt:variant>
        <vt:i4>47</vt:i4>
      </vt:variant>
      <vt:variant>
        <vt:i4>0</vt:i4>
      </vt:variant>
      <vt:variant>
        <vt:i4>5</vt:i4>
      </vt:variant>
      <vt:variant>
        <vt:lpwstr/>
      </vt:variant>
      <vt:variant>
        <vt:lpwstr>_Toc79239941</vt:lpwstr>
      </vt:variant>
      <vt:variant>
        <vt:i4>1310776</vt:i4>
      </vt:variant>
      <vt:variant>
        <vt:i4>41</vt:i4>
      </vt:variant>
      <vt:variant>
        <vt:i4>0</vt:i4>
      </vt:variant>
      <vt:variant>
        <vt:i4>5</vt:i4>
      </vt:variant>
      <vt:variant>
        <vt:lpwstr/>
      </vt:variant>
      <vt:variant>
        <vt:lpwstr>_Toc79239940</vt:lpwstr>
      </vt:variant>
      <vt:variant>
        <vt:i4>1900607</vt:i4>
      </vt:variant>
      <vt:variant>
        <vt:i4>35</vt:i4>
      </vt:variant>
      <vt:variant>
        <vt:i4>0</vt:i4>
      </vt:variant>
      <vt:variant>
        <vt:i4>5</vt:i4>
      </vt:variant>
      <vt:variant>
        <vt:lpwstr/>
      </vt:variant>
      <vt:variant>
        <vt:lpwstr>_Toc79239939</vt:lpwstr>
      </vt:variant>
      <vt:variant>
        <vt:i4>1835071</vt:i4>
      </vt:variant>
      <vt:variant>
        <vt:i4>29</vt:i4>
      </vt:variant>
      <vt:variant>
        <vt:i4>0</vt:i4>
      </vt:variant>
      <vt:variant>
        <vt:i4>5</vt:i4>
      </vt:variant>
      <vt:variant>
        <vt:lpwstr/>
      </vt:variant>
      <vt:variant>
        <vt:lpwstr>_Toc79239938</vt:lpwstr>
      </vt:variant>
      <vt:variant>
        <vt:i4>1245247</vt:i4>
      </vt:variant>
      <vt:variant>
        <vt:i4>23</vt:i4>
      </vt:variant>
      <vt:variant>
        <vt:i4>0</vt:i4>
      </vt:variant>
      <vt:variant>
        <vt:i4>5</vt:i4>
      </vt:variant>
      <vt:variant>
        <vt:lpwstr/>
      </vt:variant>
      <vt:variant>
        <vt:lpwstr>_Toc79239937</vt:lpwstr>
      </vt:variant>
      <vt:variant>
        <vt:i4>1179711</vt:i4>
      </vt:variant>
      <vt:variant>
        <vt:i4>17</vt:i4>
      </vt:variant>
      <vt:variant>
        <vt:i4>0</vt:i4>
      </vt:variant>
      <vt:variant>
        <vt:i4>5</vt:i4>
      </vt:variant>
      <vt:variant>
        <vt:lpwstr/>
      </vt:variant>
      <vt:variant>
        <vt:lpwstr>_Toc79239936</vt:lpwstr>
      </vt:variant>
      <vt:variant>
        <vt:i4>1114175</vt:i4>
      </vt:variant>
      <vt:variant>
        <vt:i4>11</vt:i4>
      </vt:variant>
      <vt:variant>
        <vt:i4>0</vt:i4>
      </vt:variant>
      <vt:variant>
        <vt:i4>5</vt:i4>
      </vt:variant>
      <vt:variant>
        <vt:lpwstr/>
      </vt:variant>
      <vt:variant>
        <vt:lpwstr>_Toc79239935</vt:lpwstr>
      </vt:variant>
      <vt:variant>
        <vt:i4>1048639</vt:i4>
      </vt:variant>
      <vt:variant>
        <vt:i4>5</vt:i4>
      </vt:variant>
      <vt:variant>
        <vt:i4>0</vt:i4>
      </vt:variant>
      <vt:variant>
        <vt:i4>5</vt:i4>
      </vt:variant>
      <vt:variant>
        <vt:lpwstr/>
      </vt:variant>
      <vt:variant>
        <vt:lpwstr>_Toc79239934</vt:lpwstr>
      </vt:variant>
      <vt:variant>
        <vt:i4>5963881</vt:i4>
      </vt:variant>
      <vt:variant>
        <vt:i4>0</vt:i4>
      </vt:variant>
      <vt:variant>
        <vt:i4>0</vt:i4>
      </vt:variant>
      <vt:variant>
        <vt:i4>5</vt:i4>
      </vt:variant>
      <vt:variant>
        <vt:lpwstr>mailto:strategy@dffh.vic.gov.au</vt:lpwstr>
      </vt:variant>
      <vt:variant>
        <vt:lpwstr/>
      </vt:variant>
      <vt:variant>
        <vt:i4>65556</vt:i4>
      </vt:variant>
      <vt:variant>
        <vt:i4>18</vt:i4>
      </vt:variant>
      <vt:variant>
        <vt:i4>0</vt:i4>
      </vt:variant>
      <vt:variant>
        <vt:i4>5</vt:i4>
      </vt:variant>
      <vt:variant>
        <vt:lpwstr>https://www.dhhs.vic.gov.au/publications/strong-carers-stronger-children</vt:lpwstr>
      </vt:variant>
      <vt:variant>
        <vt:lpwstr/>
      </vt:variant>
      <vt:variant>
        <vt:i4>4456461</vt:i4>
      </vt:variant>
      <vt:variant>
        <vt:i4>15</vt:i4>
      </vt:variant>
      <vt:variant>
        <vt:i4>0</vt:i4>
      </vt:variant>
      <vt:variant>
        <vt:i4>5</vt:i4>
      </vt:variant>
      <vt:variant>
        <vt:lpwstr>https://www.vic.gov.au/family-violence-reform-rolling-action-plan-2020-2023/priorities-for-2020-2023/housing</vt:lpwstr>
      </vt:variant>
      <vt:variant>
        <vt:lpwstr/>
      </vt:variant>
      <vt:variant>
        <vt:i4>4456456</vt:i4>
      </vt:variant>
      <vt:variant>
        <vt:i4>12</vt:i4>
      </vt:variant>
      <vt:variant>
        <vt:i4>0</vt:i4>
      </vt:variant>
      <vt:variant>
        <vt:i4>5</vt:i4>
      </vt:variant>
      <vt:variant>
        <vt:lpwstr>https://www.parliament.vic.gov.au/images/stories/committees/paec/2020-21_Budget_Estimates/Presentations/15_Dec/Donnellan/DAC_PAEC_20-21_BE_presentation_FINAL.pdf</vt:lpwstr>
      </vt:variant>
      <vt:variant>
        <vt:lpwstr/>
      </vt:variant>
      <vt:variant>
        <vt:i4>6619188</vt:i4>
      </vt:variant>
      <vt:variant>
        <vt:i4>9</vt:i4>
      </vt:variant>
      <vt:variant>
        <vt:i4>0</vt:i4>
      </vt:variant>
      <vt:variant>
        <vt:i4>5</vt:i4>
      </vt:variant>
      <vt:variant>
        <vt:lpwstr>https://www.vic.gov.au/about-ndis-victoria</vt:lpwstr>
      </vt:variant>
      <vt:variant>
        <vt:lpwstr/>
      </vt:variant>
      <vt:variant>
        <vt:i4>2424951</vt:i4>
      </vt:variant>
      <vt:variant>
        <vt:i4>6</vt:i4>
      </vt:variant>
      <vt:variant>
        <vt:i4>0</vt:i4>
      </vt:variant>
      <vt:variant>
        <vt:i4>5</vt:i4>
      </vt:variant>
      <vt:variant>
        <vt:lpwstr>https://www.humanrights.vic.gov.au/legal-and-policy/covid-19-and-human-rights/reducing-racism-during-covid-19/</vt:lpwstr>
      </vt:variant>
      <vt:variant>
        <vt:lpwstr/>
      </vt:variant>
      <vt:variant>
        <vt:i4>524383</vt:i4>
      </vt:variant>
      <vt:variant>
        <vt:i4>3</vt:i4>
      </vt:variant>
      <vt:variant>
        <vt:i4>0</vt:i4>
      </vt:variant>
      <vt:variant>
        <vt:i4>5</vt:i4>
      </vt:variant>
      <vt:variant>
        <vt:lpwstr>https://www.vic.gov.au/supporting-multicultural-communities-through-coronavirus-covid-19</vt:lpwstr>
      </vt:variant>
      <vt:variant>
        <vt:lpwstr/>
      </vt:variant>
      <vt:variant>
        <vt:i4>4456456</vt:i4>
      </vt:variant>
      <vt:variant>
        <vt:i4>0</vt:i4>
      </vt:variant>
      <vt:variant>
        <vt:i4>0</vt:i4>
      </vt:variant>
      <vt:variant>
        <vt:i4>5</vt:i4>
      </vt:variant>
      <vt:variant>
        <vt:lpwstr>https://www.parliament.vic.gov.au/images/stories/committees/paec/2020-21_Budget_Estimates/Presentations/15_Dec/Donnellan/DAC_PAEC_20-21_BE_presentation_FINAL.pdf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Families, Fairness and Housing 2021 strategic plan</dc:title>
  <dc:subject/>
  <dc:creator/>
  <cp:keywords/>
  <cp:lastModifiedBy/>
  <cp:revision>1</cp:revision>
  <dcterms:created xsi:type="dcterms:W3CDTF">2021-08-31T02:09:00Z</dcterms:created>
  <dcterms:modified xsi:type="dcterms:W3CDTF">2021-08-31T02:11:00Z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2021-08-31T02:11:17Z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6d9adbf3-dadd-4c87-8802-2e0e5e06ead5</vt:lpwstr>
  </property>
  <property fmtid="{D5CDD505-2E9C-101B-9397-08002B2CF9AE}" pid="8" name="MSIP_Label_43e64453-338c-4f93-8a4d-0039a0a41f2a_ContentBits">
    <vt:lpwstr>2</vt:lpwstr>
  </property>
</Properties>
</file>