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8325E" w14:textId="05B71217" w:rsidR="0074696E" w:rsidRPr="00280C4B" w:rsidRDefault="00D955DB" w:rsidP="00280C4B">
      <w:pPr>
        <w:pStyle w:val="Sectionbreakfirstpage"/>
      </w:pPr>
      <w:r w:rsidRPr="00280C4B">
        <w:drawing>
          <wp:anchor distT="0" distB="0" distL="114300" distR="114300" simplePos="0" relativeHeight="251658240" behindDoc="1" locked="1" layoutInCell="1" allowOverlap="1" wp14:anchorId="5B3DC269" wp14:editId="7FCDCED8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3600" cy="2070000"/>
            <wp:effectExtent l="0" t="0" r="0" b="635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3600" cy="207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A124A1" w14:textId="77777777" w:rsidR="00A62D44" w:rsidRPr="00280C4B" w:rsidRDefault="00A62D44" w:rsidP="00280C4B">
      <w:pPr>
        <w:pStyle w:val="Sectionbreakfirstpage"/>
        <w:sectPr w:rsidR="00A62D44" w:rsidRPr="00280C4B" w:rsidSect="00593A9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454" w:right="851" w:bottom="1418" w:left="851" w:header="340" w:footer="567" w:gutter="0"/>
          <w:cols w:space="708"/>
          <w:docGrid w:linePitch="360"/>
        </w:sectPr>
      </w:pPr>
    </w:p>
    <w:tbl>
      <w:tblPr>
        <w:tblStyle w:val="TableGrid"/>
        <w:tblW w:w="7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655"/>
      </w:tblGrid>
      <w:tr w:rsidR="000A4FBE" w14:paraId="765659DC" w14:textId="77777777" w:rsidTr="000A4FBE">
        <w:trPr>
          <w:trHeight w:val="1418"/>
        </w:trPr>
        <w:tc>
          <w:tcPr>
            <w:tcW w:w="7655" w:type="dxa"/>
            <w:vAlign w:val="bottom"/>
          </w:tcPr>
          <w:p w14:paraId="1B06FE4C" w14:textId="667FE0B8" w:rsidR="000A4FBE" w:rsidRPr="00F029DC" w:rsidRDefault="000A4FBE" w:rsidP="000A4FBE">
            <w:pPr>
              <w:pStyle w:val="Documenttitle"/>
            </w:pPr>
            <w:r w:rsidRPr="00C224B0">
              <w:t xml:space="preserve">Chemical </w:t>
            </w:r>
            <w:r>
              <w:t>r</w:t>
            </w:r>
            <w:r w:rsidRPr="00C224B0">
              <w:t>estraint</w:t>
            </w:r>
          </w:p>
        </w:tc>
      </w:tr>
      <w:tr w:rsidR="000B2117" w14:paraId="5DF317EC" w14:textId="77777777" w:rsidTr="000A4FBE">
        <w:trPr>
          <w:trHeight w:val="1247"/>
        </w:trPr>
        <w:tc>
          <w:tcPr>
            <w:tcW w:w="7655" w:type="dxa"/>
          </w:tcPr>
          <w:p w14:paraId="69C24C39" w14:textId="0D2E4795" w:rsidR="000B2117" w:rsidRPr="00A1389F" w:rsidRDefault="000A4FBE" w:rsidP="00CF4148">
            <w:pPr>
              <w:pStyle w:val="Documentsubtitle"/>
            </w:pPr>
            <w:r>
              <w:t>Information for prescribers</w:t>
            </w:r>
          </w:p>
        </w:tc>
      </w:tr>
      <w:tr w:rsidR="00CF4148" w14:paraId="5F5E6105" w14:textId="77777777" w:rsidTr="000A4FBE">
        <w:trPr>
          <w:trHeight w:val="284"/>
        </w:trPr>
        <w:tc>
          <w:tcPr>
            <w:tcW w:w="7655" w:type="dxa"/>
          </w:tcPr>
          <w:p w14:paraId="45D389E8" w14:textId="74334762" w:rsidR="00CF4148" w:rsidRPr="00250DC4" w:rsidRDefault="000B5165" w:rsidP="00CF4148">
            <w:pPr>
              <w:pStyle w:val="Bannermarking"/>
            </w:pPr>
            <w:r>
              <w:fldChar w:fldCharType="begin"/>
            </w:r>
            <w:r>
              <w:instrText xml:space="preserve"> FILLIN  "Type the protective marking" \d OFFICIAL \o  \* MERGEFORMAT </w:instrText>
            </w:r>
            <w:r>
              <w:fldChar w:fldCharType="separate"/>
            </w:r>
            <w:r w:rsidR="00CF4148">
              <w:t>OFFICIAL</w:t>
            </w:r>
            <w:r>
              <w:fldChar w:fldCharType="end"/>
            </w:r>
          </w:p>
        </w:tc>
      </w:tr>
    </w:tbl>
    <w:p w14:paraId="623B2D43" w14:textId="52DCECC0" w:rsidR="007173CA" w:rsidRDefault="007173CA" w:rsidP="00D079AA">
      <w:pPr>
        <w:pStyle w:val="Body"/>
      </w:pPr>
    </w:p>
    <w:p w14:paraId="13445742" w14:textId="77777777" w:rsidR="00580394" w:rsidRPr="00B519CD" w:rsidRDefault="00580394" w:rsidP="007173CA">
      <w:pPr>
        <w:pStyle w:val="Body"/>
        <w:sectPr w:rsidR="00580394" w:rsidRPr="00B519CD" w:rsidSect="00593A99">
          <w:headerReference w:type="default" r:id="rId18"/>
          <w:footerReference w:type="default" r:id="rId19"/>
          <w:type w:val="continuous"/>
          <w:pgSz w:w="11906" w:h="16838" w:code="9"/>
          <w:pgMar w:top="1418" w:right="851" w:bottom="851" w:left="851" w:header="851" w:footer="567" w:gutter="0"/>
          <w:cols w:space="340"/>
          <w:titlePg/>
          <w:docGrid w:linePitch="360"/>
        </w:sectPr>
      </w:pPr>
    </w:p>
    <w:p w14:paraId="2A2FE7FF" w14:textId="2FA1671A" w:rsidR="000A4FBE" w:rsidRDefault="000A4FBE" w:rsidP="000D2783">
      <w:pPr>
        <w:pStyle w:val="Heading1"/>
        <w:rPr>
          <w:sz w:val="22"/>
          <w:szCs w:val="22"/>
        </w:rPr>
      </w:pPr>
      <w:r>
        <w:t>Purpose</w:t>
      </w:r>
    </w:p>
    <w:p w14:paraId="1CF90DAD" w14:textId="4A95D39F" w:rsidR="000A4FBE" w:rsidRDefault="000A4FBE" w:rsidP="00707FED">
      <w:pPr>
        <w:pStyle w:val="Body"/>
        <w:rPr>
          <w:rFonts w:cstheme="minorHAnsi"/>
          <w:b/>
          <w:bCs/>
        </w:rPr>
      </w:pPr>
      <w:r w:rsidRPr="00443649">
        <w:t>T</w:t>
      </w:r>
      <w:r w:rsidR="00707FED">
        <w:t>his fact sheet</w:t>
      </w:r>
      <w:r w:rsidRPr="00443649">
        <w:t xml:space="preserve"> inform</w:t>
      </w:r>
      <w:r w:rsidR="00707FED">
        <w:t>s</w:t>
      </w:r>
      <w:r w:rsidRPr="00443649">
        <w:t xml:space="preserve"> prescribers of the legislative context in the regulation of restrictive practices under the </w:t>
      </w:r>
      <w:r w:rsidRPr="00CC0671">
        <w:rPr>
          <w:i/>
          <w:iCs/>
        </w:rPr>
        <w:t>Disability Act 2006</w:t>
      </w:r>
      <w:r w:rsidRPr="00443649">
        <w:t xml:space="preserve"> </w:t>
      </w:r>
      <w:r w:rsidR="00707FED">
        <w:t xml:space="preserve">(the Disability Act) </w:t>
      </w:r>
      <w:r w:rsidRPr="00443649">
        <w:t>and the relevant clinical considerations</w:t>
      </w:r>
      <w:r w:rsidR="00707FED">
        <w:t>.</w:t>
      </w:r>
    </w:p>
    <w:p w14:paraId="39527603" w14:textId="70E4648F" w:rsidR="000A4FBE" w:rsidRDefault="00707FED" w:rsidP="00CC0671">
      <w:pPr>
        <w:pStyle w:val="Heading1"/>
      </w:pPr>
      <w:r>
        <w:t>Chemical restraint</w:t>
      </w:r>
      <w:r w:rsidR="000A4FBE" w:rsidRPr="006A6F8F">
        <w:t xml:space="preserve"> definition</w:t>
      </w:r>
    </w:p>
    <w:p w14:paraId="2B862696" w14:textId="2AA868A5" w:rsidR="000A4FBE" w:rsidRPr="000B41B9" w:rsidRDefault="000A4FBE" w:rsidP="00707FED">
      <w:pPr>
        <w:pStyle w:val="Body"/>
        <w:rPr>
          <w:b/>
          <w:bCs/>
        </w:rPr>
      </w:pPr>
      <w:r w:rsidRPr="006524FA">
        <w:t xml:space="preserve">Section 3 of the </w:t>
      </w:r>
      <w:r w:rsidRPr="00CC0671">
        <w:t>Disability Act</w:t>
      </w:r>
      <w:r w:rsidRPr="00707FED">
        <w:t xml:space="preserve"> </w:t>
      </w:r>
      <w:r w:rsidRPr="006524FA">
        <w:t xml:space="preserve">defines chemical restraint as </w:t>
      </w:r>
      <w:r w:rsidR="00707FED" w:rsidRPr="00707FED">
        <w:t>‘</w:t>
      </w:r>
      <w:r w:rsidRPr="00CC0671">
        <w:t xml:space="preserve">the use of medication or chemical substance for the primary purpose of influencing a person’s behaviour. It does not include the use of medication prescribed by a medical practitioner </w:t>
      </w:r>
      <w:bookmarkStart w:id="0" w:name="_Hlk13429656"/>
      <w:r w:rsidRPr="00CC0671">
        <w:t>for the treatment of, or to enable the treatment of, a diagnosed mental disorder, a physical illness or a physical condition</w:t>
      </w:r>
      <w:bookmarkEnd w:id="0"/>
      <w:r w:rsidR="00707FED" w:rsidRPr="00CC0671">
        <w:t>’</w:t>
      </w:r>
      <w:r w:rsidRPr="00707FED">
        <w:t>.</w:t>
      </w:r>
    </w:p>
    <w:p w14:paraId="548305A2" w14:textId="4EBE5EE3" w:rsidR="000A4FBE" w:rsidRPr="000B41B9" w:rsidRDefault="000A4FBE" w:rsidP="000D2783">
      <w:pPr>
        <w:pStyle w:val="Heading1"/>
      </w:pPr>
      <w:r w:rsidRPr="000B41B9">
        <w:t>Role of the Victorian Senior Practitioner</w:t>
      </w:r>
    </w:p>
    <w:p w14:paraId="51319820" w14:textId="784B0846" w:rsidR="00707FED" w:rsidRDefault="000A4FBE" w:rsidP="00707FED">
      <w:pPr>
        <w:pStyle w:val="Body"/>
      </w:pPr>
      <w:r w:rsidRPr="006524FA">
        <w:t xml:space="preserve">The Victorian Senior Practitioner is responsible </w:t>
      </w:r>
      <w:r>
        <w:t>for</w:t>
      </w:r>
      <w:r w:rsidRPr="006524FA">
        <w:t xml:space="preserve"> ensuring that</w:t>
      </w:r>
      <w:r w:rsidR="00707FED">
        <w:t>:</w:t>
      </w:r>
    </w:p>
    <w:p w14:paraId="4539C008" w14:textId="71894F27" w:rsidR="00707FED" w:rsidRDefault="000A4FBE" w:rsidP="00CC0671">
      <w:pPr>
        <w:pStyle w:val="Bullet1"/>
      </w:pPr>
      <w:r w:rsidRPr="006524FA">
        <w:t>the rights of the persons who are subject to restrictive practices and compulsory treatment are protected</w:t>
      </w:r>
    </w:p>
    <w:p w14:paraId="700BE29F" w14:textId="3BAE7066" w:rsidR="00707FED" w:rsidRDefault="000A4FBE" w:rsidP="00CC0671">
      <w:pPr>
        <w:pStyle w:val="Bullet1"/>
      </w:pPr>
      <w:r w:rsidRPr="006524FA">
        <w:t xml:space="preserve">appropriate standards in relation to restrictive practices and compulsory treatment </w:t>
      </w:r>
      <w:r w:rsidR="00707FED">
        <w:t xml:space="preserve">are </w:t>
      </w:r>
      <w:r w:rsidRPr="006524FA">
        <w:t xml:space="preserve">complied with under Section 23 of </w:t>
      </w:r>
      <w:r w:rsidR="00707FED">
        <w:t>t</w:t>
      </w:r>
      <w:r w:rsidRPr="006524FA">
        <w:t>he</w:t>
      </w:r>
      <w:r>
        <w:t xml:space="preserve"> Disability</w:t>
      </w:r>
      <w:r w:rsidRPr="006524FA">
        <w:t xml:space="preserve"> Act.</w:t>
      </w:r>
    </w:p>
    <w:p w14:paraId="417BFA15" w14:textId="52A414B2" w:rsidR="000A4FBE" w:rsidRPr="006524FA" w:rsidRDefault="000A4FBE" w:rsidP="00CC0671">
      <w:pPr>
        <w:pStyle w:val="Bodyafterbullets"/>
      </w:pPr>
      <w:r w:rsidRPr="006524FA">
        <w:t>This includes working with all stakeholders in the sector to reduce restrictive practices where possible</w:t>
      </w:r>
      <w:r w:rsidR="00707FED">
        <w:t>, a</w:t>
      </w:r>
      <w:r w:rsidRPr="006524FA">
        <w:t xml:space="preserve">nd where restrictive practices are </w:t>
      </w:r>
      <w:r>
        <w:t>necessary</w:t>
      </w:r>
      <w:r w:rsidRPr="006524FA">
        <w:t>, to ensure that the benefit continues to outweigh the potential harm.</w:t>
      </w:r>
    </w:p>
    <w:p w14:paraId="4C35D67D" w14:textId="4BB324B6" w:rsidR="000A4FBE" w:rsidRPr="000B41B9" w:rsidRDefault="000A4FBE" w:rsidP="00CC0671">
      <w:pPr>
        <w:pStyle w:val="Heading1"/>
      </w:pPr>
      <w:r w:rsidRPr="000B41B9">
        <w:t xml:space="preserve">Role of </w:t>
      </w:r>
      <w:r w:rsidR="00667264">
        <w:t xml:space="preserve">authorised program officers </w:t>
      </w:r>
      <w:r>
        <w:t xml:space="preserve">and </w:t>
      </w:r>
      <w:r w:rsidR="007F7D17">
        <w:t>b</w:t>
      </w:r>
      <w:r w:rsidRPr="000B41B9">
        <w:t xml:space="preserve">ehaviour </w:t>
      </w:r>
      <w:r w:rsidR="007F7D17">
        <w:t>s</w:t>
      </w:r>
      <w:r w:rsidRPr="000B41B9">
        <w:t xml:space="preserve">upport </w:t>
      </w:r>
      <w:r w:rsidR="007F7D17">
        <w:t>p</w:t>
      </w:r>
      <w:r w:rsidRPr="000B41B9">
        <w:t>ractitioners</w:t>
      </w:r>
    </w:p>
    <w:p w14:paraId="4872519A" w14:textId="207B27BB" w:rsidR="000A4FBE" w:rsidRPr="006524FA" w:rsidRDefault="000A4FBE" w:rsidP="00707FED">
      <w:pPr>
        <w:pStyle w:val="Body"/>
      </w:pPr>
      <w:r w:rsidRPr="006524FA">
        <w:t xml:space="preserve">Authorised </w:t>
      </w:r>
      <w:r w:rsidR="00667264">
        <w:t>p</w:t>
      </w:r>
      <w:r w:rsidRPr="006524FA">
        <w:t xml:space="preserve">rogram </w:t>
      </w:r>
      <w:r w:rsidR="00667264">
        <w:t>o</w:t>
      </w:r>
      <w:r w:rsidRPr="006524FA">
        <w:t>fficers (APO</w:t>
      </w:r>
      <w:r w:rsidR="007F7D17">
        <w:t>s</w:t>
      </w:r>
      <w:r w:rsidRPr="006524FA">
        <w:t>) from</w:t>
      </w:r>
      <w:r>
        <w:t xml:space="preserve"> the</w:t>
      </w:r>
      <w:r w:rsidRPr="006524FA">
        <w:t xml:space="preserve"> </w:t>
      </w:r>
      <w:r>
        <w:t>implementing providers</w:t>
      </w:r>
      <w:r w:rsidRPr="006524FA">
        <w:t xml:space="preserve"> are responsible for determining whether a medic</w:t>
      </w:r>
      <w:r>
        <w:t>ation</w:t>
      </w:r>
      <w:r w:rsidRPr="006524FA">
        <w:t xml:space="preserve"> is considered chemical restraint </w:t>
      </w:r>
      <w:r>
        <w:t>under</w:t>
      </w:r>
      <w:r w:rsidRPr="006524FA">
        <w:t xml:space="preserve"> the </w:t>
      </w:r>
      <w:r w:rsidRPr="00CC0671">
        <w:rPr>
          <w:iCs/>
        </w:rPr>
        <w:t>Disability Act</w:t>
      </w:r>
      <w:r w:rsidRPr="006524FA">
        <w:t xml:space="preserve">. </w:t>
      </w:r>
    </w:p>
    <w:p w14:paraId="64B152C4" w14:textId="7DCB45F8" w:rsidR="000A4FBE" w:rsidRDefault="007F7D17" w:rsidP="00707FED">
      <w:pPr>
        <w:pStyle w:val="Body"/>
      </w:pPr>
      <w:r>
        <w:t>APOs and b</w:t>
      </w:r>
      <w:r w:rsidR="000A4FBE" w:rsidRPr="006524FA">
        <w:t>ehaviour support practitioners</w:t>
      </w:r>
      <w:r w:rsidR="000A4FBE">
        <w:t xml:space="preserve"> </w:t>
      </w:r>
      <w:r w:rsidR="000A4FBE" w:rsidRPr="006524FA">
        <w:t>need to work with prescribers</w:t>
      </w:r>
      <w:r w:rsidR="000A4FBE">
        <w:t xml:space="preserve"> and service providers</w:t>
      </w:r>
      <w:r w:rsidR="000A4FBE" w:rsidRPr="006524FA">
        <w:t xml:space="preserve"> to reduce the use of </w:t>
      </w:r>
      <w:r w:rsidR="000A4FBE">
        <w:t>chemical restraint</w:t>
      </w:r>
      <w:r w:rsidR="000A4FBE" w:rsidRPr="006524FA">
        <w:t xml:space="preserve"> where possible, </w:t>
      </w:r>
      <w:r>
        <w:t>and to</w:t>
      </w:r>
      <w:r w:rsidR="000A4FBE">
        <w:t xml:space="preserve"> implement </w:t>
      </w:r>
      <w:r w:rsidR="000A4FBE" w:rsidRPr="006524FA">
        <w:t>positive behaviour support strategies.</w:t>
      </w:r>
    </w:p>
    <w:p w14:paraId="01C11089" w14:textId="020F2037" w:rsidR="000A4FBE" w:rsidRPr="000B41B9" w:rsidRDefault="000A4FBE" w:rsidP="000D2783">
      <w:pPr>
        <w:pStyle w:val="Heading1"/>
      </w:pPr>
      <w:r w:rsidRPr="000D2783">
        <w:t>Medication</w:t>
      </w:r>
      <w:r>
        <w:t xml:space="preserve"> </w:t>
      </w:r>
      <w:r w:rsidR="0000127B">
        <w:t>p</w:t>
      </w:r>
      <w:r>
        <w:t xml:space="preserve">urpose </w:t>
      </w:r>
      <w:r w:rsidR="0000127B">
        <w:t>f</w:t>
      </w:r>
      <w:r>
        <w:t>orm</w:t>
      </w:r>
    </w:p>
    <w:p w14:paraId="66A3F763" w14:textId="61FCBF9F" w:rsidR="000A4FBE" w:rsidRDefault="000A4FBE" w:rsidP="00707FED">
      <w:pPr>
        <w:pStyle w:val="Body"/>
      </w:pPr>
      <w:r w:rsidRPr="00291A37">
        <w:t>APO</w:t>
      </w:r>
      <w:r>
        <w:t xml:space="preserve">s and behaviour support practitioners may seek information from you </w:t>
      </w:r>
      <w:r w:rsidR="007F7D17">
        <w:t xml:space="preserve">as the prescriber, </w:t>
      </w:r>
      <w:r>
        <w:t>regarding the purpose of medication(s)</w:t>
      </w:r>
      <w:r w:rsidR="007F7D17">
        <w:t>,</w:t>
      </w:r>
      <w:r>
        <w:t xml:space="preserve"> to assist them with fulfilling their responsibilities under the </w:t>
      </w:r>
      <w:r w:rsidR="007F7D17">
        <w:t xml:space="preserve">Disability </w:t>
      </w:r>
      <w:r>
        <w:t>Act. This is particularly important in helping APOs to identify medication(s) used primarily to influence behaviour(s)</w:t>
      </w:r>
      <w:r w:rsidR="007F7D17">
        <w:t xml:space="preserve"> as</w:t>
      </w:r>
      <w:r>
        <w:t xml:space="preserve"> chemical restraint. </w:t>
      </w:r>
    </w:p>
    <w:p w14:paraId="3B5683D5" w14:textId="322B2BB8" w:rsidR="000A4FBE" w:rsidRPr="00291A37" w:rsidRDefault="000A4FBE" w:rsidP="00707FED">
      <w:pPr>
        <w:pStyle w:val="Body"/>
      </w:pPr>
      <w:r>
        <w:lastRenderedPageBreak/>
        <w:t xml:space="preserve">You may be requested to complete a </w:t>
      </w:r>
      <w:r w:rsidR="00707CA3">
        <w:t>m</w:t>
      </w:r>
      <w:r>
        <w:t xml:space="preserve">edication </w:t>
      </w:r>
      <w:r w:rsidR="00707CA3">
        <w:t>p</w:t>
      </w:r>
      <w:r>
        <w:t xml:space="preserve">urpose </w:t>
      </w:r>
      <w:r w:rsidR="00707CA3">
        <w:t>f</w:t>
      </w:r>
      <w:r>
        <w:t>orm, or alternatively</w:t>
      </w:r>
      <w:r w:rsidR="007F7D17">
        <w:t>,</w:t>
      </w:r>
      <w:r>
        <w:t xml:space="preserve"> you can provide this information in a letter</w:t>
      </w:r>
      <w:r w:rsidR="007F7D17">
        <w:t xml:space="preserve"> or in </w:t>
      </w:r>
      <w:r>
        <w:t>medical notes.</w:t>
      </w:r>
    </w:p>
    <w:p w14:paraId="010C5E52" w14:textId="5035E063" w:rsidR="000A4FBE" w:rsidRPr="000B41B9" w:rsidRDefault="000A4FBE" w:rsidP="000D2783">
      <w:pPr>
        <w:pStyle w:val="Heading1"/>
      </w:pPr>
      <w:r w:rsidRPr="000B41B9">
        <w:t>Behaviour support plan</w:t>
      </w:r>
    </w:p>
    <w:p w14:paraId="528B1E65" w14:textId="3D38F3A2" w:rsidR="000A4FBE" w:rsidRDefault="000A4FBE" w:rsidP="00707FED">
      <w:pPr>
        <w:pStyle w:val="Body"/>
      </w:pPr>
      <w:r>
        <w:t>The Disability Act defines a behaviour support plan as a plan developed for a person with a disability that specifies a range of strategies to be used in supporting the person who shows behaviours of concern, including proactive strategies to build on the person’s strengths and increase their life skills.</w:t>
      </w:r>
    </w:p>
    <w:p w14:paraId="3E19E1C8" w14:textId="77777777" w:rsidR="000A4FBE" w:rsidRDefault="000A4FBE" w:rsidP="00707FED">
      <w:pPr>
        <w:pStyle w:val="Body"/>
      </w:pPr>
      <w:r>
        <w:t>Positive behaviour support strategies can:</w:t>
      </w:r>
    </w:p>
    <w:p w14:paraId="01F799D7" w14:textId="4CE753C2" w:rsidR="000A4FBE" w:rsidRDefault="000A4FBE" w:rsidP="00CC0671">
      <w:pPr>
        <w:pStyle w:val="Bullet1"/>
      </w:pPr>
      <w:r>
        <w:t>improve a person’s quality of life</w:t>
      </w:r>
    </w:p>
    <w:p w14:paraId="12D57AF7" w14:textId="6185255F" w:rsidR="000A4FBE" w:rsidRDefault="000A4FBE" w:rsidP="00CC0671">
      <w:pPr>
        <w:pStyle w:val="Bullet1"/>
      </w:pPr>
      <w:r>
        <w:t xml:space="preserve">offer recommendations to make changes to the environment that </w:t>
      </w:r>
      <w:r w:rsidR="007F7D17">
        <w:t xml:space="preserve">are </w:t>
      </w:r>
      <w:r>
        <w:t>based on the person’s preferences</w:t>
      </w:r>
    </w:p>
    <w:p w14:paraId="22DB0F81" w14:textId="4BF79CEE" w:rsidR="000A4FBE" w:rsidRDefault="000A4FBE" w:rsidP="00CC0671">
      <w:pPr>
        <w:pStyle w:val="Bullet1"/>
      </w:pPr>
      <w:r>
        <w:t>support the person to learn skills that meet the same need as the behaviours of concern</w:t>
      </w:r>
    </w:p>
    <w:p w14:paraId="48EE9411" w14:textId="0778650D" w:rsidR="000A4FBE" w:rsidRDefault="000A4FBE" w:rsidP="00CC0671">
      <w:pPr>
        <w:pStyle w:val="Bullet1"/>
      </w:pPr>
      <w:r>
        <w:t>use targeted positive strategies based on the function of the behaviour</w:t>
      </w:r>
      <w:r w:rsidR="007F7D17">
        <w:t>,</w:t>
      </w:r>
      <w:r>
        <w:t xml:space="preserve"> which can result in reduced need for restrictive practices</w:t>
      </w:r>
      <w:r w:rsidR="007F7D17">
        <w:t>,</w:t>
      </w:r>
      <w:r>
        <w:t xml:space="preserve"> including medications</w:t>
      </w:r>
      <w:r w:rsidR="007F7D17">
        <w:t>.</w:t>
      </w:r>
    </w:p>
    <w:p w14:paraId="09D01F1B" w14:textId="57833952" w:rsidR="000A4FBE" w:rsidRPr="000B41B9" w:rsidRDefault="000A4FBE" w:rsidP="000D2783">
      <w:pPr>
        <w:pStyle w:val="Heading1"/>
      </w:pPr>
      <w:r w:rsidRPr="000B41B9">
        <w:t xml:space="preserve">Clinical </w:t>
      </w:r>
      <w:r w:rsidRPr="000D2783">
        <w:t>implications</w:t>
      </w:r>
    </w:p>
    <w:p w14:paraId="1045FF37" w14:textId="3A142F51" w:rsidR="000A4FBE" w:rsidRPr="006524FA" w:rsidRDefault="000A4FBE" w:rsidP="00707FED">
      <w:pPr>
        <w:pStyle w:val="Body"/>
      </w:pPr>
      <w:r>
        <w:t>It</w:t>
      </w:r>
      <w:r w:rsidR="003C5406">
        <w:t xml:space="preserve"> is</w:t>
      </w:r>
      <w:r>
        <w:t xml:space="preserve"> important to note that</w:t>
      </w:r>
      <w:r w:rsidRPr="006524FA">
        <w:t xml:space="preserve"> if a medication is prescribed primarily to manage behaviour(s) of concern, it would be </w:t>
      </w:r>
      <w:r>
        <w:t>considered</w:t>
      </w:r>
      <w:r w:rsidRPr="006524FA">
        <w:t xml:space="preserve"> chemical restraint</w:t>
      </w:r>
      <w:r w:rsidR="003C5406">
        <w:t>,</w:t>
      </w:r>
      <w:r w:rsidRPr="006524FA">
        <w:t xml:space="preserve"> regardless </w:t>
      </w:r>
      <w:bookmarkStart w:id="1" w:name="_Hlk116480774"/>
      <w:r w:rsidRPr="006524FA">
        <w:t xml:space="preserve">of the person’s </w:t>
      </w:r>
      <w:r>
        <w:t>medical diagnos</w:t>
      </w:r>
      <w:r w:rsidR="003C5406">
        <w:t>e</w:t>
      </w:r>
      <w:r>
        <w:t>s</w:t>
      </w:r>
      <w:bookmarkEnd w:id="1"/>
      <w:r w:rsidRPr="006524FA">
        <w:t>.</w:t>
      </w:r>
    </w:p>
    <w:p w14:paraId="685CA17E" w14:textId="3F9E34E1" w:rsidR="000A4FBE" w:rsidRDefault="000A4FBE" w:rsidP="00707FED">
      <w:pPr>
        <w:pStyle w:val="Body"/>
      </w:pPr>
      <w:r w:rsidRPr="006524FA">
        <w:t>A particular focus should be placed on medi</w:t>
      </w:r>
      <w:r>
        <w:t>cation</w:t>
      </w:r>
      <w:r w:rsidRPr="006524FA">
        <w:t xml:space="preserve">s </w:t>
      </w:r>
      <w:r w:rsidR="003C5406">
        <w:t>that</w:t>
      </w:r>
      <w:r w:rsidR="003C5406" w:rsidRPr="006524FA">
        <w:t xml:space="preserve"> </w:t>
      </w:r>
      <w:r w:rsidRPr="006524FA">
        <w:t>have psychoactive properties with significant side effect profiles (</w:t>
      </w:r>
      <w:r w:rsidR="003C5406">
        <w:t>for example</w:t>
      </w:r>
      <w:r w:rsidRPr="006524FA">
        <w:t xml:space="preserve">, antipsychotics). The </w:t>
      </w:r>
      <w:r>
        <w:t>substantial risks associated with those medications warrant additional oversight to prevent harm.</w:t>
      </w:r>
    </w:p>
    <w:p w14:paraId="44AC47AC" w14:textId="6D711FFE" w:rsidR="000A4FBE" w:rsidRPr="006524FA" w:rsidRDefault="000A4FBE" w:rsidP="00707FED">
      <w:pPr>
        <w:pStyle w:val="Body"/>
      </w:pPr>
      <w:r w:rsidRPr="006524FA">
        <w:t>The National Institute of Health and Care Excellence</w:t>
      </w:r>
      <w:r w:rsidR="006D66FD">
        <w:t xml:space="preserve"> (NICE</w:t>
      </w:r>
      <w:r w:rsidRPr="006524FA">
        <w:t xml:space="preserve">) 2015 guidelines on </w:t>
      </w:r>
      <w:r w:rsidR="003C5406">
        <w:t>‘</w:t>
      </w:r>
      <w:r w:rsidRPr="006524FA">
        <w:t>Challenging behaviour and learning disabilities: Prevention and interventions for people with learning disabilities whose behaviour challenges</w:t>
      </w:r>
      <w:r w:rsidR="003C5406">
        <w:t>’</w:t>
      </w:r>
      <w:r w:rsidRPr="006524FA">
        <w:t xml:space="preserve"> makes the following recommendations:</w:t>
      </w:r>
    </w:p>
    <w:p w14:paraId="204676B7" w14:textId="5A1074E7" w:rsidR="000A4FBE" w:rsidRPr="006524FA" w:rsidRDefault="000A4FBE" w:rsidP="00707FED">
      <w:pPr>
        <w:pStyle w:val="Bullet1"/>
      </w:pPr>
      <w:r w:rsidRPr="006524FA">
        <w:t>Consider antipsychotic medication to manage behaviour that challenges</w:t>
      </w:r>
      <w:r w:rsidR="003C5406">
        <w:t>,</w:t>
      </w:r>
      <w:r w:rsidRPr="006524FA">
        <w:t xml:space="preserve"> only if:</w:t>
      </w:r>
    </w:p>
    <w:p w14:paraId="4A450D2B" w14:textId="27E534C2" w:rsidR="000A4FBE" w:rsidRPr="006524FA" w:rsidRDefault="003C5406" w:rsidP="00707FED">
      <w:pPr>
        <w:pStyle w:val="Bullet2"/>
      </w:pPr>
      <w:r>
        <w:t>p</w:t>
      </w:r>
      <w:r w:rsidR="000A4FBE" w:rsidRPr="006524FA">
        <w:t>sychological or other interventions alone do not produce change within an agreed time</w:t>
      </w:r>
      <w:r>
        <w:t>,</w:t>
      </w:r>
      <w:r w:rsidR="000A4FBE" w:rsidRPr="006524FA">
        <w:t xml:space="preserve"> or</w:t>
      </w:r>
    </w:p>
    <w:p w14:paraId="5616F76C" w14:textId="1F25B618" w:rsidR="000A4FBE" w:rsidRPr="006524FA" w:rsidRDefault="003C5406" w:rsidP="00707FED">
      <w:pPr>
        <w:pStyle w:val="Bullet2"/>
      </w:pPr>
      <w:r>
        <w:t>t</w:t>
      </w:r>
      <w:r w:rsidR="000A4FBE" w:rsidRPr="006524FA">
        <w:t>reatment for any coexisting mental or physical health problem has not led to a reduction in the behaviour</w:t>
      </w:r>
      <w:r>
        <w:t>,</w:t>
      </w:r>
      <w:r w:rsidR="000A4FBE" w:rsidRPr="006524FA">
        <w:t xml:space="preserve"> or </w:t>
      </w:r>
    </w:p>
    <w:p w14:paraId="1A60328D" w14:textId="727B23BD" w:rsidR="000A4FBE" w:rsidRPr="00707FED" w:rsidRDefault="003C5406" w:rsidP="00707FED">
      <w:pPr>
        <w:pStyle w:val="Bullet2"/>
      </w:pPr>
      <w:r>
        <w:t>t</w:t>
      </w:r>
      <w:r w:rsidR="000A4FBE" w:rsidRPr="006524FA">
        <w:t>he risk to the person or others is very severe</w:t>
      </w:r>
      <w:r>
        <w:t>.</w:t>
      </w:r>
    </w:p>
    <w:p w14:paraId="04580AD5" w14:textId="15A896E4" w:rsidR="000A4FBE" w:rsidRPr="006524FA" w:rsidRDefault="000A4FBE" w:rsidP="00707FED">
      <w:pPr>
        <w:pStyle w:val="Bullet1"/>
      </w:pPr>
      <w:r w:rsidRPr="006524FA">
        <w:t>Only offer antipsychotic medication in combination with psychological or other interventions.</w:t>
      </w:r>
    </w:p>
    <w:p w14:paraId="40A4449A" w14:textId="77777777" w:rsidR="000A4FBE" w:rsidRPr="006524FA" w:rsidRDefault="000A4FBE" w:rsidP="00707FED">
      <w:pPr>
        <w:pStyle w:val="Bullet1"/>
      </w:pPr>
      <w:r w:rsidRPr="006524FA">
        <w:t>Antipsychotic medication should initially be prescribed and monitored by a specialist (an adult or child psychiatrist) who should:</w:t>
      </w:r>
    </w:p>
    <w:p w14:paraId="78E89CC3" w14:textId="7916EE36" w:rsidR="000A4FBE" w:rsidRPr="006524FA" w:rsidRDefault="003C5406" w:rsidP="00707FED">
      <w:pPr>
        <w:pStyle w:val="Bullet2"/>
      </w:pPr>
      <w:r>
        <w:t>i</w:t>
      </w:r>
      <w:r w:rsidR="000A4FBE" w:rsidRPr="006524FA">
        <w:t>dentify the target behaviour</w:t>
      </w:r>
    </w:p>
    <w:p w14:paraId="0ED2D65C" w14:textId="249D928F" w:rsidR="000A4FBE" w:rsidRPr="006524FA" w:rsidRDefault="003C5406" w:rsidP="00707FED">
      <w:pPr>
        <w:pStyle w:val="Bullet2"/>
      </w:pPr>
      <w:r>
        <w:t>d</w:t>
      </w:r>
      <w:r w:rsidR="000A4FBE" w:rsidRPr="006524FA">
        <w:t>ecide on a measure to monitor effectiveness (</w:t>
      </w:r>
      <w:r>
        <w:t>for example</w:t>
      </w:r>
      <w:r w:rsidR="000A4FBE" w:rsidRPr="006524FA">
        <w:t>, direct observations), including frequency and severity of the behaviour</w:t>
      </w:r>
      <w:r>
        <w:t>,</w:t>
      </w:r>
      <w:r w:rsidR="000A4FBE" w:rsidRPr="006524FA">
        <w:t xml:space="preserve"> and impact on functioning</w:t>
      </w:r>
    </w:p>
    <w:p w14:paraId="49764217" w14:textId="4C0C2DD2" w:rsidR="000A4FBE" w:rsidRPr="006524FA" w:rsidRDefault="003C5406" w:rsidP="00707FED">
      <w:pPr>
        <w:pStyle w:val="Bullet2"/>
      </w:pPr>
      <w:r>
        <w:t>s</w:t>
      </w:r>
      <w:r w:rsidR="000A4FBE" w:rsidRPr="006524FA">
        <w:t>tart with a low dose and use the minimum effective dose needed</w:t>
      </w:r>
    </w:p>
    <w:p w14:paraId="58D24ECF" w14:textId="57925AF5" w:rsidR="000A4FBE" w:rsidRPr="006524FA" w:rsidRDefault="003C5406" w:rsidP="00707FED">
      <w:pPr>
        <w:pStyle w:val="Bullet2"/>
      </w:pPr>
      <w:r>
        <w:t>o</w:t>
      </w:r>
      <w:r w:rsidR="000A4FBE" w:rsidRPr="006524FA">
        <w:t xml:space="preserve">nly prescribe a single </w:t>
      </w:r>
      <w:r>
        <w:t>medication</w:t>
      </w:r>
    </w:p>
    <w:p w14:paraId="17264EF7" w14:textId="4BF7897E" w:rsidR="000A4FBE" w:rsidRPr="006524FA" w:rsidRDefault="003C5406" w:rsidP="00707FED">
      <w:pPr>
        <w:pStyle w:val="Bullet2"/>
      </w:pPr>
      <w:r>
        <w:t>m</w:t>
      </w:r>
      <w:r w:rsidR="000A4FBE" w:rsidRPr="006524FA">
        <w:t>onitor side effects (including regular blood levels, serum cholesterol and lipids</w:t>
      </w:r>
      <w:r>
        <w:t>,</w:t>
      </w:r>
      <w:r w:rsidR="000A4FBE" w:rsidRPr="006524FA">
        <w:t xml:space="preserve"> and weigh</w:t>
      </w:r>
      <w:r>
        <w:t>ts</w:t>
      </w:r>
      <w:r w:rsidR="000A4FBE" w:rsidRPr="006524FA">
        <w:t>)</w:t>
      </w:r>
    </w:p>
    <w:p w14:paraId="33B0258F" w14:textId="4A84DAD5" w:rsidR="000A4FBE" w:rsidRPr="006524FA" w:rsidRDefault="003C5406" w:rsidP="00707FED">
      <w:pPr>
        <w:pStyle w:val="Bullet2"/>
      </w:pPr>
      <w:r>
        <w:t>r</w:t>
      </w:r>
      <w:r w:rsidR="000A4FBE" w:rsidRPr="006524FA">
        <w:t>eview the effectiveness and any side effects of the medication after 3</w:t>
      </w:r>
      <w:r>
        <w:t xml:space="preserve"> to </w:t>
      </w:r>
      <w:r w:rsidR="000A4FBE" w:rsidRPr="006524FA">
        <w:t>4 weeks</w:t>
      </w:r>
    </w:p>
    <w:p w14:paraId="079DB1E6" w14:textId="65CBFDF6" w:rsidR="000A4FBE" w:rsidRDefault="003C5406" w:rsidP="00707FED">
      <w:pPr>
        <w:pStyle w:val="Bullet2"/>
      </w:pPr>
      <w:r>
        <w:t>s</w:t>
      </w:r>
      <w:r w:rsidR="000A4FBE" w:rsidRPr="006524FA">
        <w:t>top the medication if there is no indication of a response at 6 weeks, reassess the behaviour that challenges</w:t>
      </w:r>
      <w:r>
        <w:t>,</w:t>
      </w:r>
      <w:r w:rsidR="000A4FBE" w:rsidRPr="006524FA">
        <w:t xml:space="preserve"> and consider further psychological or environmental interventions</w:t>
      </w:r>
      <w:r>
        <w:t>.</w:t>
      </w:r>
    </w:p>
    <w:p w14:paraId="47BE7AF4" w14:textId="28073A01" w:rsidR="000A4FBE" w:rsidRPr="006524FA" w:rsidRDefault="003C5406" w:rsidP="00707FED">
      <w:pPr>
        <w:pStyle w:val="Bodyafterbullets"/>
      </w:pPr>
      <w:r>
        <w:t>T</w:t>
      </w:r>
      <w:r w:rsidR="000A4FBE">
        <w:t xml:space="preserve">he Victorian Senior Practitioner </w:t>
      </w:r>
      <w:r>
        <w:t xml:space="preserve">also </w:t>
      </w:r>
      <w:r w:rsidR="000A4FBE">
        <w:t>recommends that the long-term goals of medications are clearly communicated to all stakeholders involved in the person’s care, and that regular attempts are made to reduce</w:t>
      </w:r>
      <w:r>
        <w:t xml:space="preserve"> or </w:t>
      </w:r>
      <w:r w:rsidR="000A4FBE">
        <w:t>cease medication where appropriate.</w:t>
      </w:r>
    </w:p>
    <w:p w14:paraId="717FB788" w14:textId="384901F2" w:rsidR="000A4FBE" w:rsidRDefault="000A4FBE" w:rsidP="00707FED">
      <w:pPr>
        <w:pStyle w:val="Body"/>
      </w:pPr>
      <w:r w:rsidRPr="004A57F5">
        <w:lastRenderedPageBreak/>
        <w:t>For further information</w:t>
      </w:r>
      <w:r>
        <w:t>:</w:t>
      </w:r>
    </w:p>
    <w:p w14:paraId="4BB0D4E4" w14:textId="1A2D2DCF" w:rsidR="000A4FBE" w:rsidRPr="00EA7B01" w:rsidRDefault="000E5F0F" w:rsidP="00CC0671">
      <w:pPr>
        <w:pStyle w:val="Bullet1"/>
      </w:pPr>
      <w:r>
        <w:t xml:space="preserve">visit the </w:t>
      </w:r>
      <w:hyperlink r:id="rId20" w:history="1">
        <w:r w:rsidRPr="000E5F0F">
          <w:rPr>
            <w:rStyle w:val="Hyperlink"/>
          </w:rPr>
          <w:t>Department of Developmental Disability Neuropsychiatry (3DN – UNSW)</w:t>
        </w:r>
      </w:hyperlink>
      <w:r w:rsidR="003C5406">
        <w:t xml:space="preserve"> &lt;</w:t>
      </w:r>
      <w:r w:rsidRPr="000E5F0F">
        <w:t>https://www.3dn.unsw.edu.au/</w:t>
      </w:r>
      <w:r w:rsidR="003C5406">
        <w:t>&gt;</w:t>
      </w:r>
    </w:p>
    <w:p w14:paraId="312DEA78" w14:textId="259BC2E4" w:rsidR="00162CA9" w:rsidRPr="00CC0671" w:rsidRDefault="000E5F0F" w:rsidP="00CC0671">
      <w:pPr>
        <w:pStyle w:val="Bullet1"/>
      </w:pPr>
      <w:r>
        <w:t>download the ‘</w:t>
      </w:r>
      <w:hyperlink r:id="rId21" w:history="1">
        <w:r w:rsidRPr="000E5F0F">
          <w:rPr>
            <w:rStyle w:val="Hyperlink"/>
          </w:rPr>
          <w:t xml:space="preserve">Medication Review Guide for GPs – </w:t>
        </w:r>
        <w:r w:rsidR="000A4FBE" w:rsidRPr="000E5F0F">
          <w:rPr>
            <w:rStyle w:val="Hyperlink"/>
          </w:rPr>
          <w:t>A guide for GPs on the use of psychoactive medications for adults with intellectual disability who present with behaviours of concern</w:t>
        </w:r>
      </w:hyperlink>
      <w:r>
        <w:t xml:space="preserve">’ </w:t>
      </w:r>
      <w:r w:rsidRPr="000E5F0F">
        <w:t>&lt;</w:t>
      </w:r>
      <w:hyperlink w:history="1"/>
      <w:r w:rsidRPr="00CC0671">
        <w:t>https://www.cddh.monashhealth.org/wp-content/uploads/2016/11/2015-medication-review-guide-for-gps.pdf&gt;</w:t>
      </w:r>
      <w:r w:rsidRPr="000E5F0F">
        <w:t>, published by the Centre for Developmental Disability Health Victoria</w:t>
      </w:r>
      <w:r w:rsidRPr="00CC0671">
        <w:t>.</w:t>
      </w:r>
    </w:p>
    <w:p w14:paraId="46F48D3E" w14:textId="77777777" w:rsidR="000A4FBE" w:rsidRPr="00F32368" w:rsidRDefault="000A4FBE" w:rsidP="000A4FBE">
      <w:pPr>
        <w:pStyle w:val="Body"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0A4FBE" w14:paraId="2CD951D3" w14:textId="77777777" w:rsidTr="00CC0671">
        <w:trPr>
          <w:trHeight w:val="1268"/>
        </w:trPr>
        <w:tc>
          <w:tcPr>
            <w:tcW w:w="10194" w:type="dxa"/>
          </w:tcPr>
          <w:p w14:paraId="0A673B44" w14:textId="77777777" w:rsidR="00CC0671" w:rsidRDefault="00CC0671" w:rsidP="00CC0671">
            <w:bookmarkStart w:id="2" w:name="_Hlk37240926"/>
            <w:r>
              <w:t xml:space="preserve">To receive this document in another format, phone </w:t>
            </w:r>
            <w:r>
              <w:rPr>
                <w:lang w:eastAsia="en-AU"/>
              </w:rPr>
              <w:t xml:space="preserve">9096 8427 </w:t>
            </w:r>
            <w:r>
              <w:t>using the National Relay Service 13 36 77 if required, or email &lt;victorianseniorpractitioner@dffh.vic.gov.au&gt;</w:t>
            </w:r>
          </w:p>
          <w:p w14:paraId="32993370" w14:textId="77777777" w:rsidR="000A4FBE" w:rsidRPr="0055119B" w:rsidRDefault="000A4FBE" w:rsidP="001A5912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34145E25" w14:textId="77777777" w:rsidR="000A4FBE" w:rsidRDefault="000A4FBE" w:rsidP="001A5912">
            <w:pPr>
              <w:pStyle w:val="Imprint"/>
            </w:pPr>
            <w:r w:rsidRPr="0055119B">
              <w:t xml:space="preserve">© State of Victoria, Australia, Department </w:t>
            </w:r>
            <w:r w:rsidRPr="001B058F">
              <w:t xml:space="preserve">of </w:t>
            </w:r>
            <w:r>
              <w:t>Families, Fairness and Housing</w:t>
            </w:r>
            <w:r w:rsidRPr="0055119B">
              <w:t>,</w:t>
            </w:r>
            <w:r w:rsidR="00CD3B2E">
              <w:t xml:space="preserve"> October 2</w:t>
            </w:r>
            <w:r w:rsidR="00637E12">
              <w:t>022.</w:t>
            </w:r>
          </w:p>
          <w:p w14:paraId="40523573" w14:textId="7540A601" w:rsidR="000B5165" w:rsidRPr="000B5165" w:rsidRDefault="000B5165" w:rsidP="001A5912">
            <w:pPr>
              <w:pStyle w:val="Imprint"/>
            </w:pPr>
            <w:r w:rsidRPr="000B5165">
              <w:rPr>
                <w:rFonts w:cs="Arial"/>
                <w:b/>
                <w:bCs/>
                <w:color w:val="000000"/>
              </w:rPr>
              <w:t xml:space="preserve">ISBN </w:t>
            </w:r>
            <w:r w:rsidRPr="000B5165">
              <w:rPr>
                <w:rFonts w:cs="Arial"/>
                <w:color w:val="000000"/>
              </w:rPr>
              <w:t xml:space="preserve">978-1-76130-038-7 </w:t>
            </w:r>
            <w:r w:rsidRPr="000B5165">
              <w:rPr>
                <w:rFonts w:cs="Arial"/>
                <w:b/>
                <w:bCs/>
                <w:color w:val="000000"/>
              </w:rPr>
              <w:t>(pdf/online/MS word)</w:t>
            </w:r>
          </w:p>
        </w:tc>
      </w:tr>
      <w:bookmarkEnd w:id="2"/>
    </w:tbl>
    <w:p w14:paraId="637286BE" w14:textId="092AB87F" w:rsidR="000A4FBE" w:rsidRPr="000A4FBE" w:rsidRDefault="000A4FBE" w:rsidP="000A4FBE">
      <w:pPr>
        <w:pStyle w:val="Accessibilitypara"/>
      </w:pPr>
    </w:p>
    <w:sectPr w:rsidR="000A4FBE" w:rsidRPr="000A4FBE" w:rsidSect="00593A99">
      <w:type w:val="continuous"/>
      <w:pgSz w:w="11906" w:h="16838" w:code="9"/>
      <w:pgMar w:top="1418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12C01" w14:textId="77777777" w:rsidR="001F0C27" w:rsidRDefault="001F0C27">
      <w:r>
        <w:separator/>
      </w:r>
    </w:p>
    <w:p w14:paraId="75B1F335" w14:textId="77777777" w:rsidR="001F0C27" w:rsidRDefault="001F0C27"/>
  </w:endnote>
  <w:endnote w:type="continuationSeparator" w:id="0">
    <w:p w14:paraId="239052F9" w14:textId="77777777" w:rsidR="001F0C27" w:rsidRDefault="001F0C27">
      <w:r>
        <w:continuationSeparator/>
      </w:r>
    </w:p>
    <w:p w14:paraId="72CBF006" w14:textId="77777777" w:rsidR="001F0C27" w:rsidRDefault="001F0C27"/>
  </w:endnote>
  <w:endnote w:type="continuationNotice" w:id="1">
    <w:p w14:paraId="4EB51C9F" w14:textId="77777777" w:rsidR="00AD2C17" w:rsidRDefault="00AD2C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90273" w14:textId="77777777" w:rsidR="000B5165" w:rsidRDefault="000B51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C29F6" w14:textId="51365D05" w:rsidR="00E261B3" w:rsidRPr="00F65AA9" w:rsidRDefault="00A574E3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3" behindDoc="1" locked="1" layoutInCell="1" allowOverlap="1" wp14:anchorId="2D9B6C8C" wp14:editId="54A8F47C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792000"/>
          <wp:effectExtent l="0" t="0" r="0" b="0"/>
          <wp:wrapNone/>
          <wp:docPr id="7" name="Picture 7" descr="Victoria State Government Families, Fairness and Hous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Victoria State Government Families, Fairness and Hous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F220AE8" wp14:editId="7BE311F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3ACDE0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220AE8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3E3ACDE0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67A31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36861015" wp14:editId="5023B46B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CB6103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61015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 o:allowincell="f" filled="f" stroked="f" strokeweight=".5pt">
              <v:textbox inset=",0,,0">
                <w:txbxContent>
                  <w:p w14:paraId="14CB6103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4A8BE" w14:textId="6D2D45CD" w:rsidR="00593A99" w:rsidRPr="00F65AA9" w:rsidRDefault="00200509" w:rsidP="00EF2C7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7CDBB2AB" wp14:editId="0ABBEBC9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MSIPCM62d54e43ad4eb6664dcaf160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CECA259" w14:textId="60D70895" w:rsidR="00200509" w:rsidRPr="00200509" w:rsidRDefault="00200509" w:rsidP="00200509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200509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DBB2AB" id="_x0000_t202" coordsize="21600,21600" o:spt="202" path="m,l,21600r21600,l21600,xe">
              <v:stroke joinstyle="miter"/>
              <v:path gradientshapeok="t" o:connecttype="rect"/>
            </v:shapetype>
            <v:shape id="MSIPCM62d54e43ad4eb6664dcaf160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margin-left:0;margin-top:802.3pt;width:595.3pt;height:24.5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3CECA259" w14:textId="60D70895" w:rsidR="00200509" w:rsidRPr="00200509" w:rsidRDefault="00200509" w:rsidP="00200509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200509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AABA0" w14:textId="77777777" w:rsidR="001F0C27" w:rsidRDefault="001F0C27" w:rsidP="00207717">
      <w:pPr>
        <w:spacing w:before="120"/>
      </w:pPr>
      <w:r>
        <w:separator/>
      </w:r>
    </w:p>
  </w:footnote>
  <w:footnote w:type="continuationSeparator" w:id="0">
    <w:p w14:paraId="32DE1A9E" w14:textId="77777777" w:rsidR="001F0C27" w:rsidRDefault="001F0C27">
      <w:r>
        <w:continuationSeparator/>
      </w:r>
    </w:p>
    <w:p w14:paraId="0DAFF9C4" w14:textId="77777777" w:rsidR="001F0C27" w:rsidRDefault="001F0C27"/>
  </w:footnote>
  <w:footnote w:type="continuationNotice" w:id="1">
    <w:p w14:paraId="146363BD" w14:textId="77777777" w:rsidR="00AD2C17" w:rsidRDefault="00AD2C1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9DC4E" w14:textId="77777777" w:rsidR="000B5165" w:rsidRDefault="000B51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95DAB" w14:textId="77777777" w:rsidR="000B5165" w:rsidRDefault="000B51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3ED1A" w14:textId="77777777" w:rsidR="000B5165" w:rsidRDefault="000B516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D96D1" w14:textId="107944D2" w:rsidR="00E261B3" w:rsidRPr="0051568D" w:rsidRDefault="00B73AF7" w:rsidP="0017674D">
    <w:pPr>
      <w:pStyle w:val="Header"/>
    </w:pPr>
    <w:r>
      <w:t>Chemical restraint</w:t>
    </w:r>
    <w:r w:rsidR="00707CA3">
      <w:t xml:space="preserve">: </w:t>
    </w:r>
    <w:r>
      <w:t>Information for prescribers</w:t>
    </w:r>
    <w:r w:rsidR="00B14B5F">
      <w:ptab w:relativeTo="margin" w:alignment="right" w:leader="none"/>
    </w:r>
    <w:r w:rsidR="00B14B5F" w:rsidRPr="00DE6C85">
      <w:rPr>
        <w:b w:val="0"/>
        <w:bCs/>
      </w:rPr>
      <w:fldChar w:fldCharType="begin"/>
    </w:r>
    <w:r w:rsidR="00B14B5F" w:rsidRPr="00DE6C85">
      <w:rPr>
        <w:bCs/>
      </w:rPr>
      <w:instrText xml:space="preserve"> PAGE </w:instrText>
    </w:r>
    <w:r w:rsidR="00B14B5F" w:rsidRPr="00DE6C85">
      <w:rPr>
        <w:b w:val="0"/>
        <w:bCs/>
      </w:rPr>
      <w:fldChar w:fldCharType="separate"/>
    </w:r>
    <w:r w:rsidR="00B14B5F" w:rsidRPr="00DE6C85">
      <w:rPr>
        <w:bCs/>
      </w:rPr>
      <w:t>2</w:t>
    </w:r>
    <w:r w:rsidR="00B14B5F" w:rsidRPr="00DE6C85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A10A987A"/>
    <w:numStyleLink w:val="ZZNumbersloweralpha"/>
  </w:abstractNum>
  <w:abstractNum w:abstractNumId="13" w15:restartNumberingAfterBreak="0">
    <w:nsid w:val="0A0C24AD"/>
    <w:multiLevelType w:val="hybridMultilevel"/>
    <w:tmpl w:val="E836F6AC"/>
    <w:lvl w:ilvl="0" w:tplc="AD7C13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8D43DB"/>
    <w:multiLevelType w:val="multilevel"/>
    <w:tmpl w:val="B4525A8A"/>
    <w:numStyleLink w:val="ZZNumbersdigit"/>
  </w:abstractNum>
  <w:abstractNum w:abstractNumId="15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1641D5"/>
    <w:multiLevelType w:val="hybridMultilevel"/>
    <w:tmpl w:val="8D0445CE"/>
    <w:lvl w:ilvl="0" w:tplc="372AA4B0"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0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18"/>
  </w:num>
  <w:num w:numId="9">
    <w:abstractNumId w:val="22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27"/>
  </w:num>
  <w:num w:numId="25">
    <w:abstractNumId w:val="25"/>
  </w:num>
  <w:num w:numId="26">
    <w:abstractNumId w:val="21"/>
  </w:num>
  <w:num w:numId="27">
    <w:abstractNumId w:val="11"/>
  </w:num>
  <w:num w:numId="28">
    <w:abstractNumId w:val="28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</w:num>
  <w:num w:numId="41">
    <w:abstractNumId w:val="23"/>
  </w:num>
  <w:num w:numId="42">
    <w:abstractNumId w:val="23"/>
  </w:num>
  <w:num w:numId="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3"/>
  </w:num>
  <w:num w:numId="45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127B"/>
    <w:rsid w:val="00002D68"/>
    <w:rsid w:val="00003403"/>
    <w:rsid w:val="00004475"/>
    <w:rsid w:val="00005347"/>
    <w:rsid w:val="000072B6"/>
    <w:rsid w:val="0001021B"/>
    <w:rsid w:val="00011D89"/>
    <w:rsid w:val="000154FD"/>
    <w:rsid w:val="00022271"/>
    <w:rsid w:val="000235E8"/>
    <w:rsid w:val="00024D89"/>
    <w:rsid w:val="00024EC2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0C8"/>
    <w:rsid w:val="0006298A"/>
    <w:rsid w:val="000643BD"/>
    <w:rsid w:val="000663CD"/>
    <w:rsid w:val="00067882"/>
    <w:rsid w:val="000733FE"/>
    <w:rsid w:val="00074219"/>
    <w:rsid w:val="00074ED5"/>
    <w:rsid w:val="0008508E"/>
    <w:rsid w:val="00086557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4FBE"/>
    <w:rsid w:val="000A641A"/>
    <w:rsid w:val="000B2117"/>
    <w:rsid w:val="000B3EDB"/>
    <w:rsid w:val="000B5165"/>
    <w:rsid w:val="000B543D"/>
    <w:rsid w:val="000B55F9"/>
    <w:rsid w:val="000B5BF7"/>
    <w:rsid w:val="000B6BC8"/>
    <w:rsid w:val="000C0303"/>
    <w:rsid w:val="000C42EA"/>
    <w:rsid w:val="000C4546"/>
    <w:rsid w:val="000D1242"/>
    <w:rsid w:val="000D2783"/>
    <w:rsid w:val="000E0970"/>
    <w:rsid w:val="000E3CC7"/>
    <w:rsid w:val="000E5F0F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5291"/>
    <w:rsid w:val="0010714F"/>
    <w:rsid w:val="001120C5"/>
    <w:rsid w:val="00120BD3"/>
    <w:rsid w:val="00122FEA"/>
    <w:rsid w:val="001232BD"/>
    <w:rsid w:val="00124ED5"/>
    <w:rsid w:val="001276FA"/>
    <w:rsid w:val="001447B3"/>
    <w:rsid w:val="00152073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0C27"/>
    <w:rsid w:val="001F3826"/>
    <w:rsid w:val="001F6E46"/>
    <w:rsid w:val="001F7C91"/>
    <w:rsid w:val="00200509"/>
    <w:rsid w:val="002033B7"/>
    <w:rsid w:val="00206463"/>
    <w:rsid w:val="00206F2F"/>
    <w:rsid w:val="00207717"/>
    <w:rsid w:val="0021053D"/>
    <w:rsid w:val="00210A92"/>
    <w:rsid w:val="00216C03"/>
    <w:rsid w:val="00220C04"/>
    <w:rsid w:val="00221EF7"/>
    <w:rsid w:val="0022278D"/>
    <w:rsid w:val="0022701F"/>
    <w:rsid w:val="00227C68"/>
    <w:rsid w:val="00233311"/>
    <w:rsid w:val="002333F5"/>
    <w:rsid w:val="00233724"/>
    <w:rsid w:val="002365B4"/>
    <w:rsid w:val="00242378"/>
    <w:rsid w:val="002432E1"/>
    <w:rsid w:val="00246207"/>
    <w:rsid w:val="00246C5E"/>
    <w:rsid w:val="00250960"/>
    <w:rsid w:val="00250DC4"/>
    <w:rsid w:val="00251343"/>
    <w:rsid w:val="002536A4"/>
    <w:rsid w:val="00254F58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0C4B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3ADF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6F27"/>
    <w:rsid w:val="003214F1"/>
    <w:rsid w:val="00322E4B"/>
    <w:rsid w:val="003252EE"/>
    <w:rsid w:val="00327870"/>
    <w:rsid w:val="0033259D"/>
    <w:rsid w:val="003333D2"/>
    <w:rsid w:val="00337339"/>
    <w:rsid w:val="003406C6"/>
    <w:rsid w:val="003418CC"/>
    <w:rsid w:val="003459BD"/>
    <w:rsid w:val="00350D38"/>
    <w:rsid w:val="00351B36"/>
    <w:rsid w:val="00357B4E"/>
    <w:rsid w:val="003716FD"/>
    <w:rsid w:val="0037204B"/>
    <w:rsid w:val="003744CF"/>
    <w:rsid w:val="00374717"/>
    <w:rsid w:val="0037676C"/>
    <w:rsid w:val="00377A1A"/>
    <w:rsid w:val="00381043"/>
    <w:rsid w:val="003829E5"/>
    <w:rsid w:val="00386109"/>
    <w:rsid w:val="00386944"/>
    <w:rsid w:val="003956CC"/>
    <w:rsid w:val="00395C9A"/>
    <w:rsid w:val="003A04E1"/>
    <w:rsid w:val="003A0853"/>
    <w:rsid w:val="003A6B67"/>
    <w:rsid w:val="003B13B6"/>
    <w:rsid w:val="003B14C3"/>
    <w:rsid w:val="003B15E6"/>
    <w:rsid w:val="003B1BDC"/>
    <w:rsid w:val="003B408A"/>
    <w:rsid w:val="003C08A2"/>
    <w:rsid w:val="003C2045"/>
    <w:rsid w:val="003C43A1"/>
    <w:rsid w:val="003C4FC0"/>
    <w:rsid w:val="003C5406"/>
    <w:rsid w:val="003C55F4"/>
    <w:rsid w:val="003C7897"/>
    <w:rsid w:val="003C7A3F"/>
    <w:rsid w:val="003D2766"/>
    <w:rsid w:val="003D2A74"/>
    <w:rsid w:val="003D3E8F"/>
    <w:rsid w:val="003D6475"/>
    <w:rsid w:val="003D6EE6"/>
    <w:rsid w:val="003D7000"/>
    <w:rsid w:val="003D7E30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3C62"/>
    <w:rsid w:val="003F5CB9"/>
    <w:rsid w:val="004013C7"/>
    <w:rsid w:val="00401FCF"/>
    <w:rsid w:val="00406285"/>
    <w:rsid w:val="004148F9"/>
    <w:rsid w:val="0042084E"/>
    <w:rsid w:val="00421EEF"/>
    <w:rsid w:val="00424D65"/>
    <w:rsid w:val="00430393"/>
    <w:rsid w:val="00431806"/>
    <w:rsid w:val="004350F9"/>
    <w:rsid w:val="00437AC5"/>
    <w:rsid w:val="00442886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440A"/>
    <w:rsid w:val="00466E79"/>
    <w:rsid w:val="00470D7D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4185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4F7B35"/>
    <w:rsid w:val="00503DC6"/>
    <w:rsid w:val="00506F5D"/>
    <w:rsid w:val="00510C37"/>
    <w:rsid w:val="005126D0"/>
    <w:rsid w:val="00513109"/>
    <w:rsid w:val="00513B9A"/>
    <w:rsid w:val="00514667"/>
    <w:rsid w:val="0051568D"/>
    <w:rsid w:val="00526AC7"/>
    <w:rsid w:val="00526C15"/>
    <w:rsid w:val="00536499"/>
    <w:rsid w:val="00542A03"/>
    <w:rsid w:val="00543903"/>
    <w:rsid w:val="00543F11"/>
    <w:rsid w:val="00546305"/>
    <w:rsid w:val="00547A95"/>
    <w:rsid w:val="0055119B"/>
    <w:rsid w:val="00561202"/>
    <w:rsid w:val="00572031"/>
    <w:rsid w:val="00572282"/>
    <w:rsid w:val="00573CE3"/>
    <w:rsid w:val="00576E84"/>
    <w:rsid w:val="00580394"/>
    <w:rsid w:val="005809CD"/>
    <w:rsid w:val="00582B8C"/>
    <w:rsid w:val="0058757E"/>
    <w:rsid w:val="00593A99"/>
    <w:rsid w:val="00596A4B"/>
    <w:rsid w:val="00597507"/>
    <w:rsid w:val="005A2AF8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1125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64CF"/>
    <w:rsid w:val="006041AD"/>
    <w:rsid w:val="00605908"/>
    <w:rsid w:val="00607850"/>
    <w:rsid w:val="00610D7C"/>
    <w:rsid w:val="00612840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37E12"/>
    <w:rsid w:val="0064172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1C9"/>
    <w:rsid w:val="006608D8"/>
    <w:rsid w:val="006621D7"/>
    <w:rsid w:val="0066302A"/>
    <w:rsid w:val="00667264"/>
    <w:rsid w:val="00667770"/>
    <w:rsid w:val="00670597"/>
    <w:rsid w:val="006706D0"/>
    <w:rsid w:val="00677574"/>
    <w:rsid w:val="00683878"/>
    <w:rsid w:val="0068454C"/>
    <w:rsid w:val="00691B62"/>
    <w:rsid w:val="006933B5"/>
    <w:rsid w:val="00693D14"/>
    <w:rsid w:val="00695A93"/>
    <w:rsid w:val="00696F27"/>
    <w:rsid w:val="006A18C2"/>
    <w:rsid w:val="006A3383"/>
    <w:rsid w:val="006B077C"/>
    <w:rsid w:val="006B16AF"/>
    <w:rsid w:val="006B6803"/>
    <w:rsid w:val="006D0F16"/>
    <w:rsid w:val="006D2A3F"/>
    <w:rsid w:val="006D2FBC"/>
    <w:rsid w:val="006D66FD"/>
    <w:rsid w:val="006E138B"/>
    <w:rsid w:val="006E1867"/>
    <w:rsid w:val="006F0330"/>
    <w:rsid w:val="006F1FDC"/>
    <w:rsid w:val="006F6B8C"/>
    <w:rsid w:val="007013EF"/>
    <w:rsid w:val="007055BD"/>
    <w:rsid w:val="00707CA3"/>
    <w:rsid w:val="00707FED"/>
    <w:rsid w:val="00711A80"/>
    <w:rsid w:val="007173CA"/>
    <w:rsid w:val="007216AA"/>
    <w:rsid w:val="00721AB5"/>
    <w:rsid w:val="00721CFB"/>
    <w:rsid w:val="00721DEF"/>
    <w:rsid w:val="00724A43"/>
    <w:rsid w:val="007273AC"/>
    <w:rsid w:val="00731AD4"/>
    <w:rsid w:val="007346E4"/>
    <w:rsid w:val="00740F22"/>
    <w:rsid w:val="00741977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66F80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0DF6"/>
    <w:rsid w:val="007E3B98"/>
    <w:rsid w:val="007E417A"/>
    <w:rsid w:val="007F31B6"/>
    <w:rsid w:val="007F546C"/>
    <w:rsid w:val="007F625F"/>
    <w:rsid w:val="007F665E"/>
    <w:rsid w:val="007F7D17"/>
    <w:rsid w:val="00800412"/>
    <w:rsid w:val="0080587B"/>
    <w:rsid w:val="00806468"/>
    <w:rsid w:val="008119CA"/>
    <w:rsid w:val="00811BBF"/>
    <w:rsid w:val="008130C4"/>
    <w:rsid w:val="008155F0"/>
    <w:rsid w:val="00816735"/>
    <w:rsid w:val="00820141"/>
    <w:rsid w:val="00820E0C"/>
    <w:rsid w:val="00823275"/>
    <w:rsid w:val="0082366F"/>
    <w:rsid w:val="008338A2"/>
    <w:rsid w:val="00841AA9"/>
    <w:rsid w:val="008474FE"/>
    <w:rsid w:val="0085232E"/>
    <w:rsid w:val="00853EE4"/>
    <w:rsid w:val="00855535"/>
    <w:rsid w:val="00857C5A"/>
    <w:rsid w:val="0086255E"/>
    <w:rsid w:val="008633F0"/>
    <w:rsid w:val="00867D9D"/>
    <w:rsid w:val="00872C54"/>
    <w:rsid w:val="00872E0A"/>
    <w:rsid w:val="00873594"/>
    <w:rsid w:val="00875285"/>
    <w:rsid w:val="00884B62"/>
    <w:rsid w:val="0088529C"/>
    <w:rsid w:val="00887903"/>
    <w:rsid w:val="0089270A"/>
    <w:rsid w:val="008930BF"/>
    <w:rsid w:val="00893AF6"/>
    <w:rsid w:val="00894BC4"/>
    <w:rsid w:val="008A28A8"/>
    <w:rsid w:val="008A5B32"/>
    <w:rsid w:val="008A5D60"/>
    <w:rsid w:val="008B2029"/>
    <w:rsid w:val="008B2EE4"/>
    <w:rsid w:val="008B3821"/>
    <w:rsid w:val="008B4D3D"/>
    <w:rsid w:val="008B57C7"/>
    <w:rsid w:val="008C2F92"/>
    <w:rsid w:val="008C589D"/>
    <w:rsid w:val="008C6D51"/>
    <w:rsid w:val="008D2846"/>
    <w:rsid w:val="008D4236"/>
    <w:rsid w:val="008D462F"/>
    <w:rsid w:val="008D5C45"/>
    <w:rsid w:val="008D6DCF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4AE1"/>
    <w:rsid w:val="009257ED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4D01"/>
    <w:rsid w:val="0095615A"/>
    <w:rsid w:val="00961400"/>
    <w:rsid w:val="00963646"/>
    <w:rsid w:val="0096632D"/>
    <w:rsid w:val="00967124"/>
    <w:rsid w:val="00967335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4791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1A3D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4996"/>
    <w:rsid w:val="00A157B1"/>
    <w:rsid w:val="00A21009"/>
    <w:rsid w:val="00A22229"/>
    <w:rsid w:val="00A24442"/>
    <w:rsid w:val="00A252B9"/>
    <w:rsid w:val="00A32577"/>
    <w:rsid w:val="00A330BB"/>
    <w:rsid w:val="00A34ACD"/>
    <w:rsid w:val="00A44882"/>
    <w:rsid w:val="00A45125"/>
    <w:rsid w:val="00A46D51"/>
    <w:rsid w:val="00A513A9"/>
    <w:rsid w:val="00A54715"/>
    <w:rsid w:val="00A574E3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6ECE"/>
    <w:rsid w:val="00A97C72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26E2"/>
    <w:rsid w:val="00AD2C17"/>
    <w:rsid w:val="00AD784C"/>
    <w:rsid w:val="00AE126A"/>
    <w:rsid w:val="00AE1BAE"/>
    <w:rsid w:val="00AE3005"/>
    <w:rsid w:val="00AE3BD5"/>
    <w:rsid w:val="00AE59A0"/>
    <w:rsid w:val="00AE7145"/>
    <w:rsid w:val="00AF0C57"/>
    <w:rsid w:val="00AF26F3"/>
    <w:rsid w:val="00AF5F04"/>
    <w:rsid w:val="00B00672"/>
    <w:rsid w:val="00B01B4D"/>
    <w:rsid w:val="00B04489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98F"/>
    <w:rsid w:val="00B41F3D"/>
    <w:rsid w:val="00B431E8"/>
    <w:rsid w:val="00B45141"/>
    <w:rsid w:val="00B4560C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06E8"/>
    <w:rsid w:val="00B73AF7"/>
    <w:rsid w:val="00B75646"/>
    <w:rsid w:val="00B7629E"/>
    <w:rsid w:val="00B90729"/>
    <w:rsid w:val="00B907DA"/>
    <w:rsid w:val="00B950BC"/>
    <w:rsid w:val="00B95AB9"/>
    <w:rsid w:val="00B9714C"/>
    <w:rsid w:val="00BA29AD"/>
    <w:rsid w:val="00BA33CF"/>
    <w:rsid w:val="00BA3F8D"/>
    <w:rsid w:val="00BB7A10"/>
    <w:rsid w:val="00BC60BE"/>
    <w:rsid w:val="00BC7468"/>
    <w:rsid w:val="00BC7D4F"/>
    <w:rsid w:val="00BC7ED7"/>
    <w:rsid w:val="00BD2850"/>
    <w:rsid w:val="00BD6049"/>
    <w:rsid w:val="00BE28D2"/>
    <w:rsid w:val="00BE4A64"/>
    <w:rsid w:val="00BE5E43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31A0"/>
    <w:rsid w:val="00C26588"/>
    <w:rsid w:val="00C27DE9"/>
    <w:rsid w:val="00C32989"/>
    <w:rsid w:val="00C33388"/>
    <w:rsid w:val="00C35484"/>
    <w:rsid w:val="00C4173A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122E"/>
    <w:rsid w:val="00C724B3"/>
    <w:rsid w:val="00C7275E"/>
    <w:rsid w:val="00C74C5D"/>
    <w:rsid w:val="00C863C4"/>
    <w:rsid w:val="00C920EA"/>
    <w:rsid w:val="00C93C3E"/>
    <w:rsid w:val="00CA12E3"/>
    <w:rsid w:val="00CA1476"/>
    <w:rsid w:val="00CA6611"/>
    <w:rsid w:val="00CA6AE6"/>
    <w:rsid w:val="00CA782F"/>
    <w:rsid w:val="00CB187B"/>
    <w:rsid w:val="00CB1F93"/>
    <w:rsid w:val="00CB2835"/>
    <w:rsid w:val="00CB3285"/>
    <w:rsid w:val="00CB4500"/>
    <w:rsid w:val="00CC0671"/>
    <w:rsid w:val="00CC0C72"/>
    <w:rsid w:val="00CC2BFD"/>
    <w:rsid w:val="00CD1A9A"/>
    <w:rsid w:val="00CD3476"/>
    <w:rsid w:val="00CD3B2E"/>
    <w:rsid w:val="00CD64DF"/>
    <w:rsid w:val="00CE225F"/>
    <w:rsid w:val="00CF2F50"/>
    <w:rsid w:val="00CF4148"/>
    <w:rsid w:val="00CF6198"/>
    <w:rsid w:val="00D02919"/>
    <w:rsid w:val="00D04C61"/>
    <w:rsid w:val="00D05277"/>
    <w:rsid w:val="00D05B8D"/>
    <w:rsid w:val="00D05B9B"/>
    <w:rsid w:val="00D065A2"/>
    <w:rsid w:val="00D079AA"/>
    <w:rsid w:val="00D07F00"/>
    <w:rsid w:val="00D1130F"/>
    <w:rsid w:val="00D14A2D"/>
    <w:rsid w:val="00D17B72"/>
    <w:rsid w:val="00D248D7"/>
    <w:rsid w:val="00D3185C"/>
    <w:rsid w:val="00D3205F"/>
    <w:rsid w:val="00D3318E"/>
    <w:rsid w:val="00D33E72"/>
    <w:rsid w:val="00D35BD6"/>
    <w:rsid w:val="00D361B5"/>
    <w:rsid w:val="00D402DB"/>
    <w:rsid w:val="00D411A2"/>
    <w:rsid w:val="00D4606D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423D"/>
    <w:rsid w:val="00D864F2"/>
    <w:rsid w:val="00D943F8"/>
    <w:rsid w:val="00D95470"/>
    <w:rsid w:val="00D955DB"/>
    <w:rsid w:val="00D96B55"/>
    <w:rsid w:val="00DA2619"/>
    <w:rsid w:val="00DA2E57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6028"/>
    <w:rsid w:val="00DE6C85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5FB3"/>
    <w:rsid w:val="00E56A01"/>
    <w:rsid w:val="00E629A1"/>
    <w:rsid w:val="00E6794C"/>
    <w:rsid w:val="00E71591"/>
    <w:rsid w:val="00E71CEB"/>
    <w:rsid w:val="00E7474F"/>
    <w:rsid w:val="00E775A9"/>
    <w:rsid w:val="00E80DE3"/>
    <w:rsid w:val="00E82C55"/>
    <w:rsid w:val="00E8787E"/>
    <w:rsid w:val="00E92AC3"/>
    <w:rsid w:val="00EA2F6A"/>
    <w:rsid w:val="00EB00E0"/>
    <w:rsid w:val="00EB05D5"/>
    <w:rsid w:val="00EB1931"/>
    <w:rsid w:val="00EC059F"/>
    <w:rsid w:val="00EC1F24"/>
    <w:rsid w:val="00EC20FF"/>
    <w:rsid w:val="00EC22F6"/>
    <w:rsid w:val="00ED195F"/>
    <w:rsid w:val="00ED50C9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9DC"/>
    <w:rsid w:val="00F02ABA"/>
    <w:rsid w:val="00F03701"/>
    <w:rsid w:val="00F0437A"/>
    <w:rsid w:val="00F101B8"/>
    <w:rsid w:val="00F10C7D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35B9"/>
    <w:rsid w:val="00F64696"/>
    <w:rsid w:val="00F65AA9"/>
    <w:rsid w:val="00F6768F"/>
    <w:rsid w:val="00F72115"/>
    <w:rsid w:val="00F72C2C"/>
    <w:rsid w:val="00F741F2"/>
    <w:rsid w:val="00F76CAB"/>
    <w:rsid w:val="00F772C6"/>
    <w:rsid w:val="00F815B5"/>
    <w:rsid w:val="00F85195"/>
    <w:rsid w:val="00F868E3"/>
    <w:rsid w:val="00F938BA"/>
    <w:rsid w:val="00F972B1"/>
    <w:rsid w:val="00F97919"/>
    <w:rsid w:val="00FA2C46"/>
    <w:rsid w:val="00FA3525"/>
    <w:rsid w:val="00FA5A53"/>
    <w:rsid w:val="00FB3501"/>
    <w:rsid w:val="00FB4769"/>
    <w:rsid w:val="00FB4CDA"/>
    <w:rsid w:val="00FB5B4E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E2DCF"/>
    <w:rsid w:val="00FE3FA7"/>
    <w:rsid w:val="00FF2A4E"/>
    <w:rsid w:val="00FF2FCE"/>
    <w:rsid w:val="00FF4F7D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09C5E"/>
  <w15:docId w15:val="{3531B8DC-BA3B-48BD-BFBF-40C7B3A3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D7E30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D7E30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D7E30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201547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D7E30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B95AB9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D7E30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D7E30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D7E30"/>
    <w:rPr>
      <w:rFonts w:ascii="Arial" w:eastAsia="MS Gothic" w:hAnsi="Arial"/>
      <w:bCs/>
      <w:color w:val="201547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D7E30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593A99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B95AB9"/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280C4B"/>
    <w:pPr>
      <w:spacing w:after="80" w:line="460" w:lineRule="atLeast"/>
    </w:pPr>
    <w:rPr>
      <w:rFonts w:ascii="Arial" w:hAnsi="Arial"/>
      <w:b/>
      <w:color w:val="201547"/>
      <w:sz w:val="44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9"/>
      </w:numPr>
    </w:pPr>
  </w:style>
  <w:style w:type="numbering" w:customStyle="1" w:styleId="ZZTablebullets">
    <w:name w:val="ZZ Table bullets"/>
    <w:basedOn w:val="NoList"/>
    <w:rsid w:val="0033733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2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D8423D"/>
    <w:pPr>
      <w:spacing w:after="100" w:line="320" w:lineRule="atLeast"/>
    </w:pPr>
    <w:rPr>
      <w:rFonts w:ascii="Arial" w:hAnsi="Arial"/>
      <w:color w:val="201547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7"/>
      </w:numPr>
    </w:pPr>
  </w:style>
  <w:style w:type="numbering" w:customStyle="1" w:styleId="ZZNumbersdigit">
    <w:name w:val="ZZ Numbers digit"/>
    <w:rsid w:val="003D7E30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20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2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20"/>
      </w:numPr>
    </w:pPr>
  </w:style>
  <w:style w:type="paragraph" w:customStyle="1" w:styleId="Quotebullet1">
    <w:name w:val="Quote bullet 1"/>
    <w:basedOn w:val="Quotetext"/>
    <w:rsid w:val="00337339"/>
    <w:pPr>
      <w:numPr>
        <w:numId w:val="11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8A5D60"/>
    <w:pPr>
      <w:spacing w:line="320" w:lineRule="atLeast"/>
    </w:pPr>
    <w:rPr>
      <w:color w:val="201547"/>
      <w:sz w:val="24"/>
    </w:rPr>
  </w:style>
  <w:style w:type="paragraph" w:customStyle="1" w:styleId="DHHSbody">
    <w:name w:val="DHHS body"/>
    <w:qFormat/>
    <w:rsid w:val="000A4FBE"/>
    <w:pPr>
      <w:spacing w:after="120" w:line="270" w:lineRule="atLeast"/>
    </w:pPr>
    <w:rPr>
      <w:rFonts w:ascii="Arial" w:eastAsia="Times" w:hAnsi="Arial"/>
      <w:lang w:eastAsia="en-US"/>
    </w:rPr>
  </w:style>
  <w:style w:type="paragraph" w:styleId="ListParagraph">
    <w:name w:val="List Paragraph"/>
    <w:basedOn w:val="Normal"/>
    <w:uiPriority w:val="34"/>
    <w:qFormat/>
    <w:rsid w:val="000A4FB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yperlink" Target="https://www.cddh.monashhealth.org/wp-content/uploads/2016/11/2015-medication-review-guide-for-gps.pdf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dhhsvicgovau-my.sharepoint.com/personal/peter_o'brien_dffh_vic_gov_au/Documents/00%20BRANDPUB%20JOBS%20PETE/2209322_Chemical%20restraint%20resources/Working/Edited%20docs%20from%20Bridget/Department%20of%20Developmental%20Disability%20Neuropsychiatry%20(3DN%20&#8211;%20UNSW)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365portals xmlns="fe161729-0ef4-4b53-b9e8-ddb61266bb63">
      <Url>https://dhhsvicgovau.sharepoint.com/:w:/s/dffh/Ed1G_4r4BHNHgqOGDkeMWhcB0Lm5z1k7mSu1dsrFHD18Fg?e=GtzvTT</Url>
      <Description>DFFH A4 portrait factsheet Teal (O365)</Description>
    </O365portals>
    <SharetoDesktop xmlns="fe161729-0ef4-4b53-b9e8-ddb61266bb63" xsi:nil="true"/>
    <Style xmlns="fe161729-0ef4-4b53-b9e8-ddb61266bb63">Visual style</Styl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92284D629C66409C3E65A98AFA6AB2" ma:contentTypeVersion="11" ma:contentTypeDescription="Create a new document." ma:contentTypeScope="" ma:versionID="4b0a5ae47077f6003806ef3c360bbd59">
  <xsd:schema xmlns:xsd="http://www.w3.org/2001/XMLSchema" xmlns:xs="http://www.w3.org/2001/XMLSchema" xmlns:p="http://schemas.microsoft.com/office/2006/metadata/properties" xmlns:ns2="fe161729-0ef4-4b53-b9e8-ddb61266bb63" targetNamespace="http://schemas.microsoft.com/office/2006/metadata/properties" ma:root="true" ma:fieldsID="03e471a69843c4a80d836e5a75493e45" ns2:_="">
    <xsd:import namespace="fe161729-0ef4-4b53-b9e8-ddb61266bb63"/>
    <xsd:element name="properties">
      <xsd:complexType>
        <xsd:sequence>
          <xsd:element name="documentManagement">
            <xsd:complexType>
              <xsd:all>
                <xsd:element ref="ns2:O365portals" minOccurs="0"/>
                <xsd:element ref="ns2:SharetoDesktop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Styl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61729-0ef4-4b53-b9e8-ddb61266bb63" elementFormDefault="qualified">
    <xsd:import namespace="http://schemas.microsoft.com/office/2006/documentManagement/types"/>
    <xsd:import namespace="http://schemas.microsoft.com/office/infopath/2007/PartnerControls"/>
    <xsd:element name="O365portals" ma:index="3" nillable="true" ma:displayName="O365 portals" ma:description="Office 365 portal users " ma:format="Hyperlink" ma:internalName="O365portal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haretoDesktop" ma:index="5" nillable="true" ma:displayName="Share to Desktop" ma:format="Dropdown" ma:internalName="SharetoDesktop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yle" ma:index="16" ma:displayName="Style" ma:default="Visual style" ma:format="Dropdown" ma:internalName="Style">
      <xsd:simpleType>
        <xsd:restriction base="dms:Choice">
          <xsd:enumeration value="Visual style"/>
          <xsd:enumeration value="Letterhead"/>
          <xsd:enumeration value="Signatur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fe161729-0ef4-4b53-b9e8-ddb61266bb63"/>
  </ds:schemaRefs>
</ds:datastoreItem>
</file>

<file path=customXml/itemProps3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A5B895-EE20-47C1-B097-7A64FCAD9D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161729-0ef4-4b53-b9e8-ddb61266bb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977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Chemical restraint - information for prescribers</vt:lpstr>
    </vt:vector>
  </TitlesOfParts>
  <Manager/>
  <Company>Victoria State Government, Department of Families, Fairness and Housing</Company>
  <LinksUpToDate>false</LinksUpToDate>
  <CharactersWithSpaces>6535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restraint - information for prescribers</dc:title>
  <dc:subject>Chemical restraint - information for prescribers</dc:subject>
  <dc:creator>Community Operations and Practice Leadership</dc:creator>
  <cp:keywords>chemical restraint, behaviours of concern, prescribers, medications</cp:keywords>
  <dc:description/>
  <cp:lastModifiedBy>Connie X Wu (DFFH)</cp:lastModifiedBy>
  <cp:revision>21</cp:revision>
  <cp:lastPrinted>2021-01-29T05:27:00Z</cp:lastPrinted>
  <dcterms:created xsi:type="dcterms:W3CDTF">2022-10-16T22:23:00Z</dcterms:created>
  <dcterms:modified xsi:type="dcterms:W3CDTF">2022-10-19T05:25:00Z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0x0101009E92284D629C66409C3E65A98AFA6AB2</vt:lpwstr>
  </property>
  <property fmtid="{D5CDD505-2E9C-101B-9397-08002B2CF9AE}" pid="4" name="version">
    <vt:lpwstr>v8 15022022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2022-10-19T05:25:41Z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584ae805-3925-45ff-8ff1-b8a84d1adea0</vt:lpwstr>
  </property>
  <property fmtid="{D5CDD505-2E9C-101B-9397-08002B2CF9AE}" pid="11" name="MSIP_Label_43e64453-338c-4f93-8a4d-0039a0a41f2a_ContentBits">
    <vt:lpwstr>2</vt:lpwstr>
  </property>
</Properties>
</file>