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E8359" w14:textId="77777777" w:rsidR="00EF2B43" w:rsidRPr="004C6EEE" w:rsidRDefault="00EF2B43" w:rsidP="00EF2B43">
      <w:pPr>
        <w:pStyle w:val="Spacerparatopoffirstpage"/>
      </w:pPr>
      <w:r>
        <w:drawing>
          <wp:anchor distT="0" distB="0" distL="114300" distR="114300" simplePos="0" relativeHeight="251658240" behindDoc="1" locked="1" layoutInCell="1" allowOverlap="1" wp14:anchorId="0CF81172" wp14:editId="23C1F764">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0"/>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1231B318" w14:textId="77777777" w:rsidR="00EF2B43" w:rsidRPr="004C6EEE" w:rsidRDefault="00EF2B43" w:rsidP="00EF2B43">
      <w:pPr>
        <w:pStyle w:val="Sectionbreakfirstpage"/>
        <w:sectPr w:rsidR="00EF2B43" w:rsidRPr="004C6EEE" w:rsidSect="006E377B">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p>
    <w:tbl>
      <w:tblPr>
        <w:tblStyle w:val="TableGrid"/>
        <w:tblW w:w="9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774"/>
      </w:tblGrid>
      <w:tr w:rsidR="00EF2B43" w:rsidRPr="00411A3E" w14:paraId="63128FB9" w14:textId="77777777" w:rsidTr="008B03EB">
        <w:trPr>
          <w:trHeight w:val="1508"/>
        </w:trPr>
        <w:tc>
          <w:tcPr>
            <w:tcW w:w="9774" w:type="dxa"/>
            <w:vAlign w:val="bottom"/>
          </w:tcPr>
          <w:p w14:paraId="2A9CDBFC" w14:textId="77777777" w:rsidR="003C158A" w:rsidRDefault="003C158A" w:rsidP="004075CE">
            <w:pPr>
              <w:pStyle w:val="Documenttitle"/>
              <w:rPr>
                <w:sz w:val="40"/>
                <w:szCs w:val="40"/>
              </w:rPr>
            </w:pPr>
          </w:p>
          <w:p w14:paraId="49592DEF" w14:textId="4F2F71A2" w:rsidR="00855140" w:rsidRDefault="00855140" w:rsidP="00A26166">
            <w:pPr>
              <w:pStyle w:val="Documenttitle"/>
              <w:rPr>
                <w:sz w:val="40"/>
                <w:szCs w:val="40"/>
              </w:rPr>
            </w:pPr>
            <w:r w:rsidRPr="141B2F23">
              <w:rPr>
                <w:sz w:val="40"/>
                <w:szCs w:val="40"/>
              </w:rPr>
              <w:t>Social Services Regulatory Scheme</w:t>
            </w:r>
            <w:r w:rsidR="00B65039">
              <w:rPr>
                <w:sz w:val="40"/>
                <w:szCs w:val="40"/>
              </w:rPr>
              <w:t xml:space="preserve"> </w:t>
            </w:r>
          </w:p>
          <w:p w14:paraId="17B05751" w14:textId="319CFC03" w:rsidR="00411A3E" w:rsidRPr="009B7283" w:rsidRDefault="005C2006" w:rsidP="009B6147">
            <w:pPr>
              <w:pStyle w:val="Documentsubtitle"/>
              <w:rPr>
                <w:b/>
                <w:bCs/>
                <w:sz w:val="36"/>
                <w:szCs w:val="36"/>
              </w:rPr>
            </w:pPr>
            <w:r w:rsidRPr="009B6147">
              <w:rPr>
                <w:lang w:eastAsia="en-US"/>
              </w:rPr>
              <w:t>A brief summary</w:t>
            </w:r>
          </w:p>
        </w:tc>
      </w:tr>
      <w:tr w:rsidR="00EF2B43" w14:paraId="2D3926BB" w14:textId="77777777" w:rsidTr="008B03EB">
        <w:trPr>
          <w:trHeight w:val="1326"/>
        </w:trPr>
        <w:tc>
          <w:tcPr>
            <w:tcW w:w="9774" w:type="dxa"/>
          </w:tcPr>
          <w:p w14:paraId="7099C69E" w14:textId="77777777" w:rsidR="008B03EB" w:rsidRDefault="008B03EB" w:rsidP="004075CE">
            <w:pPr>
              <w:pStyle w:val="Documentsubtitle"/>
            </w:pPr>
          </w:p>
          <w:p w14:paraId="5A20891E" w14:textId="34A5F76C" w:rsidR="00EF2B43" w:rsidRPr="00A1389F" w:rsidRDefault="00FF7416" w:rsidP="004075CE">
            <w:pPr>
              <w:pStyle w:val="Documentsubtitle"/>
            </w:pPr>
            <w:r>
              <w:t>September</w:t>
            </w:r>
            <w:r w:rsidR="00A26166">
              <w:t xml:space="preserve"> 2022</w:t>
            </w:r>
          </w:p>
        </w:tc>
      </w:tr>
      <w:tr w:rsidR="00EF2B43" w14:paraId="14A61227" w14:textId="77777777" w:rsidTr="008B03EB">
        <w:trPr>
          <w:trHeight w:val="301"/>
        </w:trPr>
        <w:tc>
          <w:tcPr>
            <w:tcW w:w="9774" w:type="dxa"/>
          </w:tcPr>
          <w:p w14:paraId="048F9DD1" w14:textId="77777777" w:rsidR="00EF2B43" w:rsidRPr="00250DC4" w:rsidRDefault="00B949FE" w:rsidP="004075CE">
            <w:pPr>
              <w:pStyle w:val="Bannermarking"/>
            </w:pPr>
            <w:fldSimple w:instr="FILLIN  &quot;Type the protective marking&quot; \d OFFICIAL \o  \* MERGEFORMAT">
              <w:r w:rsidR="00EF2B43">
                <w:t>OFFICIAL</w:t>
              </w:r>
            </w:fldSimple>
          </w:p>
        </w:tc>
      </w:tr>
    </w:tbl>
    <w:p w14:paraId="421310A0" w14:textId="77777777" w:rsidR="00EF2B43" w:rsidRDefault="00EF2B43" w:rsidP="00EF2B43">
      <w:pPr>
        <w:pStyle w:val="Heading1"/>
        <w:jc w:val="both"/>
      </w:pPr>
      <w:bookmarkStart w:id="0" w:name="_Toc63257285"/>
      <w:bookmarkStart w:id="1" w:name="_Toc63265746"/>
      <w:r w:rsidRPr="00DF3E40">
        <w:t>Background</w:t>
      </w:r>
      <w:r>
        <w:t xml:space="preserve"> and context</w:t>
      </w:r>
    </w:p>
    <w:p w14:paraId="70719547" w14:textId="1784EECE" w:rsidR="00EF2B43" w:rsidRPr="008454CB" w:rsidRDefault="000E50C2" w:rsidP="00E869CF">
      <w:pPr>
        <w:pStyle w:val="Body"/>
      </w:pPr>
      <w:r>
        <w:t>Commencing on 1 July 2024</w:t>
      </w:r>
      <w:r w:rsidR="00D107AD">
        <w:t>,</w:t>
      </w:r>
      <w:r>
        <w:t xml:space="preserve"> t</w:t>
      </w:r>
      <w:r w:rsidR="00EF2B43" w:rsidRPr="008454CB">
        <w:t xml:space="preserve">he </w:t>
      </w:r>
      <w:r w:rsidR="00F60AA4">
        <w:t>s</w:t>
      </w:r>
      <w:r w:rsidR="00EF2B43" w:rsidRPr="008454CB">
        <w:t xml:space="preserve">ocial </w:t>
      </w:r>
      <w:r w:rsidR="00F60AA4">
        <w:t>s</w:t>
      </w:r>
      <w:r w:rsidR="00EF2B43" w:rsidRPr="008454CB">
        <w:t xml:space="preserve">ervices </w:t>
      </w:r>
      <w:r w:rsidR="00F60AA4">
        <w:t>r</w:t>
      </w:r>
      <w:r w:rsidR="00EF2B43" w:rsidRPr="008454CB">
        <w:t>egulat</w:t>
      </w:r>
      <w:r w:rsidR="00750890">
        <w:t xml:space="preserve">ory scheme </w:t>
      </w:r>
      <w:r w:rsidR="00EF2B43" w:rsidRPr="008454CB">
        <w:t xml:space="preserve">gives effect to a comprehensive new regulatory </w:t>
      </w:r>
      <w:r w:rsidR="005C6023">
        <w:t>framework</w:t>
      </w:r>
      <w:r w:rsidR="005C6023" w:rsidRPr="008454CB">
        <w:t xml:space="preserve"> </w:t>
      </w:r>
      <w:r w:rsidR="00EF2B43" w:rsidRPr="008454CB">
        <w:t>for Victorian social services</w:t>
      </w:r>
      <w:r w:rsidR="00D651BA">
        <w:t xml:space="preserve"> </w:t>
      </w:r>
      <w:r w:rsidR="005C6023">
        <w:t xml:space="preserve">which </w:t>
      </w:r>
      <w:r w:rsidR="00EF2B43" w:rsidRPr="008454CB">
        <w:t>aim</w:t>
      </w:r>
      <w:r w:rsidR="005C6023">
        <w:t>s</w:t>
      </w:r>
      <w:r w:rsidR="00EF2B43" w:rsidRPr="008454CB">
        <w:t xml:space="preserve"> </w:t>
      </w:r>
      <w:r w:rsidR="005C6023">
        <w:t>to</w:t>
      </w:r>
      <w:r w:rsidR="00EF2B43" w:rsidRPr="008454CB">
        <w:t xml:space="preserve"> reduc</w:t>
      </w:r>
      <w:r w:rsidR="005C6023">
        <w:t>e</w:t>
      </w:r>
      <w:r w:rsidR="00EF2B43" w:rsidRPr="008454CB">
        <w:t xml:space="preserve"> </w:t>
      </w:r>
      <w:r w:rsidR="005C6023">
        <w:t>and</w:t>
      </w:r>
      <w:r w:rsidR="00EF2B43" w:rsidRPr="008454CB">
        <w:t xml:space="preserve"> prevent harms to social services users.</w:t>
      </w:r>
    </w:p>
    <w:p w14:paraId="5078A5C0" w14:textId="77777777" w:rsidR="00EF2B43" w:rsidRPr="008454CB" w:rsidRDefault="00EF2B43" w:rsidP="00E869CF">
      <w:pPr>
        <w:pStyle w:val="Body"/>
      </w:pPr>
      <w:r w:rsidRPr="008454CB">
        <w:t xml:space="preserve">The regulatory scheme will cover social services including child protection services, community-based child and family services, some disability services, family violence services, homelessness support services, out of home care services, sexual assault services and supported residential services. Section 3 of the </w:t>
      </w:r>
      <w:r w:rsidRPr="00AA05AD">
        <w:rPr>
          <w:i/>
          <w:iCs/>
        </w:rPr>
        <w:t>Social Services Regulation Act 2021</w:t>
      </w:r>
      <w:r w:rsidRPr="008454CB">
        <w:t xml:space="preserve"> (the Act) provides that these services will be prescribed in regulations. </w:t>
      </w:r>
    </w:p>
    <w:p w14:paraId="3F7B9263" w14:textId="6350F542" w:rsidR="00EF2B43" w:rsidRPr="008454CB" w:rsidRDefault="00EF2B43" w:rsidP="00E869CF">
      <w:pPr>
        <w:pStyle w:val="Body"/>
      </w:pPr>
      <w:r w:rsidRPr="008454CB">
        <w:t>The key elements of the new scheme are:</w:t>
      </w:r>
    </w:p>
    <w:p w14:paraId="02ABBF6D" w14:textId="5F1681C1" w:rsidR="00EF2B43" w:rsidRPr="008454CB" w:rsidRDefault="00B83803" w:rsidP="00E869CF">
      <w:pPr>
        <w:pStyle w:val="Bullet1"/>
      </w:pPr>
      <w:r>
        <w:rPr>
          <w:u w:val="single"/>
        </w:rPr>
        <w:t xml:space="preserve">a </w:t>
      </w:r>
      <w:r w:rsidR="00EF2B43" w:rsidRPr="008454CB">
        <w:rPr>
          <w:u w:val="single"/>
        </w:rPr>
        <w:t>mandatory registration framework</w:t>
      </w:r>
      <w:r w:rsidR="00EF2B43" w:rsidRPr="008454CB">
        <w:t xml:space="preserve"> for all providers of services that are within scope of the scheme</w:t>
      </w:r>
      <w:r w:rsidR="00C55842">
        <w:t>.</w:t>
      </w:r>
    </w:p>
    <w:p w14:paraId="11DB7BD0" w14:textId="39AE5C8F" w:rsidR="00EF2B43" w:rsidRPr="008454CB" w:rsidRDefault="00B83803" w:rsidP="00E869CF">
      <w:pPr>
        <w:pStyle w:val="Bullet1"/>
      </w:pPr>
      <w:r>
        <w:rPr>
          <w:u w:val="single"/>
        </w:rPr>
        <w:t xml:space="preserve">a </w:t>
      </w:r>
      <w:r w:rsidR="00EF2B43" w:rsidRPr="008454CB">
        <w:rPr>
          <w:u w:val="single"/>
        </w:rPr>
        <w:t>requirement that all registered providers will be required to comply with a new set of</w:t>
      </w:r>
      <w:r w:rsidR="00EF2B43">
        <w:rPr>
          <w:u w:val="single"/>
        </w:rPr>
        <w:t xml:space="preserve"> six</w:t>
      </w:r>
      <w:r w:rsidR="00EF2B43" w:rsidRPr="008454CB">
        <w:rPr>
          <w:u w:val="single"/>
        </w:rPr>
        <w:t xml:space="preserve"> social service standards</w:t>
      </w:r>
      <w:r w:rsidR="00EF2B43" w:rsidRPr="008454CB">
        <w:t xml:space="preserve">. The new standards will replace the current human services standards and will be outcomes focussed and appropriately target risk. These standards will be prescribed in regulation. </w:t>
      </w:r>
    </w:p>
    <w:p w14:paraId="2C298B6B" w14:textId="2B72BC6D" w:rsidR="00EF2B43" w:rsidRDefault="00EF2B43" w:rsidP="00E869CF">
      <w:pPr>
        <w:pStyle w:val="Bullet1"/>
      </w:pPr>
      <w:r w:rsidRPr="008454CB">
        <w:rPr>
          <w:u w:val="single"/>
        </w:rPr>
        <w:t>Social Services Regulator</w:t>
      </w:r>
      <w:r w:rsidRPr="008454CB">
        <w:t xml:space="preserve">, established as a separate statutory body, to administer the registration system and enforce compliance with the new scheme. The Regulator is intended to be </w:t>
      </w:r>
      <w:r>
        <w:t xml:space="preserve">appointed in </w:t>
      </w:r>
      <w:r w:rsidR="001A45E3">
        <w:t>mid</w:t>
      </w:r>
      <w:r w:rsidR="00D57242">
        <w:t xml:space="preserve"> </w:t>
      </w:r>
      <w:r w:rsidRPr="000E24CB">
        <w:t>202</w:t>
      </w:r>
      <w:r w:rsidR="001A45E3">
        <w:t>3</w:t>
      </w:r>
      <w:r w:rsidRPr="000E24CB">
        <w:t>.</w:t>
      </w:r>
    </w:p>
    <w:p w14:paraId="0F4A9ED1" w14:textId="6364CA7D" w:rsidR="00EF2B43" w:rsidRDefault="00EF2B43" w:rsidP="00E869CF">
      <w:pPr>
        <w:pStyle w:val="Bullet1"/>
      </w:pPr>
      <w:r w:rsidRPr="00EF2B43">
        <w:rPr>
          <w:u w:val="single"/>
        </w:rPr>
        <w:t>Worker and Carer Exclusion Scheme</w:t>
      </w:r>
      <w:r>
        <w:t xml:space="preserve">, to replace the current Carers Register, and an independent investigations model. The scheme will be administered by the new Social Services Regulator when the framework is operational. </w:t>
      </w:r>
    </w:p>
    <w:p w14:paraId="132DEC2A" w14:textId="178DDBAF" w:rsidR="00EF2B43" w:rsidRPr="0023305D" w:rsidRDefault="00B83803" w:rsidP="00E869CF">
      <w:pPr>
        <w:pStyle w:val="Bullet1"/>
      </w:pPr>
      <w:r>
        <w:rPr>
          <w:u w:val="single"/>
        </w:rPr>
        <w:t xml:space="preserve">a </w:t>
      </w:r>
      <w:r w:rsidR="00EF2B43" w:rsidRPr="00EF2B43">
        <w:rPr>
          <w:u w:val="single"/>
        </w:rPr>
        <w:t>graduated set of enforcement tools</w:t>
      </w:r>
      <w:r w:rsidR="00EF2B43" w:rsidRPr="0023305D">
        <w:t xml:space="preserve"> to support early intervention and enable the Regulator to respond proportionately to risk.</w:t>
      </w:r>
    </w:p>
    <w:p w14:paraId="45E1EC9C" w14:textId="77777777" w:rsidR="00EF2B43" w:rsidRPr="000E24CB" w:rsidRDefault="00EF2B43" w:rsidP="00EF2B43">
      <w:pPr>
        <w:pStyle w:val="DHHSbullet1"/>
        <w:rPr>
          <w:sz w:val="21"/>
          <w:szCs w:val="21"/>
        </w:rPr>
      </w:pPr>
    </w:p>
    <w:p w14:paraId="50D662D5" w14:textId="4631FF7C" w:rsidR="00EF2B43" w:rsidRPr="008454CB" w:rsidRDefault="00352F6E" w:rsidP="00E869CF">
      <w:pPr>
        <w:pStyle w:val="Body"/>
      </w:pPr>
      <w:r>
        <w:t>T</w:t>
      </w:r>
      <w:r w:rsidR="00EF2B43" w:rsidRPr="00FE2574">
        <w:t xml:space="preserve">he government </w:t>
      </w:r>
      <w:r>
        <w:t>established</w:t>
      </w:r>
      <w:r w:rsidR="00EF2B43" w:rsidRPr="00FE2574">
        <w:t xml:space="preserve"> a Social Services Regulation Taskforce (the taskforce) </w:t>
      </w:r>
      <w:r w:rsidR="00AB3409">
        <w:t xml:space="preserve">in April 2022 </w:t>
      </w:r>
      <w:r w:rsidR="00EF2B43" w:rsidRPr="00FE2574">
        <w:t xml:space="preserve">to support and guide the development of the regulation process, </w:t>
      </w:r>
      <w:r w:rsidR="00EF2B43" w:rsidRPr="00224DA7">
        <w:t>ahead of the scheme’s commencement from</w:t>
      </w:r>
      <w:r w:rsidR="00EF2B43" w:rsidRPr="00224DA7" w:rsidDel="00991D4F">
        <w:t xml:space="preserve"> </w:t>
      </w:r>
      <w:r w:rsidR="00991D4F">
        <w:t xml:space="preserve">1 </w:t>
      </w:r>
      <w:r w:rsidR="00EF2B43" w:rsidRPr="00224DA7">
        <w:t>July 202</w:t>
      </w:r>
      <w:r w:rsidR="00991D4F">
        <w:t>4</w:t>
      </w:r>
      <w:r w:rsidR="00D651BA">
        <w:rPr>
          <w:b/>
          <w:bCs/>
        </w:rPr>
        <w:t>.</w:t>
      </w:r>
    </w:p>
    <w:p w14:paraId="317F4E2C" w14:textId="4E5637B5" w:rsidR="004E3783" w:rsidRDefault="00EF2B43" w:rsidP="00E869CF">
      <w:pPr>
        <w:pStyle w:val="Body"/>
        <w:rPr>
          <w:rFonts w:cs="Arial"/>
          <w:color w:val="000000"/>
          <w:shd w:val="clear" w:color="auto" w:fill="FFFFFF"/>
        </w:rPr>
      </w:pPr>
      <w:r>
        <w:t>The t</w:t>
      </w:r>
      <w:r w:rsidRPr="008454CB">
        <w:t xml:space="preserve">askforce </w:t>
      </w:r>
      <w:r w:rsidR="00596C99">
        <w:t>has</w:t>
      </w:r>
      <w:r w:rsidRPr="008454CB">
        <w:t xml:space="preserve"> an independent co-chair to represent both service providers and users and a government co-chair representative</w:t>
      </w:r>
      <w:r w:rsidR="006970E1">
        <w:t xml:space="preserve">. </w:t>
      </w:r>
      <w:r w:rsidR="002F2997" w:rsidRPr="00AD6A8F">
        <w:rPr>
          <w:rFonts w:cs="Arial"/>
          <w:color w:val="000000"/>
          <w:shd w:val="clear" w:color="auto" w:fill="FFFFFF"/>
        </w:rPr>
        <w:t>The taskforce comprises representatives with a deep knowledge of the social services sector, including representatives of providers and users of social services, as well as a First Nations representative and a regulatory expert.</w:t>
      </w:r>
    </w:p>
    <w:p w14:paraId="4B9A72D9" w14:textId="07231A48" w:rsidR="00EF2B43" w:rsidRPr="008454CB" w:rsidRDefault="00EF2B43" w:rsidP="00E869CF">
      <w:pPr>
        <w:pStyle w:val="Body"/>
      </w:pPr>
      <w:r w:rsidRPr="006E05AD">
        <w:t xml:space="preserve">The </w:t>
      </w:r>
      <w:r w:rsidRPr="00CA5F50">
        <w:t>taskforce</w:t>
      </w:r>
      <w:r w:rsidRPr="006E05AD">
        <w:t xml:space="preserve"> is </w:t>
      </w:r>
      <w:r w:rsidR="004E3783">
        <w:t>advising</w:t>
      </w:r>
      <w:r w:rsidRPr="008454CB">
        <w:t xml:space="preserve"> the government </w:t>
      </w:r>
      <w:r w:rsidR="002446A7">
        <w:t xml:space="preserve">on </w:t>
      </w:r>
      <w:r w:rsidR="0047101A">
        <w:t>key regulations</w:t>
      </w:r>
      <w:r w:rsidR="002446A7">
        <w:t>,</w:t>
      </w:r>
      <w:r w:rsidR="0047101A">
        <w:t xml:space="preserve"> </w:t>
      </w:r>
      <w:r w:rsidRPr="00FE2574">
        <w:t xml:space="preserve">including service </w:t>
      </w:r>
      <w:r w:rsidR="002446A7">
        <w:t>requirements</w:t>
      </w:r>
      <w:r w:rsidRPr="00FE2574">
        <w:t xml:space="preserve"> </w:t>
      </w:r>
      <w:r w:rsidR="0047101A">
        <w:t xml:space="preserve">for the six </w:t>
      </w:r>
      <w:r w:rsidR="002446A7">
        <w:t>S</w:t>
      </w:r>
      <w:r w:rsidR="0047101A">
        <w:t xml:space="preserve">ocial </w:t>
      </w:r>
      <w:r w:rsidR="002446A7">
        <w:t>S</w:t>
      </w:r>
      <w:r w:rsidR="0047101A">
        <w:t xml:space="preserve">ervice </w:t>
      </w:r>
      <w:r w:rsidR="002446A7">
        <w:t>S</w:t>
      </w:r>
      <w:r w:rsidR="0047101A">
        <w:t>tandards</w:t>
      </w:r>
      <w:r w:rsidR="00657AE7">
        <w:t>.</w:t>
      </w:r>
    </w:p>
    <w:p w14:paraId="3B3CDF2D" w14:textId="77777777" w:rsidR="00EF4650" w:rsidRDefault="00EF4650">
      <w:pPr>
        <w:spacing w:after="160" w:line="259" w:lineRule="auto"/>
        <w:rPr>
          <w:rFonts w:eastAsia="MS Gothic" w:cs="Arial"/>
          <w:bCs/>
          <w:color w:val="201547"/>
          <w:kern w:val="32"/>
          <w:sz w:val="40"/>
          <w:szCs w:val="40"/>
        </w:rPr>
      </w:pPr>
      <w:r>
        <w:rPr>
          <w:rFonts w:eastAsia="MS Gothic" w:cs="Arial"/>
          <w:bCs/>
          <w:color w:val="201547"/>
          <w:kern w:val="32"/>
          <w:sz w:val="40"/>
          <w:szCs w:val="40"/>
        </w:rPr>
        <w:br w:type="page"/>
      </w:r>
    </w:p>
    <w:p w14:paraId="6585FDA2" w14:textId="1D1B4BEF" w:rsidR="00EF2B43" w:rsidRPr="00957FAD" w:rsidRDefault="00EF2B43" w:rsidP="00957FAD">
      <w:pPr>
        <w:pStyle w:val="Heading1"/>
        <w:jc w:val="both"/>
      </w:pPr>
      <w:r>
        <w:lastRenderedPageBreak/>
        <w:t>C</w:t>
      </w:r>
      <w:r w:rsidRPr="00EF2B43">
        <w:t>over</w:t>
      </w:r>
      <w:r>
        <w:t>age of</w:t>
      </w:r>
      <w:r w:rsidRPr="00EF2B43">
        <w:t xml:space="preserve"> the new scheme</w:t>
      </w:r>
    </w:p>
    <w:p w14:paraId="606015AD" w14:textId="23E98B0D" w:rsidR="00EF2B43" w:rsidRDefault="00EF2B43" w:rsidP="00E869CF">
      <w:pPr>
        <w:pStyle w:val="Body"/>
        <w:rPr>
          <w:lang w:eastAsia="en-AU"/>
        </w:rPr>
      </w:pPr>
      <w:r w:rsidRPr="00145EF6">
        <w:rPr>
          <w:lang w:eastAsia="en-AU"/>
        </w:rPr>
        <w:t xml:space="preserve">Providers within the scope of the new regulatory framework </w:t>
      </w:r>
      <w:r w:rsidR="00C32DBE">
        <w:rPr>
          <w:lang w:eastAsia="en-AU"/>
        </w:rPr>
        <w:t xml:space="preserve">that commences from 1 July 2024, </w:t>
      </w:r>
      <w:r w:rsidRPr="00145EF6">
        <w:rPr>
          <w:lang w:eastAsia="en-AU"/>
        </w:rPr>
        <w:t xml:space="preserve">include providers of the following services: </w:t>
      </w:r>
    </w:p>
    <w:tbl>
      <w:tblPr>
        <w:tblStyle w:val="TableGrid"/>
        <w:tblW w:w="0" w:type="auto"/>
        <w:shd w:val="clear" w:color="auto" w:fill="F2F2F2" w:themeFill="background1" w:themeFillShade="F2"/>
        <w:tblLook w:val="04A0" w:firstRow="1" w:lastRow="0" w:firstColumn="1" w:lastColumn="0" w:noHBand="0" w:noVBand="1"/>
      </w:tblPr>
      <w:tblGrid>
        <w:gridCol w:w="5097"/>
        <w:gridCol w:w="5097"/>
      </w:tblGrid>
      <w:tr w:rsidR="009B2DAD" w14:paraId="22A3FB52" w14:textId="77777777" w:rsidTr="65300114">
        <w:tc>
          <w:tcPr>
            <w:tcW w:w="5097" w:type="dxa"/>
            <w:shd w:val="clear" w:color="auto" w:fill="F2F2F2" w:themeFill="background1" w:themeFillShade="F2"/>
          </w:tcPr>
          <w:p w14:paraId="59428002" w14:textId="77777777" w:rsidR="009B2DAD" w:rsidRDefault="009B2DAD" w:rsidP="00C01EF8">
            <w:pPr>
              <w:pStyle w:val="Body"/>
              <w:rPr>
                <w:b/>
                <w:bCs/>
              </w:rPr>
            </w:pPr>
            <w:r>
              <w:rPr>
                <w:b/>
                <w:bCs/>
              </w:rPr>
              <w:t xml:space="preserve">Out of home care services </w:t>
            </w:r>
          </w:p>
        </w:tc>
        <w:tc>
          <w:tcPr>
            <w:tcW w:w="5097" w:type="dxa"/>
            <w:shd w:val="clear" w:color="auto" w:fill="F2F2F2" w:themeFill="background1" w:themeFillShade="F2"/>
          </w:tcPr>
          <w:p w14:paraId="6735A391" w14:textId="77777777" w:rsidR="009B2DAD" w:rsidRPr="00145EF6" w:rsidRDefault="009B2DAD" w:rsidP="00C01EF8">
            <w:pPr>
              <w:spacing w:line="270" w:lineRule="atLeast"/>
              <w:rPr>
                <w:rFonts w:cs="Arial"/>
                <w:szCs w:val="21"/>
              </w:rPr>
            </w:pPr>
            <w:r w:rsidRPr="00145EF6">
              <w:rPr>
                <w:rFonts w:cs="Arial"/>
                <w:szCs w:val="21"/>
              </w:rPr>
              <w:t xml:space="preserve">for children and young people established under the </w:t>
            </w:r>
            <w:r w:rsidRPr="00145EF6">
              <w:rPr>
                <w:rFonts w:cs="Arial"/>
                <w:i/>
                <w:iCs/>
                <w:szCs w:val="21"/>
              </w:rPr>
              <w:t>Children, Youth and Families Act 2005</w:t>
            </w:r>
            <w:r w:rsidRPr="00145EF6">
              <w:rPr>
                <w:rFonts w:cs="Arial"/>
                <w:szCs w:val="21"/>
              </w:rPr>
              <w:t xml:space="preserve"> or similar services provided or funded by the Department including</w:t>
            </w:r>
          </w:p>
          <w:p w14:paraId="0FD0DF86" w14:textId="77777777" w:rsidR="009B2DAD" w:rsidRPr="00E345FB" w:rsidRDefault="009B2DAD" w:rsidP="009B2DAD">
            <w:pPr>
              <w:pStyle w:val="ListParagraph"/>
              <w:numPr>
                <w:ilvl w:val="0"/>
                <w:numId w:val="4"/>
              </w:numPr>
              <w:spacing w:after="0" w:line="240" w:lineRule="auto"/>
              <w:rPr>
                <w:rFonts w:cs="Arial"/>
                <w:szCs w:val="21"/>
              </w:rPr>
            </w:pPr>
            <w:r w:rsidRPr="00E345FB">
              <w:rPr>
                <w:rFonts w:cs="Arial"/>
                <w:szCs w:val="21"/>
              </w:rPr>
              <w:t>foster care</w:t>
            </w:r>
          </w:p>
          <w:p w14:paraId="5B1BD618" w14:textId="77777777" w:rsidR="009B2DAD" w:rsidRDefault="009B2DAD" w:rsidP="009B2DAD">
            <w:pPr>
              <w:pStyle w:val="ListParagraph"/>
              <w:numPr>
                <w:ilvl w:val="0"/>
                <w:numId w:val="4"/>
              </w:numPr>
              <w:spacing w:after="0" w:line="240" w:lineRule="auto"/>
              <w:rPr>
                <w:rFonts w:cs="Arial"/>
                <w:szCs w:val="21"/>
              </w:rPr>
            </w:pPr>
            <w:r w:rsidRPr="00A41E87">
              <w:rPr>
                <w:rFonts w:cs="Arial"/>
                <w:szCs w:val="21"/>
              </w:rPr>
              <w:t>kinship care</w:t>
            </w:r>
          </w:p>
          <w:p w14:paraId="55F13C52" w14:textId="77777777" w:rsidR="009B2DAD" w:rsidRPr="00A043B6" w:rsidRDefault="009B2DAD" w:rsidP="009B2DAD">
            <w:pPr>
              <w:pStyle w:val="ListParagraph"/>
              <w:numPr>
                <w:ilvl w:val="0"/>
                <w:numId w:val="4"/>
              </w:numPr>
              <w:spacing w:after="0" w:line="240" w:lineRule="auto"/>
              <w:rPr>
                <w:rFonts w:cs="Arial"/>
                <w:szCs w:val="21"/>
              </w:rPr>
            </w:pPr>
            <w:r w:rsidRPr="00E345FB">
              <w:rPr>
                <w:rFonts w:cs="Arial"/>
                <w:szCs w:val="21"/>
              </w:rPr>
              <w:t xml:space="preserve">permanent care </w:t>
            </w:r>
          </w:p>
        </w:tc>
      </w:tr>
      <w:tr w:rsidR="009B2DAD" w14:paraId="2FE95924" w14:textId="77777777" w:rsidTr="65300114">
        <w:tc>
          <w:tcPr>
            <w:tcW w:w="5097" w:type="dxa"/>
            <w:shd w:val="clear" w:color="auto" w:fill="F2F2F2" w:themeFill="background1" w:themeFillShade="F2"/>
          </w:tcPr>
          <w:p w14:paraId="07ED30FD" w14:textId="77777777" w:rsidR="009B2DAD" w:rsidRDefault="009B2DAD" w:rsidP="00C01EF8">
            <w:pPr>
              <w:pStyle w:val="Body"/>
              <w:rPr>
                <w:b/>
                <w:bCs/>
              </w:rPr>
            </w:pPr>
            <w:r>
              <w:rPr>
                <w:b/>
                <w:bCs/>
              </w:rPr>
              <w:t xml:space="preserve">Community based child and family services </w:t>
            </w:r>
          </w:p>
        </w:tc>
        <w:tc>
          <w:tcPr>
            <w:tcW w:w="5097" w:type="dxa"/>
            <w:shd w:val="clear" w:color="auto" w:fill="F2F2F2" w:themeFill="background1" w:themeFillShade="F2"/>
          </w:tcPr>
          <w:p w14:paraId="317D163B" w14:textId="77777777" w:rsidR="009B2DAD" w:rsidRPr="00145EF6" w:rsidRDefault="009B2DAD" w:rsidP="00C01EF8">
            <w:pPr>
              <w:spacing w:line="270" w:lineRule="atLeast"/>
              <w:rPr>
                <w:rFonts w:cs="Arial"/>
                <w:szCs w:val="21"/>
              </w:rPr>
            </w:pPr>
            <w:r w:rsidRPr="00145EF6">
              <w:rPr>
                <w:rFonts w:cs="Arial"/>
                <w:szCs w:val="21"/>
              </w:rPr>
              <w:t xml:space="preserve">that are required to register under the </w:t>
            </w:r>
            <w:r w:rsidRPr="00145EF6">
              <w:rPr>
                <w:rFonts w:cs="Arial"/>
                <w:i/>
                <w:iCs/>
                <w:szCs w:val="21"/>
              </w:rPr>
              <w:t>Children, Youth and Families Act 2005</w:t>
            </w:r>
            <w:r w:rsidRPr="00145EF6">
              <w:rPr>
                <w:rFonts w:cs="Arial"/>
                <w:szCs w:val="21"/>
              </w:rPr>
              <w:t xml:space="preserve"> such as</w:t>
            </w:r>
          </w:p>
          <w:p w14:paraId="26CA9161" w14:textId="77777777" w:rsidR="009B2DAD" w:rsidRPr="00E345FB" w:rsidRDefault="009B2DAD" w:rsidP="009B2DAD">
            <w:pPr>
              <w:pStyle w:val="ListParagraph"/>
              <w:numPr>
                <w:ilvl w:val="0"/>
                <w:numId w:val="5"/>
              </w:numPr>
              <w:spacing w:after="0" w:line="240" w:lineRule="auto"/>
              <w:rPr>
                <w:rFonts w:cs="Arial"/>
                <w:szCs w:val="21"/>
              </w:rPr>
            </w:pPr>
            <w:r w:rsidRPr="00E345FB">
              <w:rPr>
                <w:rFonts w:cs="Arial"/>
                <w:szCs w:val="21"/>
              </w:rPr>
              <w:t>early parenting</w:t>
            </w:r>
          </w:p>
          <w:p w14:paraId="4437F5B4" w14:textId="77777777" w:rsidR="009B2DAD" w:rsidRPr="00A41E87" w:rsidRDefault="009B2DAD" w:rsidP="009B2DAD">
            <w:pPr>
              <w:pStyle w:val="ListParagraph"/>
              <w:numPr>
                <w:ilvl w:val="0"/>
                <w:numId w:val="5"/>
              </w:numPr>
              <w:spacing w:after="0" w:line="240" w:lineRule="auto"/>
              <w:rPr>
                <w:rFonts w:cs="Arial"/>
                <w:szCs w:val="21"/>
              </w:rPr>
            </w:pPr>
            <w:r w:rsidRPr="00A41E87">
              <w:rPr>
                <w:rFonts w:cs="Arial"/>
                <w:szCs w:val="21"/>
              </w:rPr>
              <w:t>intake services</w:t>
            </w:r>
          </w:p>
          <w:p w14:paraId="31D9CE76" w14:textId="77777777" w:rsidR="009B2DAD" w:rsidRPr="00A043B6" w:rsidRDefault="009B2DAD" w:rsidP="009B2DAD">
            <w:pPr>
              <w:pStyle w:val="ListParagraph"/>
              <w:numPr>
                <w:ilvl w:val="0"/>
                <w:numId w:val="5"/>
              </w:numPr>
              <w:spacing w:after="0" w:line="240" w:lineRule="auto"/>
              <w:rPr>
                <w:rFonts w:cs="Arial"/>
                <w:szCs w:val="21"/>
              </w:rPr>
            </w:pPr>
            <w:r w:rsidRPr="00A043B6">
              <w:rPr>
                <w:rFonts w:cs="Arial"/>
                <w:szCs w:val="21"/>
              </w:rPr>
              <w:t xml:space="preserve">Aboriginal liaison services </w:t>
            </w:r>
          </w:p>
          <w:p w14:paraId="0BD25711" w14:textId="77777777" w:rsidR="009B2DAD" w:rsidRPr="00A043B6" w:rsidRDefault="009B2DAD" w:rsidP="009B2DAD">
            <w:pPr>
              <w:pStyle w:val="ListParagraph"/>
              <w:numPr>
                <w:ilvl w:val="0"/>
                <w:numId w:val="5"/>
              </w:numPr>
              <w:spacing w:line="240" w:lineRule="auto"/>
              <w:rPr>
                <w:rFonts w:cs="Arial"/>
                <w:szCs w:val="21"/>
              </w:rPr>
            </w:pPr>
            <w:r w:rsidRPr="00A043B6">
              <w:rPr>
                <w:rFonts w:cs="Arial"/>
                <w:szCs w:val="21"/>
              </w:rPr>
              <w:t>counselling services</w:t>
            </w:r>
          </w:p>
          <w:p w14:paraId="1F62E49F" w14:textId="77777777" w:rsidR="009B2DAD" w:rsidRDefault="009B2DAD" w:rsidP="00C01EF8">
            <w:pPr>
              <w:pStyle w:val="Body"/>
              <w:rPr>
                <w:b/>
                <w:bCs/>
              </w:rPr>
            </w:pPr>
            <w:r w:rsidRPr="00145EF6">
              <w:rPr>
                <w:rFonts w:cs="Arial"/>
                <w:szCs w:val="21"/>
              </w:rPr>
              <w:t>Maternal and child health services, schooling and early childhood education are out of the scope of the scheme</w:t>
            </w:r>
            <w:r>
              <w:rPr>
                <w:rFonts w:cs="Arial"/>
                <w:szCs w:val="21"/>
              </w:rPr>
              <w:t>.</w:t>
            </w:r>
          </w:p>
        </w:tc>
      </w:tr>
      <w:tr w:rsidR="009B2DAD" w14:paraId="002A7CE2" w14:textId="77777777" w:rsidTr="65300114">
        <w:tc>
          <w:tcPr>
            <w:tcW w:w="5097" w:type="dxa"/>
            <w:shd w:val="clear" w:color="auto" w:fill="F2F2F2" w:themeFill="background1" w:themeFillShade="F2"/>
          </w:tcPr>
          <w:p w14:paraId="260D8874" w14:textId="77777777" w:rsidR="009B2DAD" w:rsidRDefault="009B2DAD" w:rsidP="00C01EF8">
            <w:pPr>
              <w:pStyle w:val="Body"/>
              <w:rPr>
                <w:b/>
                <w:bCs/>
              </w:rPr>
            </w:pPr>
            <w:r>
              <w:rPr>
                <w:b/>
                <w:bCs/>
              </w:rPr>
              <w:t xml:space="preserve">Disability services </w:t>
            </w:r>
          </w:p>
        </w:tc>
        <w:tc>
          <w:tcPr>
            <w:tcW w:w="5097" w:type="dxa"/>
            <w:shd w:val="clear" w:color="auto" w:fill="F2F2F2" w:themeFill="background1" w:themeFillShade="F2"/>
          </w:tcPr>
          <w:p w14:paraId="7038A3D4" w14:textId="22D96151" w:rsidR="009B2DAD" w:rsidRPr="00145EF6" w:rsidRDefault="00AA05AD" w:rsidP="00C01EF8">
            <w:pPr>
              <w:spacing w:line="270" w:lineRule="atLeast"/>
              <w:rPr>
                <w:rFonts w:cs="Arial"/>
                <w:szCs w:val="21"/>
              </w:rPr>
            </w:pPr>
            <w:r>
              <w:rPr>
                <w:rFonts w:cs="Arial"/>
                <w:szCs w:val="21"/>
              </w:rPr>
              <w:t xml:space="preserve">provided or funded by the department, Transport Accident Commission or Workcover, </w:t>
            </w:r>
            <w:r w:rsidR="009B2DAD" w:rsidRPr="00145EF6">
              <w:rPr>
                <w:rFonts w:cs="Arial"/>
                <w:szCs w:val="21"/>
              </w:rPr>
              <w:t>including:</w:t>
            </w:r>
          </w:p>
          <w:p w14:paraId="47F1E61D" w14:textId="1D058220" w:rsidR="009B2DAD" w:rsidRPr="00A043B6" w:rsidRDefault="009B2DAD" w:rsidP="009B2DAD">
            <w:pPr>
              <w:pStyle w:val="ListParagraph"/>
              <w:numPr>
                <w:ilvl w:val="0"/>
                <w:numId w:val="6"/>
              </w:numPr>
              <w:spacing w:after="0" w:line="240" w:lineRule="auto"/>
              <w:rPr>
                <w:rFonts w:cs="Arial"/>
                <w:szCs w:val="21"/>
              </w:rPr>
            </w:pPr>
            <w:r w:rsidRPr="00E345FB">
              <w:rPr>
                <w:rFonts w:cs="Arial"/>
                <w:szCs w:val="21"/>
              </w:rPr>
              <w:t>forensic disability service</w:t>
            </w:r>
            <w:r w:rsidR="00AA05AD">
              <w:rPr>
                <w:rFonts w:cs="Arial"/>
                <w:szCs w:val="21"/>
              </w:rPr>
              <w:t>s</w:t>
            </w:r>
            <w:r w:rsidRPr="00E345FB">
              <w:rPr>
                <w:rFonts w:cs="Arial"/>
                <w:szCs w:val="21"/>
              </w:rPr>
              <w:t>, disability support services, training and skills services that aim to increase a p</w:t>
            </w:r>
            <w:r w:rsidRPr="00A41E87">
              <w:rPr>
                <w:rFonts w:cs="Arial"/>
                <w:szCs w:val="21"/>
              </w:rPr>
              <w:t>erson’s independence</w:t>
            </w:r>
          </w:p>
          <w:p w14:paraId="2615C82B" w14:textId="77777777" w:rsidR="009B2DAD" w:rsidRPr="00A043B6" w:rsidRDefault="009B2DAD" w:rsidP="009B2DAD">
            <w:pPr>
              <w:pStyle w:val="ListParagraph"/>
              <w:numPr>
                <w:ilvl w:val="0"/>
                <w:numId w:val="6"/>
              </w:numPr>
              <w:spacing w:after="0" w:line="240" w:lineRule="auto"/>
              <w:rPr>
                <w:rFonts w:cs="Arial"/>
                <w:szCs w:val="21"/>
              </w:rPr>
            </w:pPr>
            <w:r w:rsidRPr="00A043B6">
              <w:rPr>
                <w:rFonts w:cs="Arial"/>
                <w:szCs w:val="21"/>
              </w:rPr>
              <w:t>provided or funded by the Transport Accident Commission</w:t>
            </w:r>
          </w:p>
          <w:p w14:paraId="2CACE719" w14:textId="77777777" w:rsidR="009B2DAD" w:rsidRDefault="009B2DAD" w:rsidP="009B2DAD">
            <w:pPr>
              <w:pStyle w:val="Body"/>
              <w:numPr>
                <w:ilvl w:val="0"/>
                <w:numId w:val="6"/>
              </w:numPr>
              <w:rPr>
                <w:b/>
                <w:bCs/>
              </w:rPr>
            </w:pPr>
            <w:r w:rsidRPr="00145EF6">
              <w:rPr>
                <w:rFonts w:cs="Arial"/>
                <w:szCs w:val="21"/>
              </w:rPr>
              <w:t>funded by the Victorian Workcover Authority for people with a disability</w:t>
            </w:r>
          </w:p>
        </w:tc>
      </w:tr>
      <w:tr w:rsidR="009B2DAD" w14:paraId="2390CA9D" w14:textId="77777777" w:rsidTr="65300114">
        <w:tc>
          <w:tcPr>
            <w:tcW w:w="5097" w:type="dxa"/>
            <w:shd w:val="clear" w:color="auto" w:fill="F2F2F2" w:themeFill="background1" w:themeFillShade="F2"/>
          </w:tcPr>
          <w:p w14:paraId="7905928F" w14:textId="77777777" w:rsidR="009B2DAD" w:rsidRDefault="009B2DAD" w:rsidP="00C01EF8">
            <w:pPr>
              <w:pStyle w:val="Body"/>
              <w:rPr>
                <w:b/>
                <w:bCs/>
              </w:rPr>
            </w:pPr>
            <w:r>
              <w:rPr>
                <w:b/>
                <w:bCs/>
              </w:rPr>
              <w:t xml:space="preserve">Supported residential services </w:t>
            </w:r>
          </w:p>
        </w:tc>
        <w:tc>
          <w:tcPr>
            <w:tcW w:w="5097" w:type="dxa"/>
            <w:shd w:val="clear" w:color="auto" w:fill="F2F2F2" w:themeFill="background1" w:themeFillShade="F2"/>
          </w:tcPr>
          <w:p w14:paraId="65D47B73" w14:textId="722492C8" w:rsidR="009B2DAD" w:rsidRDefault="009B2DAD" w:rsidP="00C01EF8">
            <w:pPr>
              <w:pStyle w:val="Body"/>
              <w:rPr>
                <w:b/>
                <w:bCs/>
              </w:rPr>
            </w:pPr>
            <w:r w:rsidRPr="00145EF6">
              <w:rPr>
                <w:rFonts w:cs="Arial"/>
                <w:szCs w:val="21"/>
              </w:rPr>
              <w:t xml:space="preserve">registered under the </w:t>
            </w:r>
            <w:r w:rsidRPr="00A043B6">
              <w:rPr>
                <w:rFonts w:cs="Arial"/>
                <w:i/>
                <w:iCs/>
                <w:szCs w:val="21"/>
              </w:rPr>
              <w:t>Supported Residential Services (Private Proprietors) Act</w:t>
            </w:r>
            <w:r w:rsidR="00E204B1">
              <w:rPr>
                <w:rFonts w:cs="Arial"/>
                <w:i/>
                <w:iCs/>
                <w:szCs w:val="21"/>
              </w:rPr>
              <w:t xml:space="preserve"> </w:t>
            </w:r>
            <w:r w:rsidRPr="00A043B6">
              <w:rPr>
                <w:rFonts w:cs="Arial"/>
                <w:i/>
                <w:iCs/>
                <w:szCs w:val="21"/>
              </w:rPr>
              <w:t>2010</w:t>
            </w:r>
            <w:r w:rsidRPr="00145EF6">
              <w:rPr>
                <w:rFonts w:cs="Arial"/>
                <w:szCs w:val="21"/>
              </w:rPr>
              <w:t>, including privately operated businesses that provide Victorians with accommodation and support with everyday activities.</w:t>
            </w:r>
          </w:p>
        </w:tc>
      </w:tr>
      <w:tr w:rsidR="009B2DAD" w14:paraId="4948A808" w14:textId="77777777" w:rsidTr="65300114">
        <w:tc>
          <w:tcPr>
            <w:tcW w:w="5097" w:type="dxa"/>
            <w:shd w:val="clear" w:color="auto" w:fill="F2F2F2" w:themeFill="background1" w:themeFillShade="F2"/>
          </w:tcPr>
          <w:p w14:paraId="04B9A8BA" w14:textId="2635E376" w:rsidR="009B2DAD" w:rsidRDefault="009B2DAD" w:rsidP="00C01EF8">
            <w:pPr>
              <w:pStyle w:val="Body"/>
              <w:rPr>
                <w:b/>
                <w:bCs/>
              </w:rPr>
            </w:pPr>
            <w:r>
              <w:rPr>
                <w:b/>
                <w:bCs/>
              </w:rPr>
              <w:t xml:space="preserve">Family violence services </w:t>
            </w:r>
          </w:p>
        </w:tc>
        <w:tc>
          <w:tcPr>
            <w:tcW w:w="5097" w:type="dxa"/>
            <w:shd w:val="clear" w:color="auto" w:fill="F2F2F2" w:themeFill="background1" w:themeFillShade="F2"/>
          </w:tcPr>
          <w:p w14:paraId="618AAA2E" w14:textId="460D7544" w:rsidR="009B2DAD" w:rsidRPr="00145EF6" w:rsidRDefault="00AA05AD" w:rsidP="00C01EF8">
            <w:pPr>
              <w:spacing w:line="270" w:lineRule="atLeast"/>
              <w:rPr>
                <w:rFonts w:cs="Arial"/>
                <w:szCs w:val="21"/>
              </w:rPr>
            </w:pPr>
            <w:r>
              <w:rPr>
                <w:rFonts w:cs="Arial"/>
                <w:szCs w:val="21"/>
              </w:rPr>
              <w:t xml:space="preserve">provided or </w:t>
            </w:r>
            <w:r w:rsidR="009B2DAD" w:rsidRPr="00145EF6">
              <w:rPr>
                <w:rFonts w:cs="Arial"/>
                <w:szCs w:val="21"/>
              </w:rPr>
              <w:t xml:space="preserve">funded by the </w:t>
            </w:r>
            <w:r>
              <w:rPr>
                <w:rFonts w:cs="Arial"/>
                <w:szCs w:val="21"/>
              </w:rPr>
              <w:t>d</w:t>
            </w:r>
            <w:r w:rsidR="009B2DAD" w:rsidRPr="00145EF6">
              <w:rPr>
                <w:rFonts w:cs="Arial"/>
                <w:szCs w:val="21"/>
              </w:rPr>
              <w:t>epartment, including those already required to comply with the Human Services Standards. This includes:</w:t>
            </w:r>
          </w:p>
          <w:p w14:paraId="1FAF92E9" w14:textId="77777777" w:rsidR="009B2DAD" w:rsidRPr="00E345FB" w:rsidRDefault="009B2DAD" w:rsidP="009B2DAD">
            <w:pPr>
              <w:pStyle w:val="ListParagraph"/>
              <w:numPr>
                <w:ilvl w:val="0"/>
                <w:numId w:val="7"/>
              </w:numPr>
              <w:spacing w:after="0" w:line="240" w:lineRule="auto"/>
              <w:rPr>
                <w:rFonts w:cs="Arial"/>
                <w:szCs w:val="21"/>
              </w:rPr>
            </w:pPr>
            <w:r w:rsidRPr="00E345FB">
              <w:rPr>
                <w:rFonts w:cs="Arial"/>
                <w:szCs w:val="21"/>
              </w:rPr>
              <w:t>case management</w:t>
            </w:r>
          </w:p>
          <w:p w14:paraId="2DA3B336" w14:textId="77777777" w:rsidR="009B2DAD" w:rsidRPr="00A043B6" w:rsidRDefault="009B2DAD" w:rsidP="009B2DAD">
            <w:pPr>
              <w:pStyle w:val="ListParagraph"/>
              <w:numPr>
                <w:ilvl w:val="0"/>
                <w:numId w:val="7"/>
              </w:numPr>
              <w:spacing w:after="0" w:line="240" w:lineRule="auto"/>
              <w:rPr>
                <w:rFonts w:cs="Arial"/>
                <w:szCs w:val="21"/>
              </w:rPr>
            </w:pPr>
            <w:r w:rsidRPr="00A41E87">
              <w:rPr>
                <w:rFonts w:cs="Arial"/>
                <w:szCs w:val="21"/>
              </w:rPr>
              <w:t>support and accommodation services provided to people experiencing family violence</w:t>
            </w:r>
          </w:p>
          <w:p w14:paraId="7C1EEBCA" w14:textId="77777777" w:rsidR="009B2DAD" w:rsidRDefault="009B2DAD" w:rsidP="009B2DAD">
            <w:pPr>
              <w:pStyle w:val="Body"/>
              <w:numPr>
                <w:ilvl w:val="0"/>
                <w:numId w:val="7"/>
              </w:numPr>
              <w:rPr>
                <w:b/>
                <w:bCs/>
              </w:rPr>
            </w:pPr>
            <w:r w:rsidRPr="00145EF6">
              <w:rPr>
                <w:rFonts w:cs="Arial"/>
                <w:szCs w:val="21"/>
              </w:rPr>
              <w:t>services for perpetrators</w:t>
            </w:r>
          </w:p>
        </w:tc>
      </w:tr>
      <w:tr w:rsidR="009B2DAD" w14:paraId="3ACC75C0" w14:textId="77777777" w:rsidTr="65300114">
        <w:tc>
          <w:tcPr>
            <w:tcW w:w="5097" w:type="dxa"/>
            <w:shd w:val="clear" w:color="auto" w:fill="F2F2F2" w:themeFill="background1" w:themeFillShade="F2"/>
          </w:tcPr>
          <w:p w14:paraId="03631A4B" w14:textId="21E5B07C" w:rsidR="009B2DAD" w:rsidRDefault="009B2DAD" w:rsidP="00C01EF8">
            <w:pPr>
              <w:pStyle w:val="Body"/>
              <w:rPr>
                <w:b/>
                <w:bCs/>
              </w:rPr>
            </w:pPr>
            <w:r>
              <w:rPr>
                <w:b/>
                <w:bCs/>
              </w:rPr>
              <w:t xml:space="preserve">Sexual assault services </w:t>
            </w:r>
          </w:p>
        </w:tc>
        <w:tc>
          <w:tcPr>
            <w:tcW w:w="5097" w:type="dxa"/>
            <w:shd w:val="clear" w:color="auto" w:fill="F2F2F2" w:themeFill="background1" w:themeFillShade="F2"/>
          </w:tcPr>
          <w:p w14:paraId="0BF46B7E" w14:textId="72FE6DD4" w:rsidR="009B2DAD" w:rsidRDefault="009B2DAD" w:rsidP="00C01EF8">
            <w:pPr>
              <w:pStyle w:val="Body"/>
              <w:rPr>
                <w:b/>
                <w:bCs/>
              </w:rPr>
            </w:pPr>
            <w:r w:rsidRPr="00145EF6">
              <w:rPr>
                <w:rFonts w:cs="Arial"/>
                <w:szCs w:val="21"/>
              </w:rPr>
              <w:t xml:space="preserve">provided </w:t>
            </w:r>
            <w:r w:rsidR="00AA05AD">
              <w:rPr>
                <w:rFonts w:cs="Arial"/>
                <w:szCs w:val="21"/>
              </w:rPr>
              <w:t xml:space="preserve">or funded </w:t>
            </w:r>
            <w:r w:rsidRPr="00145EF6">
              <w:rPr>
                <w:rFonts w:cs="Arial"/>
                <w:szCs w:val="21"/>
              </w:rPr>
              <w:t xml:space="preserve">by the </w:t>
            </w:r>
            <w:r>
              <w:rPr>
                <w:rFonts w:cs="Arial"/>
                <w:szCs w:val="21"/>
              </w:rPr>
              <w:t>d</w:t>
            </w:r>
            <w:r w:rsidRPr="00145EF6">
              <w:rPr>
                <w:rFonts w:cs="Arial"/>
                <w:szCs w:val="21"/>
              </w:rPr>
              <w:t>epartment, including those already required to comply with the Human Services Standards.</w:t>
            </w:r>
          </w:p>
        </w:tc>
      </w:tr>
      <w:tr w:rsidR="009B2DAD" w14:paraId="7C37D4A1" w14:textId="77777777" w:rsidTr="65300114">
        <w:tc>
          <w:tcPr>
            <w:tcW w:w="5097" w:type="dxa"/>
            <w:shd w:val="clear" w:color="auto" w:fill="F2F2F2" w:themeFill="background1" w:themeFillShade="F2"/>
          </w:tcPr>
          <w:p w14:paraId="50CE0A56" w14:textId="33EBD660" w:rsidR="009B2DAD" w:rsidRDefault="009B2DAD" w:rsidP="00C01EF8">
            <w:pPr>
              <w:pStyle w:val="Body"/>
              <w:rPr>
                <w:b/>
                <w:bCs/>
              </w:rPr>
            </w:pPr>
            <w:r>
              <w:rPr>
                <w:b/>
                <w:bCs/>
              </w:rPr>
              <w:lastRenderedPageBreak/>
              <w:t xml:space="preserve">Homelessness </w:t>
            </w:r>
            <w:r w:rsidR="006C795D">
              <w:rPr>
                <w:b/>
                <w:bCs/>
              </w:rPr>
              <w:t xml:space="preserve">support </w:t>
            </w:r>
            <w:r>
              <w:rPr>
                <w:b/>
                <w:bCs/>
              </w:rPr>
              <w:t xml:space="preserve">services </w:t>
            </w:r>
          </w:p>
        </w:tc>
        <w:tc>
          <w:tcPr>
            <w:tcW w:w="5097" w:type="dxa"/>
            <w:shd w:val="clear" w:color="auto" w:fill="F2F2F2" w:themeFill="background1" w:themeFillShade="F2"/>
          </w:tcPr>
          <w:p w14:paraId="0B6F58F1" w14:textId="74585244" w:rsidR="009B2DAD" w:rsidRPr="00145EF6" w:rsidRDefault="00AA05AD" w:rsidP="65300114">
            <w:pPr>
              <w:spacing w:after="160" w:line="276" w:lineRule="auto"/>
              <w:rPr>
                <w:rFonts w:cs="Arial"/>
              </w:rPr>
            </w:pPr>
            <w:r w:rsidRPr="65300114">
              <w:rPr>
                <w:rFonts w:cs="Arial"/>
              </w:rPr>
              <w:t xml:space="preserve">provided or funded by the department </w:t>
            </w:r>
            <w:r w:rsidR="009B2DAD" w:rsidRPr="65300114">
              <w:rPr>
                <w:rFonts w:cs="Arial"/>
              </w:rPr>
              <w:t>including those already required to comply with the Human Services Standards. This includes:</w:t>
            </w:r>
          </w:p>
          <w:p w14:paraId="49B3C4E8" w14:textId="77777777" w:rsidR="009B2DAD" w:rsidRPr="00E345FB" w:rsidRDefault="009B2DAD" w:rsidP="009B2DAD">
            <w:pPr>
              <w:pStyle w:val="ListParagraph"/>
              <w:numPr>
                <w:ilvl w:val="0"/>
                <w:numId w:val="8"/>
              </w:numPr>
              <w:spacing w:after="0" w:line="240" w:lineRule="auto"/>
              <w:rPr>
                <w:rFonts w:cs="Arial"/>
                <w:szCs w:val="21"/>
              </w:rPr>
            </w:pPr>
            <w:r w:rsidRPr="00E345FB">
              <w:rPr>
                <w:rFonts w:cs="Arial"/>
                <w:szCs w:val="21"/>
              </w:rPr>
              <w:t>referral</w:t>
            </w:r>
          </w:p>
          <w:p w14:paraId="1095CA55" w14:textId="77777777" w:rsidR="009B2DAD" w:rsidRPr="00A41E87" w:rsidRDefault="009B2DAD" w:rsidP="009B2DAD">
            <w:pPr>
              <w:pStyle w:val="ListParagraph"/>
              <w:numPr>
                <w:ilvl w:val="0"/>
                <w:numId w:val="8"/>
              </w:numPr>
              <w:spacing w:after="0" w:line="240" w:lineRule="auto"/>
              <w:rPr>
                <w:rFonts w:cs="Arial"/>
                <w:szCs w:val="21"/>
              </w:rPr>
            </w:pPr>
            <w:r w:rsidRPr="00A41E87">
              <w:rPr>
                <w:rFonts w:cs="Arial"/>
                <w:szCs w:val="21"/>
              </w:rPr>
              <w:t xml:space="preserve">support </w:t>
            </w:r>
          </w:p>
          <w:p w14:paraId="0B1D6597" w14:textId="613DE580" w:rsidR="009B2DAD" w:rsidRPr="000A29E2" w:rsidRDefault="00D90104" w:rsidP="000A29E2">
            <w:pPr>
              <w:pStyle w:val="ListParagraph"/>
              <w:numPr>
                <w:ilvl w:val="0"/>
                <w:numId w:val="8"/>
              </w:numPr>
              <w:spacing w:after="0" w:line="240" w:lineRule="auto"/>
              <w:rPr>
                <w:rFonts w:cs="Arial"/>
                <w:szCs w:val="21"/>
              </w:rPr>
            </w:pPr>
            <w:r>
              <w:rPr>
                <w:rFonts w:cs="Arial"/>
                <w:szCs w:val="21"/>
              </w:rPr>
              <w:t xml:space="preserve">some specialist </w:t>
            </w:r>
            <w:r w:rsidR="009B2DAD" w:rsidRPr="00A043B6">
              <w:rPr>
                <w:rFonts w:cs="Arial"/>
                <w:szCs w:val="21"/>
              </w:rPr>
              <w:t>accommodation services</w:t>
            </w:r>
          </w:p>
          <w:p w14:paraId="01CEF91F" w14:textId="77777777" w:rsidR="009B2DAD" w:rsidRPr="00A043B6" w:rsidRDefault="009B2DAD" w:rsidP="00C01EF8">
            <w:pPr>
              <w:suppressLineNumbers/>
              <w:overflowPunct w:val="0"/>
              <w:autoSpaceDE w:val="0"/>
              <w:autoSpaceDN w:val="0"/>
              <w:adjustRightInd w:val="0"/>
              <w:spacing w:before="120" w:after="0" w:line="240" w:lineRule="auto"/>
              <w:contextualSpacing/>
              <w:textAlignment w:val="baseline"/>
              <w:rPr>
                <w:rFonts w:cs="Arial"/>
                <w:sz w:val="24"/>
                <w:szCs w:val="21"/>
              </w:rPr>
            </w:pPr>
            <w:r w:rsidRPr="00145EF6">
              <w:rPr>
                <w:rFonts w:cs="Arial"/>
                <w:color w:val="000000"/>
                <w:szCs w:val="21"/>
              </w:rPr>
              <w:t>Community and public housing are not within the scope of the new regulatory scheme.</w:t>
            </w:r>
          </w:p>
        </w:tc>
      </w:tr>
      <w:tr w:rsidR="009B2DAD" w14:paraId="7DA9131C" w14:textId="77777777" w:rsidTr="65300114">
        <w:tc>
          <w:tcPr>
            <w:tcW w:w="5097" w:type="dxa"/>
            <w:shd w:val="clear" w:color="auto" w:fill="F2F2F2" w:themeFill="background1" w:themeFillShade="F2"/>
          </w:tcPr>
          <w:p w14:paraId="04E51171" w14:textId="77777777" w:rsidR="009B2DAD" w:rsidRDefault="009B2DAD" w:rsidP="00C01EF8">
            <w:pPr>
              <w:pStyle w:val="Body"/>
              <w:rPr>
                <w:b/>
                <w:bCs/>
              </w:rPr>
            </w:pPr>
            <w:r>
              <w:rPr>
                <w:b/>
                <w:bCs/>
              </w:rPr>
              <w:t xml:space="preserve">Some services delivered by the department </w:t>
            </w:r>
          </w:p>
        </w:tc>
        <w:tc>
          <w:tcPr>
            <w:tcW w:w="5097" w:type="dxa"/>
            <w:shd w:val="clear" w:color="auto" w:fill="F2F2F2" w:themeFill="background1" w:themeFillShade="F2"/>
          </w:tcPr>
          <w:p w14:paraId="62DAC449" w14:textId="77777777" w:rsidR="009B2DAD" w:rsidRDefault="009B2DAD" w:rsidP="00C01EF8">
            <w:pPr>
              <w:pStyle w:val="Body"/>
              <w:rPr>
                <w:b/>
                <w:bCs/>
              </w:rPr>
            </w:pPr>
            <w:r w:rsidRPr="00145EF6">
              <w:rPr>
                <w:rFonts w:cs="Arial"/>
                <w:szCs w:val="21"/>
              </w:rPr>
              <w:t>including child protection services and secure care services</w:t>
            </w:r>
          </w:p>
        </w:tc>
      </w:tr>
    </w:tbl>
    <w:p w14:paraId="5CB6F0C7" w14:textId="77777777" w:rsidR="00EF2B43" w:rsidRPr="00EF2B43" w:rsidRDefault="00EF2B43" w:rsidP="00957FAD">
      <w:pPr>
        <w:pStyle w:val="Heading1"/>
      </w:pPr>
      <w:r w:rsidRPr="00EF2B43">
        <w:t xml:space="preserve">Standards, outcomes and service requirements </w:t>
      </w:r>
    </w:p>
    <w:p w14:paraId="713FEAD1" w14:textId="77777777" w:rsidR="00EF2B43" w:rsidRPr="00063630" w:rsidRDefault="00EF2B43" w:rsidP="00EF2B43">
      <w:pPr>
        <w:spacing w:line="270" w:lineRule="atLeast"/>
        <w:rPr>
          <w:rFonts w:cs="Arial"/>
          <w:szCs w:val="21"/>
          <w:lang w:eastAsia="en-AU"/>
        </w:rPr>
      </w:pPr>
      <w:r w:rsidRPr="007C3C53">
        <w:rPr>
          <w:rFonts w:cs="Arial"/>
          <w:szCs w:val="21"/>
          <w:lang w:eastAsia="en-AU"/>
        </w:rPr>
        <w:t>The Act sets out the following Social Services Standards that will apply to registered social services providers:</w:t>
      </w:r>
    </w:p>
    <w:p w14:paraId="0B4EF182" w14:textId="6D516985" w:rsidR="009A2D49" w:rsidRDefault="00EF2B43" w:rsidP="00EF2B43">
      <w:pPr>
        <w:spacing w:line="270" w:lineRule="atLeast"/>
        <w:rPr>
          <w:rFonts w:cs="Arial"/>
          <w:b/>
          <w:bCs/>
          <w:szCs w:val="21"/>
          <w:lang w:eastAsia="en-AU"/>
        </w:rPr>
      </w:pPr>
      <w:r w:rsidRPr="007C3C53">
        <w:rPr>
          <w:rFonts w:cs="Arial"/>
          <w:b/>
          <w:bCs/>
          <w:szCs w:val="21"/>
          <w:lang w:eastAsia="en-AU"/>
        </w:rPr>
        <w:t>Figure 1: Social Service Standards under Social Services Regulation Act 2021</w:t>
      </w:r>
    </w:p>
    <w:p w14:paraId="35275378" w14:textId="40B9E9B3" w:rsidR="009A2D49" w:rsidRDefault="009A2D49" w:rsidP="00EF2B43">
      <w:pPr>
        <w:spacing w:line="270" w:lineRule="atLeast"/>
        <w:rPr>
          <w:rFonts w:cs="Arial"/>
          <w:b/>
          <w:bCs/>
          <w:szCs w:val="21"/>
          <w:lang w:eastAsia="en-AU"/>
        </w:rPr>
      </w:pPr>
      <w:r>
        <w:rPr>
          <w:noProof/>
        </w:rPr>
        <w:drawing>
          <wp:inline distT="0" distB="0" distL="0" distR="0" wp14:anchorId="37476054" wp14:editId="063AAA0C">
            <wp:extent cx="5676900" cy="2880240"/>
            <wp:effectExtent l="0" t="0" r="0" b="0"/>
            <wp:docPr id="4" name="Picture 4" descr="Safe service delivery - Services are safety delivered based on assessed needs.&#10;Service user agency and dignity - social services are to be person-centred and respect and upload service user rights and agency.&#10;Safe service environment - Services are provided in a safe, secure and fit-for-purpose environment.&#10;Feedback and complaints - Service users are to be supported to provide feedback, complaints or concerns about service safety.&#10;Accountable organisational governance - Effective governance and organisational systems are to support safe delivery of social services.&#10;Safe workforce - Social services are delivered by a workforce that has knowledge, capability and support to deliver safe services with care and sk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afe service delivery - Services are safety delivered based on assessed needs.&#10;Service user agency and dignity - social services are to be person-centred and respect and upload service user rights and agency.&#10;Safe service environment - Services are provided in a safe, secure and fit-for-purpose environment.&#10;Feedback and complaints - Service users are to be supported to provide feedback, complaints or concerns about service safety.&#10;Accountable organisational governance - Effective governance and organisational systems are to support safe delivery of social services.&#10;Safe workforce - Social services are delivered by a workforce that has knowledge, capability and support to deliver safe services with care and skil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7995" cy="2890943"/>
                    </a:xfrm>
                    <a:prstGeom prst="rect">
                      <a:avLst/>
                    </a:prstGeom>
                    <a:noFill/>
                    <a:ln>
                      <a:noFill/>
                    </a:ln>
                  </pic:spPr>
                </pic:pic>
              </a:graphicData>
            </a:graphic>
          </wp:inline>
        </w:drawing>
      </w:r>
    </w:p>
    <w:p w14:paraId="3BC4904A" w14:textId="1B2FDCDE" w:rsidR="00EF2B43" w:rsidRPr="007C3C53" w:rsidRDefault="00EF2B43" w:rsidP="00EF2B43">
      <w:pPr>
        <w:spacing w:line="270" w:lineRule="atLeast"/>
        <w:rPr>
          <w:rFonts w:cs="Arial"/>
          <w:szCs w:val="21"/>
          <w:lang w:eastAsia="en-AU"/>
        </w:rPr>
      </w:pPr>
      <w:r w:rsidRPr="007C3C53">
        <w:rPr>
          <w:rFonts w:cs="Arial"/>
          <w:szCs w:val="21"/>
          <w:lang w:eastAsia="en-AU"/>
        </w:rPr>
        <w:t>The Standards are designed to reflect the key regulatory objectives for the scheme, being to ensure safe service delivery and protect the human rights of service users. The Standards reflect contemporary understandings of what service providers can and should reasonably be required to do in order to protect service users from avoidable harm.</w:t>
      </w:r>
    </w:p>
    <w:p w14:paraId="7EE03FBF" w14:textId="7A17E509" w:rsidR="00E869CF" w:rsidRDefault="00EF2B43" w:rsidP="00EF2B43">
      <w:pPr>
        <w:spacing w:line="270" w:lineRule="atLeast"/>
        <w:rPr>
          <w:rFonts w:cs="Arial"/>
          <w:szCs w:val="21"/>
          <w:lang w:eastAsia="en-AU"/>
        </w:rPr>
      </w:pPr>
      <w:r w:rsidRPr="007C3C53">
        <w:rPr>
          <w:rFonts w:cs="Arial"/>
          <w:szCs w:val="21"/>
          <w:lang w:eastAsia="en-AU"/>
        </w:rPr>
        <w:t>This includes taking steps to prevent physical, sexual, psychological, cultural or financial abuse as well as neglect of service users who are at risk.</w:t>
      </w:r>
    </w:p>
    <w:p w14:paraId="01BA9052" w14:textId="77777777" w:rsidR="00E869CF" w:rsidRDefault="00E869CF">
      <w:pPr>
        <w:spacing w:after="160" w:line="259" w:lineRule="auto"/>
        <w:rPr>
          <w:rFonts w:cs="Arial"/>
          <w:szCs w:val="21"/>
          <w:lang w:eastAsia="en-AU"/>
        </w:rPr>
      </w:pPr>
      <w:r>
        <w:rPr>
          <w:rFonts w:cs="Arial"/>
          <w:szCs w:val="21"/>
          <w:lang w:eastAsia="en-AU"/>
        </w:rPr>
        <w:br w:type="page"/>
      </w:r>
    </w:p>
    <w:p w14:paraId="7F34D721" w14:textId="1C417F2C" w:rsidR="00EF2B43" w:rsidRDefault="00EF2B43" w:rsidP="00EF2B43">
      <w:pPr>
        <w:pStyle w:val="Heading1"/>
        <w:jc w:val="both"/>
      </w:pPr>
      <w:r w:rsidRPr="00224DA7">
        <w:lastRenderedPageBreak/>
        <w:t>Critical timelines</w:t>
      </w:r>
      <w:r>
        <w:t xml:space="preserve"> </w:t>
      </w:r>
    </w:p>
    <w:tbl>
      <w:tblPr>
        <w:tblStyle w:val="TableGrid1"/>
        <w:tblW w:w="0" w:type="auto"/>
        <w:shd w:val="clear" w:color="auto" w:fill="E5F8FF"/>
        <w:tblLook w:val="04A0" w:firstRow="1" w:lastRow="0" w:firstColumn="1" w:lastColumn="0" w:noHBand="0" w:noVBand="1"/>
      </w:tblPr>
      <w:tblGrid>
        <w:gridCol w:w="10194"/>
      </w:tblGrid>
      <w:tr w:rsidR="00031382" w:rsidRPr="0082337A" w14:paraId="2424796D" w14:textId="77777777" w:rsidTr="00C33FB4">
        <w:tc>
          <w:tcPr>
            <w:tcW w:w="10194" w:type="dxa"/>
            <w:shd w:val="clear" w:color="auto" w:fill="E5F8FF"/>
          </w:tcPr>
          <w:p w14:paraId="3ABFD167" w14:textId="77777777" w:rsidR="008F62EA" w:rsidRPr="008F62EA" w:rsidRDefault="008F62EA" w:rsidP="00666B75">
            <w:pPr>
              <w:rPr>
                <w:b/>
                <w:bCs/>
                <w:i/>
                <w:iCs/>
              </w:rPr>
            </w:pPr>
            <w:r w:rsidRPr="008F62EA">
              <w:rPr>
                <w:b/>
                <w:bCs/>
                <w:i/>
                <w:iCs/>
              </w:rPr>
              <w:t>Delayed commencement of the social services regulatory scheme</w:t>
            </w:r>
          </w:p>
          <w:p w14:paraId="58B2EEC9" w14:textId="282BD2D7" w:rsidR="008F62EA" w:rsidRPr="0082337A" w:rsidRDefault="00FC6654" w:rsidP="00666B75">
            <w:pPr>
              <w:rPr>
                <w:i/>
                <w:iCs/>
              </w:rPr>
            </w:pPr>
            <w:r>
              <w:rPr>
                <w:i/>
                <w:iCs/>
              </w:rPr>
              <w:t xml:space="preserve">A Bill to delay commencement of the scheme </w:t>
            </w:r>
            <w:r w:rsidR="008F62EA" w:rsidRPr="008F62EA">
              <w:rPr>
                <w:i/>
                <w:iCs/>
              </w:rPr>
              <w:t>passed Parliament on 1 September 2022</w:t>
            </w:r>
            <w:r w:rsidR="001C7A7B">
              <w:rPr>
                <w:i/>
                <w:iCs/>
              </w:rPr>
              <w:t xml:space="preserve">. </w:t>
            </w:r>
            <w:r w:rsidR="008F62EA" w:rsidRPr="008F62EA">
              <w:rPr>
                <w:i/>
                <w:iCs/>
              </w:rPr>
              <w:t>This means that the new social services regulatory scheme will now commence on 1 July 2024 for all social service providers</w:t>
            </w:r>
            <w:r w:rsidR="00EA5162">
              <w:rPr>
                <w:i/>
                <w:iCs/>
              </w:rPr>
              <w:t xml:space="preserve"> within the scope of the scheme</w:t>
            </w:r>
            <w:r w:rsidR="008F62EA" w:rsidRPr="008F62EA">
              <w:rPr>
                <w:i/>
                <w:iCs/>
              </w:rPr>
              <w:t xml:space="preserve">. </w:t>
            </w:r>
          </w:p>
        </w:tc>
      </w:tr>
    </w:tbl>
    <w:tbl>
      <w:tblPr>
        <w:tblStyle w:val="GridTable5Dark-Accent5"/>
        <w:tblW w:w="0" w:type="auto"/>
        <w:tblLook w:val="04A0" w:firstRow="1" w:lastRow="0" w:firstColumn="1" w:lastColumn="0" w:noHBand="0" w:noVBand="1"/>
      </w:tblPr>
      <w:tblGrid>
        <w:gridCol w:w="2475"/>
        <w:gridCol w:w="7719"/>
      </w:tblGrid>
      <w:tr w:rsidR="000A21A1" w:rsidRPr="0013783D" w14:paraId="2FF329E7" w14:textId="77777777" w:rsidTr="003462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shd w:val="clear" w:color="auto" w:fill="3286A0"/>
          </w:tcPr>
          <w:bookmarkEnd w:id="0"/>
          <w:bookmarkEnd w:id="1"/>
          <w:p w14:paraId="48C56D5F" w14:textId="0AD513A3" w:rsidR="000A21A1" w:rsidRPr="0013783D" w:rsidRDefault="00C031E8" w:rsidP="000A21A1">
            <w:pPr>
              <w:pStyle w:val="DHHSbullet1"/>
              <w:ind w:left="0" w:firstLine="0"/>
            </w:pPr>
            <w:r w:rsidRPr="0013783D">
              <w:t>Key Timelines</w:t>
            </w:r>
          </w:p>
        </w:tc>
        <w:tc>
          <w:tcPr>
            <w:tcW w:w="7719" w:type="dxa"/>
            <w:shd w:val="clear" w:color="auto" w:fill="3286A0"/>
          </w:tcPr>
          <w:p w14:paraId="5901AA67" w14:textId="40D15B47" w:rsidR="000A21A1" w:rsidRPr="0013783D" w:rsidRDefault="00C031E8" w:rsidP="000A21A1">
            <w:pPr>
              <w:pStyle w:val="DHHSbullet1"/>
              <w:ind w:left="0" w:firstLine="0"/>
              <w:cnfStyle w:val="100000000000" w:firstRow="1" w:lastRow="0" w:firstColumn="0" w:lastColumn="0" w:oddVBand="0" w:evenVBand="0" w:oddHBand="0" w:evenHBand="0" w:firstRowFirstColumn="0" w:firstRowLastColumn="0" w:lastRowFirstColumn="0" w:lastRowLastColumn="0"/>
            </w:pPr>
            <w:r w:rsidRPr="0013783D">
              <w:t>Key Milestone</w:t>
            </w:r>
          </w:p>
        </w:tc>
      </w:tr>
      <w:tr w:rsidR="000A21A1" w:rsidRPr="0013783D" w14:paraId="4B0A26D2" w14:textId="77777777" w:rsidTr="0034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shd w:val="clear" w:color="auto" w:fill="3286A0"/>
          </w:tcPr>
          <w:p w14:paraId="1E9B5FC2" w14:textId="14F0E1B8" w:rsidR="000A21A1" w:rsidRPr="0013783D" w:rsidRDefault="00C031E8" w:rsidP="000A21A1">
            <w:pPr>
              <w:pStyle w:val="DHHSbullet1"/>
              <w:ind w:left="0" w:firstLine="0"/>
              <w:rPr>
                <w:b w:val="0"/>
                <w:bCs w:val="0"/>
              </w:rPr>
            </w:pPr>
            <w:r w:rsidRPr="0013783D">
              <w:rPr>
                <w:b w:val="0"/>
                <w:bCs w:val="0"/>
              </w:rPr>
              <w:t>2022</w:t>
            </w:r>
          </w:p>
        </w:tc>
        <w:tc>
          <w:tcPr>
            <w:tcW w:w="7719" w:type="dxa"/>
            <w:shd w:val="clear" w:color="auto" w:fill="9FD1E1"/>
          </w:tcPr>
          <w:p w14:paraId="49B54AFA" w14:textId="38997BFA" w:rsidR="000A21A1" w:rsidRPr="008309BD" w:rsidRDefault="00C031E8" w:rsidP="000A21A1">
            <w:pPr>
              <w:pStyle w:val="DHHSbullet1"/>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8309BD">
              <w:rPr>
                <w:color w:val="000000" w:themeColor="text1"/>
              </w:rPr>
              <w:t xml:space="preserve">Engagement period with key stakeholders within and outside government </w:t>
            </w:r>
          </w:p>
        </w:tc>
      </w:tr>
      <w:tr w:rsidR="000A21A1" w:rsidRPr="0013783D" w14:paraId="79CE9FF8" w14:textId="77777777" w:rsidTr="003462CD">
        <w:tc>
          <w:tcPr>
            <w:cnfStyle w:val="001000000000" w:firstRow="0" w:lastRow="0" w:firstColumn="1" w:lastColumn="0" w:oddVBand="0" w:evenVBand="0" w:oddHBand="0" w:evenHBand="0" w:firstRowFirstColumn="0" w:firstRowLastColumn="0" w:lastRowFirstColumn="0" w:lastRowLastColumn="0"/>
            <w:tcW w:w="2475" w:type="dxa"/>
            <w:shd w:val="clear" w:color="auto" w:fill="3286A0"/>
          </w:tcPr>
          <w:p w14:paraId="393BC27F" w14:textId="140ACEDB" w:rsidR="000A21A1" w:rsidRPr="0013783D" w:rsidRDefault="00AD5BB1" w:rsidP="000A21A1">
            <w:pPr>
              <w:pStyle w:val="DHHSbullet1"/>
              <w:ind w:left="0" w:firstLine="0"/>
              <w:rPr>
                <w:b w:val="0"/>
                <w:bCs w:val="0"/>
              </w:rPr>
            </w:pPr>
            <w:r>
              <w:rPr>
                <w:b w:val="0"/>
                <w:bCs w:val="0"/>
              </w:rPr>
              <w:t>Early 2023</w:t>
            </w:r>
          </w:p>
        </w:tc>
        <w:tc>
          <w:tcPr>
            <w:tcW w:w="7719" w:type="dxa"/>
            <w:shd w:val="clear" w:color="auto" w:fill="E5F8FF"/>
          </w:tcPr>
          <w:p w14:paraId="44A14486" w14:textId="25E7C38F" w:rsidR="000A21A1" w:rsidRPr="008309BD" w:rsidRDefault="00D2705C" w:rsidP="000A21A1">
            <w:pPr>
              <w:pStyle w:val="DHHSbullet1"/>
              <w:ind w:left="0" w:firstLine="0"/>
              <w:cnfStyle w:val="000000000000" w:firstRow="0" w:lastRow="0" w:firstColumn="0" w:lastColumn="0" w:oddVBand="0" w:evenVBand="0" w:oddHBand="0" w:evenHBand="0" w:firstRowFirstColumn="0" w:firstRowLastColumn="0" w:lastRowFirstColumn="0" w:lastRowLastColumn="0"/>
              <w:rPr>
                <w:color w:val="000000" w:themeColor="text1"/>
              </w:rPr>
            </w:pPr>
            <w:r w:rsidRPr="008309BD">
              <w:rPr>
                <w:color w:val="000000" w:themeColor="text1"/>
              </w:rPr>
              <w:t xml:space="preserve">Formal public consultation period for the Regulatory Impact Assessment and draft </w:t>
            </w:r>
            <w:r w:rsidR="006D54B7">
              <w:rPr>
                <w:color w:val="000000" w:themeColor="text1"/>
              </w:rPr>
              <w:t>r</w:t>
            </w:r>
            <w:r w:rsidRPr="008309BD">
              <w:rPr>
                <w:color w:val="000000" w:themeColor="text1"/>
              </w:rPr>
              <w:t>egulations</w:t>
            </w:r>
          </w:p>
        </w:tc>
      </w:tr>
    </w:tbl>
    <w:tbl>
      <w:tblPr>
        <w:tblStyle w:val="TableGrid1"/>
        <w:tblW w:w="10201" w:type="dxa"/>
        <w:tblBorders>
          <w:top w:val="dotted" w:sz="4" w:space="0" w:color="auto"/>
          <w:left w:val="none" w:sz="0" w:space="0" w:color="auto"/>
          <w:bottom w:val="none" w:sz="0" w:space="0" w:color="auto"/>
          <w:right w:val="dotted" w:sz="4" w:space="0" w:color="auto"/>
          <w:insideH w:val="dotted" w:sz="4" w:space="0" w:color="auto"/>
          <w:insideV w:val="dotted" w:sz="4" w:space="0" w:color="auto"/>
        </w:tblBorders>
        <w:shd w:val="clear" w:color="auto" w:fill="BDEEFF"/>
        <w:tblLook w:val="04A0" w:firstRow="1" w:lastRow="0" w:firstColumn="1" w:lastColumn="0" w:noHBand="0" w:noVBand="1"/>
      </w:tblPr>
      <w:tblGrid>
        <w:gridCol w:w="2475"/>
        <w:gridCol w:w="7726"/>
      </w:tblGrid>
      <w:tr w:rsidR="004E3783" w:rsidRPr="0013783D" w14:paraId="5DF8031B" w14:textId="77777777" w:rsidTr="007853B5">
        <w:tc>
          <w:tcPr>
            <w:tcW w:w="2475" w:type="dxa"/>
            <w:shd w:val="clear" w:color="auto" w:fill="BDEEFF"/>
          </w:tcPr>
          <w:p w14:paraId="59FB041A" w14:textId="42262874" w:rsidR="002A0455" w:rsidRPr="0013783D" w:rsidRDefault="002A0455" w:rsidP="000A21A1">
            <w:pPr>
              <w:pStyle w:val="DHHSbullet1"/>
              <w:ind w:left="0" w:firstLine="0"/>
            </w:pPr>
            <w:r>
              <w:t>Mid 2023</w:t>
            </w:r>
          </w:p>
        </w:tc>
        <w:tc>
          <w:tcPr>
            <w:tcW w:w="7726" w:type="dxa"/>
            <w:shd w:val="clear" w:color="auto" w:fill="BDEEFF"/>
          </w:tcPr>
          <w:p w14:paraId="0DD93131" w14:textId="30EA8EDF" w:rsidR="002A0455" w:rsidRPr="008309BD" w:rsidRDefault="002A0455" w:rsidP="000A21A1">
            <w:pPr>
              <w:pStyle w:val="DHHSbullet1"/>
              <w:ind w:left="0" w:firstLine="0"/>
              <w:rPr>
                <w:color w:val="000000" w:themeColor="text1"/>
              </w:rPr>
            </w:pPr>
            <w:r>
              <w:rPr>
                <w:color w:val="000000" w:themeColor="text1"/>
              </w:rPr>
              <w:t xml:space="preserve">Regulator appointed </w:t>
            </w:r>
          </w:p>
        </w:tc>
      </w:tr>
    </w:tbl>
    <w:tbl>
      <w:tblPr>
        <w:tblStyle w:val="GridTable5Dark-Accent5"/>
        <w:tblW w:w="0" w:type="auto"/>
        <w:tblLook w:val="04A0" w:firstRow="1" w:lastRow="0" w:firstColumn="1" w:lastColumn="0" w:noHBand="0" w:noVBand="1"/>
      </w:tblPr>
      <w:tblGrid>
        <w:gridCol w:w="2475"/>
        <w:gridCol w:w="7719"/>
      </w:tblGrid>
      <w:tr w:rsidR="000A21A1" w:rsidRPr="0013783D" w14:paraId="076471FC" w14:textId="77777777" w:rsidTr="003462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shd w:val="clear" w:color="auto" w:fill="3286A0"/>
          </w:tcPr>
          <w:p w14:paraId="5F2DE5BB" w14:textId="4046BCB0" w:rsidR="000A21A1" w:rsidRPr="0013783D" w:rsidRDefault="00AD5BB1" w:rsidP="000A21A1">
            <w:pPr>
              <w:pStyle w:val="DHHSbullet1"/>
              <w:ind w:left="0" w:firstLine="0"/>
              <w:rPr>
                <w:b w:val="0"/>
                <w:bCs w:val="0"/>
              </w:rPr>
            </w:pPr>
            <w:r>
              <w:rPr>
                <w:b w:val="0"/>
                <w:bCs w:val="0"/>
              </w:rPr>
              <w:t>August</w:t>
            </w:r>
            <w:r w:rsidR="00D2705C" w:rsidRPr="0013783D">
              <w:rPr>
                <w:b w:val="0"/>
                <w:bCs w:val="0"/>
              </w:rPr>
              <w:t xml:space="preserve"> 2023</w:t>
            </w:r>
          </w:p>
        </w:tc>
        <w:tc>
          <w:tcPr>
            <w:tcW w:w="7719" w:type="dxa"/>
            <w:shd w:val="clear" w:color="auto" w:fill="E5F8FF"/>
          </w:tcPr>
          <w:p w14:paraId="7ED33350" w14:textId="62F5E44B" w:rsidR="000A21A1" w:rsidRPr="006E377B" w:rsidRDefault="00D2705C" w:rsidP="000A21A1">
            <w:pPr>
              <w:pStyle w:val="DHHSbullet1"/>
              <w:ind w:left="0" w:firstLine="0"/>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6E377B">
              <w:rPr>
                <w:b w:val="0"/>
                <w:bCs w:val="0"/>
                <w:color w:val="000000" w:themeColor="text1"/>
              </w:rPr>
              <w:t xml:space="preserve">Regulations </w:t>
            </w:r>
            <w:r w:rsidR="008F3371" w:rsidRPr="006E377B">
              <w:rPr>
                <w:b w:val="0"/>
                <w:bCs w:val="0"/>
                <w:color w:val="000000" w:themeColor="text1"/>
              </w:rPr>
              <w:t xml:space="preserve">finalised and </w:t>
            </w:r>
            <w:r w:rsidRPr="006E377B">
              <w:rPr>
                <w:b w:val="0"/>
                <w:bCs w:val="0"/>
                <w:color w:val="000000" w:themeColor="text1"/>
              </w:rPr>
              <w:t>published</w:t>
            </w:r>
          </w:p>
        </w:tc>
      </w:tr>
      <w:tr w:rsidR="001B2B33" w:rsidRPr="0013783D" w14:paraId="000EE959" w14:textId="77777777" w:rsidTr="0034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shd w:val="clear" w:color="auto" w:fill="3286A0"/>
          </w:tcPr>
          <w:p w14:paraId="33759602" w14:textId="2647B07C" w:rsidR="000A21A1" w:rsidRPr="0013783D" w:rsidRDefault="00D2705C" w:rsidP="000A21A1">
            <w:pPr>
              <w:pStyle w:val="DHHSbullet1"/>
              <w:ind w:left="0" w:firstLine="0"/>
              <w:rPr>
                <w:b w:val="0"/>
                <w:bCs w:val="0"/>
              </w:rPr>
            </w:pPr>
            <w:r w:rsidRPr="0013783D">
              <w:rPr>
                <w:b w:val="0"/>
                <w:bCs w:val="0"/>
              </w:rPr>
              <w:t>1 July 202</w:t>
            </w:r>
            <w:r w:rsidR="00AD5BB1">
              <w:rPr>
                <w:b w:val="0"/>
                <w:bCs w:val="0"/>
              </w:rPr>
              <w:t>4</w:t>
            </w:r>
          </w:p>
        </w:tc>
        <w:tc>
          <w:tcPr>
            <w:tcW w:w="7719" w:type="dxa"/>
            <w:shd w:val="clear" w:color="auto" w:fill="9FD1E1"/>
          </w:tcPr>
          <w:p w14:paraId="41088CD0" w14:textId="21F96F72" w:rsidR="00F91A41" w:rsidRPr="008309BD" w:rsidRDefault="00AD5BB1" w:rsidP="003E2BEB">
            <w:pPr>
              <w:pStyle w:val="DHHSbullet1"/>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Commencement of the scheme for all in scope social services</w:t>
            </w:r>
            <w:r w:rsidR="00151834">
              <w:rPr>
                <w:color w:val="000000" w:themeColor="text1"/>
              </w:rPr>
              <w:t xml:space="preserve">. </w:t>
            </w:r>
            <w:r w:rsidR="000B4602" w:rsidRPr="008309BD" w:rsidDel="00AD5BB1">
              <w:rPr>
                <w:color w:val="000000" w:themeColor="text1"/>
              </w:rPr>
              <w:t xml:space="preserve">This includes </w:t>
            </w:r>
            <w:r w:rsidR="000B4602" w:rsidRPr="008309BD">
              <w:rPr>
                <w:color w:val="000000" w:themeColor="text1"/>
              </w:rPr>
              <w:t xml:space="preserve">supported residential services, disability services </w:t>
            </w:r>
            <w:r w:rsidR="00E96CD2">
              <w:rPr>
                <w:color w:val="000000" w:themeColor="text1"/>
              </w:rPr>
              <w:t>provided or funded by the department, Transport Accident Commission or Workcover,</w:t>
            </w:r>
            <w:r w:rsidR="000B4602" w:rsidRPr="008309BD">
              <w:rPr>
                <w:color w:val="000000" w:themeColor="text1"/>
              </w:rPr>
              <w:t xml:space="preserve"> children, youth and famil</w:t>
            </w:r>
            <w:r w:rsidR="00B47A23" w:rsidRPr="008309BD">
              <w:rPr>
                <w:color w:val="000000" w:themeColor="text1"/>
              </w:rPr>
              <w:t>y</w:t>
            </w:r>
            <w:r w:rsidR="000B4602" w:rsidRPr="008309BD">
              <w:rPr>
                <w:color w:val="000000" w:themeColor="text1"/>
              </w:rPr>
              <w:t xml:space="preserve"> services</w:t>
            </w:r>
            <w:r w:rsidR="00C32DBE">
              <w:rPr>
                <w:color w:val="000000" w:themeColor="text1"/>
              </w:rPr>
              <w:t>, family violence</w:t>
            </w:r>
            <w:r w:rsidR="00292586">
              <w:rPr>
                <w:color w:val="000000" w:themeColor="text1"/>
              </w:rPr>
              <w:t xml:space="preserve"> services</w:t>
            </w:r>
            <w:r w:rsidR="006B5A6B">
              <w:rPr>
                <w:color w:val="000000" w:themeColor="text1"/>
              </w:rPr>
              <w:t xml:space="preserve">, </w:t>
            </w:r>
            <w:r w:rsidR="00C32DBE">
              <w:rPr>
                <w:color w:val="000000" w:themeColor="text1"/>
              </w:rPr>
              <w:t xml:space="preserve">sexual assault </w:t>
            </w:r>
            <w:r w:rsidR="00292586">
              <w:rPr>
                <w:color w:val="000000" w:themeColor="text1"/>
              </w:rPr>
              <w:t xml:space="preserve">services </w:t>
            </w:r>
            <w:r w:rsidR="00E96CD2">
              <w:rPr>
                <w:color w:val="000000" w:themeColor="text1"/>
              </w:rPr>
              <w:t xml:space="preserve">and </w:t>
            </w:r>
            <w:r w:rsidR="006B5A6B">
              <w:rPr>
                <w:color w:val="000000" w:themeColor="text1"/>
              </w:rPr>
              <w:t>homelessness support</w:t>
            </w:r>
            <w:r w:rsidR="00C32DBE" w:rsidDel="006B5A6B">
              <w:rPr>
                <w:color w:val="000000" w:themeColor="text1"/>
              </w:rPr>
              <w:t xml:space="preserve"> </w:t>
            </w:r>
            <w:r w:rsidR="00C32DBE">
              <w:rPr>
                <w:color w:val="000000" w:themeColor="text1"/>
              </w:rPr>
              <w:t>services</w:t>
            </w:r>
            <w:r w:rsidR="000B4602" w:rsidRPr="008309BD" w:rsidDel="00AD5BB1">
              <w:rPr>
                <w:color w:val="000000" w:themeColor="text1"/>
              </w:rPr>
              <w:t>.</w:t>
            </w:r>
          </w:p>
        </w:tc>
      </w:tr>
    </w:tbl>
    <w:p w14:paraId="42098AC0" w14:textId="433C5406" w:rsidR="00D4567C" w:rsidRPr="007E4CE2" w:rsidRDefault="007E4CE2" w:rsidP="007E4CE2">
      <w:pPr>
        <w:pStyle w:val="Heading1"/>
        <w:jc w:val="both"/>
      </w:pPr>
      <w:r w:rsidRPr="00F632E0">
        <w:t>Development stages for the new scheme</w:t>
      </w:r>
    </w:p>
    <w:p w14:paraId="5B318A2C" w14:textId="0BDC1412" w:rsidR="00153580" w:rsidRDefault="00153580" w:rsidP="00D4567C">
      <w:pPr>
        <w:pStyle w:val="Body"/>
      </w:pPr>
    </w:p>
    <w:p w14:paraId="21A37B5F" w14:textId="20473837" w:rsidR="006206CC" w:rsidRDefault="0017187A" w:rsidP="00D4567C">
      <w:pPr>
        <w:pStyle w:val="Body"/>
      </w:pPr>
      <w:r>
        <w:rPr>
          <w:noProof/>
        </w:rPr>
        <w:drawing>
          <wp:inline distT="0" distB="0" distL="0" distR="0" wp14:anchorId="014D6977" wp14:editId="0BD93437">
            <wp:extent cx="6616700" cy="360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16700" cy="3606800"/>
                    </a:xfrm>
                    <a:prstGeom prst="rect">
                      <a:avLst/>
                    </a:prstGeom>
                    <a:noFill/>
                    <a:ln>
                      <a:noFill/>
                    </a:ln>
                  </pic:spPr>
                </pic:pic>
              </a:graphicData>
            </a:graphic>
          </wp:inline>
        </w:drawing>
      </w:r>
    </w:p>
    <w:p w14:paraId="5806EEE3" w14:textId="1D074FA9" w:rsidR="006206CC" w:rsidRDefault="006206CC" w:rsidP="00D4567C">
      <w:pPr>
        <w:pStyle w:val="Body"/>
      </w:pPr>
    </w:p>
    <w:p w14:paraId="3C87CE07" w14:textId="40F7AEE5" w:rsidR="006206CC" w:rsidRDefault="006206CC" w:rsidP="00D4567C">
      <w:pPr>
        <w:pStyle w:val="Body"/>
      </w:pPr>
    </w:p>
    <w:p w14:paraId="78FD648D" w14:textId="77777777" w:rsidR="006206CC" w:rsidRPr="00E204B1" w:rsidRDefault="006206CC" w:rsidP="00D4567C">
      <w:pPr>
        <w:pStyle w:val="Body"/>
      </w:pPr>
    </w:p>
    <w:tbl>
      <w:tblPr>
        <w:tblStyle w:val="TableGrid"/>
        <w:tblW w:w="0" w:type="auto"/>
        <w:tblCellMar>
          <w:bottom w:w="108" w:type="dxa"/>
        </w:tblCellMar>
        <w:tblLook w:val="0600" w:firstRow="0" w:lastRow="0" w:firstColumn="0" w:lastColumn="0" w:noHBand="1" w:noVBand="1"/>
      </w:tblPr>
      <w:tblGrid>
        <w:gridCol w:w="10194"/>
      </w:tblGrid>
      <w:tr w:rsidR="00153580" w14:paraId="673C50DB" w14:textId="77777777" w:rsidTr="00C01EF8">
        <w:tc>
          <w:tcPr>
            <w:tcW w:w="10194" w:type="dxa"/>
          </w:tcPr>
          <w:p w14:paraId="21851055" w14:textId="2BF92708" w:rsidR="00153580" w:rsidRDefault="00153580" w:rsidP="00C01EF8">
            <w:pPr>
              <w:pStyle w:val="Body"/>
            </w:pPr>
            <w:r w:rsidRPr="0055119B">
              <w:lastRenderedPageBreak/>
              <w:t xml:space="preserve">To receive this </w:t>
            </w:r>
            <w:r>
              <w:t>information</w:t>
            </w:r>
            <w:r w:rsidRPr="0055119B">
              <w:t xml:space="preserve"> in another format</w:t>
            </w:r>
            <w:r>
              <w:t>,</w:t>
            </w:r>
            <w:r w:rsidRPr="0055119B">
              <w:t xml:space="preserve"> </w:t>
            </w:r>
            <w:r>
              <w:t xml:space="preserve">please </w:t>
            </w:r>
            <w:r w:rsidRPr="0055119B">
              <w:t>email</w:t>
            </w:r>
            <w:r>
              <w:t xml:space="preserve"> the </w:t>
            </w:r>
            <w:hyperlink r:id="rId19" w:history="1">
              <w:r w:rsidRPr="00957FAD">
                <w:rPr>
                  <w:rStyle w:val="Hyperlink"/>
                </w:rPr>
                <w:t>Social Services Regulation Reform team</w:t>
              </w:r>
            </w:hyperlink>
            <w:r>
              <w:t xml:space="preserve"> &lt;</w:t>
            </w:r>
            <w:r w:rsidRPr="00D76211">
              <w:t>regulationreform</w:t>
            </w:r>
            <w:r>
              <w:t>@dffh.vic.gov.au&gt;.</w:t>
            </w:r>
          </w:p>
          <w:p w14:paraId="08D04B13" w14:textId="77777777" w:rsidR="00153580" w:rsidRDefault="00153580" w:rsidP="00C01EF8">
            <w:pPr>
              <w:pStyle w:val="Body"/>
              <w:spacing w:after="0"/>
            </w:pPr>
            <w:r>
              <w:t xml:space="preserve">Authorised and published by the Victorian Government, 1 Treasury Place, Melbourne. </w:t>
            </w:r>
          </w:p>
          <w:p w14:paraId="60645618" w14:textId="22666005" w:rsidR="00153580" w:rsidRDefault="00153580" w:rsidP="00C01EF8">
            <w:pPr>
              <w:pStyle w:val="Body"/>
              <w:spacing w:after="0"/>
            </w:pPr>
            <w:r>
              <w:t xml:space="preserve">© State of Victoria, Australia, Department of Families, Fairness and Housing, </w:t>
            </w:r>
            <w:r w:rsidR="00FF7416">
              <w:t>September</w:t>
            </w:r>
            <w:r>
              <w:t xml:space="preserve"> 2022.</w:t>
            </w:r>
          </w:p>
          <w:p w14:paraId="5A017FD2" w14:textId="346FB9F5" w:rsidR="00E204B1" w:rsidRDefault="00E204B1" w:rsidP="00C01EF8">
            <w:pPr>
              <w:pStyle w:val="Body"/>
              <w:spacing w:after="0"/>
            </w:pPr>
          </w:p>
          <w:p w14:paraId="344717C2" w14:textId="410E6C8A" w:rsidR="00957FAD" w:rsidRDefault="00957FAD" w:rsidP="00C01EF8">
            <w:pPr>
              <w:pStyle w:val="Body"/>
              <w:spacing w:after="0"/>
              <w:rPr>
                <w:lang w:val="en-US"/>
              </w:rPr>
            </w:pPr>
            <w:r>
              <w:rPr>
                <w:lang w:val="en-US"/>
              </w:rPr>
              <w:t xml:space="preserve">Available on the </w:t>
            </w:r>
            <w:hyperlink r:id="rId20" w:history="1">
              <w:r w:rsidRPr="00957FAD">
                <w:rPr>
                  <w:rStyle w:val="Hyperlink"/>
                  <w:lang w:val="en-US"/>
                </w:rPr>
                <w:t>Social Services Regulation Reform page</w:t>
              </w:r>
            </w:hyperlink>
            <w:r>
              <w:rPr>
                <w:lang w:val="en-US"/>
              </w:rPr>
              <w:t xml:space="preserve"> on the Department of Families, Fairness and Housing site</w:t>
            </w:r>
          </w:p>
          <w:p w14:paraId="39DCD0A0" w14:textId="4B26F260" w:rsidR="00957FAD" w:rsidRPr="00683BA5" w:rsidRDefault="00957FAD" w:rsidP="00C01EF8">
            <w:pPr>
              <w:pStyle w:val="Body"/>
              <w:spacing w:after="0"/>
              <w:rPr>
                <w:rFonts w:cs="Arial"/>
                <w:sz w:val="18"/>
                <w:szCs w:val="18"/>
                <w:lang w:val="en-US"/>
              </w:rPr>
            </w:pPr>
            <w:r>
              <w:rPr>
                <w:lang w:val="en-US"/>
              </w:rPr>
              <w:t>&lt;</w:t>
            </w:r>
            <w:r w:rsidRPr="00957FAD">
              <w:rPr>
                <w:lang w:val="en-US"/>
              </w:rPr>
              <w:t>https://www.dffh.vic.gov.au/social-services-regulation-reform</w:t>
            </w:r>
            <w:r>
              <w:rPr>
                <w:lang w:val="en-US"/>
              </w:rPr>
              <w:t>&gt;</w:t>
            </w:r>
          </w:p>
        </w:tc>
      </w:tr>
    </w:tbl>
    <w:p w14:paraId="0B9DDBE5" w14:textId="1E404CEC" w:rsidR="00D4567C" w:rsidRPr="008454CB" w:rsidRDefault="00D4567C" w:rsidP="00E869CF">
      <w:pPr>
        <w:pStyle w:val="DHHSbullet1"/>
        <w:ind w:left="0" w:firstLine="0"/>
        <w:rPr>
          <w:sz w:val="21"/>
          <w:szCs w:val="21"/>
        </w:rPr>
      </w:pPr>
    </w:p>
    <w:sectPr w:rsidR="00D4567C" w:rsidRPr="008454CB" w:rsidSect="006E377B">
      <w:head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0CBE" w14:textId="77777777" w:rsidR="00B949FE" w:rsidRDefault="00B949FE" w:rsidP="00EF2B43">
      <w:pPr>
        <w:spacing w:after="0" w:line="240" w:lineRule="auto"/>
      </w:pPr>
      <w:r>
        <w:separator/>
      </w:r>
    </w:p>
  </w:endnote>
  <w:endnote w:type="continuationSeparator" w:id="0">
    <w:p w14:paraId="731DFEB7" w14:textId="77777777" w:rsidR="00B949FE" w:rsidRDefault="00B949FE" w:rsidP="00EF2B43">
      <w:pPr>
        <w:spacing w:after="0" w:line="240" w:lineRule="auto"/>
      </w:pPr>
      <w:r>
        <w:continuationSeparator/>
      </w:r>
    </w:p>
  </w:endnote>
  <w:endnote w:type="continuationNotice" w:id="1">
    <w:p w14:paraId="7F24F598" w14:textId="77777777" w:rsidR="00B949FE" w:rsidRDefault="00B949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D2D2" w14:textId="77777777" w:rsidR="004830EB" w:rsidRDefault="00483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1F1D" w14:textId="0A5C3934" w:rsidR="004075CE" w:rsidRPr="00F65AA9" w:rsidRDefault="00775052" w:rsidP="004075CE">
    <w:pPr>
      <w:pStyle w:val="Footer"/>
    </w:pPr>
    <w:r>
      <w:rPr>
        <w:noProof/>
        <w:lang w:eastAsia="en-AU"/>
      </w:rPr>
      <mc:AlternateContent>
        <mc:Choice Requires="wps">
          <w:drawing>
            <wp:anchor distT="0" distB="0" distL="114300" distR="114300" simplePos="0" relativeHeight="251659264" behindDoc="0" locked="0" layoutInCell="0" allowOverlap="1" wp14:anchorId="0F0B24C2" wp14:editId="7CA941AF">
              <wp:simplePos x="0" y="0"/>
              <wp:positionH relativeFrom="page">
                <wp:posOffset>0</wp:posOffset>
              </wp:positionH>
              <wp:positionV relativeFrom="page">
                <wp:posOffset>10189210</wp:posOffset>
              </wp:positionV>
              <wp:extent cx="7560310" cy="311785"/>
              <wp:effectExtent l="0" t="0" r="0" b="12065"/>
              <wp:wrapNone/>
              <wp:docPr id="1" name="MSIPCM938249a5be308b82397c1cfd" descr="{&quot;HashCode&quot;:32796782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0B9F01" w14:textId="063378E0" w:rsidR="00775052" w:rsidRPr="00775052" w:rsidRDefault="00775052" w:rsidP="00775052">
                          <w:pPr>
                            <w:spacing w:after="0"/>
                            <w:jc w:val="center"/>
                            <w:rPr>
                              <w:rFonts w:ascii="Arial Black" w:hAnsi="Arial Black"/>
                              <w:color w:val="E4100E"/>
                              <w:sz w:val="20"/>
                            </w:rPr>
                          </w:pPr>
                          <w:r w:rsidRPr="00775052">
                            <w:rPr>
                              <w:rFonts w:ascii="Arial Black" w:hAnsi="Arial Black"/>
                              <w:color w:val="E4100E"/>
                              <w:sz w:val="20"/>
                            </w:rPr>
                            <w:t>PROTECTED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0B24C2" id="_x0000_t202" coordsize="21600,21600" o:spt="202" path="m,l,21600r21600,l21600,xe">
              <v:stroke joinstyle="miter"/>
              <v:path gradientshapeok="t" o:connecttype="rect"/>
            </v:shapetype>
            <v:shape id="MSIPCM938249a5be308b82397c1cfd" o:spid="_x0000_s1026" type="#_x0000_t202" alt="{&quot;HashCode&quot;:32796782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40B9F01" w14:textId="063378E0" w:rsidR="00775052" w:rsidRPr="00775052" w:rsidRDefault="00775052" w:rsidP="00775052">
                    <w:pPr>
                      <w:spacing w:after="0"/>
                      <w:jc w:val="center"/>
                      <w:rPr>
                        <w:rFonts w:ascii="Arial Black" w:hAnsi="Arial Black"/>
                        <w:color w:val="E4100E"/>
                        <w:sz w:val="20"/>
                      </w:rPr>
                    </w:pPr>
                    <w:r w:rsidRPr="00775052">
                      <w:rPr>
                        <w:rFonts w:ascii="Arial Black" w:hAnsi="Arial Black"/>
                        <w:color w:val="E4100E"/>
                        <w:sz w:val="20"/>
                      </w:rPr>
                      <w:t>PROTECTED</w:t>
                    </w:r>
                  </w:p>
                </w:txbxContent>
              </v:textbox>
              <w10:wrap anchorx="page" anchory="page"/>
            </v:shape>
          </w:pict>
        </mc:Fallback>
      </mc:AlternateContent>
    </w:r>
    <w:r w:rsidR="004075CE">
      <w:rPr>
        <w:noProof/>
        <w:lang w:eastAsia="en-AU"/>
      </w:rPr>
      <w:drawing>
        <wp:anchor distT="0" distB="0" distL="114300" distR="114300" simplePos="0" relativeHeight="251657216" behindDoc="1" locked="1" layoutInCell="1" allowOverlap="1" wp14:anchorId="34746911" wp14:editId="70EF7595">
          <wp:simplePos x="539750" y="9290050"/>
          <wp:positionH relativeFrom="page">
            <wp:align>right</wp:align>
          </wp:positionH>
          <wp:positionV relativeFrom="page">
            <wp:align>bottom</wp:align>
          </wp:positionV>
          <wp:extent cx="7560000" cy="1008000"/>
          <wp:effectExtent l="0" t="0" r="3175" b="1905"/>
          <wp:wrapNone/>
          <wp:docPr id="5" name="Picture 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73B8" w14:textId="77777777" w:rsidR="004830EB" w:rsidRDefault="00483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750FF" w14:textId="77777777" w:rsidR="00B949FE" w:rsidRDefault="00B949FE" w:rsidP="00EF2B43">
      <w:pPr>
        <w:spacing w:after="0" w:line="240" w:lineRule="auto"/>
      </w:pPr>
      <w:r>
        <w:separator/>
      </w:r>
    </w:p>
  </w:footnote>
  <w:footnote w:type="continuationSeparator" w:id="0">
    <w:p w14:paraId="06DB8627" w14:textId="77777777" w:rsidR="00B949FE" w:rsidRDefault="00B949FE" w:rsidP="00EF2B43">
      <w:pPr>
        <w:spacing w:after="0" w:line="240" w:lineRule="auto"/>
      </w:pPr>
      <w:r>
        <w:continuationSeparator/>
      </w:r>
    </w:p>
  </w:footnote>
  <w:footnote w:type="continuationNotice" w:id="1">
    <w:p w14:paraId="204CBAED" w14:textId="77777777" w:rsidR="00B949FE" w:rsidRDefault="00B949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A237" w14:textId="77777777" w:rsidR="004830EB" w:rsidRDefault="00483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5EFE" w14:textId="77777777" w:rsidR="004075CE" w:rsidRDefault="004075CE" w:rsidP="004075CE">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CB02" w14:textId="77777777" w:rsidR="004830EB" w:rsidRDefault="004830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9834" w14:textId="26B27BF0" w:rsidR="004075CE" w:rsidRPr="0051568D" w:rsidRDefault="004075CE" w:rsidP="004075CE">
    <w:pPr>
      <w:pStyle w:val="Header"/>
    </w:pPr>
    <w:r>
      <w:rPr>
        <w:noProof/>
      </w:rPr>
      <w:drawing>
        <wp:anchor distT="0" distB="0" distL="114300" distR="114300" simplePos="0" relativeHeight="251658241" behindDoc="1" locked="1" layoutInCell="1" allowOverlap="1" wp14:anchorId="5A924135" wp14:editId="37DC665F">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EF2B43">
      <w:t xml:space="preserve"> </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5E6"/>
    <w:multiLevelType w:val="hybridMultilevel"/>
    <w:tmpl w:val="5BBEF5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517D39"/>
    <w:multiLevelType w:val="hybridMultilevel"/>
    <w:tmpl w:val="83643A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EA0CCC"/>
    <w:multiLevelType w:val="hybridMultilevel"/>
    <w:tmpl w:val="336C34A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AA738E"/>
    <w:multiLevelType w:val="hybridMultilevel"/>
    <w:tmpl w:val="A998A4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C1435CF"/>
    <w:multiLevelType w:val="hybridMultilevel"/>
    <w:tmpl w:val="24B6DD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F4748A4"/>
    <w:multiLevelType w:val="hybridMultilevel"/>
    <w:tmpl w:val="C3E84B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F066B38"/>
    <w:multiLevelType w:val="hybridMultilevel"/>
    <w:tmpl w:val="3FD06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2"/>
  </w:num>
  <w:num w:numId="5">
    <w:abstractNumId w:val="3"/>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43"/>
    <w:rsid w:val="00011212"/>
    <w:rsid w:val="0001396D"/>
    <w:rsid w:val="00031382"/>
    <w:rsid w:val="00052DFE"/>
    <w:rsid w:val="000556B9"/>
    <w:rsid w:val="00063D5A"/>
    <w:rsid w:val="00091329"/>
    <w:rsid w:val="00094954"/>
    <w:rsid w:val="000A21A1"/>
    <w:rsid w:val="000A29E2"/>
    <w:rsid w:val="000B4102"/>
    <w:rsid w:val="000B4602"/>
    <w:rsid w:val="000B5220"/>
    <w:rsid w:val="000E20B7"/>
    <w:rsid w:val="000E50C2"/>
    <w:rsid w:val="000F1693"/>
    <w:rsid w:val="000F2A57"/>
    <w:rsid w:val="00115F4B"/>
    <w:rsid w:val="00117115"/>
    <w:rsid w:val="0012708E"/>
    <w:rsid w:val="00134784"/>
    <w:rsid w:val="00135A5F"/>
    <w:rsid w:val="0013783D"/>
    <w:rsid w:val="0014310D"/>
    <w:rsid w:val="00151696"/>
    <w:rsid w:val="00151834"/>
    <w:rsid w:val="00153580"/>
    <w:rsid w:val="0016025E"/>
    <w:rsid w:val="0017187A"/>
    <w:rsid w:val="00177815"/>
    <w:rsid w:val="001A45E3"/>
    <w:rsid w:val="001B2B33"/>
    <w:rsid w:val="001C7A7B"/>
    <w:rsid w:val="001D0DBD"/>
    <w:rsid w:val="00203568"/>
    <w:rsid w:val="00204A52"/>
    <w:rsid w:val="00212B33"/>
    <w:rsid w:val="00224AEE"/>
    <w:rsid w:val="00224DA7"/>
    <w:rsid w:val="00233E05"/>
    <w:rsid w:val="00235905"/>
    <w:rsid w:val="002446A7"/>
    <w:rsid w:val="00280BD7"/>
    <w:rsid w:val="00291184"/>
    <w:rsid w:val="00292586"/>
    <w:rsid w:val="002A0455"/>
    <w:rsid w:val="002C5D73"/>
    <w:rsid w:val="002D205C"/>
    <w:rsid w:val="002E4467"/>
    <w:rsid w:val="002F2997"/>
    <w:rsid w:val="002F3761"/>
    <w:rsid w:val="002F51CB"/>
    <w:rsid w:val="003311B5"/>
    <w:rsid w:val="00332038"/>
    <w:rsid w:val="003462CD"/>
    <w:rsid w:val="003474E1"/>
    <w:rsid w:val="003503AC"/>
    <w:rsid w:val="00352F6E"/>
    <w:rsid w:val="00364A90"/>
    <w:rsid w:val="00394DDC"/>
    <w:rsid w:val="00397B4D"/>
    <w:rsid w:val="003B77B2"/>
    <w:rsid w:val="003C158A"/>
    <w:rsid w:val="003E1952"/>
    <w:rsid w:val="003E2BEB"/>
    <w:rsid w:val="003E5AE1"/>
    <w:rsid w:val="0040127B"/>
    <w:rsid w:val="004075CE"/>
    <w:rsid w:val="00411A3E"/>
    <w:rsid w:val="00416225"/>
    <w:rsid w:val="00420355"/>
    <w:rsid w:val="00437EC1"/>
    <w:rsid w:val="00450434"/>
    <w:rsid w:val="004541FE"/>
    <w:rsid w:val="00461FE1"/>
    <w:rsid w:val="00462F69"/>
    <w:rsid w:val="0047101A"/>
    <w:rsid w:val="0047135B"/>
    <w:rsid w:val="00474780"/>
    <w:rsid w:val="00474C4A"/>
    <w:rsid w:val="00480202"/>
    <w:rsid w:val="004830EB"/>
    <w:rsid w:val="00493AF1"/>
    <w:rsid w:val="004E3783"/>
    <w:rsid w:val="004F74CF"/>
    <w:rsid w:val="00514CE5"/>
    <w:rsid w:val="005205FC"/>
    <w:rsid w:val="0055383B"/>
    <w:rsid w:val="00587F1B"/>
    <w:rsid w:val="00596C86"/>
    <w:rsid w:val="00596C99"/>
    <w:rsid w:val="005B674E"/>
    <w:rsid w:val="005C2006"/>
    <w:rsid w:val="005C454F"/>
    <w:rsid w:val="005C6023"/>
    <w:rsid w:val="005D1D49"/>
    <w:rsid w:val="005D274E"/>
    <w:rsid w:val="006206CC"/>
    <w:rsid w:val="006501F8"/>
    <w:rsid w:val="00657AE7"/>
    <w:rsid w:val="00666B75"/>
    <w:rsid w:val="006804A6"/>
    <w:rsid w:val="00695FB0"/>
    <w:rsid w:val="00696852"/>
    <w:rsid w:val="006970E1"/>
    <w:rsid w:val="006B17E7"/>
    <w:rsid w:val="006B5A6B"/>
    <w:rsid w:val="006C795D"/>
    <w:rsid w:val="006D54B7"/>
    <w:rsid w:val="006E3405"/>
    <w:rsid w:val="006E377B"/>
    <w:rsid w:val="00734144"/>
    <w:rsid w:val="00750890"/>
    <w:rsid w:val="007655B4"/>
    <w:rsid w:val="00775052"/>
    <w:rsid w:val="007853B5"/>
    <w:rsid w:val="00785836"/>
    <w:rsid w:val="007A76BA"/>
    <w:rsid w:val="007E3C1E"/>
    <w:rsid w:val="007E4CE2"/>
    <w:rsid w:val="007F4F54"/>
    <w:rsid w:val="008034D4"/>
    <w:rsid w:val="008309BD"/>
    <w:rsid w:val="008414BB"/>
    <w:rsid w:val="00855140"/>
    <w:rsid w:val="00897DEB"/>
    <w:rsid w:val="008B03EB"/>
    <w:rsid w:val="008D072D"/>
    <w:rsid w:val="008F3371"/>
    <w:rsid w:val="008F62EA"/>
    <w:rsid w:val="00917F58"/>
    <w:rsid w:val="009475AD"/>
    <w:rsid w:val="00957FAD"/>
    <w:rsid w:val="00987E60"/>
    <w:rsid w:val="00991D4F"/>
    <w:rsid w:val="00994EF3"/>
    <w:rsid w:val="009A2D49"/>
    <w:rsid w:val="009B2DAD"/>
    <w:rsid w:val="009B6147"/>
    <w:rsid w:val="009B7283"/>
    <w:rsid w:val="009C0C14"/>
    <w:rsid w:val="009C6F88"/>
    <w:rsid w:val="009D5525"/>
    <w:rsid w:val="009E0417"/>
    <w:rsid w:val="00A12E27"/>
    <w:rsid w:val="00A16550"/>
    <w:rsid w:val="00A26166"/>
    <w:rsid w:val="00A41757"/>
    <w:rsid w:val="00A66F88"/>
    <w:rsid w:val="00A71877"/>
    <w:rsid w:val="00A7449C"/>
    <w:rsid w:val="00A97767"/>
    <w:rsid w:val="00AA05AD"/>
    <w:rsid w:val="00AB3409"/>
    <w:rsid w:val="00AC43EA"/>
    <w:rsid w:val="00AD1F78"/>
    <w:rsid w:val="00AD5BB1"/>
    <w:rsid w:val="00AD6A8F"/>
    <w:rsid w:val="00AF2DFC"/>
    <w:rsid w:val="00AF5DD2"/>
    <w:rsid w:val="00B02D4C"/>
    <w:rsid w:val="00B17E70"/>
    <w:rsid w:val="00B24896"/>
    <w:rsid w:val="00B24BED"/>
    <w:rsid w:val="00B27345"/>
    <w:rsid w:val="00B43169"/>
    <w:rsid w:val="00B47A23"/>
    <w:rsid w:val="00B516A6"/>
    <w:rsid w:val="00B65039"/>
    <w:rsid w:val="00B762EC"/>
    <w:rsid w:val="00B83803"/>
    <w:rsid w:val="00B949FE"/>
    <w:rsid w:val="00BA4DFB"/>
    <w:rsid w:val="00BB2AAA"/>
    <w:rsid w:val="00BB2ECC"/>
    <w:rsid w:val="00BD412F"/>
    <w:rsid w:val="00C01EF8"/>
    <w:rsid w:val="00C031E8"/>
    <w:rsid w:val="00C2220A"/>
    <w:rsid w:val="00C32256"/>
    <w:rsid w:val="00C32DBE"/>
    <w:rsid w:val="00C33FB4"/>
    <w:rsid w:val="00C55842"/>
    <w:rsid w:val="00C96BBC"/>
    <w:rsid w:val="00CA6F42"/>
    <w:rsid w:val="00CD2D4C"/>
    <w:rsid w:val="00D107AD"/>
    <w:rsid w:val="00D11C3B"/>
    <w:rsid w:val="00D21B82"/>
    <w:rsid w:val="00D24ED2"/>
    <w:rsid w:val="00D2705C"/>
    <w:rsid w:val="00D32022"/>
    <w:rsid w:val="00D4567C"/>
    <w:rsid w:val="00D47CEF"/>
    <w:rsid w:val="00D571B9"/>
    <w:rsid w:val="00D57242"/>
    <w:rsid w:val="00D651BA"/>
    <w:rsid w:val="00D73583"/>
    <w:rsid w:val="00D90104"/>
    <w:rsid w:val="00D922E1"/>
    <w:rsid w:val="00DB6C8A"/>
    <w:rsid w:val="00DC3F51"/>
    <w:rsid w:val="00DC6F16"/>
    <w:rsid w:val="00DF0B45"/>
    <w:rsid w:val="00DF2DD3"/>
    <w:rsid w:val="00E204B1"/>
    <w:rsid w:val="00E6220F"/>
    <w:rsid w:val="00E64C40"/>
    <w:rsid w:val="00E75A1A"/>
    <w:rsid w:val="00E83941"/>
    <w:rsid w:val="00E869CF"/>
    <w:rsid w:val="00E96CD2"/>
    <w:rsid w:val="00EA5162"/>
    <w:rsid w:val="00EF2B43"/>
    <w:rsid w:val="00EF4650"/>
    <w:rsid w:val="00F05815"/>
    <w:rsid w:val="00F12BB6"/>
    <w:rsid w:val="00F418D4"/>
    <w:rsid w:val="00F60AA4"/>
    <w:rsid w:val="00F632E0"/>
    <w:rsid w:val="00F64B14"/>
    <w:rsid w:val="00F6675D"/>
    <w:rsid w:val="00F70098"/>
    <w:rsid w:val="00F91A41"/>
    <w:rsid w:val="00FC6654"/>
    <w:rsid w:val="00FD5A99"/>
    <w:rsid w:val="00FF27AA"/>
    <w:rsid w:val="00FF7416"/>
    <w:rsid w:val="141B2F23"/>
    <w:rsid w:val="653001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13B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EF2B43"/>
    <w:pPr>
      <w:spacing w:after="120" w:line="280" w:lineRule="atLeast"/>
    </w:pPr>
    <w:rPr>
      <w:rFonts w:ascii="Arial" w:eastAsia="Times New Roman" w:hAnsi="Arial" w:cs="Times New Roman"/>
      <w:sz w:val="21"/>
      <w:szCs w:val="20"/>
    </w:rPr>
  </w:style>
  <w:style w:type="paragraph" w:styleId="Heading1">
    <w:name w:val="heading 1"/>
    <w:next w:val="Body"/>
    <w:link w:val="Heading1Char"/>
    <w:uiPriority w:val="1"/>
    <w:qFormat/>
    <w:rsid w:val="00EF2B43"/>
    <w:pPr>
      <w:keepNext/>
      <w:keepLines/>
      <w:spacing w:before="320" w:after="200" w:line="440" w:lineRule="atLeast"/>
      <w:outlineLvl w:val="0"/>
    </w:pPr>
    <w:rPr>
      <w:rFonts w:ascii="Arial" w:eastAsia="MS Gothic" w:hAnsi="Arial" w:cs="Arial"/>
      <w:bCs/>
      <w:color w:val="201547"/>
      <w:kern w:val="32"/>
      <w:sz w:val="40"/>
      <w:szCs w:val="40"/>
    </w:rPr>
  </w:style>
  <w:style w:type="paragraph" w:styleId="Heading4">
    <w:name w:val="heading 4"/>
    <w:basedOn w:val="Normal"/>
    <w:next w:val="Normal"/>
    <w:link w:val="Heading4Char"/>
    <w:uiPriority w:val="9"/>
    <w:semiHidden/>
    <w:unhideWhenUsed/>
    <w:qFormat/>
    <w:rsid w:val="00D456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F2B43"/>
    <w:rPr>
      <w:rFonts w:ascii="Arial" w:eastAsia="MS Gothic" w:hAnsi="Arial" w:cs="Arial"/>
      <w:bCs/>
      <w:color w:val="201547"/>
      <w:kern w:val="32"/>
      <w:sz w:val="40"/>
      <w:szCs w:val="40"/>
    </w:rPr>
  </w:style>
  <w:style w:type="paragraph" w:customStyle="1" w:styleId="Body">
    <w:name w:val="Body"/>
    <w:link w:val="BodyChar"/>
    <w:qFormat/>
    <w:rsid w:val="00EF2B43"/>
    <w:pPr>
      <w:spacing w:after="120" w:line="280" w:lineRule="atLeast"/>
    </w:pPr>
    <w:rPr>
      <w:rFonts w:ascii="Arial" w:eastAsia="Times" w:hAnsi="Arial" w:cs="Times New Roman"/>
      <w:sz w:val="21"/>
      <w:szCs w:val="20"/>
    </w:rPr>
  </w:style>
  <w:style w:type="paragraph" w:styleId="Header">
    <w:name w:val="header"/>
    <w:link w:val="HeaderChar"/>
    <w:uiPriority w:val="10"/>
    <w:rsid w:val="00EF2B43"/>
    <w:pPr>
      <w:spacing w:after="300" w:line="240" w:lineRule="auto"/>
    </w:pPr>
    <w:rPr>
      <w:rFonts w:ascii="Arial" w:eastAsia="Times New Roman" w:hAnsi="Arial" w:cs="Arial"/>
      <w:color w:val="201547"/>
      <w:sz w:val="18"/>
      <w:szCs w:val="18"/>
    </w:rPr>
  </w:style>
  <w:style w:type="character" w:customStyle="1" w:styleId="HeaderChar">
    <w:name w:val="Header Char"/>
    <w:basedOn w:val="DefaultParagraphFont"/>
    <w:link w:val="Header"/>
    <w:uiPriority w:val="10"/>
    <w:rsid w:val="00EF2B43"/>
    <w:rPr>
      <w:rFonts w:ascii="Arial" w:eastAsia="Times New Roman" w:hAnsi="Arial" w:cs="Arial"/>
      <w:color w:val="201547"/>
      <w:sz w:val="18"/>
      <w:szCs w:val="18"/>
    </w:rPr>
  </w:style>
  <w:style w:type="paragraph" w:styleId="Footer">
    <w:name w:val="footer"/>
    <w:link w:val="FooterChar"/>
    <w:uiPriority w:val="8"/>
    <w:rsid w:val="00EF2B43"/>
    <w:pPr>
      <w:spacing w:before="300" w:after="0" w:line="240" w:lineRule="auto"/>
    </w:pPr>
    <w:rPr>
      <w:rFonts w:ascii="Arial" w:eastAsia="Times New Roman" w:hAnsi="Arial" w:cs="Arial"/>
      <w:sz w:val="20"/>
      <w:szCs w:val="18"/>
    </w:rPr>
  </w:style>
  <w:style w:type="character" w:customStyle="1" w:styleId="FooterChar">
    <w:name w:val="Footer Char"/>
    <w:basedOn w:val="DefaultParagraphFont"/>
    <w:link w:val="Footer"/>
    <w:uiPriority w:val="8"/>
    <w:rsid w:val="00EF2B43"/>
    <w:rPr>
      <w:rFonts w:ascii="Arial" w:eastAsia="Times New Roman" w:hAnsi="Arial" w:cs="Arial"/>
      <w:sz w:val="20"/>
      <w:szCs w:val="18"/>
    </w:rPr>
  </w:style>
  <w:style w:type="table" w:styleId="TableGrid">
    <w:name w:val="Table Grid"/>
    <w:basedOn w:val="TableNormal"/>
    <w:rsid w:val="00EF2B4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
    <w:qFormat/>
    <w:rsid w:val="00EF2B43"/>
    <w:pPr>
      <w:numPr>
        <w:numId w:val="1"/>
      </w:numPr>
      <w:spacing w:after="40"/>
    </w:pPr>
  </w:style>
  <w:style w:type="paragraph" w:customStyle="1" w:styleId="Sectionbreakfirstpage">
    <w:name w:val="Section break first page"/>
    <w:uiPriority w:val="5"/>
    <w:rsid w:val="00EF2B43"/>
    <w:pPr>
      <w:spacing w:after="400" w:line="240" w:lineRule="auto"/>
    </w:pPr>
    <w:rPr>
      <w:rFonts w:ascii="Arial" w:eastAsia="Times New Roman" w:hAnsi="Arial" w:cs="Times New Roman"/>
      <w:sz w:val="20"/>
      <w:szCs w:val="20"/>
    </w:rPr>
  </w:style>
  <w:style w:type="paragraph" w:customStyle="1" w:styleId="Documenttitle">
    <w:name w:val="Document title"/>
    <w:uiPriority w:val="8"/>
    <w:rsid w:val="00EF2B43"/>
    <w:pPr>
      <w:spacing w:after="80" w:line="460" w:lineRule="atLeast"/>
    </w:pPr>
    <w:rPr>
      <w:rFonts w:ascii="Arial" w:eastAsia="Times New Roman" w:hAnsi="Arial" w:cs="Times New Roman"/>
      <w:b/>
      <w:color w:val="201547"/>
      <w:sz w:val="44"/>
      <w:szCs w:val="50"/>
    </w:rPr>
  </w:style>
  <w:style w:type="paragraph" w:customStyle="1" w:styleId="Bullet2">
    <w:name w:val="Bullet 2"/>
    <w:basedOn w:val="Body"/>
    <w:uiPriority w:val="2"/>
    <w:qFormat/>
    <w:rsid w:val="00EF2B43"/>
    <w:pPr>
      <w:numPr>
        <w:ilvl w:val="1"/>
        <w:numId w:val="1"/>
      </w:numPr>
      <w:spacing w:after="40"/>
    </w:pPr>
  </w:style>
  <w:style w:type="paragraph" w:customStyle="1" w:styleId="Documentsubtitle">
    <w:name w:val="Document subtitle"/>
    <w:uiPriority w:val="8"/>
    <w:rsid w:val="00EF2B43"/>
    <w:pPr>
      <w:spacing w:after="100" w:line="240" w:lineRule="auto"/>
    </w:pPr>
    <w:rPr>
      <w:rFonts w:ascii="Arial" w:eastAsia="Times New Roman" w:hAnsi="Arial" w:cs="Times New Roman"/>
      <w:color w:val="201547"/>
      <w:sz w:val="28"/>
      <w:szCs w:val="24"/>
    </w:rPr>
  </w:style>
  <w:style w:type="paragraph" w:customStyle="1" w:styleId="Spacerparatopoffirstpage">
    <w:name w:val="Spacer para top of first page"/>
    <w:basedOn w:val="Normal"/>
    <w:semiHidden/>
    <w:rsid w:val="00EF2B43"/>
    <w:pPr>
      <w:spacing w:after="0" w:line="240" w:lineRule="auto"/>
    </w:pPr>
    <w:rPr>
      <w:rFonts w:eastAsia="Times"/>
      <w:noProof/>
      <w:sz w:val="12"/>
    </w:rPr>
  </w:style>
  <w:style w:type="numbering" w:customStyle="1" w:styleId="ZZBullets">
    <w:name w:val="ZZ Bullets"/>
    <w:rsid w:val="00EF2B43"/>
    <w:pPr>
      <w:numPr>
        <w:numId w:val="1"/>
      </w:numPr>
    </w:pPr>
  </w:style>
  <w:style w:type="character" w:customStyle="1" w:styleId="BodyChar">
    <w:name w:val="Body Char"/>
    <w:basedOn w:val="DefaultParagraphFont"/>
    <w:link w:val="Body"/>
    <w:rsid w:val="00EF2B43"/>
    <w:rPr>
      <w:rFonts w:ascii="Arial" w:eastAsia="Times" w:hAnsi="Arial" w:cs="Times New Roman"/>
      <w:sz w:val="21"/>
      <w:szCs w:val="20"/>
    </w:rPr>
  </w:style>
  <w:style w:type="paragraph" w:customStyle="1" w:styleId="Bannermarking">
    <w:name w:val="Banner marking"/>
    <w:basedOn w:val="Body"/>
    <w:uiPriority w:val="11"/>
    <w:rsid w:val="00EF2B43"/>
    <w:pPr>
      <w:spacing w:after="0"/>
    </w:pPr>
    <w:rPr>
      <w:b/>
      <w:bCs/>
      <w:color w:val="000000" w:themeColor="text1"/>
    </w:rPr>
  </w:style>
  <w:style w:type="paragraph" w:customStyle="1" w:styleId="DHHSbody">
    <w:name w:val="DHHS body"/>
    <w:link w:val="DHHSbodyChar"/>
    <w:qFormat/>
    <w:rsid w:val="00EF2B43"/>
    <w:pPr>
      <w:spacing w:after="120" w:line="270" w:lineRule="atLeast"/>
    </w:pPr>
    <w:rPr>
      <w:rFonts w:ascii="Arial" w:eastAsia="Times New Roman" w:hAnsi="Arial" w:cs="Times New Roman"/>
      <w:sz w:val="20"/>
      <w:szCs w:val="20"/>
    </w:rPr>
  </w:style>
  <w:style w:type="paragraph" w:customStyle="1" w:styleId="DHHSbullet1">
    <w:name w:val="DHHS bullet 1"/>
    <w:basedOn w:val="DHHSbody"/>
    <w:qFormat/>
    <w:rsid w:val="00EF2B43"/>
    <w:pPr>
      <w:spacing w:after="40"/>
      <w:ind w:left="284" w:hanging="284"/>
    </w:pPr>
  </w:style>
  <w:style w:type="character" w:customStyle="1" w:styleId="DHHSbodyChar">
    <w:name w:val="DHHS body Char"/>
    <w:link w:val="DHHSbody"/>
    <w:locked/>
    <w:rsid w:val="00EF2B43"/>
    <w:rPr>
      <w:rFonts w:ascii="Arial" w:eastAsia="Times New Roman" w:hAnsi="Arial" w:cs="Times New Roman"/>
      <w:sz w:val="20"/>
      <w:szCs w:val="20"/>
    </w:rPr>
  </w:style>
  <w:style w:type="paragraph" w:customStyle="1" w:styleId="DPCbody">
    <w:name w:val="DPC body"/>
    <w:qFormat/>
    <w:rsid w:val="00EF2B43"/>
    <w:pPr>
      <w:spacing w:line="300" w:lineRule="atLeast"/>
    </w:pPr>
    <w:rPr>
      <w:rFonts w:eastAsia="Times" w:cs="Arial"/>
      <w:color w:val="000000" w:themeColor="text1"/>
    </w:rPr>
  </w:style>
  <w:style w:type="character" w:customStyle="1" w:styleId="Heading4Char">
    <w:name w:val="Heading 4 Char"/>
    <w:basedOn w:val="DefaultParagraphFont"/>
    <w:link w:val="Heading4"/>
    <w:uiPriority w:val="9"/>
    <w:semiHidden/>
    <w:rsid w:val="00D4567C"/>
    <w:rPr>
      <w:rFonts w:asciiTheme="majorHAnsi" w:eastAsiaTheme="majorEastAsia" w:hAnsiTheme="majorHAnsi" w:cstheme="majorBidi"/>
      <w:i/>
      <w:iCs/>
      <w:color w:val="2F5496" w:themeColor="accent1" w:themeShade="BF"/>
      <w:sz w:val="21"/>
      <w:szCs w:val="20"/>
    </w:rPr>
  </w:style>
  <w:style w:type="character" w:styleId="PageNumber">
    <w:name w:val="page number"/>
    <w:uiPriority w:val="99"/>
    <w:semiHidden/>
    <w:unhideWhenUsed/>
    <w:rsid w:val="00D4567C"/>
    <w:rPr>
      <w:sz w:val="18"/>
    </w:rPr>
  </w:style>
  <w:style w:type="table" w:styleId="GridTable4-Accent5">
    <w:name w:val="Grid Table 4 Accent 5"/>
    <w:basedOn w:val="TableNormal"/>
    <w:uiPriority w:val="49"/>
    <w:rsid w:val="000A21A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12B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CommentReference">
    <w:name w:val="annotation reference"/>
    <w:basedOn w:val="DefaultParagraphFont"/>
    <w:uiPriority w:val="99"/>
    <w:semiHidden/>
    <w:unhideWhenUsed/>
    <w:rsid w:val="009B2DAD"/>
    <w:rPr>
      <w:sz w:val="16"/>
      <w:szCs w:val="16"/>
    </w:rPr>
  </w:style>
  <w:style w:type="paragraph" w:styleId="CommentText">
    <w:name w:val="annotation text"/>
    <w:basedOn w:val="Normal"/>
    <w:link w:val="CommentTextChar"/>
    <w:uiPriority w:val="99"/>
    <w:semiHidden/>
    <w:unhideWhenUsed/>
    <w:rsid w:val="009B2DAD"/>
    <w:pPr>
      <w:spacing w:line="240" w:lineRule="auto"/>
    </w:pPr>
    <w:rPr>
      <w:sz w:val="20"/>
    </w:rPr>
  </w:style>
  <w:style w:type="character" w:customStyle="1" w:styleId="CommentTextChar">
    <w:name w:val="Comment Text Char"/>
    <w:basedOn w:val="DefaultParagraphFont"/>
    <w:link w:val="CommentText"/>
    <w:uiPriority w:val="99"/>
    <w:semiHidden/>
    <w:rsid w:val="009B2DA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B2DAD"/>
    <w:rPr>
      <w:b/>
      <w:bCs/>
    </w:rPr>
  </w:style>
  <w:style w:type="character" w:customStyle="1" w:styleId="CommentSubjectChar">
    <w:name w:val="Comment Subject Char"/>
    <w:basedOn w:val="CommentTextChar"/>
    <w:link w:val="CommentSubject"/>
    <w:uiPriority w:val="99"/>
    <w:semiHidden/>
    <w:rsid w:val="009B2DAD"/>
    <w:rPr>
      <w:rFonts w:ascii="Arial" w:eastAsia="Times New Roman" w:hAnsi="Arial" w:cs="Times New Roman"/>
      <w:b/>
      <w:bCs/>
      <w:sz w:val="20"/>
      <w:szCs w:val="20"/>
    </w:rPr>
  </w:style>
  <w:style w:type="paragraph" w:styleId="ListParagraph">
    <w:name w:val="List Paragraph"/>
    <w:basedOn w:val="Normal"/>
    <w:uiPriority w:val="34"/>
    <w:qFormat/>
    <w:rsid w:val="009B2DAD"/>
    <w:pPr>
      <w:ind w:left="720"/>
      <w:contextualSpacing/>
    </w:pPr>
  </w:style>
  <w:style w:type="table" w:customStyle="1" w:styleId="TableGrid1">
    <w:name w:val="Table Grid1"/>
    <w:basedOn w:val="TableNormal"/>
    <w:next w:val="TableGrid"/>
    <w:rsid w:val="00364A9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7FAD"/>
    <w:rPr>
      <w:color w:val="0563C1" w:themeColor="hyperlink"/>
      <w:u w:val="single"/>
    </w:rPr>
  </w:style>
  <w:style w:type="character" w:styleId="UnresolvedMention">
    <w:name w:val="Unresolved Mention"/>
    <w:basedOn w:val="DefaultParagraphFont"/>
    <w:uiPriority w:val="99"/>
    <w:unhideWhenUsed/>
    <w:rsid w:val="00957FAD"/>
    <w:rPr>
      <w:color w:val="605E5C"/>
      <w:shd w:val="clear" w:color="auto" w:fill="E1DFDD"/>
    </w:rPr>
  </w:style>
  <w:style w:type="paragraph" w:styleId="Revision">
    <w:name w:val="Revision"/>
    <w:hidden/>
    <w:uiPriority w:val="99"/>
    <w:semiHidden/>
    <w:rsid w:val="008F62EA"/>
    <w:pPr>
      <w:spacing w:after="0" w:line="240" w:lineRule="auto"/>
    </w:pPr>
    <w:rPr>
      <w:rFonts w:ascii="Arial" w:eastAsia="Times New Roman" w:hAnsi="Arial" w:cs="Times New Roman"/>
      <w:sz w:val="21"/>
      <w:szCs w:val="20"/>
    </w:rPr>
  </w:style>
  <w:style w:type="character" w:styleId="Mention">
    <w:name w:val="Mention"/>
    <w:basedOn w:val="DefaultParagraphFont"/>
    <w:uiPriority w:val="99"/>
    <w:unhideWhenUsed/>
    <w:rsid w:val="006501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63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ffh.vic.gov.au/social-services-regulation-refor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regulationreform@dffh.vi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7014DE0FCD6244A174703D202A3950" ma:contentTypeVersion="12" ma:contentTypeDescription="Create a new document." ma:contentTypeScope="" ma:versionID="53e03d0fc8c381abdfa51f657273e9be">
  <xsd:schema xmlns:xsd="http://www.w3.org/2001/XMLSchema" xmlns:xs="http://www.w3.org/2001/XMLSchema" xmlns:p="http://schemas.microsoft.com/office/2006/metadata/properties" xmlns:ns2="aa8ebc57-dbd1-4628-b3a2-9c7c7b00e7f7" xmlns:ns3="d623bc96-8ce2-4a93-a5b9-a46b049fb3d7" targetNamespace="http://schemas.microsoft.com/office/2006/metadata/properties" ma:root="true" ma:fieldsID="e9db3a59556b347a02eb5e9432774a28" ns2:_="" ns3:_="">
    <xsd:import namespace="aa8ebc57-dbd1-4628-b3a2-9c7c7b00e7f7"/>
    <xsd:import namespace="d623bc96-8ce2-4a93-a5b9-a46b049fb3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ebc57-dbd1-4628-b3a2-9c7c7b00e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23bc96-8ce2-4a93-a5b9-a46b049fb3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623bc96-8ce2-4a93-a5b9-a46b049fb3d7">
      <UserInfo>
        <DisplayName>Jennifer Hughes (DFFH)</DisplayName>
        <AccountId>439</AccountId>
        <AccountType/>
      </UserInfo>
    </SharedWithUsers>
  </documentManagement>
</p:properties>
</file>

<file path=customXml/itemProps1.xml><?xml version="1.0" encoding="utf-8"?>
<ds:datastoreItem xmlns:ds="http://schemas.openxmlformats.org/officeDocument/2006/customXml" ds:itemID="{35A04130-277C-45AE-8159-BF489D177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ebc57-dbd1-4628-b3a2-9c7c7b00e7f7"/>
    <ds:schemaRef ds:uri="d623bc96-8ce2-4a93-a5b9-a46b049fb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2C432-AF17-440D-8D1F-1AB46F9CA7A2}">
  <ds:schemaRefs>
    <ds:schemaRef ds:uri="http://schemas.microsoft.com/sharepoint/v3/contenttype/forms"/>
  </ds:schemaRefs>
</ds:datastoreItem>
</file>

<file path=customXml/itemProps3.xml><?xml version="1.0" encoding="utf-8"?>
<ds:datastoreItem xmlns:ds="http://schemas.openxmlformats.org/officeDocument/2006/customXml" ds:itemID="{DC4F4FCC-AF5D-4CA0-8025-30DBF1EDEC68}">
  <ds:schemaRefs>
    <ds:schemaRef ds:uri="http://schemas.microsoft.com/office/2006/metadata/properties"/>
    <ds:schemaRef ds:uri="http://schemas.microsoft.com/office/infopath/2007/PartnerControls"/>
    <ds:schemaRef ds:uri="d623bc96-8ce2-4a93-a5b9-a46b049fb3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 brief history of Social Services Regulatory Scheme</vt:lpstr>
    </vt:vector>
  </TitlesOfParts>
  <Manager/>
  <Company/>
  <LinksUpToDate>false</LinksUpToDate>
  <CharactersWithSpaces>7040</CharactersWithSpaces>
  <SharedDoc>false</SharedDoc>
  <HLinks>
    <vt:vector size="12" baseType="variant">
      <vt:variant>
        <vt:i4>5636101</vt:i4>
      </vt:variant>
      <vt:variant>
        <vt:i4>6</vt:i4>
      </vt:variant>
      <vt:variant>
        <vt:i4>0</vt:i4>
      </vt:variant>
      <vt:variant>
        <vt:i4>5</vt:i4>
      </vt:variant>
      <vt:variant>
        <vt:lpwstr>https://www.dffh.vic.gov.au/social-services-regulation-reform</vt:lpwstr>
      </vt:variant>
      <vt:variant>
        <vt:lpwstr/>
      </vt:variant>
      <vt:variant>
        <vt:i4>5046385</vt:i4>
      </vt:variant>
      <vt:variant>
        <vt:i4>3</vt:i4>
      </vt:variant>
      <vt:variant>
        <vt:i4>0</vt:i4>
      </vt:variant>
      <vt:variant>
        <vt:i4>5</vt:i4>
      </vt:variant>
      <vt:variant>
        <vt:lpwstr>mailto:regulationreform@dffh.vic.gov.au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brief history of Social Services Regulatory Scheme</dc:title>
  <dc:subject/>
  <dc:creator/>
  <cp:keywords/>
  <dc:description/>
  <cp:lastModifiedBy/>
  <cp:revision>1</cp:revision>
  <dcterms:created xsi:type="dcterms:W3CDTF">2022-09-16T01:56:00Z</dcterms:created>
  <dcterms:modified xsi:type="dcterms:W3CDTF">2022-09-16T01:56:00Z</dcterms:modified>
  <cp:category>Social Services Regulation Reform</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0x0101001A7014DE0FCD6244A174703D202A3950</vt:lpwstr>
  </property>
  <property fmtid="{D5CDD505-2E9C-101B-9397-08002B2CF9AE}" pid="4" name="MSIP_Label_0c712eb2-6149-449a-be2a-a95688ccd13f_Enabled">
    <vt:lpwstr>true</vt:lpwstr>
  </property>
  <property fmtid="{D5CDD505-2E9C-101B-9397-08002B2CF9AE}" pid="5" name="MSIP_Label_0c712eb2-6149-449a-be2a-a95688ccd13f_SetDate">
    <vt:lpwstr>2022-09-16T01:55:41Z</vt:lpwstr>
  </property>
  <property fmtid="{D5CDD505-2E9C-101B-9397-08002B2CF9AE}" pid="6" name="MSIP_Label_0c712eb2-6149-449a-be2a-a95688ccd13f_Method">
    <vt:lpwstr>Privileged</vt:lpwstr>
  </property>
  <property fmtid="{D5CDD505-2E9C-101B-9397-08002B2CF9AE}" pid="7" name="MSIP_Label_0c712eb2-6149-449a-be2a-a95688ccd13f_Name">
    <vt:lpwstr>0c712eb2-6149-449a-be2a-a95688ccd13f</vt:lpwstr>
  </property>
  <property fmtid="{D5CDD505-2E9C-101B-9397-08002B2CF9AE}" pid="8" name="MSIP_Label_0c712eb2-6149-449a-be2a-a95688ccd13f_SiteId">
    <vt:lpwstr>c0e0601f-0fac-449c-9c88-a104c4eb9f28</vt:lpwstr>
  </property>
  <property fmtid="{D5CDD505-2E9C-101B-9397-08002B2CF9AE}" pid="9" name="MSIP_Label_0c712eb2-6149-449a-be2a-a95688ccd13f_ActionId">
    <vt:lpwstr>20627245-9840-4f42-bed1-7eace2401844</vt:lpwstr>
  </property>
  <property fmtid="{D5CDD505-2E9C-101B-9397-08002B2CF9AE}" pid="10" name="MSIP_Label_0c712eb2-6149-449a-be2a-a95688ccd13f_ContentBits">
    <vt:lpwstr>2</vt:lpwstr>
  </property>
</Properties>
</file>