
<file path=[Content_Types].xml><?xml version="1.0" encoding="utf-8"?>
<Types xmlns="http://schemas.openxmlformats.org/package/2006/content-types">
  <Default Extension="jpg" ContentType="image/jpe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09899F" w14:textId="7542A3B8" w:rsidR="00002990" w:rsidRPr="003072C6" w:rsidRDefault="00606C23" w:rsidP="00A55989">
      <w:pPr>
        <w:pStyle w:val="DHHSbodynospace"/>
      </w:pPr>
      <w:bookmarkStart w:id="0" w:name="_GoBack"/>
      <w:bookmarkEnd w:id="0"/>
      <w:r w:rsidRPr="00E45BCF">
        <w:rPr>
          <w:noProof/>
        </w:rPr>
        <w:drawing>
          <wp:anchor distT="0" distB="0" distL="114300" distR="114300" simplePos="0" relativeHeight="251657728" behindDoc="1" locked="1" layoutInCell="0" allowOverlap="1" wp14:anchorId="2626C3B3" wp14:editId="079399FA">
            <wp:simplePos x="0" y="0"/>
            <wp:positionH relativeFrom="page">
              <wp:posOffset>0</wp:posOffset>
            </wp:positionH>
            <wp:positionV relativeFrom="page">
              <wp:posOffset>0</wp:posOffset>
            </wp:positionV>
            <wp:extent cx="7561580" cy="10696575"/>
            <wp:effectExtent l="0" t="0" r="1270" b="9525"/>
            <wp:wrapNone/>
            <wp:docPr id="2" name="Picture 99" descr="Victoria State Government Department of Health and Human Service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Victoria State Government Department of Health and Human Services"/>
                    <pic:cNvPicPr>
                      <a:picLocks noChangeAspect="1" noChangeArrowheads="1"/>
                    </pic:cNvPicPr>
                  </pic:nvPicPr>
                  <pic:blipFill>
                    <a:blip r:embed="rId11"/>
                    <a:stretch>
                      <a:fillRect/>
                    </a:stretch>
                  </pic:blipFill>
                  <pic:spPr bwMode="auto">
                    <a:xfrm>
                      <a:off x="0" y="0"/>
                      <a:ext cx="7561580" cy="1069657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7371" w:type="dxa"/>
        <w:tblInd w:w="113" w:type="dxa"/>
        <w:tblCellMar>
          <w:left w:w="0" w:type="dxa"/>
          <w:right w:w="0" w:type="dxa"/>
        </w:tblCellMar>
        <w:tblLook w:val="0600" w:firstRow="0" w:lastRow="0" w:firstColumn="0" w:lastColumn="0" w:noHBand="1" w:noVBand="1"/>
      </w:tblPr>
      <w:tblGrid>
        <w:gridCol w:w="7371"/>
      </w:tblGrid>
      <w:tr w:rsidR="001817CD" w:rsidRPr="003072C6" w14:paraId="656A0B3A" w14:textId="77777777" w:rsidTr="004946F1">
        <w:trPr>
          <w:trHeight w:val="3988"/>
        </w:trPr>
        <w:tc>
          <w:tcPr>
            <w:tcW w:w="7371" w:type="dxa"/>
            <w:shd w:val="clear" w:color="auto" w:fill="auto"/>
          </w:tcPr>
          <w:p w14:paraId="589F9AAE" w14:textId="5DEF599A" w:rsidR="00E262E5" w:rsidRDefault="00E45BCF" w:rsidP="00E262E5">
            <w:pPr>
              <w:pStyle w:val="DHHSreportsubtitlewhite"/>
            </w:pPr>
            <w:r>
              <w:t xml:space="preserve">Victorian </w:t>
            </w:r>
            <w:r w:rsidR="004946F1" w:rsidRPr="00E45BCF">
              <w:t>Senior</w:t>
            </w:r>
            <w:r w:rsidR="001A1F90" w:rsidRPr="00E45BCF">
              <w:t xml:space="preserve"> </w:t>
            </w:r>
            <w:r w:rsidR="004946F1" w:rsidRPr="00E45BCF">
              <w:t>Practitioner</w:t>
            </w:r>
          </w:p>
          <w:p w14:paraId="45D92A99" w14:textId="1FDEE33C" w:rsidR="004946F1" w:rsidRPr="00F224CB" w:rsidRDefault="004946F1" w:rsidP="004946F1">
            <w:pPr>
              <w:pStyle w:val="DHHSreportmaintitlewhite"/>
            </w:pPr>
            <w:r w:rsidRPr="00F224CB">
              <w:t>Anti-libidinal</w:t>
            </w:r>
            <w:r w:rsidR="001A1F90">
              <w:t xml:space="preserve"> </w:t>
            </w:r>
            <w:r>
              <w:t>medication</w:t>
            </w:r>
            <w:r w:rsidR="001A1F90">
              <w:t xml:space="preserve"> </w:t>
            </w:r>
            <w:r>
              <w:t>use</w:t>
            </w:r>
            <w:r w:rsidR="001A1F90">
              <w:t xml:space="preserve"> </w:t>
            </w:r>
            <w:r>
              <w:t>in</w:t>
            </w:r>
            <w:r w:rsidR="001A1F90">
              <w:t xml:space="preserve"> </w:t>
            </w:r>
            <w:r>
              <w:t>people</w:t>
            </w:r>
            <w:r w:rsidR="001A1F90">
              <w:t xml:space="preserve"> </w:t>
            </w:r>
            <w:r>
              <w:t>with</w:t>
            </w:r>
            <w:r w:rsidR="001A1F90">
              <w:t xml:space="preserve"> </w:t>
            </w:r>
            <w:r w:rsidRPr="00F224CB">
              <w:t>intellectual</w:t>
            </w:r>
            <w:r w:rsidR="001A1F90">
              <w:t xml:space="preserve"> </w:t>
            </w:r>
            <w:r w:rsidRPr="00F224CB">
              <w:t>disability</w:t>
            </w:r>
            <w:r w:rsidR="001A1F90">
              <w:t xml:space="preserve"> </w:t>
            </w:r>
            <w:r w:rsidRPr="00F224CB">
              <w:t>who</w:t>
            </w:r>
            <w:r w:rsidR="001A1F90">
              <w:t xml:space="preserve"> </w:t>
            </w:r>
            <w:r w:rsidRPr="00F224CB">
              <w:t>sexually</w:t>
            </w:r>
            <w:r w:rsidR="001A1F90">
              <w:t xml:space="preserve"> </w:t>
            </w:r>
            <w:r w:rsidRPr="00F224CB">
              <w:t>offend</w:t>
            </w:r>
          </w:p>
          <w:p w14:paraId="3744133D" w14:textId="314DD739" w:rsidR="004946F1" w:rsidRPr="004946F1" w:rsidRDefault="004946F1" w:rsidP="004946F1">
            <w:pPr>
              <w:pStyle w:val="DHHSreportsubtitlewhite"/>
            </w:pPr>
            <w:r w:rsidRPr="00E351B5">
              <w:t>Report</w:t>
            </w:r>
            <w:r w:rsidR="001A1F90">
              <w:t xml:space="preserve"> </w:t>
            </w:r>
            <w:r w:rsidRPr="00E351B5">
              <w:t>by</w:t>
            </w:r>
            <w:r w:rsidR="001A1F90">
              <w:t xml:space="preserve"> </w:t>
            </w:r>
            <w:r w:rsidRPr="00E351B5">
              <w:t>Dr</w:t>
            </w:r>
            <w:r w:rsidR="001A1F90">
              <w:t xml:space="preserve"> </w:t>
            </w:r>
            <w:r w:rsidRPr="00E351B5">
              <w:t>Stuart</w:t>
            </w:r>
            <w:r w:rsidR="001A1F90">
              <w:t xml:space="preserve"> </w:t>
            </w:r>
            <w:r w:rsidRPr="00E351B5">
              <w:t>T</w:t>
            </w:r>
            <w:r w:rsidRPr="004946F1">
              <w:t>homas</w:t>
            </w:r>
            <w:r w:rsidR="001A1F90">
              <w:t xml:space="preserve"> </w:t>
            </w:r>
            <w:r w:rsidRPr="004946F1">
              <w:t>and</w:t>
            </w:r>
            <w:r w:rsidR="001A1F90">
              <w:t xml:space="preserve"> </w:t>
            </w:r>
            <w:r w:rsidRPr="004946F1">
              <w:br/>
              <w:t>Professor</w:t>
            </w:r>
            <w:r w:rsidR="001A1F90">
              <w:t xml:space="preserve"> </w:t>
            </w:r>
            <w:r w:rsidRPr="004946F1">
              <w:t>Michael</w:t>
            </w:r>
            <w:r w:rsidR="001A1F90">
              <w:t xml:space="preserve"> </w:t>
            </w:r>
            <w:r w:rsidRPr="004946F1">
              <w:t>Daffern</w:t>
            </w:r>
          </w:p>
          <w:p w14:paraId="0372C7DD" w14:textId="442E1FBB" w:rsidR="00444D82" w:rsidRPr="004946F1" w:rsidRDefault="000B48BF" w:rsidP="004946F1">
            <w:pPr>
              <w:pStyle w:val="DHHSreportsubtitlewhite"/>
            </w:pPr>
            <w:r>
              <w:t>June</w:t>
            </w:r>
            <w:r w:rsidR="001A1F90">
              <w:t xml:space="preserve"> </w:t>
            </w:r>
            <w:r w:rsidR="004946F1" w:rsidRPr="004946F1">
              <w:t>201</w:t>
            </w:r>
            <w:r>
              <w:t>4</w:t>
            </w:r>
          </w:p>
        </w:tc>
      </w:tr>
    </w:tbl>
    <w:p w14:paraId="15EC565F" w14:textId="77777777" w:rsidR="0069374A" w:rsidRPr="00256E7C" w:rsidRDefault="0069374A" w:rsidP="00256E7C">
      <w:pPr>
        <w:pStyle w:val="DHHSbody"/>
      </w:pPr>
    </w:p>
    <w:p w14:paraId="26BA40A5" w14:textId="77777777" w:rsidR="00C51B1C" w:rsidRPr="00256E7C" w:rsidRDefault="00C51B1C" w:rsidP="00256E7C">
      <w:pPr>
        <w:pStyle w:val="DHHSbody"/>
        <w:sectPr w:rsidR="00C51B1C" w:rsidRPr="00256E7C" w:rsidSect="00A55989">
          <w:type w:val="oddPage"/>
          <w:pgSz w:w="11906" w:h="16838"/>
          <w:pgMar w:top="3969" w:right="1304" w:bottom="1134" w:left="1304" w:header="454" w:footer="567" w:gutter="0"/>
          <w:cols w:space="720"/>
          <w:docGrid w:linePitch="360"/>
        </w:sectPr>
      </w:pPr>
    </w:p>
    <w:p w14:paraId="352B4D39" w14:textId="77777777" w:rsidR="00AE02AA" w:rsidRPr="009C44F3" w:rsidRDefault="00AE02AA" w:rsidP="009C44F3">
      <w:pPr>
        <w:pStyle w:val="DHHSbody"/>
        <w:rPr>
          <w:rStyle w:val="Strong"/>
        </w:rPr>
      </w:pPr>
      <w:r w:rsidRPr="009C44F3">
        <w:rPr>
          <w:rStyle w:val="Strong"/>
        </w:rPr>
        <w:lastRenderedPageBreak/>
        <w:t>Anti-libidinal medication use in people with intellectual disability who sexually offend</w:t>
      </w:r>
    </w:p>
    <w:p w14:paraId="593E4B7D" w14:textId="23A0E76A" w:rsidR="00AE02AA" w:rsidRDefault="00AE02AA" w:rsidP="000A1344">
      <w:pPr>
        <w:pStyle w:val="DHHSbodylargespace"/>
      </w:pPr>
      <w:r>
        <w:t xml:space="preserve">This review was commissioned by the Victorian Government Department of </w:t>
      </w:r>
      <w:r w:rsidR="00301CA9">
        <w:t xml:space="preserve">Health and </w:t>
      </w:r>
      <w:r>
        <w:t>Human Services in response to the significant issues associated with the prescription and monitoring of these medications with this population. This review was completed by Dr Stuart Thomas Faculty of Social Sciences, University of Wollongong, NSW, and Professor Michael Daffern School of Psychology &amp; Psychiatry, Swinburn</w:t>
      </w:r>
      <w:r w:rsidR="00301CA9">
        <w:t>e</w:t>
      </w:r>
      <w:r>
        <w:t xml:space="preserve"> University.</w:t>
      </w:r>
    </w:p>
    <w:p w14:paraId="15A5B982" w14:textId="42620A97" w:rsidR="000A1344" w:rsidRDefault="000A1344" w:rsidP="00C3409A">
      <w:pPr>
        <w:pStyle w:val="DHHSbody"/>
      </w:pPr>
      <w:r>
        <w:rPr>
          <w:noProof/>
        </w:rPr>
        <w:drawing>
          <wp:inline distT="0" distB="0" distL="0" distR="0" wp14:anchorId="463D167A" wp14:editId="7D840792">
            <wp:extent cx="2838653" cy="3949430"/>
            <wp:effectExtent l="0" t="0" r="0" b="0"/>
            <wp:docPr id="1" name="Picture 1" descr="Painting - refer to caption that follow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sa Brigham  “Having A Say” Conference 2012 Art Prize  February 2012-2.jpg"/>
                    <pic:cNvPicPr/>
                  </pic:nvPicPr>
                  <pic:blipFill>
                    <a:blip r:embed="rId12"/>
                    <a:stretch>
                      <a:fillRect/>
                    </a:stretch>
                  </pic:blipFill>
                  <pic:spPr>
                    <a:xfrm>
                      <a:off x="0" y="0"/>
                      <a:ext cx="2838929" cy="3949815"/>
                    </a:xfrm>
                    <a:prstGeom prst="rect">
                      <a:avLst/>
                    </a:prstGeom>
                  </pic:spPr>
                </pic:pic>
              </a:graphicData>
            </a:graphic>
          </wp:inline>
        </w:drawing>
      </w:r>
    </w:p>
    <w:p w14:paraId="1F2B81DD" w14:textId="02D6DD0B" w:rsidR="000A1344" w:rsidRDefault="000A1344" w:rsidP="00C3409A">
      <w:pPr>
        <w:pStyle w:val="DHHSbody"/>
      </w:pPr>
      <w:r>
        <w:t>Front cover: detail from a painting by Lisa Brigham</w:t>
      </w:r>
    </w:p>
    <w:p w14:paraId="45E2D4B3" w14:textId="41F9BA1D" w:rsidR="00AE02AA" w:rsidRDefault="00AE02AA" w:rsidP="00AE02AA">
      <w:pPr>
        <w:pStyle w:val="DHHSaccessibilitypara"/>
      </w:pPr>
      <w:r>
        <w:t>To receive this publication in an accessible format phone 9096 8427, using the National Relay Service 13 36 77 if required,</w:t>
      </w:r>
      <w:r w:rsidR="00E45BCF" w:rsidRPr="00E45BCF">
        <w:t xml:space="preserve"> </w:t>
      </w:r>
      <w:r w:rsidR="00E45BCF">
        <w:t xml:space="preserve">or </w:t>
      </w:r>
      <w:hyperlink r:id="rId13" w:history="1">
        <w:r w:rsidR="00E45BCF">
          <w:rPr>
            <w:rStyle w:val="Hyperlink"/>
          </w:rPr>
          <w:t>email the Victorian Senior Practitioner</w:t>
        </w:r>
      </w:hyperlink>
      <w:r w:rsidR="00E45BCF">
        <w:t xml:space="preserve"> &lt;</w:t>
      </w:r>
      <w:r w:rsidR="00E45BCF" w:rsidRPr="00505D95">
        <w:t>victorianseniorpractitioner@dhhs.vic.gov.au</w:t>
      </w:r>
      <w:r w:rsidR="00E45BCF">
        <w:t>&gt;</w:t>
      </w:r>
      <w:r w:rsidR="004E7673">
        <w:t>.</w:t>
      </w:r>
    </w:p>
    <w:p w14:paraId="2A06AC26" w14:textId="77777777" w:rsidR="00AE02AA" w:rsidRDefault="00AE02AA" w:rsidP="00AE02AA">
      <w:pPr>
        <w:pStyle w:val="DHHSbody"/>
      </w:pPr>
      <w:r>
        <w:t>Authorised and published by the Victorian Government, 1 Treasury Place, Melbourne.</w:t>
      </w:r>
    </w:p>
    <w:p w14:paraId="5D06EE77" w14:textId="4FF7BCF0" w:rsidR="00AE02AA" w:rsidRDefault="00AE02AA" w:rsidP="00AE02AA">
      <w:pPr>
        <w:pStyle w:val="DHHSbody"/>
      </w:pPr>
      <w:r>
        <w:t>© State of Victoria, Department of Health and Human Services</w:t>
      </w:r>
      <w:r w:rsidR="004E7673">
        <w:t>. First published 2014; republished</w:t>
      </w:r>
      <w:r>
        <w:t xml:space="preserve"> </w:t>
      </w:r>
      <w:r w:rsidR="00301CA9">
        <w:t xml:space="preserve">September </w:t>
      </w:r>
      <w:r>
        <w:t>2019</w:t>
      </w:r>
      <w:r w:rsidR="00301CA9">
        <w:t>.</w:t>
      </w:r>
    </w:p>
    <w:p w14:paraId="68FC0888" w14:textId="2C697AE0" w:rsidR="00A716BC" w:rsidRPr="00A716BC" w:rsidRDefault="00A716BC" w:rsidP="00A716BC">
      <w:pPr>
        <w:pStyle w:val="DHHSbody"/>
      </w:pPr>
      <w:r w:rsidRPr="00A716BC">
        <w:t>In this document, ‘Aboriginal’ refers to both Aboriginal and Torres Strait Islander people.</w:t>
      </w:r>
    </w:p>
    <w:p w14:paraId="41AE6329" w14:textId="20E110DE" w:rsidR="00AE02AA" w:rsidRPr="00CD0313" w:rsidRDefault="00AE02AA" w:rsidP="00AE02AA">
      <w:pPr>
        <w:pStyle w:val="DHHSbody"/>
      </w:pPr>
      <w:r w:rsidRPr="00CD0313">
        <w:t>ISBN 978-</w:t>
      </w:r>
      <w:r w:rsidR="006D5548">
        <w:t>1</w:t>
      </w:r>
      <w:r w:rsidRPr="00CD0313">
        <w:t>-7</w:t>
      </w:r>
      <w:r w:rsidR="006D5548">
        <w:t>6069-039-7</w:t>
      </w:r>
      <w:r w:rsidRPr="00CD0313">
        <w:t xml:space="preserve"> (</w:t>
      </w:r>
      <w:r w:rsidR="006D5548">
        <w:t>pdf/</w:t>
      </w:r>
      <w:r w:rsidRPr="00CD0313">
        <w:t>online</w:t>
      </w:r>
      <w:r w:rsidR="006D5548">
        <w:t>/MS Word</w:t>
      </w:r>
      <w:r w:rsidRPr="00CD0313">
        <w:t>)</w:t>
      </w:r>
    </w:p>
    <w:p w14:paraId="1ADA653A" w14:textId="2465C25A" w:rsidR="00E45BCF" w:rsidRDefault="00E45BCF" w:rsidP="00E45BCF">
      <w:pPr>
        <w:pStyle w:val="DHHSbody"/>
      </w:pPr>
      <w:r>
        <w:t xml:space="preserve">Available at the </w:t>
      </w:r>
      <w:hyperlink r:id="rId14" w:history="1">
        <w:r>
          <w:rPr>
            <w:rStyle w:val="Hyperlink"/>
          </w:rPr>
          <w:t>Victorian Senior Practitioner website</w:t>
        </w:r>
      </w:hyperlink>
      <w:r>
        <w:t xml:space="preserve"> </w:t>
      </w:r>
      <w:r>
        <w:br/>
        <w:t>&lt;https://www.dhhs.vic.gov.au/</w:t>
      </w:r>
      <w:r w:rsidRPr="00505D95">
        <w:t>victorian</w:t>
      </w:r>
      <w:r>
        <w:t>-</w:t>
      </w:r>
      <w:r w:rsidRPr="00505D95">
        <w:t>senior</w:t>
      </w:r>
      <w:r>
        <w:t>-</w:t>
      </w:r>
      <w:r w:rsidRPr="00505D95">
        <w:t>practitioner</w:t>
      </w:r>
      <w:r>
        <w:t>&gt;.</w:t>
      </w:r>
    </w:p>
    <w:p w14:paraId="5601FE89" w14:textId="25C40CA9" w:rsidR="00CD0313" w:rsidRDefault="00CD0313" w:rsidP="00E45BCF">
      <w:pPr>
        <w:pStyle w:val="DHHSbody"/>
      </w:pPr>
      <w:r>
        <w:t>(</w:t>
      </w:r>
      <w:r w:rsidR="006D5548">
        <w:t>1909508</w:t>
      </w:r>
      <w:r>
        <w:t>)</w:t>
      </w:r>
    </w:p>
    <w:p w14:paraId="68707A04" w14:textId="0C25A292" w:rsidR="00AE02AA" w:rsidRPr="00AE02AA" w:rsidRDefault="00AE02AA" w:rsidP="00AE02AA">
      <w:pPr>
        <w:pStyle w:val="DHHSbody"/>
      </w:pPr>
      <w:r w:rsidRPr="00AE02AA">
        <w:br w:type="page"/>
      </w:r>
    </w:p>
    <w:p w14:paraId="3BDBA360" w14:textId="6481F3BD" w:rsidR="00C3409A" w:rsidRDefault="00C3409A" w:rsidP="00C3409A">
      <w:pPr>
        <w:pStyle w:val="Heading1"/>
        <w:spacing w:before="0"/>
        <w:rPr>
          <w:rFonts w:ascii="HelveticaNeueLTStd-Lt" w:hAnsi="HelveticaNeueLTStd-Lt" w:cs="HelveticaNeueLTStd-Lt"/>
          <w:color w:val="000000"/>
          <w:sz w:val="20"/>
        </w:rPr>
      </w:pPr>
      <w:bookmarkStart w:id="1" w:name="_Toc20225589"/>
      <w:r>
        <w:lastRenderedPageBreak/>
        <w:t>Foreword</w:t>
      </w:r>
      <w:bookmarkEnd w:id="1"/>
    </w:p>
    <w:p w14:paraId="21EFF3CB" w14:textId="77777777" w:rsidR="00A716BC" w:rsidRDefault="00A716BC" w:rsidP="00A716BC">
      <w:pPr>
        <w:pStyle w:val="DHHSbody"/>
      </w:pPr>
      <w:r>
        <w:rPr>
          <w:noProof/>
          <w:lang w:eastAsia="en-AU"/>
        </w:rPr>
        <w:drawing>
          <wp:inline distT="0" distB="0" distL="0" distR="0" wp14:anchorId="0D687044" wp14:editId="00283122">
            <wp:extent cx="1465753" cy="1992430"/>
            <wp:effectExtent l="0" t="0" r="1270" b="8255"/>
            <wp:docPr id="3" name="Picture 3" descr="Dr Frank Lambrick, Victorian Senior Practitio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ank Lambrick greyscale cropped.tif"/>
                    <pic:cNvPicPr/>
                  </pic:nvPicPr>
                  <pic:blipFill>
                    <a:blip r:embed="rId15">
                      <a:extLst>
                        <a:ext uri="{28A0092B-C50C-407E-A947-70E740481C1C}">
                          <a14:useLocalDpi xmlns:a14="http://schemas.microsoft.com/office/drawing/2010/main" val="0"/>
                        </a:ext>
                      </a:extLst>
                    </a:blip>
                    <a:stretch>
                      <a:fillRect/>
                    </a:stretch>
                  </pic:blipFill>
                  <pic:spPr bwMode="auto">
                    <a:xfrm>
                      <a:off x="0" y="0"/>
                      <a:ext cx="1466443" cy="1993368"/>
                    </a:xfrm>
                    <a:prstGeom prst="rect">
                      <a:avLst/>
                    </a:prstGeom>
                    <a:ln>
                      <a:noFill/>
                    </a:ln>
                    <a:extLst>
                      <a:ext uri="{53640926-AAD7-44D8-BBD7-CCE9431645EC}">
                        <a14:shadowObscured xmlns:a14="http://schemas.microsoft.com/office/drawing/2010/main"/>
                      </a:ext>
                    </a:extLst>
                  </pic:spPr>
                </pic:pic>
              </a:graphicData>
            </a:graphic>
          </wp:inline>
        </w:drawing>
      </w:r>
    </w:p>
    <w:p w14:paraId="741766F9" w14:textId="492E6E76" w:rsidR="00C3409A" w:rsidRDefault="00C3409A" w:rsidP="00C3409A">
      <w:pPr>
        <w:pStyle w:val="DHHSbody"/>
      </w:pPr>
      <w:r>
        <w:t>Sexual</w:t>
      </w:r>
      <w:r w:rsidR="001A1F90">
        <w:t xml:space="preserve"> </w:t>
      </w:r>
      <w:r>
        <w:t>offenders</w:t>
      </w:r>
      <w:r w:rsidR="001A1F90">
        <w:t xml:space="preserve"> </w:t>
      </w:r>
      <w:r>
        <w:t>with</w:t>
      </w:r>
      <w:r w:rsidR="001A1F90">
        <w:t xml:space="preserve"> </w:t>
      </w:r>
      <w:r>
        <w:t>an</w:t>
      </w:r>
      <w:r w:rsidR="001A1F90">
        <w:t xml:space="preserve"> </w:t>
      </w:r>
      <w:r>
        <w:t>intellectual</w:t>
      </w:r>
      <w:r w:rsidR="001A1F90">
        <w:t xml:space="preserve"> </w:t>
      </w:r>
      <w:r>
        <w:t>disability</w:t>
      </w:r>
      <w:r w:rsidR="001A1F90">
        <w:t xml:space="preserve"> </w:t>
      </w:r>
      <w:r>
        <w:t>are</w:t>
      </w:r>
      <w:r w:rsidR="001A1F90">
        <w:t xml:space="preserve"> </w:t>
      </w:r>
      <w:r>
        <w:t>very</w:t>
      </w:r>
      <w:r w:rsidR="001A1F90">
        <w:t xml:space="preserve"> </w:t>
      </w:r>
      <w:r>
        <w:t>much</w:t>
      </w:r>
      <w:r w:rsidR="001A1F90">
        <w:t xml:space="preserve"> </w:t>
      </w:r>
      <w:r>
        <w:t>a</w:t>
      </w:r>
      <w:r w:rsidR="001A1F90">
        <w:t xml:space="preserve"> </w:t>
      </w:r>
      <w:r>
        <w:t>maligned</w:t>
      </w:r>
      <w:r w:rsidR="001A1F90">
        <w:t xml:space="preserve"> </w:t>
      </w:r>
      <w:r>
        <w:t>group.</w:t>
      </w:r>
      <w:r w:rsidR="001A1F90">
        <w:t xml:space="preserve"> </w:t>
      </w:r>
      <w:r>
        <w:t>They</w:t>
      </w:r>
      <w:r w:rsidR="001A1F90">
        <w:t xml:space="preserve"> </w:t>
      </w:r>
      <w:r>
        <w:t>are</w:t>
      </w:r>
      <w:r w:rsidR="001A1F90">
        <w:t xml:space="preserve"> </w:t>
      </w:r>
      <w:r>
        <w:t>subject</w:t>
      </w:r>
      <w:r w:rsidR="001A1F90">
        <w:t xml:space="preserve"> </w:t>
      </w:r>
      <w:r>
        <w:t>to</w:t>
      </w:r>
      <w:r w:rsidR="001A1F90">
        <w:t xml:space="preserve"> </w:t>
      </w:r>
      <w:r>
        <w:t>long</w:t>
      </w:r>
      <w:r w:rsidR="00E96F53">
        <w:t>-</w:t>
      </w:r>
      <w:r>
        <w:t>standing</w:t>
      </w:r>
      <w:r w:rsidR="001A1F90">
        <w:t xml:space="preserve"> </w:t>
      </w:r>
      <w:r>
        <w:t>negative</w:t>
      </w:r>
      <w:r w:rsidR="001A1F90">
        <w:t xml:space="preserve"> </w:t>
      </w:r>
      <w:r>
        <w:t>myths</w:t>
      </w:r>
      <w:r w:rsidR="001A1F90">
        <w:t xml:space="preserve"> </w:t>
      </w:r>
      <w:r>
        <w:t>and</w:t>
      </w:r>
      <w:r w:rsidR="001A1F90">
        <w:t xml:space="preserve"> </w:t>
      </w:r>
      <w:r>
        <w:t>stereotypes,</w:t>
      </w:r>
      <w:r w:rsidR="001A1F90">
        <w:t xml:space="preserve"> </w:t>
      </w:r>
      <w:r>
        <w:t>when</w:t>
      </w:r>
      <w:r w:rsidR="001A1F90">
        <w:t xml:space="preserve"> </w:t>
      </w:r>
      <w:r>
        <w:t>ironically</w:t>
      </w:r>
      <w:r w:rsidR="001A1F90">
        <w:t xml:space="preserve"> </w:t>
      </w:r>
      <w:r>
        <w:t>they</w:t>
      </w:r>
      <w:r w:rsidR="001A1F90">
        <w:t xml:space="preserve"> </w:t>
      </w:r>
      <w:r>
        <w:t>belong</w:t>
      </w:r>
      <w:r w:rsidR="001A1F90">
        <w:t xml:space="preserve"> </w:t>
      </w:r>
      <w:r>
        <w:t>to</w:t>
      </w:r>
      <w:r w:rsidR="001A1F90">
        <w:t xml:space="preserve"> </w:t>
      </w:r>
      <w:r>
        <w:t>a</w:t>
      </w:r>
      <w:r w:rsidR="001A1F90">
        <w:t xml:space="preserve"> </w:t>
      </w:r>
      <w:r>
        <w:t>group</w:t>
      </w:r>
      <w:r w:rsidR="001A1F90">
        <w:t xml:space="preserve"> </w:t>
      </w:r>
      <w:r>
        <w:t>of</w:t>
      </w:r>
      <w:r w:rsidR="001A1F90">
        <w:t xml:space="preserve"> </w:t>
      </w:r>
      <w:r>
        <w:t>people</w:t>
      </w:r>
      <w:r w:rsidR="001A1F90">
        <w:t xml:space="preserve"> </w:t>
      </w:r>
      <w:r>
        <w:t>who</w:t>
      </w:r>
      <w:r w:rsidR="001A1F90">
        <w:t xml:space="preserve"> </w:t>
      </w:r>
      <w:r>
        <w:t>perhaps</w:t>
      </w:r>
      <w:r w:rsidR="001A1F90">
        <w:t xml:space="preserve"> </w:t>
      </w:r>
      <w:r>
        <w:t>more</w:t>
      </w:r>
      <w:r w:rsidR="001A1F90">
        <w:t xml:space="preserve"> </w:t>
      </w:r>
      <w:r>
        <w:t>so</w:t>
      </w:r>
      <w:r w:rsidR="001A1F90">
        <w:t xml:space="preserve"> </w:t>
      </w:r>
      <w:r>
        <w:t>than</w:t>
      </w:r>
      <w:r w:rsidR="001A1F90">
        <w:t xml:space="preserve"> </w:t>
      </w:r>
      <w:r>
        <w:t>any</w:t>
      </w:r>
      <w:r w:rsidR="001A1F90">
        <w:t xml:space="preserve"> </w:t>
      </w:r>
      <w:r>
        <w:t>other</w:t>
      </w:r>
      <w:r w:rsidR="001A1F90">
        <w:t xml:space="preserve"> </w:t>
      </w:r>
      <w:r>
        <w:t>group,</w:t>
      </w:r>
      <w:r w:rsidR="001A1F90">
        <w:t xml:space="preserve"> </w:t>
      </w:r>
      <w:r>
        <w:t>are</w:t>
      </w:r>
      <w:r w:rsidR="001A1F90">
        <w:t xml:space="preserve"> </w:t>
      </w:r>
      <w:r>
        <w:t>more</w:t>
      </w:r>
      <w:r w:rsidR="001A1F90">
        <w:t xml:space="preserve"> </w:t>
      </w:r>
      <w:r>
        <w:t>likely</w:t>
      </w:r>
      <w:r w:rsidR="001A1F90">
        <w:t xml:space="preserve"> </w:t>
      </w:r>
      <w:r>
        <w:t>to</w:t>
      </w:r>
      <w:r w:rsidR="001A1F90">
        <w:t xml:space="preserve"> </w:t>
      </w:r>
      <w:r>
        <w:t>be</w:t>
      </w:r>
      <w:r w:rsidR="001A1F90">
        <w:t xml:space="preserve"> </w:t>
      </w:r>
      <w:r>
        <w:t>victims,</w:t>
      </w:r>
      <w:r w:rsidR="001A1F90">
        <w:t xml:space="preserve"> </w:t>
      </w:r>
      <w:r>
        <w:t>rather</w:t>
      </w:r>
      <w:r w:rsidR="001A1F90">
        <w:t xml:space="preserve"> </w:t>
      </w:r>
      <w:r>
        <w:t>than</w:t>
      </w:r>
      <w:r w:rsidR="001A1F90">
        <w:t xml:space="preserve"> </w:t>
      </w:r>
      <w:r>
        <w:t>perpetrators</w:t>
      </w:r>
      <w:r w:rsidR="001A1F90">
        <w:t xml:space="preserve"> </w:t>
      </w:r>
      <w:r>
        <w:t>of</w:t>
      </w:r>
      <w:r w:rsidR="001A1F90">
        <w:t xml:space="preserve"> </w:t>
      </w:r>
      <w:r>
        <w:t>sexual</w:t>
      </w:r>
      <w:r w:rsidR="001A1F90">
        <w:t xml:space="preserve"> </w:t>
      </w:r>
      <w:r>
        <w:t>offending.</w:t>
      </w:r>
      <w:r w:rsidR="001A1F90">
        <w:t xml:space="preserve"> </w:t>
      </w:r>
      <w:r>
        <w:t>It</w:t>
      </w:r>
      <w:r w:rsidR="001A1F90">
        <w:t xml:space="preserve"> </w:t>
      </w:r>
      <w:r>
        <w:t>has</w:t>
      </w:r>
      <w:r w:rsidR="001A1F90">
        <w:t xml:space="preserve"> </w:t>
      </w:r>
      <w:r>
        <w:t>been</w:t>
      </w:r>
      <w:r w:rsidR="001A1F90">
        <w:t xml:space="preserve"> </w:t>
      </w:r>
      <w:r>
        <w:t>well</w:t>
      </w:r>
      <w:r w:rsidR="001A1F90">
        <w:t xml:space="preserve"> </w:t>
      </w:r>
      <w:r>
        <w:t>established</w:t>
      </w:r>
      <w:r w:rsidR="001A1F90">
        <w:t xml:space="preserve"> </w:t>
      </w:r>
      <w:r>
        <w:t>in</w:t>
      </w:r>
      <w:r w:rsidR="001A1F90">
        <w:t xml:space="preserve"> </w:t>
      </w:r>
      <w:r>
        <w:t>the</w:t>
      </w:r>
      <w:r w:rsidR="001A1F90">
        <w:t xml:space="preserve"> </w:t>
      </w:r>
      <w:r>
        <w:t>research</w:t>
      </w:r>
      <w:r w:rsidR="001A1F90">
        <w:t xml:space="preserve"> </w:t>
      </w:r>
      <w:r>
        <w:t>literature</w:t>
      </w:r>
      <w:r w:rsidR="001A1F90">
        <w:t xml:space="preserve"> </w:t>
      </w:r>
      <w:r>
        <w:t>that</w:t>
      </w:r>
      <w:r w:rsidR="001A1F90">
        <w:t xml:space="preserve"> </w:t>
      </w:r>
      <w:r>
        <w:t>a</w:t>
      </w:r>
      <w:r w:rsidR="001A1F90">
        <w:t xml:space="preserve"> </w:t>
      </w:r>
      <w:r>
        <w:t>significantly</w:t>
      </w:r>
      <w:r w:rsidR="001A1F90">
        <w:t xml:space="preserve"> </w:t>
      </w:r>
      <w:r>
        <w:t>higher</w:t>
      </w:r>
      <w:r w:rsidR="001A1F90">
        <w:t xml:space="preserve"> </w:t>
      </w:r>
      <w:r>
        <w:t>proportion</w:t>
      </w:r>
      <w:r w:rsidR="001A1F90">
        <w:t xml:space="preserve"> </w:t>
      </w:r>
      <w:r>
        <w:t>of</w:t>
      </w:r>
      <w:r w:rsidR="001A1F90">
        <w:t xml:space="preserve"> </w:t>
      </w:r>
      <w:r>
        <w:t>sex</w:t>
      </w:r>
      <w:r w:rsidR="001A1F90">
        <w:t xml:space="preserve"> </w:t>
      </w:r>
      <w:r>
        <w:t>offenders</w:t>
      </w:r>
      <w:r w:rsidR="001A1F90">
        <w:t xml:space="preserve"> </w:t>
      </w:r>
      <w:r>
        <w:t>with</w:t>
      </w:r>
      <w:r w:rsidR="001A1F90">
        <w:t xml:space="preserve"> </w:t>
      </w:r>
      <w:r>
        <w:t>an</w:t>
      </w:r>
      <w:r w:rsidR="001A1F90">
        <w:t xml:space="preserve"> </w:t>
      </w:r>
      <w:r>
        <w:t>intellectual</w:t>
      </w:r>
      <w:r w:rsidR="001A1F90">
        <w:t xml:space="preserve"> </w:t>
      </w:r>
      <w:r>
        <w:t>disability</w:t>
      </w:r>
      <w:r w:rsidR="001A1F90">
        <w:t xml:space="preserve"> </w:t>
      </w:r>
      <w:r>
        <w:t>have</w:t>
      </w:r>
      <w:r w:rsidR="001A1F90">
        <w:t xml:space="preserve"> </w:t>
      </w:r>
      <w:r>
        <w:t>histories</w:t>
      </w:r>
      <w:r w:rsidR="001A1F90">
        <w:t xml:space="preserve"> </w:t>
      </w:r>
      <w:r>
        <w:t>of</w:t>
      </w:r>
      <w:r w:rsidR="001A1F90">
        <w:t xml:space="preserve"> </w:t>
      </w:r>
      <w:r>
        <w:t>childhood</w:t>
      </w:r>
      <w:r w:rsidR="001A1F90">
        <w:t xml:space="preserve"> </w:t>
      </w:r>
      <w:r>
        <w:t>victimi</w:t>
      </w:r>
      <w:r w:rsidR="00A758E4">
        <w:t>s</w:t>
      </w:r>
      <w:r>
        <w:t>ation</w:t>
      </w:r>
      <w:r w:rsidR="001A1F90">
        <w:t xml:space="preserve"> </w:t>
      </w:r>
      <w:r>
        <w:t>compared</w:t>
      </w:r>
      <w:r w:rsidR="001A1F90">
        <w:t xml:space="preserve"> </w:t>
      </w:r>
      <w:r w:rsidR="00E96F53">
        <w:t xml:space="preserve">with </w:t>
      </w:r>
      <w:r>
        <w:t>mainstream</w:t>
      </w:r>
      <w:r w:rsidR="001A1F90">
        <w:t xml:space="preserve"> </w:t>
      </w:r>
      <w:r>
        <w:t>populations.</w:t>
      </w:r>
    </w:p>
    <w:p w14:paraId="40D65B23" w14:textId="4E0DE0EC" w:rsidR="00C3409A" w:rsidRDefault="00C3409A" w:rsidP="00C3409A">
      <w:pPr>
        <w:pStyle w:val="DHHSbody"/>
      </w:pPr>
      <w:r>
        <w:t>Today</w:t>
      </w:r>
      <w:r w:rsidR="001A1F90">
        <w:t xml:space="preserve"> </w:t>
      </w:r>
      <w:r>
        <w:t>the</w:t>
      </w:r>
      <w:r w:rsidR="001A1F90">
        <w:t xml:space="preserve"> </w:t>
      </w:r>
      <w:r>
        <w:t>assessment</w:t>
      </w:r>
      <w:r w:rsidR="001A1F90">
        <w:t xml:space="preserve"> </w:t>
      </w:r>
      <w:r>
        <w:t>and</w:t>
      </w:r>
      <w:r w:rsidR="001A1F90">
        <w:t xml:space="preserve"> </w:t>
      </w:r>
      <w:r>
        <w:t>treatment</w:t>
      </w:r>
      <w:r w:rsidR="001A1F90">
        <w:t xml:space="preserve"> </w:t>
      </w:r>
      <w:r>
        <w:t>picture</w:t>
      </w:r>
      <w:r w:rsidR="001A1F90">
        <w:t xml:space="preserve"> </w:t>
      </w:r>
      <w:r>
        <w:t>for</w:t>
      </w:r>
      <w:r w:rsidR="001A1F90">
        <w:t xml:space="preserve"> </w:t>
      </w:r>
      <w:r>
        <w:t>this</w:t>
      </w:r>
      <w:r w:rsidR="001A1F90">
        <w:t xml:space="preserve"> </w:t>
      </w:r>
      <w:r>
        <w:t>population</w:t>
      </w:r>
      <w:r w:rsidR="001A1F90">
        <w:t xml:space="preserve"> </w:t>
      </w:r>
      <w:r>
        <w:t>is</w:t>
      </w:r>
      <w:r w:rsidR="001A1F90">
        <w:t xml:space="preserve"> </w:t>
      </w:r>
      <w:r>
        <w:t>much</w:t>
      </w:r>
      <w:r w:rsidR="001A1F90">
        <w:t xml:space="preserve"> </w:t>
      </w:r>
      <w:r>
        <w:t>improved.</w:t>
      </w:r>
      <w:r w:rsidR="001A1F90">
        <w:t xml:space="preserve"> </w:t>
      </w:r>
      <w:r>
        <w:t>There</w:t>
      </w:r>
      <w:r w:rsidR="001A1F90">
        <w:t xml:space="preserve"> </w:t>
      </w:r>
      <w:r>
        <w:t>have</w:t>
      </w:r>
      <w:r w:rsidR="001A1F90">
        <w:t xml:space="preserve"> </w:t>
      </w:r>
      <w:r>
        <w:t>been</w:t>
      </w:r>
      <w:r w:rsidR="001A1F90">
        <w:t xml:space="preserve"> </w:t>
      </w:r>
      <w:r>
        <w:t>recent</w:t>
      </w:r>
      <w:r w:rsidR="001A1F90">
        <w:t xml:space="preserve"> </w:t>
      </w:r>
      <w:r>
        <w:t>advances</w:t>
      </w:r>
      <w:r w:rsidR="001A1F90">
        <w:t xml:space="preserve"> </w:t>
      </w:r>
      <w:r>
        <w:t>in</w:t>
      </w:r>
      <w:r w:rsidR="001A1F90">
        <w:t xml:space="preserve"> </w:t>
      </w:r>
      <w:r>
        <w:t>risk</w:t>
      </w:r>
      <w:r w:rsidR="001A1F90">
        <w:t xml:space="preserve"> </w:t>
      </w:r>
      <w:r>
        <w:t>assessment</w:t>
      </w:r>
      <w:r w:rsidR="001A1F90">
        <w:t xml:space="preserve"> </w:t>
      </w:r>
      <w:r>
        <w:t>methodologies</w:t>
      </w:r>
      <w:r w:rsidR="001A1F90">
        <w:t xml:space="preserve"> </w:t>
      </w:r>
      <w:r>
        <w:t>designed</w:t>
      </w:r>
      <w:r w:rsidR="001A1F90">
        <w:t xml:space="preserve"> </w:t>
      </w:r>
      <w:r>
        <w:t>specifically</w:t>
      </w:r>
      <w:r w:rsidR="001A1F90">
        <w:t xml:space="preserve"> </w:t>
      </w:r>
      <w:r>
        <w:t>for</w:t>
      </w:r>
      <w:r w:rsidR="001A1F90">
        <w:t xml:space="preserve"> </w:t>
      </w:r>
      <w:r>
        <w:t>this</w:t>
      </w:r>
      <w:r w:rsidR="001A1F90">
        <w:t xml:space="preserve"> </w:t>
      </w:r>
      <w:r>
        <w:t>group.</w:t>
      </w:r>
      <w:r w:rsidR="001A1F90">
        <w:t xml:space="preserve"> </w:t>
      </w:r>
      <w:r>
        <w:t>It</w:t>
      </w:r>
      <w:r w:rsidR="001A1F90">
        <w:t xml:space="preserve"> </w:t>
      </w:r>
      <w:r>
        <w:t>is</w:t>
      </w:r>
      <w:r w:rsidR="001A1F90">
        <w:t xml:space="preserve"> </w:t>
      </w:r>
      <w:r>
        <w:t>also</w:t>
      </w:r>
      <w:r w:rsidR="001A1F90">
        <w:t xml:space="preserve"> </w:t>
      </w:r>
      <w:r>
        <w:t>clear</w:t>
      </w:r>
      <w:r w:rsidR="001A1F90">
        <w:t xml:space="preserve"> </w:t>
      </w:r>
      <w:r>
        <w:t>that</w:t>
      </w:r>
      <w:r w:rsidR="001A1F90">
        <w:t xml:space="preserve"> </w:t>
      </w:r>
      <w:r>
        <w:t>nearly</w:t>
      </w:r>
      <w:r w:rsidR="001A1F90">
        <w:t xml:space="preserve"> </w:t>
      </w:r>
      <w:r>
        <w:t>all</w:t>
      </w:r>
      <w:r w:rsidR="001A1F90">
        <w:t xml:space="preserve"> </w:t>
      </w:r>
      <w:r>
        <w:t>sexual</w:t>
      </w:r>
      <w:r w:rsidR="001A1F90">
        <w:t xml:space="preserve"> </w:t>
      </w:r>
      <w:r>
        <w:t>offenders</w:t>
      </w:r>
      <w:r w:rsidR="001A1F90">
        <w:t xml:space="preserve"> </w:t>
      </w:r>
      <w:r>
        <w:t>with</w:t>
      </w:r>
      <w:r w:rsidR="001A1F90">
        <w:t xml:space="preserve"> </w:t>
      </w:r>
      <w:r>
        <w:t>an</w:t>
      </w:r>
      <w:r w:rsidR="001A1F90">
        <w:t xml:space="preserve"> </w:t>
      </w:r>
      <w:r>
        <w:t>intellectual</w:t>
      </w:r>
      <w:r w:rsidR="001A1F90">
        <w:t xml:space="preserve"> </w:t>
      </w:r>
      <w:r>
        <w:t>disability</w:t>
      </w:r>
      <w:r w:rsidR="001A1F90">
        <w:t xml:space="preserve"> </w:t>
      </w:r>
      <w:r>
        <w:t>are</w:t>
      </w:r>
      <w:r w:rsidR="001A1F90">
        <w:t xml:space="preserve"> </w:t>
      </w:r>
      <w:r>
        <w:t>able</w:t>
      </w:r>
      <w:r w:rsidR="001A1F90">
        <w:t xml:space="preserve"> </w:t>
      </w:r>
      <w:r>
        <w:t>to</w:t>
      </w:r>
      <w:r w:rsidR="001A1F90">
        <w:t xml:space="preserve"> </w:t>
      </w:r>
      <w:r>
        <w:t>engage</w:t>
      </w:r>
      <w:r w:rsidR="001A1F90">
        <w:t xml:space="preserve"> </w:t>
      </w:r>
      <w:r>
        <w:t>in</w:t>
      </w:r>
      <w:r w:rsidR="001A1F90">
        <w:t xml:space="preserve"> </w:t>
      </w:r>
      <w:r>
        <w:t>established</w:t>
      </w:r>
      <w:r w:rsidR="001A1F90">
        <w:t xml:space="preserve"> </w:t>
      </w:r>
      <w:r>
        <w:t>psychotherapeutic</w:t>
      </w:r>
      <w:r w:rsidR="001A1F90">
        <w:t xml:space="preserve"> </w:t>
      </w:r>
      <w:r>
        <w:t>treatment</w:t>
      </w:r>
      <w:r w:rsidR="001A1F90">
        <w:t xml:space="preserve"> </w:t>
      </w:r>
      <w:r>
        <w:t>programs</w:t>
      </w:r>
      <w:r w:rsidR="001A1F90">
        <w:t xml:space="preserve"> </w:t>
      </w:r>
      <w:r>
        <w:t>that</w:t>
      </w:r>
      <w:r w:rsidR="001A1F90">
        <w:t xml:space="preserve"> </w:t>
      </w:r>
      <w:r>
        <w:t>can</w:t>
      </w:r>
      <w:r w:rsidR="001A1F90">
        <w:t xml:space="preserve"> </w:t>
      </w:r>
      <w:r>
        <w:t>result</w:t>
      </w:r>
      <w:r w:rsidR="001A1F90">
        <w:t xml:space="preserve"> </w:t>
      </w:r>
      <w:r>
        <w:t>in</w:t>
      </w:r>
      <w:r w:rsidR="001A1F90">
        <w:t xml:space="preserve"> </w:t>
      </w:r>
      <w:r>
        <w:t>significant</w:t>
      </w:r>
      <w:r w:rsidR="001A1F90">
        <w:t xml:space="preserve"> </w:t>
      </w:r>
      <w:r>
        <w:t>treatment</w:t>
      </w:r>
      <w:r w:rsidR="001A1F90">
        <w:t xml:space="preserve"> </w:t>
      </w:r>
      <w:r>
        <w:t>outcomes.</w:t>
      </w:r>
      <w:r w:rsidR="001A1F90">
        <w:t xml:space="preserve"> </w:t>
      </w:r>
      <w:r>
        <w:t>Many</w:t>
      </w:r>
      <w:r w:rsidR="001A1F90">
        <w:t xml:space="preserve"> </w:t>
      </w:r>
      <w:r>
        <w:t>are</w:t>
      </w:r>
      <w:r w:rsidR="001A1F90">
        <w:t xml:space="preserve"> </w:t>
      </w:r>
      <w:r>
        <w:t>able</w:t>
      </w:r>
      <w:r w:rsidR="001A1F90">
        <w:t xml:space="preserve"> </w:t>
      </w:r>
      <w:r>
        <w:t>to</w:t>
      </w:r>
      <w:r w:rsidR="001A1F90">
        <w:t xml:space="preserve"> </w:t>
      </w:r>
      <w:r>
        <w:t>move</w:t>
      </w:r>
      <w:r w:rsidR="001A1F90">
        <w:t xml:space="preserve"> </w:t>
      </w:r>
      <w:r>
        <w:t>on</w:t>
      </w:r>
      <w:r w:rsidR="001A1F90">
        <w:t xml:space="preserve"> </w:t>
      </w:r>
      <w:r>
        <w:t>to</w:t>
      </w:r>
      <w:r w:rsidR="001A1F90">
        <w:t xml:space="preserve"> </w:t>
      </w:r>
      <w:r>
        <w:t>less</w:t>
      </w:r>
      <w:r w:rsidR="001A1F90">
        <w:t xml:space="preserve"> </w:t>
      </w:r>
      <w:r>
        <w:t>restrictive</w:t>
      </w:r>
      <w:r w:rsidR="001A1F90">
        <w:t xml:space="preserve"> </w:t>
      </w:r>
      <w:r>
        <w:t>and</w:t>
      </w:r>
      <w:r w:rsidR="001A1F90">
        <w:t xml:space="preserve"> </w:t>
      </w:r>
      <w:r>
        <w:t>even</w:t>
      </w:r>
      <w:r w:rsidR="001A1F90">
        <w:t xml:space="preserve"> </w:t>
      </w:r>
      <w:r>
        <w:t>unsupervised</w:t>
      </w:r>
      <w:r w:rsidR="001A1F90">
        <w:t xml:space="preserve"> </w:t>
      </w:r>
      <w:r>
        <w:t>day</w:t>
      </w:r>
      <w:r w:rsidR="00E96F53">
        <w:t>-</w:t>
      </w:r>
      <w:r>
        <w:t>to</w:t>
      </w:r>
      <w:r w:rsidR="00E96F53">
        <w:t>-</w:t>
      </w:r>
      <w:r>
        <w:t>day</w:t>
      </w:r>
      <w:r w:rsidR="001A1F90">
        <w:t xml:space="preserve"> </w:t>
      </w:r>
      <w:r>
        <w:t>settings.</w:t>
      </w:r>
    </w:p>
    <w:p w14:paraId="7A733124" w14:textId="5FC612CC" w:rsidR="00C3409A" w:rsidRDefault="00C3409A" w:rsidP="00C3409A">
      <w:pPr>
        <w:pStyle w:val="DHHSbody"/>
      </w:pPr>
      <w:r>
        <w:t>The</w:t>
      </w:r>
      <w:r w:rsidR="001A1F90">
        <w:t xml:space="preserve"> </w:t>
      </w:r>
      <w:r>
        <w:t>use</w:t>
      </w:r>
      <w:r w:rsidR="001A1F90">
        <w:t xml:space="preserve"> </w:t>
      </w:r>
      <w:r>
        <w:t>of</w:t>
      </w:r>
      <w:r w:rsidR="001A1F90">
        <w:t xml:space="preserve"> </w:t>
      </w:r>
      <w:r>
        <w:t>anti-libidinal</w:t>
      </w:r>
      <w:r w:rsidR="001A1F90">
        <w:t xml:space="preserve"> </w:t>
      </w:r>
      <w:r>
        <w:t>medications</w:t>
      </w:r>
      <w:r w:rsidR="001A1F90">
        <w:t xml:space="preserve"> </w:t>
      </w:r>
      <w:r>
        <w:t>with</w:t>
      </w:r>
      <w:r w:rsidR="001A1F90">
        <w:t xml:space="preserve"> </w:t>
      </w:r>
      <w:r>
        <w:t>this</w:t>
      </w:r>
      <w:r w:rsidR="001A1F90">
        <w:t xml:space="preserve"> </w:t>
      </w:r>
      <w:r>
        <w:t>population</w:t>
      </w:r>
      <w:r w:rsidR="001A1F90">
        <w:t xml:space="preserve"> </w:t>
      </w:r>
      <w:r>
        <w:t>is</w:t>
      </w:r>
      <w:r w:rsidR="001A1F90">
        <w:t xml:space="preserve"> </w:t>
      </w:r>
      <w:r>
        <w:t>controversial.</w:t>
      </w:r>
      <w:r w:rsidR="001A1F90">
        <w:t xml:space="preserve"> </w:t>
      </w:r>
      <w:r>
        <w:t>Research</w:t>
      </w:r>
      <w:r w:rsidR="001A1F90">
        <w:t xml:space="preserve"> </w:t>
      </w:r>
      <w:r>
        <w:t>within</w:t>
      </w:r>
      <w:r w:rsidR="001A1F90">
        <w:t xml:space="preserve"> </w:t>
      </w:r>
      <w:r>
        <w:t>this</w:t>
      </w:r>
      <w:r w:rsidR="001A1F90">
        <w:t xml:space="preserve"> </w:t>
      </w:r>
      <w:r>
        <w:t>area</w:t>
      </w:r>
      <w:r w:rsidR="001A1F90">
        <w:t xml:space="preserve"> </w:t>
      </w:r>
      <w:r>
        <w:t>is</w:t>
      </w:r>
      <w:r w:rsidR="001A1F90">
        <w:t xml:space="preserve"> </w:t>
      </w:r>
      <w:r>
        <w:t>sparse</w:t>
      </w:r>
      <w:r w:rsidR="001A1F90">
        <w:t xml:space="preserve"> </w:t>
      </w:r>
      <w:r>
        <w:t>and</w:t>
      </w:r>
      <w:r w:rsidR="00B51084">
        <w:t>,</w:t>
      </w:r>
      <w:r w:rsidR="001A1F90">
        <w:t xml:space="preserve"> </w:t>
      </w:r>
      <w:r>
        <w:t>what</w:t>
      </w:r>
      <w:r w:rsidR="001A1F90">
        <w:t xml:space="preserve"> </w:t>
      </w:r>
      <w:r>
        <w:t>research</w:t>
      </w:r>
      <w:r w:rsidR="001A1F90">
        <w:t xml:space="preserve"> </w:t>
      </w:r>
      <w:r>
        <w:t>there</w:t>
      </w:r>
      <w:r w:rsidR="001A1F90">
        <w:t xml:space="preserve"> </w:t>
      </w:r>
      <w:r>
        <w:t>is,</w:t>
      </w:r>
      <w:r w:rsidR="001A1F90">
        <w:t xml:space="preserve"> </w:t>
      </w:r>
      <w:r>
        <w:t>is</w:t>
      </w:r>
      <w:r w:rsidR="001A1F90">
        <w:t xml:space="preserve"> </w:t>
      </w:r>
      <w:r>
        <w:t>equivocal.</w:t>
      </w:r>
      <w:r w:rsidR="001A1F90">
        <w:t xml:space="preserve"> </w:t>
      </w:r>
      <w:r w:rsidR="00B51084">
        <w:t>H</w:t>
      </w:r>
      <w:r>
        <w:t>owever</w:t>
      </w:r>
      <w:r w:rsidR="00B51084">
        <w:t>,</w:t>
      </w:r>
      <w:r w:rsidR="001A1F90">
        <w:t xml:space="preserve"> </w:t>
      </w:r>
      <w:r w:rsidR="00B51084">
        <w:t xml:space="preserve">treatment providers </w:t>
      </w:r>
      <w:r>
        <w:t>find</w:t>
      </w:r>
      <w:r w:rsidR="00B51084">
        <w:t>,</w:t>
      </w:r>
      <w:r w:rsidR="001A1F90">
        <w:t xml:space="preserve"> </w:t>
      </w:r>
      <w:r>
        <w:t>for</w:t>
      </w:r>
      <w:r w:rsidR="001A1F90">
        <w:t xml:space="preserve"> </w:t>
      </w:r>
      <w:r>
        <w:t>at</w:t>
      </w:r>
      <w:r w:rsidR="001A1F90">
        <w:t xml:space="preserve"> </w:t>
      </w:r>
      <w:r>
        <w:t>least</w:t>
      </w:r>
      <w:r w:rsidR="001A1F90">
        <w:t xml:space="preserve"> </w:t>
      </w:r>
      <w:r>
        <w:t>a</w:t>
      </w:r>
      <w:r w:rsidR="001A1F90">
        <w:t xml:space="preserve"> </w:t>
      </w:r>
      <w:r>
        <w:t>small</w:t>
      </w:r>
      <w:r w:rsidR="001A1F90">
        <w:t xml:space="preserve"> </w:t>
      </w:r>
      <w:r>
        <w:t>group</w:t>
      </w:r>
      <w:r w:rsidR="001A1F90">
        <w:t xml:space="preserve"> </w:t>
      </w:r>
      <w:r>
        <w:t>within</w:t>
      </w:r>
      <w:r w:rsidR="001A1F90">
        <w:t xml:space="preserve"> </w:t>
      </w:r>
      <w:r>
        <w:t>this</w:t>
      </w:r>
      <w:r w:rsidR="001A1F90">
        <w:t xml:space="preserve"> </w:t>
      </w:r>
      <w:r>
        <w:t>population,</w:t>
      </w:r>
      <w:r w:rsidR="001A1F90">
        <w:t xml:space="preserve"> </w:t>
      </w:r>
      <w:r>
        <w:t>that</w:t>
      </w:r>
      <w:r w:rsidR="001A1F90">
        <w:t xml:space="preserve"> </w:t>
      </w:r>
      <w:r>
        <w:t>the</w:t>
      </w:r>
      <w:r w:rsidR="001A1F90">
        <w:t xml:space="preserve"> </w:t>
      </w:r>
      <w:r>
        <w:t>use</w:t>
      </w:r>
      <w:r w:rsidR="001A1F90">
        <w:t xml:space="preserve"> </w:t>
      </w:r>
      <w:r>
        <w:t>of</w:t>
      </w:r>
      <w:r w:rsidR="001A1F90">
        <w:t xml:space="preserve"> </w:t>
      </w:r>
      <w:r>
        <w:t>anti-libidinal</w:t>
      </w:r>
      <w:r w:rsidR="001A1F90">
        <w:t xml:space="preserve"> </w:t>
      </w:r>
      <w:r>
        <w:t>medications</w:t>
      </w:r>
      <w:r w:rsidR="001A1F90">
        <w:t xml:space="preserve"> </w:t>
      </w:r>
      <w:r>
        <w:t>can</w:t>
      </w:r>
      <w:r w:rsidR="001A1F90">
        <w:t xml:space="preserve"> </w:t>
      </w:r>
      <w:r>
        <w:t>facilitate</w:t>
      </w:r>
      <w:r w:rsidR="001A1F90">
        <w:t xml:space="preserve"> </w:t>
      </w:r>
      <w:r>
        <w:t>the</w:t>
      </w:r>
      <w:r w:rsidR="001A1F90">
        <w:t xml:space="preserve"> </w:t>
      </w:r>
      <w:r>
        <w:t>effects</w:t>
      </w:r>
      <w:r w:rsidR="001A1F90">
        <w:t xml:space="preserve"> </w:t>
      </w:r>
      <w:r>
        <w:t>of</w:t>
      </w:r>
      <w:r w:rsidR="001A1F90">
        <w:t xml:space="preserve"> </w:t>
      </w:r>
      <w:r>
        <w:t>these</w:t>
      </w:r>
      <w:r w:rsidR="001A1F90">
        <w:t xml:space="preserve"> </w:t>
      </w:r>
      <w:r>
        <w:t>psychotherapeutic</w:t>
      </w:r>
      <w:r w:rsidR="001A1F90">
        <w:t xml:space="preserve"> </w:t>
      </w:r>
      <w:r>
        <w:t>treatment</w:t>
      </w:r>
      <w:r w:rsidR="001A1F90">
        <w:t xml:space="preserve"> </w:t>
      </w:r>
      <w:r>
        <w:t>programs.</w:t>
      </w:r>
      <w:r w:rsidR="001A1F90">
        <w:t xml:space="preserve"> </w:t>
      </w:r>
      <w:r>
        <w:t>There</w:t>
      </w:r>
      <w:r w:rsidR="001A1F90">
        <w:t xml:space="preserve"> </w:t>
      </w:r>
      <w:r>
        <w:t>are</w:t>
      </w:r>
      <w:r w:rsidR="00B51084">
        <w:t>,</w:t>
      </w:r>
      <w:r w:rsidR="001A1F90">
        <w:t xml:space="preserve"> </w:t>
      </w:r>
      <w:r>
        <w:t>however</w:t>
      </w:r>
      <w:r w:rsidR="00B51084">
        <w:t>,</w:t>
      </w:r>
      <w:r w:rsidR="001A1F90">
        <w:t xml:space="preserve"> </w:t>
      </w:r>
      <w:r>
        <w:t>significant</w:t>
      </w:r>
      <w:r w:rsidR="001A1F90">
        <w:t xml:space="preserve"> </w:t>
      </w:r>
      <w:r>
        <w:t>side</w:t>
      </w:r>
      <w:r w:rsidR="001A1F90">
        <w:t xml:space="preserve"> </w:t>
      </w:r>
      <w:r>
        <w:t>effects</w:t>
      </w:r>
      <w:r w:rsidR="001A1F90">
        <w:t xml:space="preserve"> </w:t>
      </w:r>
      <w:r>
        <w:t>associated</w:t>
      </w:r>
      <w:r w:rsidR="001A1F90">
        <w:t xml:space="preserve"> </w:t>
      </w:r>
      <w:r>
        <w:t>with</w:t>
      </w:r>
      <w:r w:rsidR="001A1F90">
        <w:t xml:space="preserve"> </w:t>
      </w:r>
      <w:r>
        <w:t>these</w:t>
      </w:r>
      <w:r w:rsidR="001A1F90">
        <w:t xml:space="preserve"> </w:t>
      </w:r>
      <w:r>
        <w:t>medications</w:t>
      </w:r>
      <w:r w:rsidR="00B51084">
        <w:t>,</w:t>
      </w:r>
      <w:r w:rsidR="001A1F90">
        <w:t xml:space="preserve"> </w:t>
      </w:r>
      <w:r>
        <w:t>which</w:t>
      </w:r>
      <w:r w:rsidR="001A1F90">
        <w:t xml:space="preserve"> </w:t>
      </w:r>
      <w:r>
        <w:t>may</w:t>
      </w:r>
      <w:r w:rsidR="001A1F90">
        <w:t xml:space="preserve"> </w:t>
      </w:r>
      <w:r>
        <w:t>also</w:t>
      </w:r>
      <w:r w:rsidR="001A1F90">
        <w:t xml:space="preserve"> </w:t>
      </w:r>
      <w:r>
        <w:t>have</w:t>
      </w:r>
      <w:r w:rsidR="001A1F90">
        <w:t xml:space="preserve"> </w:t>
      </w:r>
      <w:r>
        <w:t>a</w:t>
      </w:r>
      <w:r w:rsidR="001A1F90">
        <w:t xml:space="preserve"> </w:t>
      </w:r>
      <w:r>
        <w:t>greater</w:t>
      </w:r>
      <w:r w:rsidR="001A1F90">
        <w:t xml:space="preserve"> </w:t>
      </w:r>
      <w:r>
        <w:t>impact</w:t>
      </w:r>
      <w:r w:rsidR="001A1F90">
        <w:t xml:space="preserve"> </w:t>
      </w:r>
      <w:r>
        <w:t>with</w:t>
      </w:r>
      <w:r w:rsidR="001A1F90">
        <w:t xml:space="preserve"> </w:t>
      </w:r>
      <w:r>
        <w:t>this</w:t>
      </w:r>
      <w:r w:rsidR="001A1F90">
        <w:t xml:space="preserve"> </w:t>
      </w:r>
      <w:r>
        <w:t>population.</w:t>
      </w:r>
      <w:r w:rsidR="001A1F90">
        <w:t xml:space="preserve"> </w:t>
      </w:r>
      <w:r>
        <w:t>Given</w:t>
      </w:r>
      <w:r w:rsidR="001A1F90">
        <w:t xml:space="preserve"> </w:t>
      </w:r>
      <w:r>
        <w:t>these</w:t>
      </w:r>
      <w:r w:rsidR="001A1F90">
        <w:t xml:space="preserve"> </w:t>
      </w:r>
      <w:r>
        <w:t>considerations</w:t>
      </w:r>
      <w:r w:rsidR="001A1F90">
        <w:t xml:space="preserve"> </w:t>
      </w:r>
      <w:r>
        <w:t>it</w:t>
      </w:r>
      <w:r w:rsidR="001A1F90">
        <w:t xml:space="preserve"> </w:t>
      </w:r>
      <w:r>
        <w:t>is</w:t>
      </w:r>
      <w:r w:rsidR="001A1F90">
        <w:t xml:space="preserve"> </w:t>
      </w:r>
      <w:r>
        <w:t>of</w:t>
      </w:r>
      <w:r w:rsidR="001A1F90">
        <w:t xml:space="preserve"> </w:t>
      </w:r>
      <w:r>
        <w:t>utmost</w:t>
      </w:r>
      <w:r w:rsidR="001A1F90">
        <w:t xml:space="preserve"> </w:t>
      </w:r>
      <w:r>
        <w:t>importance</w:t>
      </w:r>
      <w:r w:rsidR="001A1F90">
        <w:t xml:space="preserve"> </w:t>
      </w:r>
      <w:r>
        <w:t>that</w:t>
      </w:r>
      <w:r w:rsidR="001A1F90">
        <w:t xml:space="preserve"> </w:t>
      </w:r>
      <w:r>
        <w:t>the</w:t>
      </w:r>
      <w:r w:rsidR="001A1F90">
        <w:t xml:space="preserve"> </w:t>
      </w:r>
      <w:r>
        <w:t>use</w:t>
      </w:r>
      <w:r w:rsidR="001A1F90">
        <w:t xml:space="preserve"> </w:t>
      </w:r>
      <w:r>
        <w:t>of</w:t>
      </w:r>
      <w:r w:rsidR="001A1F90">
        <w:t xml:space="preserve"> </w:t>
      </w:r>
      <w:r>
        <w:t>these</w:t>
      </w:r>
      <w:r w:rsidR="001A1F90">
        <w:t xml:space="preserve"> </w:t>
      </w:r>
      <w:r>
        <w:t>medications</w:t>
      </w:r>
      <w:r w:rsidR="001A1F90">
        <w:t xml:space="preserve"> </w:t>
      </w:r>
      <w:r>
        <w:t>be</w:t>
      </w:r>
      <w:r w:rsidR="001A1F90">
        <w:t xml:space="preserve"> </w:t>
      </w:r>
      <w:r>
        <w:t>carefully</w:t>
      </w:r>
      <w:r w:rsidR="001A1F90">
        <w:t xml:space="preserve"> </w:t>
      </w:r>
      <w:r>
        <w:t>prescribed</w:t>
      </w:r>
      <w:r w:rsidR="001A1F90">
        <w:t xml:space="preserve"> </w:t>
      </w:r>
      <w:r>
        <w:t>and</w:t>
      </w:r>
      <w:r w:rsidR="001A1F90">
        <w:t xml:space="preserve"> </w:t>
      </w:r>
      <w:r>
        <w:t>monitored.</w:t>
      </w:r>
    </w:p>
    <w:p w14:paraId="303133B5" w14:textId="187AF128" w:rsidR="00C3409A" w:rsidRDefault="00C3409A" w:rsidP="00C3409A">
      <w:pPr>
        <w:pStyle w:val="DHHSbody"/>
      </w:pPr>
      <w:r>
        <w:t>It</w:t>
      </w:r>
      <w:r w:rsidR="001A1F90">
        <w:t xml:space="preserve"> </w:t>
      </w:r>
      <w:r>
        <w:t>is</w:t>
      </w:r>
      <w:r w:rsidR="001A1F90">
        <w:t xml:space="preserve"> </w:t>
      </w:r>
      <w:r>
        <w:t>within</w:t>
      </w:r>
      <w:r w:rsidR="001A1F90">
        <w:t xml:space="preserve"> </w:t>
      </w:r>
      <w:r>
        <w:t>this</w:t>
      </w:r>
      <w:r w:rsidR="001A1F90">
        <w:t xml:space="preserve"> </w:t>
      </w:r>
      <w:r>
        <w:t>context</w:t>
      </w:r>
      <w:r w:rsidR="001A1F90">
        <w:t xml:space="preserve"> </w:t>
      </w:r>
      <w:r>
        <w:t>that</w:t>
      </w:r>
      <w:r w:rsidR="001A1F90">
        <w:t xml:space="preserve"> </w:t>
      </w:r>
      <w:r>
        <w:t>this</w:t>
      </w:r>
      <w:r w:rsidR="001A1F90">
        <w:t xml:space="preserve"> </w:t>
      </w:r>
      <w:r>
        <w:t>project</w:t>
      </w:r>
      <w:r w:rsidR="001A1F90">
        <w:t xml:space="preserve"> </w:t>
      </w:r>
      <w:r>
        <w:t>is</w:t>
      </w:r>
      <w:r w:rsidR="001A1F90">
        <w:t xml:space="preserve"> </w:t>
      </w:r>
      <w:r>
        <w:t>of</w:t>
      </w:r>
      <w:r w:rsidR="001A1F90">
        <w:t xml:space="preserve"> </w:t>
      </w:r>
      <w:r>
        <w:t>great</w:t>
      </w:r>
      <w:r w:rsidR="001A1F90">
        <w:t xml:space="preserve"> </w:t>
      </w:r>
      <w:r>
        <w:t>importance.</w:t>
      </w:r>
      <w:r w:rsidR="001A1F90">
        <w:t xml:space="preserve"> </w:t>
      </w:r>
      <w:r w:rsidR="00B10644">
        <w:t>E</w:t>
      </w:r>
      <w:r>
        <w:t>stablish</w:t>
      </w:r>
      <w:r w:rsidR="00B10644">
        <w:t>ing</w:t>
      </w:r>
      <w:r w:rsidR="001A1F90">
        <w:t xml:space="preserve"> </w:t>
      </w:r>
      <w:r>
        <w:t>guidelines</w:t>
      </w:r>
      <w:r w:rsidR="001A1F90">
        <w:t xml:space="preserve"> </w:t>
      </w:r>
      <w:r>
        <w:t>and</w:t>
      </w:r>
      <w:r w:rsidR="001A1F90">
        <w:t xml:space="preserve"> </w:t>
      </w:r>
      <w:r>
        <w:t>standards</w:t>
      </w:r>
      <w:r w:rsidR="001A1F90">
        <w:t xml:space="preserve"> </w:t>
      </w:r>
      <w:r>
        <w:t>for</w:t>
      </w:r>
      <w:r w:rsidR="001A1F90">
        <w:t xml:space="preserve"> </w:t>
      </w:r>
      <w:r>
        <w:t>prescri</w:t>
      </w:r>
      <w:r w:rsidR="00B10644">
        <w:t>bing</w:t>
      </w:r>
      <w:r w:rsidR="001A1F90">
        <w:t xml:space="preserve"> </w:t>
      </w:r>
      <w:r>
        <w:t>and</w:t>
      </w:r>
      <w:r w:rsidR="001A1F90">
        <w:t xml:space="preserve"> </w:t>
      </w:r>
      <w:r>
        <w:t>monitoring</w:t>
      </w:r>
      <w:r w:rsidR="001A1F90">
        <w:t xml:space="preserve"> </w:t>
      </w:r>
      <w:r>
        <w:t>anti-libidinal</w:t>
      </w:r>
      <w:r w:rsidR="001A1F90">
        <w:t xml:space="preserve"> </w:t>
      </w:r>
      <w:r>
        <w:t>medications</w:t>
      </w:r>
      <w:r w:rsidR="001A1F90">
        <w:t xml:space="preserve"> </w:t>
      </w:r>
      <w:r>
        <w:t>in</w:t>
      </w:r>
      <w:r w:rsidR="001A1F90">
        <w:t xml:space="preserve"> </w:t>
      </w:r>
      <w:r>
        <w:t>this</w:t>
      </w:r>
      <w:r w:rsidR="001A1F90">
        <w:t xml:space="preserve"> </w:t>
      </w:r>
      <w:r>
        <w:t>population</w:t>
      </w:r>
      <w:r w:rsidR="001A1F90">
        <w:t xml:space="preserve"> </w:t>
      </w:r>
      <w:r>
        <w:t>will</w:t>
      </w:r>
      <w:r w:rsidR="001A1F90">
        <w:t xml:space="preserve"> </w:t>
      </w:r>
      <w:r>
        <w:t>greatly</w:t>
      </w:r>
      <w:r w:rsidR="001A1F90">
        <w:t xml:space="preserve"> </w:t>
      </w:r>
      <w:r>
        <w:t>assist</w:t>
      </w:r>
      <w:r w:rsidR="001A1F90">
        <w:t xml:space="preserve"> </w:t>
      </w:r>
      <w:r>
        <w:t>in</w:t>
      </w:r>
      <w:r w:rsidR="001A1F90">
        <w:t xml:space="preserve"> </w:t>
      </w:r>
      <w:r>
        <w:t>maintaining</w:t>
      </w:r>
      <w:r w:rsidR="001A1F90">
        <w:t xml:space="preserve"> </w:t>
      </w:r>
      <w:r>
        <w:t>the</w:t>
      </w:r>
      <w:r w:rsidR="001A1F90">
        <w:t xml:space="preserve"> </w:t>
      </w:r>
      <w:r>
        <w:t>focus</w:t>
      </w:r>
      <w:r w:rsidR="001A1F90">
        <w:t xml:space="preserve"> </w:t>
      </w:r>
      <w:r>
        <w:t>on</w:t>
      </w:r>
      <w:r w:rsidR="001A1F90">
        <w:t xml:space="preserve"> </w:t>
      </w:r>
      <w:r>
        <w:t>the</w:t>
      </w:r>
      <w:r w:rsidR="001A1F90">
        <w:t xml:space="preserve"> </w:t>
      </w:r>
      <w:r>
        <w:t>rights</w:t>
      </w:r>
      <w:r w:rsidR="001A1F90">
        <w:t xml:space="preserve"> </w:t>
      </w:r>
      <w:r>
        <w:t>and</w:t>
      </w:r>
      <w:r w:rsidR="001A1F90">
        <w:t xml:space="preserve"> </w:t>
      </w:r>
      <w:r>
        <w:t>needs</w:t>
      </w:r>
      <w:r w:rsidR="001A1F90">
        <w:t xml:space="preserve"> </w:t>
      </w:r>
      <w:r>
        <w:t>of</w:t>
      </w:r>
      <w:r w:rsidR="001A1F90">
        <w:t xml:space="preserve"> </w:t>
      </w:r>
      <w:r>
        <w:t>th</w:t>
      </w:r>
      <w:r w:rsidR="00B10644">
        <w:t>o</w:t>
      </w:r>
      <w:r>
        <w:t>se</w:t>
      </w:r>
      <w:r w:rsidR="001A1F90">
        <w:t xml:space="preserve"> </w:t>
      </w:r>
      <w:r>
        <w:t>undergoing</w:t>
      </w:r>
      <w:r w:rsidR="001A1F90">
        <w:t xml:space="preserve"> </w:t>
      </w:r>
      <w:r>
        <w:t>this</w:t>
      </w:r>
      <w:r w:rsidR="001A1F90">
        <w:t xml:space="preserve"> </w:t>
      </w:r>
      <w:r>
        <w:t>treatment.</w:t>
      </w:r>
    </w:p>
    <w:p w14:paraId="6A996385" w14:textId="0ACDF6D3" w:rsidR="00C3409A" w:rsidRDefault="00C3409A" w:rsidP="00C3409A">
      <w:pPr>
        <w:pStyle w:val="DHHSbody"/>
      </w:pPr>
      <w:r>
        <w:t>I</w:t>
      </w:r>
      <w:r w:rsidR="001A1F90">
        <w:t xml:space="preserve"> </w:t>
      </w:r>
      <w:r>
        <w:t>would</w:t>
      </w:r>
      <w:r w:rsidR="001A1F90">
        <w:t xml:space="preserve"> </w:t>
      </w:r>
      <w:r>
        <w:t>like</w:t>
      </w:r>
      <w:r w:rsidR="001A1F90">
        <w:t xml:space="preserve"> </w:t>
      </w:r>
      <w:r>
        <w:t>to</w:t>
      </w:r>
      <w:r w:rsidR="001A1F90">
        <w:t xml:space="preserve"> </w:t>
      </w:r>
      <w:r>
        <w:t>thank</w:t>
      </w:r>
      <w:r w:rsidR="001A1F90">
        <w:t xml:space="preserve"> </w:t>
      </w:r>
      <w:r>
        <w:t>in</w:t>
      </w:r>
      <w:r w:rsidR="001A1F90">
        <w:t xml:space="preserve"> </w:t>
      </w:r>
      <w:r>
        <w:t>particular</w:t>
      </w:r>
      <w:r w:rsidR="001A1F90">
        <w:t xml:space="preserve"> </w:t>
      </w:r>
      <w:r>
        <w:t>the</w:t>
      </w:r>
      <w:r w:rsidR="001A1F90">
        <w:t xml:space="preserve"> </w:t>
      </w:r>
      <w:r>
        <w:t>research</w:t>
      </w:r>
      <w:r w:rsidR="001A1F90">
        <w:t xml:space="preserve"> </w:t>
      </w:r>
      <w:r>
        <w:t>team,</w:t>
      </w:r>
      <w:r w:rsidR="001A1F90">
        <w:t xml:space="preserve"> </w:t>
      </w:r>
      <w:r>
        <w:t>Professor</w:t>
      </w:r>
      <w:r w:rsidR="001A1F90">
        <w:t xml:space="preserve"> </w:t>
      </w:r>
      <w:r>
        <w:t>Stuart</w:t>
      </w:r>
      <w:r w:rsidR="001A1F90">
        <w:t xml:space="preserve"> </w:t>
      </w:r>
      <w:r>
        <w:t>Thomas</w:t>
      </w:r>
      <w:r w:rsidR="001A1F90">
        <w:t xml:space="preserve"> </w:t>
      </w:r>
      <w:r>
        <w:t>and</w:t>
      </w:r>
      <w:r w:rsidR="001A1F90">
        <w:t xml:space="preserve"> </w:t>
      </w:r>
      <w:r>
        <w:t>Associate</w:t>
      </w:r>
      <w:r w:rsidR="001A1F90">
        <w:t xml:space="preserve"> </w:t>
      </w:r>
      <w:r>
        <w:t>Professor</w:t>
      </w:r>
      <w:r w:rsidR="001A1F90">
        <w:t xml:space="preserve"> </w:t>
      </w:r>
      <w:r>
        <w:t>Michael</w:t>
      </w:r>
      <w:r w:rsidR="001A1F90">
        <w:t xml:space="preserve"> </w:t>
      </w:r>
      <w:r>
        <w:t>Daffern,</w:t>
      </w:r>
      <w:r w:rsidR="001A1F90">
        <w:t xml:space="preserve"> </w:t>
      </w:r>
      <w:r>
        <w:t>for</w:t>
      </w:r>
      <w:r w:rsidR="001A1F90">
        <w:t xml:space="preserve"> </w:t>
      </w:r>
      <w:r>
        <w:t>bringing</w:t>
      </w:r>
      <w:r w:rsidR="001A1F90">
        <w:t xml:space="preserve"> </w:t>
      </w:r>
      <w:r>
        <w:t>this</w:t>
      </w:r>
      <w:r w:rsidR="001A1F90">
        <w:t xml:space="preserve"> </w:t>
      </w:r>
      <w:r>
        <w:t>project</w:t>
      </w:r>
      <w:r w:rsidR="001A1F90">
        <w:t xml:space="preserve"> </w:t>
      </w:r>
      <w:r>
        <w:t>together,</w:t>
      </w:r>
      <w:r w:rsidR="001A1F90">
        <w:t xml:space="preserve"> </w:t>
      </w:r>
      <w:r>
        <w:t>and</w:t>
      </w:r>
      <w:r w:rsidR="001A1F90">
        <w:t xml:space="preserve"> </w:t>
      </w:r>
      <w:r>
        <w:t>also</w:t>
      </w:r>
      <w:r w:rsidR="001A1F90">
        <w:t xml:space="preserve"> </w:t>
      </w:r>
      <w:r>
        <w:t>the</w:t>
      </w:r>
      <w:r w:rsidR="001A1F90">
        <w:t xml:space="preserve"> </w:t>
      </w:r>
      <w:r>
        <w:t>participants</w:t>
      </w:r>
      <w:r w:rsidR="001A1F90">
        <w:t xml:space="preserve"> </w:t>
      </w:r>
      <w:r>
        <w:t>in</w:t>
      </w:r>
      <w:r w:rsidR="001A1F90">
        <w:t xml:space="preserve"> </w:t>
      </w:r>
      <w:r>
        <w:t>the</w:t>
      </w:r>
      <w:r w:rsidR="001A1F90">
        <w:t xml:space="preserve"> </w:t>
      </w:r>
      <w:r>
        <w:t>Delphi</w:t>
      </w:r>
      <w:r w:rsidR="001A1F90">
        <w:t xml:space="preserve"> </w:t>
      </w:r>
      <w:r>
        <w:t>study</w:t>
      </w:r>
      <w:r w:rsidR="00B10644">
        <w:t>,</w:t>
      </w:r>
      <w:r w:rsidR="001A1F90">
        <w:t xml:space="preserve"> </w:t>
      </w:r>
      <w:r>
        <w:t>who</w:t>
      </w:r>
      <w:r w:rsidR="001A1F90">
        <w:t xml:space="preserve"> </w:t>
      </w:r>
      <w:r>
        <w:t>contributed</w:t>
      </w:r>
      <w:r w:rsidR="001A1F90">
        <w:t xml:space="preserve"> </w:t>
      </w:r>
      <w:r>
        <w:t>their</w:t>
      </w:r>
      <w:r w:rsidR="001A1F90">
        <w:t xml:space="preserve"> </w:t>
      </w:r>
      <w:r>
        <w:t>practice</w:t>
      </w:r>
      <w:r w:rsidR="001A1F90">
        <w:t xml:space="preserve"> </w:t>
      </w:r>
      <w:r>
        <w:t>experience</w:t>
      </w:r>
      <w:r w:rsidR="001A1F90">
        <w:t xml:space="preserve"> </w:t>
      </w:r>
      <w:r>
        <w:t>to</w:t>
      </w:r>
      <w:r w:rsidR="001A1F90">
        <w:t xml:space="preserve"> </w:t>
      </w:r>
      <w:r>
        <w:t>this</w:t>
      </w:r>
      <w:r w:rsidR="001A1F90">
        <w:t xml:space="preserve"> </w:t>
      </w:r>
      <w:r>
        <w:t>process.</w:t>
      </w:r>
    </w:p>
    <w:p w14:paraId="07A3A86E" w14:textId="77777777" w:rsidR="004B64C3" w:rsidRDefault="004B64C3" w:rsidP="004B64C3">
      <w:pPr>
        <w:pStyle w:val="DHHSbody"/>
      </w:pPr>
      <w:r>
        <w:rPr>
          <w:noProof/>
        </w:rPr>
        <w:drawing>
          <wp:inline distT="0" distB="0" distL="0" distR="0" wp14:anchorId="2C8133D7" wp14:editId="73AE9B90">
            <wp:extent cx="2070100" cy="787400"/>
            <wp:effectExtent l="0" t="0" r="6350" b="0"/>
            <wp:docPr id="5" name="Picture 5" descr="Dr Frank Lambrick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rank Lambrick sig.tif"/>
                    <pic:cNvPicPr/>
                  </pic:nvPicPr>
                  <pic:blipFill>
                    <a:blip r:embed="rId16"/>
                    <a:stretch>
                      <a:fillRect/>
                    </a:stretch>
                  </pic:blipFill>
                  <pic:spPr>
                    <a:xfrm>
                      <a:off x="0" y="0"/>
                      <a:ext cx="2070100" cy="787400"/>
                    </a:xfrm>
                    <a:prstGeom prst="rect">
                      <a:avLst/>
                    </a:prstGeom>
                  </pic:spPr>
                </pic:pic>
              </a:graphicData>
            </a:graphic>
          </wp:inline>
        </w:drawing>
      </w:r>
    </w:p>
    <w:p w14:paraId="198BCB12" w14:textId="6CDF88CD" w:rsidR="00C3409A" w:rsidRDefault="00C3409A" w:rsidP="00C3409A">
      <w:pPr>
        <w:pStyle w:val="DHHSbody"/>
      </w:pPr>
      <w:r>
        <w:t>Dr</w:t>
      </w:r>
      <w:r w:rsidR="001A1F90">
        <w:t xml:space="preserve"> </w:t>
      </w:r>
      <w:r>
        <w:t>Frank</w:t>
      </w:r>
      <w:r w:rsidR="001A1F90">
        <w:t xml:space="preserve"> </w:t>
      </w:r>
      <w:r>
        <w:t>Lambrick</w:t>
      </w:r>
      <w:r>
        <w:br/>
        <w:t>Senior</w:t>
      </w:r>
      <w:r w:rsidR="001A1F90">
        <w:t xml:space="preserve"> </w:t>
      </w:r>
      <w:r>
        <w:t>Practitioner</w:t>
      </w:r>
      <w:r w:rsidR="001A1F90">
        <w:t xml:space="preserve"> </w:t>
      </w:r>
      <w:r>
        <w:t>–</w:t>
      </w:r>
      <w:r w:rsidR="001A1F90">
        <w:t xml:space="preserve"> </w:t>
      </w:r>
      <w:r>
        <w:t>Disability</w:t>
      </w:r>
      <w:r>
        <w:br/>
        <w:t>Office</w:t>
      </w:r>
      <w:r w:rsidR="001A1F90">
        <w:t xml:space="preserve"> </w:t>
      </w:r>
      <w:r>
        <w:t>of</w:t>
      </w:r>
      <w:r w:rsidR="001A1F90">
        <w:t xml:space="preserve"> </w:t>
      </w:r>
      <w:r>
        <w:t>Professional</w:t>
      </w:r>
      <w:r w:rsidR="001A1F90">
        <w:t xml:space="preserve"> </w:t>
      </w:r>
      <w:r>
        <w:t>Practice</w:t>
      </w:r>
      <w:r>
        <w:br/>
        <w:t>Department</w:t>
      </w:r>
      <w:r w:rsidR="001A1F90">
        <w:t xml:space="preserve"> </w:t>
      </w:r>
      <w:r>
        <w:t>of</w:t>
      </w:r>
      <w:r w:rsidR="001A1F90">
        <w:t xml:space="preserve"> </w:t>
      </w:r>
      <w:r w:rsidR="00CF51E4">
        <w:t xml:space="preserve">Health and </w:t>
      </w:r>
      <w:r>
        <w:t>Human</w:t>
      </w:r>
      <w:r w:rsidR="001A1F90">
        <w:t xml:space="preserve"> </w:t>
      </w:r>
      <w:r>
        <w:t>Services</w:t>
      </w:r>
    </w:p>
    <w:p w14:paraId="7541EFE5" w14:textId="7D9D079E" w:rsidR="00C3409A" w:rsidRPr="00C3409A" w:rsidRDefault="00C3409A" w:rsidP="00C3409A">
      <w:pPr>
        <w:pStyle w:val="DHHSbody"/>
      </w:pPr>
      <w:r w:rsidRPr="00C3409A">
        <w:lastRenderedPageBreak/>
        <w:br w:type="page"/>
      </w:r>
    </w:p>
    <w:p w14:paraId="2C01EC9E" w14:textId="22FA3EA4" w:rsidR="00AC0C3B" w:rsidRPr="00711B0C" w:rsidRDefault="00AC0C3B" w:rsidP="007A665D">
      <w:pPr>
        <w:pStyle w:val="DHHSTOCheadingreport"/>
      </w:pPr>
      <w:r w:rsidRPr="00711B0C">
        <w:lastRenderedPageBreak/>
        <w:t>Contents</w:t>
      </w:r>
    </w:p>
    <w:p w14:paraId="5D9D0C16" w14:textId="0FA89C27" w:rsidR="00DF6FCA" w:rsidRDefault="00E15DA9">
      <w:pPr>
        <w:pStyle w:val="TOC1"/>
        <w:rPr>
          <w:rFonts w:asciiTheme="minorHAnsi" w:eastAsiaTheme="minorEastAsia" w:hAnsiTheme="minorHAnsi" w:cstheme="minorBidi"/>
          <w:b w:val="0"/>
          <w:sz w:val="22"/>
          <w:szCs w:val="22"/>
          <w:lang w:eastAsia="en-AU"/>
        </w:rPr>
      </w:pPr>
      <w:r w:rsidRPr="003072C6">
        <w:rPr>
          <w:noProof w:val="0"/>
        </w:rPr>
        <w:fldChar w:fldCharType="begin"/>
      </w:r>
      <w:r w:rsidRPr="003072C6">
        <w:rPr>
          <w:noProof w:val="0"/>
        </w:rPr>
        <w:instrText xml:space="preserve"> TOC \h \z \t "Heading 1,1,Heading 2,2" </w:instrText>
      </w:r>
      <w:r w:rsidRPr="003072C6">
        <w:rPr>
          <w:noProof w:val="0"/>
        </w:rPr>
        <w:fldChar w:fldCharType="separate"/>
      </w:r>
      <w:hyperlink w:anchor="_Toc20225589" w:history="1">
        <w:r w:rsidR="00DF6FCA" w:rsidRPr="00AF21DF">
          <w:rPr>
            <w:rStyle w:val="Hyperlink"/>
          </w:rPr>
          <w:t>Foreword</w:t>
        </w:r>
        <w:r w:rsidR="00DF6FCA">
          <w:rPr>
            <w:webHidden/>
          </w:rPr>
          <w:tab/>
        </w:r>
        <w:r w:rsidR="00DF6FCA">
          <w:rPr>
            <w:webHidden/>
          </w:rPr>
          <w:fldChar w:fldCharType="begin"/>
        </w:r>
        <w:r w:rsidR="00DF6FCA">
          <w:rPr>
            <w:webHidden/>
          </w:rPr>
          <w:instrText xml:space="preserve"> PAGEREF _Toc20225589 \h </w:instrText>
        </w:r>
        <w:r w:rsidR="00DF6FCA">
          <w:rPr>
            <w:webHidden/>
          </w:rPr>
        </w:r>
        <w:r w:rsidR="00DF6FCA">
          <w:rPr>
            <w:webHidden/>
          </w:rPr>
          <w:fldChar w:fldCharType="separate"/>
        </w:r>
        <w:r w:rsidR="003F5143">
          <w:rPr>
            <w:webHidden/>
          </w:rPr>
          <w:t>3</w:t>
        </w:r>
        <w:r w:rsidR="00DF6FCA">
          <w:rPr>
            <w:webHidden/>
          </w:rPr>
          <w:fldChar w:fldCharType="end"/>
        </w:r>
      </w:hyperlink>
    </w:p>
    <w:p w14:paraId="6CE5904A" w14:textId="7A9991DA" w:rsidR="00DF6FCA" w:rsidRDefault="00FF401C">
      <w:pPr>
        <w:pStyle w:val="TOC1"/>
        <w:rPr>
          <w:rFonts w:asciiTheme="minorHAnsi" w:eastAsiaTheme="minorEastAsia" w:hAnsiTheme="minorHAnsi" w:cstheme="minorBidi"/>
          <w:b w:val="0"/>
          <w:sz w:val="22"/>
          <w:szCs w:val="22"/>
          <w:lang w:eastAsia="en-AU"/>
        </w:rPr>
      </w:pPr>
      <w:hyperlink w:anchor="_Toc20225590" w:history="1">
        <w:r w:rsidR="00DF6FCA" w:rsidRPr="00AF21DF">
          <w:rPr>
            <w:rStyle w:val="Hyperlink"/>
          </w:rPr>
          <w:t>Introduction</w:t>
        </w:r>
        <w:r w:rsidR="00DF6FCA">
          <w:rPr>
            <w:webHidden/>
          </w:rPr>
          <w:tab/>
        </w:r>
        <w:r w:rsidR="00DF6FCA">
          <w:rPr>
            <w:webHidden/>
          </w:rPr>
          <w:fldChar w:fldCharType="begin"/>
        </w:r>
        <w:r w:rsidR="00DF6FCA">
          <w:rPr>
            <w:webHidden/>
          </w:rPr>
          <w:instrText xml:space="preserve"> PAGEREF _Toc20225590 \h </w:instrText>
        </w:r>
        <w:r w:rsidR="00DF6FCA">
          <w:rPr>
            <w:webHidden/>
          </w:rPr>
        </w:r>
        <w:r w:rsidR="00DF6FCA">
          <w:rPr>
            <w:webHidden/>
          </w:rPr>
          <w:fldChar w:fldCharType="separate"/>
        </w:r>
        <w:r w:rsidR="003F5143">
          <w:rPr>
            <w:webHidden/>
          </w:rPr>
          <w:t>7</w:t>
        </w:r>
        <w:r w:rsidR="00DF6FCA">
          <w:rPr>
            <w:webHidden/>
          </w:rPr>
          <w:fldChar w:fldCharType="end"/>
        </w:r>
      </w:hyperlink>
    </w:p>
    <w:p w14:paraId="3DDD6117" w14:textId="268606F9" w:rsidR="00DF6FCA" w:rsidRDefault="00FF401C">
      <w:pPr>
        <w:pStyle w:val="TOC2"/>
        <w:rPr>
          <w:rFonts w:asciiTheme="minorHAnsi" w:eastAsiaTheme="minorEastAsia" w:hAnsiTheme="minorHAnsi" w:cstheme="minorBidi"/>
          <w:sz w:val="22"/>
          <w:szCs w:val="22"/>
          <w:lang w:eastAsia="en-AU"/>
        </w:rPr>
      </w:pPr>
      <w:hyperlink w:anchor="_Toc20225591" w:history="1">
        <w:r w:rsidR="00DF6FCA" w:rsidRPr="00AF21DF">
          <w:rPr>
            <w:rStyle w:val="Hyperlink"/>
          </w:rPr>
          <w:t>Treatment options</w:t>
        </w:r>
        <w:r w:rsidR="00DF6FCA">
          <w:rPr>
            <w:webHidden/>
          </w:rPr>
          <w:tab/>
        </w:r>
        <w:r w:rsidR="00DF6FCA">
          <w:rPr>
            <w:webHidden/>
          </w:rPr>
          <w:fldChar w:fldCharType="begin"/>
        </w:r>
        <w:r w:rsidR="00DF6FCA">
          <w:rPr>
            <w:webHidden/>
          </w:rPr>
          <w:instrText xml:space="preserve"> PAGEREF _Toc20225591 \h </w:instrText>
        </w:r>
        <w:r w:rsidR="00DF6FCA">
          <w:rPr>
            <w:webHidden/>
          </w:rPr>
        </w:r>
        <w:r w:rsidR="00DF6FCA">
          <w:rPr>
            <w:webHidden/>
          </w:rPr>
          <w:fldChar w:fldCharType="separate"/>
        </w:r>
        <w:r w:rsidR="003F5143">
          <w:rPr>
            <w:webHidden/>
          </w:rPr>
          <w:t>7</w:t>
        </w:r>
        <w:r w:rsidR="00DF6FCA">
          <w:rPr>
            <w:webHidden/>
          </w:rPr>
          <w:fldChar w:fldCharType="end"/>
        </w:r>
      </w:hyperlink>
    </w:p>
    <w:p w14:paraId="70E29315" w14:textId="41F443B7" w:rsidR="00DF6FCA" w:rsidRDefault="00FF401C">
      <w:pPr>
        <w:pStyle w:val="TOC2"/>
        <w:rPr>
          <w:rFonts w:asciiTheme="minorHAnsi" w:eastAsiaTheme="minorEastAsia" w:hAnsiTheme="minorHAnsi" w:cstheme="minorBidi"/>
          <w:sz w:val="22"/>
          <w:szCs w:val="22"/>
          <w:lang w:eastAsia="en-AU"/>
        </w:rPr>
      </w:pPr>
      <w:hyperlink w:anchor="_Toc20225592" w:history="1">
        <w:r w:rsidR="00DF6FCA" w:rsidRPr="00AF21DF">
          <w:rPr>
            <w:rStyle w:val="Hyperlink"/>
          </w:rPr>
          <w:t>Potential for side effects</w:t>
        </w:r>
        <w:r w:rsidR="00DF6FCA">
          <w:rPr>
            <w:webHidden/>
          </w:rPr>
          <w:tab/>
        </w:r>
        <w:r w:rsidR="00DF6FCA">
          <w:rPr>
            <w:webHidden/>
          </w:rPr>
          <w:fldChar w:fldCharType="begin"/>
        </w:r>
        <w:r w:rsidR="00DF6FCA">
          <w:rPr>
            <w:webHidden/>
          </w:rPr>
          <w:instrText xml:space="preserve"> PAGEREF _Toc20225592 \h </w:instrText>
        </w:r>
        <w:r w:rsidR="00DF6FCA">
          <w:rPr>
            <w:webHidden/>
          </w:rPr>
        </w:r>
        <w:r w:rsidR="00DF6FCA">
          <w:rPr>
            <w:webHidden/>
          </w:rPr>
          <w:fldChar w:fldCharType="separate"/>
        </w:r>
        <w:r w:rsidR="003F5143">
          <w:rPr>
            <w:webHidden/>
          </w:rPr>
          <w:t>9</w:t>
        </w:r>
        <w:r w:rsidR="00DF6FCA">
          <w:rPr>
            <w:webHidden/>
          </w:rPr>
          <w:fldChar w:fldCharType="end"/>
        </w:r>
      </w:hyperlink>
    </w:p>
    <w:p w14:paraId="3F3183C4" w14:textId="3B6C7A93" w:rsidR="00DF6FCA" w:rsidRDefault="00FF401C">
      <w:pPr>
        <w:pStyle w:val="TOC2"/>
        <w:rPr>
          <w:rFonts w:asciiTheme="minorHAnsi" w:eastAsiaTheme="minorEastAsia" w:hAnsiTheme="minorHAnsi" w:cstheme="minorBidi"/>
          <w:sz w:val="22"/>
          <w:szCs w:val="22"/>
          <w:lang w:eastAsia="en-AU"/>
        </w:rPr>
      </w:pPr>
      <w:hyperlink w:anchor="_Toc20225593" w:history="1">
        <w:r w:rsidR="00DF6FCA" w:rsidRPr="00AF21DF">
          <w:rPr>
            <w:rStyle w:val="Hyperlink"/>
          </w:rPr>
          <w:t>Status quo</w:t>
        </w:r>
        <w:r w:rsidR="00DF6FCA">
          <w:rPr>
            <w:webHidden/>
          </w:rPr>
          <w:tab/>
        </w:r>
        <w:r w:rsidR="00DF6FCA">
          <w:rPr>
            <w:webHidden/>
          </w:rPr>
          <w:fldChar w:fldCharType="begin"/>
        </w:r>
        <w:r w:rsidR="00DF6FCA">
          <w:rPr>
            <w:webHidden/>
          </w:rPr>
          <w:instrText xml:space="preserve"> PAGEREF _Toc20225593 \h </w:instrText>
        </w:r>
        <w:r w:rsidR="00DF6FCA">
          <w:rPr>
            <w:webHidden/>
          </w:rPr>
        </w:r>
        <w:r w:rsidR="00DF6FCA">
          <w:rPr>
            <w:webHidden/>
          </w:rPr>
          <w:fldChar w:fldCharType="separate"/>
        </w:r>
        <w:r w:rsidR="003F5143">
          <w:rPr>
            <w:webHidden/>
          </w:rPr>
          <w:t>10</w:t>
        </w:r>
        <w:r w:rsidR="00DF6FCA">
          <w:rPr>
            <w:webHidden/>
          </w:rPr>
          <w:fldChar w:fldCharType="end"/>
        </w:r>
      </w:hyperlink>
    </w:p>
    <w:p w14:paraId="6998C8D9" w14:textId="29DA2127" w:rsidR="00DF6FCA" w:rsidRDefault="00FF401C">
      <w:pPr>
        <w:pStyle w:val="TOC2"/>
        <w:rPr>
          <w:rFonts w:asciiTheme="minorHAnsi" w:eastAsiaTheme="minorEastAsia" w:hAnsiTheme="minorHAnsi" w:cstheme="minorBidi"/>
          <w:sz w:val="22"/>
          <w:szCs w:val="22"/>
          <w:lang w:eastAsia="en-AU"/>
        </w:rPr>
      </w:pPr>
      <w:hyperlink w:anchor="_Toc20225594" w:history="1">
        <w:r w:rsidR="00DF6FCA" w:rsidRPr="00AF21DF">
          <w:rPr>
            <w:rStyle w:val="Hyperlink"/>
          </w:rPr>
          <w:t>Rationale for current consultation</w:t>
        </w:r>
        <w:r w:rsidR="00DF6FCA">
          <w:rPr>
            <w:webHidden/>
          </w:rPr>
          <w:tab/>
        </w:r>
        <w:r w:rsidR="00DF6FCA">
          <w:rPr>
            <w:webHidden/>
          </w:rPr>
          <w:fldChar w:fldCharType="begin"/>
        </w:r>
        <w:r w:rsidR="00DF6FCA">
          <w:rPr>
            <w:webHidden/>
          </w:rPr>
          <w:instrText xml:space="preserve"> PAGEREF _Toc20225594 \h </w:instrText>
        </w:r>
        <w:r w:rsidR="00DF6FCA">
          <w:rPr>
            <w:webHidden/>
          </w:rPr>
        </w:r>
        <w:r w:rsidR="00DF6FCA">
          <w:rPr>
            <w:webHidden/>
          </w:rPr>
          <w:fldChar w:fldCharType="separate"/>
        </w:r>
        <w:r w:rsidR="003F5143">
          <w:rPr>
            <w:webHidden/>
          </w:rPr>
          <w:t>10</w:t>
        </w:r>
        <w:r w:rsidR="00DF6FCA">
          <w:rPr>
            <w:webHidden/>
          </w:rPr>
          <w:fldChar w:fldCharType="end"/>
        </w:r>
      </w:hyperlink>
    </w:p>
    <w:p w14:paraId="255E1416" w14:textId="1546675C" w:rsidR="00DF6FCA" w:rsidRDefault="00FF401C">
      <w:pPr>
        <w:pStyle w:val="TOC1"/>
        <w:rPr>
          <w:rFonts w:asciiTheme="minorHAnsi" w:eastAsiaTheme="minorEastAsia" w:hAnsiTheme="minorHAnsi" w:cstheme="minorBidi"/>
          <w:b w:val="0"/>
          <w:sz w:val="22"/>
          <w:szCs w:val="22"/>
          <w:lang w:eastAsia="en-AU"/>
        </w:rPr>
      </w:pPr>
      <w:hyperlink w:anchor="_Toc20225595" w:history="1">
        <w:r w:rsidR="00DF6FCA" w:rsidRPr="00AF21DF">
          <w:rPr>
            <w:rStyle w:val="Hyperlink"/>
          </w:rPr>
          <w:t>1. Available guidelines</w:t>
        </w:r>
        <w:r w:rsidR="00DF6FCA">
          <w:rPr>
            <w:webHidden/>
          </w:rPr>
          <w:tab/>
        </w:r>
        <w:r w:rsidR="00DF6FCA">
          <w:rPr>
            <w:webHidden/>
          </w:rPr>
          <w:fldChar w:fldCharType="begin"/>
        </w:r>
        <w:r w:rsidR="00DF6FCA">
          <w:rPr>
            <w:webHidden/>
          </w:rPr>
          <w:instrText xml:space="preserve"> PAGEREF _Toc20225595 \h </w:instrText>
        </w:r>
        <w:r w:rsidR="00DF6FCA">
          <w:rPr>
            <w:webHidden/>
          </w:rPr>
        </w:r>
        <w:r w:rsidR="00DF6FCA">
          <w:rPr>
            <w:webHidden/>
          </w:rPr>
          <w:fldChar w:fldCharType="separate"/>
        </w:r>
        <w:r w:rsidR="003F5143">
          <w:rPr>
            <w:webHidden/>
          </w:rPr>
          <w:t>11</w:t>
        </w:r>
        <w:r w:rsidR="00DF6FCA">
          <w:rPr>
            <w:webHidden/>
          </w:rPr>
          <w:fldChar w:fldCharType="end"/>
        </w:r>
      </w:hyperlink>
    </w:p>
    <w:p w14:paraId="25354F02" w14:textId="17318108" w:rsidR="00DF6FCA" w:rsidRDefault="00FF401C">
      <w:pPr>
        <w:pStyle w:val="TOC2"/>
        <w:rPr>
          <w:rFonts w:asciiTheme="minorHAnsi" w:eastAsiaTheme="minorEastAsia" w:hAnsiTheme="minorHAnsi" w:cstheme="minorBidi"/>
          <w:sz w:val="22"/>
          <w:szCs w:val="22"/>
          <w:lang w:eastAsia="en-AU"/>
        </w:rPr>
      </w:pPr>
      <w:hyperlink w:anchor="_Toc20225596" w:history="1">
        <w:r w:rsidR="00DF6FCA" w:rsidRPr="00AF21DF">
          <w:rPr>
            <w:rStyle w:val="Hyperlink"/>
          </w:rPr>
          <w:t>Bone health and metabolic health for patients who are receiving androgen deprivation therapy</w:t>
        </w:r>
        <w:r w:rsidR="00DF6FCA">
          <w:rPr>
            <w:webHidden/>
          </w:rPr>
          <w:tab/>
        </w:r>
        <w:r w:rsidR="00DF6FCA">
          <w:rPr>
            <w:webHidden/>
          </w:rPr>
          <w:fldChar w:fldCharType="begin"/>
        </w:r>
        <w:r w:rsidR="00DF6FCA">
          <w:rPr>
            <w:webHidden/>
          </w:rPr>
          <w:instrText xml:space="preserve"> PAGEREF _Toc20225596 \h </w:instrText>
        </w:r>
        <w:r w:rsidR="00DF6FCA">
          <w:rPr>
            <w:webHidden/>
          </w:rPr>
        </w:r>
        <w:r w:rsidR="00DF6FCA">
          <w:rPr>
            <w:webHidden/>
          </w:rPr>
          <w:fldChar w:fldCharType="separate"/>
        </w:r>
        <w:r w:rsidR="003F5143">
          <w:rPr>
            <w:webHidden/>
          </w:rPr>
          <w:t>11</w:t>
        </w:r>
        <w:r w:rsidR="00DF6FCA">
          <w:rPr>
            <w:webHidden/>
          </w:rPr>
          <w:fldChar w:fldCharType="end"/>
        </w:r>
      </w:hyperlink>
    </w:p>
    <w:p w14:paraId="0924D05A" w14:textId="5A10307C" w:rsidR="00DF6FCA" w:rsidRDefault="00FF401C">
      <w:pPr>
        <w:pStyle w:val="TOC2"/>
        <w:rPr>
          <w:rFonts w:asciiTheme="minorHAnsi" w:eastAsiaTheme="minorEastAsia" w:hAnsiTheme="minorHAnsi" w:cstheme="minorBidi"/>
          <w:sz w:val="22"/>
          <w:szCs w:val="22"/>
          <w:lang w:eastAsia="en-AU"/>
        </w:rPr>
      </w:pPr>
      <w:hyperlink w:anchor="_Toc20225597" w:history="1">
        <w:r w:rsidR="00DF6FCA" w:rsidRPr="00AF21DF">
          <w:rPr>
            <w:rStyle w:val="Hyperlink"/>
          </w:rPr>
          <w:t>World Federation of Societies of Biological Psychiatry (WFSBP) guidelines for the biological treatment of paraphilias</w:t>
        </w:r>
        <w:r w:rsidR="00DF6FCA">
          <w:rPr>
            <w:webHidden/>
          </w:rPr>
          <w:tab/>
        </w:r>
        <w:r w:rsidR="00DF6FCA">
          <w:rPr>
            <w:webHidden/>
          </w:rPr>
          <w:fldChar w:fldCharType="begin"/>
        </w:r>
        <w:r w:rsidR="00DF6FCA">
          <w:rPr>
            <w:webHidden/>
          </w:rPr>
          <w:instrText xml:space="preserve"> PAGEREF _Toc20225597 \h </w:instrText>
        </w:r>
        <w:r w:rsidR="00DF6FCA">
          <w:rPr>
            <w:webHidden/>
          </w:rPr>
        </w:r>
        <w:r w:rsidR="00DF6FCA">
          <w:rPr>
            <w:webHidden/>
          </w:rPr>
          <w:fldChar w:fldCharType="separate"/>
        </w:r>
        <w:r w:rsidR="003F5143">
          <w:rPr>
            <w:webHidden/>
          </w:rPr>
          <w:t>11</w:t>
        </w:r>
        <w:r w:rsidR="00DF6FCA">
          <w:rPr>
            <w:webHidden/>
          </w:rPr>
          <w:fldChar w:fldCharType="end"/>
        </w:r>
      </w:hyperlink>
    </w:p>
    <w:p w14:paraId="6459D141" w14:textId="6619DF5A" w:rsidR="00DF6FCA" w:rsidRDefault="00FF401C">
      <w:pPr>
        <w:pStyle w:val="TOC1"/>
        <w:rPr>
          <w:rFonts w:asciiTheme="minorHAnsi" w:eastAsiaTheme="minorEastAsia" w:hAnsiTheme="minorHAnsi" w:cstheme="minorBidi"/>
          <w:b w:val="0"/>
          <w:sz w:val="22"/>
          <w:szCs w:val="22"/>
          <w:lang w:eastAsia="en-AU"/>
        </w:rPr>
      </w:pPr>
      <w:hyperlink w:anchor="_Toc20225598" w:history="1">
        <w:r w:rsidR="00DF6FCA" w:rsidRPr="00AF21DF">
          <w:rPr>
            <w:rStyle w:val="Hyperlink"/>
          </w:rPr>
          <w:t>2. Methodology</w:t>
        </w:r>
        <w:r w:rsidR="00DF6FCA">
          <w:rPr>
            <w:webHidden/>
          </w:rPr>
          <w:tab/>
        </w:r>
        <w:r w:rsidR="00DF6FCA">
          <w:rPr>
            <w:webHidden/>
          </w:rPr>
          <w:fldChar w:fldCharType="begin"/>
        </w:r>
        <w:r w:rsidR="00DF6FCA">
          <w:rPr>
            <w:webHidden/>
          </w:rPr>
          <w:instrText xml:space="preserve"> PAGEREF _Toc20225598 \h </w:instrText>
        </w:r>
        <w:r w:rsidR="00DF6FCA">
          <w:rPr>
            <w:webHidden/>
          </w:rPr>
        </w:r>
        <w:r w:rsidR="00DF6FCA">
          <w:rPr>
            <w:webHidden/>
          </w:rPr>
          <w:fldChar w:fldCharType="separate"/>
        </w:r>
        <w:r w:rsidR="003F5143">
          <w:rPr>
            <w:webHidden/>
          </w:rPr>
          <w:t>16</w:t>
        </w:r>
        <w:r w:rsidR="00DF6FCA">
          <w:rPr>
            <w:webHidden/>
          </w:rPr>
          <w:fldChar w:fldCharType="end"/>
        </w:r>
      </w:hyperlink>
    </w:p>
    <w:p w14:paraId="64BD8C2B" w14:textId="06F33194" w:rsidR="00DF6FCA" w:rsidRDefault="00FF401C">
      <w:pPr>
        <w:pStyle w:val="TOC1"/>
        <w:rPr>
          <w:rFonts w:asciiTheme="minorHAnsi" w:eastAsiaTheme="minorEastAsia" w:hAnsiTheme="minorHAnsi" w:cstheme="minorBidi"/>
          <w:b w:val="0"/>
          <w:sz w:val="22"/>
          <w:szCs w:val="22"/>
          <w:lang w:eastAsia="en-AU"/>
        </w:rPr>
      </w:pPr>
      <w:hyperlink w:anchor="_Toc20225599" w:history="1">
        <w:r w:rsidR="00DF6FCA" w:rsidRPr="00AF21DF">
          <w:rPr>
            <w:rStyle w:val="Hyperlink"/>
          </w:rPr>
          <w:t>3. Results</w:t>
        </w:r>
        <w:r w:rsidR="00DF6FCA">
          <w:rPr>
            <w:webHidden/>
          </w:rPr>
          <w:tab/>
        </w:r>
        <w:r w:rsidR="00DF6FCA">
          <w:rPr>
            <w:webHidden/>
          </w:rPr>
          <w:fldChar w:fldCharType="begin"/>
        </w:r>
        <w:r w:rsidR="00DF6FCA">
          <w:rPr>
            <w:webHidden/>
          </w:rPr>
          <w:instrText xml:space="preserve"> PAGEREF _Toc20225599 \h </w:instrText>
        </w:r>
        <w:r w:rsidR="00DF6FCA">
          <w:rPr>
            <w:webHidden/>
          </w:rPr>
        </w:r>
        <w:r w:rsidR="00DF6FCA">
          <w:rPr>
            <w:webHidden/>
          </w:rPr>
          <w:fldChar w:fldCharType="separate"/>
        </w:r>
        <w:r w:rsidR="003F5143">
          <w:rPr>
            <w:webHidden/>
          </w:rPr>
          <w:t>18</w:t>
        </w:r>
        <w:r w:rsidR="00DF6FCA">
          <w:rPr>
            <w:webHidden/>
          </w:rPr>
          <w:fldChar w:fldCharType="end"/>
        </w:r>
      </w:hyperlink>
    </w:p>
    <w:p w14:paraId="56B73A7E" w14:textId="68947423" w:rsidR="00DF6FCA" w:rsidRDefault="00FF401C">
      <w:pPr>
        <w:pStyle w:val="TOC2"/>
        <w:rPr>
          <w:rFonts w:asciiTheme="minorHAnsi" w:eastAsiaTheme="minorEastAsia" w:hAnsiTheme="minorHAnsi" w:cstheme="minorBidi"/>
          <w:sz w:val="22"/>
          <w:szCs w:val="22"/>
          <w:lang w:eastAsia="en-AU"/>
        </w:rPr>
      </w:pPr>
      <w:hyperlink w:anchor="_Toc20225600" w:history="1">
        <w:r w:rsidR="00DF6FCA" w:rsidRPr="00AF21DF">
          <w:rPr>
            <w:rStyle w:val="Hyperlink"/>
          </w:rPr>
          <w:t>Legislative framework and commonality of use</w:t>
        </w:r>
        <w:r w:rsidR="00DF6FCA">
          <w:rPr>
            <w:webHidden/>
          </w:rPr>
          <w:tab/>
        </w:r>
        <w:r w:rsidR="00DF6FCA">
          <w:rPr>
            <w:webHidden/>
          </w:rPr>
          <w:fldChar w:fldCharType="begin"/>
        </w:r>
        <w:r w:rsidR="00DF6FCA">
          <w:rPr>
            <w:webHidden/>
          </w:rPr>
          <w:instrText xml:space="preserve"> PAGEREF _Toc20225600 \h </w:instrText>
        </w:r>
        <w:r w:rsidR="00DF6FCA">
          <w:rPr>
            <w:webHidden/>
          </w:rPr>
        </w:r>
        <w:r w:rsidR="00DF6FCA">
          <w:rPr>
            <w:webHidden/>
          </w:rPr>
          <w:fldChar w:fldCharType="separate"/>
        </w:r>
        <w:r w:rsidR="003F5143">
          <w:rPr>
            <w:webHidden/>
          </w:rPr>
          <w:t>18</w:t>
        </w:r>
        <w:r w:rsidR="00DF6FCA">
          <w:rPr>
            <w:webHidden/>
          </w:rPr>
          <w:fldChar w:fldCharType="end"/>
        </w:r>
      </w:hyperlink>
    </w:p>
    <w:p w14:paraId="4E4BCAB1" w14:textId="0B16A637" w:rsidR="00DF6FCA" w:rsidRDefault="00FF401C">
      <w:pPr>
        <w:pStyle w:val="TOC2"/>
        <w:rPr>
          <w:rFonts w:asciiTheme="minorHAnsi" w:eastAsiaTheme="minorEastAsia" w:hAnsiTheme="minorHAnsi" w:cstheme="minorBidi"/>
          <w:sz w:val="22"/>
          <w:szCs w:val="22"/>
          <w:lang w:eastAsia="en-AU"/>
        </w:rPr>
      </w:pPr>
      <w:hyperlink w:anchor="_Toc20225601" w:history="1">
        <w:r w:rsidR="00DF6FCA" w:rsidRPr="00AF21DF">
          <w:rPr>
            <w:rStyle w:val="Hyperlink"/>
          </w:rPr>
          <w:t>Indications for use of anti-libidinal treatments</w:t>
        </w:r>
        <w:r w:rsidR="00DF6FCA">
          <w:rPr>
            <w:webHidden/>
          </w:rPr>
          <w:tab/>
        </w:r>
        <w:r w:rsidR="00DF6FCA">
          <w:rPr>
            <w:webHidden/>
          </w:rPr>
          <w:fldChar w:fldCharType="begin"/>
        </w:r>
        <w:r w:rsidR="00DF6FCA">
          <w:rPr>
            <w:webHidden/>
          </w:rPr>
          <w:instrText xml:space="preserve"> PAGEREF _Toc20225601 \h </w:instrText>
        </w:r>
        <w:r w:rsidR="00DF6FCA">
          <w:rPr>
            <w:webHidden/>
          </w:rPr>
        </w:r>
        <w:r w:rsidR="00DF6FCA">
          <w:rPr>
            <w:webHidden/>
          </w:rPr>
          <w:fldChar w:fldCharType="separate"/>
        </w:r>
        <w:r w:rsidR="003F5143">
          <w:rPr>
            <w:webHidden/>
          </w:rPr>
          <w:t>18</w:t>
        </w:r>
        <w:r w:rsidR="00DF6FCA">
          <w:rPr>
            <w:webHidden/>
          </w:rPr>
          <w:fldChar w:fldCharType="end"/>
        </w:r>
      </w:hyperlink>
    </w:p>
    <w:p w14:paraId="4CABB6C0" w14:textId="4D963AFC" w:rsidR="00DF6FCA" w:rsidRDefault="00FF401C">
      <w:pPr>
        <w:pStyle w:val="TOC2"/>
        <w:rPr>
          <w:rFonts w:asciiTheme="minorHAnsi" w:eastAsiaTheme="minorEastAsia" w:hAnsiTheme="minorHAnsi" w:cstheme="minorBidi"/>
          <w:sz w:val="22"/>
          <w:szCs w:val="22"/>
          <w:lang w:eastAsia="en-AU"/>
        </w:rPr>
      </w:pPr>
      <w:hyperlink w:anchor="_Toc20225602" w:history="1">
        <w:r w:rsidR="00DF6FCA" w:rsidRPr="00AF21DF">
          <w:rPr>
            <w:rStyle w:val="Hyperlink"/>
          </w:rPr>
          <w:t>Recommendations regarding the existing WFSBP guidelines</w:t>
        </w:r>
        <w:r w:rsidR="00DF6FCA">
          <w:rPr>
            <w:webHidden/>
          </w:rPr>
          <w:tab/>
        </w:r>
        <w:r w:rsidR="00DF6FCA">
          <w:rPr>
            <w:webHidden/>
          </w:rPr>
          <w:fldChar w:fldCharType="begin"/>
        </w:r>
        <w:r w:rsidR="00DF6FCA">
          <w:rPr>
            <w:webHidden/>
          </w:rPr>
          <w:instrText xml:space="preserve"> PAGEREF _Toc20225602 \h </w:instrText>
        </w:r>
        <w:r w:rsidR="00DF6FCA">
          <w:rPr>
            <w:webHidden/>
          </w:rPr>
        </w:r>
        <w:r w:rsidR="00DF6FCA">
          <w:rPr>
            <w:webHidden/>
          </w:rPr>
          <w:fldChar w:fldCharType="separate"/>
        </w:r>
        <w:r w:rsidR="003F5143">
          <w:rPr>
            <w:webHidden/>
          </w:rPr>
          <w:t>18</w:t>
        </w:r>
        <w:r w:rsidR="00DF6FCA">
          <w:rPr>
            <w:webHidden/>
          </w:rPr>
          <w:fldChar w:fldCharType="end"/>
        </w:r>
      </w:hyperlink>
    </w:p>
    <w:p w14:paraId="728EC468" w14:textId="46F51640" w:rsidR="00DF6FCA" w:rsidRDefault="00FF401C">
      <w:pPr>
        <w:pStyle w:val="TOC2"/>
        <w:rPr>
          <w:rFonts w:asciiTheme="minorHAnsi" w:eastAsiaTheme="minorEastAsia" w:hAnsiTheme="minorHAnsi" w:cstheme="minorBidi"/>
          <w:sz w:val="22"/>
          <w:szCs w:val="22"/>
          <w:lang w:eastAsia="en-AU"/>
        </w:rPr>
      </w:pPr>
      <w:hyperlink w:anchor="_Toc20225603" w:history="1">
        <w:r w:rsidR="00DF6FCA" w:rsidRPr="00AF21DF">
          <w:rPr>
            <w:rStyle w:val="Hyperlink"/>
          </w:rPr>
          <w:t>The issue of informed consent</w:t>
        </w:r>
        <w:r w:rsidR="00DF6FCA">
          <w:rPr>
            <w:webHidden/>
          </w:rPr>
          <w:tab/>
        </w:r>
        <w:r w:rsidR="00DF6FCA">
          <w:rPr>
            <w:webHidden/>
          </w:rPr>
          <w:fldChar w:fldCharType="begin"/>
        </w:r>
        <w:r w:rsidR="00DF6FCA">
          <w:rPr>
            <w:webHidden/>
          </w:rPr>
          <w:instrText xml:space="preserve"> PAGEREF _Toc20225603 \h </w:instrText>
        </w:r>
        <w:r w:rsidR="00DF6FCA">
          <w:rPr>
            <w:webHidden/>
          </w:rPr>
        </w:r>
        <w:r w:rsidR="00DF6FCA">
          <w:rPr>
            <w:webHidden/>
          </w:rPr>
          <w:fldChar w:fldCharType="separate"/>
        </w:r>
        <w:r w:rsidR="003F5143">
          <w:rPr>
            <w:webHidden/>
          </w:rPr>
          <w:t>19</w:t>
        </w:r>
        <w:r w:rsidR="00DF6FCA">
          <w:rPr>
            <w:webHidden/>
          </w:rPr>
          <w:fldChar w:fldCharType="end"/>
        </w:r>
      </w:hyperlink>
    </w:p>
    <w:p w14:paraId="6A11AFC2" w14:textId="0D059017" w:rsidR="00DF6FCA" w:rsidRDefault="00FF401C">
      <w:pPr>
        <w:pStyle w:val="TOC2"/>
        <w:rPr>
          <w:rFonts w:asciiTheme="minorHAnsi" w:eastAsiaTheme="minorEastAsia" w:hAnsiTheme="minorHAnsi" w:cstheme="minorBidi"/>
          <w:sz w:val="22"/>
          <w:szCs w:val="22"/>
          <w:lang w:eastAsia="en-AU"/>
        </w:rPr>
      </w:pPr>
      <w:hyperlink w:anchor="_Toc20225604" w:history="1">
        <w:r w:rsidR="00DF6FCA" w:rsidRPr="00AF21DF">
          <w:rPr>
            <w:rStyle w:val="Hyperlink"/>
          </w:rPr>
          <w:t>Recommendations arising regarding consenting procedure</w:t>
        </w:r>
        <w:r w:rsidR="00DF6FCA">
          <w:rPr>
            <w:webHidden/>
          </w:rPr>
          <w:tab/>
        </w:r>
        <w:r w:rsidR="00DF6FCA">
          <w:rPr>
            <w:webHidden/>
          </w:rPr>
          <w:fldChar w:fldCharType="begin"/>
        </w:r>
        <w:r w:rsidR="00DF6FCA">
          <w:rPr>
            <w:webHidden/>
          </w:rPr>
          <w:instrText xml:space="preserve"> PAGEREF _Toc20225604 \h </w:instrText>
        </w:r>
        <w:r w:rsidR="00DF6FCA">
          <w:rPr>
            <w:webHidden/>
          </w:rPr>
        </w:r>
        <w:r w:rsidR="00DF6FCA">
          <w:rPr>
            <w:webHidden/>
          </w:rPr>
          <w:fldChar w:fldCharType="separate"/>
        </w:r>
        <w:r w:rsidR="003F5143">
          <w:rPr>
            <w:webHidden/>
          </w:rPr>
          <w:t>20</w:t>
        </w:r>
        <w:r w:rsidR="00DF6FCA">
          <w:rPr>
            <w:webHidden/>
          </w:rPr>
          <w:fldChar w:fldCharType="end"/>
        </w:r>
      </w:hyperlink>
    </w:p>
    <w:p w14:paraId="4390878F" w14:textId="45E208D7" w:rsidR="00DF6FCA" w:rsidRDefault="00FF401C">
      <w:pPr>
        <w:pStyle w:val="TOC2"/>
        <w:rPr>
          <w:rFonts w:asciiTheme="minorHAnsi" w:eastAsiaTheme="minorEastAsia" w:hAnsiTheme="minorHAnsi" w:cstheme="minorBidi"/>
          <w:sz w:val="22"/>
          <w:szCs w:val="22"/>
          <w:lang w:eastAsia="en-AU"/>
        </w:rPr>
      </w:pPr>
      <w:hyperlink w:anchor="_Toc20225605" w:history="1">
        <w:r w:rsidR="00DF6FCA" w:rsidRPr="00AF21DF">
          <w:rPr>
            <w:rStyle w:val="Hyperlink"/>
          </w:rPr>
          <w:t>Outline for proposed oral checklist and associated score sheet</w:t>
        </w:r>
        <w:r w:rsidR="00DF6FCA">
          <w:rPr>
            <w:webHidden/>
          </w:rPr>
          <w:tab/>
        </w:r>
        <w:r w:rsidR="00DF6FCA">
          <w:rPr>
            <w:webHidden/>
          </w:rPr>
          <w:fldChar w:fldCharType="begin"/>
        </w:r>
        <w:r w:rsidR="00DF6FCA">
          <w:rPr>
            <w:webHidden/>
          </w:rPr>
          <w:instrText xml:space="preserve"> PAGEREF _Toc20225605 \h </w:instrText>
        </w:r>
        <w:r w:rsidR="00DF6FCA">
          <w:rPr>
            <w:webHidden/>
          </w:rPr>
        </w:r>
        <w:r w:rsidR="00DF6FCA">
          <w:rPr>
            <w:webHidden/>
          </w:rPr>
          <w:fldChar w:fldCharType="separate"/>
        </w:r>
        <w:r w:rsidR="003F5143">
          <w:rPr>
            <w:webHidden/>
          </w:rPr>
          <w:t>20</w:t>
        </w:r>
        <w:r w:rsidR="00DF6FCA">
          <w:rPr>
            <w:webHidden/>
          </w:rPr>
          <w:fldChar w:fldCharType="end"/>
        </w:r>
      </w:hyperlink>
    </w:p>
    <w:p w14:paraId="1AAD49E0" w14:textId="684A7A82" w:rsidR="00DF6FCA" w:rsidRDefault="00FF401C">
      <w:pPr>
        <w:pStyle w:val="TOC1"/>
        <w:rPr>
          <w:rFonts w:asciiTheme="minorHAnsi" w:eastAsiaTheme="minorEastAsia" w:hAnsiTheme="minorHAnsi" w:cstheme="minorBidi"/>
          <w:b w:val="0"/>
          <w:sz w:val="22"/>
          <w:szCs w:val="22"/>
          <w:lang w:eastAsia="en-AU"/>
        </w:rPr>
      </w:pPr>
      <w:hyperlink w:anchor="_Toc20225606" w:history="1">
        <w:r w:rsidR="00DF6FCA" w:rsidRPr="00AF21DF">
          <w:rPr>
            <w:rStyle w:val="Hyperlink"/>
          </w:rPr>
          <w:t>4. Case examples</w:t>
        </w:r>
        <w:r w:rsidR="00DF6FCA">
          <w:rPr>
            <w:webHidden/>
          </w:rPr>
          <w:tab/>
        </w:r>
        <w:r w:rsidR="00DF6FCA">
          <w:rPr>
            <w:webHidden/>
          </w:rPr>
          <w:fldChar w:fldCharType="begin"/>
        </w:r>
        <w:r w:rsidR="00DF6FCA">
          <w:rPr>
            <w:webHidden/>
          </w:rPr>
          <w:instrText xml:space="preserve"> PAGEREF _Toc20225606 \h </w:instrText>
        </w:r>
        <w:r w:rsidR="00DF6FCA">
          <w:rPr>
            <w:webHidden/>
          </w:rPr>
        </w:r>
        <w:r w:rsidR="00DF6FCA">
          <w:rPr>
            <w:webHidden/>
          </w:rPr>
          <w:fldChar w:fldCharType="separate"/>
        </w:r>
        <w:r w:rsidR="003F5143">
          <w:rPr>
            <w:webHidden/>
          </w:rPr>
          <w:t>22</w:t>
        </w:r>
        <w:r w:rsidR="00DF6FCA">
          <w:rPr>
            <w:webHidden/>
          </w:rPr>
          <w:fldChar w:fldCharType="end"/>
        </w:r>
      </w:hyperlink>
    </w:p>
    <w:p w14:paraId="04F7D073" w14:textId="4EDD4050" w:rsidR="00DF6FCA" w:rsidRDefault="00FF401C">
      <w:pPr>
        <w:pStyle w:val="TOC2"/>
        <w:rPr>
          <w:rFonts w:asciiTheme="minorHAnsi" w:eastAsiaTheme="minorEastAsia" w:hAnsiTheme="minorHAnsi" w:cstheme="minorBidi"/>
          <w:sz w:val="22"/>
          <w:szCs w:val="22"/>
          <w:lang w:eastAsia="en-AU"/>
        </w:rPr>
      </w:pPr>
      <w:hyperlink w:anchor="_Toc20225607" w:history="1">
        <w:r w:rsidR="00DF6FCA" w:rsidRPr="00AF21DF">
          <w:rPr>
            <w:rStyle w:val="Hyperlink"/>
          </w:rPr>
          <w:t>Case 1: Victoria</w:t>
        </w:r>
        <w:r w:rsidR="00DF6FCA">
          <w:rPr>
            <w:webHidden/>
          </w:rPr>
          <w:tab/>
        </w:r>
        <w:r w:rsidR="00DF6FCA">
          <w:rPr>
            <w:webHidden/>
          </w:rPr>
          <w:fldChar w:fldCharType="begin"/>
        </w:r>
        <w:r w:rsidR="00DF6FCA">
          <w:rPr>
            <w:webHidden/>
          </w:rPr>
          <w:instrText xml:space="preserve"> PAGEREF _Toc20225607 \h </w:instrText>
        </w:r>
        <w:r w:rsidR="00DF6FCA">
          <w:rPr>
            <w:webHidden/>
          </w:rPr>
        </w:r>
        <w:r w:rsidR="00DF6FCA">
          <w:rPr>
            <w:webHidden/>
          </w:rPr>
          <w:fldChar w:fldCharType="separate"/>
        </w:r>
        <w:r w:rsidR="003F5143">
          <w:rPr>
            <w:webHidden/>
          </w:rPr>
          <w:t>22</w:t>
        </w:r>
        <w:r w:rsidR="00DF6FCA">
          <w:rPr>
            <w:webHidden/>
          </w:rPr>
          <w:fldChar w:fldCharType="end"/>
        </w:r>
      </w:hyperlink>
    </w:p>
    <w:p w14:paraId="3204767D" w14:textId="29848098" w:rsidR="00DF6FCA" w:rsidRDefault="00FF401C">
      <w:pPr>
        <w:pStyle w:val="TOC2"/>
        <w:rPr>
          <w:rFonts w:asciiTheme="minorHAnsi" w:eastAsiaTheme="minorEastAsia" w:hAnsiTheme="minorHAnsi" w:cstheme="minorBidi"/>
          <w:sz w:val="22"/>
          <w:szCs w:val="22"/>
          <w:lang w:eastAsia="en-AU"/>
        </w:rPr>
      </w:pPr>
      <w:hyperlink w:anchor="_Toc20225608" w:history="1">
        <w:r w:rsidR="00DF6FCA" w:rsidRPr="00AF21DF">
          <w:rPr>
            <w:rStyle w:val="Hyperlink"/>
          </w:rPr>
          <w:t>Case 2: Victoria</w:t>
        </w:r>
        <w:r w:rsidR="00DF6FCA">
          <w:rPr>
            <w:webHidden/>
          </w:rPr>
          <w:tab/>
        </w:r>
        <w:r w:rsidR="00DF6FCA">
          <w:rPr>
            <w:webHidden/>
          </w:rPr>
          <w:fldChar w:fldCharType="begin"/>
        </w:r>
        <w:r w:rsidR="00DF6FCA">
          <w:rPr>
            <w:webHidden/>
          </w:rPr>
          <w:instrText xml:space="preserve"> PAGEREF _Toc20225608 \h </w:instrText>
        </w:r>
        <w:r w:rsidR="00DF6FCA">
          <w:rPr>
            <w:webHidden/>
          </w:rPr>
        </w:r>
        <w:r w:rsidR="00DF6FCA">
          <w:rPr>
            <w:webHidden/>
          </w:rPr>
          <w:fldChar w:fldCharType="separate"/>
        </w:r>
        <w:r w:rsidR="003F5143">
          <w:rPr>
            <w:webHidden/>
          </w:rPr>
          <w:t>23</w:t>
        </w:r>
        <w:r w:rsidR="00DF6FCA">
          <w:rPr>
            <w:webHidden/>
          </w:rPr>
          <w:fldChar w:fldCharType="end"/>
        </w:r>
      </w:hyperlink>
    </w:p>
    <w:p w14:paraId="7042616A" w14:textId="0650D254" w:rsidR="00DF6FCA" w:rsidRDefault="00FF401C">
      <w:pPr>
        <w:pStyle w:val="TOC2"/>
        <w:rPr>
          <w:rFonts w:asciiTheme="minorHAnsi" w:eastAsiaTheme="minorEastAsia" w:hAnsiTheme="minorHAnsi" w:cstheme="minorBidi"/>
          <w:sz w:val="22"/>
          <w:szCs w:val="22"/>
          <w:lang w:eastAsia="en-AU"/>
        </w:rPr>
      </w:pPr>
      <w:hyperlink w:anchor="_Toc20225609" w:history="1">
        <w:r w:rsidR="00DF6FCA" w:rsidRPr="00AF21DF">
          <w:rPr>
            <w:rStyle w:val="Hyperlink"/>
          </w:rPr>
          <w:t>Case 3: New Zealand</w:t>
        </w:r>
        <w:r w:rsidR="00DF6FCA">
          <w:rPr>
            <w:webHidden/>
          </w:rPr>
          <w:tab/>
        </w:r>
        <w:r w:rsidR="00DF6FCA">
          <w:rPr>
            <w:webHidden/>
          </w:rPr>
          <w:fldChar w:fldCharType="begin"/>
        </w:r>
        <w:r w:rsidR="00DF6FCA">
          <w:rPr>
            <w:webHidden/>
          </w:rPr>
          <w:instrText xml:space="preserve"> PAGEREF _Toc20225609 \h </w:instrText>
        </w:r>
        <w:r w:rsidR="00DF6FCA">
          <w:rPr>
            <w:webHidden/>
          </w:rPr>
        </w:r>
        <w:r w:rsidR="00DF6FCA">
          <w:rPr>
            <w:webHidden/>
          </w:rPr>
          <w:fldChar w:fldCharType="separate"/>
        </w:r>
        <w:r w:rsidR="003F5143">
          <w:rPr>
            <w:webHidden/>
          </w:rPr>
          <w:t>23</w:t>
        </w:r>
        <w:r w:rsidR="00DF6FCA">
          <w:rPr>
            <w:webHidden/>
          </w:rPr>
          <w:fldChar w:fldCharType="end"/>
        </w:r>
      </w:hyperlink>
    </w:p>
    <w:p w14:paraId="3DA00EB4" w14:textId="7DF45C9B" w:rsidR="00DF6FCA" w:rsidRDefault="00FF401C">
      <w:pPr>
        <w:pStyle w:val="TOC2"/>
        <w:rPr>
          <w:rFonts w:asciiTheme="minorHAnsi" w:eastAsiaTheme="minorEastAsia" w:hAnsiTheme="minorHAnsi" w:cstheme="minorBidi"/>
          <w:sz w:val="22"/>
          <w:szCs w:val="22"/>
          <w:lang w:eastAsia="en-AU"/>
        </w:rPr>
      </w:pPr>
      <w:hyperlink w:anchor="_Toc20225610" w:history="1">
        <w:r w:rsidR="00DF6FCA" w:rsidRPr="00AF21DF">
          <w:rPr>
            <w:rStyle w:val="Hyperlink"/>
          </w:rPr>
          <w:t>Case 4: New Zealand</w:t>
        </w:r>
        <w:r w:rsidR="00DF6FCA">
          <w:rPr>
            <w:webHidden/>
          </w:rPr>
          <w:tab/>
        </w:r>
        <w:r w:rsidR="00DF6FCA">
          <w:rPr>
            <w:webHidden/>
          </w:rPr>
          <w:fldChar w:fldCharType="begin"/>
        </w:r>
        <w:r w:rsidR="00DF6FCA">
          <w:rPr>
            <w:webHidden/>
          </w:rPr>
          <w:instrText xml:space="preserve"> PAGEREF _Toc20225610 \h </w:instrText>
        </w:r>
        <w:r w:rsidR="00DF6FCA">
          <w:rPr>
            <w:webHidden/>
          </w:rPr>
        </w:r>
        <w:r w:rsidR="00DF6FCA">
          <w:rPr>
            <w:webHidden/>
          </w:rPr>
          <w:fldChar w:fldCharType="separate"/>
        </w:r>
        <w:r w:rsidR="003F5143">
          <w:rPr>
            <w:webHidden/>
          </w:rPr>
          <w:t>23</w:t>
        </w:r>
        <w:r w:rsidR="00DF6FCA">
          <w:rPr>
            <w:webHidden/>
          </w:rPr>
          <w:fldChar w:fldCharType="end"/>
        </w:r>
      </w:hyperlink>
    </w:p>
    <w:p w14:paraId="4060D825" w14:textId="1B129456" w:rsidR="00DF6FCA" w:rsidRDefault="00FF401C">
      <w:pPr>
        <w:pStyle w:val="TOC2"/>
        <w:rPr>
          <w:rFonts w:asciiTheme="minorHAnsi" w:eastAsiaTheme="minorEastAsia" w:hAnsiTheme="minorHAnsi" w:cstheme="minorBidi"/>
          <w:sz w:val="22"/>
          <w:szCs w:val="22"/>
          <w:lang w:eastAsia="en-AU"/>
        </w:rPr>
      </w:pPr>
      <w:hyperlink w:anchor="_Toc20225611" w:history="1">
        <w:r w:rsidR="00DF6FCA" w:rsidRPr="00AF21DF">
          <w:rPr>
            <w:rStyle w:val="Hyperlink"/>
          </w:rPr>
          <w:t>Case 5: Victoria</w:t>
        </w:r>
        <w:r w:rsidR="00DF6FCA">
          <w:rPr>
            <w:webHidden/>
          </w:rPr>
          <w:tab/>
        </w:r>
        <w:r w:rsidR="00DF6FCA">
          <w:rPr>
            <w:webHidden/>
          </w:rPr>
          <w:fldChar w:fldCharType="begin"/>
        </w:r>
        <w:r w:rsidR="00DF6FCA">
          <w:rPr>
            <w:webHidden/>
          </w:rPr>
          <w:instrText xml:space="preserve"> PAGEREF _Toc20225611 \h </w:instrText>
        </w:r>
        <w:r w:rsidR="00DF6FCA">
          <w:rPr>
            <w:webHidden/>
          </w:rPr>
        </w:r>
        <w:r w:rsidR="00DF6FCA">
          <w:rPr>
            <w:webHidden/>
          </w:rPr>
          <w:fldChar w:fldCharType="separate"/>
        </w:r>
        <w:r w:rsidR="003F5143">
          <w:rPr>
            <w:webHidden/>
          </w:rPr>
          <w:t>24</w:t>
        </w:r>
        <w:r w:rsidR="00DF6FCA">
          <w:rPr>
            <w:webHidden/>
          </w:rPr>
          <w:fldChar w:fldCharType="end"/>
        </w:r>
      </w:hyperlink>
    </w:p>
    <w:p w14:paraId="5E50EB97" w14:textId="0CC90A4D" w:rsidR="00DF6FCA" w:rsidRDefault="00FF401C">
      <w:pPr>
        <w:pStyle w:val="TOC2"/>
        <w:rPr>
          <w:rFonts w:asciiTheme="minorHAnsi" w:eastAsiaTheme="minorEastAsia" w:hAnsiTheme="minorHAnsi" w:cstheme="minorBidi"/>
          <w:sz w:val="22"/>
          <w:szCs w:val="22"/>
          <w:lang w:eastAsia="en-AU"/>
        </w:rPr>
      </w:pPr>
      <w:hyperlink w:anchor="_Toc20225612" w:history="1">
        <w:r w:rsidR="00DF6FCA" w:rsidRPr="00AF21DF">
          <w:rPr>
            <w:rStyle w:val="Hyperlink"/>
          </w:rPr>
          <w:t>Case 6: Queensland</w:t>
        </w:r>
        <w:r w:rsidR="00DF6FCA">
          <w:rPr>
            <w:webHidden/>
          </w:rPr>
          <w:tab/>
        </w:r>
        <w:r w:rsidR="00DF6FCA">
          <w:rPr>
            <w:webHidden/>
          </w:rPr>
          <w:fldChar w:fldCharType="begin"/>
        </w:r>
        <w:r w:rsidR="00DF6FCA">
          <w:rPr>
            <w:webHidden/>
          </w:rPr>
          <w:instrText xml:space="preserve"> PAGEREF _Toc20225612 \h </w:instrText>
        </w:r>
        <w:r w:rsidR="00DF6FCA">
          <w:rPr>
            <w:webHidden/>
          </w:rPr>
        </w:r>
        <w:r w:rsidR="00DF6FCA">
          <w:rPr>
            <w:webHidden/>
          </w:rPr>
          <w:fldChar w:fldCharType="separate"/>
        </w:r>
        <w:r w:rsidR="003F5143">
          <w:rPr>
            <w:webHidden/>
          </w:rPr>
          <w:t>25</w:t>
        </w:r>
        <w:r w:rsidR="00DF6FCA">
          <w:rPr>
            <w:webHidden/>
          </w:rPr>
          <w:fldChar w:fldCharType="end"/>
        </w:r>
      </w:hyperlink>
    </w:p>
    <w:p w14:paraId="616AEC20" w14:textId="0D6FBECE" w:rsidR="00DF6FCA" w:rsidRDefault="00FF401C">
      <w:pPr>
        <w:pStyle w:val="TOC1"/>
        <w:rPr>
          <w:rFonts w:asciiTheme="minorHAnsi" w:eastAsiaTheme="minorEastAsia" w:hAnsiTheme="minorHAnsi" w:cstheme="minorBidi"/>
          <w:b w:val="0"/>
          <w:sz w:val="22"/>
          <w:szCs w:val="22"/>
          <w:lang w:eastAsia="en-AU"/>
        </w:rPr>
      </w:pPr>
      <w:hyperlink w:anchor="_Toc20225613" w:history="1">
        <w:r w:rsidR="00DF6FCA" w:rsidRPr="00AF21DF">
          <w:rPr>
            <w:rStyle w:val="Hyperlink"/>
          </w:rPr>
          <w:t>5. Summary and recommendations arising</w:t>
        </w:r>
        <w:r w:rsidR="00DF6FCA">
          <w:rPr>
            <w:webHidden/>
          </w:rPr>
          <w:tab/>
        </w:r>
        <w:r w:rsidR="00DF6FCA">
          <w:rPr>
            <w:webHidden/>
          </w:rPr>
          <w:fldChar w:fldCharType="begin"/>
        </w:r>
        <w:r w:rsidR="00DF6FCA">
          <w:rPr>
            <w:webHidden/>
          </w:rPr>
          <w:instrText xml:space="preserve"> PAGEREF _Toc20225613 \h </w:instrText>
        </w:r>
        <w:r w:rsidR="00DF6FCA">
          <w:rPr>
            <w:webHidden/>
          </w:rPr>
        </w:r>
        <w:r w:rsidR="00DF6FCA">
          <w:rPr>
            <w:webHidden/>
          </w:rPr>
          <w:fldChar w:fldCharType="separate"/>
        </w:r>
        <w:r w:rsidR="003F5143">
          <w:rPr>
            <w:webHidden/>
          </w:rPr>
          <w:t>27</w:t>
        </w:r>
        <w:r w:rsidR="00DF6FCA">
          <w:rPr>
            <w:webHidden/>
          </w:rPr>
          <w:fldChar w:fldCharType="end"/>
        </w:r>
      </w:hyperlink>
    </w:p>
    <w:p w14:paraId="5DF17385" w14:textId="6C46BAA1" w:rsidR="00DF6FCA" w:rsidRDefault="00FF401C">
      <w:pPr>
        <w:pStyle w:val="TOC2"/>
        <w:rPr>
          <w:rFonts w:asciiTheme="minorHAnsi" w:eastAsiaTheme="minorEastAsia" w:hAnsiTheme="minorHAnsi" w:cstheme="minorBidi"/>
          <w:sz w:val="22"/>
          <w:szCs w:val="22"/>
          <w:lang w:eastAsia="en-AU"/>
        </w:rPr>
      </w:pPr>
      <w:hyperlink w:anchor="_Toc20225614" w:history="1">
        <w:r w:rsidR="00DF6FCA" w:rsidRPr="00AF21DF">
          <w:rPr>
            <w:rStyle w:val="Hyperlink"/>
          </w:rPr>
          <w:t>Recommendations</w:t>
        </w:r>
        <w:r w:rsidR="00DF6FCA">
          <w:rPr>
            <w:webHidden/>
          </w:rPr>
          <w:tab/>
        </w:r>
        <w:r w:rsidR="00DF6FCA">
          <w:rPr>
            <w:webHidden/>
          </w:rPr>
          <w:fldChar w:fldCharType="begin"/>
        </w:r>
        <w:r w:rsidR="00DF6FCA">
          <w:rPr>
            <w:webHidden/>
          </w:rPr>
          <w:instrText xml:space="preserve"> PAGEREF _Toc20225614 \h </w:instrText>
        </w:r>
        <w:r w:rsidR="00DF6FCA">
          <w:rPr>
            <w:webHidden/>
          </w:rPr>
        </w:r>
        <w:r w:rsidR="00DF6FCA">
          <w:rPr>
            <w:webHidden/>
          </w:rPr>
          <w:fldChar w:fldCharType="separate"/>
        </w:r>
        <w:r w:rsidR="003F5143">
          <w:rPr>
            <w:webHidden/>
          </w:rPr>
          <w:t>28</w:t>
        </w:r>
        <w:r w:rsidR="00DF6FCA">
          <w:rPr>
            <w:webHidden/>
          </w:rPr>
          <w:fldChar w:fldCharType="end"/>
        </w:r>
      </w:hyperlink>
    </w:p>
    <w:p w14:paraId="12E9A4BD" w14:textId="351F7C8C" w:rsidR="00DF6FCA" w:rsidRDefault="00FF401C">
      <w:pPr>
        <w:pStyle w:val="TOC1"/>
        <w:rPr>
          <w:rFonts w:asciiTheme="minorHAnsi" w:eastAsiaTheme="minorEastAsia" w:hAnsiTheme="minorHAnsi" w:cstheme="minorBidi"/>
          <w:b w:val="0"/>
          <w:sz w:val="22"/>
          <w:szCs w:val="22"/>
          <w:lang w:eastAsia="en-AU"/>
        </w:rPr>
      </w:pPr>
      <w:hyperlink w:anchor="_Toc20225615" w:history="1">
        <w:r w:rsidR="00DF6FCA" w:rsidRPr="00AF21DF">
          <w:rPr>
            <w:rStyle w:val="Hyperlink"/>
          </w:rPr>
          <w:t>Appendix: Forensicare clinical guidelines for prescription and monitoring of anti-libidinal medication</w:t>
        </w:r>
        <w:r w:rsidR="00DF6FCA">
          <w:rPr>
            <w:webHidden/>
          </w:rPr>
          <w:tab/>
        </w:r>
        <w:r w:rsidR="00DF6FCA">
          <w:rPr>
            <w:webHidden/>
          </w:rPr>
          <w:fldChar w:fldCharType="begin"/>
        </w:r>
        <w:r w:rsidR="00DF6FCA">
          <w:rPr>
            <w:webHidden/>
          </w:rPr>
          <w:instrText xml:space="preserve"> PAGEREF _Toc20225615 \h </w:instrText>
        </w:r>
        <w:r w:rsidR="00DF6FCA">
          <w:rPr>
            <w:webHidden/>
          </w:rPr>
        </w:r>
        <w:r w:rsidR="00DF6FCA">
          <w:rPr>
            <w:webHidden/>
          </w:rPr>
          <w:fldChar w:fldCharType="separate"/>
        </w:r>
        <w:r w:rsidR="003F5143">
          <w:rPr>
            <w:webHidden/>
          </w:rPr>
          <w:t>29</w:t>
        </w:r>
        <w:r w:rsidR="00DF6FCA">
          <w:rPr>
            <w:webHidden/>
          </w:rPr>
          <w:fldChar w:fldCharType="end"/>
        </w:r>
      </w:hyperlink>
    </w:p>
    <w:p w14:paraId="28619DF6" w14:textId="3243D14B" w:rsidR="00DF6FCA" w:rsidRDefault="00FF401C">
      <w:pPr>
        <w:pStyle w:val="TOC2"/>
        <w:rPr>
          <w:rFonts w:asciiTheme="minorHAnsi" w:eastAsiaTheme="minorEastAsia" w:hAnsiTheme="minorHAnsi" w:cstheme="minorBidi"/>
          <w:sz w:val="22"/>
          <w:szCs w:val="22"/>
          <w:lang w:eastAsia="en-AU"/>
        </w:rPr>
      </w:pPr>
      <w:hyperlink w:anchor="_Toc20225616" w:history="1">
        <w:r w:rsidR="00DF6FCA" w:rsidRPr="00AF21DF">
          <w:rPr>
            <w:rStyle w:val="Hyperlink"/>
          </w:rPr>
          <w:t>Background</w:t>
        </w:r>
        <w:r w:rsidR="00DF6FCA">
          <w:rPr>
            <w:webHidden/>
          </w:rPr>
          <w:tab/>
        </w:r>
        <w:r w:rsidR="00DF6FCA">
          <w:rPr>
            <w:webHidden/>
          </w:rPr>
          <w:fldChar w:fldCharType="begin"/>
        </w:r>
        <w:r w:rsidR="00DF6FCA">
          <w:rPr>
            <w:webHidden/>
          </w:rPr>
          <w:instrText xml:space="preserve"> PAGEREF _Toc20225616 \h </w:instrText>
        </w:r>
        <w:r w:rsidR="00DF6FCA">
          <w:rPr>
            <w:webHidden/>
          </w:rPr>
        </w:r>
        <w:r w:rsidR="00DF6FCA">
          <w:rPr>
            <w:webHidden/>
          </w:rPr>
          <w:fldChar w:fldCharType="separate"/>
        </w:r>
        <w:r w:rsidR="003F5143">
          <w:rPr>
            <w:webHidden/>
          </w:rPr>
          <w:t>29</w:t>
        </w:r>
        <w:r w:rsidR="00DF6FCA">
          <w:rPr>
            <w:webHidden/>
          </w:rPr>
          <w:fldChar w:fldCharType="end"/>
        </w:r>
      </w:hyperlink>
    </w:p>
    <w:p w14:paraId="43F59BCB" w14:textId="3472C15C" w:rsidR="00DF6FCA" w:rsidRDefault="00FF401C">
      <w:pPr>
        <w:pStyle w:val="TOC2"/>
        <w:rPr>
          <w:rFonts w:asciiTheme="minorHAnsi" w:eastAsiaTheme="minorEastAsia" w:hAnsiTheme="minorHAnsi" w:cstheme="minorBidi"/>
          <w:sz w:val="22"/>
          <w:szCs w:val="22"/>
          <w:lang w:eastAsia="en-AU"/>
        </w:rPr>
      </w:pPr>
      <w:hyperlink w:anchor="_Toc20225617" w:history="1">
        <w:r w:rsidR="00DF6FCA" w:rsidRPr="00AF21DF">
          <w:rPr>
            <w:rStyle w:val="Hyperlink"/>
          </w:rPr>
          <w:t>Rationale</w:t>
        </w:r>
        <w:r w:rsidR="00DF6FCA">
          <w:rPr>
            <w:webHidden/>
          </w:rPr>
          <w:tab/>
        </w:r>
        <w:r w:rsidR="00DF6FCA">
          <w:rPr>
            <w:webHidden/>
          </w:rPr>
          <w:fldChar w:fldCharType="begin"/>
        </w:r>
        <w:r w:rsidR="00DF6FCA">
          <w:rPr>
            <w:webHidden/>
          </w:rPr>
          <w:instrText xml:space="preserve"> PAGEREF _Toc20225617 \h </w:instrText>
        </w:r>
        <w:r w:rsidR="00DF6FCA">
          <w:rPr>
            <w:webHidden/>
          </w:rPr>
        </w:r>
        <w:r w:rsidR="00DF6FCA">
          <w:rPr>
            <w:webHidden/>
          </w:rPr>
          <w:fldChar w:fldCharType="separate"/>
        </w:r>
        <w:r w:rsidR="003F5143">
          <w:rPr>
            <w:webHidden/>
          </w:rPr>
          <w:t>29</w:t>
        </w:r>
        <w:r w:rsidR="00DF6FCA">
          <w:rPr>
            <w:webHidden/>
          </w:rPr>
          <w:fldChar w:fldCharType="end"/>
        </w:r>
      </w:hyperlink>
    </w:p>
    <w:p w14:paraId="406681C7" w14:textId="12C89B6B" w:rsidR="00DF6FCA" w:rsidRDefault="00FF401C">
      <w:pPr>
        <w:pStyle w:val="TOC2"/>
        <w:rPr>
          <w:rFonts w:asciiTheme="minorHAnsi" w:eastAsiaTheme="minorEastAsia" w:hAnsiTheme="minorHAnsi" w:cstheme="minorBidi"/>
          <w:sz w:val="22"/>
          <w:szCs w:val="22"/>
          <w:lang w:eastAsia="en-AU"/>
        </w:rPr>
      </w:pPr>
      <w:hyperlink w:anchor="_Toc20225618" w:history="1">
        <w:r w:rsidR="00DF6FCA" w:rsidRPr="00AF21DF">
          <w:rPr>
            <w:rStyle w:val="Hyperlink"/>
          </w:rPr>
          <w:t>Consent</w:t>
        </w:r>
        <w:r w:rsidR="00DF6FCA">
          <w:rPr>
            <w:webHidden/>
          </w:rPr>
          <w:tab/>
        </w:r>
        <w:r w:rsidR="00DF6FCA">
          <w:rPr>
            <w:webHidden/>
          </w:rPr>
          <w:fldChar w:fldCharType="begin"/>
        </w:r>
        <w:r w:rsidR="00DF6FCA">
          <w:rPr>
            <w:webHidden/>
          </w:rPr>
          <w:instrText xml:space="preserve"> PAGEREF _Toc20225618 \h </w:instrText>
        </w:r>
        <w:r w:rsidR="00DF6FCA">
          <w:rPr>
            <w:webHidden/>
          </w:rPr>
        </w:r>
        <w:r w:rsidR="00DF6FCA">
          <w:rPr>
            <w:webHidden/>
          </w:rPr>
          <w:fldChar w:fldCharType="separate"/>
        </w:r>
        <w:r w:rsidR="003F5143">
          <w:rPr>
            <w:webHidden/>
          </w:rPr>
          <w:t>29</w:t>
        </w:r>
        <w:r w:rsidR="00DF6FCA">
          <w:rPr>
            <w:webHidden/>
          </w:rPr>
          <w:fldChar w:fldCharType="end"/>
        </w:r>
      </w:hyperlink>
    </w:p>
    <w:p w14:paraId="378D90A0" w14:textId="58870463" w:rsidR="00DF6FCA" w:rsidRDefault="00FF401C">
      <w:pPr>
        <w:pStyle w:val="TOC2"/>
        <w:rPr>
          <w:rFonts w:asciiTheme="minorHAnsi" w:eastAsiaTheme="minorEastAsia" w:hAnsiTheme="minorHAnsi" w:cstheme="minorBidi"/>
          <w:sz w:val="22"/>
          <w:szCs w:val="22"/>
          <w:lang w:eastAsia="en-AU"/>
        </w:rPr>
      </w:pPr>
      <w:hyperlink w:anchor="_Toc20225619" w:history="1">
        <w:r w:rsidR="00DF6FCA" w:rsidRPr="00AF21DF">
          <w:rPr>
            <w:rStyle w:val="Hyperlink"/>
          </w:rPr>
          <w:t>General principles of prescribing</w:t>
        </w:r>
        <w:r w:rsidR="00DF6FCA">
          <w:rPr>
            <w:webHidden/>
          </w:rPr>
          <w:tab/>
        </w:r>
        <w:r w:rsidR="00DF6FCA">
          <w:rPr>
            <w:webHidden/>
          </w:rPr>
          <w:fldChar w:fldCharType="begin"/>
        </w:r>
        <w:r w:rsidR="00DF6FCA">
          <w:rPr>
            <w:webHidden/>
          </w:rPr>
          <w:instrText xml:space="preserve"> PAGEREF _Toc20225619 \h </w:instrText>
        </w:r>
        <w:r w:rsidR="00DF6FCA">
          <w:rPr>
            <w:webHidden/>
          </w:rPr>
        </w:r>
        <w:r w:rsidR="00DF6FCA">
          <w:rPr>
            <w:webHidden/>
          </w:rPr>
          <w:fldChar w:fldCharType="separate"/>
        </w:r>
        <w:r w:rsidR="003F5143">
          <w:rPr>
            <w:webHidden/>
          </w:rPr>
          <w:t>29</w:t>
        </w:r>
        <w:r w:rsidR="00DF6FCA">
          <w:rPr>
            <w:webHidden/>
          </w:rPr>
          <w:fldChar w:fldCharType="end"/>
        </w:r>
      </w:hyperlink>
    </w:p>
    <w:p w14:paraId="4CF22217" w14:textId="182D72C8" w:rsidR="00DF6FCA" w:rsidRDefault="00FF401C">
      <w:pPr>
        <w:pStyle w:val="TOC2"/>
        <w:rPr>
          <w:rFonts w:asciiTheme="minorHAnsi" w:eastAsiaTheme="minorEastAsia" w:hAnsiTheme="minorHAnsi" w:cstheme="minorBidi"/>
          <w:sz w:val="22"/>
          <w:szCs w:val="22"/>
          <w:lang w:eastAsia="en-AU"/>
        </w:rPr>
      </w:pPr>
      <w:hyperlink w:anchor="_Toc20225620" w:history="1">
        <w:r w:rsidR="00DF6FCA" w:rsidRPr="00AF21DF">
          <w:rPr>
            <w:rStyle w:val="Hyperlink"/>
          </w:rPr>
          <w:t>Duration of treatment</w:t>
        </w:r>
        <w:r w:rsidR="00DF6FCA">
          <w:rPr>
            <w:webHidden/>
          </w:rPr>
          <w:tab/>
        </w:r>
        <w:r w:rsidR="00DF6FCA">
          <w:rPr>
            <w:webHidden/>
          </w:rPr>
          <w:fldChar w:fldCharType="begin"/>
        </w:r>
        <w:r w:rsidR="00DF6FCA">
          <w:rPr>
            <w:webHidden/>
          </w:rPr>
          <w:instrText xml:space="preserve"> PAGEREF _Toc20225620 \h </w:instrText>
        </w:r>
        <w:r w:rsidR="00DF6FCA">
          <w:rPr>
            <w:webHidden/>
          </w:rPr>
        </w:r>
        <w:r w:rsidR="00DF6FCA">
          <w:rPr>
            <w:webHidden/>
          </w:rPr>
          <w:fldChar w:fldCharType="separate"/>
        </w:r>
        <w:r w:rsidR="003F5143">
          <w:rPr>
            <w:webHidden/>
          </w:rPr>
          <w:t>30</w:t>
        </w:r>
        <w:r w:rsidR="00DF6FCA">
          <w:rPr>
            <w:webHidden/>
          </w:rPr>
          <w:fldChar w:fldCharType="end"/>
        </w:r>
      </w:hyperlink>
    </w:p>
    <w:p w14:paraId="0012AFA4" w14:textId="1110A250" w:rsidR="00DF6FCA" w:rsidRDefault="00FF401C">
      <w:pPr>
        <w:pStyle w:val="TOC2"/>
        <w:rPr>
          <w:rFonts w:asciiTheme="minorHAnsi" w:eastAsiaTheme="minorEastAsia" w:hAnsiTheme="minorHAnsi" w:cstheme="minorBidi"/>
          <w:sz w:val="22"/>
          <w:szCs w:val="22"/>
          <w:lang w:eastAsia="en-AU"/>
        </w:rPr>
      </w:pPr>
      <w:hyperlink w:anchor="_Toc20225621" w:history="1">
        <w:r w:rsidR="00DF6FCA" w:rsidRPr="00AF21DF">
          <w:rPr>
            <w:rStyle w:val="Hyperlink"/>
          </w:rPr>
          <w:t>Dosages</w:t>
        </w:r>
        <w:r w:rsidR="00DF6FCA">
          <w:rPr>
            <w:webHidden/>
          </w:rPr>
          <w:tab/>
        </w:r>
        <w:r w:rsidR="00DF6FCA">
          <w:rPr>
            <w:webHidden/>
          </w:rPr>
          <w:fldChar w:fldCharType="begin"/>
        </w:r>
        <w:r w:rsidR="00DF6FCA">
          <w:rPr>
            <w:webHidden/>
          </w:rPr>
          <w:instrText xml:space="preserve"> PAGEREF _Toc20225621 \h </w:instrText>
        </w:r>
        <w:r w:rsidR="00DF6FCA">
          <w:rPr>
            <w:webHidden/>
          </w:rPr>
        </w:r>
        <w:r w:rsidR="00DF6FCA">
          <w:rPr>
            <w:webHidden/>
          </w:rPr>
          <w:fldChar w:fldCharType="separate"/>
        </w:r>
        <w:r w:rsidR="003F5143">
          <w:rPr>
            <w:webHidden/>
          </w:rPr>
          <w:t>30</w:t>
        </w:r>
        <w:r w:rsidR="00DF6FCA">
          <w:rPr>
            <w:webHidden/>
          </w:rPr>
          <w:fldChar w:fldCharType="end"/>
        </w:r>
      </w:hyperlink>
    </w:p>
    <w:p w14:paraId="67E8CD8A" w14:textId="1F9755D9" w:rsidR="00DF6FCA" w:rsidRDefault="00FF401C">
      <w:pPr>
        <w:pStyle w:val="TOC2"/>
        <w:rPr>
          <w:rFonts w:asciiTheme="minorHAnsi" w:eastAsiaTheme="minorEastAsia" w:hAnsiTheme="minorHAnsi" w:cstheme="minorBidi"/>
          <w:sz w:val="22"/>
          <w:szCs w:val="22"/>
          <w:lang w:eastAsia="en-AU"/>
        </w:rPr>
      </w:pPr>
      <w:hyperlink w:anchor="_Toc20225622" w:history="1">
        <w:r w:rsidR="00DF6FCA" w:rsidRPr="00AF21DF">
          <w:rPr>
            <w:rStyle w:val="Hyperlink"/>
          </w:rPr>
          <w:t>Baseline monitoring</w:t>
        </w:r>
        <w:r w:rsidR="00DF6FCA">
          <w:rPr>
            <w:webHidden/>
          </w:rPr>
          <w:tab/>
        </w:r>
        <w:r w:rsidR="00DF6FCA">
          <w:rPr>
            <w:webHidden/>
          </w:rPr>
          <w:fldChar w:fldCharType="begin"/>
        </w:r>
        <w:r w:rsidR="00DF6FCA">
          <w:rPr>
            <w:webHidden/>
          </w:rPr>
          <w:instrText xml:space="preserve"> PAGEREF _Toc20225622 \h </w:instrText>
        </w:r>
        <w:r w:rsidR="00DF6FCA">
          <w:rPr>
            <w:webHidden/>
          </w:rPr>
        </w:r>
        <w:r w:rsidR="00DF6FCA">
          <w:rPr>
            <w:webHidden/>
          </w:rPr>
          <w:fldChar w:fldCharType="separate"/>
        </w:r>
        <w:r w:rsidR="003F5143">
          <w:rPr>
            <w:webHidden/>
          </w:rPr>
          <w:t>30</w:t>
        </w:r>
        <w:r w:rsidR="00DF6FCA">
          <w:rPr>
            <w:webHidden/>
          </w:rPr>
          <w:fldChar w:fldCharType="end"/>
        </w:r>
      </w:hyperlink>
    </w:p>
    <w:p w14:paraId="6922125B" w14:textId="7830D4FB" w:rsidR="00DF6FCA" w:rsidRDefault="00FF401C">
      <w:pPr>
        <w:pStyle w:val="TOC2"/>
        <w:rPr>
          <w:rFonts w:asciiTheme="minorHAnsi" w:eastAsiaTheme="minorEastAsia" w:hAnsiTheme="minorHAnsi" w:cstheme="minorBidi"/>
          <w:sz w:val="22"/>
          <w:szCs w:val="22"/>
          <w:lang w:eastAsia="en-AU"/>
        </w:rPr>
      </w:pPr>
      <w:hyperlink w:anchor="_Toc20225623" w:history="1">
        <w:r w:rsidR="00DF6FCA" w:rsidRPr="00AF21DF">
          <w:rPr>
            <w:rStyle w:val="Hyperlink"/>
          </w:rPr>
          <w:t>Further monitoring</w:t>
        </w:r>
        <w:r w:rsidR="00DF6FCA">
          <w:rPr>
            <w:webHidden/>
          </w:rPr>
          <w:tab/>
        </w:r>
        <w:r w:rsidR="00DF6FCA">
          <w:rPr>
            <w:webHidden/>
          </w:rPr>
          <w:fldChar w:fldCharType="begin"/>
        </w:r>
        <w:r w:rsidR="00DF6FCA">
          <w:rPr>
            <w:webHidden/>
          </w:rPr>
          <w:instrText xml:space="preserve"> PAGEREF _Toc20225623 \h </w:instrText>
        </w:r>
        <w:r w:rsidR="00DF6FCA">
          <w:rPr>
            <w:webHidden/>
          </w:rPr>
        </w:r>
        <w:r w:rsidR="00DF6FCA">
          <w:rPr>
            <w:webHidden/>
          </w:rPr>
          <w:fldChar w:fldCharType="separate"/>
        </w:r>
        <w:r w:rsidR="003F5143">
          <w:rPr>
            <w:webHidden/>
          </w:rPr>
          <w:t>30</w:t>
        </w:r>
        <w:r w:rsidR="00DF6FCA">
          <w:rPr>
            <w:webHidden/>
          </w:rPr>
          <w:fldChar w:fldCharType="end"/>
        </w:r>
      </w:hyperlink>
    </w:p>
    <w:p w14:paraId="5B2711C3" w14:textId="17A9C3D1" w:rsidR="00DF6FCA" w:rsidRDefault="00FF401C">
      <w:pPr>
        <w:pStyle w:val="TOC1"/>
        <w:rPr>
          <w:rFonts w:asciiTheme="minorHAnsi" w:eastAsiaTheme="minorEastAsia" w:hAnsiTheme="minorHAnsi" w:cstheme="minorBidi"/>
          <w:b w:val="0"/>
          <w:sz w:val="22"/>
          <w:szCs w:val="22"/>
          <w:lang w:eastAsia="en-AU"/>
        </w:rPr>
      </w:pPr>
      <w:hyperlink w:anchor="_Toc20225624" w:history="1">
        <w:r w:rsidR="00DF6FCA" w:rsidRPr="00AF21DF">
          <w:rPr>
            <w:rStyle w:val="Hyperlink"/>
          </w:rPr>
          <w:t>References</w:t>
        </w:r>
        <w:r w:rsidR="00DF6FCA">
          <w:rPr>
            <w:webHidden/>
          </w:rPr>
          <w:tab/>
        </w:r>
        <w:r w:rsidR="00DF6FCA">
          <w:rPr>
            <w:webHidden/>
          </w:rPr>
          <w:fldChar w:fldCharType="begin"/>
        </w:r>
        <w:r w:rsidR="00DF6FCA">
          <w:rPr>
            <w:webHidden/>
          </w:rPr>
          <w:instrText xml:space="preserve"> PAGEREF _Toc20225624 \h </w:instrText>
        </w:r>
        <w:r w:rsidR="00DF6FCA">
          <w:rPr>
            <w:webHidden/>
          </w:rPr>
        </w:r>
        <w:r w:rsidR="00DF6FCA">
          <w:rPr>
            <w:webHidden/>
          </w:rPr>
          <w:fldChar w:fldCharType="separate"/>
        </w:r>
        <w:r w:rsidR="003F5143">
          <w:rPr>
            <w:webHidden/>
          </w:rPr>
          <w:t>31</w:t>
        </w:r>
        <w:r w:rsidR="00DF6FCA">
          <w:rPr>
            <w:webHidden/>
          </w:rPr>
          <w:fldChar w:fldCharType="end"/>
        </w:r>
      </w:hyperlink>
    </w:p>
    <w:p w14:paraId="533C5EF6" w14:textId="4139B337" w:rsidR="003E2E12" w:rsidRPr="003072C6" w:rsidRDefault="00E15DA9" w:rsidP="00213772">
      <w:pPr>
        <w:pStyle w:val="TOC2"/>
        <w:rPr>
          <w:noProof w:val="0"/>
        </w:rPr>
      </w:pPr>
      <w:r w:rsidRPr="003072C6">
        <w:rPr>
          <w:noProof w:val="0"/>
        </w:rPr>
        <w:fldChar w:fldCharType="end"/>
      </w:r>
    </w:p>
    <w:p w14:paraId="6A42759F" w14:textId="77777777" w:rsidR="00256E7C" w:rsidRPr="003072C6" w:rsidRDefault="00256E7C" w:rsidP="00E91933">
      <w:pPr>
        <w:pStyle w:val="DHHSbody"/>
      </w:pPr>
    </w:p>
    <w:p w14:paraId="12A756B1" w14:textId="77777777" w:rsidR="00AC0C3B" w:rsidRPr="003072C6" w:rsidRDefault="00AC0C3B" w:rsidP="00E91933">
      <w:pPr>
        <w:pStyle w:val="DHHSbody"/>
        <w:sectPr w:rsidR="00AC0C3B" w:rsidRPr="003072C6" w:rsidSect="00C51B1C">
          <w:pgSz w:w="11906" w:h="16838"/>
          <w:pgMar w:top="1701" w:right="1304" w:bottom="1134" w:left="1304" w:header="454" w:footer="567" w:gutter="0"/>
          <w:cols w:space="720"/>
          <w:docGrid w:linePitch="360"/>
        </w:sectPr>
      </w:pPr>
    </w:p>
    <w:p w14:paraId="0421E1BD" w14:textId="0236A739" w:rsidR="004946F1" w:rsidRDefault="004946F1" w:rsidP="00C3409A">
      <w:pPr>
        <w:pStyle w:val="Heading1"/>
        <w:spacing w:before="0"/>
        <w:rPr>
          <w:rFonts w:ascii="HelveticaNeueLTStd-Lt" w:hAnsi="HelveticaNeueLTStd-Lt" w:cs="HelveticaNeueLTStd-Lt"/>
          <w:color w:val="000000"/>
          <w:sz w:val="20"/>
        </w:rPr>
      </w:pPr>
      <w:bookmarkStart w:id="2" w:name="_Toc20225590"/>
      <w:r>
        <w:t>Introduction</w:t>
      </w:r>
      <w:bookmarkEnd w:id="2"/>
    </w:p>
    <w:p w14:paraId="22DDAFA8" w14:textId="136FCB55" w:rsidR="004946F1" w:rsidRDefault="004946F1" w:rsidP="00BD612C">
      <w:pPr>
        <w:pStyle w:val="DHHSbody"/>
      </w:pPr>
      <w:r>
        <w:t>The</w:t>
      </w:r>
      <w:r w:rsidR="001A1F90">
        <w:t xml:space="preserve"> </w:t>
      </w:r>
      <w:r>
        <w:t>requirement</w:t>
      </w:r>
      <w:r w:rsidR="001A1F90">
        <w:t xml:space="preserve"> </w:t>
      </w:r>
      <w:r>
        <w:t>to</w:t>
      </w:r>
      <w:r w:rsidR="001A1F90">
        <w:t xml:space="preserve"> </w:t>
      </w:r>
      <w:r>
        <w:t>identify,</w:t>
      </w:r>
      <w:r w:rsidR="001A1F90">
        <w:t xml:space="preserve"> </w:t>
      </w:r>
      <w:r>
        <w:t>manage</w:t>
      </w:r>
      <w:r w:rsidR="001A1F90">
        <w:t xml:space="preserve"> </w:t>
      </w:r>
      <w:r>
        <w:t>and</w:t>
      </w:r>
      <w:r w:rsidR="001A1F90">
        <w:t xml:space="preserve"> </w:t>
      </w:r>
      <w:r>
        <w:t>treat</w:t>
      </w:r>
      <w:r w:rsidR="001A1F90">
        <w:t xml:space="preserve"> </w:t>
      </w:r>
      <w:r>
        <w:t>people</w:t>
      </w:r>
      <w:r w:rsidR="001A1F90">
        <w:t xml:space="preserve"> </w:t>
      </w:r>
      <w:r>
        <w:t>who</w:t>
      </w:r>
      <w:r w:rsidR="001A1F90">
        <w:t xml:space="preserve"> </w:t>
      </w:r>
      <w:r>
        <w:t>have</w:t>
      </w:r>
      <w:r w:rsidR="00C84854">
        <w:t xml:space="preserve"> inappropriate</w:t>
      </w:r>
      <w:r w:rsidR="001A1F90">
        <w:t xml:space="preserve"> </w:t>
      </w:r>
      <w:r>
        <w:t>sexual</w:t>
      </w:r>
      <w:r w:rsidR="001A1F90">
        <w:t xml:space="preserve"> </w:t>
      </w:r>
      <w:r>
        <w:t>behaviour</w:t>
      </w:r>
      <w:r w:rsidR="001A1F90">
        <w:t xml:space="preserve"> </w:t>
      </w:r>
      <w:r>
        <w:t>pervades</w:t>
      </w:r>
      <w:r w:rsidR="001A1F90">
        <w:t xml:space="preserve"> </w:t>
      </w:r>
      <w:r>
        <w:t>contemporary</w:t>
      </w:r>
      <w:r w:rsidR="001A1F90">
        <w:t xml:space="preserve"> </w:t>
      </w:r>
      <w:r>
        <w:t>clinical</w:t>
      </w:r>
      <w:r w:rsidR="001A1F90">
        <w:t xml:space="preserve"> </w:t>
      </w:r>
      <w:r>
        <w:t>practice</w:t>
      </w:r>
      <w:r w:rsidR="001A1F90">
        <w:t xml:space="preserve"> </w:t>
      </w:r>
      <w:r>
        <w:t>in</w:t>
      </w:r>
      <w:r w:rsidR="001A1F90">
        <w:t xml:space="preserve"> </w:t>
      </w:r>
      <w:r>
        <w:t>criminal</w:t>
      </w:r>
      <w:r w:rsidR="001A1F90">
        <w:t xml:space="preserve"> </w:t>
      </w:r>
      <w:r>
        <w:t>justice,</w:t>
      </w:r>
      <w:r w:rsidR="001A1F90">
        <w:t xml:space="preserve"> </w:t>
      </w:r>
      <w:r>
        <w:t>mental</w:t>
      </w:r>
      <w:r w:rsidR="001A1F90">
        <w:t xml:space="preserve"> </w:t>
      </w:r>
      <w:r>
        <w:t>health</w:t>
      </w:r>
      <w:r w:rsidR="001A1F90">
        <w:t xml:space="preserve"> </w:t>
      </w:r>
      <w:r>
        <w:t>and</w:t>
      </w:r>
      <w:r w:rsidR="001A1F90">
        <w:t xml:space="preserve"> </w:t>
      </w:r>
      <w:r>
        <w:t>disability</w:t>
      </w:r>
      <w:r w:rsidR="001A1F90">
        <w:t xml:space="preserve"> </w:t>
      </w:r>
      <w:r>
        <w:t>services.</w:t>
      </w:r>
      <w:r w:rsidR="001A1F90">
        <w:t xml:space="preserve"> </w:t>
      </w:r>
      <w:r>
        <w:t>It</w:t>
      </w:r>
      <w:r w:rsidR="001A1F90">
        <w:t xml:space="preserve"> </w:t>
      </w:r>
      <w:r>
        <w:t>also</w:t>
      </w:r>
      <w:r w:rsidR="001A1F90">
        <w:t xml:space="preserve"> </w:t>
      </w:r>
      <w:r>
        <w:t>has</w:t>
      </w:r>
      <w:r w:rsidR="001A1F90">
        <w:t xml:space="preserve"> </w:t>
      </w:r>
      <w:r>
        <w:t>a</w:t>
      </w:r>
      <w:r w:rsidR="001A1F90">
        <w:t xml:space="preserve"> </w:t>
      </w:r>
      <w:r>
        <w:t>long</w:t>
      </w:r>
      <w:r w:rsidR="001A1F90">
        <w:t xml:space="preserve"> </w:t>
      </w:r>
      <w:r>
        <w:t>tradition</w:t>
      </w:r>
      <w:r w:rsidR="001A1F90">
        <w:t xml:space="preserve"> </w:t>
      </w:r>
      <w:r>
        <w:t>of</w:t>
      </w:r>
      <w:r w:rsidR="001A1F90">
        <w:t xml:space="preserve"> </w:t>
      </w:r>
      <w:r>
        <w:t>heated</w:t>
      </w:r>
      <w:r w:rsidR="001A1F90">
        <w:t xml:space="preserve"> </w:t>
      </w:r>
      <w:r>
        <w:t>dialogue</w:t>
      </w:r>
      <w:r w:rsidR="001A1F90">
        <w:t xml:space="preserve"> </w:t>
      </w:r>
      <w:r>
        <w:t>between</w:t>
      </w:r>
      <w:r w:rsidR="001A1F90">
        <w:t xml:space="preserve"> </w:t>
      </w:r>
      <w:r>
        <w:t>the</w:t>
      </w:r>
      <w:r w:rsidR="001A1F90">
        <w:t xml:space="preserve"> </w:t>
      </w:r>
      <w:r>
        <w:t>various</w:t>
      </w:r>
      <w:r w:rsidR="001A1F90">
        <w:t xml:space="preserve"> </w:t>
      </w:r>
      <w:r>
        <w:t>stakeholders,</w:t>
      </w:r>
      <w:r w:rsidR="001A1F90">
        <w:t xml:space="preserve"> </w:t>
      </w:r>
      <w:r>
        <w:t>raising</w:t>
      </w:r>
      <w:r w:rsidR="001A1F90">
        <w:t xml:space="preserve"> </w:t>
      </w:r>
      <w:r>
        <w:t>particularly</w:t>
      </w:r>
      <w:r w:rsidR="001A1F90">
        <w:t xml:space="preserve"> </w:t>
      </w:r>
      <w:r>
        <w:t>strong</w:t>
      </w:r>
      <w:r w:rsidR="001A1F90">
        <w:t xml:space="preserve"> </w:t>
      </w:r>
      <w:r>
        <w:t>emotional</w:t>
      </w:r>
      <w:r w:rsidR="001A1F90">
        <w:t xml:space="preserve"> </w:t>
      </w:r>
      <w:r>
        <w:t>responses</w:t>
      </w:r>
      <w:r w:rsidR="001A1F90">
        <w:t xml:space="preserve"> </w:t>
      </w:r>
      <w:r>
        <w:t>from</w:t>
      </w:r>
      <w:r w:rsidR="001A1F90">
        <w:t xml:space="preserve"> </w:t>
      </w:r>
      <w:r>
        <w:t>community</w:t>
      </w:r>
      <w:r w:rsidR="001A1F90">
        <w:t xml:space="preserve"> </w:t>
      </w:r>
      <w:r>
        <w:t>members</w:t>
      </w:r>
      <w:r w:rsidR="001A1F90">
        <w:t xml:space="preserve"> </w:t>
      </w:r>
      <w:r>
        <w:t>who</w:t>
      </w:r>
      <w:r w:rsidR="001A1F90">
        <w:t xml:space="preserve"> </w:t>
      </w:r>
      <w:r>
        <w:t>demand</w:t>
      </w:r>
      <w:r w:rsidR="001A1F90">
        <w:t xml:space="preserve"> </w:t>
      </w:r>
      <w:r>
        <w:t>a</w:t>
      </w:r>
      <w:r w:rsidR="001A1F90">
        <w:t xml:space="preserve"> </w:t>
      </w:r>
      <w:r>
        <w:t>safe</w:t>
      </w:r>
      <w:r w:rsidR="001A1F90">
        <w:t xml:space="preserve"> </w:t>
      </w:r>
      <w:r>
        <w:t>community</w:t>
      </w:r>
      <w:r w:rsidR="001A1F90">
        <w:t xml:space="preserve"> </w:t>
      </w:r>
      <w:r>
        <w:t>and</w:t>
      </w:r>
      <w:r w:rsidR="001A1F90">
        <w:t xml:space="preserve"> </w:t>
      </w:r>
      <w:r>
        <w:t>assurances</w:t>
      </w:r>
      <w:r w:rsidR="001A1F90">
        <w:t xml:space="preserve"> </w:t>
      </w:r>
      <w:r>
        <w:t>of</w:t>
      </w:r>
      <w:r w:rsidR="001A1F90">
        <w:t xml:space="preserve"> </w:t>
      </w:r>
      <w:r>
        <w:t>protection</w:t>
      </w:r>
      <w:r w:rsidR="001A1F90">
        <w:t xml:space="preserve"> </w:t>
      </w:r>
      <w:r>
        <w:t>from</w:t>
      </w:r>
      <w:r w:rsidR="001A1F90">
        <w:t xml:space="preserve"> </w:t>
      </w:r>
      <w:r>
        <w:t>potential</w:t>
      </w:r>
      <w:r w:rsidR="001A1F90">
        <w:t xml:space="preserve"> </w:t>
      </w:r>
      <w:r>
        <w:t>victimisation</w:t>
      </w:r>
      <w:r w:rsidR="001A1F90">
        <w:t xml:space="preserve"> </w:t>
      </w:r>
      <w:r>
        <w:t>experiences.</w:t>
      </w:r>
      <w:r w:rsidR="001A1F90">
        <w:t xml:space="preserve"> </w:t>
      </w:r>
      <w:r>
        <w:t>Expert</w:t>
      </w:r>
      <w:r w:rsidR="001A1F90">
        <w:t xml:space="preserve"> </w:t>
      </w:r>
      <w:r>
        <w:t>and</w:t>
      </w:r>
      <w:r w:rsidR="001A1F90">
        <w:t xml:space="preserve"> </w:t>
      </w:r>
      <w:r>
        <w:t>judicial</w:t>
      </w:r>
      <w:r w:rsidR="001A1F90">
        <w:t xml:space="preserve"> </w:t>
      </w:r>
      <w:r>
        <w:t>efforts</w:t>
      </w:r>
      <w:r w:rsidR="001A1F90">
        <w:t xml:space="preserve"> </w:t>
      </w:r>
      <w:r>
        <w:t>to</w:t>
      </w:r>
      <w:r w:rsidR="001A1F90">
        <w:t xml:space="preserve"> </w:t>
      </w:r>
      <w:r>
        <w:t>manage</w:t>
      </w:r>
      <w:r w:rsidR="001A1F90">
        <w:t xml:space="preserve"> </w:t>
      </w:r>
      <w:r>
        <w:t>this</w:t>
      </w:r>
      <w:r w:rsidR="001A1F90">
        <w:t xml:space="preserve"> </w:t>
      </w:r>
      <w:r>
        <w:t>small</w:t>
      </w:r>
      <w:r w:rsidR="001A1F90">
        <w:t xml:space="preserve"> </w:t>
      </w:r>
      <w:r>
        <w:t>but</w:t>
      </w:r>
      <w:r w:rsidR="001A1F90">
        <w:t xml:space="preserve"> </w:t>
      </w:r>
      <w:r>
        <w:t>significant</w:t>
      </w:r>
      <w:r w:rsidR="001A1F90">
        <w:t xml:space="preserve"> </w:t>
      </w:r>
      <w:r>
        <w:t>group</w:t>
      </w:r>
      <w:r w:rsidR="001A1F90">
        <w:t xml:space="preserve"> </w:t>
      </w:r>
      <w:r>
        <w:t>of</w:t>
      </w:r>
      <w:r w:rsidR="001A1F90">
        <w:t xml:space="preserve"> </w:t>
      </w:r>
      <w:r>
        <w:t>offenders</w:t>
      </w:r>
      <w:r w:rsidR="001A1F90">
        <w:t xml:space="preserve"> </w:t>
      </w:r>
      <w:r>
        <w:t>has</w:t>
      </w:r>
      <w:r w:rsidR="001A1F90">
        <w:t xml:space="preserve"> </w:t>
      </w:r>
      <w:r>
        <w:t>increasingly</w:t>
      </w:r>
      <w:r w:rsidR="001A1F90">
        <w:t xml:space="preserve"> </w:t>
      </w:r>
      <w:r>
        <w:t>been</w:t>
      </w:r>
      <w:r w:rsidR="001A1F90">
        <w:t xml:space="preserve"> </w:t>
      </w:r>
      <w:r>
        <w:t>informed</w:t>
      </w:r>
      <w:r w:rsidR="001A1F90">
        <w:t xml:space="preserve"> </w:t>
      </w:r>
      <w:r>
        <w:t>by</w:t>
      </w:r>
      <w:r w:rsidR="001A1F90">
        <w:t xml:space="preserve"> </w:t>
      </w:r>
      <w:r>
        <w:t>the</w:t>
      </w:r>
      <w:r w:rsidR="001A1F90">
        <w:t xml:space="preserve"> </w:t>
      </w:r>
      <w:r>
        <w:t>state</w:t>
      </w:r>
      <w:r w:rsidR="001A1F90">
        <w:t xml:space="preserve"> </w:t>
      </w:r>
      <w:r>
        <w:t>of</w:t>
      </w:r>
      <w:r w:rsidR="001A1F90">
        <w:t xml:space="preserve"> </w:t>
      </w:r>
      <w:r>
        <w:t>the</w:t>
      </w:r>
      <w:r w:rsidR="001A1F90">
        <w:t xml:space="preserve"> </w:t>
      </w:r>
      <w:r>
        <w:t>available</w:t>
      </w:r>
      <w:r w:rsidR="001A1F90">
        <w:t xml:space="preserve"> </w:t>
      </w:r>
      <w:r>
        <w:t>evidence</w:t>
      </w:r>
      <w:r w:rsidR="001A1F90">
        <w:t xml:space="preserve"> </w:t>
      </w:r>
      <w:r>
        <w:t>which,</w:t>
      </w:r>
      <w:r w:rsidR="001A1F90">
        <w:t xml:space="preserve"> </w:t>
      </w:r>
      <w:r>
        <w:t>more</w:t>
      </w:r>
      <w:r w:rsidR="001A1F90">
        <w:t xml:space="preserve"> </w:t>
      </w:r>
      <w:r>
        <w:t>often</w:t>
      </w:r>
      <w:r w:rsidR="001A1F90">
        <w:t xml:space="preserve"> </w:t>
      </w:r>
      <w:r>
        <w:t>than</w:t>
      </w:r>
      <w:r w:rsidR="001A1F90">
        <w:t xml:space="preserve"> </w:t>
      </w:r>
      <w:r>
        <w:t>not,</w:t>
      </w:r>
      <w:r w:rsidR="001A1F90">
        <w:t xml:space="preserve"> </w:t>
      </w:r>
      <w:r>
        <w:t>is</w:t>
      </w:r>
      <w:r w:rsidR="001A1F90">
        <w:t xml:space="preserve"> </w:t>
      </w:r>
      <w:r>
        <w:t>frustratingly</w:t>
      </w:r>
      <w:r w:rsidR="001A1F90">
        <w:t xml:space="preserve"> </w:t>
      </w:r>
      <w:r>
        <w:t>slow</w:t>
      </w:r>
      <w:r w:rsidR="001A1F90">
        <w:t xml:space="preserve"> </w:t>
      </w:r>
      <w:r>
        <w:t>to</w:t>
      </w:r>
      <w:r w:rsidR="001A1F90">
        <w:t xml:space="preserve"> </w:t>
      </w:r>
      <w:r>
        <w:t>emerge</w:t>
      </w:r>
      <w:r w:rsidR="001A1F90">
        <w:t xml:space="preserve"> </w:t>
      </w:r>
      <w:r>
        <w:t>and</w:t>
      </w:r>
      <w:r w:rsidR="001A1F90">
        <w:t xml:space="preserve"> </w:t>
      </w:r>
      <w:r>
        <w:t>therefore</w:t>
      </w:r>
      <w:r w:rsidR="001A1F90">
        <w:t xml:space="preserve"> </w:t>
      </w:r>
      <w:r>
        <w:t>not</w:t>
      </w:r>
      <w:r w:rsidR="001A1F90">
        <w:t xml:space="preserve"> </w:t>
      </w:r>
      <w:r>
        <w:t>responsive</w:t>
      </w:r>
      <w:r w:rsidR="001A1F90">
        <w:t xml:space="preserve"> </w:t>
      </w:r>
      <w:r>
        <w:t>to</w:t>
      </w:r>
      <w:r w:rsidR="001A1F90">
        <w:t xml:space="preserve"> </w:t>
      </w:r>
      <w:r>
        <w:t>the</w:t>
      </w:r>
      <w:r w:rsidR="001A1F90">
        <w:t xml:space="preserve"> </w:t>
      </w:r>
      <w:r>
        <w:t>more</w:t>
      </w:r>
      <w:r w:rsidR="001A1F90">
        <w:t xml:space="preserve"> </w:t>
      </w:r>
      <w:r>
        <w:t>immediate</w:t>
      </w:r>
      <w:r w:rsidR="001A1F90">
        <w:t xml:space="preserve"> </w:t>
      </w:r>
      <w:r>
        <w:t>needs</w:t>
      </w:r>
      <w:r w:rsidR="001A1F90">
        <w:t xml:space="preserve"> </w:t>
      </w:r>
      <w:r>
        <w:t>for</w:t>
      </w:r>
      <w:r w:rsidR="001A1F90">
        <w:t xml:space="preserve"> </w:t>
      </w:r>
      <w:r>
        <w:t>legislative</w:t>
      </w:r>
      <w:r w:rsidR="001A1F90">
        <w:t xml:space="preserve"> </w:t>
      </w:r>
      <w:r>
        <w:t>and</w:t>
      </w:r>
      <w:r w:rsidR="001A1F90">
        <w:t xml:space="preserve"> </w:t>
      </w:r>
      <w:r>
        <w:t>policy</w:t>
      </w:r>
      <w:r w:rsidR="001A1F90">
        <w:t xml:space="preserve"> </w:t>
      </w:r>
      <w:r>
        <w:t>review</w:t>
      </w:r>
      <w:r w:rsidR="001A1F90">
        <w:t xml:space="preserve"> </w:t>
      </w:r>
      <w:r>
        <w:t>and</w:t>
      </w:r>
      <w:r w:rsidR="001A1F90">
        <w:t xml:space="preserve"> </w:t>
      </w:r>
      <w:r>
        <w:t>change.</w:t>
      </w:r>
    </w:p>
    <w:p w14:paraId="2DA88903" w14:textId="59971984" w:rsidR="004946F1" w:rsidRDefault="004946F1" w:rsidP="00BD612C">
      <w:pPr>
        <w:pStyle w:val="DHHSbody"/>
      </w:pPr>
      <w:r>
        <w:t>As</w:t>
      </w:r>
      <w:r w:rsidR="001A1F90">
        <w:t xml:space="preserve"> </w:t>
      </w:r>
      <w:r>
        <w:t>a</w:t>
      </w:r>
      <w:r w:rsidR="001A1F90">
        <w:t xml:space="preserve"> </w:t>
      </w:r>
      <w:r>
        <w:t>group,</w:t>
      </w:r>
      <w:r w:rsidR="001A1F90">
        <w:t xml:space="preserve"> </w:t>
      </w:r>
      <w:r>
        <w:t>and</w:t>
      </w:r>
      <w:r w:rsidR="001A1F90">
        <w:t xml:space="preserve"> </w:t>
      </w:r>
      <w:r>
        <w:t>regardless</w:t>
      </w:r>
      <w:r w:rsidR="001A1F90">
        <w:t xml:space="preserve"> </w:t>
      </w:r>
      <w:r>
        <w:t>of</w:t>
      </w:r>
      <w:r w:rsidR="001A1F90">
        <w:t xml:space="preserve"> </w:t>
      </w:r>
      <w:r>
        <w:t>level</w:t>
      </w:r>
      <w:r w:rsidR="001A1F90">
        <w:t xml:space="preserve"> </w:t>
      </w:r>
      <w:r>
        <w:t>of</w:t>
      </w:r>
      <w:r w:rsidR="001A1F90">
        <w:t xml:space="preserve"> </w:t>
      </w:r>
      <w:r>
        <w:t>disability,</w:t>
      </w:r>
      <w:r w:rsidR="001A1F90">
        <w:t xml:space="preserve"> </w:t>
      </w:r>
      <w:r w:rsidR="00E44C49">
        <w:t xml:space="preserve">people </w:t>
      </w:r>
      <w:r>
        <w:t>who</w:t>
      </w:r>
      <w:r w:rsidR="001A1F90">
        <w:t xml:space="preserve"> </w:t>
      </w:r>
      <w:r>
        <w:t>sexually</w:t>
      </w:r>
      <w:r w:rsidR="001A1F90">
        <w:t xml:space="preserve"> </w:t>
      </w:r>
      <w:r>
        <w:t>offend</w:t>
      </w:r>
      <w:r w:rsidR="001A1F90">
        <w:t xml:space="preserve"> </w:t>
      </w:r>
      <w:r>
        <w:t>are</w:t>
      </w:r>
      <w:r w:rsidR="001A1F90">
        <w:t xml:space="preserve"> </w:t>
      </w:r>
      <w:r>
        <w:t>highly</w:t>
      </w:r>
      <w:r w:rsidR="001A1F90">
        <w:t xml:space="preserve"> </w:t>
      </w:r>
      <w:r>
        <w:t>stigmatised;</w:t>
      </w:r>
      <w:r w:rsidR="001A1F90">
        <w:t xml:space="preserve"> </w:t>
      </w:r>
      <w:r>
        <w:t>traditionally</w:t>
      </w:r>
      <w:r w:rsidR="001A1F90">
        <w:t xml:space="preserve"> </w:t>
      </w:r>
      <w:r>
        <w:t>the</w:t>
      </w:r>
      <w:r w:rsidR="001A1F90">
        <w:t xml:space="preserve"> </w:t>
      </w:r>
      <w:r>
        <w:t>dominant</w:t>
      </w:r>
      <w:r w:rsidR="001A1F90">
        <w:t xml:space="preserve"> </w:t>
      </w:r>
      <w:r>
        <w:t>approach</w:t>
      </w:r>
      <w:r w:rsidR="001A1F90">
        <w:t xml:space="preserve"> </w:t>
      </w:r>
      <w:r>
        <w:t>to</w:t>
      </w:r>
      <w:r w:rsidR="001A1F90">
        <w:t xml:space="preserve"> </w:t>
      </w:r>
      <w:r>
        <w:t>their</w:t>
      </w:r>
      <w:r w:rsidR="001A1F90">
        <w:t xml:space="preserve"> </w:t>
      </w:r>
      <w:r>
        <w:t>management</w:t>
      </w:r>
      <w:r w:rsidR="001A1F90">
        <w:t xml:space="preserve"> </w:t>
      </w:r>
      <w:r>
        <w:t>has</w:t>
      </w:r>
      <w:r w:rsidR="001A1F90">
        <w:t xml:space="preserve"> </w:t>
      </w:r>
      <w:r>
        <w:t>been</w:t>
      </w:r>
      <w:r w:rsidR="001A1F90">
        <w:t xml:space="preserve"> </w:t>
      </w:r>
      <w:r>
        <w:t>punitive</w:t>
      </w:r>
      <w:r w:rsidR="001A1F90">
        <w:t xml:space="preserve"> </w:t>
      </w:r>
      <w:r>
        <w:t>as</w:t>
      </w:r>
      <w:r w:rsidR="001A1F90">
        <w:t xml:space="preserve"> </w:t>
      </w:r>
      <w:r>
        <w:t>opposed</w:t>
      </w:r>
      <w:r w:rsidR="001A1F90">
        <w:t xml:space="preserve"> </w:t>
      </w:r>
      <w:r>
        <w:t>to</w:t>
      </w:r>
      <w:r w:rsidR="001A1F90">
        <w:t xml:space="preserve"> </w:t>
      </w:r>
      <w:r>
        <w:t>being</w:t>
      </w:r>
      <w:r w:rsidR="001A1F90">
        <w:t xml:space="preserve"> </w:t>
      </w:r>
      <w:r>
        <w:t>treatment</w:t>
      </w:r>
      <w:r w:rsidR="001A1F90">
        <w:t xml:space="preserve"> </w:t>
      </w:r>
      <w:r>
        <w:t>and/or</w:t>
      </w:r>
      <w:r w:rsidR="001A1F90">
        <w:t xml:space="preserve"> </w:t>
      </w:r>
      <w:r>
        <w:t>client</w:t>
      </w:r>
      <w:r w:rsidR="001A1F90">
        <w:t xml:space="preserve"> </w:t>
      </w:r>
      <w:r>
        <w:t>focused.</w:t>
      </w:r>
      <w:r w:rsidR="001A1F90">
        <w:t xml:space="preserve"> </w:t>
      </w:r>
      <w:r>
        <w:t>Some</w:t>
      </w:r>
      <w:r w:rsidR="001A1F90">
        <w:t xml:space="preserve"> </w:t>
      </w:r>
      <w:r>
        <w:t>have</w:t>
      </w:r>
      <w:r w:rsidR="001A1F90">
        <w:t xml:space="preserve"> </w:t>
      </w:r>
      <w:r>
        <w:t>argued</w:t>
      </w:r>
      <w:r w:rsidR="001A1F90">
        <w:t xml:space="preserve"> </w:t>
      </w:r>
      <w:r>
        <w:t>that</w:t>
      </w:r>
      <w:r w:rsidR="001A1F90">
        <w:t xml:space="preserve"> </w:t>
      </w:r>
      <w:r>
        <w:t>this</w:t>
      </w:r>
      <w:r w:rsidR="001A1F90">
        <w:t xml:space="preserve"> </w:t>
      </w:r>
      <w:r>
        <w:t>emphasis</w:t>
      </w:r>
      <w:r w:rsidR="001A1F90">
        <w:t xml:space="preserve"> </w:t>
      </w:r>
      <w:r>
        <w:t>on</w:t>
      </w:r>
      <w:r w:rsidR="001A1F90">
        <w:t xml:space="preserve"> </w:t>
      </w:r>
      <w:r>
        <w:t>punishment</w:t>
      </w:r>
      <w:r w:rsidR="001A1F90">
        <w:t xml:space="preserve"> </w:t>
      </w:r>
      <w:r>
        <w:t>has</w:t>
      </w:r>
      <w:r w:rsidR="001A1F90">
        <w:t xml:space="preserve"> </w:t>
      </w:r>
      <w:r>
        <w:t>contributed</w:t>
      </w:r>
      <w:r w:rsidR="001A1F90">
        <w:t xml:space="preserve"> </w:t>
      </w:r>
      <w:r>
        <w:t>to</w:t>
      </w:r>
      <w:r w:rsidR="001A1F90">
        <w:t xml:space="preserve"> </w:t>
      </w:r>
      <w:r>
        <w:t>a</w:t>
      </w:r>
      <w:r w:rsidR="001A1F90">
        <w:t xml:space="preserve"> </w:t>
      </w:r>
      <w:r>
        <w:t>significant</w:t>
      </w:r>
      <w:r w:rsidR="001A1F90">
        <w:t xml:space="preserve"> </w:t>
      </w:r>
      <w:r>
        <w:t>shortfall</w:t>
      </w:r>
      <w:r w:rsidR="001A1F90">
        <w:t xml:space="preserve"> </w:t>
      </w:r>
      <w:r>
        <w:t>in</w:t>
      </w:r>
      <w:r w:rsidR="001A1F90">
        <w:t xml:space="preserve"> </w:t>
      </w:r>
      <w:r>
        <w:t>the</w:t>
      </w:r>
      <w:r w:rsidR="001A1F90">
        <w:t xml:space="preserve"> </w:t>
      </w:r>
      <w:r>
        <w:t>availability</w:t>
      </w:r>
      <w:r w:rsidR="001A1F90">
        <w:t xml:space="preserve"> </w:t>
      </w:r>
      <w:r>
        <w:t>of</w:t>
      </w:r>
      <w:r w:rsidR="001A1F90">
        <w:t xml:space="preserve"> </w:t>
      </w:r>
      <w:r>
        <w:t>good</w:t>
      </w:r>
      <w:r w:rsidR="00E44C49">
        <w:t>-</w:t>
      </w:r>
      <w:r>
        <w:t>quality</w:t>
      </w:r>
      <w:r w:rsidR="001A1F90">
        <w:t xml:space="preserve"> </w:t>
      </w:r>
      <w:r>
        <w:t>research</w:t>
      </w:r>
      <w:r w:rsidR="001A1F90">
        <w:t xml:space="preserve"> </w:t>
      </w:r>
      <w:r>
        <w:t>evidence</w:t>
      </w:r>
      <w:r w:rsidR="001A1F90">
        <w:t xml:space="preserve"> </w:t>
      </w:r>
      <w:r>
        <w:t>being</w:t>
      </w:r>
      <w:r w:rsidR="001A1F90">
        <w:t xml:space="preserve"> </w:t>
      </w:r>
      <w:r>
        <w:t>made</w:t>
      </w:r>
      <w:r w:rsidR="001A1F90">
        <w:t xml:space="preserve"> </w:t>
      </w:r>
      <w:r>
        <w:t>available.</w:t>
      </w:r>
      <w:r w:rsidR="001A1F90">
        <w:t xml:space="preserve"> </w:t>
      </w:r>
      <w:r>
        <w:t>Others</w:t>
      </w:r>
      <w:r w:rsidR="001A1F90">
        <w:t xml:space="preserve"> </w:t>
      </w:r>
      <w:r>
        <w:t>point</w:t>
      </w:r>
      <w:r w:rsidR="001A1F90">
        <w:t xml:space="preserve"> </w:t>
      </w:r>
      <w:r>
        <w:t>to</w:t>
      </w:r>
      <w:r w:rsidR="001A1F90">
        <w:t xml:space="preserve"> </w:t>
      </w:r>
      <w:r>
        <w:t>the</w:t>
      </w:r>
      <w:r w:rsidR="001A1F90">
        <w:t xml:space="preserve"> </w:t>
      </w:r>
      <w:r>
        <w:t>distinct</w:t>
      </w:r>
      <w:r w:rsidR="001A1F90">
        <w:t xml:space="preserve"> </w:t>
      </w:r>
      <w:r>
        <w:t>lack</w:t>
      </w:r>
      <w:r w:rsidR="001A1F90">
        <w:t xml:space="preserve"> </w:t>
      </w:r>
      <w:r>
        <w:t>of</w:t>
      </w:r>
      <w:r w:rsidR="001A1F90">
        <w:t xml:space="preserve"> </w:t>
      </w:r>
      <w:r>
        <w:t>specialist</w:t>
      </w:r>
      <w:r w:rsidR="001A1F90">
        <w:t xml:space="preserve"> </w:t>
      </w:r>
      <w:r>
        <w:t>services</w:t>
      </w:r>
      <w:r w:rsidR="001A1F90">
        <w:t xml:space="preserve"> </w:t>
      </w:r>
      <w:r>
        <w:t>being</w:t>
      </w:r>
      <w:r w:rsidR="001A1F90">
        <w:t xml:space="preserve"> </w:t>
      </w:r>
      <w:r>
        <w:t>available</w:t>
      </w:r>
      <w:r w:rsidR="001A1F90">
        <w:t xml:space="preserve"> </w:t>
      </w:r>
      <w:r>
        <w:t>to</w:t>
      </w:r>
      <w:r w:rsidR="001A1F90">
        <w:t xml:space="preserve"> </w:t>
      </w:r>
      <w:r>
        <w:t>house,</w:t>
      </w:r>
      <w:r w:rsidR="001A1F90">
        <w:t xml:space="preserve"> </w:t>
      </w:r>
      <w:r>
        <w:t>treat,</w:t>
      </w:r>
      <w:r w:rsidR="001A1F90">
        <w:t xml:space="preserve"> </w:t>
      </w:r>
      <w:r>
        <w:t>manage,</w:t>
      </w:r>
      <w:r w:rsidR="001A1F90">
        <w:t xml:space="preserve"> </w:t>
      </w:r>
      <w:r>
        <w:t>supervise</w:t>
      </w:r>
      <w:r w:rsidR="001A1F90">
        <w:t xml:space="preserve"> </w:t>
      </w:r>
      <w:r>
        <w:t>and</w:t>
      </w:r>
      <w:r w:rsidR="001A1F90">
        <w:t xml:space="preserve"> </w:t>
      </w:r>
      <w:r>
        <w:t>support</w:t>
      </w:r>
      <w:r w:rsidR="001A1F90">
        <w:t xml:space="preserve"> </w:t>
      </w:r>
      <w:r>
        <w:t>this</w:t>
      </w:r>
      <w:r w:rsidR="001A1F90">
        <w:t xml:space="preserve"> </w:t>
      </w:r>
      <w:r>
        <w:t>select</w:t>
      </w:r>
      <w:r w:rsidR="001A1F90">
        <w:t xml:space="preserve"> </w:t>
      </w:r>
      <w:r>
        <w:t>group</w:t>
      </w:r>
      <w:r w:rsidR="001A1F90">
        <w:t xml:space="preserve"> </w:t>
      </w:r>
      <w:r>
        <w:t>of</w:t>
      </w:r>
      <w:r w:rsidR="001A1F90">
        <w:t xml:space="preserve"> </w:t>
      </w:r>
      <w:r>
        <w:t>offenders.</w:t>
      </w:r>
      <w:r w:rsidR="001A1F90">
        <w:t xml:space="preserve"> </w:t>
      </w:r>
      <w:r>
        <w:t>These</w:t>
      </w:r>
      <w:r w:rsidR="001A1F90">
        <w:t xml:space="preserve"> </w:t>
      </w:r>
      <w:r>
        <w:t>service</w:t>
      </w:r>
      <w:r w:rsidR="001A1F90">
        <w:t xml:space="preserve"> </w:t>
      </w:r>
      <w:r>
        <w:t>limitations</w:t>
      </w:r>
      <w:r w:rsidR="001A1F90">
        <w:t xml:space="preserve"> </w:t>
      </w:r>
      <w:r>
        <w:t>are</w:t>
      </w:r>
      <w:r w:rsidR="001A1F90">
        <w:t xml:space="preserve"> </w:t>
      </w:r>
      <w:r>
        <w:t>not</w:t>
      </w:r>
      <w:r w:rsidR="001A1F90">
        <w:t xml:space="preserve"> </w:t>
      </w:r>
      <w:r>
        <w:t>peculiar</w:t>
      </w:r>
      <w:r w:rsidR="001A1F90">
        <w:t xml:space="preserve"> </w:t>
      </w:r>
      <w:r>
        <w:t>to</w:t>
      </w:r>
      <w:r w:rsidR="001A1F90">
        <w:t xml:space="preserve"> </w:t>
      </w:r>
      <w:r>
        <w:t>Australia,</w:t>
      </w:r>
      <w:r w:rsidR="001A1F90">
        <w:t xml:space="preserve"> </w:t>
      </w:r>
      <w:r>
        <w:t>with</w:t>
      </w:r>
      <w:r w:rsidR="001A1F90">
        <w:t xml:space="preserve"> </w:t>
      </w:r>
      <w:r>
        <w:t>many</w:t>
      </w:r>
      <w:r w:rsidR="001A1F90">
        <w:t xml:space="preserve"> </w:t>
      </w:r>
      <w:r>
        <w:t>international</w:t>
      </w:r>
      <w:r w:rsidR="001A1F90">
        <w:t xml:space="preserve"> </w:t>
      </w:r>
      <w:r>
        <w:t>commentators</w:t>
      </w:r>
      <w:r w:rsidR="001A1F90">
        <w:t xml:space="preserve"> </w:t>
      </w:r>
      <w:r>
        <w:t>noting</w:t>
      </w:r>
      <w:r w:rsidR="001A1F90">
        <w:t xml:space="preserve"> </w:t>
      </w:r>
      <w:r>
        <w:t>the</w:t>
      </w:r>
      <w:r w:rsidR="001A1F90">
        <w:t xml:space="preserve"> </w:t>
      </w:r>
      <w:r>
        <w:t>lack</w:t>
      </w:r>
      <w:r w:rsidR="001A1F90">
        <w:t xml:space="preserve"> </w:t>
      </w:r>
      <w:r>
        <w:t>of</w:t>
      </w:r>
      <w:r w:rsidR="001A1F90">
        <w:t xml:space="preserve"> </w:t>
      </w:r>
      <w:r>
        <w:t>available</w:t>
      </w:r>
      <w:r w:rsidR="001A1F90">
        <w:t xml:space="preserve"> </w:t>
      </w:r>
      <w:r>
        <w:t>funds</w:t>
      </w:r>
      <w:r w:rsidR="001A1F90">
        <w:t xml:space="preserve"> </w:t>
      </w:r>
      <w:r>
        <w:t>to</w:t>
      </w:r>
      <w:r w:rsidR="001A1F90">
        <w:t xml:space="preserve"> </w:t>
      </w:r>
      <w:r>
        <w:t>support</w:t>
      </w:r>
      <w:r w:rsidR="001A1F90">
        <w:t xml:space="preserve"> </w:t>
      </w:r>
      <w:r>
        <w:t>specialist</w:t>
      </w:r>
      <w:r w:rsidR="001A1F90">
        <w:t xml:space="preserve"> </w:t>
      </w:r>
      <w:r>
        <w:t>services</w:t>
      </w:r>
      <w:r w:rsidR="001A1F90">
        <w:t xml:space="preserve"> </w:t>
      </w:r>
      <w:r>
        <w:t>(</w:t>
      </w:r>
      <w:r w:rsidR="006D585C">
        <w:t xml:space="preserve">see, </w:t>
      </w:r>
      <w:r w:rsidR="00F550F1">
        <w:t>for example</w:t>
      </w:r>
      <w:r>
        <w:t>,</w:t>
      </w:r>
      <w:r w:rsidR="001A1F90">
        <w:t xml:space="preserve"> </w:t>
      </w:r>
      <w:r>
        <w:t>Hayes</w:t>
      </w:r>
      <w:r w:rsidR="001A1F90">
        <w:t xml:space="preserve"> </w:t>
      </w:r>
      <w:r>
        <w:t>2004).</w:t>
      </w:r>
      <w:r w:rsidR="001A1F90">
        <w:t xml:space="preserve"> </w:t>
      </w:r>
      <w:r>
        <w:t>One</w:t>
      </w:r>
      <w:r w:rsidR="001A1F90">
        <w:t xml:space="preserve"> </w:t>
      </w:r>
      <w:r>
        <w:t>of</w:t>
      </w:r>
      <w:r w:rsidR="001A1F90">
        <w:t xml:space="preserve"> </w:t>
      </w:r>
      <w:r>
        <w:t>the</w:t>
      </w:r>
      <w:r w:rsidR="001A1F90">
        <w:t xml:space="preserve"> </w:t>
      </w:r>
      <w:r>
        <w:t>most</w:t>
      </w:r>
      <w:r w:rsidR="001A1F90">
        <w:t xml:space="preserve"> </w:t>
      </w:r>
      <w:r>
        <w:t>significant</w:t>
      </w:r>
      <w:r w:rsidR="001A1F90">
        <w:t xml:space="preserve"> </w:t>
      </w:r>
      <w:r>
        <w:t>shortfalls</w:t>
      </w:r>
      <w:r w:rsidR="001A1F90">
        <w:t xml:space="preserve"> </w:t>
      </w:r>
      <w:r>
        <w:t>in</w:t>
      </w:r>
      <w:r w:rsidR="001A1F90">
        <w:t xml:space="preserve"> </w:t>
      </w:r>
      <w:r>
        <w:t>service</w:t>
      </w:r>
      <w:r w:rsidR="001A1F90">
        <w:t xml:space="preserve"> </w:t>
      </w:r>
      <w:r>
        <w:t>provision</w:t>
      </w:r>
      <w:r w:rsidR="001A1F90">
        <w:t xml:space="preserve"> </w:t>
      </w:r>
      <w:r>
        <w:t>relates</w:t>
      </w:r>
      <w:r w:rsidR="001A1F90">
        <w:t xml:space="preserve"> </w:t>
      </w:r>
      <w:r>
        <w:t>to</w:t>
      </w:r>
      <w:r w:rsidR="001A1F90">
        <w:t xml:space="preserve"> </w:t>
      </w:r>
      <w:r>
        <w:t>people</w:t>
      </w:r>
      <w:r w:rsidR="001A1F90">
        <w:t xml:space="preserve"> </w:t>
      </w:r>
      <w:r>
        <w:t>with</w:t>
      </w:r>
      <w:r w:rsidR="001A1F90">
        <w:t xml:space="preserve"> </w:t>
      </w:r>
      <w:r>
        <w:t>an</w:t>
      </w:r>
      <w:r w:rsidR="001A1F90">
        <w:t xml:space="preserve"> </w:t>
      </w:r>
      <w:r>
        <w:t>intellectual</w:t>
      </w:r>
      <w:r w:rsidR="001A1F90">
        <w:t xml:space="preserve"> </w:t>
      </w:r>
      <w:r>
        <w:t>disability</w:t>
      </w:r>
      <w:r w:rsidR="001A1F90">
        <w:t xml:space="preserve"> </w:t>
      </w:r>
      <w:r>
        <w:t>who</w:t>
      </w:r>
      <w:r w:rsidR="001A1F90">
        <w:t xml:space="preserve"> </w:t>
      </w:r>
      <w:r>
        <w:t>sexually</w:t>
      </w:r>
      <w:r w:rsidR="001A1F90">
        <w:t xml:space="preserve"> </w:t>
      </w:r>
      <w:r>
        <w:t>offend.</w:t>
      </w:r>
      <w:r w:rsidR="001A1F90">
        <w:t xml:space="preserve"> </w:t>
      </w:r>
      <w:r>
        <w:t>In</w:t>
      </w:r>
      <w:r w:rsidR="001A1F90">
        <w:t xml:space="preserve"> </w:t>
      </w:r>
      <w:r>
        <w:t>a</w:t>
      </w:r>
      <w:r w:rsidR="001A1F90">
        <w:t xml:space="preserve"> </w:t>
      </w:r>
      <w:r>
        <w:t>compelling</w:t>
      </w:r>
      <w:r w:rsidR="001A1F90">
        <w:t xml:space="preserve"> </w:t>
      </w:r>
      <w:r>
        <w:t>paper,</w:t>
      </w:r>
      <w:r w:rsidR="001A1F90">
        <w:t xml:space="preserve"> </w:t>
      </w:r>
      <w:r>
        <w:t>Susan</w:t>
      </w:r>
      <w:r w:rsidR="001A1F90">
        <w:t xml:space="preserve"> </w:t>
      </w:r>
      <w:r>
        <w:t>Hayes</w:t>
      </w:r>
      <w:r w:rsidR="001A1F90">
        <w:t xml:space="preserve"> </w:t>
      </w:r>
      <w:r>
        <w:t>(2004,</w:t>
      </w:r>
      <w:r w:rsidR="001A1F90">
        <w:t xml:space="preserve"> </w:t>
      </w:r>
      <w:r>
        <w:t>p.</w:t>
      </w:r>
      <w:r w:rsidR="001A1F90">
        <w:t xml:space="preserve"> </w:t>
      </w:r>
      <w:r>
        <w:t>85)</w:t>
      </w:r>
      <w:r w:rsidR="001A1F90">
        <w:t xml:space="preserve"> </w:t>
      </w:r>
      <w:r>
        <w:t>adapted</w:t>
      </w:r>
      <w:r w:rsidR="001A1F90">
        <w:t xml:space="preserve"> </w:t>
      </w:r>
      <w:r>
        <w:t>John</w:t>
      </w:r>
      <w:r w:rsidR="001A1F90">
        <w:t xml:space="preserve"> </w:t>
      </w:r>
      <w:r>
        <w:t>Gunn’s</w:t>
      </w:r>
      <w:r w:rsidR="001A1F90">
        <w:t xml:space="preserve"> </w:t>
      </w:r>
      <w:r>
        <w:t>(2000)</w:t>
      </w:r>
      <w:r w:rsidR="001A1F90">
        <w:t xml:space="preserve"> </w:t>
      </w:r>
      <w:r>
        <w:t>argument</w:t>
      </w:r>
      <w:r w:rsidR="001A1F90">
        <w:t xml:space="preserve"> </w:t>
      </w:r>
      <w:r>
        <w:t>about</w:t>
      </w:r>
      <w:r w:rsidR="001A1F90">
        <w:t xml:space="preserve"> </w:t>
      </w:r>
      <w:r>
        <w:t>the</w:t>
      </w:r>
      <w:r w:rsidR="001A1F90">
        <w:t xml:space="preserve"> </w:t>
      </w:r>
      <w:r>
        <w:t>availability</w:t>
      </w:r>
      <w:r w:rsidR="001A1F90">
        <w:t xml:space="preserve"> </w:t>
      </w:r>
      <w:r>
        <w:t>of</w:t>
      </w:r>
      <w:r w:rsidR="001A1F90">
        <w:t xml:space="preserve"> </w:t>
      </w:r>
      <w:r>
        <w:t>services</w:t>
      </w:r>
      <w:r w:rsidR="001A1F90">
        <w:t xml:space="preserve"> </w:t>
      </w:r>
      <w:r>
        <w:t>for</w:t>
      </w:r>
      <w:r w:rsidR="001A1F90">
        <w:t xml:space="preserve"> </w:t>
      </w:r>
      <w:r>
        <w:t>people</w:t>
      </w:r>
      <w:r w:rsidR="001A1F90">
        <w:t xml:space="preserve"> </w:t>
      </w:r>
      <w:r>
        <w:t>with</w:t>
      </w:r>
      <w:r w:rsidR="001A1F90">
        <w:t xml:space="preserve"> </w:t>
      </w:r>
      <w:r>
        <w:t>mental</w:t>
      </w:r>
      <w:r w:rsidR="001A1F90">
        <w:t xml:space="preserve"> </w:t>
      </w:r>
      <w:r>
        <w:t>disorders</w:t>
      </w:r>
      <w:r w:rsidR="001A1F90">
        <w:t xml:space="preserve"> </w:t>
      </w:r>
      <w:r>
        <w:t>to</w:t>
      </w:r>
      <w:r w:rsidR="001A1F90">
        <w:t xml:space="preserve"> </w:t>
      </w:r>
      <w:r>
        <w:t>consider</w:t>
      </w:r>
      <w:r w:rsidR="001A1F90">
        <w:t xml:space="preserve"> </w:t>
      </w:r>
      <w:r>
        <w:t>the</w:t>
      </w:r>
      <w:r w:rsidR="001A1F90">
        <w:t xml:space="preserve"> </w:t>
      </w:r>
      <w:r>
        <w:t>core</w:t>
      </w:r>
      <w:r w:rsidR="001A1F90">
        <w:t xml:space="preserve"> </w:t>
      </w:r>
      <w:r>
        <w:t>factors</w:t>
      </w:r>
      <w:r w:rsidR="001A1F90">
        <w:t xml:space="preserve"> </w:t>
      </w:r>
      <w:r>
        <w:t>that</w:t>
      </w:r>
      <w:r w:rsidR="001A1F90">
        <w:t xml:space="preserve"> </w:t>
      </w:r>
      <w:r>
        <w:t>influence</w:t>
      </w:r>
      <w:r w:rsidR="001A1F90">
        <w:t xml:space="preserve"> </w:t>
      </w:r>
      <w:r>
        <w:t>the</w:t>
      </w:r>
      <w:r w:rsidR="001A1F90">
        <w:t xml:space="preserve"> </w:t>
      </w:r>
      <w:r>
        <w:t>availability</w:t>
      </w:r>
      <w:r w:rsidR="001A1F90">
        <w:t xml:space="preserve"> </w:t>
      </w:r>
      <w:r>
        <w:t>of</w:t>
      </w:r>
      <w:r w:rsidR="001A1F90">
        <w:t xml:space="preserve"> </w:t>
      </w:r>
      <w:r>
        <w:t>placement</w:t>
      </w:r>
      <w:r w:rsidR="001A1F90">
        <w:t xml:space="preserve"> </w:t>
      </w:r>
      <w:r>
        <w:t>options</w:t>
      </w:r>
      <w:r w:rsidR="001A1F90">
        <w:t xml:space="preserve"> </w:t>
      </w:r>
      <w:r>
        <w:t>for</w:t>
      </w:r>
      <w:r w:rsidR="001A1F90">
        <w:t xml:space="preserve"> </w:t>
      </w:r>
      <w:r>
        <w:t>people</w:t>
      </w:r>
      <w:r w:rsidR="001A1F90">
        <w:t xml:space="preserve"> </w:t>
      </w:r>
      <w:r>
        <w:t>with</w:t>
      </w:r>
      <w:r w:rsidR="001A1F90">
        <w:t xml:space="preserve"> </w:t>
      </w:r>
      <w:r>
        <w:t>intellectual</w:t>
      </w:r>
      <w:r w:rsidR="001A1F90">
        <w:t xml:space="preserve"> </w:t>
      </w:r>
      <w:r>
        <w:t>disability.</w:t>
      </w:r>
      <w:r w:rsidR="001A1F90">
        <w:t xml:space="preserve"> </w:t>
      </w:r>
      <w:r>
        <w:t>She</w:t>
      </w:r>
      <w:r w:rsidR="001A1F90">
        <w:t xml:space="preserve"> </w:t>
      </w:r>
      <w:r>
        <w:t>argues</w:t>
      </w:r>
      <w:r w:rsidR="001A1F90">
        <w:t xml:space="preserve"> </w:t>
      </w:r>
      <w:r>
        <w:t>that</w:t>
      </w:r>
      <w:r w:rsidR="001A1F90">
        <w:t xml:space="preserve"> </w:t>
      </w:r>
      <w:r>
        <w:t>the</w:t>
      </w:r>
      <w:r w:rsidR="001A1F90">
        <w:t xml:space="preserve"> </w:t>
      </w:r>
      <w:r>
        <w:t>continued</w:t>
      </w:r>
      <w:r w:rsidR="001A1F90">
        <w:t xml:space="preserve"> </w:t>
      </w:r>
      <w:r>
        <w:t>limited</w:t>
      </w:r>
      <w:r w:rsidR="001A1F90">
        <w:t xml:space="preserve"> </w:t>
      </w:r>
      <w:r>
        <w:t>range</w:t>
      </w:r>
      <w:r w:rsidR="001A1F90">
        <w:t xml:space="preserve"> </w:t>
      </w:r>
      <w:r>
        <w:t>of</w:t>
      </w:r>
      <w:r w:rsidR="001A1F90">
        <w:t xml:space="preserve"> </w:t>
      </w:r>
      <w:r>
        <w:t>specialist</w:t>
      </w:r>
      <w:r w:rsidR="001A1F90">
        <w:t xml:space="preserve"> </w:t>
      </w:r>
      <w:r>
        <w:t>services</w:t>
      </w:r>
      <w:r w:rsidR="001A1F90">
        <w:t xml:space="preserve"> </w:t>
      </w:r>
      <w:r>
        <w:t>available</w:t>
      </w:r>
      <w:r w:rsidR="001A1F90">
        <w:t xml:space="preserve"> </w:t>
      </w:r>
      <w:r>
        <w:t>reflects:</w:t>
      </w:r>
      <w:r w:rsidR="001A1F90">
        <w:t xml:space="preserve"> </w:t>
      </w:r>
      <w:r>
        <w:t>(1)</w:t>
      </w:r>
      <w:r w:rsidR="001A1F90">
        <w:t xml:space="preserve"> </w:t>
      </w:r>
      <w:r>
        <w:t>sustained</w:t>
      </w:r>
      <w:r w:rsidR="001A1F90">
        <w:t xml:space="preserve"> </w:t>
      </w:r>
      <w:r>
        <w:t>public</w:t>
      </w:r>
      <w:r w:rsidR="001A1F90">
        <w:t xml:space="preserve"> </w:t>
      </w:r>
      <w:r>
        <w:t>notions</w:t>
      </w:r>
      <w:r w:rsidR="001A1F90">
        <w:t xml:space="preserve"> </w:t>
      </w:r>
      <w:r>
        <w:t>of</w:t>
      </w:r>
      <w:r w:rsidR="001A1F90">
        <w:t xml:space="preserve"> </w:t>
      </w:r>
      <w:r>
        <w:t>dangerousness</w:t>
      </w:r>
      <w:r w:rsidR="001A1F90">
        <w:t xml:space="preserve"> </w:t>
      </w:r>
      <w:r>
        <w:t>and</w:t>
      </w:r>
      <w:r w:rsidR="001A1F90">
        <w:t xml:space="preserve"> </w:t>
      </w:r>
      <w:r>
        <w:t>the</w:t>
      </w:r>
      <w:r w:rsidR="001A1F90">
        <w:t xml:space="preserve"> </w:t>
      </w:r>
      <w:r>
        <w:t>continued</w:t>
      </w:r>
      <w:r w:rsidR="001A1F90">
        <w:t xml:space="preserve"> </w:t>
      </w:r>
      <w:r>
        <w:t>stigmatisation</w:t>
      </w:r>
      <w:r w:rsidR="001A1F90">
        <w:t xml:space="preserve"> </w:t>
      </w:r>
      <w:r>
        <w:t>of</w:t>
      </w:r>
      <w:r w:rsidR="001A1F90">
        <w:t xml:space="preserve"> </w:t>
      </w:r>
      <w:r>
        <w:t>those</w:t>
      </w:r>
      <w:r w:rsidR="001A1F90">
        <w:t xml:space="preserve"> </w:t>
      </w:r>
      <w:r>
        <w:t>who</w:t>
      </w:r>
      <w:r w:rsidR="001A1F90">
        <w:t xml:space="preserve"> </w:t>
      </w:r>
      <w:r>
        <w:t>are</w:t>
      </w:r>
      <w:r w:rsidR="001A1F90">
        <w:t xml:space="preserve"> </w:t>
      </w:r>
      <w:r>
        <w:t>different;</w:t>
      </w:r>
      <w:r w:rsidR="001A1F90">
        <w:t xml:space="preserve"> </w:t>
      </w:r>
      <w:r>
        <w:t>(2)</w:t>
      </w:r>
      <w:r w:rsidR="001A1F90">
        <w:t xml:space="preserve"> </w:t>
      </w:r>
      <w:r>
        <w:t>that</w:t>
      </w:r>
      <w:r w:rsidR="001A1F90">
        <w:t xml:space="preserve"> </w:t>
      </w:r>
      <w:r>
        <w:t>society</w:t>
      </w:r>
      <w:r w:rsidR="001A1F90">
        <w:t xml:space="preserve"> </w:t>
      </w:r>
      <w:r>
        <w:t>cares</w:t>
      </w:r>
      <w:r w:rsidR="001A1F90">
        <w:t xml:space="preserve"> </w:t>
      </w:r>
      <w:r>
        <w:t>less</w:t>
      </w:r>
      <w:r w:rsidR="001A1F90">
        <w:t xml:space="preserve"> </w:t>
      </w:r>
      <w:r>
        <w:t>for</w:t>
      </w:r>
      <w:r w:rsidR="001A1F90">
        <w:t xml:space="preserve"> </w:t>
      </w:r>
      <w:r>
        <w:t>its</w:t>
      </w:r>
      <w:r w:rsidR="001A1F90">
        <w:t xml:space="preserve"> </w:t>
      </w:r>
      <w:r>
        <w:t>vulnerable</w:t>
      </w:r>
      <w:r w:rsidR="001A1F90">
        <w:t xml:space="preserve"> </w:t>
      </w:r>
      <w:r>
        <w:t>members;</w:t>
      </w:r>
      <w:r w:rsidR="001A1F90">
        <w:t xml:space="preserve"> </w:t>
      </w:r>
      <w:r>
        <w:t>(3)</w:t>
      </w:r>
      <w:r w:rsidR="001A1F90">
        <w:t xml:space="preserve"> </w:t>
      </w:r>
      <w:r>
        <w:t>that</w:t>
      </w:r>
      <w:r w:rsidR="001A1F90">
        <w:t xml:space="preserve"> </w:t>
      </w:r>
      <w:r>
        <w:t>caring</w:t>
      </w:r>
      <w:r w:rsidR="001A1F90">
        <w:t xml:space="preserve"> </w:t>
      </w:r>
      <w:r>
        <w:t>professionals</w:t>
      </w:r>
      <w:r w:rsidR="001A1F90">
        <w:t xml:space="preserve"> </w:t>
      </w:r>
      <w:r>
        <w:t>are</w:t>
      </w:r>
      <w:r w:rsidR="001A1F90">
        <w:t xml:space="preserve"> </w:t>
      </w:r>
      <w:r>
        <w:t>increasingly</w:t>
      </w:r>
      <w:r w:rsidR="001A1F90">
        <w:t xml:space="preserve"> </w:t>
      </w:r>
      <w:r>
        <w:t>viewing</w:t>
      </w:r>
      <w:r w:rsidR="001A1F90">
        <w:t xml:space="preserve"> </w:t>
      </w:r>
      <w:r>
        <w:t>some</w:t>
      </w:r>
      <w:r w:rsidR="001A1F90">
        <w:t xml:space="preserve"> </w:t>
      </w:r>
      <w:r w:rsidR="000429EE">
        <w:t xml:space="preserve">people </w:t>
      </w:r>
      <w:r>
        <w:t>as</w:t>
      </w:r>
      <w:r w:rsidR="001A1F90">
        <w:t xml:space="preserve"> </w:t>
      </w:r>
      <w:r>
        <w:t>untreatable,</w:t>
      </w:r>
      <w:r w:rsidR="001A1F90">
        <w:t xml:space="preserve"> </w:t>
      </w:r>
      <w:r>
        <w:t>too</w:t>
      </w:r>
      <w:r w:rsidR="001A1F90">
        <w:t xml:space="preserve"> </w:t>
      </w:r>
      <w:r>
        <w:t>difficult,</w:t>
      </w:r>
      <w:r w:rsidR="001A1F90">
        <w:t xml:space="preserve"> </w:t>
      </w:r>
      <w:r>
        <w:t>or</w:t>
      </w:r>
      <w:r w:rsidR="001A1F90">
        <w:t xml:space="preserve"> </w:t>
      </w:r>
      <w:r>
        <w:t>difficult</w:t>
      </w:r>
      <w:r w:rsidR="001A1F90">
        <w:t xml:space="preserve"> </w:t>
      </w:r>
      <w:r>
        <w:t>to</w:t>
      </w:r>
      <w:r w:rsidR="001A1F90">
        <w:t xml:space="preserve"> </w:t>
      </w:r>
      <w:r>
        <w:t>like;</w:t>
      </w:r>
      <w:r w:rsidR="001A1F90">
        <w:t xml:space="preserve"> </w:t>
      </w:r>
      <w:r>
        <w:t>and</w:t>
      </w:r>
      <w:r w:rsidR="001A1F90">
        <w:t xml:space="preserve"> </w:t>
      </w:r>
      <w:r>
        <w:t>(4)</w:t>
      </w:r>
      <w:r w:rsidR="001A1F90">
        <w:t xml:space="preserve"> </w:t>
      </w:r>
      <w:r>
        <w:t>prison</w:t>
      </w:r>
      <w:r w:rsidR="001A1F90">
        <w:t xml:space="preserve"> </w:t>
      </w:r>
      <w:r>
        <w:t>may</w:t>
      </w:r>
      <w:r w:rsidR="001A1F90">
        <w:t xml:space="preserve"> </w:t>
      </w:r>
      <w:r>
        <w:t>be</w:t>
      </w:r>
      <w:r w:rsidR="001A1F90">
        <w:t xml:space="preserve"> </w:t>
      </w:r>
      <w:r>
        <w:t>being</w:t>
      </w:r>
      <w:r w:rsidR="001A1F90">
        <w:t xml:space="preserve"> </w:t>
      </w:r>
      <w:r>
        <w:t>perceived</w:t>
      </w:r>
      <w:r w:rsidR="001A1F90">
        <w:t xml:space="preserve"> </w:t>
      </w:r>
      <w:r>
        <w:t>by</w:t>
      </w:r>
      <w:r w:rsidR="001A1F90">
        <w:t xml:space="preserve"> </w:t>
      </w:r>
      <w:r w:rsidR="00C84854">
        <w:t xml:space="preserve">the public sector </w:t>
      </w:r>
      <w:r>
        <w:t>and</w:t>
      </w:r>
      <w:r w:rsidR="001A1F90">
        <w:t xml:space="preserve"> </w:t>
      </w:r>
      <w:r>
        <w:t>politicians</w:t>
      </w:r>
      <w:r w:rsidR="001A1F90">
        <w:t xml:space="preserve"> </w:t>
      </w:r>
      <w:r>
        <w:t>as</w:t>
      </w:r>
      <w:r w:rsidR="001A1F90">
        <w:t xml:space="preserve"> </w:t>
      </w:r>
      <w:r>
        <w:t>a</w:t>
      </w:r>
      <w:r w:rsidR="001A1F90">
        <w:t xml:space="preserve"> </w:t>
      </w:r>
      <w:r>
        <w:t>cheaper</w:t>
      </w:r>
      <w:r w:rsidR="001A1F90">
        <w:t xml:space="preserve"> </w:t>
      </w:r>
      <w:r>
        <w:t>option.</w:t>
      </w:r>
    </w:p>
    <w:p w14:paraId="359D0EC8" w14:textId="19F75173" w:rsidR="004946F1" w:rsidRDefault="004946F1" w:rsidP="009B0E14">
      <w:pPr>
        <w:pStyle w:val="Heading2"/>
      </w:pPr>
      <w:bookmarkStart w:id="3" w:name="_Toc20225591"/>
      <w:r>
        <w:t>Treatment</w:t>
      </w:r>
      <w:r w:rsidR="001A1F90">
        <w:t xml:space="preserve"> </w:t>
      </w:r>
      <w:r>
        <w:t>options</w:t>
      </w:r>
      <w:bookmarkEnd w:id="3"/>
    </w:p>
    <w:p w14:paraId="654CEE90" w14:textId="381B6E3E" w:rsidR="004946F1" w:rsidRDefault="004946F1" w:rsidP="00BD612C">
      <w:pPr>
        <w:pStyle w:val="DHHSbody"/>
      </w:pPr>
      <w:r>
        <w:t>The</w:t>
      </w:r>
      <w:r w:rsidR="001A1F90">
        <w:t xml:space="preserve"> </w:t>
      </w:r>
      <w:r>
        <w:t>aim</w:t>
      </w:r>
      <w:r w:rsidR="001A1F90">
        <w:t xml:space="preserve"> </w:t>
      </w:r>
      <w:r>
        <w:t>of</w:t>
      </w:r>
      <w:r w:rsidR="001A1F90">
        <w:t xml:space="preserve"> </w:t>
      </w:r>
      <w:r>
        <w:t>treatment,</w:t>
      </w:r>
      <w:r w:rsidR="001A1F90">
        <w:t xml:space="preserve"> </w:t>
      </w:r>
      <w:r>
        <w:t>regardless</w:t>
      </w:r>
      <w:r w:rsidR="001A1F90">
        <w:t xml:space="preserve"> </w:t>
      </w:r>
      <w:r>
        <w:t>of</w:t>
      </w:r>
      <w:r w:rsidR="001A1F90">
        <w:t xml:space="preserve"> </w:t>
      </w:r>
      <w:r>
        <w:t>presenting</w:t>
      </w:r>
      <w:r w:rsidR="001A1F90">
        <w:t xml:space="preserve"> </w:t>
      </w:r>
      <w:r>
        <w:t>severity,</w:t>
      </w:r>
      <w:r w:rsidR="001A1F90">
        <w:t xml:space="preserve"> </w:t>
      </w:r>
      <w:r>
        <w:t>should</w:t>
      </w:r>
      <w:r w:rsidR="001A1F90">
        <w:t xml:space="preserve"> </w:t>
      </w:r>
      <w:r>
        <w:t>always</w:t>
      </w:r>
      <w:r w:rsidR="001A1F90">
        <w:t xml:space="preserve"> </w:t>
      </w:r>
      <w:r>
        <w:t>be</w:t>
      </w:r>
      <w:r w:rsidR="001A1F90">
        <w:t xml:space="preserve"> </w:t>
      </w:r>
      <w:r>
        <w:t>the</w:t>
      </w:r>
      <w:r w:rsidR="001A1F90">
        <w:t xml:space="preserve"> </w:t>
      </w:r>
      <w:r>
        <w:t>same,</w:t>
      </w:r>
      <w:r w:rsidR="001A1F90">
        <w:t xml:space="preserve"> </w:t>
      </w:r>
      <w:r>
        <w:t>namely:</w:t>
      </w:r>
      <w:r w:rsidR="001A1F90">
        <w:t xml:space="preserve"> </w:t>
      </w:r>
      <w:r>
        <w:t>(1)</w:t>
      </w:r>
      <w:r w:rsidR="001A1F90">
        <w:t xml:space="preserve"> </w:t>
      </w:r>
      <w:r>
        <w:t>to</w:t>
      </w:r>
      <w:r w:rsidR="001A1F90">
        <w:t xml:space="preserve"> </w:t>
      </w:r>
      <w:r>
        <w:t>reduce</w:t>
      </w:r>
      <w:r w:rsidR="001A1F90">
        <w:t xml:space="preserve"> </w:t>
      </w:r>
      <w:r w:rsidR="00C84854">
        <w:t>inappropriate</w:t>
      </w:r>
      <w:r w:rsidR="001A1F90">
        <w:t xml:space="preserve"> </w:t>
      </w:r>
      <w:r>
        <w:t>sexual</w:t>
      </w:r>
      <w:r w:rsidR="001A1F90">
        <w:t xml:space="preserve"> </w:t>
      </w:r>
      <w:r>
        <w:t>behaviour</w:t>
      </w:r>
      <w:r w:rsidR="00E44C49">
        <w:t>;</w:t>
      </w:r>
      <w:r w:rsidR="001A1F90">
        <w:t xml:space="preserve"> </w:t>
      </w:r>
      <w:r>
        <w:t>(2)</w:t>
      </w:r>
      <w:r w:rsidR="001A1F90">
        <w:t xml:space="preserve"> </w:t>
      </w:r>
      <w:r>
        <w:t>to</w:t>
      </w:r>
      <w:r w:rsidR="001A1F90">
        <w:t xml:space="preserve"> </w:t>
      </w:r>
      <w:r>
        <w:t>suppress</w:t>
      </w:r>
      <w:r w:rsidR="001A1F90">
        <w:t xml:space="preserve"> </w:t>
      </w:r>
      <w:r w:rsidR="00C84854">
        <w:t>inappropriate</w:t>
      </w:r>
      <w:r w:rsidR="001A1F90">
        <w:t xml:space="preserve"> </w:t>
      </w:r>
      <w:r>
        <w:t>sexual</w:t>
      </w:r>
      <w:r w:rsidR="001A1F90">
        <w:t xml:space="preserve"> </w:t>
      </w:r>
      <w:r>
        <w:t>urges</w:t>
      </w:r>
      <w:r w:rsidR="001A1F90">
        <w:t xml:space="preserve"> </w:t>
      </w:r>
      <w:r>
        <w:t>and</w:t>
      </w:r>
      <w:r w:rsidR="001A1F90">
        <w:t xml:space="preserve"> </w:t>
      </w:r>
      <w:r>
        <w:t>behaviour</w:t>
      </w:r>
      <w:r w:rsidR="00E44C49">
        <w:t>;</w:t>
      </w:r>
      <w:r w:rsidR="001A1F90">
        <w:t xml:space="preserve"> </w:t>
      </w:r>
      <w:r>
        <w:t>and</w:t>
      </w:r>
      <w:r w:rsidR="001A1F90">
        <w:t xml:space="preserve"> </w:t>
      </w:r>
      <w:r>
        <w:t>(3)</w:t>
      </w:r>
      <w:r w:rsidR="001A1F90">
        <w:t xml:space="preserve"> </w:t>
      </w:r>
      <w:r>
        <w:t>to</w:t>
      </w:r>
      <w:r w:rsidR="001A1F90">
        <w:t xml:space="preserve"> </w:t>
      </w:r>
      <w:r>
        <w:t>reduce</w:t>
      </w:r>
      <w:r w:rsidR="001A1F90">
        <w:t xml:space="preserve"> </w:t>
      </w:r>
      <w:r>
        <w:t>the</w:t>
      </w:r>
      <w:r w:rsidR="001A1F90">
        <w:t xml:space="preserve"> </w:t>
      </w:r>
      <w:r>
        <w:t>risk</w:t>
      </w:r>
      <w:r w:rsidR="001A1F90">
        <w:t xml:space="preserve"> </w:t>
      </w:r>
      <w:r>
        <w:t>of</w:t>
      </w:r>
      <w:r w:rsidR="001A1F90">
        <w:t xml:space="preserve"> </w:t>
      </w:r>
      <w:r>
        <w:t>further</w:t>
      </w:r>
      <w:r w:rsidR="001A1F90">
        <w:t xml:space="preserve"> </w:t>
      </w:r>
      <w:r>
        <w:t>victimisation</w:t>
      </w:r>
      <w:r w:rsidR="001A1F90">
        <w:t xml:space="preserve"> </w:t>
      </w:r>
      <w:r>
        <w:t>(Bradford</w:t>
      </w:r>
      <w:r w:rsidR="001A1F90">
        <w:t xml:space="preserve"> </w:t>
      </w:r>
      <w:r>
        <w:t>2000,</w:t>
      </w:r>
      <w:r w:rsidR="001A1F90">
        <w:t xml:space="preserve"> </w:t>
      </w:r>
      <w:r>
        <w:t>p.</w:t>
      </w:r>
      <w:r w:rsidR="001A1F90">
        <w:t xml:space="preserve"> </w:t>
      </w:r>
      <w:r>
        <w:t>250).</w:t>
      </w:r>
      <w:r w:rsidR="001A1F90">
        <w:t xml:space="preserve"> </w:t>
      </w:r>
      <w:r>
        <w:t>The</w:t>
      </w:r>
      <w:r w:rsidR="001A1F90">
        <w:t xml:space="preserve"> </w:t>
      </w:r>
      <w:r>
        <w:t>focus</w:t>
      </w:r>
      <w:r w:rsidR="001A1F90">
        <w:t xml:space="preserve"> </w:t>
      </w:r>
      <w:r>
        <w:t>of</w:t>
      </w:r>
      <w:r w:rsidR="001A1F90">
        <w:t xml:space="preserve"> </w:t>
      </w:r>
      <w:r>
        <w:t>intervention</w:t>
      </w:r>
      <w:r w:rsidR="001A1F90">
        <w:t xml:space="preserve"> </w:t>
      </w:r>
      <w:r>
        <w:t>efforts</w:t>
      </w:r>
      <w:r w:rsidR="001A1F90">
        <w:t xml:space="preserve"> </w:t>
      </w:r>
      <w:r>
        <w:t>over</w:t>
      </w:r>
      <w:r w:rsidR="001A1F90">
        <w:t xml:space="preserve"> </w:t>
      </w:r>
      <w:r>
        <w:t>the</w:t>
      </w:r>
      <w:r w:rsidR="001A1F90">
        <w:t xml:space="preserve"> </w:t>
      </w:r>
      <w:r>
        <w:t>years</w:t>
      </w:r>
      <w:r w:rsidR="001A1F90">
        <w:t xml:space="preserve"> </w:t>
      </w:r>
      <w:r>
        <w:t>have</w:t>
      </w:r>
      <w:r w:rsidR="001A1F90">
        <w:t xml:space="preserve"> </w:t>
      </w:r>
      <w:r>
        <w:t>predominantly</w:t>
      </w:r>
      <w:r w:rsidR="001A1F90">
        <w:t xml:space="preserve"> </w:t>
      </w:r>
      <w:r>
        <w:t>considered</w:t>
      </w:r>
      <w:r w:rsidR="001A1F90">
        <w:t xml:space="preserve"> </w:t>
      </w:r>
      <w:r>
        <w:t>the</w:t>
      </w:r>
      <w:r w:rsidR="001A1F90">
        <w:t xml:space="preserve"> </w:t>
      </w:r>
      <w:r>
        <w:t>application</w:t>
      </w:r>
      <w:r w:rsidR="001A1F90">
        <w:t xml:space="preserve"> </w:t>
      </w:r>
      <w:r>
        <w:t>of</w:t>
      </w:r>
      <w:r w:rsidR="001A1F90">
        <w:t xml:space="preserve"> </w:t>
      </w:r>
      <w:r>
        <w:t>psychological</w:t>
      </w:r>
      <w:r w:rsidR="001A1F90">
        <w:t xml:space="preserve"> </w:t>
      </w:r>
      <w:r>
        <w:t>interventions</w:t>
      </w:r>
      <w:r w:rsidR="001A1F90">
        <w:t xml:space="preserve"> </w:t>
      </w:r>
      <w:r>
        <w:t>and</w:t>
      </w:r>
      <w:r w:rsidR="001A1F90">
        <w:t xml:space="preserve"> </w:t>
      </w:r>
      <w:r>
        <w:t>biological</w:t>
      </w:r>
      <w:r w:rsidR="001A1F90">
        <w:t xml:space="preserve"> </w:t>
      </w:r>
      <w:r>
        <w:t>treatments.</w:t>
      </w:r>
      <w:r w:rsidR="001A1F90">
        <w:t xml:space="preserve"> </w:t>
      </w:r>
      <w:r>
        <w:t>Pharmacological</w:t>
      </w:r>
      <w:r w:rsidR="001A1F90">
        <w:t xml:space="preserve"> </w:t>
      </w:r>
      <w:r>
        <w:t>approaches</w:t>
      </w:r>
      <w:r w:rsidR="001A1F90">
        <w:t xml:space="preserve"> </w:t>
      </w:r>
      <w:r>
        <w:t>to</w:t>
      </w:r>
      <w:r w:rsidR="001A1F90">
        <w:t xml:space="preserve"> </w:t>
      </w:r>
      <w:r>
        <w:t>treat</w:t>
      </w:r>
      <w:r w:rsidR="00E44C49">
        <w:t>ing</w:t>
      </w:r>
      <w:r w:rsidR="001A1F90">
        <w:t xml:space="preserve"> </w:t>
      </w:r>
      <w:r>
        <w:t>sexual</w:t>
      </w:r>
      <w:r w:rsidR="001A1F90">
        <w:t xml:space="preserve"> </w:t>
      </w:r>
      <w:r>
        <w:t>offending</w:t>
      </w:r>
      <w:r w:rsidR="001A1F90">
        <w:t xml:space="preserve"> </w:t>
      </w:r>
      <w:r>
        <w:t>are</w:t>
      </w:r>
      <w:r w:rsidR="001A1F90">
        <w:t xml:space="preserve"> </w:t>
      </w:r>
      <w:r>
        <w:t>based</w:t>
      </w:r>
      <w:r w:rsidR="001A1F90">
        <w:t xml:space="preserve"> </w:t>
      </w:r>
      <w:r>
        <w:t>on</w:t>
      </w:r>
      <w:r w:rsidR="001A1F90">
        <w:t xml:space="preserve"> </w:t>
      </w:r>
      <w:r>
        <w:t>extensive</w:t>
      </w:r>
      <w:r w:rsidR="001A1F90">
        <w:t xml:space="preserve"> </w:t>
      </w:r>
      <w:r>
        <w:t>scientific</w:t>
      </w:r>
      <w:r w:rsidR="001A1F90">
        <w:t xml:space="preserve"> </w:t>
      </w:r>
      <w:r>
        <w:t>knowledge</w:t>
      </w:r>
      <w:r w:rsidR="001A1F90">
        <w:t xml:space="preserve"> </w:t>
      </w:r>
      <w:r>
        <w:t>that</w:t>
      </w:r>
      <w:r w:rsidR="001A1F90">
        <w:t xml:space="preserve"> </w:t>
      </w:r>
      <w:r>
        <w:t>hormones</w:t>
      </w:r>
      <w:r w:rsidR="001A1F90">
        <w:t xml:space="preserve"> </w:t>
      </w:r>
      <w:r>
        <w:t>and</w:t>
      </w:r>
      <w:r w:rsidR="001A1F90">
        <w:t xml:space="preserve"> </w:t>
      </w:r>
      <w:r>
        <w:t>neurotransmitters</w:t>
      </w:r>
      <w:r w:rsidR="001A1F90">
        <w:t xml:space="preserve"> </w:t>
      </w:r>
      <w:r>
        <w:t>are</w:t>
      </w:r>
      <w:r w:rsidR="001A1F90">
        <w:t xml:space="preserve"> </w:t>
      </w:r>
      <w:r>
        <w:t>central</w:t>
      </w:r>
      <w:r w:rsidR="001A1F90">
        <w:t xml:space="preserve"> </w:t>
      </w:r>
      <w:r>
        <w:t>biological</w:t>
      </w:r>
      <w:r w:rsidR="001A1F90">
        <w:t xml:space="preserve"> </w:t>
      </w:r>
      <w:r>
        <w:t>components</w:t>
      </w:r>
      <w:r w:rsidR="001A1F90">
        <w:t xml:space="preserve"> </w:t>
      </w:r>
      <w:r>
        <w:t>of</w:t>
      </w:r>
      <w:r w:rsidR="001A1F90">
        <w:t xml:space="preserve"> </w:t>
      </w:r>
      <w:r>
        <w:t>sex</w:t>
      </w:r>
      <w:r w:rsidR="001A1F90">
        <w:t xml:space="preserve"> </w:t>
      </w:r>
      <w:r>
        <w:t>drive</w:t>
      </w:r>
      <w:r w:rsidR="001A1F90">
        <w:t xml:space="preserve"> </w:t>
      </w:r>
      <w:r>
        <w:t>(Bancroft</w:t>
      </w:r>
      <w:r w:rsidR="001A1F90">
        <w:t xml:space="preserve"> </w:t>
      </w:r>
      <w:r>
        <w:t>1989).</w:t>
      </w:r>
      <w:r w:rsidR="001A1F90">
        <w:t xml:space="preserve"> </w:t>
      </w:r>
      <w:r>
        <w:t>As</w:t>
      </w:r>
      <w:r w:rsidR="001A1F90">
        <w:t xml:space="preserve"> </w:t>
      </w:r>
      <w:r>
        <w:t>such,</w:t>
      </w:r>
      <w:r w:rsidR="001A1F90">
        <w:t xml:space="preserve"> </w:t>
      </w:r>
      <w:r>
        <w:t>anti-androgens</w:t>
      </w:r>
      <w:r w:rsidR="001A1F90">
        <w:t xml:space="preserve"> </w:t>
      </w:r>
      <w:r>
        <w:t>and</w:t>
      </w:r>
      <w:r w:rsidR="001A1F90">
        <w:t xml:space="preserve"> </w:t>
      </w:r>
      <w:r>
        <w:t>hormonal</w:t>
      </w:r>
      <w:r w:rsidR="001A1F90">
        <w:t xml:space="preserve"> </w:t>
      </w:r>
      <w:r>
        <w:t>therapies</w:t>
      </w:r>
      <w:r w:rsidR="001A1F90">
        <w:t xml:space="preserve"> </w:t>
      </w:r>
      <w:r>
        <w:t>form</w:t>
      </w:r>
      <w:r w:rsidR="001A1F90">
        <w:t xml:space="preserve"> </w:t>
      </w:r>
      <w:r>
        <w:t>the</w:t>
      </w:r>
      <w:r w:rsidR="001A1F90">
        <w:t xml:space="preserve"> </w:t>
      </w:r>
      <w:r>
        <w:t>main</w:t>
      </w:r>
      <w:r w:rsidR="001A1F90">
        <w:t xml:space="preserve"> </w:t>
      </w:r>
      <w:r>
        <w:t>treatment</w:t>
      </w:r>
      <w:r w:rsidR="001A1F90">
        <w:t xml:space="preserve"> </w:t>
      </w:r>
      <w:r>
        <w:t>options</w:t>
      </w:r>
      <w:r w:rsidR="001A1F90">
        <w:t xml:space="preserve"> </w:t>
      </w:r>
      <w:r>
        <w:t>(Bradford</w:t>
      </w:r>
      <w:r w:rsidR="001A1F90">
        <w:t xml:space="preserve"> </w:t>
      </w:r>
      <w:r>
        <w:t>2000).</w:t>
      </w:r>
      <w:r w:rsidR="001A1F90">
        <w:t xml:space="preserve"> </w:t>
      </w:r>
      <w:r>
        <w:t>While</w:t>
      </w:r>
      <w:r w:rsidR="001A1F90">
        <w:t xml:space="preserve"> </w:t>
      </w:r>
      <w:r>
        <w:t>the</w:t>
      </w:r>
      <w:r w:rsidR="001A1F90">
        <w:t xml:space="preserve"> </w:t>
      </w:r>
      <w:r>
        <w:t>focus</w:t>
      </w:r>
      <w:r w:rsidR="001A1F90">
        <w:t xml:space="preserve"> </w:t>
      </w:r>
      <w:r>
        <w:t>of</w:t>
      </w:r>
      <w:r w:rsidR="001A1F90">
        <w:t xml:space="preserve"> </w:t>
      </w:r>
      <w:r>
        <w:t>this</w:t>
      </w:r>
      <w:r w:rsidR="001A1F90">
        <w:t xml:space="preserve"> </w:t>
      </w:r>
      <w:r>
        <w:t>review</w:t>
      </w:r>
      <w:r w:rsidR="001A1F90">
        <w:t xml:space="preserve"> </w:t>
      </w:r>
      <w:r>
        <w:t>is</w:t>
      </w:r>
      <w:r w:rsidR="001A1F90">
        <w:t xml:space="preserve"> </w:t>
      </w:r>
      <w:r>
        <w:t>on</w:t>
      </w:r>
      <w:r w:rsidR="001A1F90">
        <w:t xml:space="preserve"> </w:t>
      </w:r>
      <w:r>
        <w:t>anti-libidinal</w:t>
      </w:r>
      <w:r w:rsidR="001A1F90">
        <w:t xml:space="preserve"> </w:t>
      </w:r>
      <w:r>
        <w:t>medications,</w:t>
      </w:r>
      <w:r w:rsidR="001A1F90">
        <w:t xml:space="preserve"> </w:t>
      </w:r>
      <w:r>
        <w:t>a</w:t>
      </w:r>
      <w:r w:rsidR="001A1F90">
        <w:t xml:space="preserve"> </w:t>
      </w:r>
      <w:r>
        <w:t>brief</w:t>
      </w:r>
      <w:r w:rsidR="001A1F90">
        <w:t xml:space="preserve"> </w:t>
      </w:r>
      <w:r>
        <w:t>overview</w:t>
      </w:r>
      <w:r w:rsidR="001A1F90">
        <w:t xml:space="preserve"> </w:t>
      </w:r>
      <w:r>
        <w:t>of</w:t>
      </w:r>
      <w:r w:rsidR="001A1F90">
        <w:t xml:space="preserve"> </w:t>
      </w:r>
      <w:r>
        <w:t>the</w:t>
      </w:r>
      <w:r w:rsidR="001A1F90">
        <w:t xml:space="preserve"> </w:t>
      </w:r>
      <w:r>
        <w:t>role</w:t>
      </w:r>
      <w:r w:rsidR="001A1F90">
        <w:t xml:space="preserve"> </w:t>
      </w:r>
      <w:r>
        <w:t>of</w:t>
      </w:r>
      <w:r w:rsidR="001A1F90">
        <w:t xml:space="preserve"> </w:t>
      </w:r>
      <w:r>
        <w:t>psychological</w:t>
      </w:r>
      <w:r w:rsidR="001A1F90">
        <w:t xml:space="preserve"> </w:t>
      </w:r>
      <w:r>
        <w:t>approaches</w:t>
      </w:r>
      <w:r w:rsidR="001A1F90">
        <w:t xml:space="preserve"> </w:t>
      </w:r>
      <w:r>
        <w:t>is</w:t>
      </w:r>
      <w:r w:rsidR="001A1F90">
        <w:t xml:space="preserve"> </w:t>
      </w:r>
      <w:r>
        <w:t>first</w:t>
      </w:r>
      <w:r w:rsidR="001A1F90">
        <w:t xml:space="preserve"> </w:t>
      </w:r>
      <w:r>
        <w:t>deemed</w:t>
      </w:r>
      <w:r w:rsidR="001A1F90">
        <w:t xml:space="preserve"> </w:t>
      </w:r>
      <w:r>
        <w:t>appropriate.</w:t>
      </w:r>
    </w:p>
    <w:p w14:paraId="5368F755" w14:textId="4F3FA2A9" w:rsidR="004946F1" w:rsidRDefault="004946F1" w:rsidP="00BD612C">
      <w:pPr>
        <w:pStyle w:val="DHHSbody"/>
      </w:pPr>
      <w:r>
        <w:t>Psychotherapeutic</w:t>
      </w:r>
      <w:r w:rsidR="001A1F90">
        <w:t xml:space="preserve"> </w:t>
      </w:r>
      <w:r>
        <w:t>approaches</w:t>
      </w:r>
      <w:r w:rsidR="001A1F90">
        <w:t xml:space="preserve"> </w:t>
      </w:r>
      <w:r>
        <w:t>have</w:t>
      </w:r>
      <w:r w:rsidR="001A1F90">
        <w:t xml:space="preserve"> </w:t>
      </w:r>
      <w:r>
        <w:t>long</w:t>
      </w:r>
      <w:r w:rsidR="001A1F90">
        <w:t xml:space="preserve"> </w:t>
      </w:r>
      <w:r>
        <w:t>played</w:t>
      </w:r>
      <w:r w:rsidR="001A1F90">
        <w:t xml:space="preserve"> </w:t>
      </w:r>
      <w:r>
        <w:t>a</w:t>
      </w:r>
      <w:r w:rsidR="001A1F90">
        <w:t xml:space="preserve"> </w:t>
      </w:r>
      <w:r>
        <w:t>significant</w:t>
      </w:r>
      <w:r w:rsidR="001A1F90">
        <w:t xml:space="preserve"> </w:t>
      </w:r>
      <w:r>
        <w:t>role</w:t>
      </w:r>
      <w:r w:rsidR="001A1F90">
        <w:t xml:space="preserve"> </w:t>
      </w:r>
      <w:r>
        <w:t>in</w:t>
      </w:r>
      <w:r w:rsidR="001A1F90">
        <w:t xml:space="preserve"> </w:t>
      </w:r>
      <w:r>
        <w:t>the</w:t>
      </w:r>
      <w:r w:rsidR="001A1F90">
        <w:t xml:space="preserve"> </w:t>
      </w:r>
      <w:r>
        <w:t>treatment</w:t>
      </w:r>
      <w:r w:rsidR="001A1F90">
        <w:t xml:space="preserve"> </w:t>
      </w:r>
      <w:r>
        <w:t>approaches</w:t>
      </w:r>
      <w:r w:rsidR="001A1F90">
        <w:t xml:space="preserve"> </w:t>
      </w:r>
      <w:r>
        <w:t>targeted</w:t>
      </w:r>
      <w:r w:rsidR="001A1F90">
        <w:t xml:space="preserve"> </w:t>
      </w:r>
      <w:r>
        <w:t>at</w:t>
      </w:r>
      <w:r w:rsidR="001A1F90">
        <w:t xml:space="preserve"> </w:t>
      </w:r>
      <w:r>
        <w:t>sexual</w:t>
      </w:r>
      <w:r w:rsidR="001A1F90">
        <w:t xml:space="preserve"> </w:t>
      </w:r>
      <w:r>
        <w:t>offenders.</w:t>
      </w:r>
      <w:r w:rsidR="001A1F90">
        <w:t xml:space="preserve"> </w:t>
      </w:r>
      <w:r>
        <w:t>According</w:t>
      </w:r>
      <w:r w:rsidR="001A1F90">
        <w:t xml:space="preserve"> </w:t>
      </w:r>
      <w:r>
        <w:t>to</w:t>
      </w:r>
      <w:r w:rsidR="001A1F90">
        <w:t xml:space="preserve"> </w:t>
      </w:r>
      <w:r>
        <w:t>Rice</w:t>
      </w:r>
      <w:r w:rsidR="001A1F90">
        <w:t xml:space="preserve"> </w:t>
      </w:r>
      <w:r>
        <w:t>and</w:t>
      </w:r>
      <w:r w:rsidR="001A1F90">
        <w:t xml:space="preserve"> </w:t>
      </w:r>
      <w:r>
        <w:t>Harris</w:t>
      </w:r>
      <w:r w:rsidR="001A1F90">
        <w:t xml:space="preserve"> </w:t>
      </w:r>
      <w:r>
        <w:t>(2003),</w:t>
      </w:r>
      <w:r w:rsidR="001A1F90">
        <w:t xml:space="preserve"> </w:t>
      </w:r>
      <w:r>
        <w:t>one</w:t>
      </w:r>
      <w:r w:rsidR="001A1F90">
        <w:t xml:space="preserve"> </w:t>
      </w:r>
      <w:r>
        <w:t>can</w:t>
      </w:r>
      <w:r w:rsidR="001A1F90">
        <w:t xml:space="preserve"> </w:t>
      </w:r>
      <w:r>
        <w:t>only</w:t>
      </w:r>
      <w:r w:rsidR="001A1F90">
        <w:t xml:space="preserve"> </w:t>
      </w:r>
      <w:r>
        <w:t>be</w:t>
      </w:r>
      <w:r w:rsidR="001A1F90">
        <w:t xml:space="preserve"> </w:t>
      </w:r>
      <w:r>
        <w:t>truly</w:t>
      </w:r>
      <w:r w:rsidR="001A1F90">
        <w:t xml:space="preserve"> </w:t>
      </w:r>
      <w:r>
        <w:t>confident</w:t>
      </w:r>
      <w:r w:rsidR="001A1F90">
        <w:t xml:space="preserve"> </w:t>
      </w:r>
      <w:r>
        <w:t>of</w:t>
      </w:r>
      <w:r w:rsidR="001A1F90">
        <w:t xml:space="preserve"> </w:t>
      </w:r>
      <w:r>
        <w:t>the</w:t>
      </w:r>
      <w:r w:rsidR="001A1F90">
        <w:t xml:space="preserve"> </w:t>
      </w:r>
      <w:r>
        <w:t>efficacy</w:t>
      </w:r>
      <w:r w:rsidR="001A1F90">
        <w:t xml:space="preserve"> </w:t>
      </w:r>
      <w:r>
        <w:t>of</w:t>
      </w:r>
      <w:r w:rsidR="001A1F90">
        <w:t xml:space="preserve"> </w:t>
      </w:r>
      <w:r>
        <w:t>a</w:t>
      </w:r>
      <w:r w:rsidR="001A1F90">
        <w:t xml:space="preserve"> </w:t>
      </w:r>
      <w:r>
        <w:t>treatment</w:t>
      </w:r>
      <w:r w:rsidR="001A1F90">
        <w:t xml:space="preserve"> </w:t>
      </w:r>
      <w:r>
        <w:t>if</w:t>
      </w:r>
      <w:r w:rsidR="001A1F90">
        <w:t xml:space="preserve"> </w:t>
      </w:r>
      <w:r>
        <w:t>it</w:t>
      </w:r>
      <w:r w:rsidR="001A1F90">
        <w:t xml:space="preserve"> </w:t>
      </w:r>
      <w:r>
        <w:t>has</w:t>
      </w:r>
      <w:r w:rsidR="001A1F90">
        <w:t xml:space="preserve"> </w:t>
      </w:r>
      <w:r>
        <w:t>been</w:t>
      </w:r>
      <w:r w:rsidR="001A1F90">
        <w:t xml:space="preserve"> </w:t>
      </w:r>
      <w:r>
        <w:t>subjected</w:t>
      </w:r>
      <w:r w:rsidR="001A1F90">
        <w:t xml:space="preserve"> </w:t>
      </w:r>
      <w:r>
        <w:t>to</w:t>
      </w:r>
      <w:r w:rsidR="001A1F90">
        <w:t xml:space="preserve"> </w:t>
      </w:r>
      <w:r>
        <w:t>the</w:t>
      </w:r>
      <w:r w:rsidR="001A1F90">
        <w:t xml:space="preserve"> </w:t>
      </w:r>
      <w:r>
        <w:t>methodological</w:t>
      </w:r>
      <w:r w:rsidR="001A1F90">
        <w:t xml:space="preserve"> </w:t>
      </w:r>
      <w:r>
        <w:t>and</w:t>
      </w:r>
      <w:r w:rsidR="001A1F90">
        <w:t xml:space="preserve"> </w:t>
      </w:r>
      <w:r>
        <w:t>procedural</w:t>
      </w:r>
      <w:r w:rsidR="001A1F90">
        <w:t xml:space="preserve"> </w:t>
      </w:r>
      <w:r>
        <w:t>rigours</w:t>
      </w:r>
      <w:r w:rsidR="001A1F90">
        <w:t xml:space="preserve"> </w:t>
      </w:r>
      <w:r>
        <w:t>of</w:t>
      </w:r>
      <w:r w:rsidR="001A1F90">
        <w:t xml:space="preserve"> </w:t>
      </w:r>
      <w:r>
        <w:t>a</w:t>
      </w:r>
      <w:r w:rsidR="001A1F90">
        <w:t xml:space="preserve"> </w:t>
      </w:r>
      <w:r>
        <w:t>randomised</w:t>
      </w:r>
      <w:r w:rsidR="001A1F90">
        <w:t xml:space="preserve"> </w:t>
      </w:r>
      <w:r>
        <w:t>controlled</w:t>
      </w:r>
      <w:r w:rsidR="001A1F90">
        <w:t xml:space="preserve"> </w:t>
      </w:r>
      <w:r>
        <w:t>trial.</w:t>
      </w:r>
      <w:r w:rsidR="001A1F90">
        <w:t xml:space="preserve"> </w:t>
      </w:r>
      <w:r>
        <w:t>To</w:t>
      </w:r>
      <w:r w:rsidR="001A1F90">
        <w:t xml:space="preserve"> </w:t>
      </w:r>
      <w:r>
        <w:t>these</w:t>
      </w:r>
      <w:r w:rsidR="001A1F90">
        <w:t xml:space="preserve"> </w:t>
      </w:r>
      <w:r>
        <w:t>ends,</w:t>
      </w:r>
      <w:r w:rsidR="001A1F90">
        <w:t xml:space="preserve"> </w:t>
      </w:r>
      <w:r>
        <w:t>a</w:t>
      </w:r>
      <w:r w:rsidR="001A1F90">
        <w:t xml:space="preserve"> </w:t>
      </w:r>
      <w:r>
        <w:t>recently</w:t>
      </w:r>
      <w:r w:rsidR="001A1F90">
        <w:t xml:space="preserve"> </w:t>
      </w:r>
      <w:r>
        <w:t>published</w:t>
      </w:r>
      <w:r w:rsidR="001A1F90">
        <w:t xml:space="preserve"> </w:t>
      </w:r>
      <w:r>
        <w:t>Cochrane</w:t>
      </w:r>
      <w:r w:rsidR="001A1F90">
        <w:t xml:space="preserve"> </w:t>
      </w:r>
      <w:r>
        <w:t>review</w:t>
      </w:r>
      <w:r w:rsidR="001A1F90">
        <w:t xml:space="preserve"> </w:t>
      </w:r>
      <w:r>
        <w:t>of</w:t>
      </w:r>
      <w:r w:rsidR="001A1F90">
        <w:t xml:space="preserve"> </w:t>
      </w:r>
      <w:r>
        <w:t>studies</w:t>
      </w:r>
      <w:r w:rsidR="001A1F90">
        <w:t xml:space="preserve"> </w:t>
      </w:r>
      <w:r>
        <w:t>relating</w:t>
      </w:r>
      <w:r w:rsidR="001A1F90">
        <w:t xml:space="preserve"> </w:t>
      </w:r>
      <w:r>
        <w:t>to</w:t>
      </w:r>
      <w:r w:rsidR="001A1F90">
        <w:t xml:space="preserve"> </w:t>
      </w:r>
      <w:r>
        <w:t>the</w:t>
      </w:r>
      <w:r w:rsidR="001A1F90">
        <w:t xml:space="preserve"> </w:t>
      </w:r>
      <w:r>
        <w:t>treatment</w:t>
      </w:r>
      <w:r w:rsidR="001A1F90">
        <w:t xml:space="preserve"> </w:t>
      </w:r>
      <w:r>
        <w:t>of</w:t>
      </w:r>
      <w:r w:rsidR="001A1F90">
        <w:t xml:space="preserve"> </w:t>
      </w:r>
      <w:r>
        <w:t>sexual</w:t>
      </w:r>
      <w:r w:rsidR="001A1F90">
        <w:t xml:space="preserve"> </w:t>
      </w:r>
      <w:r>
        <w:t>offending</w:t>
      </w:r>
      <w:r w:rsidR="001A1F90">
        <w:t xml:space="preserve"> </w:t>
      </w:r>
      <w:r>
        <w:t>in</w:t>
      </w:r>
      <w:r w:rsidR="001A1F90">
        <w:t xml:space="preserve"> </w:t>
      </w:r>
      <w:r>
        <w:t>the</w:t>
      </w:r>
      <w:r w:rsidR="001A1F90">
        <w:t xml:space="preserve"> </w:t>
      </w:r>
      <w:r>
        <w:t>general</w:t>
      </w:r>
      <w:r w:rsidR="001A1F90">
        <w:t xml:space="preserve"> </w:t>
      </w:r>
      <w:r>
        <w:t>offender</w:t>
      </w:r>
      <w:r w:rsidR="001A1F90">
        <w:t xml:space="preserve"> </w:t>
      </w:r>
      <w:r>
        <w:t>population</w:t>
      </w:r>
      <w:r w:rsidR="001A1F90">
        <w:t xml:space="preserve"> </w:t>
      </w:r>
      <w:r>
        <w:t>(Dennis</w:t>
      </w:r>
      <w:r w:rsidR="001A1F90">
        <w:t xml:space="preserve"> </w:t>
      </w:r>
      <w:r>
        <w:t>et</w:t>
      </w:r>
      <w:r w:rsidR="001A1F90">
        <w:t xml:space="preserve"> </w:t>
      </w:r>
      <w:r>
        <w:t>al.</w:t>
      </w:r>
      <w:r w:rsidR="001A1F90">
        <w:t xml:space="preserve"> </w:t>
      </w:r>
      <w:r>
        <w:t>2012)</w:t>
      </w:r>
      <w:r w:rsidR="001A1F90">
        <w:t xml:space="preserve"> </w:t>
      </w:r>
      <w:r>
        <w:t>found</w:t>
      </w:r>
      <w:r w:rsidR="001A1F90">
        <w:t xml:space="preserve"> </w:t>
      </w:r>
      <w:r>
        <w:t>only</w:t>
      </w:r>
      <w:r w:rsidR="001A1F90">
        <w:t xml:space="preserve"> </w:t>
      </w:r>
      <w:r>
        <w:t>10</w:t>
      </w:r>
      <w:r w:rsidR="001A1F90">
        <w:t xml:space="preserve"> </w:t>
      </w:r>
      <w:r>
        <w:t>studies</w:t>
      </w:r>
      <w:r w:rsidR="001A1F90">
        <w:t xml:space="preserve"> </w:t>
      </w:r>
      <w:r>
        <w:t>that</w:t>
      </w:r>
      <w:r w:rsidR="001A1F90">
        <w:t xml:space="preserve"> </w:t>
      </w:r>
      <w:r>
        <w:t>were</w:t>
      </w:r>
      <w:r w:rsidR="001A1F90">
        <w:t xml:space="preserve"> </w:t>
      </w:r>
      <w:r>
        <w:t>of</w:t>
      </w:r>
      <w:r w:rsidR="001A1F90">
        <w:t xml:space="preserve"> </w:t>
      </w:r>
      <w:r>
        <w:t>sufficient</w:t>
      </w:r>
      <w:r w:rsidR="001A1F90">
        <w:t xml:space="preserve"> </w:t>
      </w:r>
      <w:r>
        <w:t>rigour</w:t>
      </w:r>
      <w:r w:rsidR="001A1F90">
        <w:t xml:space="preserve"> </w:t>
      </w:r>
      <w:r>
        <w:t>(randomised</w:t>
      </w:r>
      <w:r w:rsidR="001A1F90">
        <w:t xml:space="preserve"> </w:t>
      </w:r>
      <w:r>
        <w:t>controlled</w:t>
      </w:r>
      <w:r w:rsidR="001A1F90">
        <w:t xml:space="preserve"> </w:t>
      </w:r>
      <w:r>
        <w:t>trial</w:t>
      </w:r>
      <w:r w:rsidR="001A1F90">
        <w:t xml:space="preserve"> </w:t>
      </w:r>
      <w:r>
        <w:t>quality)</w:t>
      </w:r>
      <w:r w:rsidR="001A1F90">
        <w:t xml:space="preserve"> </w:t>
      </w:r>
      <w:r>
        <w:t>to</w:t>
      </w:r>
      <w:r w:rsidR="001A1F90">
        <w:t xml:space="preserve"> </w:t>
      </w:r>
      <w:r>
        <w:t>be</w:t>
      </w:r>
      <w:r w:rsidR="001A1F90">
        <w:t xml:space="preserve"> </w:t>
      </w:r>
      <w:r>
        <w:t>considered</w:t>
      </w:r>
      <w:r w:rsidR="001A1F90">
        <w:t xml:space="preserve"> </w:t>
      </w:r>
      <w:r>
        <w:t>eligible</w:t>
      </w:r>
      <w:r w:rsidR="001A1F90">
        <w:t xml:space="preserve"> </w:t>
      </w:r>
      <w:r>
        <w:t>for</w:t>
      </w:r>
      <w:r w:rsidR="001A1F90">
        <w:t xml:space="preserve"> </w:t>
      </w:r>
      <w:r>
        <w:t>inclusion;</w:t>
      </w:r>
      <w:r w:rsidR="001A1F90">
        <w:t xml:space="preserve"> </w:t>
      </w:r>
      <w:r>
        <w:t>this</w:t>
      </w:r>
      <w:r w:rsidR="001A1F90">
        <w:t xml:space="preserve"> </w:t>
      </w:r>
      <w:r>
        <w:t>resulted</w:t>
      </w:r>
      <w:r w:rsidR="001A1F90">
        <w:t xml:space="preserve"> </w:t>
      </w:r>
      <w:r>
        <w:t>in</w:t>
      </w:r>
      <w:r w:rsidR="001A1F90">
        <w:t xml:space="preserve"> </w:t>
      </w:r>
      <w:r>
        <w:t>a</w:t>
      </w:r>
      <w:r w:rsidR="001A1F90">
        <w:t xml:space="preserve"> </w:t>
      </w:r>
      <w:r>
        <w:t>total</w:t>
      </w:r>
      <w:r w:rsidR="001A1F90">
        <w:t xml:space="preserve"> </w:t>
      </w:r>
      <w:r>
        <w:t>pooled</w:t>
      </w:r>
      <w:r w:rsidR="001A1F90">
        <w:t xml:space="preserve"> </w:t>
      </w:r>
      <w:r>
        <w:t>sample</w:t>
      </w:r>
      <w:r w:rsidR="001A1F90">
        <w:t xml:space="preserve"> </w:t>
      </w:r>
      <w:r>
        <w:t>size</w:t>
      </w:r>
      <w:r w:rsidR="001A1F90">
        <w:t xml:space="preserve"> </w:t>
      </w:r>
      <w:r>
        <w:t>of</w:t>
      </w:r>
      <w:r w:rsidR="001A1F90">
        <w:t xml:space="preserve"> </w:t>
      </w:r>
      <w:r>
        <w:t>994</w:t>
      </w:r>
      <w:r w:rsidR="001A1F90">
        <w:t xml:space="preserve"> </w:t>
      </w:r>
      <w:r w:rsidR="00336F79">
        <w:t>people</w:t>
      </w:r>
      <w:r>
        <w:t>.</w:t>
      </w:r>
      <w:r w:rsidR="001A1F90">
        <w:t xml:space="preserve"> </w:t>
      </w:r>
      <w:r>
        <w:t>These</w:t>
      </w:r>
      <w:r w:rsidR="001A1F90">
        <w:t xml:space="preserve"> </w:t>
      </w:r>
      <w:r>
        <w:t>studies</w:t>
      </w:r>
      <w:r w:rsidR="001A1F90">
        <w:t xml:space="preserve"> </w:t>
      </w:r>
      <w:r>
        <w:t>were</w:t>
      </w:r>
      <w:r w:rsidR="001A1F90">
        <w:t xml:space="preserve"> </w:t>
      </w:r>
      <w:r>
        <w:t>dated,</w:t>
      </w:r>
      <w:r w:rsidR="001A1F90">
        <w:t xml:space="preserve"> </w:t>
      </w:r>
      <w:r>
        <w:t>having</w:t>
      </w:r>
      <w:r w:rsidR="001A1F90">
        <w:t xml:space="preserve"> </w:t>
      </w:r>
      <w:r>
        <w:t>been</w:t>
      </w:r>
      <w:r w:rsidR="001A1F90">
        <w:t xml:space="preserve"> </w:t>
      </w:r>
      <w:r>
        <w:t>published</w:t>
      </w:r>
      <w:r w:rsidR="001A1F90">
        <w:t xml:space="preserve"> </w:t>
      </w:r>
      <w:r>
        <w:t>up</w:t>
      </w:r>
      <w:r w:rsidR="001A1F90">
        <w:t xml:space="preserve"> </w:t>
      </w:r>
      <w:r>
        <w:t>to</w:t>
      </w:r>
      <w:r w:rsidR="001A1F90">
        <w:t xml:space="preserve"> </w:t>
      </w:r>
      <w:r>
        <w:t>40</w:t>
      </w:r>
      <w:r w:rsidR="001A1F90">
        <w:t xml:space="preserve"> </w:t>
      </w:r>
      <w:r>
        <w:t>years</w:t>
      </w:r>
      <w:r w:rsidR="001A1F90">
        <w:t xml:space="preserve"> </w:t>
      </w:r>
      <w:r>
        <w:t>ago,</w:t>
      </w:r>
      <w:r w:rsidR="001A1F90">
        <w:t xml:space="preserve"> </w:t>
      </w:r>
      <w:r>
        <w:t>between</w:t>
      </w:r>
      <w:r w:rsidR="001A1F90">
        <w:t xml:space="preserve"> </w:t>
      </w:r>
      <w:r>
        <w:t>1974</w:t>
      </w:r>
      <w:r w:rsidR="001A1F90">
        <w:t xml:space="preserve"> </w:t>
      </w:r>
      <w:r>
        <w:t>and</w:t>
      </w:r>
      <w:r w:rsidR="001A1F90">
        <w:t xml:space="preserve"> </w:t>
      </w:r>
      <w:r>
        <w:t>1997.</w:t>
      </w:r>
      <w:r w:rsidR="001A1F90">
        <w:t xml:space="preserve"> </w:t>
      </w:r>
      <w:r>
        <w:t>Of</w:t>
      </w:r>
      <w:r w:rsidR="001A1F90">
        <w:t xml:space="preserve"> </w:t>
      </w:r>
      <w:r>
        <w:t>these,</w:t>
      </w:r>
      <w:r w:rsidR="001A1F90">
        <w:t xml:space="preserve"> </w:t>
      </w:r>
      <w:r>
        <w:t>the</w:t>
      </w:r>
      <w:r w:rsidR="001A1F90">
        <w:t xml:space="preserve"> </w:t>
      </w:r>
      <w:r>
        <w:t>studies</w:t>
      </w:r>
      <w:r w:rsidR="001A1F90">
        <w:t xml:space="preserve"> </w:t>
      </w:r>
      <w:r w:rsidR="00E44C49">
        <w:t xml:space="preserve">that </w:t>
      </w:r>
      <w:r>
        <w:t>reported</w:t>
      </w:r>
      <w:r w:rsidR="001A1F90">
        <w:t xml:space="preserve"> </w:t>
      </w:r>
      <w:r>
        <w:t>the</w:t>
      </w:r>
      <w:r w:rsidR="001A1F90">
        <w:t xml:space="preserve"> </w:t>
      </w:r>
      <w:r>
        <w:t>use</w:t>
      </w:r>
      <w:r w:rsidR="001A1F90">
        <w:t xml:space="preserve"> </w:t>
      </w:r>
      <w:r>
        <w:t>of</w:t>
      </w:r>
      <w:r w:rsidR="001A1F90">
        <w:t xml:space="preserve"> </w:t>
      </w:r>
      <w:r>
        <w:t>cognitive</w:t>
      </w:r>
      <w:r w:rsidR="001A1F90">
        <w:t xml:space="preserve"> </w:t>
      </w:r>
      <w:r>
        <w:t>behavioural</w:t>
      </w:r>
      <w:r w:rsidR="001A1F90">
        <w:t xml:space="preserve"> </w:t>
      </w:r>
      <w:r>
        <w:t>therapy</w:t>
      </w:r>
      <w:r w:rsidR="001A1F90">
        <w:t xml:space="preserve"> </w:t>
      </w:r>
      <w:r>
        <w:t>(CBT)</w:t>
      </w:r>
      <w:r w:rsidR="001A1F90">
        <w:t xml:space="preserve"> </w:t>
      </w:r>
      <w:r>
        <w:t>as</w:t>
      </w:r>
      <w:r w:rsidR="001A1F90">
        <w:t xml:space="preserve"> </w:t>
      </w:r>
      <w:r>
        <w:t>an</w:t>
      </w:r>
      <w:r w:rsidR="001A1F90">
        <w:t xml:space="preserve"> </w:t>
      </w:r>
      <w:r>
        <w:t>intervention</w:t>
      </w:r>
      <w:r w:rsidR="001A1F90">
        <w:t xml:space="preserve"> </w:t>
      </w:r>
      <w:r>
        <w:t>found</w:t>
      </w:r>
      <w:r w:rsidR="001A1F90">
        <w:t xml:space="preserve"> </w:t>
      </w:r>
      <w:r>
        <w:t>no</w:t>
      </w:r>
      <w:r w:rsidR="001A1F90">
        <w:t xml:space="preserve"> </w:t>
      </w:r>
      <w:r>
        <w:t>significant</w:t>
      </w:r>
      <w:r w:rsidR="001A1F90">
        <w:t xml:space="preserve"> </w:t>
      </w:r>
      <w:r>
        <w:t>differences</w:t>
      </w:r>
      <w:r w:rsidR="001A1F90">
        <w:t xml:space="preserve"> </w:t>
      </w:r>
      <w:r>
        <w:t>in</w:t>
      </w:r>
      <w:r w:rsidR="001A1F90">
        <w:t xml:space="preserve"> </w:t>
      </w:r>
      <w:r>
        <w:t>the</w:t>
      </w:r>
      <w:r w:rsidR="001A1F90">
        <w:t xml:space="preserve"> </w:t>
      </w:r>
      <w:r>
        <w:t>risk</w:t>
      </w:r>
      <w:r w:rsidR="001A1F90">
        <w:t xml:space="preserve"> </w:t>
      </w:r>
      <w:r>
        <w:t>of</w:t>
      </w:r>
      <w:r w:rsidR="001A1F90">
        <w:t xml:space="preserve"> </w:t>
      </w:r>
      <w:r>
        <w:t>reoffending</w:t>
      </w:r>
      <w:r w:rsidR="001A1F90">
        <w:t xml:space="preserve"> </w:t>
      </w:r>
      <w:r>
        <w:t>when</w:t>
      </w:r>
      <w:r w:rsidR="001A1F90">
        <w:t xml:space="preserve"> </w:t>
      </w:r>
      <w:r>
        <w:t>compared</w:t>
      </w:r>
      <w:r w:rsidR="001A1F90">
        <w:t xml:space="preserve"> </w:t>
      </w:r>
      <w:r w:rsidR="00B15447">
        <w:t xml:space="preserve">with </w:t>
      </w:r>
      <w:r>
        <w:t>those</w:t>
      </w:r>
      <w:r w:rsidR="001A1F90">
        <w:t xml:space="preserve"> </w:t>
      </w:r>
      <w:r>
        <w:t>not</w:t>
      </w:r>
      <w:r w:rsidR="001A1F90">
        <w:t xml:space="preserve"> </w:t>
      </w:r>
      <w:r>
        <w:t>receiving</w:t>
      </w:r>
      <w:r w:rsidR="001A1F90">
        <w:t xml:space="preserve"> </w:t>
      </w:r>
      <w:r>
        <w:t>the</w:t>
      </w:r>
      <w:r w:rsidR="001A1F90">
        <w:t xml:space="preserve"> </w:t>
      </w:r>
      <w:r>
        <w:t>CBT</w:t>
      </w:r>
      <w:r w:rsidR="001A1F90">
        <w:t xml:space="preserve"> </w:t>
      </w:r>
      <w:r>
        <w:t>interventions.</w:t>
      </w:r>
      <w:r w:rsidR="001A1F90">
        <w:t xml:space="preserve"> </w:t>
      </w:r>
      <w:r>
        <w:t>However,</w:t>
      </w:r>
      <w:r w:rsidR="001A1F90">
        <w:t xml:space="preserve"> </w:t>
      </w:r>
      <w:r>
        <w:t>studies</w:t>
      </w:r>
      <w:r w:rsidR="001A1F90">
        <w:t xml:space="preserve"> </w:t>
      </w:r>
      <w:r w:rsidR="00B15447">
        <w:t xml:space="preserve">that </w:t>
      </w:r>
      <w:r>
        <w:t>had</w:t>
      </w:r>
      <w:r w:rsidR="001A1F90">
        <w:t xml:space="preserve"> </w:t>
      </w:r>
      <w:r>
        <w:t>used</w:t>
      </w:r>
      <w:r w:rsidR="001A1F90">
        <w:t xml:space="preserve"> </w:t>
      </w:r>
      <w:r>
        <w:t>behavioural</w:t>
      </w:r>
      <w:r w:rsidR="001A1F90">
        <w:t xml:space="preserve"> </w:t>
      </w:r>
      <w:r>
        <w:t>interventions</w:t>
      </w:r>
      <w:r w:rsidR="001A1F90">
        <w:t xml:space="preserve"> </w:t>
      </w:r>
      <w:r>
        <w:t>demonstrated</w:t>
      </w:r>
      <w:r w:rsidR="001A1F90">
        <w:t xml:space="preserve"> </w:t>
      </w:r>
      <w:r>
        <w:t>what</w:t>
      </w:r>
      <w:r w:rsidR="001A1F90">
        <w:t xml:space="preserve"> </w:t>
      </w:r>
      <w:r>
        <w:t>Dennis</w:t>
      </w:r>
      <w:r w:rsidR="001A1F90">
        <w:t xml:space="preserve"> </w:t>
      </w:r>
      <w:r>
        <w:t>and</w:t>
      </w:r>
      <w:r w:rsidR="001A1F90">
        <w:t xml:space="preserve"> </w:t>
      </w:r>
      <w:r>
        <w:t>colleagues</w:t>
      </w:r>
      <w:r w:rsidR="001A1F90">
        <w:t xml:space="preserve"> </w:t>
      </w:r>
      <w:r>
        <w:t>(2012)</w:t>
      </w:r>
      <w:r w:rsidR="001A1F90">
        <w:t xml:space="preserve"> </w:t>
      </w:r>
      <w:r>
        <w:t>referred</w:t>
      </w:r>
      <w:r w:rsidR="001A1F90">
        <w:t xml:space="preserve"> </w:t>
      </w:r>
      <w:r>
        <w:t>to</w:t>
      </w:r>
      <w:r w:rsidR="001A1F90">
        <w:t xml:space="preserve"> </w:t>
      </w:r>
      <w:r>
        <w:t>as</w:t>
      </w:r>
      <w:r w:rsidR="001A1F90">
        <w:t xml:space="preserve"> </w:t>
      </w:r>
      <w:r>
        <w:t>more</w:t>
      </w:r>
      <w:r w:rsidR="001A1F90">
        <w:t xml:space="preserve"> </w:t>
      </w:r>
      <w:r>
        <w:t>‘encouraging</w:t>
      </w:r>
      <w:r w:rsidR="001A1F90">
        <w:t xml:space="preserve"> </w:t>
      </w:r>
      <w:r>
        <w:t>results’.</w:t>
      </w:r>
    </w:p>
    <w:p w14:paraId="7CE55CBB" w14:textId="6B6392B4" w:rsidR="004946F1" w:rsidRDefault="004946F1" w:rsidP="00BD612C">
      <w:pPr>
        <w:pStyle w:val="DHHSbody"/>
      </w:pPr>
      <w:r>
        <w:t>There</w:t>
      </w:r>
      <w:r w:rsidR="001A1F90">
        <w:t xml:space="preserve"> </w:t>
      </w:r>
      <w:r>
        <w:t>is</w:t>
      </w:r>
      <w:r w:rsidR="001A1F90">
        <w:t xml:space="preserve"> </w:t>
      </w:r>
      <w:r>
        <w:t>little</w:t>
      </w:r>
      <w:r w:rsidR="001A1F90">
        <w:t xml:space="preserve"> </w:t>
      </w:r>
      <w:r>
        <w:t>or</w:t>
      </w:r>
      <w:r w:rsidR="001A1F90">
        <w:t xml:space="preserve"> </w:t>
      </w:r>
      <w:r>
        <w:t>no</w:t>
      </w:r>
      <w:r w:rsidR="001A1F90">
        <w:t xml:space="preserve"> </w:t>
      </w:r>
      <w:r>
        <w:t>argument</w:t>
      </w:r>
      <w:r w:rsidR="001A1F90">
        <w:t xml:space="preserve"> </w:t>
      </w:r>
      <w:r>
        <w:t>that</w:t>
      </w:r>
      <w:r w:rsidR="001A1F90">
        <w:t xml:space="preserve"> </w:t>
      </w:r>
      <w:r>
        <w:t>the</w:t>
      </w:r>
      <w:r w:rsidR="001A1F90">
        <w:t xml:space="preserve"> </w:t>
      </w:r>
      <w:r>
        <w:t>controlled</w:t>
      </w:r>
      <w:r w:rsidR="001A1F90">
        <w:t xml:space="preserve"> </w:t>
      </w:r>
      <w:r>
        <w:t>trial</w:t>
      </w:r>
      <w:r w:rsidR="001A1F90">
        <w:t xml:space="preserve"> </w:t>
      </w:r>
      <w:r>
        <w:t>rigour</w:t>
      </w:r>
      <w:r w:rsidR="001A1F90">
        <w:t xml:space="preserve"> </w:t>
      </w:r>
      <w:r>
        <w:t>proposed</w:t>
      </w:r>
      <w:r w:rsidR="001A1F90">
        <w:t xml:space="preserve"> </w:t>
      </w:r>
      <w:r>
        <w:t>by</w:t>
      </w:r>
      <w:r w:rsidR="001A1F90">
        <w:t xml:space="preserve"> </w:t>
      </w:r>
      <w:r>
        <w:t>Rice</w:t>
      </w:r>
      <w:r w:rsidR="001A1F90">
        <w:t xml:space="preserve"> </w:t>
      </w:r>
      <w:r>
        <w:t>and</w:t>
      </w:r>
      <w:r w:rsidR="001A1F90">
        <w:t xml:space="preserve"> </w:t>
      </w:r>
      <w:r>
        <w:t>Harris</w:t>
      </w:r>
      <w:r w:rsidR="001A1F90">
        <w:t xml:space="preserve"> </w:t>
      </w:r>
      <w:r>
        <w:t>(2003)</w:t>
      </w:r>
      <w:r w:rsidR="001A1F90">
        <w:t xml:space="preserve"> </w:t>
      </w:r>
      <w:r>
        <w:t>should</w:t>
      </w:r>
      <w:r w:rsidR="001A1F90">
        <w:t xml:space="preserve"> </w:t>
      </w:r>
      <w:r>
        <w:t>be</w:t>
      </w:r>
      <w:r w:rsidR="001A1F90">
        <w:t xml:space="preserve"> </w:t>
      </w:r>
      <w:r>
        <w:t>considered</w:t>
      </w:r>
      <w:r w:rsidR="001A1F90">
        <w:t xml:space="preserve"> </w:t>
      </w:r>
      <w:r>
        <w:t>the</w:t>
      </w:r>
      <w:r w:rsidR="001A1F90">
        <w:t xml:space="preserve"> </w:t>
      </w:r>
      <w:r>
        <w:t>ideal</w:t>
      </w:r>
      <w:r w:rsidR="001A1F90">
        <w:t xml:space="preserve"> </w:t>
      </w:r>
      <w:r>
        <w:t>‘gold</w:t>
      </w:r>
      <w:r w:rsidR="001A1F90">
        <w:t xml:space="preserve"> </w:t>
      </w:r>
      <w:r>
        <w:t>standard’</w:t>
      </w:r>
      <w:r w:rsidR="001A1F90">
        <w:t xml:space="preserve"> </w:t>
      </w:r>
      <w:r>
        <w:t>of</w:t>
      </w:r>
      <w:r w:rsidR="001A1F90">
        <w:t xml:space="preserve"> </w:t>
      </w:r>
      <w:r>
        <w:t>testing</w:t>
      </w:r>
      <w:r w:rsidR="001A1F90">
        <w:t xml:space="preserve"> </w:t>
      </w:r>
      <w:r>
        <w:t>the</w:t>
      </w:r>
      <w:r w:rsidR="001A1F90">
        <w:t xml:space="preserve"> </w:t>
      </w:r>
      <w:r>
        <w:t>effectiveness</w:t>
      </w:r>
      <w:r w:rsidR="001A1F90">
        <w:t xml:space="preserve"> </w:t>
      </w:r>
      <w:r>
        <w:t>of</w:t>
      </w:r>
      <w:r w:rsidR="001A1F90">
        <w:t xml:space="preserve"> </w:t>
      </w:r>
      <w:r>
        <w:t>a</w:t>
      </w:r>
      <w:r w:rsidR="001A1F90">
        <w:t xml:space="preserve"> </w:t>
      </w:r>
      <w:r>
        <w:t>treatment</w:t>
      </w:r>
      <w:r w:rsidR="001A1F90">
        <w:t xml:space="preserve"> </w:t>
      </w:r>
      <w:r>
        <w:t>intervention.</w:t>
      </w:r>
      <w:r w:rsidR="001A1F90">
        <w:t xml:space="preserve"> </w:t>
      </w:r>
      <w:r>
        <w:t>However,</w:t>
      </w:r>
      <w:r w:rsidR="001A1F90">
        <w:t xml:space="preserve"> </w:t>
      </w:r>
      <w:r>
        <w:t>there</w:t>
      </w:r>
      <w:r w:rsidR="001A1F90">
        <w:t xml:space="preserve"> </w:t>
      </w:r>
      <w:r>
        <w:t>are</w:t>
      </w:r>
      <w:r w:rsidR="001A1F90">
        <w:t xml:space="preserve"> </w:t>
      </w:r>
      <w:r>
        <w:t>a</w:t>
      </w:r>
      <w:r w:rsidR="001A1F90">
        <w:t xml:space="preserve"> </w:t>
      </w:r>
      <w:r>
        <w:t>number</w:t>
      </w:r>
      <w:r w:rsidR="001A1F90">
        <w:t xml:space="preserve"> </w:t>
      </w:r>
      <w:r>
        <w:t>of</w:t>
      </w:r>
      <w:r w:rsidR="001A1F90">
        <w:t xml:space="preserve"> </w:t>
      </w:r>
      <w:r>
        <w:t>practical,</w:t>
      </w:r>
      <w:r w:rsidR="001A1F90">
        <w:t xml:space="preserve"> </w:t>
      </w:r>
      <w:r>
        <w:t>financial</w:t>
      </w:r>
      <w:r w:rsidR="001A1F90">
        <w:t xml:space="preserve"> </w:t>
      </w:r>
      <w:r>
        <w:t>and</w:t>
      </w:r>
      <w:r w:rsidR="001A1F90">
        <w:t xml:space="preserve"> </w:t>
      </w:r>
      <w:r>
        <w:t>ethical</w:t>
      </w:r>
      <w:r w:rsidR="001A1F90">
        <w:t xml:space="preserve"> </w:t>
      </w:r>
      <w:r>
        <w:t>impediments</w:t>
      </w:r>
      <w:r w:rsidR="001A1F90">
        <w:t xml:space="preserve"> </w:t>
      </w:r>
      <w:r>
        <w:t>associated</w:t>
      </w:r>
      <w:r w:rsidR="001A1F90">
        <w:t xml:space="preserve"> </w:t>
      </w:r>
      <w:r>
        <w:t>with</w:t>
      </w:r>
      <w:r w:rsidR="001A1F90">
        <w:t xml:space="preserve"> </w:t>
      </w:r>
      <w:r>
        <w:t>this</w:t>
      </w:r>
      <w:r w:rsidR="001A1F90">
        <w:t xml:space="preserve"> </w:t>
      </w:r>
      <w:r>
        <w:t>methodology</w:t>
      </w:r>
      <w:r w:rsidR="001A1F90">
        <w:t xml:space="preserve"> </w:t>
      </w:r>
      <w:r>
        <w:t>that</w:t>
      </w:r>
      <w:r w:rsidR="001A1F90">
        <w:t xml:space="preserve"> </w:t>
      </w:r>
      <w:r>
        <w:t>significantly</w:t>
      </w:r>
      <w:r w:rsidR="001A1F90">
        <w:t xml:space="preserve"> </w:t>
      </w:r>
      <w:r>
        <w:t>hamper</w:t>
      </w:r>
      <w:r w:rsidR="001A1F90">
        <w:t xml:space="preserve"> </w:t>
      </w:r>
      <w:r>
        <w:t>opportunities</w:t>
      </w:r>
      <w:r w:rsidR="001A1F90">
        <w:t xml:space="preserve"> </w:t>
      </w:r>
      <w:r>
        <w:t>to</w:t>
      </w:r>
      <w:r w:rsidR="001A1F90">
        <w:t xml:space="preserve"> </w:t>
      </w:r>
      <w:r>
        <w:t>conduct</w:t>
      </w:r>
      <w:r w:rsidR="001A1F90">
        <w:t xml:space="preserve"> </w:t>
      </w:r>
      <w:r>
        <w:t>a</w:t>
      </w:r>
      <w:r w:rsidR="001A1F90">
        <w:t xml:space="preserve"> </w:t>
      </w:r>
      <w:r>
        <w:t>trial</w:t>
      </w:r>
      <w:r w:rsidR="001A1F90">
        <w:t xml:space="preserve"> </w:t>
      </w:r>
      <w:r>
        <w:t>according</w:t>
      </w:r>
      <w:r w:rsidR="001A1F90">
        <w:t xml:space="preserve"> </w:t>
      </w:r>
      <w:r>
        <w:t>to</w:t>
      </w:r>
      <w:r w:rsidR="001A1F90">
        <w:t xml:space="preserve"> </w:t>
      </w:r>
      <w:r>
        <w:t>the</w:t>
      </w:r>
      <w:r w:rsidR="001A1F90">
        <w:t xml:space="preserve"> </w:t>
      </w:r>
      <w:r>
        <w:t>required</w:t>
      </w:r>
      <w:r w:rsidR="001A1F90">
        <w:t xml:space="preserve"> </w:t>
      </w:r>
      <w:hyperlink r:id="rId17" w:history="1">
        <w:r w:rsidRPr="00092256">
          <w:rPr>
            <w:rStyle w:val="Hyperlink"/>
          </w:rPr>
          <w:t>CONSORT</w:t>
        </w:r>
        <w:r w:rsidR="001A1F90" w:rsidRPr="00092256">
          <w:rPr>
            <w:rStyle w:val="Hyperlink"/>
          </w:rPr>
          <w:t xml:space="preserve"> </w:t>
        </w:r>
        <w:r w:rsidRPr="00092256">
          <w:rPr>
            <w:rStyle w:val="Hyperlink"/>
          </w:rPr>
          <w:t>guideline</w:t>
        </w:r>
        <w:r w:rsidR="001A1F90" w:rsidRPr="00092256">
          <w:rPr>
            <w:rStyle w:val="Hyperlink"/>
          </w:rPr>
          <w:t xml:space="preserve"> </w:t>
        </w:r>
        <w:r w:rsidRPr="00092256">
          <w:rPr>
            <w:rStyle w:val="Hyperlink"/>
          </w:rPr>
          <w:t>standard</w:t>
        </w:r>
      </w:hyperlink>
      <w:r w:rsidR="001A1F90">
        <w:t xml:space="preserve"> </w:t>
      </w:r>
      <w:r w:rsidR="00092256">
        <w:t>&lt;</w:t>
      </w:r>
      <w:r>
        <w:t>http://www.consort-statement.org</w:t>
      </w:r>
      <w:r w:rsidR="00092256">
        <w:t>&gt;</w:t>
      </w:r>
      <w:r w:rsidR="001A1F90">
        <w:t xml:space="preserve"> </w:t>
      </w:r>
      <w:r>
        <w:t>(also</w:t>
      </w:r>
      <w:r w:rsidR="001A1F90">
        <w:t xml:space="preserve"> </w:t>
      </w:r>
      <w:r>
        <w:t>see</w:t>
      </w:r>
      <w:r w:rsidR="001A1F90">
        <w:t xml:space="preserve"> </w:t>
      </w:r>
      <w:r>
        <w:t>Schulz</w:t>
      </w:r>
      <w:r w:rsidR="00B15447">
        <w:t>,</w:t>
      </w:r>
      <w:r w:rsidR="001A1F90">
        <w:t xml:space="preserve"> </w:t>
      </w:r>
      <w:r w:rsidR="00B15447">
        <w:t>Altman &amp; Moher</w:t>
      </w:r>
      <w:r w:rsidR="00B15447" w:rsidDel="00B15447">
        <w:t xml:space="preserve"> </w:t>
      </w:r>
      <w:r>
        <w:t>2010)</w:t>
      </w:r>
      <w:r w:rsidR="001A1F90">
        <w:t xml:space="preserve"> </w:t>
      </w:r>
      <w:r>
        <w:t>and</w:t>
      </w:r>
      <w:r w:rsidR="001A1F90">
        <w:t xml:space="preserve"> </w:t>
      </w:r>
      <w:r>
        <w:t>with</w:t>
      </w:r>
      <w:r w:rsidR="001A1F90">
        <w:t xml:space="preserve"> </w:t>
      </w:r>
      <w:r>
        <w:t>adequate</w:t>
      </w:r>
      <w:r w:rsidR="001A1F90">
        <w:t xml:space="preserve"> </w:t>
      </w:r>
      <w:r>
        <w:t>statistical</w:t>
      </w:r>
      <w:r w:rsidR="001A1F90">
        <w:t xml:space="preserve"> </w:t>
      </w:r>
      <w:r>
        <w:t>power.</w:t>
      </w:r>
      <w:r w:rsidR="001A1F90">
        <w:t xml:space="preserve"> </w:t>
      </w:r>
      <w:r>
        <w:t>In</w:t>
      </w:r>
      <w:r w:rsidR="001A1F90">
        <w:t xml:space="preserve"> </w:t>
      </w:r>
      <w:r>
        <w:t>their</w:t>
      </w:r>
      <w:r w:rsidR="001A1F90">
        <w:t xml:space="preserve"> </w:t>
      </w:r>
      <w:r>
        <w:t>stead,</w:t>
      </w:r>
      <w:r w:rsidR="001A1F90">
        <w:t xml:space="preserve"> </w:t>
      </w:r>
      <w:r>
        <w:t>it</w:t>
      </w:r>
      <w:r w:rsidR="001A1F90">
        <w:t xml:space="preserve"> </w:t>
      </w:r>
      <w:r>
        <w:t>has</w:t>
      </w:r>
      <w:r w:rsidR="001A1F90">
        <w:t xml:space="preserve"> </w:t>
      </w:r>
      <w:r>
        <w:t>been</w:t>
      </w:r>
      <w:r w:rsidR="001A1F90">
        <w:t xml:space="preserve"> </w:t>
      </w:r>
      <w:r>
        <w:t>argued</w:t>
      </w:r>
      <w:r w:rsidR="001A1F90">
        <w:t xml:space="preserve"> </w:t>
      </w:r>
      <w:r>
        <w:t>that</w:t>
      </w:r>
      <w:r w:rsidR="001A1F90">
        <w:t xml:space="preserve"> </w:t>
      </w:r>
      <w:r>
        <w:t>other</w:t>
      </w:r>
      <w:r w:rsidR="001A1F90">
        <w:t xml:space="preserve"> </w:t>
      </w:r>
      <w:r>
        <w:t>robust</w:t>
      </w:r>
      <w:r w:rsidR="001A1F90">
        <w:t xml:space="preserve"> </w:t>
      </w:r>
      <w:r>
        <w:t>methodologies</w:t>
      </w:r>
      <w:r w:rsidR="001A1F90">
        <w:t xml:space="preserve"> </w:t>
      </w:r>
      <w:r>
        <w:t>can</w:t>
      </w:r>
      <w:r w:rsidR="001A1F90">
        <w:t xml:space="preserve"> </w:t>
      </w:r>
      <w:r>
        <w:t>still</w:t>
      </w:r>
      <w:r w:rsidR="001A1F90">
        <w:t xml:space="preserve"> </w:t>
      </w:r>
      <w:r>
        <w:t>contribute</w:t>
      </w:r>
      <w:r w:rsidR="001A1F90">
        <w:t xml:space="preserve"> </w:t>
      </w:r>
      <w:r>
        <w:t>meaningfully</w:t>
      </w:r>
      <w:r w:rsidR="001A1F90">
        <w:t xml:space="preserve"> </w:t>
      </w:r>
      <w:r>
        <w:t>to</w:t>
      </w:r>
      <w:r w:rsidR="001A1F90">
        <w:t xml:space="preserve"> </w:t>
      </w:r>
      <w:r>
        <w:t>an</w:t>
      </w:r>
      <w:r w:rsidR="001A1F90">
        <w:t xml:space="preserve"> </w:t>
      </w:r>
      <w:r>
        <w:t>evidence</w:t>
      </w:r>
      <w:r w:rsidR="001A1F90">
        <w:t xml:space="preserve"> </w:t>
      </w:r>
      <w:r>
        <w:t>base</w:t>
      </w:r>
      <w:r w:rsidR="001A1F90">
        <w:t xml:space="preserve"> </w:t>
      </w:r>
      <w:r>
        <w:t>(</w:t>
      </w:r>
      <w:r w:rsidR="006D585C">
        <w:t xml:space="preserve">see, </w:t>
      </w:r>
      <w:r>
        <w:t>for</w:t>
      </w:r>
      <w:r w:rsidR="001A1F90">
        <w:t xml:space="preserve"> </w:t>
      </w:r>
      <w:r>
        <w:t>example,</w:t>
      </w:r>
      <w:r w:rsidR="001A1F90">
        <w:t xml:space="preserve"> </w:t>
      </w:r>
      <w:r>
        <w:t>Black</w:t>
      </w:r>
      <w:r w:rsidR="001A1F90">
        <w:t xml:space="preserve"> </w:t>
      </w:r>
      <w:r>
        <w:t>et</w:t>
      </w:r>
      <w:r w:rsidR="001A1F90">
        <w:t xml:space="preserve"> </w:t>
      </w:r>
      <w:r>
        <w:t>al.</w:t>
      </w:r>
      <w:r w:rsidR="001A1F90">
        <w:t xml:space="preserve"> </w:t>
      </w:r>
      <w:r>
        <w:t>1998)</w:t>
      </w:r>
      <w:r w:rsidR="001A1F90">
        <w:t xml:space="preserve"> </w:t>
      </w:r>
      <w:r>
        <w:t>and</w:t>
      </w:r>
      <w:r w:rsidR="001A1F90">
        <w:t xml:space="preserve"> </w:t>
      </w:r>
      <w:r>
        <w:t>can</w:t>
      </w:r>
      <w:r w:rsidR="001A1F90">
        <w:t xml:space="preserve"> </w:t>
      </w:r>
      <w:r>
        <w:t>provide</w:t>
      </w:r>
      <w:r w:rsidR="001A1F90">
        <w:t xml:space="preserve"> </w:t>
      </w:r>
      <w:r>
        <w:t>sometimes</w:t>
      </w:r>
      <w:r w:rsidR="001A1F90">
        <w:t xml:space="preserve"> </w:t>
      </w:r>
      <w:r>
        <w:t>compelling</w:t>
      </w:r>
      <w:r w:rsidR="001A1F90">
        <w:t xml:space="preserve"> </w:t>
      </w:r>
      <w:r>
        <w:t>information</w:t>
      </w:r>
      <w:r w:rsidR="001A1F90">
        <w:t xml:space="preserve"> </w:t>
      </w:r>
      <w:r>
        <w:t>pertaining</w:t>
      </w:r>
      <w:r w:rsidR="001A1F90">
        <w:t xml:space="preserve"> </w:t>
      </w:r>
      <w:r>
        <w:t>to</w:t>
      </w:r>
      <w:r w:rsidR="001A1F90">
        <w:t xml:space="preserve"> </w:t>
      </w:r>
      <w:r>
        <w:t>outcome-related</w:t>
      </w:r>
      <w:r w:rsidR="001A1F90">
        <w:t xml:space="preserve"> </w:t>
      </w:r>
      <w:r>
        <w:t>data</w:t>
      </w:r>
      <w:r w:rsidR="001A1F90">
        <w:t xml:space="preserve"> </w:t>
      </w:r>
      <w:r>
        <w:t>(such</w:t>
      </w:r>
      <w:r w:rsidR="001A1F90">
        <w:t xml:space="preserve"> </w:t>
      </w:r>
      <w:r>
        <w:t>as</w:t>
      </w:r>
      <w:r w:rsidR="001A1F90">
        <w:t xml:space="preserve"> </w:t>
      </w:r>
      <w:r>
        <w:t>recidivism).</w:t>
      </w:r>
    </w:p>
    <w:p w14:paraId="06235E82" w14:textId="179EE0E1" w:rsidR="004946F1" w:rsidRDefault="004946F1" w:rsidP="00BD612C">
      <w:pPr>
        <w:pStyle w:val="DHHSbody"/>
      </w:pPr>
      <w:r>
        <w:t>It</w:t>
      </w:r>
      <w:r w:rsidR="001A1F90">
        <w:t xml:space="preserve"> </w:t>
      </w:r>
      <w:r>
        <w:t>is</w:t>
      </w:r>
      <w:r w:rsidR="001A1F90">
        <w:t xml:space="preserve"> </w:t>
      </w:r>
      <w:r>
        <w:t>interesting,</w:t>
      </w:r>
      <w:r w:rsidR="001A1F90">
        <w:t xml:space="preserve"> </w:t>
      </w:r>
      <w:r>
        <w:t>therefore,</w:t>
      </w:r>
      <w:r w:rsidR="001A1F90">
        <w:t xml:space="preserve"> </w:t>
      </w:r>
      <w:r>
        <w:t>that</w:t>
      </w:r>
      <w:r w:rsidR="001A1F90">
        <w:t xml:space="preserve"> </w:t>
      </w:r>
      <w:r w:rsidR="00B15447">
        <w:t>including a</w:t>
      </w:r>
      <w:r w:rsidR="001A1F90">
        <w:t xml:space="preserve"> </w:t>
      </w:r>
      <w:r>
        <w:t>broader</w:t>
      </w:r>
      <w:r w:rsidR="001A1F90">
        <w:t xml:space="preserve"> </w:t>
      </w:r>
      <w:r>
        <w:t>suite</w:t>
      </w:r>
      <w:r w:rsidR="001A1F90">
        <w:t xml:space="preserve"> </w:t>
      </w:r>
      <w:r>
        <w:t>of</w:t>
      </w:r>
      <w:r w:rsidR="001A1F90">
        <w:t xml:space="preserve"> </w:t>
      </w:r>
      <w:r>
        <w:t>research</w:t>
      </w:r>
      <w:r w:rsidR="001A1F90">
        <w:t xml:space="preserve"> </w:t>
      </w:r>
      <w:r>
        <w:t>methodologies</w:t>
      </w:r>
      <w:r w:rsidR="001A1F90">
        <w:t xml:space="preserve"> </w:t>
      </w:r>
      <w:r>
        <w:t>(for</w:t>
      </w:r>
      <w:r w:rsidR="001A1F90">
        <w:t xml:space="preserve"> </w:t>
      </w:r>
      <w:r>
        <w:t>example</w:t>
      </w:r>
      <w:r w:rsidR="00B15447">
        <w:t>,</w:t>
      </w:r>
      <w:r w:rsidR="001A1F90">
        <w:t xml:space="preserve"> </w:t>
      </w:r>
      <w:r>
        <w:t>case</w:t>
      </w:r>
      <w:r w:rsidR="001A1F90">
        <w:t xml:space="preserve"> </w:t>
      </w:r>
      <w:r>
        <w:t>studies,</w:t>
      </w:r>
      <w:r w:rsidR="001A1F90">
        <w:t xml:space="preserve"> </w:t>
      </w:r>
      <w:r>
        <w:t>cohort</w:t>
      </w:r>
      <w:r w:rsidR="001A1F90">
        <w:t xml:space="preserve"> </w:t>
      </w:r>
      <w:r>
        <w:t>studies</w:t>
      </w:r>
      <w:r w:rsidR="001A1F90">
        <w:t xml:space="preserve"> </w:t>
      </w:r>
      <w:r>
        <w:t>and</w:t>
      </w:r>
      <w:r w:rsidR="001A1F90">
        <w:t xml:space="preserve"> </w:t>
      </w:r>
      <w:r>
        <w:t>case-control</w:t>
      </w:r>
      <w:r w:rsidR="001A1F90">
        <w:t xml:space="preserve"> </w:t>
      </w:r>
      <w:r>
        <w:t>approaches)</w:t>
      </w:r>
      <w:r w:rsidR="001A1F90">
        <w:t xml:space="preserve"> </w:t>
      </w:r>
      <w:r>
        <w:t>in</w:t>
      </w:r>
      <w:r w:rsidR="001A1F90">
        <w:t xml:space="preserve"> </w:t>
      </w:r>
      <w:r>
        <w:t>a</w:t>
      </w:r>
      <w:r w:rsidR="001A1F90">
        <w:t xml:space="preserve"> </w:t>
      </w:r>
      <w:r>
        <w:t>review</w:t>
      </w:r>
      <w:r w:rsidR="001A1F90">
        <w:t xml:space="preserve"> </w:t>
      </w:r>
      <w:r>
        <w:t>of</w:t>
      </w:r>
      <w:r w:rsidR="001A1F90">
        <w:t xml:space="preserve"> </w:t>
      </w:r>
      <w:r>
        <w:t>the</w:t>
      </w:r>
      <w:r w:rsidR="001A1F90">
        <w:t xml:space="preserve"> </w:t>
      </w:r>
      <w:r>
        <w:t>effectiveness</w:t>
      </w:r>
      <w:r w:rsidR="001A1F90">
        <w:t xml:space="preserve"> </w:t>
      </w:r>
      <w:r>
        <w:t>of</w:t>
      </w:r>
      <w:r w:rsidR="001A1F90">
        <w:t xml:space="preserve"> </w:t>
      </w:r>
      <w:r>
        <w:t>psychological</w:t>
      </w:r>
      <w:r w:rsidR="001A1F90">
        <w:t xml:space="preserve"> </w:t>
      </w:r>
      <w:r>
        <w:t>interventions</w:t>
      </w:r>
      <w:r w:rsidR="001A1F90">
        <w:t xml:space="preserve"> </w:t>
      </w:r>
      <w:r>
        <w:t>for</w:t>
      </w:r>
      <w:r w:rsidR="001A1F90">
        <w:t xml:space="preserve"> </w:t>
      </w:r>
      <w:r>
        <w:t>sexual</w:t>
      </w:r>
      <w:r w:rsidR="001A1F90">
        <w:t xml:space="preserve"> </w:t>
      </w:r>
      <w:r>
        <w:t>offenders</w:t>
      </w:r>
      <w:r w:rsidR="001A1F90">
        <w:t xml:space="preserve"> </w:t>
      </w:r>
      <w:r>
        <w:t>has</w:t>
      </w:r>
      <w:r w:rsidR="001A1F90">
        <w:t xml:space="preserve"> </w:t>
      </w:r>
      <w:r>
        <w:t>led</w:t>
      </w:r>
      <w:r w:rsidR="001A1F90">
        <w:t xml:space="preserve"> </w:t>
      </w:r>
      <w:r>
        <w:t>to</w:t>
      </w:r>
      <w:r w:rsidR="001A1F90">
        <w:t xml:space="preserve"> </w:t>
      </w:r>
      <w:r>
        <w:t>a</w:t>
      </w:r>
      <w:r w:rsidR="001A1F90">
        <w:t xml:space="preserve"> </w:t>
      </w:r>
      <w:r>
        <w:t>different</w:t>
      </w:r>
      <w:r w:rsidR="001A1F90">
        <w:t xml:space="preserve"> </w:t>
      </w:r>
      <w:r>
        <w:t>conclusion</w:t>
      </w:r>
      <w:r w:rsidR="001A1F90">
        <w:t xml:space="preserve"> </w:t>
      </w:r>
      <w:r w:rsidR="00B15447">
        <w:t xml:space="preserve">from </w:t>
      </w:r>
      <w:r>
        <w:t>that</w:t>
      </w:r>
      <w:r w:rsidR="001A1F90">
        <w:t xml:space="preserve"> </w:t>
      </w:r>
      <w:r>
        <w:t>reached</w:t>
      </w:r>
      <w:r w:rsidR="001A1F90">
        <w:t xml:space="preserve"> </w:t>
      </w:r>
      <w:r>
        <w:t>by</w:t>
      </w:r>
      <w:r w:rsidR="001A1F90">
        <w:t xml:space="preserve"> </w:t>
      </w:r>
      <w:r>
        <w:t>the</w:t>
      </w:r>
      <w:r w:rsidR="001A1F90">
        <w:t xml:space="preserve"> </w:t>
      </w:r>
      <w:r>
        <w:t>recent</w:t>
      </w:r>
      <w:r w:rsidR="001A1F90">
        <w:t xml:space="preserve"> </w:t>
      </w:r>
      <w:r>
        <w:t>Cochrane</w:t>
      </w:r>
      <w:r w:rsidR="001A1F90">
        <w:t xml:space="preserve"> </w:t>
      </w:r>
      <w:r>
        <w:t>review.</w:t>
      </w:r>
      <w:r w:rsidR="001A1F90">
        <w:t xml:space="preserve"> </w:t>
      </w:r>
      <w:r>
        <w:t>For</w:t>
      </w:r>
      <w:r w:rsidR="001A1F90">
        <w:t xml:space="preserve"> </w:t>
      </w:r>
      <w:r>
        <w:t>example,</w:t>
      </w:r>
      <w:r w:rsidR="001A1F90">
        <w:t xml:space="preserve"> </w:t>
      </w:r>
      <w:r>
        <w:t>Hanson</w:t>
      </w:r>
      <w:r w:rsidR="001A1F90">
        <w:t xml:space="preserve"> </w:t>
      </w:r>
      <w:r>
        <w:t>and</w:t>
      </w:r>
      <w:r w:rsidR="001A1F90">
        <w:t xml:space="preserve"> </w:t>
      </w:r>
      <w:r>
        <w:t>colleagues</w:t>
      </w:r>
      <w:r w:rsidR="001A1F90">
        <w:t xml:space="preserve"> </w:t>
      </w:r>
      <w:r>
        <w:t>(2002)</w:t>
      </w:r>
      <w:r w:rsidR="001A1F90">
        <w:t xml:space="preserve"> </w:t>
      </w:r>
      <w:r>
        <w:t>concluded</w:t>
      </w:r>
      <w:r w:rsidR="001A1F90">
        <w:t xml:space="preserve"> </w:t>
      </w:r>
      <w:r>
        <w:t>that</w:t>
      </w:r>
      <w:r w:rsidR="001A1F90">
        <w:t xml:space="preserve"> </w:t>
      </w:r>
      <w:r>
        <w:t>CBT</w:t>
      </w:r>
      <w:r w:rsidR="001A1F90">
        <w:t xml:space="preserve"> </w:t>
      </w:r>
      <w:r>
        <w:t>interventions</w:t>
      </w:r>
      <w:r w:rsidR="001A1F90">
        <w:t xml:space="preserve"> </w:t>
      </w:r>
      <w:r>
        <w:t>had</w:t>
      </w:r>
      <w:r w:rsidR="001A1F90">
        <w:t xml:space="preserve"> </w:t>
      </w:r>
      <w:r>
        <w:t>the</w:t>
      </w:r>
      <w:r w:rsidR="001A1F90">
        <w:t xml:space="preserve"> </w:t>
      </w:r>
      <w:r>
        <w:t>greatest</w:t>
      </w:r>
      <w:r w:rsidR="001A1F90">
        <w:t xml:space="preserve"> </w:t>
      </w:r>
      <w:r>
        <w:t>effect</w:t>
      </w:r>
      <w:r w:rsidR="001A1F90">
        <w:t xml:space="preserve"> </w:t>
      </w:r>
      <w:r>
        <w:t>on</w:t>
      </w:r>
      <w:r w:rsidR="001A1F90">
        <w:t xml:space="preserve"> </w:t>
      </w:r>
      <w:r>
        <w:t>recidivism.</w:t>
      </w:r>
      <w:r w:rsidR="001A1F90">
        <w:t xml:space="preserve"> </w:t>
      </w:r>
      <w:r>
        <w:t>Added</w:t>
      </w:r>
      <w:r w:rsidR="001A1F90">
        <w:t xml:space="preserve"> </w:t>
      </w:r>
      <w:r>
        <w:t>to</w:t>
      </w:r>
      <w:r w:rsidR="001A1F90">
        <w:t xml:space="preserve"> </w:t>
      </w:r>
      <w:r>
        <w:t>this,</w:t>
      </w:r>
      <w:r w:rsidR="001A1F90">
        <w:t xml:space="preserve"> </w:t>
      </w:r>
      <w:r>
        <w:t>in</w:t>
      </w:r>
      <w:r w:rsidR="001A1F90">
        <w:t xml:space="preserve"> </w:t>
      </w:r>
      <w:r>
        <w:t>an</w:t>
      </w:r>
      <w:r w:rsidR="001A1F90">
        <w:t xml:space="preserve"> </w:t>
      </w:r>
      <w:r>
        <w:t>updated</w:t>
      </w:r>
      <w:r w:rsidR="001A1F90">
        <w:t xml:space="preserve"> </w:t>
      </w:r>
      <w:r>
        <w:t>study,</w:t>
      </w:r>
      <w:r w:rsidR="001A1F90">
        <w:t xml:space="preserve"> </w:t>
      </w:r>
      <w:r>
        <w:t>Losel</w:t>
      </w:r>
      <w:r w:rsidR="001A1F90">
        <w:t xml:space="preserve"> </w:t>
      </w:r>
      <w:r>
        <w:t>and</w:t>
      </w:r>
      <w:r w:rsidR="001A1F90">
        <w:t xml:space="preserve"> </w:t>
      </w:r>
      <w:r>
        <w:t>Schmucker</w:t>
      </w:r>
      <w:r w:rsidR="001A1F90">
        <w:t xml:space="preserve"> </w:t>
      </w:r>
      <w:r>
        <w:t>(2005)</w:t>
      </w:r>
      <w:r w:rsidR="001A1F90">
        <w:t xml:space="preserve"> </w:t>
      </w:r>
      <w:r>
        <w:t>described</w:t>
      </w:r>
      <w:r w:rsidR="001A1F90">
        <w:t xml:space="preserve"> </w:t>
      </w:r>
      <w:r>
        <w:t>psychological</w:t>
      </w:r>
      <w:r w:rsidR="001A1F90">
        <w:t xml:space="preserve"> </w:t>
      </w:r>
      <w:r>
        <w:t>treatments</w:t>
      </w:r>
      <w:r w:rsidR="001A1F90">
        <w:t xml:space="preserve"> </w:t>
      </w:r>
      <w:r>
        <w:t>that</w:t>
      </w:r>
      <w:r w:rsidR="001A1F90">
        <w:t xml:space="preserve"> </w:t>
      </w:r>
      <w:r>
        <w:t>showed</w:t>
      </w:r>
      <w:r w:rsidR="001A1F90">
        <w:t xml:space="preserve"> </w:t>
      </w:r>
      <w:r>
        <w:t>more</w:t>
      </w:r>
      <w:r w:rsidR="001A1F90">
        <w:t xml:space="preserve"> </w:t>
      </w:r>
      <w:r>
        <w:t>promise</w:t>
      </w:r>
      <w:r w:rsidR="001A1F90">
        <w:t xml:space="preserve"> </w:t>
      </w:r>
      <w:r>
        <w:t>and</w:t>
      </w:r>
      <w:r w:rsidR="001A1F90">
        <w:t xml:space="preserve"> </w:t>
      </w:r>
      <w:r>
        <w:t>concluded</w:t>
      </w:r>
      <w:r w:rsidR="001A1F90">
        <w:t xml:space="preserve"> </w:t>
      </w:r>
      <w:r>
        <w:t>that</w:t>
      </w:r>
      <w:r w:rsidR="001A1F90">
        <w:t xml:space="preserve"> </w:t>
      </w:r>
      <w:r>
        <w:t>psychological</w:t>
      </w:r>
      <w:r w:rsidR="001A1F90">
        <w:t xml:space="preserve"> </w:t>
      </w:r>
      <w:r>
        <w:t>treatments</w:t>
      </w:r>
      <w:r w:rsidR="001A1F90">
        <w:t xml:space="preserve"> </w:t>
      </w:r>
      <w:r>
        <w:t>were</w:t>
      </w:r>
      <w:r w:rsidR="001A1F90">
        <w:t xml:space="preserve"> </w:t>
      </w:r>
      <w:r>
        <w:t>moderately</w:t>
      </w:r>
      <w:r w:rsidR="001A1F90">
        <w:t xml:space="preserve"> </w:t>
      </w:r>
      <w:r>
        <w:t>effective</w:t>
      </w:r>
      <w:r w:rsidR="001A1F90">
        <w:t xml:space="preserve"> </w:t>
      </w:r>
      <w:r>
        <w:t>in</w:t>
      </w:r>
      <w:r w:rsidR="001A1F90">
        <w:t xml:space="preserve"> </w:t>
      </w:r>
      <w:r>
        <w:t>reducing</w:t>
      </w:r>
      <w:r w:rsidR="001A1F90">
        <w:t xml:space="preserve"> </w:t>
      </w:r>
      <w:r>
        <w:t>recidivism.</w:t>
      </w:r>
      <w:r w:rsidR="001A1F90">
        <w:t xml:space="preserve"> </w:t>
      </w:r>
      <w:r>
        <w:t>This</w:t>
      </w:r>
      <w:r w:rsidR="001A1F90">
        <w:t xml:space="preserve"> </w:t>
      </w:r>
      <w:r>
        <w:t>conclusion</w:t>
      </w:r>
      <w:r w:rsidR="001A1F90">
        <w:t xml:space="preserve"> </w:t>
      </w:r>
      <w:r>
        <w:t>was</w:t>
      </w:r>
      <w:r w:rsidR="001A1F90">
        <w:t xml:space="preserve"> </w:t>
      </w:r>
      <w:r>
        <w:t>shared</w:t>
      </w:r>
      <w:r w:rsidR="001A1F90">
        <w:t xml:space="preserve"> </w:t>
      </w:r>
      <w:r>
        <w:t>by</w:t>
      </w:r>
      <w:r w:rsidR="001A1F90">
        <w:t xml:space="preserve"> </w:t>
      </w:r>
      <w:r>
        <w:t>Thibaut</w:t>
      </w:r>
      <w:r w:rsidR="001A1F90">
        <w:t xml:space="preserve"> </w:t>
      </w:r>
      <w:r>
        <w:t>and</w:t>
      </w:r>
      <w:r w:rsidR="001A1F90">
        <w:t xml:space="preserve"> </w:t>
      </w:r>
      <w:r>
        <w:t>colleagues</w:t>
      </w:r>
      <w:r w:rsidR="001A1F90">
        <w:t xml:space="preserve"> </w:t>
      </w:r>
      <w:r>
        <w:t>(2010)</w:t>
      </w:r>
      <w:r w:rsidR="00B15447">
        <w:t>,</w:t>
      </w:r>
      <w:r w:rsidR="001A1F90">
        <w:t xml:space="preserve"> </w:t>
      </w:r>
      <w:r>
        <w:t>who</w:t>
      </w:r>
      <w:r w:rsidR="001A1F90">
        <w:t xml:space="preserve"> </w:t>
      </w:r>
      <w:r>
        <w:t>noted</w:t>
      </w:r>
      <w:r w:rsidR="001A1F90">
        <w:t xml:space="preserve"> </w:t>
      </w:r>
      <w:r>
        <w:t>a</w:t>
      </w:r>
      <w:r w:rsidR="001A1F90">
        <w:t xml:space="preserve"> </w:t>
      </w:r>
      <w:r>
        <w:t>modest</w:t>
      </w:r>
      <w:r w:rsidR="001A1F90">
        <w:t xml:space="preserve"> </w:t>
      </w:r>
      <w:r>
        <w:t>reduction</w:t>
      </w:r>
      <w:r w:rsidR="001A1F90">
        <w:t xml:space="preserve"> </w:t>
      </w:r>
      <w:r>
        <w:t>in</w:t>
      </w:r>
      <w:r w:rsidR="001A1F90">
        <w:t xml:space="preserve"> </w:t>
      </w:r>
      <w:r>
        <w:t>recidivism</w:t>
      </w:r>
      <w:r w:rsidR="001A1F90">
        <w:t xml:space="preserve"> </w:t>
      </w:r>
      <w:r>
        <w:t>associated</w:t>
      </w:r>
      <w:r w:rsidR="001A1F90">
        <w:t xml:space="preserve"> </w:t>
      </w:r>
      <w:r>
        <w:t>with</w:t>
      </w:r>
      <w:r w:rsidR="001A1F90">
        <w:t xml:space="preserve"> </w:t>
      </w:r>
      <w:r>
        <w:t>their</w:t>
      </w:r>
      <w:r w:rsidR="001A1F90">
        <w:t xml:space="preserve"> </w:t>
      </w:r>
      <w:r>
        <w:t>application</w:t>
      </w:r>
      <w:r w:rsidR="001A1F90">
        <w:t xml:space="preserve"> </w:t>
      </w:r>
      <w:r>
        <w:t>as</w:t>
      </w:r>
      <w:r w:rsidR="001A1F90">
        <w:t xml:space="preserve"> </w:t>
      </w:r>
      <w:r>
        <w:t>an</w:t>
      </w:r>
      <w:r w:rsidR="001A1F90">
        <w:t xml:space="preserve"> </w:t>
      </w:r>
      <w:r>
        <w:t>intervention.</w:t>
      </w:r>
      <w:r w:rsidR="001A1F90">
        <w:t xml:space="preserve"> </w:t>
      </w:r>
      <w:r>
        <w:t>Of</w:t>
      </w:r>
      <w:r w:rsidR="001A1F90">
        <w:t xml:space="preserve"> </w:t>
      </w:r>
      <w:r>
        <w:t>note</w:t>
      </w:r>
      <w:r w:rsidR="001A1F90">
        <w:t xml:space="preserve"> </w:t>
      </w:r>
      <w:r>
        <w:t>here,</w:t>
      </w:r>
      <w:r w:rsidR="001A1F90">
        <w:t xml:space="preserve"> </w:t>
      </w:r>
      <w:r>
        <w:t>however,</w:t>
      </w:r>
      <w:r w:rsidR="001A1F90">
        <w:t xml:space="preserve"> </w:t>
      </w:r>
      <w:r>
        <w:t>the</w:t>
      </w:r>
      <w:r w:rsidR="001A1F90">
        <w:t xml:space="preserve"> </w:t>
      </w:r>
      <w:r>
        <w:t>Thibaut</w:t>
      </w:r>
      <w:r w:rsidR="001A1F90">
        <w:t xml:space="preserve"> </w:t>
      </w:r>
      <w:r>
        <w:t>paper</w:t>
      </w:r>
      <w:r w:rsidR="001A1F90">
        <w:t xml:space="preserve"> </w:t>
      </w:r>
      <w:r>
        <w:t>questioned</w:t>
      </w:r>
      <w:r w:rsidR="001A1F90">
        <w:t xml:space="preserve"> </w:t>
      </w:r>
      <w:r>
        <w:t>the</w:t>
      </w:r>
      <w:r w:rsidR="001A1F90">
        <w:t xml:space="preserve"> </w:t>
      </w:r>
      <w:r>
        <w:t>durability</w:t>
      </w:r>
      <w:r w:rsidR="001A1F90">
        <w:t xml:space="preserve"> </w:t>
      </w:r>
      <w:r>
        <w:t>of</w:t>
      </w:r>
      <w:r w:rsidR="001A1F90">
        <w:t xml:space="preserve"> </w:t>
      </w:r>
      <w:r>
        <w:t>these</w:t>
      </w:r>
      <w:r w:rsidR="001A1F90">
        <w:t xml:space="preserve"> </w:t>
      </w:r>
      <w:r>
        <w:t>‘treatment</w:t>
      </w:r>
      <w:r w:rsidR="001A1F90">
        <w:t xml:space="preserve"> </w:t>
      </w:r>
      <w:r>
        <w:t>gains’</w:t>
      </w:r>
      <w:r w:rsidR="001A1F90">
        <w:t xml:space="preserve"> </w:t>
      </w:r>
      <w:r>
        <w:t>in</w:t>
      </w:r>
      <w:r w:rsidR="001A1F90">
        <w:t xml:space="preserve"> </w:t>
      </w:r>
      <w:r>
        <w:t>the</w:t>
      </w:r>
      <w:r w:rsidR="001A1F90">
        <w:t xml:space="preserve"> </w:t>
      </w:r>
      <w:r>
        <w:t>medium</w:t>
      </w:r>
      <w:r w:rsidR="001A1F90">
        <w:t xml:space="preserve"> </w:t>
      </w:r>
      <w:r>
        <w:t>to</w:t>
      </w:r>
      <w:r w:rsidR="001A1F90">
        <w:t xml:space="preserve"> </w:t>
      </w:r>
      <w:r>
        <w:t>long</w:t>
      </w:r>
      <w:r w:rsidR="00283E42">
        <w:t xml:space="preserve"> </w:t>
      </w:r>
      <w:r>
        <w:t>term</w:t>
      </w:r>
      <w:r w:rsidR="001A1F90">
        <w:t xml:space="preserve"> </w:t>
      </w:r>
      <w:r>
        <w:t>that</w:t>
      </w:r>
      <w:r w:rsidR="001A1F90">
        <w:t xml:space="preserve"> </w:t>
      </w:r>
      <w:r>
        <w:t>had</w:t>
      </w:r>
      <w:r w:rsidR="001A1F90">
        <w:t xml:space="preserve"> </w:t>
      </w:r>
      <w:r>
        <w:t>not</w:t>
      </w:r>
      <w:r w:rsidR="001A1F90">
        <w:t xml:space="preserve"> </w:t>
      </w:r>
      <w:r>
        <w:t>been</w:t>
      </w:r>
      <w:r w:rsidR="001A1F90">
        <w:t xml:space="preserve"> </w:t>
      </w:r>
      <w:r>
        <w:t>routinely</w:t>
      </w:r>
      <w:r w:rsidR="001A1F90">
        <w:t xml:space="preserve"> </w:t>
      </w:r>
      <w:r>
        <w:t>considered</w:t>
      </w:r>
      <w:r w:rsidR="001A1F90">
        <w:t xml:space="preserve"> </w:t>
      </w:r>
      <w:r>
        <w:t>in</w:t>
      </w:r>
      <w:r w:rsidR="001A1F90">
        <w:t xml:space="preserve"> </w:t>
      </w:r>
      <w:r>
        <w:t>the</w:t>
      </w:r>
      <w:r w:rsidR="001A1F90">
        <w:t xml:space="preserve"> </w:t>
      </w:r>
      <w:r>
        <w:t>available</w:t>
      </w:r>
      <w:r w:rsidR="001A1F90">
        <w:t xml:space="preserve"> </w:t>
      </w:r>
      <w:r>
        <w:t>literature,</w:t>
      </w:r>
      <w:r w:rsidR="001A1F90">
        <w:t xml:space="preserve"> </w:t>
      </w:r>
      <w:r>
        <w:t>although</w:t>
      </w:r>
      <w:r w:rsidR="001A1F90">
        <w:t xml:space="preserve"> </w:t>
      </w:r>
      <w:r>
        <w:t>there</w:t>
      </w:r>
      <w:r w:rsidR="001A1F90">
        <w:t xml:space="preserve"> </w:t>
      </w:r>
      <w:r>
        <w:t>is</w:t>
      </w:r>
      <w:r w:rsidR="001A1F90">
        <w:t xml:space="preserve"> </w:t>
      </w:r>
      <w:r>
        <w:t>a</w:t>
      </w:r>
      <w:r w:rsidR="001A1F90">
        <w:t xml:space="preserve"> </w:t>
      </w:r>
      <w:r>
        <w:t>strong</w:t>
      </w:r>
      <w:r w:rsidR="001A1F90">
        <w:t xml:space="preserve"> </w:t>
      </w:r>
      <w:r>
        <w:t>consensus</w:t>
      </w:r>
      <w:r w:rsidR="001A1F90">
        <w:t xml:space="preserve"> </w:t>
      </w:r>
      <w:r>
        <w:t>of</w:t>
      </w:r>
      <w:r w:rsidR="001A1F90">
        <w:t xml:space="preserve"> </w:t>
      </w:r>
      <w:r>
        <w:t>the</w:t>
      </w:r>
      <w:r w:rsidR="001A1F90">
        <w:t xml:space="preserve"> </w:t>
      </w:r>
      <w:r>
        <w:t>need</w:t>
      </w:r>
      <w:r w:rsidR="001A1F90">
        <w:t xml:space="preserve"> </w:t>
      </w:r>
      <w:r>
        <w:t>to</w:t>
      </w:r>
      <w:r w:rsidR="001A1F90">
        <w:t xml:space="preserve"> </w:t>
      </w:r>
      <w:r>
        <w:t>factor</w:t>
      </w:r>
      <w:r w:rsidR="001A1F90">
        <w:t xml:space="preserve"> </w:t>
      </w:r>
      <w:r>
        <w:t>in</w:t>
      </w:r>
      <w:r w:rsidR="001A1F90">
        <w:t xml:space="preserve"> </w:t>
      </w:r>
      <w:r>
        <w:t>the</w:t>
      </w:r>
      <w:r w:rsidR="001A1F90">
        <w:t xml:space="preserve"> </w:t>
      </w:r>
      <w:r w:rsidR="003C5CB4">
        <w:t xml:space="preserve">requirement </w:t>
      </w:r>
      <w:r>
        <w:t>for</w:t>
      </w:r>
      <w:r w:rsidR="001A1F90">
        <w:t xml:space="preserve"> </w:t>
      </w:r>
      <w:r>
        <w:t>booster</w:t>
      </w:r>
      <w:r w:rsidR="001A1F90">
        <w:t xml:space="preserve"> </w:t>
      </w:r>
      <w:r>
        <w:t>sessions</w:t>
      </w:r>
      <w:r w:rsidR="001A1F90">
        <w:t xml:space="preserve"> </w:t>
      </w:r>
      <w:r>
        <w:t>–</w:t>
      </w:r>
      <w:r w:rsidR="001A1F90">
        <w:t xml:space="preserve"> </w:t>
      </w:r>
      <w:r>
        <w:t>a</w:t>
      </w:r>
      <w:r w:rsidR="001A1F90">
        <w:t xml:space="preserve"> </w:t>
      </w:r>
      <w:r>
        <w:t>practice</w:t>
      </w:r>
      <w:r w:rsidR="003C5CB4">
        <w:t xml:space="preserve"> that is</w:t>
      </w:r>
      <w:r w:rsidR="001A1F90">
        <w:t xml:space="preserve"> </w:t>
      </w:r>
      <w:r>
        <w:t>common</w:t>
      </w:r>
      <w:r w:rsidR="003C5CB4">
        <w:t xml:space="preserve"> in</w:t>
      </w:r>
      <w:r w:rsidR="001A1F90">
        <w:t xml:space="preserve"> </w:t>
      </w:r>
      <w:r>
        <w:t>psychological</w:t>
      </w:r>
      <w:r w:rsidR="001A1F90">
        <w:t xml:space="preserve"> </w:t>
      </w:r>
      <w:r>
        <w:t>treatments</w:t>
      </w:r>
      <w:r w:rsidR="001A1F90">
        <w:t xml:space="preserve"> </w:t>
      </w:r>
      <w:r>
        <w:t>(</w:t>
      </w:r>
      <w:r w:rsidR="0063249C">
        <w:t xml:space="preserve">see, </w:t>
      </w:r>
      <w:r w:rsidR="00F550F1">
        <w:t>for example</w:t>
      </w:r>
      <w:r>
        <w:t>,</w:t>
      </w:r>
      <w:r w:rsidR="001A1F90">
        <w:t xml:space="preserve"> </w:t>
      </w:r>
      <w:r>
        <w:t>Whisman</w:t>
      </w:r>
      <w:r w:rsidR="001A1F90">
        <w:t xml:space="preserve"> </w:t>
      </w:r>
      <w:r>
        <w:t>1990).</w:t>
      </w:r>
    </w:p>
    <w:p w14:paraId="15ED5C59" w14:textId="2ED3552E" w:rsidR="004946F1" w:rsidRDefault="004946F1" w:rsidP="00BD612C">
      <w:pPr>
        <w:pStyle w:val="DHHSbody"/>
      </w:pPr>
      <w:r>
        <w:t>Specifically</w:t>
      </w:r>
      <w:r w:rsidR="001A1F90">
        <w:t xml:space="preserve"> </w:t>
      </w:r>
      <w:r>
        <w:t>focusing</w:t>
      </w:r>
      <w:r w:rsidR="001A1F90">
        <w:t xml:space="preserve"> </w:t>
      </w:r>
      <w:r>
        <w:t>on</w:t>
      </w:r>
      <w:r w:rsidR="001A1F90">
        <w:t xml:space="preserve"> </w:t>
      </w:r>
      <w:r>
        <w:t>research</w:t>
      </w:r>
      <w:r w:rsidR="001A1F90">
        <w:t xml:space="preserve"> </w:t>
      </w:r>
      <w:r>
        <w:t>on</w:t>
      </w:r>
      <w:r w:rsidR="001A1F90">
        <w:t xml:space="preserve"> </w:t>
      </w:r>
      <w:r>
        <w:t>sexual</w:t>
      </w:r>
      <w:r w:rsidR="001A1F90">
        <w:t xml:space="preserve"> </w:t>
      </w:r>
      <w:r>
        <w:t>offenders</w:t>
      </w:r>
      <w:r w:rsidR="001A1F90">
        <w:t xml:space="preserve"> </w:t>
      </w:r>
      <w:r>
        <w:t>with</w:t>
      </w:r>
      <w:r w:rsidR="001A1F90">
        <w:t xml:space="preserve"> </w:t>
      </w:r>
      <w:r>
        <w:t>intellectual</w:t>
      </w:r>
      <w:r w:rsidR="001A1F90">
        <w:t xml:space="preserve"> </w:t>
      </w:r>
      <w:r>
        <w:t>disability,</w:t>
      </w:r>
      <w:r w:rsidR="001A1F90">
        <w:t xml:space="preserve"> </w:t>
      </w:r>
      <w:r>
        <w:t>Ashman</w:t>
      </w:r>
      <w:r w:rsidR="001A1F90">
        <w:t xml:space="preserve"> </w:t>
      </w:r>
      <w:r w:rsidR="003C5CB4">
        <w:t>and</w:t>
      </w:r>
      <w:r w:rsidR="001A1F90">
        <w:t xml:space="preserve"> </w:t>
      </w:r>
      <w:r>
        <w:t>Duggan</w:t>
      </w:r>
      <w:r w:rsidR="001A1F90">
        <w:t xml:space="preserve"> </w:t>
      </w:r>
      <w:r>
        <w:t>(2008)</w:t>
      </w:r>
      <w:r w:rsidR="001A1F90">
        <w:t xml:space="preserve"> </w:t>
      </w:r>
      <w:r>
        <w:t>failed</w:t>
      </w:r>
      <w:r w:rsidR="001A1F90">
        <w:t xml:space="preserve"> </w:t>
      </w:r>
      <w:r>
        <w:t>to</w:t>
      </w:r>
      <w:r w:rsidR="001A1F90">
        <w:t xml:space="preserve"> </w:t>
      </w:r>
      <w:r>
        <w:t>identify</w:t>
      </w:r>
      <w:r w:rsidR="001A1F90">
        <w:t xml:space="preserve"> </w:t>
      </w:r>
      <w:r>
        <w:t>any</w:t>
      </w:r>
      <w:r w:rsidR="001A1F90">
        <w:t xml:space="preserve"> </w:t>
      </w:r>
      <w:r>
        <w:t>randomised</w:t>
      </w:r>
      <w:r w:rsidR="001A1F90">
        <w:t xml:space="preserve"> </w:t>
      </w:r>
      <w:r>
        <w:t>controlled</w:t>
      </w:r>
      <w:r w:rsidR="001A1F90">
        <w:t xml:space="preserve"> </w:t>
      </w:r>
      <w:r>
        <w:t>trials</w:t>
      </w:r>
      <w:r w:rsidR="001A1F90">
        <w:t xml:space="preserve"> </w:t>
      </w:r>
      <w:r>
        <w:t>to</w:t>
      </w:r>
      <w:r w:rsidR="001A1F90">
        <w:t xml:space="preserve"> </w:t>
      </w:r>
      <w:r>
        <w:t>appraise</w:t>
      </w:r>
      <w:r w:rsidR="001A1F90">
        <w:t xml:space="preserve"> </w:t>
      </w:r>
      <w:r>
        <w:t>the</w:t>
      </w:r>
      <w:r w:rsidR="001A1F90">
        <w:t xml:space="preserve"> </w:t>
      </w:r>
      <w:r>
        <w:t>effectiveness</w:t>
      </w:r>
      <w:r w:rsidR="001A1F90">
        <w:t xml:space="preserve"> </w:t>
      </w:r>
      <w:r>
        <w:t>of</w:t>
      </w:r>
      <w:r w:rsidR="001A1F90">
        <w:t xml:space="preserve"> </w:t>
      </w:r>
      <w:r>
        <w:t>treatment</w:t>
      </w:r>
      <w:r w:rsidR="001A1F90">
        <w:t xml:space="preserve"> </w:t>
      </w:r>
      <w:r>
        <w:t>interventions</w:t>
      </w:r>
      <w:r w:rsidR="001A1F90">
        <w:t xml:space="preserve"> </w:t>
      </w:r>
      <w:r>
        <w:t>with</w:t>
      </w:r>
      <w:r w:rsidR="001A1F90">
        <w:t xml:space="preserve"> </w:t>
      </w:r>
      <w:r>
        <w:t>this</w:t>
      </w:r>
      <w:r w:rsidR="001A1F90">
        <w:t xml:space="preserve"> </w:t>
      </w:r>
      <w:r>
        <w:t>population.</w:t>
      </w:r>
      <w:r w:rsidR="001A1F90">
        <w:t xml:space="preserve"> </w:t>
      </w:r>
      <w:r>
        <w:t>As</w:t>
      </w:r>
      <w:r w:rsidR="001A1F90">
        <w:t xml:space="preserve"> </w:t>
      </w:r>
      <w:r>
        <w:t>such,</w:t>
      </w:r>
      <w:r w:rsidR="001A1F90">
        <w:t xml:space="preserve"> </w:t>
      </w:r>
      <w:r>
        <w:t>their</w:t>
      </w:r>
      <w:r w:rsidR="001A1F90">
        <w:t xml:space="preserve"> </w:t>
      </w:r>
      <w:r>
        <w:t>recommendation</w:t>
      </w:r>
      <w:r w:rsidR="001A1F90">
        <w:t xml:space="preserve"> </w:t>
      </w:r>
      <w:r>
        <w:t>was</w:t>
      </w:r>
      <w:r w:rsidR="001A1F90">
        <w:t xml:space="preserve"> </w:t>
      </w:r>
      <w:r>
        <w:t>that</w:t>
      </w:r>
      <w:r w:rsidR="001A1F90">
        <w:t xml:space="preserve"> </w:t>
      </w:r>
      <w:r>
        <w:t>clinicians</w:t>
      </w:r>
      <w:r w:rsidR="001A1F90">
        <w:t xml:space="preserve"> </w:t>
      </w:r>
      <w:r>
        <w:t>would</w:t>
      </w:r>
      <w:r w:rsidR="001A1F90">
        <w:t xml:space="preserve"> </w:t>
      </w:r>
      <w:r>
        <w:t>need</w:t>
      </w:r>
      <w:r w:rsidR="001A1F90">
        <w:t xml:space="preserve"> </w:t>
      </w:r>
      <w:r>
        <w:t>to</w:t>
      </w:r>
      <w:r w:rsidR="001A1F90">
        <w:t xml:space="preserve"> </w:t>
      </w:r>
      <w:r>
        <w:t>continue</w:t>
      </w:r>
      <w:r w:rsidR="001A1F90">
        <w:t xml:space="preserve"> </w:t>
      </w:r>
      <w:r>
        <w:t>to</w:t>
      </w:r>
      <w:r w:rsidR="001A1F90">
        <w:t xml:space="preserve"> </w:t>
      </w:r>
      <w:r>
        <w:t>extrapolate</w:t>
      </w:r>
      <w:r w:rsidR="001A1F90">
        <w:t xml:space="preserve"> </w:t>
      </w:r>
      <w:r>
        <w:t>from</w:t>
      </w:r>
      <w:r w:rsidR="001A1F90">
        <w:t xml:space="preserve"> </w:t>
      </w:r>
      <w:r>
        <w:t>study</w:t>
      </w:r>
      <w:r w:rsidR="001A1F90">
        <w:t xml:space="preserve"> </w:t>
      </w:r>
      <w:r>
        <w:t>findings</w:t>
      </w:r>
      <w:r w:rsidR="001A1F90">
        <w:t xml:space="preserve"> </w:t>
      </w:r>
      <w:r>
        <w:t>that</w:t>
      </w:r>
      <w:r w:rsidR="001A1F90">
        <w:t xml:space="preserve"> </w:t>
      </w:r>
      <w:r>
        <w:t>reported</w:t>
      </w:r>
      <w:r w:rsidR="001A1F90">
        <w:t xml:space="preserve"> </w:t>
      </w:r>
      <w:r>
        <w:t>on</w:t>
      </w:r>
      <w:r w:rsidR="001A1F90">
        <w:t xml:space="preserve"> </w:t>
      </w:r>
      <w:r>
        <w:t>the</w:t>
      </w:r>
      <w:r w:rsidR="001A1F90">
        <w:t xml:space="preserve"> </w:t>
      </w:r>
      <w:r>
        <w:t>efficacy</w:t>
      </w:r>
      <w:r w:rsidR="001A1F90">
        <w:t xml:space="preserve"> </w:t>
      </w:r>
      <w:r>
        <w:t>of</w:t>
      </w:r>
      <w:r w:rsidR="001A1F90">
        <w:t xml:space="preserve"> </w:t>
      </w:r>
      <w:r>
        <w:t>interventions</w:t>
      </w:r>
      <w:r w:rsidR="001A1F90">
        <w:t xml:space="preserve"> </w:t>
      </w:r>
      <w:r>
        <w:t>with</w:t>
      </w:r>
      <w:r w:rsidR="001A1F90">
        <w:t xml:space="preserve"> </w:t>
      </w:r>
      <w:r>
        <w:t>non-intellectually</w:t>
      </w:r>
      <w:r w:rsidR="001A1F90">
        <w:t xml:space="preserve"> </w:t>
      </w:r>
      <w:r>
        <w:t>disabled</w:t>
      </w:r>
      <w:r w:rsidR="001A1F90">
        <w:t xml:space="preserve"> </w:t>
      </w:r>
      <w:r>
        <w:t>populations.</w:t>
      </w:r>
      <w:r w:rsidR="001A1F90">
        <w:t xml:space="preserve"> </w:t>
      </w:r>
      <w:r>
        <w:t>Furthermore,</w:t>
      </w:r>
      <w:r w:rsidR="001A1F90">
        <w:t xml:space="preserve"> </w:t>
      </w:r>
      <w:r>
        <w:t>they</w:t>
      </w:r>
      <w:r w:rsidR="001A1F90">
        <w:t xml:space="preserve"> </w:t>
      </w:r>
      <w:r>
        <w:t>advocated</w:t>
      </w:r>
      <w:r w:rsidR="001A1F90">
        <w:t xml:space="preserve"> </w:t>
      </w:r>
      <w:r>
        <w:t>for</w:t>
      </w:r>
      <w:r w:rsidR="001A1F90">
        <w:t xml:space="preserve"> </w:t>
      </w:r>
      <w:r>
        <w:t>a</w:t>
      </w:r>
      <w:r w:rsidR="001A1F90">
        <w:t xml:space="preserve"> </w:t>
      </w:r>
      <w:r>
        <w:t>more</w:t>
      </w:r>
      <w:r w:rsidR="001A1F90">
        <w:t xml:space="preserve"> </w:t>
      </w:r>
      <w:r>
        <w:t>nuanced</w:t>
      </w:r>
      <w:r w:rsidR="001A1F90">
        <w:t xml:space="preserve"> </w:t>
      </w:r>
      <w:r>
        <w:t>consideration</w:t>
      </w:r>
      <w:r w:rsidR="001A1F90">
        <w:t xml:space="preserve"> </w:t>
      </w:r>
      <w:r>
        <w:t>of</w:t>
      </w:r>
      <w:r w:rsidR="001A1F90">
        <w:t xml:space="preserve"> </w:t>
      </w:r>
      <w:r>
        <w:t>the</w:t>
      </w:r>
      <w:r w:rsidR="001A1F90">
        <w:t xml:space="preserve"> </w:t>
      </w:r>
      <w:r>
        <w:t>potential</w:t>
      </w:r>
      <w:r w:rsidR="001A1F90">
        <w:t xml:space="preserve"> </w:t>
      </w:r>
      <w:r>
        <w:t>value</w:t>
      </w:r>
      <w:r w:rsidR="001A1F90">
        <w:t xml:space="preserve"> </w:t>
      </w:r>
      <w:r>
        <w:t>of</w:t>
      </w:r>
      <w:r w:rsidR="001A1F90">
        <w:t xml:space="preserve"> </w:t>
      </w:r>
      <w:r>
        <w:t>any</w:t>
      </w:r>
      <w:r w:rsidR="001A1F90">
        <w:t xml:space="preserve"> </w:t>
      </w:r>
      <w:r>
        <w:t>evidence</w:t>
      </w:r>
      <w:r w:rsidR="001A1F90">
        <w:t xml:space="preserve"> </w:t>
      </w:r>
      <w:r>
        <w:t>that</w:t>
      </w:r>
      <w:r w:rsidR="001A1F90">
        <w:t xml:space="preserve"> </w:t>
      </w:r>
      <w:r>
        <w:t>was</w:t>
      </w:r>
      <w:r w:rsidR="001A1F90">
        <w:t xml:space="preserve"> </w:t>
      </w:r>
      <w:r>
        <w:t>available</w:t>
      </w:r>
      <w:r w:rsidR="001A1F90">
        <w:t xml:space="preserve"> </w:t>
      </w:r>
      <w:r>
        <w:t>from</w:t>
      </w:r>
      <w:r w:rsidR="001A1F90">
        <w:t xml:space="preserve"> </w:t>
      </w:r>
      <w:r>
        <w:t>studies</w:t>
      </w:r>
      <w:r w:rsidR="001A1F90">
        <w:t xml:space="preserve"> </w:t>
      </w:r>
      <w:r>
        <w:t>that</w:t>
      </w:r>
      <w:r w:rsidR="001A1F90">
        <w:t xml:space="preserve"> </w:t>
      </w:r>
      <w:r>
        <w:t>had</w:t>
      </w:r>
      <w:r w:rsidR="001A1F90">
        <w:t xml:space="preserve"> </w:t>
      </w:r>
      <w:r>
        <w:t>utilised</w:t>
      </w:r>
      <w:r w:rsidR="001A1F90">
        <w:t xml:space="preserve"> </w:t>
      </w:r>
      <w:r>
        <w:t>alternative</w:t>
      </w:r>
      <w:r w:rsidR="001A1F90">
        <w:t xml:space="preserve"> </w:t>
      </w:r>
      <w:r>
        <w:t>(non-trial</w:t>
      </w:r>
      <w:r w:rsidR="003C5CB4">
        <w:t>-</w:t>
      </w:r>
      <w:r>
        <w:t>based)</w:t>
      </w:r>
      <w:r w:rsidR="001A1F90">
        <w:t xml:space="preserve"> </w:t>
      </w:r>
      <w:r>
        <w:t>research</w:t>
      </w:r>
      <w:r w:rsidR="001A1F90">
        <w:t xml:space="preserve"> </w:t>
      </w:r>
      <w:r>
        <w:t>methodologies.</w:t>
      </w:r>
    </w:p>
    <w:p w14:paraId="4DFC81DF" w14:textId="13E6D247" w:rsidR="004946F1" w:rsidRDefault="004946F1" w:rsidP="00BD612C">
      <w:pPr>
        <w:pStyle w:val="DHHSbody"/>
      </w:pPr>
      <w:r>
        <w:t>The</w:t>
      </w:r>
      <w:r w:rsidR="001A1F90">
        <w:t xml:space="preserve"> </w:t>
      </w:r>
      <w:r>
        <w:t>scientific</w:t>
      </w:r>
      <w:r w:rsidR="001A1F90">
        <w:t xml:space="preserve"> </w:t>
      </w:r>
      <w:r>
        <w:t>evidence</w:t>
      </w:r>
      <w:r w:rsidR="001A1F90">
        <w:t xml:space="preserve"> </w:t>
      </w:r>
      <w:r>
        <w:t>base</w:t>
      </w:r>
      <w:r w:rsidR="001A1F90">
        <w:t xml:space="preserve"> </w:t>
      </w:r>
      <w:r>
        <w:t>around</w:t>
      </w:r>
      <w:r w:rsidR="001A1F90">
        <w:t xml:space="preserve"> </w:t>
      </w:r>
      <w:r>
        <w:t>the</w:t>
      </w:r>
      <w:r w:rsidR="001A1F90">
        <w:t xml:space="preserve"> </w:t>
      </w:r>
      <w:r>
        <w:t>use</w:t>
      </w:r>
      <w:r w:rsidR="001A1F90">
        <w:t xml:space="preserve"> </w:t>
      </w:r>
      <w:r>
        <w:t>of</w:t>
      </w:r>
      <w:r w:rsidR="001A1F90">
        <w:t xml:space="preserve"> </w:t>
      </w:r>
      <w:r>
        <w:t>anti-libidinal</w:t>
      </w:r>
      <w:r w:rsidR="001A1F90">
        <w:t xml:space="preserve"> </w:t>
      </w:r>
      <w:r>
        <w:t>medications</w:t>
      </w:r>
      <w:r w:rsidR="001A1F90">
        <w:t xml:space="preserve"> </w:t>
      </w:r>
      <w:r>
        <w:t>with</w:t>
      </w:r>
      <w:r w:rsidR="001A1F90">
        <w:t xml:space="preserve"> </w:t>
      </w:r>
      <w:r>
        <w:t>people</w:t>
      </w:r>
      <w:r w:rsidR="001A1F90">
        <w:t xml:space="preserve"> </w:t>
      </w:r>
      <w:r>
        <w:t>with</w:t>
      </w:r>
      <w:r w:rsidR="001A1F90">
        <w:t xml:space="preserve"> </w:t>
      </w:r>
      <w:r>
        <w:t>intellectual</w:t>
      </w:r>
      <w:r w:rsidR="001A1F90">
        <w:t xml:space="preserve"> </w:t>
      </w:r>
      <w:r>
        <w:t>disabilities</w:t>
      </w:r>
      <w:r w:rsidR="001A1F90">
        <w:t xml:space="preserve"> </w:t>
      </w:r>
      <w:r>
        <w:t>remains</w:t>
      </w:r>
      <w:r w:rsidR="001A1F90">
        <w:t xml:space="preserve"> </w:t>
      </w:r>
      <w:r>
        <w:t>limited.</w:t>
      </w:r>
      <w:r w:rsidR="001A1F90">
        <w:t xml:space="preserve"> </w:t>
      </w:r>
      <w:r>
        <w:t>The</w:t>
      </w:r>
      <w:r w:rsidR="001A1F90">
        <w:t xml:space="preserve"> </w:t>
      </w:r>
      <w:r>
        <w:t>results</w:t>
      </w:r>
      <w:r w:rsidR="001A1F90">
        <w:t xml:space="preserve"> </w:t>
      </w:r>
      <w:r>
        <w:t>of</w:t>
      </w:r>
      <w:r w:rsidR="001A1F90">
        <w:t xml:space="preserve"> </w:t>
      </w:r>
      <w:r>
        <w:t>the</w:t>
      </w:r>
      <w:r w:rsidR="001A1F90">
        <w:t xml:space="preserve"> </w:t>
      </w:r>
      <w:r>
        <w:t>few</w:t>
      </w:r>
      <w:r w:rsidR="001A1F90">
        <w:t xml:space="preserve"> </w:t>
      </w:r>
      <w:r>
        <w:t>available</w:t>
      </w:r>
      <w:r w:rsidR="001A1F90">
        <w:t xml:space="preserve"> </w:t>
      </w:r>
      <w:r>
        <w:t>‘controlled’</w:t>
      </w:r>
      <w:r w:rsidR="001A1F90">
        <w:t xml:space="preserve"> </w:t>
      </w:r>
      <w:r>
        <w:t>studies</w:t>
      </w:r>
      <w:r w:rsidR="001A1F90">
        <w:t xml:space="preserve"> </w:t>
      </w:r>
      <w:r>
        <w:t>do</w:t>
      </w:r>
      <w:r w:rsidR="001A1F90">
        <w:t xml:space="preserve"> </w:t>
      </w:r>
      <w:r>
        <w:t>not</w:t>
      </w:r>
      <w:r w:rsidR="001A1F90">
        <w:t xml:space="preserve"> </w:t>
      </w:r>
      <w:r>
        <w:t>provide</w:t>
      </w:r>
      <w:r w:rsidR="001A1F90">
        <w:t xml:space="preserve"> </w:t>
      </w:r>
      <w:r>
        <w:t>compelling</w:t>
      </w:r>
      <w:r w:rsidR="001A1F90">
        <w:t xml:space="preserve"> </w:t>
      </w:r>
      <w:r>
        <w:t>evidence</w:t>
      </w:r>
      <w:r w:rsidR="001A1F90">
        <w:t xml:space="preserve"> </w:t>
      </w:r>
      <w:r>
        <w:t>for</w:t>
      </w:r>
      <w:r w:rsidR="001A1F90">
        <w:t xml:space="preserve"> </w:t>
      </w:r>
      <w:r>
        <w:t>supporting</w:t>
      </w:r>
      <w:r w:rsidR="001A1F90">
        <w:t xml:space="preserve"> </w:t>
      </w:r>
      <w:r>
        <w:t>the</w:t>
      </w:r>
      <w:r w:rsidR="001A1F90">
        <w:t xml:space="preserve"> </w:t>
      </w:r>
      <w:r>
        <w:t>efficacy</w:t>
      </w:r>
      <w:r w:rsidR="001A1F90">
        <w:t xml:space="preserve"> </w:t>
      </w:r>
      <w:r>
        <w:t>of</w:t>
      </w:r>
      <w:r w:rsidR="001A1F90">
        <w:t xml:space="preserve"> </w:t>
      </w:r>
      <w:r>
        <w:t>their</w:t>
      </w:r>
      <w:r w:rsidR="001A1F90">
        <w:t xml:space="preserve"> </w:t>
      </w:r>
      <w:r>
        <w:t>use</w:t>
      </w:r>
      <w:r w:rsidR="001A1F90">
        <w:t xml:space="preserve"> </w:t>
      </w:r>
      <w:r>
        <w:t>(Bradford</w:t>
      </w:r>
      <w:r w:rsidR="001A1F90">
        <w:t xml:space="preserve"> </w:t>
      </w:r>
      <w:r>
        <w:t>&amp;</w:t>
      </w:r>
      <w:r w:rsidR="001A1F90">
        <w:t xml:space="preserve"> </w:t>
      </w:r>
      <w:r>
        <w:t>Pawlak</w:t>
      </w:r>
      <w:r w:rsidR="001A1F90">
        <w:t xml:space="preserve"> </w:t>
      </w:r>
      <w:r>
        <w:t>1993;</w:t>
      </w:r>
      <w:r w:rsidR="001A1F90">
        <w:t xml:space="preserve"> </w:t>
      </w:r>
      <w:r>
        <w:t>Cooper</w:t>
      </w:r>
      <w:r w:rsidR="001A1F90">
        <w:t xml:space="preserve"> </w:t>
      </w:r>
      <w:r>
        <w:t>1981;</w:t>
      </w:r>
      <w:r w:rsidR="001A1F90">
        <w:t xml:space="preserve"> </w:t>
      </w:r>
      <w:r>
        <w:t>Hucker</w:t>
      </w:r>
      <w:r w:rsidR="003C5CB4">
        <w:t>,</w:t>
      </w:r>
      <w:r w:rsidR="001A1F90">
        <w:t xml:space="preserve"> </w:t>
      </w:r>
      <w:r w:rsidR="003C5CB4">
        <w:t>Langevin &amp; Bain</w:t>
      </w:r>
      <w:r w:rsidR="003C5CB4" w:rsidDel="003C5CB4">
        <w:t xml:space="preserve"> </w:t>
      </w:r>
      <w:r>
        <w:t>1998).</w:t>
      </w:r>
      <w:r w:rsidR="001A1F90">
        <w:t xml:space="preserve"> </w:t>
      </w:r>
      <w:r>
        <w:t>These</w:t>
      </w:r>
      <w:r w:rsidR="001A1F90">
        <w:t xml:space="preserve"> </w:t>
      </w:r>
      <w:r>
        <w:t>studies</w:t>
      </w:r>
      <w:r w:rsidR="001A1F90">
        <w:t xml:space="preserve"> </w:t>
      </w:r>
      <w:r>
        <w:t>were</w:t>
      </w:r>
      <w:r w:rsidR="001A1F90">
        <w:t xml:space="preserve"> </w:t>
      </w:r>
      <w:r>
        <w:t>also</w:t>
      </w:r>
      <w:r w:rsidR="001A1F90">
        <w:t xml:space="preserve"> </w:t>
      </w:r>
      <w:r>
        <w:t>published</w:t>
      </w:r>
      <w:r w:rsidR="001A1F90">
        <w:t xml:space="preserve"> </w:t>
      </w:r>
      <w:r>
        <w:t>at</w:t>
      </w:r>
      <w:r w:rsidR="001A1F90">
        <w:t xml:space="preserve"> </w:t>
      </w:r>
      <w:r>
        <w:t>least</w:t>
      </w:r>
      <w:r w:rsidR="001A1F90">
        <w:t xml:space="preserve"> </w:t>
      </w:r>
      <w:r>
        <w:t>20</w:t>
      </w:r>
      <w:r w:rsidR="001A1F90">
        <w:t xml:space="preserve"> </w:t>
      </w:r>
      <w:r>
        <w:t>years</w:t>
      </w:r>
      <w:r w:rsidR="001A1F90">
        <w:t xml:space="preserve"> </w:t>
      </w:r>
      <w:r>
        <w:t>ago</w:t>
      </w:r>
      <w:r w:rsidR="001A1F90">
        <w:t xml:space="preserve"> </w:t>
      </w:r>
      <w:r>
        <w:t>(and</w:t>
      </w:r>
      <w:r w:rsidR="001A1F90">
        <w:t xml:space="preserve"> </w:t>
      </w:r>
      <w:r>
        <w:t>therefore</w:t>
      </w:r>
      <w:r w:rsidR="001A1F90">
        <w:t xml:space="preserve"> </w:t>
      </w:r>
      <w:r>
        <w:t>conducted</w:t>
      </w:r>
      <w:r w:rsidR="001A1F90">
        <w:t xml:space="preserve"> </w:t>
      </w:r>
      <w:r>
        <w:t>several</w:t>
      </w:r>
      <w:r w:rsidR="001A1F90">
        <w:t xml:space="preserve"> </w:t>
      </w:r>
      <w:r>
        <w:t>years</w:t>
      </w:r>
      <w:r w:rsidR="001A1F90">
        <w:t xml:space="preserve"> </w:t>
      </w:r>
      <w:r w:rsidR="003C5CB4">
        <w:t>before</w:t>
      </w:r>
      <w:r w:rsidR="001A1F90">
        <w:t xml:space="preserve"> </w:t>
      </w:r>
      <w:r>
        <w:t>those</w:t>
      </w:r>
      <w:r w:rsidR="001A1F90">
        <w:t xml:space="preserve"> </w:t>
      </w:r>
      <w:r>
        <w:t>publication</w:t>
      </w:r>
      <w:r w:rsidR="001A1F90">
        <w:t xml:space="preserve"> </w:t>
      </w:r>
      <w:r>
        <w:t>dates),</w:t>
      </w:r>
      <w:r w:rsidR="001A1F90">
        <w:t xml:space="preserve"> </w:t>
      </w:r>
      <w:r>
        <w:t>so</w:t>
      </w:r>
      <w:r w:rsidR="001A1F90">
        <w:t xml:space="preserve"> </w:t>
      </w:r>
      <w:r>
        <w:t>their</w:t>
      </w:r>
      <w:r w:rsidR="001A1F90">
        <w:t xml:space="preserve"> </w:t>
      </w:r>
      <w:r>
        <w:t>applicability</w:t>
      </w:r>
      <w:r w:rsidR="001A1F90">
        <w:t xml:space="preserve"> </w:t>
      </w:r>
      <w:r>
        <w:t>in</w:t>
      </w:r>
      <w:r w:rsidR="001A1F90">
        <w:t xml:space="preserve"> </w:t>
      </w:r>
      <w:r>
        <w:t>the</w:t>
      </w:r>
      <w:r w:rsidR="001A1F90">
        <w:t xml:space="preserve"> </w:t>
      </w:r>
      <w:r>
        <w:t>current</w:t>
      </w:r>
      <w:r w:rsidR="001A1F90">
        <w:t xml:space="preserve"> </w:t>
      </w:r>
      <w:r>
        <w:t>(Australian)</w:t>
      </w:r>
      <w:r w:rsidR="001A1F90">
        <w:t xml:space="preserve"> </w:t>
      </w:r>
      <w:r>
        <w:t>context</w:t>
      </w:r>
      <w:r w:rsidR="001A1F90">
        <w:t xml:space="preserve"> </w:t>
      </w:r>
      <w:r>
        <w:t>is</w:t>
      </w:r>
      <w:r w:rsidR="001A1F90">
        <w:t xml:space="preserve"> </w:t>
      </w:r>
      <w:r>
        <w:t>extremely</w:t>
      </w:r>
      <w:r w:rsidR="001A1F90">
        <w:t xml:space="preserve"> </w:t>
      </w:r>
      <w:r>
        <w:t>limited.</w:t>
      </w:r>
      <w:r w:rsidR="001A1F90">
        <w:t xml:space="preserve"> </w:t>
      </w:r>
      <w:r>
        <w:t>The</w:t>
      </w:r>
      <w:r w:rsidR="001A1F90">
        <w:t xml:space="preserve"> </w:t>
      </w:r>
      <w:r>
        <w:t>available</w:t>
      </w:r>
      <w:r w:rsidR="001A1F90">
        <w:t xml:space="preserve"> </w:t>
      </w:r>
      <w:r>
        <w:t>research</w:t>
      </w:r>
      <w:r w:rsidR="001A1F90">
        <w:t xml:space="preserve"> </w:t>
      </w:r>
      <w:r>
        <w:t>is</w:t>
      </w:r>
      <w:r w:rsidR="001A1F90">
        <w:t xml:space="preserve"> </w:t>
      </w:r>
      <w:r>
        <w:t>significantly</w:t>
      </w:r>
      <w:r w:rsidR="001A1F90">
        <w:t xml:space="preserve"> </w:t>
      </w:r>
      <w:r>
        <w:t>hampered</w:t>
      </w:r>
      <w:r w:rsidR="001A1F90">
        <w:t xml:space="preserve"> </w:t>
      </w:r>
      <w:r>
        <w:t>with</w:t>
      </w:r>
      <w:r w:rsidR="001A1F90">
        <w:t xml:space="preserve"> </w:t>
      </w:r>
      <w:r>
        <w:t>respect</w:t>
      </w:r>
      <w:r w:rsidR="001A1F90">
        <w:t xml:space="preserve"> </w:t>
      </w:r>
      <w:r>
        <w:t>to</w:t>
      </w:r>
      <w:r w:rsidR="001A1F90">
        <w:t xml:space="preserve"> </w:t>
      </w:r>
      <w:r>
        <w:t>both</w:t>
      </w:r>
      <w:r w:rsidR="001A1F90">
        <w:t xml:space="preserve"> </w:t>
      </w:r>
      <w:r>
        <w:t>rigour</w:t>
      </w:r>
      <w:r w:rsidR="001A1F90">
        <w:t xml:space="preserve"> </w:t>
      </w:r>
      <w:r>
        <w:t>and</w:t>
      </w:r>
      <w:r w:rsidR="001A1F90">
        <w:t xml:space="preserve"> </w:t>
      </w:r>
      <w:r>
        <w:t>robustness,</w:t>
      </w:r>
      <w:r w:rsidR="001A1F90">
        <w:t xml:space="preserve"> </w:t>
      </w:r>
      <w:r>
        <w:t>and</w:t>
      </w:r>
      <w:r w:rsidR="001A1F90">
        <w:t xml:space="preserve"> </w:t>
      </w:r>
      <w:r>
        <w:t>therefore</w:t>
      </w:r>
      <w:r w:rsidR="001A1F90">
        <w:t xml:space="preserve"> </w:t>
      </w:r>
      <w:r>
        <w:t>generalisability.</w:t>
      </w:r>
      <w:r w:rsidR="001A1F90">
        <w:t xml:space="preserve"> </w:t>
      </w:r>
      <w:r>
        <w:t>Methodologically</w:t>
      </w:r>
      <w:r w:rsidR="001A1F90">
        <w:t xml:space="preserve"> </w:t>
      </w:r>
      <w:r>
        <w:t>speaking,</w:t>
      </w:r>
      <w:r w:rsidR="001A1F90">
        <w:t xml:space="preserve"> </w:t>
      </w:r>
      <w:r>
        <w:t>sample</w:t>
      </w:r>
      <w:r w:rsidR="001A1F90">
        <w:t xml:space="preserve"> </w:t>
      </w:r>
      <w:r>
        <w:t>sizes</w:t>
      </w:r>
      <w:r w:rsidR="001A1F90">
        <w:t xml:space="preserve"> </w:t>
      </w:r>
      <w:r>
        <w:t>have</w:t>
      </w:r>
      <w:r w:rsidR="001A1F90">
        <w:t xml:space="preserve"> </w:t>
      </w:r>
      <w:r>
        <w:t>generally</w:t>
      </w:r>
      <w:r w:rsidR="001A1F90">
        <w:t xml:space="preserve"> </w:t>
      </w:r>
      <w:r>
        <w:t>been</w:t>
      </w:r>
      <w:r w:rsidR="001A1F90">
        <w:t xml:space="preserve"> </w:t>
      </w:r>
      <w:r>
        <w:t>small</w:t>
      </w:r>
      <w:r w:rsidR="001A1F90">
        <w:t xml:space="preserve"> </w:t>
      </w:r>
      <w:r>
        <w:t>and</w:t>
      </w:r>
      <w:r w:rsidR="001A1F90">
        <w:t xml:space="preserve"> </w:t>
      </w:r>
      <w:r>
        <w:t>opportunistic</w:t>
      </w:r>
      <w:r w:rsidR="001A1F90">
        <w:t xml:space="preserve"> </w:t>
      </w:r>
      <w:r>
        <w:t>in</w:t>
      </w:r>
      <w:r w:rsidR="001A1F90">
        <w:t xml:space="preserve"> </w:t>
      </w:r>
      <w:r>
        <w:t>nature,</w:t>
      </w:r>
      <w:r w:rsidR="001A1F90">
        <w:t xml:space="preserve"> </w:t>
      </w:r>
      <w:r>
        <w:t>with</w:t>
      </w:r>
      <w:r w:rsidR="001A1F90">
        <w:t xml:space="preserve"> </w:t>
      </w:r>
      <w:r>
        <w:t>little</w:t>
      </w:r>
      <w:r w:rsidR="001A1F90">
        <w:t xml:space="preserve"> </w:t>
      </w:r>
      <w:r>
        <w:t>if</w:t>
      </w:r>
      <w:r w:rsidR="001A1F90">
        <w:t xml:space="preserve"> </w:t>
      </w:r>
      <w:r>
        <w:t>any</w:t>
      </w:r>
      <w:r w:rsidR="001A1F90">
        <w:t xml:space="preserve"> </w:t>
      </w:r>
      <w:r>
        <w:t>follow-up;</w:t>
      </w:r>
      <w:r w:rsidR="001A1F90">
        <w:t xml:space="preserve"> </w:t>
      </w:r>
      <w:r>
        <w:t>they</w:t>
      </w:r>
      <w:r w:rsidR="001A1F90">
        <w:t xml:space="preserve"> </w:t>
      </w:r>
      <w:r>
        <w:t>have</w:t>
      </w:r>
      <w:r w:rsidR="001A1F90">
        <w:t xml:space="preserve"> </w:t>
      </w:r>
      <w:r>
        <w:t>been</w:t>
      </w:r>
      <w:r w:rsidR="001A1F90">
        <w:t xml:space="preserve"> </w:t>
      </w:r>
      <w:r>
        <w:t>hampered</w:t>
      </w:r>
      <w:r w:rsidR="001A1F90">
        <w:t xml:space="preserve"> </w:t>
      </w:r>
      <w:r>
        <w:t>by</w:t>
      </w:r>
      <w:r w:rsidR="001A1F90">
        <w:t xml:space="preserve"> </w:t>
      </w:r>
      <w:r>
        <w:t>high</w:t>
      </w:r>
      <w:r w:rsidR="001A1F90">
        <w:t xml:space="preserve"> </w:t>
      </w:r>
      <w:r>
        <w:t>refusal</w:t>
      </w:r>
      <w:r w:rsidR="001A1F90">
        <w:t xml:space="preserve"> </w:t>
      </w:r>
      <w:r>
        <w:t>and</w:t>
      </w:r>
      <w:r w:rsidR="001A1F90">
        <w:t xml:space="preserve"> </w:t>
      </w:r>
      <w:r>
        <w:t>attrition</w:t>
      </w:r>
      <w:r w:rsidR="001A1F90">
        <w:t xml:space="preserve"> </w:t>
      </w:r>
      <w:r>
        <w:t>rates</w:t>
      </w:r>
      <w:r w:rsidR="001A1F90">
        <w:t xml:space="preserve"> </w:t>
      </w:r>
      <w:r>
        <w:t>and,</w:t>
      </w:r>
      <w:r w:rsidR="001A1F90">
        <w:t xml:space="preserve"> </w:t>
      </w:r>
      <w:r>
        <w:t>as</w:t>
      </w:r>
      <w:r w:rsidR="001A1F90">
        <w:t xml:space="preserve"> </w:t>
      </w:r>
      <w:r>
        <w:t>a</w:t>
      </w:r>
      <w:r w:rsidR="001A1F90">
        <w:t xml:space="preserve"> </w:t>
      </w:r>
      <w:r>
        <w:t>result,</w:t>
      </w:r>
      <w:r w:rsidR="001A1F90">
        <w:t xml:space="preserve"> </w:t>
      </w:r>
      <w:r>
        <w:t>have</w:t>
      </w:r>
      <w:r w:rsidR="001A1F90">
        <w:t xml:space="preserve"> </w:t>
      </w:r>
      <w:r>
        <w:t>only</w:t>
      </w:r>
      <w:r w:rsidR="001A1F90">
        <w:t xml:space="preserve"> </w:t>
      </w:r>
      <w:r>
        <w:t>been</w:t>
      </w:r>
      <w:r w:rsidR="001A1F90">
        <w:t xml:space="preserve"> </w:t>
      </w:r>
      <w:r>
        <w:t>able</w:t>
      </w:r>
      <w:r w:rsidR="001A1F90">
        <w:t xml:space="preserve"> </w:t>
      </w:r>
      <w:r>
        <w:t>to</w:t>
      </w:r>
      <w:r w:rsidR="001A1F90">
        <w:t xml:space="preserve"> </w:t>
      </w:r>
      <w:r>
        <w:t>capture</w:t>
      </w:r>
      <w:r w:rsidR="001A1F90">
        <w:t xml:space="preserve"> </w:t>
      </w:r>
      <w:r>
        <w:t>what</w:t>
      </w:r>
      <w:r w:rsidR="001A1F90">
        <w:t xml:space="preserve"> </w:t>
      </w:r>
      <w:r>
        <w:t>essentially</w:t>
      </w:r>
      <w:r w:rsidR="001A1F90">
        <w:t xml:space="preserve"> </w:t>
      </w:r>
      <w:r>
        <w:t>amounts</w:t>
      </w:r>
      <w:r w:rsidR="001A1F90">
        <w:t xml:space="preserve"> </w:t>
      </w:r>
      <w:r>
        <w:t>to</w:t>
      </w:r>
      <w:r w:rsidR="001A1F90">
        <w:t xml:space="preserve"> </w:t>
      </w:r>
      <w:r>
        <w:t>short</w:t>
      </w:r>
      <w:r w:rsidR="001A1F90">
        <w:t xml:space="preserve"> </w:t>
      </w:r>
      <w:r>
        <w:t>durations</w:t>
      </w:r>
      <w:r w:rsidR="001A1F90">
        <w:t xml:space="preserve"> </w:t>
      </w:r>
      <w:r>
        <w:t>of</w:t>
      </w:r>
      <w:r w:rsidR="001A1F90">
        <w:t xml:space="preserve"> </w:t>
      </w:r>
      <w:r>
        <w:t>treatment.</w:t>
      </w:r>
      <w:r w:rsidR="001A1F90">
        <w:t xml:space="preserve"> </w:t>
      </w:r>
      <w:r>
        <w:t>While</w:t>
      </w:r>
      <w:r w:rsidR="001A1F90">
        <w:t xml:space="preserve"> </w:t>
      </w:r>
      <w:r>
        <w:t>the</w:t>
      </w:r>
      <w:r w:rsidR="001A1F90">
        <w:t xml:space="preserve"> </w:t>
      </w:r>
      <w:r>
        <w:t>possibility</w:t>
      </w:r>
      <w:r w:rsidR="001A1F90">
        <w:t xml:space="preserve"> </w:t>
      </w:r>
      <w:r>
        <w:t>of</w:t>
      </w:r>
      <w:r w:rsidR="001A1F90">
        <w:t xml:space="preserve"> </w:t>
      </w:r>
      <w:r>
        <w:t>conducting</w:t>
      </w:r>
      <w:r w:rsidR="001A1F90">
        <w:t xml:space="preserve"> </w:t>
      </w:r>
      <w:r>
        <w:t>a</w:t>
      </w:r>
      <w:r w:rsidR="001A1F90">
        <w:t xml:space="preserve"> </w:t>
      </w:r>
      <w:r>
        <w:t>randomised</w:t>
      </w:r>
      <w:r w:rsidR="001A1F90">
        <w:t xml:space="preserve"> </w:t>
      </w:r>
      <w:r>
        <w:t>controlled</w:t>
      </w:r>
      <w:r w:rsidR="001A1F90">
        <w:t xml:space="preserve"> </w:t>
      </w:r>
      <w:r>
        <w:t>trial</w:t>
      </w:r>
      <w:r w:rsidR="001A1F90">
        <w:t xml:space="preserve"> </w:t>
      </w:r>
      <w:r>
        <w:t>of</w:t>
      </w:r>
      <w:r w:rsidR="001A1F90">
        <w:t xml:space="preserve"> </w:t>
      </w:r>
      <w:r>
        <w:t>the</w:t>
      </w:r>
      <w:r w:rsidR="001A1F90">
        <w:t xml:space="preserve"> </w:t>
      </w:r>
      <w:r>
        <w:t>efficacy</w:t>
      </w:r>
      <w:r w:rsidR="001A1F90">
        <w:t xml:space="preserve"> </w:t>
      </w:r>
      <w:r>
        <w:t>of</w:t>
      </w:r>
      <w:r w:rsidR="001A1F90">
        <w:t xml:space="preserve"> </w:t>
      </w:r>
      <w:r>
        <w:t>anti-libidinal</w:t>
      </w:r>
      <w:r w:rsidR="001A1F90">
        <w:t xml:space="preserve"> </w:t>
      </w:r>
      <w:r>
        <w:t>medication</w:t>
      </w:r>
      <w:r w:rsidR="001A1F90">
        <w:t xml:space="preserve"> </w:t>
      </w:r>
      <w:r>
        <w:t>would</w:t>
      </w:r>
      <w:r w:rsidR="001A1F90">
        <w:t xml:space="preserve"> </w:t>
      </w:r>
      <w:r>
        <w:t>clearly</w:t>
      </w:r>
      <w:r w:rsidR="001A1F90">
        <w:t xml:space="preserve"> </w:t>
      </w:r>
      <w:r>
        <w:t>have</w:t>
      </w:r>
      <w:r w:rsidR="001A1F90">
        <w:t xml:space="preserve"> </w:t>
      </w:r>
      <w:r>
        <w:t>significant</w:t>
      </w:r>
      <w:r w:rsidR="001A1F90">
        <w:t xml:space="preserve"> </w:t>
      </w:r>
      <w:r>
        <w:t>ethical</w:t>
      </w:r>
      <w:r w:rsidR="001A1F90">
        <w:t xml:space="preserve"> </w:t>
      </w:r>
      <w:r>
        <w:t>and</w:t>
      </w:r>
      <w:r w:rsidR="001A1F90">
        <w:t xml:space="preserve"> </w:t>
      </w:r>
      <w:r>
        <w:t>health-related</w:t>
      </w:r>
      <w:r w:rsidR="001A1F90">
        <w:t xml:space="preserve"> </w:t>
      </w:r>
      <w:r>
        <w:t>concerns,</w:t>
      </w:r>
      <w:r w:rsidR="001A1F90">
        <w:t xml:space="preserve"> </w:t>
      </w:r>
      <w:r>
        <w:t>some</w:t>
      </w:r>
      <w:r w:rsidR="001A1F90">
        <w:t xml:space="preserve"> </w:t>
      </w:r>
      <w:r>
        <w:t>influential</w:t>
      </w:r>
      <w:r w:rsidR="001A1F90">
        <w:t xml:space="preserve"> </w:t>
      </w:r>
      <w:r>
        <w:t>authors</w:t>
      </w:r>
      <w:r w:rsidR="001A1F90">
        <w:t xml:space="preserve"> </w:t>
      </w:r>
      <w:r>
        <w:t>assert</w:t>
      </w:r>
      <w:r w:rsidR="001A1F90">
        <w:t xml:space="preserve"> </w:t>
      </w:r>
      <w:r>
        <w:t>that</w:t>
      </w:r>
      <w:r w:rsidR="001A1F90">
        <w:t xml:space="preserve"> </w:t>
      </w:r>
      <w:r>
        <w:t>without</w:t>
      </w:r>
      <w:r w:rsidR="001A1F90">
        <w:t xml:space="preserve"> </w:t>
      </w:r>
      <w:r>
        <w:t>this</w:t>
      </w:r>
      <w:r w:rsidR="001A1F90">
        <w:t xml:space="preserve"> </w:t>
      </w:r>
      <w:r>
        <w:t>level</w:t>
      </w:r>
      <w:r w:rsidR="001A1F90">
        <w:t xml:space="preserve"> </w:t>
      </w:r>
      <w:r>
        <w:t>of</w:t>
      </w:r>
      <w:r w:rsidR="001A1F90">
        <w:t xml:space="preserve"> </w:t>
      </w:r>
      <w:r>
        <w:t>evidence</w:t>
      </w:r>
      <w:r w:rsidR="001A1F90">
        <w:t xml:space="preserve"> </w:t>
      </w:r>
      <w:r>
        <w:t>there</w:t>
      </w:r>
      <w:r w:rsidR="001A1F90">
        <w:t xml:space="preserve"> </w:t>
      </w:r>
      <w:r>
        <w:t>should</w:t>
      </w:r>
      <w:r w:rsidR="001A1F90">
        <w:t xml:space="preserve"> </w:t>
      </w:r>
      <w:r>
        <w:t>be</w:t>
      </w:r>
      <w:r w:rsidR="001A1F90">
        <w:t xml:space="preserve"> </w:t>
      </w:r>
      <w:r>
        <w:t>little</w:t>
      </w:r>
      <w:r w:rsidR="001A1F90">
        <w:t xml:space="preserve"> </w:t>
      </w:r>
      <w:r>
        <w:t>confidence</w:t>
      </w:r>
      <w:r w:rsidR="001A1F90">
        <w:t xml:space="preserve"> </w:t>
      </w:r>
      <w:r>
        <w:t>in</w:t>
      </w:r>
      <w:r w:rsidR="001A1F90">
        <w:t xml:space="preserve"> </w:t>
      </w:r>
      <w:r>
        <w:t>their</w:t>
      </w:r>
      <w:r w:rsidR="001A1F90">
        <w:t xml:space="preserve"> </w:t>
      </w:r>
      <w:r>
        <w:t>application</w:t>
      </w:r>
      <w:r w:rsidR="001A1F90">
        <w:t xml:space="preserve"> </w:t>
      </w:r>
      <w:r>
        <w:t>in</w:t>
      </w:r>
      <w:r w:rsidR="001A1F90">
        <w:t xml:space="preserve"> </w:t>
      </w:r>
      <w:r>
        <w:t>routine</w:t>
      </w:r>
      <w:r w:rsidR="001A1F90">
        <w:t xml:space="preserve"> </w:t>
      </w:r>
      <w:r>
        <w:t>clinical</w:t>
      </w:r>
      <w:r w:rsidR="001A1F90">
        <w:t xml:space="preserve"> </w:t>
      </w:r>
      <w:r>
        <w:t>use</w:t>
      </w:r>
      <w:r w:rsidR="001A1F90">
        <w:t xml:space="preserve"> </w:t>
      </w:r>
      <w:r>
        <w:t>for</w:t>
      </w:r>
      <w:r w:rsidR="001A1F90">
        <w:t xml:space="preserve"> </w:t>
      </w:r>
      <w:r>
        <w:t>treat</w:t>
      </w:r>
      <w:r w:rsidR="003C5CB4">
        <w:t>ing</w:t>
      </w:r>
      <w:r w:rsidR="001A1F90">
        <w:t xml:space="preserve"> </w:t>
      </w:r>
      <w:r>
        <w:t>sexual</w:t>
      </w:r>
      <w:r w:rsidR="001A1F90">
        <w:t xml:space="preserve"> </w:t>
      </w:r>
      <w:r>
        <w:t>deviance,</w:t>
      </w:r>
      <w:r w:rsidR="001A1F90">
        <w:t xml:space="preserve"> </w:t>
      </w:r>
      <w:r>
        <w:t>especially</w:t>
      </w:r>
      <w:r w:rsidR="001A1F90">
        <w:t xml:space="preserve"> </w:t>
      </w:r>
      <w:r>
        <w:t>as</w:t>
      </w:r>
      <w:r w:rsidR="001A1F90">
        <w:t xml:space="preserve"> </w:t>
      </w:r>
      <w:r>
        <w:t>a</w:t>
      </w:r>
      <w:r w:rsidR="001A1F90">
        <w:t xml:space="preserve"> </w:t>
      </w:r>
      <w:r>
        <w:t>principal</w:t>
      </w:r>
      <w:r w:rsidR="001A1F90">
        <w:t xml:space="preserve"> </w:t>
      </w:r>
      <w:r>
        <w:t>component</w:t>
      </w:r>
      <w:r w:rsidR="001A1F90">
        <w:t xml:space="preserve"> </w:t>
      </w:r>
      <w:r>
        <w:t>of</w:t>
      </w:r>
      <w:r w:rsidR="001A1F90">
        <w:t xml:space="preserve"> </w:t>
      </w:r>
      <w:r>
        <w:t>any</w:t>
      </w:r>
      <w:r w:rsidR="001A1F90">
        <w:t xml:space="preserve"> </w:t>
      </w:r>
      <w:r>
        <w:t>treatment</w:t>
      </w:r>
      <w:r w:rsidR="001A1F90">
        <w:t xml:space="preserve"> </w:t>
      </w:r>
      <w:r>
        <w:t>program</w:t>
      </w:r>
      <w:r w:rsidR="001A1F90">
        <w:t xml:space="preserve"> </w:t>
      </w:r>
      <w:r>
        <w:t>(Hayes</w:t>
      </w:r>
      <w:r w:rsidR="001A1F90">
        <w:t xml:space="preserve"> </w:t>
      </w:r>
      <w:r>
        <w:t>1991;</w:t>
      </w:r>
      <w:r w:rsidR="001A1F90">
        <w:t xml:space="preserve"> </w:t>
      </w:r>
      <w:r>
        <w:t>Rice</w:t>
      </w:r>
      <w:r w:rsidR="001A1F90">
        <w:t xml:space="preserve"> </w:t>
      </w:r>
      <w:r>
        <w:t>&amp;</w:t>
      </w:r>
      <w:r w:rsidR="001A1F90">
        <w:t xml:space="preserve"> </w:t>
      </w:r>
      <w:r>
        <w:t>Harris</w:t>
      </w:r>
      <w:r w:rsidR="001A1F90">
        <w:t xml:space="preserve"> </w:t>
      </w:r>
      <w:r>
        <w:t>2011).</w:t>
      </w:r>
    </w:p>
    <w:p w14:paraId="6B0F230C" w14:textId="44E720ED" w:rsidR="004946F1" w:rsidRDefault="004946F1" w:rsidP="00BD612C">
      <w:pPr>
        <w:pStyle w:val="DHHSbody"/>
      </w:pPr>
      <w:r>
        <w:t>A</w:t>
      </w:r>
      <w:r w:rsidR="001A1F90">
        <w:t xml:space="preserve"> </w:t>
      </w:r>
      <w:r>
        <w:t>number</w:t>
      </w:r>
      <w:r w:rsidR="001A1F90">
        <w:t xml:space="preserve"> </w:t>
      </w:r>
      <w:r>
        <w:t>of</w:t>
      </w:r>
      <w:r w:rsidR="001A1F90">
        <w:t xml:space="preserve"> </w:t>
      </w:r>
      <w:r>
        <w:t>other</w:t>
      </w:r>
      <w:r w:rsidR="001A1F90">
        <w:t xml:space="preserve"> </w:t>
      </w:r>
      <w:r>
        <w:t>studies</w:t>
      </w:r>
      <w:r w:rsidR="001A1F90">
        <w:t xml:space="preserve"> </w:t>
      </w:r>
      <w:r>
        <w:t>utilising</w:t>
      </w:r>
      <w:r w:rsidR="001A1F90">
        <w:t xml:space="preserve"> </w:t>
      </w:r>
      <w:r>
        <w:t>alternative</w:t>
      </w:r>
      <w:r w:rsidR="001A1F90">
        <w:t xml:space="preserve"> </w:t>
      </w:r>
      <w:r>
        <w:t>methodologies</w:t>
      </w:r>
      <w:r w:rsidR="001A1F90">
        <w:t xml:space="preserve"> </w:t>
      </w:r>
      <w:r>
        <w:t>have,</w:t>
      </w:r>
      <w:r w:rsidR="001A1F90">
        <w:t xml:space="preserve"> </w:t>
      </w:r>
      <w:r>
        <w:t>however,</w:t>
      </w:r>
      <w:r w:rsidR="001A1F90">
        <w:t xml:space="preserve"> </w:t>
      </w:r>
      <w:r>
        <w:t>suggested</w:t>
      </w:r>
      <w:r w:rsidR="001A1F90">
        <w:t xml:space="preserve"> </w:t>
      </w:r>
      <w:r>
        <w:t>some</w:t>
      </w:r>
      <w:r w:rsidR="001A1F90">
        <w:t xml:space="preserve"> </w:t>
      </w:r>
      <w:r>
        <w:t>positive</w:t>
      </w:r>
      <w:r w:rsidR="001A1F90">
        <w:t xml:space="preserve"> </w:t>
      </w:r>
      <w:r>
        <w:t>benefit</w:t>
      </w:r>
      <w:r w:rsidR="001A1F90">
        <w:t xml:space="preserve"> </w:t>
      </w:r>
      <w:r>
        <w:t>associated</w:t>
      </w:r>
      <w:r w:rsidR="001A1F90">
        <w:t xml:space="preserve"> </w:t>
      </w:r>
      <w:r>
        <w:t>with</w:t>
      </w:r>
      <w:r w:rsidR="001A1F90">
        <w:t xml:space="preserve"> </w:t>
      </w:r>
      <w:r>
        <w:t>these</w:t>
      </w:r>
      <w:r w:rsidR="001A1F90">
        <w:t xml:space="preserve"> </w:t>
      </w:r>
      <w:r>
        <w:t>medications.</w:t>
      </w:r>
      <w:r w:rsidR="001A1F90">
        <w:t xml:space="preserve"> </w:t>
      </w:r>
      <w:r>
        <w:t>Thibaut,</w:t>
      </w:r>
      <w:r w:rsidR="001A1F90">
        <w:t xml:space="preserve"> </w:t>
      </w:r>
      <w:r>
        <w:t>Corbier</w:t>
      </w:r>
      <w:r w:rsidR="001A1F90">
        <w:t xml:space="preserve"> </w:t>
      </w:r>
      <w:r w:rsidR="003C5CB4">
        <w:t>and</w:t>
      </w:r>
      <w:r w:rsidR="001A1F90">
        <w:t xml:space="preserve"> </w:t>
      </w:r>
      <w:r>
        <w:t>Kuhn</w:t>
      </w:r>
      <w:r w:rsidR="001A1F90">
        <w:t xml:space="preserve"> </w:t>
      </w:r>
      <w:r>
        <w:t>(1996)</w:t>
      </w:r>
      <w:r w:rsidR="001A1F90">
        <w:t xml:space="preserve"> </w:t>
      </w:r>
      <w:r>
        <w:t>describe</w:t>
      </w:r>
      <w:r w:rsidR="001A1F90">
        <w:t xml:space="preserve"> </w:t>
      </w:r>
      <w:r>
        <w:t>six</w:t>
      </w:r>
      <w:r w:rsidR="001A1F90">
        <w:t xml:space="preserve"> </w:t>
      </w:r>
      <w:r>
        <w:t>cases</w:t>
      </w:r>
      <w:r w:rsidR="001A1F90">
        <w:t xml:space="preserve"> </w:t>
      </w:r>
      <w:r>
        <w:t>where</w:t>
      </w:r>
      <w:r w:rsidR="001A1F90">
        <w:t xml:space="preserve"> </w:t>
      </w:r>
      <w:r>
        <w:t>individuals</w:t>
      </w:r>
      <w:r w:rsidR="001A1F90">
        <w:t xml:space="preserve"> </w:t>
      </w:r>
      <w:r>
        <w:t>were</w:t>
      </w:r>
      <w:r w:rsidR="001A1F90">
        <w:t xml:space="preserve"> </w:t>
      </w:r>
      <w:r>
        <w:t>treated</w:t>
      </w:r>
      <w:r w:rsidR="001A1F90">
        <w:t xml:space="preserve"> </w:t>
      </w:r>
      <w:r>
        <w:t>with</w:t>
      </w:r>
      <w:r w:rsidR="001A1F90">
        <w:t xml:space="preserve"> </w:t>
      </w:r>
      <w:r w:rsidR="00283E42">
        <w:t>g</w:t>
      </w:r>
      <w:r>
        <w:t>onadotropin</w:t>
      </w:r>
      <w:r w:rsidR="00283E42">
        <w:t>-r</w:t>
      </w:r>
      <w:r>
        <w:t>eleasing</w:t>
      </w:r>
      <w:r w:rsidR="001A1F90">
        <w:t xml:space="preserve"> </w:t>
      </w:r>
      <w:r w:rsidR="00283E42">
        <w:t>h</w:t>
      </w:r>
      <w:r>
        <w:t>ormone</w:t>
      </w:r>
      <w:r w:rsidR="001A1F90">
        <w:t xml:space="preserve"> </w:t>
      </w:r>
      <w:r>
        <w:t>drugs</w:t>
      </w:r>
      <w:r w:rsidR="001A1F90">
        <w:t xml:space="preserve"> </w:t>
      </w:r>
      <w:r>
        <w:t>(GnRHa);</w:t>
      </w:r>
      <w:r w:rsidR="001A1F90">
        <w:t xml:space="preserve"> </w:t>
      </w:r>
      <w:r>
        <w:t>in</w:t>
      </w:r>
      <w:r w:rsidR="001A1F90">
        <w:t xml:space="preserve"> </w:t>
      </w:r>
      <w:r>
        <w:t>five</w:t>
      </w:r>
      <w:r w:rsidR="001A1F90">
        <w:t xml:space="preserve"> </w:t>
      </w:r>
      <w:r>
        <w:t>of</w:t>
      </w:r>
      <w:r w:rsidR="001A1F90">
        <w:t xml:space="preserve"> </w:t>
      </w:r>
      <w:r>
        <w:t>the</w:t>
      </w:r>
      <w:r w:rsidR="001A1F90">
        <w:t xml:space="preserve"> </w:t>
      </w:r>
      <w:r>
        <w:t>six</w:t>
      </w:r>
      <w:r w:rsidR="001A1F90">
        <w:t xml:space="preserve"> </w:t>
      </w:r>
      <w:r>
        <w:t>cases</w:t>
      </w:r>
      <w:r w:rsidR="001A1F90">
        <w:t xml:space="preserve"> </w:t>
      </w:r>
      <w:r w:rsidR="00C84854">
        <w:t>inappropriate</w:t>
      </w:r>
      <w:r w:rsidR="001A1F90">
        <w:t xml:space="preserve"> </w:t>
      </w:r>
      <w:r>
        <w:t>sexual</w:t>
      </w:r>
      <w:r w:rsidR="001A1F90">
        <w:t xml:space="preserve"> </w:t>
      </w:r>
      <w:r>
        <w:t>behaviour</w:t>
      </w:r>
      <w:r w:rsidR="001A1F90">
        <w:t xml:space="preserve"> </w:t>
      </w:r>
      <w:r>
        <w:t>ceased</w:t>
      </w:r>
      <w:r w:rsidR="001A1F90">
        <w:t xml:space="preserve"> </w:t>
      </w:r>
      <w:r>
        <w:t>and</w:t>
      </w:r>
      <w:r w:rsidR="001A1F90">
        <w:t xml:space="preserve"> </w:t>
      </w:r>
      <w:r>
        <w:t>there</w:t>
      </w:r>
      <w:r w:rsidR="001A1F90">
        <w:t xml:space="preserve"> </w:t>
      </w:r>
      <w:r>
        <w:t>were</w:t>
      </w:r>
      <w:r w:rsidR="001A1F90">
        <w:t xml:space="preserve"> </w:t>
      </w:r>
      <w:r>
        <w:t>markedly</w:t>
      </w:r>
      <w:r w:rsidR="001A1F90">
        <w:t xml:space="preserve"> </w:t>
      </w:r>
      <w:r>
        <w:t>decreased</w:t>
      </w:r>
      <w:r w:rsidR="001A1F90">
        <w:t xml:space="preserve"> </w:t>
      </w:r>
      <w:r>
        <w:t>sexual</w:t>
      </w:r>
      <w:r w:rsidR="001A1F90">
        <w:t xml:space="preserve"> </w:t>
      </w:r>
      <w:r>
        <w:t>behaviour</w:t>
      </w:r>
      <w:r w:rsidR="001A1F90">
        <w:t xml:space="preserve"> </w:t>
      </w:r>
      <w:r>
        <w:t>and</w:t>
      </w:r>
      <w:r w:rsidR="001A1F90">
        <w:t xml:space="preserve"> </w:t>
      </w:r>
      <w:r>
        <w:t>activities</w:t>
      </w:r>
      <w:r w:rsidR="001A1F90">
        <w:t xml:space="preserve"> </w:t>
      </w:r>
      <w:r>
        <w:t>reported,</w:t>
      </w:r>
      <w:r w:rsidR="001A1F90">
        <w:t xml:space="preserve"> </w:t>
      </w:r>
      <w:r>
        <w:t>importantly</w:t>
      </w:r>
      <w:r w:rsidR="001A1F90">
        <w:t xml:space="preserve"> </w:t>
      </w:r>
      <w:r>
        <w:t>with</w:t>
      </w:r>
      <w:r w:rsidR="001A1F90">
        <w:t xml:space="preserve"> </w:t>
      </w:r>
      <w:r>
        <w:t>no</w:t>
      </w:r>
      <w:r w:rsidR="001A1F90">
        <w:t xml:space="preserve"> </w:t>
      </w:r>
      <w:r>
        <w:t>significant</w:t>
      </w:r>
      <w:r w:rsidR="001A1F90">
        <w:t xml:space="preserve"> </w:t>
      </w:r>
      <w:r>
        <w:t>side</w:t>
      </w:r>
      <w:r w:rsidR="001A1F90">
        <w:t xml:space="preserve"> </w:t>
      </w:r>
      <w:r>
        <w:t>effects</w:t>
      </w:r>
      <w:r w:rsidR="001A1F90">
        <w:t xml:space="preserve"> </w:t>
      </w:r>
      <w:r>
        <w:t>identified;</w:t>
      </w:r>
      <w:r w:rsidR="001A1F90">
        <w:t xml:space="preserve"> </w:t>
      </w:r>
      <w:r>
        <w:t>an</w:t>
      </w:r>
      <w:r w:rsidR="001A1F90">
        <w:t xml:space="preserve"> </w:t>
      </w:r>
      <w:r>
        <w:t>earlier</w:t>
      </w:r>
      <w:r w:rsidR="001A1F90">
        <w:t xml:space="preserve"> </w:t>
      </w:r>
      <w:r>
        <w:t>review</w:t>
      </w:r>
      <w:r w:rsidR="001A1F90">
        <w:t xml:space="preserve"> </w:t>
      </w:r>
      <w:r>
        <w:t>by</w:t>
      </w:r>
      <w:r w:rsidR="001A1F90">
        <w:t xml:space="preserve"> </w:t>
      </w:r>
      <w:r>
        <w:t>Clarke</w:t>
      </w:r>
      <w:r w:rsidR="001A1F90">
        <w:t xml:space="preserve"> </w:t>
      </w:r>
      <w:r>
        <w:t>(1989)</w:t>
      </w:r>
      <w:r w:rsidR="001A1F90">
        <w:t xml:space="preserve"> </w:t>
      </w:r>
      <w:r>
        <w:t>also</w:t>
      </w:r>
      <w:r w:rsidR="001A1F90">
        <w:t xml:space="preserve"> </w:t>
      </w:r>
      <w:r>
        <w:t>reported</w:t>
      </w:r>
      <w:r w:rsidR="001A1F90">
        <w:t xml:space="preserve"> </w:t>
      </w:r>
      <w:r>
        <w:t>that</w:t>
      </w:r>
      <w:r w:rsidR="001A1F90">
        <w:t xml:space="preserve"> </w:t>
      </w:r>
      <w:r>
        <w:t>a</w:t>
      </w:r>
      <w:r w:rsidR="001A1F90">
        <w:t xml:space="preserve"> </w:t>
      </w:r>
      <w:r>
        <w:t>small</w:t>
      </w:r>
      <w:r w:rsidR="001A1F90">
        <w:t xml:space="preserve"> </w:t>
      </w:r>
      <w:r>
        <w:t>number</w:t>
      </w:r>
      <w:r w:rsidR="001A1F90">
        <w:t xml:space="preserve"> </w:t>
      </w:r>
      <w:r>
        <w:t>of</w:t>
      </w:r>
      <w:r w:rsidR="001A1F90">
        <w:t xml:space="preserve"> </w:t>
      </w:r>
      <w:r w:rsidR="009068EB">
        <w:t xml:space="preserve">cases </w:t>
      </w:r>
      <w:r>
        <w:t>benefited</w:t>
      </w:r>
      <w:r w:rsidR="001A1F90">
        <w:t xml:space="preserve"> </w:t>
      </w:r>
      <w:r>
        <w:t>from</w:t>
      </w:r>
      <w:r w:rsidR="001A1F90">
        <w:t xml:space="preserve"> </w:t>
      </w:r>
      <w:r>
        <w:t>anti-libidinal</w:t>
      </w:r>
      <w:r w:rsidR="001A1F90">
        <w:t xml:space="preserve"> </w:t>
      </w:r>
      <w:r>
        <w:t>medication</w:t>
      </w:r>
      <w:r w:rsidR="001A1F90">
        <w:t xml:space="preserve"> </w:t>
      </w:r>
      <w:r>
        <w:t>treatments.</w:t>
      </w:r>
      <w:r w:rsidR="001A1F90">
        <w:t xml:space="preserve"> </w:t>
      </w:r>
      <w:r>
        <w:t>Bradford</w:t>
      </w:r>
      <w:r w:rsidR="001A1F90">
        <w:t xml:space="preserve"> </w:t>
      </w:r>
      <w:r>
        <w:t>(2000)</w:t>
      </w:r>
      <w:r w:rsidR="001A1F90">
        <w:t xml:space="preserve"> </w:t>
      </w:r>
      <w:r>
        <w:t>reported</w:t>
      </w:r>
      <w:r w:rsidR="001A1F90">
        <w:t xml:space="preserve"> </w:t>
      </w:r>
      <w:r>
        <w:t>beneficial</w:t>
      </w:r>
      <w:r w:rsidR="001A1F90">
        <w:t xml:space="preserve"> </w:t>
      </w:r>
      <w:r>
        <w:t>responses</w:t>
      </w:r>
      <w:r w:rsidR="001A1F90">
        <w:t xml:space="preserve"> </w:t>
      </w:r>
      <w:r>
        <w:t>to</w:t>
      </w:r>
      <w:r w:rsidR="001A1F90">
        <w:t xml:space="preserve"> </w:t>
      </w:r>
      <w:r w:rsidR="002B53B9">
        <w:t>c</w:t>
      </w:r>
      <w:r>
        <w:t>yproterone</w:t>
      </w:r>
      <w:r w:rsidR="001A1F90">
        <w:t xml:space="preserve"> </w:t>
      </w:r>
      <w:r w:rsidR="002B53B9">
        <w:t>a</w:t>
      </w:r>
      <w:r>
        <w:t>cetate</w:t>
      </w:r>
      <w:r w:rsidR="001A1F90">
        <w:t xml:space="preserve"> </w:t>
      </w:r>
      <w:r>
        <w:t>in</w:t>
      </w:r>
      <w:r w:rsidR="001A1F90">
        <w:t xml:space="preserve"> </w:t>
      </w:r>
      <w:r w:rsidR="009068EB">
        <w:t>reducing</w:t>
      </w:r>
      <w:r w:rsidR="001A1F90">
        <w:t xml:space="preserve"> </w:t>
      </w:r>
      <w:r>
        <w:t>paraphiliac</w:t>
      </w:r>
      <w:r w:rsidR="001A1F90">
        <w:t xml:space="preserve"> </w:t>
      </w:r>
      <w:r>
        <w:t>behaviour</w:t>
      </w:r>
      <w:r w:rsidR="001A1F90">
        <w:t xml:space="preserve"> </w:t>
      </w:r>
      <w:r>
        <w:t>(decreased</w:t>
      </w:r>
      <w:r w:rsidR="001A1F90">
        <w:t xml:space="preserve"> </w:t>
      </w:r>
      <w:r>
        <w:t>erections,</w:t>
      </w:r>
      <w:r w:rsidR="001A1F90">
        <w:t xml:space="preserve"> </w:t>
      </w:r>
      <w:r>
        <w:t>sexual</w:t>
      </w:r>
      <w:r w:rsidR="001A1F90">
        <w:t xml:space="preserve"> </w:t>
      </w:r>
      <w:r>
        <w:t>behaviour</w:t>
      </w:r>
      <w:r w:rsidR="001A1F90">
        <w:t xml:space="preserve"> </w:t>
      </w:r>
      <w:r>
        <w:t>and</w:t>
      </w:r>
      <w:r w:rsidR="001A1F90">
        <w:t xml:space="preserve"> </w:t>
      </w:r>
      <w:r>
        <w:t>sex</w:t>
      </w:r>
      <w:r w:rsidR="001A1F90">
        <w:t xml:space="preserve"> </w:t>
      </w:r>
      <w:r>
        <w:t>drive)</w:t>
      </w:r>
      <w:r w:rsidR="001A1F90">
        <w:t xml:space="preserve"> </w:t>
      </w:r>
      <w:r>
        <w:t>arising</w:t>
      </w:r>
      <w:r w:rsidR="001A1F90">
        <w:t xml:space="preserve"> </w:t>
      </w:r>
      <w:r>
        <w:t>from</w:t>
      </w:r>
      <w:r w:rsidR="001A1F90">
        <w:t xml:space="preserve"> </w:t>
      </w:r>
      <w:r>
        <w:t>a</w:t>
      </w:r>
      <w:r w:rsidR="001A1F90">
        <w:t xml:space="preserve"> </w:t>
      </w:r>
      <w:r>
        <w:t>dated</w:t>
      </w:r>
      <w:r w:rsidR="001A1F90">
        <w:t xml:space="preserve"> </w:t>
      </w:r>
      <w:r>
        <w:t>study</w:t>
      </w:r>
      <w:r w:rsidR="001A1F90">
        <w:t xml:space="preserve"> </w:t>
      </w:r>
      <w:r>
        <w:t>by</w:t>
      </w:r>
      <w:r w:rsidR="001A1F90">
        <w:t xml:space="preserve"> </w:t>
      </w:r>
      <w:r>
        <w:t>Laschet</w:t>
      </w:r>
      <w:r w:rsidR="001A1F90">
        <w:t xml:space="preserve"> </w:t>
      </w:r>
      <w:r w:rsidR="003C5CB4">
        <w:t>and</w:t>
      </w:r>
      <w:r w:rsidR="001A1F90">
        <w:t xml:space="preserve"> </w:t>
      </w:r>
      <w:r>
        <w:t>Laschet</w:t>
      </w:r>
      <w:r w:rsidR="001A1F90">
        <w:t xml:space="preserve"> </w:t>
      </w:r>
      <w:r>
        <w:t>(1975)</w:t>
      </w:r>
      <w:r w:rsidR="001A1F90">
        <w:t xml:space="preserve"> </w:t>
      </w:r>
      <w:r>
        <w:t>and</w:t>
      </w:r>
      <w:r w:rsidR="001A1F90">
        <w:t xml:space="preserve"> </w:t>
      </w:r>
      <w:r>
        <w:t>reported</w:t>
      </w:r>
      <w:r w:rsidR="001A1F90">
        <w:t xml:space="preserve"> </w:t>
      </w:r>
      <w:r>
        <w:t>that</w:t>
      </w:r>
      <w:r w:rsidR="001A1F90">
        <w:t xml:space="preserve"> </w:t>
      </w:r>
      <w:r>
        <w:t>this</w:t>
      </w:r>
      <w:r w:rsidR="001A1F90">
        <w:t xml:space="preserve"> </w:t>
      </w:r>
      <w:r>
        <w:t>medication</w:t>
      </w:r>
      <w:r w:rsidR="001A1F90">
        <w:t xml:space="preserve"> </w:t>
      </w:r>
      <w:r>
        <w:t>was</w:t>
      </w:r>
      <w:r w:rsidR="001A1F90">
        <w:t xml:space="preserve"> </w:t>
      </w:r>
      <w:r>
        <w:t>also</w:t>
      </w:r>
      <w:r w:rsidR="001A1F90">
        <w:t xml:space="preserve"> </w:t>
      </w:r>
      <w:r>
        <w:t>an</w:t>
      </w:r>
      <w:r w:rsidR="001A1F90">
        <w:t xml:space="preserve"> </w:t>
      </w:r>
      <w:r>
        <w:t>effective</w:t>
      </w:r>
      <w:r w:rsidR="001A1F90">
        <w:t xml:space="preserve"> </w:t>
      </w:r>
      <w:r>
        <w:t>treatment</w:t>
      </w:r>
      <w:r w:rsidR="001A1F90">
        <w:t xml:space="preserve"> </w:t>
      </w:r>
      <w:r>
        <w:t>in</w:t>
      </w:r>
      <w:r w:rsidR="001A1F90">
        <w:t xml:space="preserve"> </w:t>
      </w:r>
      <w:r>
        <w:t>severe</w:t>
      </w:r>
      <w:r w:rsidR="001A1F90">
        <w:t xml:space="preserve"> </w:t>
      </w:r>
      <w:r>
        <w:t>paraphilias</w:t>
      </w:r>
      <w:r w:rsidR="001A1F90">
        <w:t xml:space="preserve"> </w:t>
      </w:r>
      <w:r>
        <w:t>(Bradford</w:t>
      </w:r>
      <w:r w:rsidR="001A1F90">
        <w:t xml:space="preserve"> </w:t>
      </w:r>
      <w:r>
        <w:t>&amp;</w:t>
      </w:r>
      <w:r w:rsidR="001A1F90">
        <w:t xml:space="preserve"> </w:t>
      </w:r>
      <w:r>
        <w:t>Pawlak</w:t>
      </w:r>
      <w:r w:rsidR="001A1F90">
        <w:t xml:space="preserve"> </w:t>
      </w:r>
      <w:r>
        <w:t>1993).</w:t>
      </w:r>
      <w:r w:rsidR="001A1F90">
        <w:t xml:space="preserve"> </w:t>
      </w:r>
      <w:r>
        <w:t>Harrison</w:t>
      </w:r>
      <w:r w:rsidR="001A1F90">
        <w:t xml:space="preserve"> </w:t>
      </w:r>
      <w:r>
        <w:t>(2007)</w:t>
      </w:r>
      <w:r w:rsidR="001A1F90">
        <w:t xml:space="preserve"> </w:t>
      </w:r>
      <w:r>
        <w:t>suggests</w:t>
      </w:r>
      <w:r w:rsidR="001A1F90">
        <w:t xml:space="preserve"> </w:t>
      </w:r>
      <w:r>
        <w:t>that</w:t>
      </w:r>
      <w:r w:rsidR="001A1F90">
        <w:t xml:space="preserve"> </w:t>
      </w:r>
      <w:r>
        <w:t>findings</w:t>
      </w:r>
      <w:r w:rsidR="001A1F90">
        <w:t xml:space="preserve"> </w:t>
      </w:r>
      <w:r>
        <w:t>indicate</w:t>
      </w:r>
      <w:r w:rsidR="001A1F90">
        <w:t xml:space="preserve"> </w:t>
      </w:r>
      <w:r>
        <w:t>a</w:t>
      </w:r>
      <w:r w:rsidR="001A1F90">
        <w:t xml:space="preserve"> </w:t>
      </w:r>
      <w:r>
        <w:t>small</w:t>
      </w:r>
      <w:r w:rsidR="001A1F90">
        <w:t xml:space="preserve"> </w:t>
      </w:r>
      <w:r>
        <w:t>selective</w:t>
      </w:r>
      <w:r w:rsidR="001A1F90">
        <w:t xml:space="preserve"> </w:t>
      </w:r>
      <w:r>
        <w:t>target</w:t>
      </w:r>
      <w:r w:rsidR="001A1F90">
        <w:t xml:space="preserve"> </w:t>
      </w:r>
      <w:r>
        <w:t>group</w:t>
      </w:r>
      <w:r w:rsidR="001A1F90">
        <w:t xml:space="preserve"> </w:t>
      </w:r>
      <w:r>
        <w:t>for</w:t>
      </w:r>
      <w:r w:rsidR="001A1F90">
        <w:t xml:space="preserve"> </w:t>
      </w:r>
      <w:r>
        <w:t>whom</w:t>
      </w:r>
      <w:r w:rsidR="001A1F90">
        <w:t xml:space="preserve"> </w:t>
      </w:r>
      <w:r>
        <w:t>these</w:t>
      </w:r>
      <w:r w:rsidR="001A1F90">
        <w:t xml:space="preserve"> </w:t>
      </w:r>
      <w:r>
        <w:t>medications</w:t>
      </w:r>
      <w:r w:rsidR="001A1F90">
        <w:t xml:space="preserve"> </w:t>
      </w:r>
      <w:r>
        <w:t>may</w:t>
      </w:r>
      <w:r w:rsidR="001A1F90">
        <w:t xml:space="preserve"> </w:t>
      </w:r>
      <w:r>
        <w:t>be</w:t>
      </w:r>
      <w:r w:rsidR="001A1F90">
        <w:t xml:space="preserve"> </w:t>
      </w:r>
      <w:r>
        <w:t>beneficial;</w:t>
      </w:r>
      <w:r w:rsidR="001A1F90">
        <w:t xml:space="preserve"> </w:t>
      </w:r>
      <w:r>
        <w:t>she</w:t>
      </w:r>
      <w:r w:rsidR="001A1F90">
        <w:t xml:space="preserve"> </w:t>
      </w:r>
      <w:r>
        <w:t>suggests</w:t>
      </w:r>
      <w:r w:rsidR="001A1F90">
        <w:t xml:space="preserve"> </w:t>
      </w:r>
      <w:r>
        <w:t>this</w:t>
      </w:r>
      <w:r w:rsidR="001A1F90">
        <w:t xml:space="preserve"> </w:t>
      </w:r>
      <w:r>
        <w:t>group</w:t>
      </w:r>
      <w:r w:rsidR="001A1F90">
        <w:t xml:space="preserve"> </w:t>
      </w:r>
      <w:r>
        <w:t>are</w:t>
      </w:r>
      <w:r w:rsidR="001A1F90">
        <w:t xml:space="preserve"> </w:t>
      </w:r>
      <w:r>
        <w:t>preferential</w:t>
      </w:r>
      <w:r w:rsidR="001A1F90">
        <w:t xml:space="preserve"> </w:t>
      </w:r>
      <w:r>
        <w:t>paedophiles</w:t>
      </w:r>
      <w:r w:rsidR="001A1F90">
        <w:t xml:space="preserve"> </w:t>
      </w:r>
      <w:r>
        <w:t>(those</w:t>
      </w:r>
      <w:r w:rsidR="001A1F90">
        <w:t xml:space="preserve"> </w:t>
      </w:r>
      <w:r>
        <w:t>who</w:t>
      </w:r>
      <w:r w:rsidR="001A1F90">
        <w:t xml:space="preserve"> </w:t>
      </w:r>
      <w:r>
        <w:t>have</w:t>
      </w:r>
      <w:r w:rsidR="001A1F90">
        <w:t xml:space="preserve"> </w:t>
      </w:r>
      <w:r>
        <w:t>sexual</w:t>
      </w:r>
      <w:r w:rsidR="001A1F90">
        <w:t xml:space="preserve"> </w:t>
      </w:r>
      <w:r>
        <w:t>relationships</w:t>
      </w:r>
      <w:r w:rsidR="001A1F90">
        <w:t xml:space="preserve"> </w:t>
      </w:r>
      <w:r>
        <w:t>with</w:t>
      </w:r>
      <w:r w:rsidR="001A1F90">
        <w:t xml:space="preserve"> </w:t>
      </w:r>
      <w:r>
        <w:t>children,</w:t>
      </w:r>
      <w:r w:rsidR="001A1F90">
        <w:t xml:space="preserve"> </w:t>
      </w:r>
      <w:r>
        <w:t>never</w:t>
      </w:r>
      <w:r w:rsidR="001A1F90">
        <w:t xml:space="preserve"> </w:t>
      </w:r>
      <w:r>
        <w:t>adults).</w:t>
      </w:r>
      <w:r w:rsidR="001A1F90">
        <w:t xml:space="preserve"> </w:t>
      </w:r>
      <w:r>
        <w:t>Collectively,</w:t>
      </w:r>
      <w:r w:rsidR="001A1F90">
        <w:t xml:space="preserve"> </w:t>
      </w:r>
      <w:r>
        <w:t>whil</w:t>
      </w:r>
      <w:r w:rsidR="003C5CB4">
        <w:t>e</w:t>
      </w:r>
      <w:r w:rsidR="001A1F90">
        <w:t xml:space="preserve"> </w:t>
      </w:r>
      <w:r>
        <w:t>arguably</w:t>
      </w:r>
      <w:r w:rsidR="001A1F90">
        <w:t xml:space="preserve"> </w:t>
      </w:r>
      <w:r>
        <w:t>being</w:t>
      </w:r>
      <w:r w:rsidR="001A1F90">
        <w:t xml:space="preserve"> </w:t>
      </w:r>
      <w:r>
        <w:t>limited</w:t>
      </w:r>
      <w:r w:rsidR="001A1F90">
        <w:t xml:space="preserve"> </w:t>
      </w:r>
      <w:r>
        <w:t>in</w:t>
      </w:r>
      <w:r w:rsidR="001A1F90">
        <w:t xml:space="preserve"> </w:t>
      </w:r>
      <w:r>
        <w:t>generalisability</w:t>
      </w:r>
      <w:r w:rsidR="001A1F90">
        <w:t xml:space="preserve"> </w:t>
      </w:r>
      <w:r>
        <w:t>(when</w:t>
      </w:r>
      <w:r w:rsidR="001A1F90">
        <w:t xml:space="preserve"> </w:t>
      </w:r>
      <w:r>
        <w:t>conceptualising</w:t>
      </w:r>
      <w:r w:rsidR="001A1F90">
        <w:t xml:space="preserve"> </w:t>
      </w:r>
      <w:r>
        <w:t>a</w:t>
      </w:r>
      <w:r w:rsidR="001A1F90">
        <w:t xml:space="preserve"> </w:t>
      </w:r>
      <w:r>
        <w:t>traditional</w:t>
      </w:r>
      <w:r w:rsidR="001A1F90">
        <w:t xml:space="preserve"> </w:t>
      </w:r>
      <w:r>
        <w:t>continuum</w:t>
      </w:r>
      <w:r w:rsidR="001A1F90">
        <w:t xml:space="preserve"> </w:t>
      </w:r>
      <w:r>
        <w:t>of</w:t>
      </w:r>
      <w:r w:rsidR="001A1F90">
        <w:t xml:space="preserve"> </w:t>
      </w:r>
      <w:r>
        <w:t>research</w:t>
      </w:r>
      <w:r w:rsidR="001A1F90">
        <w:t xml:space="preserve"> </w:t>
      </w:r>
      <w:r>
        <w:t>rigour/sophistication),</w:t>
      </w:r>
      <w:r w:rsidR="001A1F90">
        <w:t xml:space="preserve"> </w:t>
      </w:r>
      <w:r>
        <w:t>these</w:t>
      </w:r>
      <w:r w:rsidR="001A1F90">
        <w:t xml:space="preserve"> </w:t>
      </w:r>
      <w:r>
        <w:t>study</w:t>
      </w:r>
      <w:r w:rsidR="001A1F90">
        <w:t xml:space="preserve"> </w:t>
      </w:r>
      <w:r>
        <w:t>findings</w:t>
      </w:r>
      <w:r w:rsidR="001A1F90">
        <w:t xml:space="preserve"> </w:t>
      </w:r>
      <w:r>
        <w:t>are</w:t>
      </w:r>
      <w:r w:rsidR="001A1F90">
        <w:t xml:space="preserve"> </w:t>
      </w:r>
      <w:r>
        <w:t>potentially</w:t>
      </w:r>
      <w:r w:rsidR="001A1F90">
        <w:t xml:space="preserve"> </w:t>
      </w:r>
      <w:r>
        <w:t>clinically</w:t>
      </w:r>
      <w:r w:rsidR="001A1F90">
        <w:t xml:space="preserve"> </w:t>
      </w:r>
      <w:r>
        <w:t>useful</w:t>
      </w:r>
      <w:r w:rsidR="001A1F90">
        <w:t xml:space="preserve"> </w:t>
      </w:r>
      <w:r>
        <w:t>in</w:t>
      </w:r>
      <w:r w:rsidR="001A1F90">
        <w:t xml:space="preserve"> </w:t>
      </w:r>
      <w:r>
        <w:t>that</w:t>
      </w:r>
      <w:r w:rsidR="001A1F90">
        <w:t xml:space="preserve"> </w:t>
      </w:r>
      <w:r>
        <w:t>they</w:t>
      </w:r>
      <w:r w:rsidR="001A1F90">
        <w:t xml:space="preserve"> </w:t>
      </w:r>
      <w:r>
        <w:t>suggest</w:t>
      </w:r>
      <w:r w:rsidR="001A1F90">
        <w:t xml:space="preserve"> </w:t>
      </w:r>
      <w:r>
        <w:t>a</w:t>
      </w:r>
      <w:r w:rsidR="001A1F90">
        <w:t xml:space="preserve"> </w:t>
      </w:r>
      <w:r>
        <w:t>particular</w:t>
      </w:r>
      <w:r w:rsidR="001A1F90">
        <w:t xml:space="preserve"> </w:t>
      </w:r>
      <w:r>
        <w:t>target</w:t>
      </w:r>
      <w:r w:rsidR="001A1F90">
        <w:t xml:space="preserve"> </w:t>
      </w:r>
      <w:r>
        <w:t>group</w:t>
      </w:r>
      <w:r w:rsidR="001A1F90">
        <w:t xml:space="preserve"> </w:t>
      </w:r>
      <w:r>
        <w:t>of</w:t>
      </w:r>
      <w:r w:rsidR="001A1F90">
        <w:t xml:space="preserve"> </w:t>
      </w:r>
      <w:r>
        <w:t>sexual</w:t>
      </w:r>
      <w:r w:rsidR="001A1F90">
        <w:t xml:space="preserve"> </w:t>
      </w:r>
      <w:r>
        <w:t>offenders</w:t>
      </w:r>
      <w:r w:rsidR="001A1F90">
        <w:t xml:space="preserve"> </w:t>
      </w:r>
      <w:r>
        <w:t>for</w:t>
      </w:r>
      <w:r w:rsidR="001A1F90">
        <w:t xml:space="preserve"> </w:t>
      </w:r>
      <w:r>
        <w:t>whom</w:t>
      </w:r>
      <w:r w:rsidR="001A1F90">
        <w:t xml:space="preserve"> </w:t>
      </w:r>
      <w:r>
        <w:t>anti-libidinal</w:t>
      </w:r>
      <w:r w:rsidR="001A1F90">
        <w:t xml:space="preserve"> </w:t>
      </w:r>
      <w:r>
        <w:t>treatment</w:t>
      </w:r>
      <w:r w:rsidR="001A1F90">
        <w:t xml:space="preserve"> </w:t>
      </w:r>
      <w:r>
        <w:t>regime</w:t>
      </w:r>
      <w:r w:rsidR="009068EB">
        <w:t>n</w:t>
      </w:r>
      <w:r>
        <w:t>s</w:t>
      </w:r>
      <w:r w:rsidR="001A1F90">
        <w:t xml:space="preserve"> </w:t>
      </w:r>
      <w:r>
        <w:t>appear</w:t>
      </w:r>
      <w:r w:rsidR="001A1F90">
        <w:t xml:space="preserve"> </w:t>
      </w:r>
      <w:r>
        <w:t>to</w:t>
      </w:r>
      <w:r w:rsidR="001A1F90">
        <w:t xml:space="preserve"> </w:t>
      </w:r>
      <w:r>
        <w:t>have</w:t>
      </w:r>
      <w:r w:rsidR="001A1F90">
        <w:t xml:space="preserve"> </w:t>
      </w:r>
      <w:r>
        <w:t>discernible</w:t>
      </w:r>
      <w:r w:rsidR="001A1F90">
        <w:t xml:space="preserve"> </w:t>
      </w:r>
      <w:r>
        <w:t>benefit.</w:t>
      </w:r>
      <w:r w:rsidR="001A1F90">
        <w:t xml:space="preserve"> </w:t>
      </w:r>
      <w:r>
        <w:t>The</w:t>
      </w:r>
      <w:r w:rsidR="001A1F90">
        <w:t xml:space="preserve"> </w:t>
      </w:r>
      <w:r>
        <w:t>best</w:t>
      </w:r>
      <w:r w:rsidR="001A1F90">
        <w:t xml:space="preserve"> </w:t>
      </w:r>
      <w:r>
        <w:t>treatment</w:t>
      </w:r>
      <w:r w:rsidR="001A1F90">
        <w:t xml:space="preserve"> </w:t>
      </w:r>
      <w:r>
        <w:t>outcomes</w:t>
      </w:r>
      <w:r w:rsidR="001A1F90">
        <w:t xml:space="preserve"> </w:t>
      </w:r>
      <w:r>
        <w:t>have</w:t>
      </w:r>
      <w:r w:rsidR="001A1F90">
        <w:t xml:space="preserve"> </w:t>
      </w:r>
      <w:r>
        <w:t>been</w:t>
      </w:r>
      <w:r w:rsidR="001A1F90">
        <w:t xml:space="preserve"> </w:t>
      </w:r>
      <w:r>
        <w:t>found</w:t>
      </w:r>
      <w:r w:rsidR="001A1F90">
        <w:t xml:space="preserve"> </w:t>
      </w:r>
      <w:r>
        <w:t>in</w:t>
      </w:r>
      <w:r w:rsidR="001A1F90">
        <w:t xml:space="preserve"> </w:t>
      </w:r>
      <w:r>
        <w:t>situations</w:t>
      </w:r>
      <w:r w:rsidR="001A1F90">
        <w:t xml:space="preserve"> </w:t>
      </w:r>
      <w:r>
        <w:t>where</w:t>
      </w:r>
      <w:r w:rsidR="001A1F90">
        <w:t xml:space="preserve"> </w:t>
      </w:r>
      <w:r>
        <w:t>anti-libidinal</w:t>
      </w:r>
      <w:r w:rsidR="001A1F90">
        <w:t xml:space="preserve"> </w:t>
      </w:r>
      <w:r>
        <w:t>medications</w:t>
      </w:r>
      <w:r w:rsidR="001A1F90">
        <w:t xml:space="preserve"> </w:t>
      </w:r>
      <w:r>
        <w:t>have</w:t>
      </w:r>
      <w:r w:rsidR="001A1F90">
        <w:t xml:space="preserve"> </w:t>
      </w:r>
      <w:r>
        <w:t>been</w:t>
      </w:r>
      <w:r w:rsidR="001A1F90">
        <w:t xml:space="preserve"> </w:t>
      </w:r>
      <w:r>
        <w:t>administered</w:t>
      </w:r>
      <w:r w:rsidR="001A1F90">
        <w:t xml:space="preserve"> </w:t>
      </w:r>
      <w:r>
        <w:t>alongside</w:t>
      </w:r>
      <w:r w:rsidR="001A1F90">
        <w:t xml:space="preserve"> </w:t>
      </w:r>
      <w:r>
        <w:t>psychotherapeutic</w:t>
      </w:r>
      <w:r w:rsidR="001A1F90">
        <w:t xml:space="preserve"> </w:t>
      </w:r>
      <w:r>
        <w:t>interventions</w:t>
      </w:r>
      <w:r w:rsidR="001A1F90">
        <w:t xml:space="preserve"> </w:t>
      </w:r>
      <w:r>
        <w:t>(Glaser</w:t>
      </w:r>
      <w:r w:rsidR="001A1F90">
        <w:t xml:space="preserve"> </w:t>
      </w:r>
      <w:r>
        <w:t>2003;</w:t>
      </w:r>
      <w:r w:rsidR="001A1F90">
        <w:t xml:space="preserve"> </w:t>
      </w:r>
      <w:r>
        <w:t>Harrison</w:t>
      </w:r>
      <w:r w:rsidR="001A1F90">
        <w:t xml:space="preserve"> </w:t>
      </w:r>
      <w:r>
        <w:t>2007).</w:t>
      </w:r>
      <w:r w:rsidR="001A1F90">
        <w:t xml:space="preserve"> </w:t>
      </w:r>
      <w:r>
        <w:t>Weiss</w:t>
      </w:r>
      <w:r w:rsidR="001A1F90">
        <w:t xml:space="preserve"> </w:t>
      </w:r>
      <w:r>
        <w:t>(1999)</w:t>
      </w:r>
      <w:r w:rsidR="001A1F90">
        <w:t xml:space="preserve"> </w:t>
      </w:r>
      <w:r>
        <w:t>asserts</w:t>
      </w:r>
      <w:r w:rsidR="001A1F90">
        <w:t xml:space="preserve"> </w:t>
      </w:r>
      <w:r>
        <w:t>that</w:t>
      </w:r>
      <w:r w:rsidR="001A1F90">
        <w:t xml:space="preserve"> </w:t>
      </w:r>
      <w:r>
        <w:t>this</w:t>
      </w:r>
      <w:r w:rsidR="001A1F90">
        <w:t xml:space="preserve"> </w:t>
      </w:r>
      <w:r>
        <w:t>may</w:t>
      </w:r>
      <w:r w:rsidR="001A1F90">
        <w:t xml:space="preserve"> </w:t>
      </w:r>
      <w:r>
        <w:t>be</w:t>
      </w:r>
      <w:r w:rsidR="001A1F90">
        <w:t xml:space="preserve"> </w:t>
      </w:r>
      <w:r>
        <w:t>due</w:t>
      </w:r>
      <w:r w:rsidR="001A1F90">
        <w:t xml:space="preserve"> </w:t>
      </w:r>
      <w:r>
        <w:t>to</w:t>
      </w:r>
      <w:r w:rsidR="001A1F90">
        <w:t xml:space="preserve"> </w:t>
      </w:r>
      <w:r>
        <w:t>the</w:t>
      </w:r>
      <w:r w:rsidR="001A1F90">
        <w:t xml:space="preserve"> </w:t>
      </w:r>
      <w:r>
        <w:t>anti-libidinal</w:t>
      </w:r>
      <w:r w:rsidR="001A1F90">
        <w:t xml:space="preserve"> </w:t>
      </w:r>
      <w:r>
        <w:t>treatment</w:t>
      </w:r>
      <w:r w:rsidR="001A1F90">
        <w:t xml:space="preserve"> </w:t>
      </w:r>
      <w:r>
        <w:t>suppressing</w:t>
      </w:r>
      <w:r w:rsidR="001A1F90">
        <w:t xml:space="preserve"> </w:t>
      </w:r>
      <w:r>
        <w:t>sexual</w:t>
      </w:r>
      <w:r w:rsidR="001A1F90">
        <w:t xml:space="preserve"> </w:t>
      </w:r>
      <w:r>
        <w:t>urges</w:t>
      </w:r>
      <w:r w:rsidR="001A1F90">
        <w:t xml:space="preserve"> </w:t>
      </w:r>
      <w:r>
        <w:t>and</w:t>
      </w:r>
      <w:r w:rsidR="001A1F90">
        <w:t xml:space="preserve"> </w:t>
      </w:r>
      <w:r>
        <w:t>desires</w:t>
      </w:r>
      <w:r w:rsidR="001A1F90">
        <w:t xml:space="preserve"> </w:t>
      </w:r>
      <w:r>
        <w:t>which,</w:t>
      </w:r>
      <w:r w:rsidR="001A1F90">
        <w:t xml:space="preserve"> </w:t>
      </w:r>
      <w:r>
        <w:t>in</w:t>
      </w:r>
      <w:r w:rsidR="001A1F90">
        <w:t xml:space="preserve"> </w:t>
      </w:r>
      <w:r>
        <w:t>turn,</w:t>
      </w:r>
      <w:r w:rsidR="001A1F90">
        <w:t xml:space="preserve"> </w:t>
      </w:r>
      <w:r>
        <w:t>allows</w:t>
      </w:r>
      <w:r w:rsidR="001A1F90">
        <w:t xml:space="preserve"> </w:t>
      </w:r>
      <w:r>
        <w:t>for</w:t>
      </w:r>
      <w:r w:rsidR="001A1F90">
        <w:t xml:space="preserve"> </w:t>
      </w:r>
      <w:r>
        <w:t>greater</w:t>
      </w:r>
      <w:r w:rsidR="001A1F90">
        <w:t xml:space="preserve"> </w:t>
      </w:r>
      <w:r>
        <w:t>concentration</w:t>
      </w:r>
      <w:r w:rsidR="001A1F90">
        <w:t xml:space="preserve"> </w:t>
      </w:r>
      <w:r>
        <w:t>on</w:t>
      </w:r>
      <w:r w:rsidR="001A1F90">
        <w:t xml:space="preserve"> </w:t>
      </w:r>
      <w:r>
        <w:t>other</w:t>
      </w:r>
      <w:r w:rsidR="001A1F90">
        <w:t xml:space="preserve"> </w:t>
      </w:r>
      <w:r>
        <w:t>therapeutic</w:t>
      </w:r>
      <w:r w:rsidR="001A1F90">
        <w:t xml:space="preserve"> </w:t>
      </w:r>
      <w:r>
        <w:t>activities</w:t>
      </w:r>
      <w:r w:rsidR="001A1F90">
        <w:t xml:space="preserve"> </w:t>
      </w:r>
      <w:r>
        <w:t>that</w:t>
      </w:r>
      <w:r w:rsidR="001A1F90">
        <w:t xml:space="preserve"> </w:t>
      </w:r>
      <w:r>
        <w:t>are</w:t>
      </w:r>
      <w:r w:rsidR="001A1F90">
        <w:t xml:space="preserve"> </w:t>
      </w:r>
      <w:r>
        <w:t>aimed</w:t>
      </w:r>
      <w:r w:rsidR="001A1F90">
        <w:t xml:space="preserve"> </w:t>
      </w:r>
      <w:r>
        <w:t>at</w:t>
      </w:r>
      <w:r w:rsidR="001A1F90">
        <w:t xml:space="preserve"> </w:t>
      </w:r>
      <w:r>
        <w:t>controlling</w:t>
      </w:r>
      <w:r w:rsidR="001A1F90">
        <w:t xml:space="preserve"> </w:t>
      </w:r>
      <w:r w:rsidR="00C84854">
        <w:t>inappropriate</w:t>
      </w:r>
      <w:r w:rsidR="001A1F90">
        <w:t xml:space="preserve"> </w:t>
      </w:r>
      <w:r>
        <w:t>sexual</w:t>
      </w:r>
      <w:r w:rsidR="001A1F90">
        <w:t xml:space="preserve"> </w:t>
      </w:r>
      <w:r>
        <w:t>behaviours.</w:t>
      </w:r>
    </w:p>
    <w:p w14:paraId="3EC077CC" w14:textId="37F9AD09" w:rsidR="004946F1" w:rsidRDefault="004946F1" w:rsidP="009B0E14">
      <w:pPr>
        <w:pStyle w:val="Heading2"/>
      </w:pPr>
      <w:bookmarkStart w:id="4" w:name="_Toc20225592"/>
      <w:r>
        <w:t>Potential</w:t>
      </w:r>
      <w:r w:rsidR="001A1F90">
        <w:t xml:space="preserve"> </w:t>
      </w:r>
      <w:r>
        <w:t>for</w:t>
      </w:r>
      <w:r w:rsidR="001A1F90">
        <w:t xml:space="preserve"> </w:t>
      </w:r>
      <w:r>
        <w:t>side</w:t>
      </w:r>
      <w:r w:rsidR="001A1F90">
        <w:t xml:space="preserve"> </w:t>
      </w:r>
      <w:r>
        <w:t>effects</w:t>
      </w:r>
      <w:bookmarkEnd w:id="4"/>
    </w:p>
    <w:p w14:paraId="78C0B16F" w14:textId="40D0C1C3" w:rsidR="004946F1" w:rsidRDefault="004946F1" w:rsidP="00BD612C">
      <w:pPr>
        <w:pStyle w:val="DHHSbody"/>
      </w:pPr>
      <w:r>
        <w:t>One</w:t>
      </w:r>
      <w:r w:rsidR="001A1F90">
        <w:t xml:space="preserve"> </w:t>
      </w:r>
      <w:r>
        <w:t>of</w:t>
      </w:r>
      <w:r w:rsidR="001A1F90">
        <w:t xml:space="preserve"> </w:t>
      </w:r>
      <w:r>
        <w:t>the</w:t>
      </w:r>
      <w:r w:rsidR="001A1F90">
        <w:t xml:space="preserve"> </w:t>
      </w:r>
      <w:r>
        <w:t>most</w:t>
      </w:r>
      <w:r w:rsidR="001A1F90">
        <w:t xml:space="preserve"> </w:t>
      </w:r>
      <w:r>
        <w:t>significant</w:t>
      </w:r>
      <w:r w:rsidR="001A1F90">
        <w:t xml:space="preserve"> </w:t>
      </w:r>
      <w:r>
        <w:t>concerns</w:t>
      </w:r>
      <w:r w:rsidR="001A1F90">
        <w:t xml:space="preserve"> </w:t>
      </w:r>
      <w:r>
        <w:t>raised</w:t>
      </w:r>
      <w:r w:rsidR="001A1F90">
        <w:t xml:space="preserve"> </w:t>
      </w:r>
      <w:r>
        <w:t>with</w:t>
      </w:r>
      <w:r w:rsidR="001A1F90">
        <w:t xml:space="preserve"> </w:t>
      </w:r>
      <w:r>
        <w:t>the</w:t>
      </w:r>
      <w:r w:rsidR="001A1F90">
        <w:t xml:space="preserve"> </w:t>
      </w:r>
      <w:r>
        <w:t>use</w:t>
      </w:r>
      <w:r w:rsidR="001A1F90">
        <w:t xml:space="preserve"> </w:t>
      </w:r>
      <w:r>
        <w:t>of</w:t>
      </w:r>
      <w:r w:rsidR="001A1F90">
        <w:t xml:space="preserve"> </w:t>
      </w:r>
      <w:r>
        <w:t>anti-libidinal</w:t>
      </w:r>
      <w:r w:rsidR="001A1F90">
        <w:t xml:space="preserve"> </w:t>
      </w:r>
      <w:r>
        <w:t>medications</w:t>
      </w:r>
      <w:r w:rsidR="001A1F90">
        <w:t xml:space="preserve"> </w:t>
      </w:r>
      <w:r>
        <w:t>relates</w:t>
      </w:r>
      <w:r w:rsidR="001A1F90">
        <w:t xml:space="preserve"> </w:t>
      </w:r>
      <w:r>
        <w:t>to</w:t>
      </w:r>
      <w:r w:rsidR="001A1F90">
        <w:t xml:space="preserve"> </w:t>
      </w:r>
      <w:r>
        <w:t>the</w:t>
      </w:r>
      <w:r w:rsidR="001A1F90">
        <w:t xml:space="preserve"> </w:t>
      </w:r>
      <w:r>
        <w:t>potentially</w:t>
      </w:r>
      <w:r w:rsidR="001A1F90">
        <w:t xml:space="preserve"> </w:t>
      </w:r>
      <w:r>
        <w:t>significant</w:t>
      </w:r>
      <w:r w:rsidR="001A1F90">
        <w:t xml:space="preserve"> </w:t>
      </w:r>
      <w:r>
        <w:t>deleterious</w:t>
      </w:r>
      <w:r w:rsidR="001A1F90">
        <w:t xml:space="preserve"> </w:t>
      </w:r>
      <w:r>
        <w:t>effects</w:t>
      </w:r>
      <w:r w:rsidR="001A1F90">
        <w:t xml:space="preserve"> </w:t>
      </w:r>
      <w:r>
        <w:t>experienced</w:t>
      </w:r>
      <w:r w:rsidR="001A1F90">
        <w:t xml:space="preserve"> </w:t>
      </w:r>
      <w:r>
        <w:t>by</w:t>
      </w:r>
      <w:r w:rsidR="001A1F90">
        <w:t xml:space="preserve"> </w:t>
      </w:r>
      <w:r>
        <w:t>the</w:t>
      </w:r>
      <w:r w:rsidR="001A1F90">
        <w:t xml:space="preserve"> </w:t>
      </w:r>
      <w:r>
        <w:t>patient</w:t>
      </w:r>
      <w:r w:rsidR="001A1F90">
        <w:t xml:space="preserve"> </w:t>
      </w:r>
      <w:r>
        <w:t>on</w:t>
      </w:r>
      <w:r w:rsidR="001A1F90">
        <w:t xml:space="preserve"> </w:t>
      </w:r>
      <w:r>
        <w:t>their</w:t>
      </w:r>
      <w:r w:rsidR="001A1F90">
        <w:t xml:space="preserve"> </w:t>
      </w:r>
      <w:r>
        <w:t>health</w:t>
      </w:r>
      <w:r w:rsidR="001A1F90">
        <w:t xml:space="preserve"> </w:t>
      </w:r>
      <w:r>
        <w:t>and</w:t>
      </w:r>
      <w:r w:rsidR="001A1F90">
        <w:t xml:space="preserve"> </w:t>
      </w:r>
      <w:r>
        <w:t>quality</w:t>
      </w:r>
      <w:r w:rsidR="001A1F90">
        <w:t xml:space="preserve"> </w:t>
      </w:r>
      <w:r>
        <w:t>of</w:t>
      </w:r>
      <w:r w:rsidR="001A1F90">
        <w:t xml:space="preserve"> </w:t>
      </w:r>
      <w:r>
        <w:t>life,</w:t>
      </w:r>
      <w:r w:rsidR="001A1F90">
        <w:t xml:space="preserve"> </w:t>
      </w:r>
      <w:r>
        <w:t>described</w:t>
      </w:r>
      <w:r w:rsidR="001A1F90">
        <w:t xml:space="preserve"> </w:t>
      </w:r>
      <w:r>
        <w:t>by</w:t>
      </w:r>
      <w:r w:rsidR="001A1F90">
        <w:t xml:space="preserve"> </w:t>
      </w:r>
      <w:r>
        <w:t>some</w:t>
      </w:r>
      <w:r w:rsidR="001A1F90">
        <w:t xml:space="preserve"> </w:t>
      </w:r>
      <w:r>
        <w:t>as</w:t>
      </w:r>
      <w:r w:rsidR="001A1F90">
        <w:t xml:space="preserve"> </w:t>
      </w:r>
      <w:r>
        <w:t>‘substantial’</w:t>
      </w:r>
      <w:r w:rsidR="001A1F90">
        <w:t xml:space="preserve"> </w:t>
      </w:r>
      <w:r>
        <w:t>(Gijs</w:t>
      </w:r>
      <w:r w:rsidR="001A1F90">
        <w:t xml:space="preserve"> </w:t>
      </w:r>
      <w:r>
        <w:t>&amp;</w:t>
      </w:r>
      <w:r w:rsidR="001A1F90">
        <w:t xml:space="preserve"> </w:t>
      </w:r>
      <w:r>
        <w:t>Gooren</w:t>
      </w:r>
      <w:r w:rsidR="001A1F90">
        <w:t xml:space="preserve"> </w:t>
      </w:r>
      <w:r>
        <w:t>1996).</w:t>
      </w:r>
      <w:r w:rsidR="001A1F90">
        <w:t xml:space="preserve"> </w:t>
      </w:r>
      <w:r>
        <w:t>Some</w:t>
      </w:r>
      <w:r w:rsidR="001A1F90">
        <w:t xml:space="preserve"> </w:t>
      </w:r>
      <w:r>
        <w:t>of</w:t>
      </w:r>
      <w:r w:rsidR="001A1F90">
        <w:t xml:space="preserve"> </w:t>
      </w:r>
      <w:r>
        <w:t>the</w:t>
      </w:r>
      <w:r w:rsidR="001A1F90">
        <w:t xml:space="preserve"> </w:t>
      </w:r>
      <w:r>
        <w:t>wide-ranging</w:t>
      </w:r>
      <w:r w:rsidR="001A1F90">
        <w:t xml:space="preserve"> </w:t>
      </w:r>
      <w:r>
        <w:t>side</w:t>
      </w:r>
      <w:r w:rsidR="001A1F90">
        <w:t xml:space="preserve"> </w:t>
      </w:r>
      <w:r>
        <w:t>effects</w:t>
      </w:r>
      <w:r w:rsidR="001A1F90">
        <w:t xml:space="preserve"> </w:t>
      </w:r>
      <w:r>
        <w:t>that</w:t>
      </w:r>
      <w:r w:rsidR="001A1F90">
        <w:t xml:space="preserve"> </w:t>
      </w:r>
      <w:r>
        <w:t>have</w:t>
      </w:r>
      <w:r w:rsidR="001A1F90">
        <w:t xml:space="preserve"> </w:t>
      </w:r>
      <w:r>
        <w:t>been</w:t>
      </w:r>
      <w:r w:rsidR="001A1F90">
        <w:t xml:space="preserve"> </w:t>
      </w:r>
      <w:r>
        <w:t>reported</w:t>
      </w:r>
      <w:r w:rsidR="001A1F90">
        <w:t xml:space="preserve"> </w:t>
      </w:r>
      <w:r>
        <w:t>include</w:t>
      </w:r>
      <w:r w:rsidR="001A1F90">
        <w:t xml:space="preserve"> </w:t>
      </w:r>
      <w:r>
        <w:t>weight</w:t>
      </w:r>
      <w:r w:rsidR="001A1F90">
        <w:t xml:space="preserve"> </w:t>
      </w:r>
      <w:r>
        <w:t>gain</w:t>
      </w:r>
      <w:r w:rsidR="008B7A09">
        <w:t>,</w:t>
      </w:r>
      <w:r w:rsidR="001A1F90">
        <w:t xml:space="preserve"> </w:t>
      </w:r>
      <w:r>
        <w:t>migraine</w:t>
      </w:r>
      <w:r w:rsidR="001A1F90">
        <w:t xml:space="preserve"> </w:t>
      </w:r>
      <w:r>
        <w:t>headaches</w:t>
      </w:r>
      <w:r w:rsidR="008B7A09">
        <w:t>,</w:t>
      </w:r>
      <w:r w:rsidR="001A1F90">
        <w:t xml:space="preserve"> </w:t>
      </w:r>
      <w:r>
        <w:t>gallstones</w:t>
      </w:r>
      <w:r w:rsidR="008B7A09">
        <w:t>,</w:t>
      </w:r>
      <w:r w:rsidR="001A1F90">
        <w:t xml:space="preserve"> </w:t>
      </w:r>
      <w:r>
        <w:t>formation</w:t>
      </w:r>
      <w:r w:rsidR="001A1F90">
        <w:t xml:space="preserve"> </w:t>
      </w:r>
      <w:r>
        <w:t>of</w:t>
      </w:r>
      <w:r w:rsidR="001A1F90">
        <w:t xml:space="preserve"> </w:t>
      </w:r>
      <w:r>
        <w:t>blood</w:t>
      </w:r>
      <w:r w:rsidR="001A1F90">
        <w:t xml:space="preserve"> </w:t>
      </w:r>
      <w:r>
        <w:t>clots</w:t>
      </w:r>
      <w:r w:rsidR="008B7A09">
        <w:t>,</w:t>
      </w:r>
      <w:r w:rsidR="001A1F90">
        <w:t xml:space="preserve"> </w:t>
      </w:r>
      <w:r>
        <w:t>serious</w:t>
      </w:r>
      <w:r w:rsidR="001A1F90">
        <w:t xml:space="preserve"> </w:t>
      </w:r>
      <w:r>
        <w:t>allergic</w:t>
      </w:r>
      <w:r w:rsidR="001A1F90">
        <w:t xml:space="preserve"> </w:t>
      </w:r>
      <w:r>
        <w:t>reactions</w:t>
      </w:r>
      <w:r w:rsidR="008B7A09">
        <w:t>,</w:t>
      </w:r>
      <w:r w:rsidR="001A1F90">
        <w:t xml:space="preserve"> </w:t>
      </w:r>
      <w:r>
        <w:t>depression</w:t>
      </w:r>
      <w:r w:rsidR="008B7A09">
        <w:t>,</w:t>
      </w:r>
      <w:r w:rsidR="001A1F90">
        <w:t xml:space="preserve"> </w:t>
      </w:r>
      <w:r>
        <w:t>suicidal</w:t>
      </w:r>
      <w:r w:rsidR="001A1F90">
        <w:t xml:space="preserve"> </w:t>
      </w:r>
      <w:r>
        <w:t>thoughts</w:t>
      </w:r>
      <w:r w:rsidR="008B7A09">
        <w:t>,</w:t>
      </w:r>
      <w:r w:rsidR="001A1F90">
        <w:t xml:space="preserve"> </w:t>
      </w:r>
      <w:r>
        <w:t>hypertension</w:t>
      </w:r>
      <w:r w:rsidR="008B7A09">
        <w:t>,</w:t>
      </w:r>
      <w:r w:rsidR="001A1F90">
        <w:t xml:space="preserve"> </w:t>
      </w:r>
      <w:r>
        <w:t>diabetes</w:t>
      </w:r>
      <w:r w:rsidR="008B7A09">
        <w:t>,</w:t>
      </w:r>
      <w:r w:rsidR="001A1F90">
        <w:t xml:space="preserve"> </w:t>
      </w:r>
      <w:r>
        <w:t>difficulties</w:t>
      </w:r>
      <w:r w:rsidR="001A1F90">
        <w:t xml:space="preserve"> </w:t>
      </w:r>
      <w:r>
        <w:t>with</w:t>
      </w:r>
      <w:r w:rsidR="001A1F90">
        <w:t xml:space="preserve"> </w:t>
      </w:r>
      <w:r>
        <w:t>breathing</w:t>
      </w:r>
      <w:r w:rsidR="008B7A09">
        <w:t>,</w:t>
      </w:r>
      <w:r w:rsidR="001A1F90">
        <w:t xml:space="preserve"> </w:t>
      </w:r>
      <w:r>
        <w:t>insomnia</w:t>
      </w:r>
      <w:r w:rsidR="001A1F90">
        <w:t xml:space="preserve"> </w:t>
      </w:r>
      <w:r>
        <w:t>and</w:t>
      </w:r>
      <w:r w:rsidR="001A1F90">
        <w:t xml:space="preserve"> </w:t>
      </w:r>
      <w:r>
        <w:t>shrinkage</w:t>
      </w:r>
      <w:r w:rsidR="001A1F90">
        <w:t xml:space="preserve"> </w:t>
      </w:r>
      <w:r>
        <w:t>of</w:t>
      </w:r>
      <w:r w:rsidR="001A1F90">
        <w:t xml:space="preserve"> </w:t>
      </w:r>
      <w:r>
        <w:t>prostate</w:t>
      </w:r>
      <w:r w:rsidR="001A1F90">
        <w:t xml:space="preserve"> </w:t>
      </w:r>
      <w:r>
        <w:t>vessels</w:t>
      </w:r>
      <w:r w:rsidR="001A1F90">
        <w:t xml:space="preserve"> </w:t>
      </w:r>
      <w:r>
        <w:t>(</w:t>
      </w:r>
      <w:r w:rsidR="00A978D3">
        <w:t xml:space="preserve">see, </w:t>
      </w:r>
      <w:r w:rsidR="00F550F1">
        <w:t>for example</w:t>
      </w:r>
      <w:r>
        <w:t>,</w:t>
      </w:r>
      <w:r w:rsidR="001A1F90">
        <w:t xml:space="preserve"> </w:t>
      </w:r>
      <w:r>
        <w:t>Spalding</w:t>
      </w:r>
      <w:r w:rsidR="001A1F90">
        <w:t xml:space="preserve"> </w:t>
      </w:r>
      <w:r>
        <w:t>1998).</w:t>
      </w:r>
    </w:p>
    <w:p w14:paraId="1363F7D9" w14:textId="29A0219A" w:rsidR="004946F1" w:rsidRDefault="004946F1" w:rsidP="00BD612C">
      <w:pPr>
        <w:pStyle w:val="DHHSbody"/>
      </w:pPr>
      <w:r>
        <w:t>Negative</w:t>
      </w:r>
      <w:r w:rsidR="001A1F90">
        <w:t xml:space="preserve"> </w:t>
      </w:r>
      <w:r>
        <w:t>effects</w:t>
      </w:r>
      <w:r w:rsidR="001A1F90">
        <w:t xml:space="preserve"> </w:t>
      </w:r>
      <w:r>
        <w:t>on</w:t>
      </w:r>
      <w:r w:rsidR="001A1F90">
        <w:t xml:space="preserve"> </w:t>
      </w:r>
      <w:r>
        <w:t>the</w:t>
      </w:r>
      <w:r w:rsidR="001A1F90">
        <w:t xml:space="preserve"> </w:t>
      </w:r>
      <w:r>
        <w:t>person’s</w:t>
      </w:r>
      <w:r w:rsidR="001A1F90">
        <w:t xml:space="preserve"> </w:t>
      </w:r>
      <w:r>
        <w:t>quality</w:t>
      </w:r>
      <w:r w:rsidR="001A1F90">
        <w:t xml:space="preserve"> </w:t>
      </w:r>
      <w:r>
        <w:t>of</w:t>
      </w:r>
      <w:r w:rsidR="001A1F90">
        <w:t xml:space="preserve"> </w:t>
      </w:r>
      <w:r>
        <w:t>life</w:t>
      </w:r>
      <w:r w:rsidR="001A1F90">
        <w:t xml:space="preserve"> </w:t>
      </w:r>
      <w:r>
        <w:t>have</w:t>
      </w:r>
      <w:r w:rsidR="001A1F90">
        <w:t xml:space="preserve"> </w:t>
      </w:r>
      <w:r>
        <w:t>perhaps</w:t>
      </w:r>
      <w:r w:rsidR="001A1F90">
        <w:t xml:space="preserve"> </w:t>
      </w:r>
      <w:r>
        <w:t>been</w:t>
      </w:r>
      <w:r w:rsidR="001A1F90">
        <w:t xml:space="preserve"> </w:t>
      </w:r>
      <w:r>
        <w:t>less</w:t>
      </w:r>
      <w:r w:rsidR="001A1F90">
        <w:t xml:space="preserve"> </w:t>
      </w:r>
      <w:r>
        <w:t>emphasi</w:t>
      </w:r>
      <w:r w:rsidR="006554F9">
        <w:t>s</w:t>
      </w:r>
      <w:r>
        <w:t>ed,</w:t>
      </w:r>
      <w:r w:rsidR="001A1F90">
        <w:t xml:space="preserve"> </w:t>
      </w:r>
      <w:r>
        <w:t>in</w:t>
      </w:r>
      <w:r w:rsidR="001A1F90">
        <w:t xml:space="preserve"> </w:t>
      </w:r>
      <w:r>
        <w:t>spite</w:t>
      </w:r>
      <w:r w:rsidR="001A1F90">
        <w:t xml:space="preserve"> </w:t>
      </w:r>
      <w:r>
        <w:t>of</w:t>
      </w:r>
      <w:r w:rsidR="001A1F90">
        <w:t xml:space="preserve"> </w:t>
      </w:r>
      <w:r>
        <w:t>the</w:t>
      </w:r>
      <w:r w:rsidR="001A1F90">
        <w:t xml:space="preserve"> </w:t>
      </w:r>
      <w:r>
        <w:t>dramatic</w:t>
      </w:r>
      <w:r w:rsidR="001A1F90">
        <w:t xml:space="preserve"> </w:t>
      </w:r>
      <w:r>
        <w:t>secondary</w:t>
      </w:r>
      <w:r w:rsidR="001A1F90">
        <w:t xml:space="preserve"> </w:t>
      </w:r>
      <w:r>
        <w:t>impacts</w:t>
      </w:r>
      <w:r w:rsidR="001A1F90">
        <w:t xml:space="preserve"> </w:t>
      </w:r>
      <w:r>
        <w:t>the</w:t>
      </w:r>
      <w:r w:rsidR="001A1F90">
        <w:t xml:space="preserve"> </w:t>
      </w:r>
      <w:r>
        <w:t>side</w:t>
      </w:r>
      <w:r w:rsidR="001A1F90">
        <w:t xml:space="preserve"> </w:t>
      </w:r>
      <w:r>
        <w:t>effects</w:t>
      </w:r>
      <w:r w:rsidR="001A1F90">
        <w:t xml:space="preserve"> </w:t>
      </w:r>
      <w:r>
        <w:t>of</w:t>
      </w:r>
      <w:r w:rsidR="001A1F90">
        <w:t xml:space="preserve"> </w:t>
      </w:r>
      <w:r>
        <w:t>weight</w:t>
      </w:r>
      <w:r w:rsidR="001A1F90">
        <w:t xml:space="preserve"> </w:t>
      </w:r>
      <w:r>
        <w:t>gain,</w:t>
      </w:r>
      <w:r w:rsidR="001A1F90">
        <w:t xml:space="preserve"> </w:t>
      </w:r>
      <w:r>
        <w:t>fatigue</w:t>
      </w:r>
      <w:r w:rsidR="001A1F90">
        <w:t xml:space="preserve"> </w:t>
      </w:r>
      <w:r>
        <w:t>and</w:t>
      </w:r>
      <w:r w:rsidR="001A1F90">
        <w:t xml:space="preserve"> </w:t>
      </w:r>
      <w:r>
        <w:t>gynaecomastia</w:t>
      </w:r>
      <w:r w:rsidR="001A1F90">
        <w:t xml:space="preserve"> </w:t>
      </w:r>
      <w:r>
        <w:t>(reported</w:t>
      </w:r>
      <w:r w:rsidR="001A1F90">
        <w:t xml:space="preserve"> </w:t>
      </w:r>
      <w:r>
        <w:t>to</w:t>
      </w:r>
      <w:r w:rsidR="001A1F90">
        <w:t xml:space="preserve"> </w:t>
      </w:r>
      <w:r>
        <w:t>be</w:t>
      </w:r>
      <w:r w:rsidR="001A1F90">
        <w:t xml:space="preserve"> </w:t>
      </w:r>
      <w:r>
        <w:t>irreversible</w:t>
      </w:r>
      <w:r w:rsidR="001A1F90">
        <w:t xml:space="preserve"> </w:t>
      </w:r>
      <w:r>
        <w:t>according</w:t>
      </w:r>
      <w:r w:rsidR="001A1F90">
        <w:t xml:space="preserve"> </w:t>
      </w:r>
      <w:r>
        <w:t>to</w:t>
      </w:r>
      <w:r w:rsidR="001A1F90">
        <w:t xml:space="preserve"> </w:t>
      </w:r>
      <w:r>
        <w:t>Craissati</w:t>
      </w:r>
      <w:r w:rsidR="001A1F90">
        <w:t xml:space="preserve"> </w:t>
      </w:r>
      <w:r>
        <w:t>2004)</w:t>
      </w:r>
      <w:r w:rsidR="001A1F90">
        <w:t xml:space="preserve"> </w:t>
      </w:r>
      <w:r>
        <w:t>can</w:t>
      </w:r>
      <w:r w:rsidR="001A1F90">
        <w:t xml:space="preserve"> </w:t>
      </w:r>
      <w:r>
        <w:t>and</w:t>
      </w:r>
      <w:r w:rsidR="001A1F90">
        <w:t xml:space="preserve"> </w:t>
      </w:r>
      <w:r>
        <w:t>do</w:t>
      </w:r>
      <w:r w:rsidR="001A1F90">
        <w:t xml:space="preserve"> </w:t>
      </w:r>
      <w:r>
        <w:t>have</w:t>
      </w:r>
      <w:r w:rsidR="001A1F90">
        <w:t xml:space="preserve"> </w:t>
      </w:r>
      <w:r>
        <w:t>on</w:t>
      </w:r>
      <w:r w:rsidR="001A1F90">
        <w:t xml:space="preserve"> </w:t>
      </w:r>
      <w:r>
        <w:t>subjective</w:t>
      </w:r>
      <w:r w:rsidR="001A1F90">
        <w:t xml:space="preserve"> </w:t>
      </w:r>
      <w:r>
        <w:t>indices</w:t>
      </w:r>
      <w:r w:rsidR="001A1F90">
        <w:t xml:space="preserve"> </w:t>
      </w:r>
      <w:r>
        <w:t>of</w:t>
      </w:r>
      <w:r w:rsidR="001A1F90">
        <w:t xml:space="preserve"> </w:t>
      </w:r>
      <w:r>
        <w:t>self-esteem</w:t>
      </w:r>
      <w:r w:rsidR="001A1F90">
        <w:t xml:space="preserve"> </w:t>
      </w:r>
      <w:r>
        <w:t>and</w:t>
      </w:r>
      <w:r w:rsidR="001A1F90">
        <w:t xml:space="preserve"> </w:t>
      </w:r>
      <w:r>
        <w:t>mood.</w:t>
      </w:r>
      <w:r w:rsidR="001A1F90">
        <w:t xml:space="preserve"> </w:t>
      </w:r>
      <w:r>
        <w:t>Rainey</w:t>
      </w:r>
      <w:r w:rsidR="001A1F90">
        <w:t xml:space="preserve"> </w:t>
      </w:r>
      <w:r>
        <w:t>and</w:t>
      </w:r>
      <w:r w:rsidR="001A1F90">
        <w:t xml:space="preserve"> </w:t>
      </w:r>
      <w:r>
        <w:t>Harrison</w:t>
      </w:r>
      <w:r w:rsidR="001A1F90">
        <w:t xml:space="preserve"> </w:t>
      </w:r>
      <w:r>
        <w:t>(2008)</w:t>
      </w:r>
      <w:r w:rsidR="001A1F90">
        <w:t xml:space="preserve"> </w:t>
      </w:r>
      <w:r>
        <w:t>suggest</w:t>
      </w:r>
      <w:r w:rsidR="001A1F90">
        <w:t xml:space="preserve"> </w:t>
      </w:r>
      <w:r>
        <w:t>that,</w:t>
      </w:r>
      <w:r w:rsidR="001A1F90">
        <w:t xml:space="preserve"> </w:t>
      </w:r>
      <w:r>
        <w:t>while</w:t>
      </w:r>
      <w:r w:rsidR="001A1F90">
        <w:t xml:space="preserve"> </w:t>
      </w:r>
      <w:r>
        <w:t>not</w:t>
      </w:r>
      <w:r w:rsidR="001A1F90">
        <w:t xml:space="preserve"> </w:t>
      </w:r>
      <w:r>
        <w:t>reaching</w:t>
      </w:r>
      <w:r w:rsidR="001A1F90">
        <w:t xml:space="preserve"> </w:t>
      </w:r>
      <w:r>
        <w:t>the</w:t>
      </w:r>
      <w:r w:rsidR="001A1F90">
        <w:t xml:space="preserve"> </w:t>
      </w:r>
      <w:r>
        <w:t>extent</w:t>
      </w:r>
      <w:r w:rsidR="001A1F90">
        <w:t xml:space="preserve"> </w:t>
      </w:r>
      <w:r>
        <w:t>of</w:t>
      </w:r>
      <w:r w:rsidR="001A1F90">
        <w:t xml:space="preserve"> </w:t>
      </w:r>
      <w:r>
        <w:t>constituting</w:t>
      </w:r>
      <w:r w:rsidR="001A1F90">
        <w:t xml:space="preserve"> </w:t>
      </w:r>
      <w:r>
        <w:t>torture</w:t>
      </w:r>
      <w:r w:rsidR="001A1F90">
        <w:t xml:space="preserve"> </w:t>
      </w:r>
      <w:r>
        <w:t>under</w:t>
      </w:r>
      <w:r w:rsidR="001A1F90">
        <w:t xml:space="preserve"> </w:t>
      </w:r>
      <w:r w:rsidR="008B7A09">
        <w:t>i</w:t>
      </w:r>
      <w:r>
        <w:t>nternational</w:t>
      </w:r>
      <w:r w:rsidR="001A1F90">
        <w:t xml:space="preserve"> </w:t>
      </w:r>
      <w:r w:rsidR="008B7A09">
        <w:t>h</w:t>
      </w:r>
      <w:r>
        <w:t>uman</w:t>
      </w:r>
      <w:r w:rsidR="001A1F90">
        <w:t xml:space="preserve"> </w:t>
      </w:r>
      <w:r w:rsidR="008B7A09">
        <w:t>r</w:t>
      </w:r>
      <w:r>
        <w:t>ights</w:t>
      </w:r>
      <w:r w:rsidR="001A1F90">
        <w:t xml:space="preserve"> </w:t>
      </w:r>
      <w:r>
        <w:t>legislation,</w:t>
      </w:r>
      <w:r w:rsidR="001A1F90">
        <w:t xml:space="preserve"> </w:t>
      </w:r>
      <w:r>
        <w:t>the</w:t>
      </w:r>
      <w:r w:rsidR="001A1F90">
        <w:t xml:space="preserve"> </w:t>
      </w:r>
      <w:r>
        <w:t>impact</w:t>
      </w:r>
      <w:r w:rsidR="001A1F90">
        <w:t xml:space="preserve"> </w:t>
      </w:r>
      <w:r>
        <w:t>of</w:t>
      </w:r>
      <w:r w:rsidR="001A1F90">
        <w:t xml:space="preserve"> </w:t>
      </w:r>
      <w:r>
        <w:t>these</w:t>
      </w:r>
      <w:r w:rsidR="001A1F90">
        <w:t xml:space="preserve"> </w:t>
      </w:r>
      <w:r>
        <w:t>side</w:t>
      </w:r>
      <w:r w:rsidR="001A1F90">
        <w:t xml:space="preserve"> </w:t>
      </w:r>
      <w:r>
        <w:t>effects</w:t>
      </w:r>
      <w:r w:rsidR="001A1F90">
        <w:t xml:space="preserve"> </w:t>
      </w:r>
      <w:r>
        <w:t>could</w:t>
      </w:r>
      <w:r w:rsidR="001A1F90">
        <w:t xml:space="preserve"> </w:t>
      </w:r>
      <w:r>
        <w:t>be</w:t>
      </w:r>
      <w:r w:rsidR="001A1F90">
        <w:t xml:space="preserve"> </w:t>
      </w:r>
      <w:r>
        <w:t>considered</w:t>
      </w:r>
      <w:r w:rsidR="001A1F90">
        <w:t xml:space="preserve"> </w:t>
      </w:r>
      <w:r>
        <w:t>degrading</w:t>
      </w:r>
      <w:r w:rsidR="001A1F90">
        <w:t xml:space="preserve"> </w:t>
      </w:r>
      <w:r>
        <w:t>and</w:t>
      </w:r>
      <w:r w:rsidR="001A1F90">
        <w:t xml:space="preserve"> </w:t>
      </w:r>
      <w:r>
        <w:t>inhumane.</w:t>
      </w:r>
      <w:r w:rsidR="001A1F90">
        <w:t xml:space="preserve"> </w:t>
      </w:r>
      <w:r>
        <w:t>However,</w:t>
      </w:r>
      <w:r w:rsidR="001A1F90">
        <w:t xml:space="preserve"> </w:t>
      </w:r>
      <w:r>
        <w:t>the</w:t>
      </w:r>
      <w:r w:rsidR="001A1F90">
        <w:t xml:space="preserve"> </w:t>
      </w:r>
      <w:r>
        <w:t>European</w:t>
      </w:r>
      <w:r w:rsidR="001A1F90">
        <w:t xml:space="preserve"> </w:t>
      </w:r>
      <w:r>
        <w:t>Court</w:t>
      </w:r>
      <w:r w:rsidR="001A1F90">
        <w:t xml:space="preserve"> </w:t>
      </w:r>
      <w:r>
        <w:t>of</w:t>
      </w:r>
      <w:r w:rsidR="001A1F90">
        <w:t xml:space="preserve"> </w:t>
      </w:r>
      <w:r>
        <w:t>Human</w:t>
      </w:r>
      <w:r w:rsidR="001A1F90">
        <w:t xml:space="preserve"> </w:t>
      </w:r>
      <w:r>
        <w:t>Rights</w:t>
      </w:r>
      <w:r w:rsidR="001A1F90">
        <w:t xml:space="preserve"> </w:t>
      </w:r>
      <w:r>
        <w:t>held</w:t>
      </w:r>
      <w:r w:rsidR="001A1F90">
        <w:t xml:space="preserve"> </w:t>
      </w:r>
      <w:r>
        <w:t>that,</w:t>
      </w:r>
      <w:r w:rsidR="001A1F90">
        <w:t xml:space="preserve"> </w:t>
      </w:r>
      <w:r>
        <w:t>as</w:t>
      </w:r>
      <w:r w:rsidR="001A1F90">
        <w:t xml:space="preserve"> </w:t>
      </w:r>
      <w:r>
        <w:t>a</w:t>
      </w:r>
      <w:r w:rsidR="001A1F90">
        <w:t xml:space="preserve"> </w:t>
      </w:r>
      <w:r>
        <w:t>general</w:t>
      </w:r>
      <w:r w:rsidR="001A1F90">
        <w:t xml:space="preserve"> </w:t>
      </w:r>
      <w:r>
        <w:t>rule,</w:t>
      </w:r>
      <w:r w:rsidR="001A1F90">
        <w:t xml:space="preserve"> </w:t>
      </w:r>
      <w:r>
        <w:t>this</w:t>
      </w:r>
      <w:r w:rsidR="001A1F90">
        <w:t xml:space="preserve"> </w:t>
      </w:r>
      <w:r>
        <w:t>would</w:t>
      </w:r>
      <w:r w:rsidR="001A1F90">
        <w:t xml:space="preserve"> </w:t>
      </w:r>
      <w:r>
        <w:t>not</w:t>
      </w:r>
      <w:r w:rsidR="001A1F90">
        <w:t xml:space="preserve"> </w:t>
      </w:r>
      <w:r>
        <w:t>be</w:t>
      </w:r>
      <w:r w:rsidR="001A1F90">
        <w:t xml:space="preserve"> </w:t>
      </w:r>
      <w:r>
        <w:t>the</w:t>
      </w:r>
      <w:r w:rsidR="001A1F90">
        <w:t xml:space="preserve"> </w:t>
      </w:r>
      <w:r>
        <w:t>case</w:t>
      </w:r>
      <w:r w:rsidR="001A1F90">
        <w:t xml:space="preserve"> </w:t>
      </w:r>
      <w:r>
        <w:t>in</w:t>
      </w:r>
      <w:r w:rsidR="001A1F90">
        <w:t xml:space="preserve"> </w:t>
      </w:r>
      <w:r>
        <w:t>situations</w:t>
      </w:r>
      <w:r w:rsidR="001A1F90">
        <w:t xml:space="preserve"> </w:t>
      </w:r>
      <w:r>
        <w:t>where</w:t>
      </w:r>
      <w:r w:rsidR="001A1F90">
        <w:t xml:space="preserve"> </w:t>
      </w:r>
      <w:r>
        <w:t>the</w:t>
      </w:r>
      <w:r w:rsidR="001A1F90">
        <w:t xml:space="preserve"> </w:t>
      </w:r>
      <w:r>
        <w:t>medication</w:t>
      </w:r>
      <w:r w:rsidR="001A1F90">
        <w:t xml:space="preserve"> </w:t>
      </w:r>
      <w:r>
        <w:t>was</w:t>
      </w:r>
      <w:r w:rsidR="001A1F90">
        <w:t xml:space="preserve"> </w:t>
      </w:r>
      <w:r>
        <w:t>considered</w:t>
      </w:r>
      <w:r w:rsidR="001A1F90">
        <w:t xml:space="preserve"> </w:t>
      </w:r>
      <w:r>
        <w:t>to</w:t>
      </w:r>
      <w:r w:rsidR="001A1F90">
        <w:t xml:space="preserve"> </w:t>
      </w:r>
      <w:r>
        <w:t>be</w:t>
      </w:r>
      <w:r w:rsidR="001A1F90">
        <w:t xml:space="preserve"> </w:t>
      </w:r>
      <w:r>
        <w:t>a</w:t>
      </w:r>
      <w:r w:rsidR="001A1F90">
        <w:t xml:space="preserve"> </w:t>
      </w:r>
      <w:r>
        <w:t>therapeutic</w:t>
      </w:r>
      <w:r w:rsidR="001A1F90">
        <w:t xml:space="preserve"> </w:t>
      </w:r>
      <w:r>
        <w:t>necessity</w:t>
      </w:r>
      <w:r w:rsidR="001A1F90">
        <w:t xml:space="preserve"> </w:t>
      </w:r>
      <w:r>
        <w:t>(</w:t>
      </w:r>
      <w:r w:rsidRPr="004B4157">
        <w:rPr>
          <w:rStyle w:val="Emphasis"/>
        </w:rPr>
        <w:t>Herczegfalvy</w:t>
      </w:r>
      <w:r w:rsidR="001A1F90">
        <w:rPr>
          <w:rStyle w:val="Emphasis"/>
        </w:rPr>
        <w:t xml:space="preserve"> </w:t>
      </w:r>
      <w:r w:rsidRPr="004B4157">
        <w:rPr>
          <w:rStyle w:val="Emphasis"/>
        </w:rPr>
        <w:t>v</w:t>
      </w:r>
      <w:r w:rsidR="001A1F90">
        <w:rPr>
          <w:rStyle w:val="Emphasis"/>
        </w:rPr>
        <w:t xml:space="preserve"> </w:t>
      </w:r>
      <w:r w:rsidRPr="004B4157">
        <w:rPr>
          <w:rStyle w:val="Emphasis"/>
        </w:rPr>
        <w:t>Austria</w:t>
      </w:r>
      <w:r w:rsidR="001A1F90">
        <w:rPr>
          <w:rStyle w:val="Emphasis"/>
        </w:rPr>
        <w:t xml:space="preserve"> </w:t>
      </w:r>
      <w:r>
        <w:t>(1992)</w:t>
      </w:r>
      <w:r w:rsidR="001A1F90">
        <w:t xml:space="preserve"> </w:t>
      </w:r>
      <w:r>
        <w:t>15</w:t>
      </w:r>
      <w:r w:rsidR="001A1F90">
        <w:t xml:space="preserve"> </w:t>
      </w:r>
      <w:r>
        <w:t>EHRR</w:t>
      </w:r>
      <w:r w:rsidR="001A1F90">
        <w:t xml:space="preserve"> </w:t>
      </w:r>
      <w:r>
        <w:t>437).</w:t>
      </w:r>
      <w:r w:rsidR="001A1F90">
        <w:t xml:space="preserve"> </w:t>
      </w:r>
      <w:r>
        <w:t>Rainey</w:t>
      </w:r>
      <w:r w:rsidR="001A1F90">
        <w:t xml:space="preserve"> </w:t>
      </w:r>
      <w:r>
        <w:t>and</w:t>
      </w:r>
      <w:r w:rsidR="001A1F90">
        <w:t xml:space="preserve"> </w:t>
      </w:r>
      <w:r>
        <w:t>Harrison</w:t>
      </w:r>
      <w:r w:rsidR="001A1F90">
        <w:t xml:space="preserve"> </w:t>
      </w:r>
      <w:r>
        <w:t>(2008)</w:t>
      </w:r>
      <w:r w:rsidR="001A1F90">
        <w:t xml:space="preserve"> </w:t>
      </w:r>
      <w:r>
        <w:t>indicate</w:t>
      </w:r>
      <w:r w:rsidR="001A1F90">
        <w:t xml:space="preserve"> </w:t>
      </w:r>
      <w:r>
        <w:t>that</w:t>
      </w:r>
      <w:r w:rsidR="001A1F90">
        <w:t xml:space="preserve"> </w:t>
      </w:r>
      <w:r>
        <w:t>‘therapeutic</w:t>
      </w:r>
      <w:r w:rsidR="001A1F90">
        <w:t xml:space="preserve"> </w:t>
      </w:r>
      <w:r>
        <w:t>necessity’</w:t>
      </w:r>
      <w:r w:rsidR="001A1F90">
        <w:t xml:space="preserve"> </w:t>
      </w:r>
      <w:r>
        <w:t>could</w:t>
      </w:r>
      <w:r w:rsidR="001A1F90">
        <w:t xml:space="preserve"> </w:t>
      </w:r>
      <w:r>
        <w:t>be</w:t>
      </w:r>
      <w:r w:rsidR="001A1F90">
        <w:t xml:space="preserve"> </w:t>
      </w:r>
      <w:r>
        <w:t>conceptualised</w:t>
      </w:r>
      <w:r w:rsidR="001A1F90">
        <w:t xml:space="preserve"> </w:t>
      </w:r>
      <w:r>
        <w:t>both</w:t>
      </w:r>
      <w:r w:rsidR="001A1F90">
        <w:t xml:space="preserve"> </w:t>
      </w:r>
      <w:r>
        <w:t>in</w:t>
      </w:r>
      <w:r w:rsidR="001A1F90">
        <w:t xml:space="preserve"> </w:t>
      </w:r>
      <w:r>
        <w:t>terms</w:t>
      </w:r>
      <w:r w:rsidR="001A1F90">
        <w:t xml:space="preserve"> </w:t>
      </w:r>
      <w:r>
        <w:t>of</w:t>
      </w:r>
      <w:r w:rsidR="001A1F90">
        <w:t xml:space="preserve"> </w:t>
      </w:r>
      <w:r>
        <w:t>the</w:t>
      </w:r>
      <w:r w:rsidR="001A1F90">
        <w:t xml:space="preserve"> </w:t>
      </w:r>
      <w:r>
        <w:t>assessment</w:t>
      </w:r>
      <w:r w:rsidR="001A1F90">
        <w:t xml:space="preserve"> </w:t>
      </w:r>
      <w:r>
        <w:t>of</w:t>
      </w:r>
      <w:r w:rsidR="001A1F90">
        <w:t xml:space="preserve"> </w:t>
      </w:r>
      <w:r>
        <w:t>medical</w:t>
      </w:r>
      <w:r w:rsidR="001A1F90">
        <w:t xml:space="preserve"> </w:t>
      </w:r>
      <w:r>
        <w:t>suitability</w:t>
      </w:r>
      <w:r w:rsidR="001A1F90">
        <w:t xml:space="preserve"> </w:t>
      </w:r>
      <w:r>
        <w:t>of</w:t>
      </w:r>
      <w:r w:rsidR="001A1F90">
        <w:t xml:space="preserve"> </w:t>
      </w:r>
      <w:r>
        <w:t>the</w:t>
      </w:r>
      <w:r w:rsidR="001A1F90">
        <w:t xml:space="preserve"> </w:t>
      </w:r>
      <w:r>
        <w:t>individual</w:t>
      </w:r>
      <w:r w:rsidR="001A1F90">
        <w:t xml:space="preserve"> </w:t>
      </w:r>
      <w:r>
        <w:t>as</w:t>
      </w:r>
      <w:r w:rsidR="001A1F90">
        <w:t xml:space="preserve"> </w:t>
      </w:r>
      <w:r>
        <w:t>well</w:t>
      </w:r>
      <w:r w:rsidR="001A1F90">
        <w:t xml:space="preserve"> </w:t>
      </w:r>
      <w:r>
        <w:t>as</w:t>
      </w:r>
      <w:r w:rsidR="001A1F90">
        <w:t xml:space="preserve"> </w:t>
      </w:r>
      <w:r>
        <w:t>demonstrating</w:t>
      </w:r>
      <w:r w:rsidR="001A1F90">
        <w:t xml:space="preserve"> </w:t>
      </w:r>
      <w:r>
        <w:t>the</w:t>
      </w:r>
      <w:r w:rsidR="001A1F90">
        <w:t xml:space="preserve"> </w:t>
      </w:r>
      <w:r>
        <w:t>effectiveness</w:t>
      </w:r>
      <w:r w:rsidR="001A1F90">
        <w:t xml:space="preserve"> </w:t>
      </w:r>
      <w:r>
        <w:t>of</w:t>
      </w:r>
      <w:r w:rsidR="001A1F90">
        <w:t xml:space="preserve"> </w:t>
      </w:r>
      <w:r>
        <w:t>the</w:t>
      </w:r>
      <w:r w:rsidR="001A1F90">
        <w:t xml:space="preserve"> </w:t>
      </w:r>
      <w:r>
        <w:t>medication</w:t>
      </w:r>
      <w:r w:rsidR="001A1F90">
        <w:t xml:space="preserve"> </w:t>
      </w:r>
      <w:r>
        <w:t>on</w:t>
      </w:r>
      <w:r w:rsidR="001A1F90">
        <w:t xml:space="preserve"> </w:t>
      </w:r>
      <w:r>
        <w:t>that</w:t>
      </w:r>
      <w:r w:rsidR="001A1F90">
        <w:t xml:space="preserve"> </w:t>
      </w:r>
      <w:r>
        <w:t>person;</w:t>
      </w:r>
      <w:r w:rsidR="001A1F90">
        <w:t xml:space="preserve"> </w:t>
      </w:r>
      <w:r>
        <w:t>they</w:t>
      </w:r>
      <w:r w:rsidR="001A1F90">
        <w:t xml:space="preserve"> </w:t>
      </w:r>
      <w:r>
        <w:t>also</w:t>
      </w:r>
      <w:r w:rsidR="001A1F90">
        <w:t xml:space="preserve"> </w:t>
      </w:r>
      <w:r>
        <w:t>emphasi</w:t>
      </w:r>
      <w:r w:rsidR="009C5020">
        <w:t>s</w:t>
      </w:r>
      <w:r>
        <w:t>e</w:t>
      </w:r>
      <w:r w:rsidR="001A1F90">
        <w:t xml:space="preserve"> </w:t>
      </w:r>
      <w:r>
        <w:t>the</w:t>
      </w:r>
      <w:r w:rsidR="001A1F90">
        <w:t xml:space="preserve"> </w:t>
      </w:r>
      <w:r>
        <w:t>importance</w:t>
      </w:r>
      <w:r w:rsidR="001A1F90">
        <w:t xml:space="preserve"> </w:t>
      </w:r>
      <w:r>
        <w:t>of</w:t>
      </w:r>
      <w:r w:rsidR="001A1F90">
        <w:t xml:space="preserve"> </w:t>
      </w:r>
      <w:r>
        <w:t>consent</w:t>
      </w:r>
      <w:r w:rsidR="001A1F90">
        <w:t xml:space="preserve"> </w:t>
      </w:r>
      <w:r>
        <w:t>in</w:t>
      </w:r>
      <w:r w:rsidR="001A1F90">
        <w:t xml:space="preserve"> </w:t>
      </w:r>
      <w:r>
        <w:t>these</w:t>
      </w:r>
      <w:r w:rsidR="001A1F90">
        <w:t xml:space="preserve"> </w:t>
      </w:r>
      <w:r>
        <w:t>considerations</w:t>
      </w:r>
      <w:r w:rsidR="001A1F90">
        <w:t xml:space="preserve"> </w:t>
      </w:r>
      <w:r>
        <w:t>from</w:t>
      </w:r>
      <w:r w:rsidR="001A1F90">
        <w:t xml:space="preserve"> </w:t>
      </w:r>
      <w:r>
        <w:t>a</w:t>
      </w:r>
      <w:r w:rsidR="001A1F90">
        <w:t xml:space="preserve"> </w:t>
      </w:r>
      <w:r>
        <w:t>human</w:t>
      </w:r>
      <w:r w:rsidR="001A1F90">
        <w:t xml:space="preserve"> </w:t>
      </w:r>
      <w:r>
        <w:t>rights</w:t>
      </w:r>
      <w:r w:rsidR="001A1F90">
        <w:t xml:space="preserve"> </w:t>
      </w:r>
      <w:r>
        <w:t>perspective.</w:t>
      </w:r>
    </w:p>
    <w:p w14:paraId="7D27F182" w14:textId="25D08A3B" w:rsidR="004946F1" w:rsidRDefault="004946F1" w:rsidP="00BD612C">
      <w:pPr>
        <w:pStyle w:val="DHHSbody"/>
      </w:pPr>
      <w:r>
        <w:t>Authors</w:t>
      </w:r>
      <w:r w:rsidR="001A1F90">
        <w:t xml:space="preserve"> </w:t>
      </w:r>
      <w:r>
        <w:t>have</w:t>
      </w:r>
      <w:r w:rsidR="001A1F90">
        <w:t xml:space="preserve"> </w:t>
      </w:r>
      <w:r>
        <w:t>noted</w:t>
      </w:r>
      <w:r w:rsidR="001A1F90">
        <w:t xml:space="preserve"> </w:t>
      </w:r>
      <w:r>
        <w:t>the</w:t>
      </w:r>
      <w:r w:rsidR="001A1F90">
        <w:t xml:space="preserve"> </w:t>
      </w:r>
      <w:r>
        <w:t>additional</w:t>
      </w:r>
      <w:r w:rsidR="001A1F90">
        <w:t xml:space="preserve"> </w:t>
      </w:r>
      <w:r>
        <w:t>concern</w:t>
      </w:r>
      <w:r w:rsidR="001A1F90">
        <w:t xml:space="preserve"> </w:t>
      </w:r>
      <w:r>
        <w:t>that</w:t>
      </w:r>
      <w:r w:rsidR="001A1F90">
        <w:t xml:space="preserve"> </w:t>
      </w:r>
      <w:r>
        <w:t>should</w:t>
      </w:r>
      <w:r w:rsidR="001A1F90">
        <w:t xml:space="preserve"> </w:t>
      </w:r>
      <w:r>
        <w:t>be</w:t>
      </w:r>
      <w:r w:rsidR="001A1F90">
        <w:t xml:space="preserve"> </w:t>
      </w:r>
      <w:r>
        <w:t>raised</w:t>
      </w:r>
      <w:r w:rsidR="001A1F90">
        <w:t xml:space="preserve"> </w:t>
      </w:r>
      <w:r>
        <w:t>with</w:t>
      </w:r>
      <w:r w:rsidR="001A1F90">
        <w:t xml:space="preserve"> </w:t>
      </w:r>
      <w:r>
        <w:t>respect</w:t>
      </w:r>
      <w:r w:rsidR="001A1F90">
        <w:t xml:space="preserve"> </w:t>
      </w:r>
      <w:r>
        <w:t>to</w:t>
      </w:r>
      <w:r w:rsidR="001A1F90">
        <w:t xml:space="preserve"> </w:t>
      </w:r>
      <w:r>
        <w:t>the</w:t>
      </w:r>
      <w:r w:rsidR="001A1F90">
        <w:t xml:space="preserve"> </w:t>
      </w:r>
      <w:r>
        <w:t>side</w:t>
      </w:r>
      <w:r w:rsidR="005266B8">
        <w:t>-</w:t>
      </w:r>
      <w:r>
        <w:t>effect</w:t>
      </w:r>
      <w:r w:rsidR="001A1F90">
        <w:t xml:space="preserve"> </w:t>
      </w:r>
      <w:r>
        <w:t>profiles</w:t>
      </w:r>
      <w:r w:rsidR="001A1F90">
        <w:t xml:space="preserve"> </w:t>
      </w:r>
      <w:r>
        <w:t>of</w:t>
      </w:r>
      <w:r w:rsidR="001A1F90">
        <w:t xml:space="preserve"> </w:t>
      </w:r>
      <w:r>
        <w:t>these</w:t>
      </w:r>
      <w:r w:rsidR="001A1F90">
        <w:t xml:space="preserve"> </w:t>
      </w:r>
      <w:r>
        <w:t>medications</w:t>
      </w:r>
      <w:r w:rsidR="001A1F90">
        <w:t xml:space="preserve"> </w:t>
      </w:r>
      <w:r>
        <w:t>when</w:t>
      </w:r>
      <w:r w:rsidR="001A1F90">
        <w:t xml:space="preserve"> </w:t>
      </w:r>
      <w:r>
        <w:t>people</w:t>
      </w:r>
      <w:r w:rsidR="001A1F90">
        <w:t xml:space="preserve"> </w:t>
      </w:r>
      <w:r>
        <w:t>present</w:t>
      </w:r>
      <w:r w:rsidR="001A1F90">
        <w:t xml:space="preserve"> </w:t>
      </w:r>
      <w:r>
        <w:t>with</w:t>
      </w:r>
      <w:r w:rsidR="001A1F90">
        <w:t xml:space="preserve"> </w:t>
      </w:r>
      <w:r>
        <w:t>intellectual</w:t>
      </w:r>
      <w:r w:rsidR="001A1F90">
        <w:t xml:space="preserve"> </w:t>
      </w:r>
      <w:r>
        <w:t>disability.</w:t>
      </w:r>
      <w:r w:rsidR="001A1F90">
        <w:t xml:space="preserve"> </w:t>
      </w:r>
      <w:r>
        <w:t>As</w:t>
      </w:r>
      <w:r w:rsidR="001A1F90">
        <w:t xml:space="preserve"> </w:t>
      </w:r>
      <w:r>
        <w:t>a</w:t>
      </w:r>
      <w:r w:rsidR="001A1F90">
        <w:t xml:space="preserve"> </w:t>
      </w:r>
      <w:r>
        <w:t>group,</w:t>
      </w:r>
      <w:r w:rsidR="001A1F90">
        <w:t xml:space="preserve"> </w:t>
      </w:r>
      <w:r>
        <w:t>people</w:t>
      </w:r>
      <w:r w:rsidR="001A1F90">
        <w:t xml:space="preserve"> </w:t>
      </w:r>
      <w:r>
        <w:t>with</w:t>
      </w:r>
      <w:r w:rsidR="001A1F90">
        <w:t xml:space="preserve"> </w:t>
      </w:r>
      <w:r>
        <w:t>intellectual</w:t>
      </w:r>
      <w:r w:rsidR="001A1F90">
        <w:t xml:space="preserve"> </w:t>
      </w:r>
      <w:r>
        <w:t>disability</w:t>
      </w:r>
      <w:r w:rsidR="001A1F90">
        <w:t xml:space="preserve"> </w:t>
      </w:r>
      <w:r>
        <w:t>are</w:t>
      </w:r>
      <w:r w:rsidR="001A1F90">
        <w:t xml:space="preserve"> </w:t>
      </w:r>
      <w:r>
        <w:t>at</w:t>
      </w:r>
      <w:r w:rsidR="001A1F90">
        <w:t xml:space="preserve"> </w:t>
      </w:r>
      <w:r>
        <w:t>far</w:t>
      </w:r>
      <w:r w:rsidR="001A1F90">
        <w:t xml:space="preserve"> </w:t>
      </w:r>
      <w:r>
        <w:t>greater</w:t>
      </w:r>
      <w:r w:rsidR="001A1F90">
        <w:t xml:space="preserve"> </w:t>
      </w:r>
      <w:r>
        <w:t>risk</w:t>
      </w:r>
      <w:r w:rsidR="001A1F90">
        <w:t xml:space="preserve"> </w:t>
      </w:r>
      <w:r>
        <w:t>than</w:t>
      </w:r>
      <w:r w:rsidR="001A1F90">
        <w:t xml:space="preserve"> </w:t>
      </w:r>
      <w:r>
        <w:t>the</w:t>
      </w:r>
      <w:r w:rsidR="001A1F90">
        <w:t xml:space="preserve"> </w:t>
      </w:r>
      <w:r>
        <w:t>general</w:t>
      </w:r>
      <w:r w:rsidR="001A1F90">
        <w:t xml:space="preserve"> </w:t>
      </w:r>
      <w:r>
        <w:t>population</w:t>
      </w:r>
      <w:r w:rsidR="001A1F90">
        <w:t xml:space="preserve"> </w:t>
      </w:r>
      <w:r>
        <w:t>for</w:t>
      </w:r>
      <w:r w:rsidR="001A1F90">
        <w:t xml:space="preserve"> </w:t>
      </w:r>
      <w:r>
        <w:t>suffering</w:t>
      </w:r>
      <w:r w:rsidR="001A1F90">
        <w:t xml:space="preserve"> </w:t>
      </w:r>
      <w:r>
        <w:t>from</w:t>
      </w:r>
      <w:r w:rsidR="001A1F90">
        <w:t xml:space="preserve"> </w:t>
      </w:r>
      <w:r>
        <w:t>a</w:t>
      </w:r>
      <w:r w:rsidR="001A1F90">
        <w:t xml:space="preserve"> </w:t>
      </w:r>
      <w:r>
        <w:t>wide</w:t>
      </w:r>
      <w:r w:rsidR="001A1F90">
        <w:t xml:space="preserve"> </w:t>
      </w:r>
      <w:r>
        <w:t>range</w:t>
      </w:r>
      <w:r w:rsidR="001A1F90">
        <w:t xml:space="preserve"> </w:t>
      </w:r>
      <w:r>
        <w:t>of</w:t>
      </w:r>
      <w:r w:rsidR="001A1F90">
        <w:t xml:space="preserve"> </w:t>
      </w:r>
      <w:r>
        <w:t>health-related</w:t>
      </w:r>
      <w:r w:rsidR="001A1F90">
        <w:t xml:space="preserve"> </w:t>
      </w:r>
      <w:r>
        <w:t>disorders</w:t>
      </w:r>
      <w:r w:rsidR="001A1F90">
        <w:t xml:space="preserve"> </w:t>
      </w:r>
      <w:r>
        <w:t>across</w:t>
      </w:r>
      <w:r w:rsidR="001A1F90">
        <w:t xml:space="preserve"> </w:t>
      </w:r>
      <w:r>
        <w:t>the</w:t>
      </w:r>
      <w:r w:rsidR="001A1F90">
        <w:t xml:space="preserve"> </w:t>
      </w:r>
      <w:r>
        <w:t>lifespan</w:t>
      </w:r>
      <w:r w:rsidR="001A1F90">
        <w:t xml:space="preserve"> </w:t>
      </w:r>
      <w:r>
        <w:t>(and</w:t>
      </w:r>
      <w:r w:rsidR="001A1F90">
        <w:t xml:space="preserve"> </w:t>
      </w:r>
      <w:r>
        <w:t>especially</w:t>
      </w:r>
      <w:r w:rsidR="001A1F90">
        <w:t xml:space="preserve"> </w:t>
      </w:r>
      <w:r>
        <w:t>with</w:t>
      </w:r>
      <w:r w:rsidR="001A1F90">
        <w:t xml:space="preserve"> </w:t>
      </w:r>
      <w:r>
        <w:t>advancing</w:t>
      </w:r>
      <w:r w:rsidR="001A1F90">
        <w:t xml:space="preserve"> </w:t>
      </w:r>
      <w:r>
        <w:t>age)</w:t>
      </w:r>
      <w:r w:rsidR="001A1F90">
        <w:t xml:space="preserve"> </w:t>
      </w:r>
      <w:r>
        <w:t>including</w:t>
      </w:r>
      <w:r w:rsidR="001A1F90">
        <w:t xml:space="preserve"> </w:t>
      </w:r>
      <w:r>
        <w:t>seizures,</w:t>
      </w:r>
      <w:r w:rsidR="001A1F90">
        <w:t xml:space="preserve"> </w:t>
      </w:r>
      <w:r>
        <w:t>mobility</w:t>
      </w:r>
      <w:r w:rsidR="001A1F90">
        <w:t xml:space="preserve"> </w:t>
      </w:r>
      <w:r>
        <w:t>impairment</w:t>
      </w:r>
      <w:r w:rsidR="001A1F90">
        <w:t xml:space="preserve"> </w:t>
      </w:r>
      <w:r>
        <w:t>and</w:t>
      </w:r>
      <w:r w:rsidR="001A1F90">
        <w:t xml:space="preserve"> </w:t>
      </w:r>
      <w:r>
        <w:t>neurological</w:t>
      </w:r>
      <w:r w:rsidR="001A1F90">
        <w:t xml:space="preserve"> </w:t>
      </w:r>
      <w:r>
        <w:t>anomalies</w:t>
      </w:r>
      <w:r w:rsidR="001A1F90">
        <w:t xml:space="preserve"> </w:t>
      </w:r>
      <w:r>
        <w:t>(Janicki</w:t>
      </w:r>
      <w:r w:rsidR="001A1F90">
        <w:t xml:space="preserve"> </w:t>
      </w:r>
      <w:r>
        <w:t>et</w:t>
      </w:r>
      <w:r w:rsidR="001A1F90">
        <w:t xml:space="preserve"> </w:t>
      </w:r>
      <w:r>
        <w:t>al.</w:t>
      </w:r>
      <w:r w:rsidR="001A1F90">
        <w:t xml:space="preserve"> </w:t>
      </w:r>
      <w:r>
        <w:t>2002).</w:t>
      </w:r>
      <w:r w:rsidR="001A1F90">
        <w:t xml:space="preserve"> </w:t>
      </w:r>
      <w:r>
        <w:t>The</w:t>
      </w:r>
      <w:r w:rsidR="001A1F90">
        <w:t xml:space="preserve"> </w:t>
      </w:r>
      <w:r>
        <w:t>potentially</w:t>
      </w:r>
      <w:r w:rsidR="001A1F90">
        <w:t xml:space="preserve"> </w:t>
      </w:r>
      <w:r>
        <w:t>greater</w:t>
      </w:r>
      <w:r w:rsidR="001A1F90">
        <w:t xml:space="preserve"> </w:t>
      </w:r>
      <w:r>
        <w:t>impact</w:t>
      </w:r>
      <w:r w:rsidR="001A1F90">
        <w:t xml:space="preserve"> </w:t>
      </w:r>
      <w:r>
        <w:t>on</w:t>
      </w:r>
      <w:r w:rsidR="001A1F90">
        <w:t xml:space="preserve"> </w:t>
      </w:r>
      <w:r>
        <w:t>their</w:t>
      </w:r>
      <w:r w:rsidR="001A1F90">
        <w:t xml:space="preserve"> </w:t>
      </w:r>
      <w:r>
        <w:t>health</w:t>
      </w:r>
      <w:r w:rsidR="001A1F90">
        <w:t xml:space="preserve"> </w:t>
      </w:r>
      <w:r>
        <w:t>associated</w:t>
      </w:r>
      <w:r w:rsidR="001A1F90">
        <w:t xml:space="preserve"> </w:t>
      </w:r>
      <w:r>
        <w:t>with</w:t>
      </w:r>
      <w:r w:rsidR="001A1F90">
        <w:t xml:space="preserve"> </w:t>
      </w:r>
      <w:r>
        <w:t>taking</w:t>
      </w:r>
      <w:r w:rsidR="001A1F90">
        <w:t xml:space="preserve"> </w:t>
      </w:r>
      <w:r>
        <w:t>anti-libidinal</w:t>
      </w:r>
      <w:r w:rsidR="001A1F90">
        <w:t xml:space="preserve"> </w:t>
      </w:r>
      <w:r>
        <w:t>medications,</w:t>
      </w:r>
      <w:r w:rsidR="001A1F90">
        <w:t xml:space="preserve"> </w:t>
      </w:r>
      <w:r>
        <w:t>especially</w:t>
      </w:r>
      <w:r w:rsidR="001A1F90">
        <w:t xml:space="preserve"> </w:t>
      </w:r>
      <w:r>
        <w:t>for</w:t>
      </w:r>
      <w:r w:rsidR="001A1F90">
        <w:t xml:space="preserve"> </w:t>
      </w:r>
      <w:r>
        <w:t>longer</w:t>
      </w:r>
      <w:r w:rsidR="001A1F90">
        <w:t xml:space="preserve"> </w:t>
      </w:r>
      <w:r>
        <w:t>periods</w:t>
      </w:r>
      <w:r w:rsidR="001A1F90">
        <w:t xml:space="preserve"> </w:t>
      </w:r>
      <w:r>
        <w:t>of</w:t>
      </w:r>
      <w:r w:rsidR="001A1F90">
        <w:t xml:space="preserve"> </w:t>
      </w:r>
      <w:r>
        <w:t>time,</w:t>
      </w:r>
      <w:r w:rsidR="001A1F90">
        <w:t xml:space="preserve"> </w:t>
      </w:r>
      <w:r>
        <w:t>is</w:t>
      </w:r>
      <w:r w:rsidR="001A1F90">
        <w:t xml:space="preserve"> </w:t>
      </w:r>
      <w:r>
        <w:t>therefore</w:t>
      </w:r>
      <w:r w:rsidR="001A1F90">
        <w:t xml:space="preserve"> </w:t>
      </w:r>
      <w:r>
        <w:t>particularly</w:t>
      </w:r>
      <w:r w:rsidR="001A1F90">
        <w:t xml:space="preserve"> </w:t>
      </w:r>
      <w:r>
        <w:t>problematic</w:t>
      </w:r>
      <w:r w:rsidR="001A1F90">
        <w:t xml:space="preserve"> </w:t>
      </w:r>
      <w:r w:rsidR="00A978D3">
        <w:t xml:space="preserve">because </w:t>
      </w:r>
      <w:r>
        <w:t>there</w:t>
      </w:r>
      <w:r w:rsidR="001A1F90">
        <w:t xml:space="preserve"> </w:t>
      </w:r>
      <w:r>
        <w:t>remains</w:t>
      </w:r>
      <w:r w:rsidR="001A1F90">
        <w:t xml:space="preserve"> </w:t>
      </w:r>
      <w:r>
        <w:t>a</w:t>
      </w:r>
      <w:r w:rsidR="001A1F90">
        <w:t xml:space="preserve"> </w:t>
      </w:r>
      <w:r>
        <w:t>poor</w:t>
      </w:r>
      <w:r w:rsidR="001A1F90">
        <w:t xml:space="preserve"> </w:t>
      </w:r>
      <w:r>
        <w:t>understanding</w:t>
      </w:r>
      <w:r w:rsidR="001A1F90">
        <w:t xml:space="preserve"> </w:t>
      </w:r>
      <w:r>
        <w:t>of</w:t>
      </w:r>
      <w:r w:rsidR="001A1F90">
        <w:t xml:space="preserve"> </w:t>
      </w:r>
      <w:r>
        <w:t>the</w:t>
      </w:r>
      <w:r w:rsidR="001A1F90">
        <w:t xml:space="preserve"> </w:t>
      </w:r>
      <w:r>
        <w:t>long-term</w:t>
      </w:r>
      <w:r w:rsidR="001A1F90">
        <w:t xml:space="preserve"> </w:t>
      </w:r>
      <w:r>
        <w:t>consequences</w:t>
      </w:r>
      <w:r w:rsidR="001A1F90">
        <w:t xml:space="preserve"> </w:t>
      </w:r>
      <w:r>
        <w:t>of</w:t>
      </w:r>
      <w:r w:rsidR="001A1F90">
        <w:t xml:space="preserve"> </w:t>
      </w:r>
      <w:r>
        <w:t>taking</w:t>
      </w:r>
      <w:r w:rsidR="001A1F90">
        <w:t xml:space="preserve"> </w:t>
      </w:r>
      <w:r>
        <w:t>these</w:t>
      </w:r>
      <w:r w:rsidR="001A1F90">
        <w:t xml:space="preserve"> </w:t>
      </w:r>
      <w:r>
        <w:t>medications</w:t>
      </w:r>
      <w:r w:rsidR="001A1F90">
        <w:t xml:space="preserve"> </w:t>
      </w:r>
      <w:r>
        <w:t>(Grossman,</w:t>
      </w:r>
      <w:r w:rsidR="001A1F90">
        <w:t xml:space="preserve"> </w:t>
      </w:r>
      <w:r>
        <w:t>Martis</w:t>
      </w:r>
      <w:r w:rsidR="001A1F90">
        <w:t xml:space="preserve"> </w:t>
      </w:r>
      <w:r>
        <w:t>&amp;</w:t>
      </w:r>
      <w:r w:rsidR="001A1F90">
        <w:t xml:space="preserve"> </w:t>
      </w:r>
      <w:r>
        <w:t>Fichtner</w:t>
      </w:r>
      <w:r w:rsidR="001A1F90">
        <w:t xml:space="preserve"> </w:t>
      </w:r>
      <w:r>
        <w:t>1999).</w:t>
      </w:r>
      <w:r w:rsidR="001A1F90">
        <w:t xml:space="preserve"> </w:t>
      </w:r>
      <w:r>
        <w:t>A</w:t>
      </w:r>
      <w:r w:rsidR="001A1F90">
        <w:t xml:space="preserve"> </w:t>
      </w:r>
      <w:r>
        <w:t>further,</w:t>
      </w:r>
      <w:r w:rsidR="001A1F90">
        <w:t xml:space="preserve"> </w:t>
      </w:r>
      <w:r>
        <w:t>oft</w:t>
      </w:r>
      <w:r w:rsidR="00A978D3">
        <w:t>en</w:t>
      </w:r>
      <w:r w:rsidR="001A1F90">
        <w:t xml:space="preserve"> </w:t>
      </w:r>
      <w:r>
        <w:t>quoted,</w:t>
      </w:r>
      <w:r w:rsidR="001A1F90">
        <w:t xml:space="preserve"> </w:t>
      </w:r>
      <w:r>
        <w:t>complication</w:t>
      </w:r>
      <w:r w:rsidR="001A1F90">
        <w:t xml:space="preserve"> </w:t>
      </w:r>
      <w:r>
        <w:t>relates</w:t>
      </w:r>
      <w:r w:rsidR="001A1F90">
        <w:t xml:space="preserve"> </w:t>
      </w:r>
      <w:r>
        <w:t>to</w:t>
      </w:r>
      <w:r w:rsidR="001A1F90">
        <w:t xml:space="preserve"> </w:t>
      </w:r>
      <w:r>
        <w:t>the</w:t>
      </w:r>
      <w:r w:rsidR="001A1F90">
        <w:t xml:space="preserve"> </w:t>
      </w:r>
      <w:r>
        <w:t>timely</w:t>
      </w:r>
      <w:r w:rsidR="001A1F90">
        <w:t xml:space="preserve"> </w:t>
      </w:r>
      <w:r>
        <w:t>identification</w:t>
      </w:r>
      <w:r w:rsidR="001A1F90">
        <w:t xml:space="preserve"> </w:t>
      </w:r>
      <w:r>
        <w:t>of</w:t>
      </w:r>
      <w:r w:rsidR="001A1F90">
        <w:t xml:space="preserve"> </w:t>
      </w:r>
      <w:r>
        <w:t>side</w:t>
      </w:r>
      <w:r w:rsidR="001A1F90">
        <w:t xml:space="preserve"> </w:t>
      </w:r>
      <w:r>
        <w:t>effects</w:t>
      </w:r>
      <w:r w:rsidR="001A1F90">
        <w:t xml:space="preserve"> </w:t>
      </w:r>
      <w:r>
        <w:t>that</w:t>
      </w:r>
      <w:r w:rsidR="001A1F90">
        <w:t xml:space="preserve"> </w:t>
      </w:r>
      <w:r>
        <w:t>do</w:t>
      </w:r>
      <w:r w:rsidR="001A1F90">
        <w:t xml:space="preserve"> </w:t>
      </w:r>
      <w:r>
        <w:t>arise,</w:t>
      </w:r>
      <w:r w:rsidR="001A1F90">
        <w:t xml:space="preserve"> </w:t>
      </w:r>
      <w:r>
        <w:t>especially</w:t>
      </w:r>
      <w:r w:rsidR="001A1F90">
        <w:t xml:space="preserve"> </w:t>
      </w:r>
      <w:r>
        <w:t>those</w:t>
      </w:r>
      <w:r w:rsidR="001A1F90">
        <w:t xml:space="preserve"> </w:t>
      </w:r>
      <w:r w:rsidR="00A978D3">
        <w:t xml:space="preserve">that </w:t>
      </w:r>
      <w:r>
        <w:t>don</w:t>
      </w:r>
      <w:r w:rsidR="00A978D3">
        <w:t>’</w:t>
      </w:r>
      <w:r>
        <w:t>t</w:t>
      </w:r>
      <w:r w:rsidR="001A1F90">
        <w:t xml:space="preserve"> </w:t>
      </w:r>
      <w:r>
        <w:t>manifest</w:t>
      </w:r>
      <w:r w:rsidR="001A1F90">
        <w:t xml:space="preserve"> </w:t>
      </w:r>
      <w:r>
        <w:t>in</w:t>
      </w:r>
      <w:r w:rsidR="001A1F90">
        <w:t xml:space="preserve"> </w:t>
      </w:r>
      <w:r>
        <w:t>an</w:t>
      </w:r>
      <w:r w:rsidR="001A1F90">
        <w:t xml:space="preserve"> </w:t>
      </w:r>
      <w:r>
        <w:t>externally</w:t>
      </w:r>
      <w:r w:rsidR="001A1F90">
        <w:t xml:space="preserve"> </w:t>
      </w:r>
      <w:r>
        <w:t>visible</w:t>
      </w:r>
      <w:r w:rsidR="001A1F90">
        <w:t xml:space="preserve"> </w:t>
      </w:r>
      <w:r>
        <w:t>or</w:t>
      </w:r>
      <w:r w:rsidR="001A1F90">
        <w:t xml:space="preserve"> </w:t>
      </w:r>
      <w:r>
        <w:t>physiologically</w:t>
      </w:r>
      <w:r w:rsidR="001A1F90">
        <w:t xml:space="preserve"> </w:t>
      </w:r>
      <w:r>
        <w:t>measurable</w:t>
      </w:r>
      <w:r w:rsidR="001A1F90">
        <w:t xml:space="preserve"> </w:t>
      </w:r>
      <w:r>
        <w:t>way,</w:t>
      </w:r>
      <w:r w:rsidR="001A1F90">
        <w:t xml:space="preserve"> </w:t>
      </w:r>
      <w:r>
        <w:t>as</w:t>
      </w:r>
      <w:r w:rsidR="001A1F90">
        <w:t xml:space="preserve"> </w:t>
      </w:r>
      <w:r>
        <w:t>many</w:t>
      </w:r>
      <w:r w:rsidR="001A1F90">
        <w:t xml:space="preserve"> </w:t>
      </w:r>
      <w:r>
        <w:t>people</w:t>
      </w:r>
      <w:r w:rsidR="001A1F90">
        <w:t xml:space="preserve"> </w:t>
      </w:r>
      <w:r>
        <w:t>with</w:t>
      </w:r>
      <w:r w:rsidR="001A1F90">
        <w:t xml:space="preserve"> </w:t>
      </w:r>
      <w:r>
        <w:t>intellectual</w:t>
      </w:r>
      <w:r w:rsidR="001A1F90">
        <w:t xml:space="preserve"> </w:t>
      </w:r>
      <w:r>
        <w:t>disability</w:t>
      </w:r>
      <w:r w:rsidR="001A1F90">
        <w:t xml:space="preserve"> </w:t>
      </w:r>
      <w:r>
        <w:t>may</w:t>
      </w:r>
      <w:r w:rsidR="001A1F90">
        <w:t xml:space="preserve"> </w:t>
      </w:r>
      <w:r>
        <w:t>not</w:t>
      </w:r>
      <w:r w:rsidR="001A1F90">
        <w:t xml:space="preserve"> </w:t>
      </w:r>
      <w:r>
        <w:t>be</w:t>
      </w:r>
      <w:r w:rsidR="001A1F90">
        <w:t xml:space="preserve"> </w:t>
      </w:r>
      <w:r>
        <w:t>able</w:t>
      </w:r>
      <w:r w:rsidR="001A1F90">
        <w:t xml:space="preserve"> </w:t>
      </w:r>
      <w:r>
        <w:t>to</w:t>
      </w:r>
      <w:r w:rsidR="001A1F90">
        <w:t xml:space="preserve"> </w:t>
      </w:r>
      <w:r>
        <w:t>understand</w:t>
      </w:r>
      <w:r w:rsidR="001A1F90">
        <w:t xml:space="preserve"> </w:t>
      </w:r>
      <w:r>
        <w:t>what</w:t>
      </w:r>
      <w:r w:rsidR="001A1F90">
        <w:t xml:space="preserve"> </w:t>
      </w:r>
      <w:r>
        <w:t>they</w:t>
      </w:r>
      <w:r w:rsidR="001A1F90">
        <w:t xml:space="preserve"> </w:t>
      </w:r>
      <w:r>
        <w:t>are</w:t>
      </w:r>
      <w:r w:rsidR="001A1F90">
        <w:t xml:space="preserve"> </w:t>
      </w:r>
      <w:r>
        <w:t>experiencing</w:t>
      </w:r>
      <w:r w:rsidR="001A1F90">
        <w:t xml:space="preserve"> </w:t>
      </w:r>
      <w:r>
        <w:t>and/or</w:t>
      </w:r>
      <w:r w:rsidR="001A1F90">
        <w:t xml:space="preserve"> </w:t>
      </w:r>
      <w:r>
        <w:t>be</w:t>
      </w:r>
      <w:r w:rsidR="001A1F90">
        <w:t xml:space="preserve"> </w:t>
      </w:r>
      <w:r>
        <w:t>able</w:t>
      </w:r>
      <w:r w:rsidR="001A1F90">
        <w:t xml:space="preserve"> </w:t>
      </w:r>
      <w:r>
        <w:t>to</w:t>
      </w:r>
      <w:r w:rsidR="001A1F90">
        <w:t xml:space="preserve"> </w:t>
      </w:r>
      <w:r>
        <w:t>report</w:t>
      </w:r>
      <w:r w:rsidR="001A1F90">
        <w:t xml:space="preserve"> </w:t>
      </w:r>
      <w:r>
        <w:t>their</w:t>
      </w:r>
      <w:r w:rsidR="001A1F90">
        <w:t xml:space="preserve"> </w:t>
      </w:r>
      <w:r>
        <w:t>occurrence</w:t>
      </w:r>
      <w:r w:rsidR="001A1F90">
        <w:t xml:space="preserve"> </w:t>
      </w:r>
      <w:r>
        <w:t>to</w:t>
      </w:r>
      <w:r w:rsidR="001A1F90">
        <w:t xml:space="preserve"> </w:t>
      </w:r>
      <w:r>
        <w:t>their</w:t>
      </w:r>
      <w:r w:rsidR="001A1F90">
        <w:t xml:space="preserve"> </w:t>
      </w:r>
      <w:r>
        <w:t>clinician,</w:t>
      </w:r>
      <w:r w:rsidR="001A1F90">
        <w:t xml:space="preserve"> </w:t>
      </w:r>
      <w:r>
        <w:t>support</w:t>
      </w:r>
      <w:r w:rsidR="001A1F90">
        <w:t xml:space="preserve"> </w:t>
      </w:r>
      <w:r>
        <w:t>workers</w:t>
      </w:r>
      <w:r w:rsidR="001A1F90">
        <w:t xml:space="preserve"> </w:t>
      </w:r>
      <w:r>
        <w:t>or</w:t>
      </w:r>
      <w:r w:rsidR="001A1F90">
        <w:t xml:space="preserve"> </w:t>
      </w:r>
      <w:r>
        <w:t>carer</w:t>
      </w:r>
      <w:r w:rsidR="001A1F90">
        <w:t xml:space="preserve"> </w:t>
      </w:r>
      <w:r>
        <w:t>due</w:t>
      </w:r>
      <w:r w:rsidR="001A1F90">
        <w:t xml:space="preserve"> </w:t>
      </w:r>
      <w:r>
        <w:t>to</w:t>
      </w:r>
      <w:r w:rsidR="001A1F90">
        <w:t xml:space="preserve"> </w:t>
      </w:r>
      <w:r>
        <w:t>specific</w:t>
      </w:r>
      <w:r w:rsidR="001A1F90">
        <w:t xml:space="preserve"> </w:t>
      </w:r>
      <w:r>
        <w:t>communication</w:t>
      </w:r>
      <w:r w:rsidR="001A1F90">
        <w:t xml:space="preserve"> </w:t>
      </w:r>
      <w:r>
        <w:t>impairments</w:t>
      </w:r>
      <w:r w:rsidR="001A1F90">
        <w:t xml:space="preserve"> </w:t>
      </w:r>
      <w:r>
        <w:t>(</w:t>
      </w:r>
      <w:r w:rsidR="00A978D3">
        <w:t xml:space="preserve">see, </w:t>
      </w:r>
      <w:r w:rsidR="00F550F1">
        <w:t>for example</w:t>
      </w:r>
      <w:r>
        <w:t>,</w:t>
      </w:r>
      <w:r w:rsidR="001A1F90">
        <w:t xml:space="preserve"> </w:t>
      </w:r>
      <w:r>
        <w:t>King</w:t>
      </w:r>
      <w:r w:rsidR="001A1F90">
        <w:t xml:space="preserve"> </w:t>
      </w:r>
      <w:r>
        <w:t>2007).</w:t>
      </w:r>
      <w:r w:rsidR="001A1F90">
        <w:t xml:space="preserve"> </w:t>
      </w:r>
      <w:r>
        <w:t>Indeed,</w:t>
      </w:r>
      <w:r w:rsidR="001A1F90">
        <w:t xml:space="preserve"> </w:t>
      </w:r>
      <w:r>
        <w:t>their</w:t>
      </w:r>
      <w:r w:rsidR="001A1F90">
        <w:t xml:space="preserve"> </w:t>
      </w:r>
      <w:r>
        <w:t>attempts</w:t>
      </w:r>
      <w:r w:rsidR="001A1F90">
        <w:t xml:space="preserve"> </w:t>
      </w:r>
      <w:r>
        <w:t>to</w:t>
      </w:r>
      <w:r w:rsidR="001A1F90">
        <w:t xml:space="preserve"> </w:t>
      </w:r>
      <w:r>
        <w:t>otherwise</w:t>
      </w:r>
      <w:r w:rsidR="001A1F90">
        <w:t xml:space="preserve"> </w:t>
      </w:r>
      <w:r>
        <w:t>express</w:t>
      </w:r>
      <w:r w:rsidR="001A1F90">
        <w:t xml:space="preserve"> </w:t>
      </w:r>
      <w:r>
        <w:t>their</w:t>
      </w:r>
      <w:r w:rsidR="001A1F90">
        <w:t xml:space="preserve"> </w:t>
      </w:r>
      <w:r>
        <w:t>experience</w:t>
      </w:r>
      <w:r w:rsidR="001A1F90">
        <w:t xml:space="preserve"> </w:t>
      </w:r>
      <w:r>
        <w:t>of</w:t>
      </w:r>
      <w:r w:rsidR="001A1F90">
        <w:t xml:space="preserve"> </w:t>
      </w:r>
      <w:r>
        <w:t>unpleasant</w:t>
      </w:r>
      <w:r w:rsidR="001A1F90">
        <w:t xml:space="preserve"> </w:t>
      </w:r>
      <w:r>
        <w:t>side</w:t>
      </w:r>
      <w:r w:rsidR="001A1F90">
        <w:t xml:space="preserve"> </w:t>
      </w:r>
      <w:r>
        <w:t>effects</w:t>
      </w:r>
      <w:r w:rsidR="001A1F90">
        <w:t xml:space="preserve"> </w:t>
      </w:r>
      <w:r>
        <w:t>can</w:t>
      </w:r>
      <w:r w:rsidR="001A1F90">
        <w:t xml:space="preserve"> </w:t>
      </w:r>
      <w:r>
        <w:t>often</w:t>
      </w:r>
      <w:r w:rsidR="001A1F90">
        <w:t xml:space="preserve"> </w:t>
      </w:r>
      <w:r>
        <w:t>be</w:t>
      </w:r>
      <w:r w:rsidR="001A1F90">
        <w:t xml:space="preserve"> </w:t>
      </w:r>
      <w:r>
        <w:t>misinterpreted</w:t>
      </w:r>
      <w:r w:rsidR="001A1F90">
        <w:t xml:space="preserve"> </w:t>
      </w:r>
      <w:r>
        <w:t>as</w:t>
      </w:r>
      <w:r w:rsidR="001A1F90">
        <w:t xml:space="preserve"> </w:t>
      </w:r>
      <w:r>
        <w:t>challenging</w:t>
      </w:r>
      <w:r w:rsidR="001A1F90">
        <w:t xml:space="preserve"> </w:t>
      </w:r>
      <w:r>
        <w:t>behaviour</w:t>
      </w:r>
      <w:r w:rsidR="001A1F90">
        <w:t xml:space="preserve"> </w:t>
      </w:r>
      <w:r>
        <w:t>(Carlson,</w:t>
      </w:r>
      <w:r w:rsidR="001A1F90">
        <w:t xml:space="preserve"> </w:t>
      </w:r>
      <w:r>
        <w:t>Taylor</w:t>
      </w:r>
      <w:r w:rsidR="001A1F90">
        <w:t xml:space="preserve"> </w:t>
      </w:r>
      <w:r>
        <w:t>&amp;</w:t>
      </w:r>
      <w:r w:rsidR="001A1F90">
        <w:t xml:space="preserve"> </w:t>
      </w:r>
      <w:r>
        <w:t>Wilson</w:t>
      </w:r>
      <w:r w:rsidR="001A1F90">
        <w:t xml:space="preserve"> </w:t>
      </w:r>
      <w:r>
        <w:t>2000).</w:t>
      </w:r>
    </w:p>
    <w:p w14:paraId="0068F27B" w14:textId="1CDBB5EE" w:rsidR="004946F1" w:rsidRDefault="004946F1" w:rsidP="00BD612C">
      <w:pPr>
        <w:pStyle w:val="DHHSbody"/>
      </w:pPr>
      <w:r>
        <w:t>Taken</w:t>
      </w:r>
      <w:r w:rsidR="001A1F90">
        <w:t xml:space="preserve"> </w:t>
      </w:r>
      <w:r>
        <w:t>altogether,</w:t>
      </w:r>
      <w:r w:rsidR="001A1F90">
        <w:t xml:space="preserve"> </w:t>
      </w:r>
      <w:r>
        <w:t>these</w:t>
      </w:r>
      <w:r w:rsidR="001A1F90">
        <w:t xml:space="preserve"> </w:t>
      </w:r>
      <w:r>
        <w:t>issues</w:t>
      </w:r>
      <w:r w:rsidR="001A1F90">
        <w:t xml:space="preserve"> </w:t>
      </w:r>
      <w:r>
        <w:t>raise</w:t>
      </w:r>
      <w:r w:rsidR="001A1F90">
        <w:t xml:space="preserve"> </w:t>
      </w:r>
      <w:r>
        <w:t>significant</w:t>
      </w:r>
      <w:r w:rsidR="001A1F90">
        <w:t xml:space="preserve"> </w:t>
      </w:r>
      <w:r>
        <w:t>clinical</w:t>
      </w:r>
      <w:r w:rsidR="001A1F90">
        <w:t xml:space="preserve"> </w:t>
      </w:r>
      <w:r>
        <w:t>concern</w:t>
      </w:r>
      <w:r w:rsidR="001A1F90">
        <w:t xml:space="preserve"> </w:t>
      </w:r>
      <w:r>
        <w:t>about</w:t>
      </w:r>
      <w:r w:rsidR="001A1F90">
        <w:t xml:space="preserve"> </w:t>
      </w:r>
      <w:r>
        <w:t>the</w:t>
      </w:r>
      <w:r w:rsidR="001A1F90">
        <w:t xml:space="preserve"> </w:t>
      </w:r>
      <w:r>
        <w:t>appropriateness</w:t>
      </w:r>
      <w:r w:rsidR="001A1F90">
        <w:t xml:space="preserve"> </w:t>
      </w:r>
      <w:r>
        <w:t>of</w:t>
      </w:r>
      <w:r w:rsidR="001A1F90">
        <w:t xml:space="preserve"> </w:t>
      </w:r>
      <w:r>
        <w:t>prescribing</w:t>
      </w:r>
      <w:r w:rsidR="001A1F90">
        <w:t xml:space="preserve"> </w:t>
      </w:r>
      <w:r>
        <w:t>these</w:t>
      </w:r>
      <w:r w:rsidR="001A1F90">
        <w:t xml:space="preserve"> </w:t>
      </w:r>
      <w:r>
        <w:t>medications</w:t>
      </w:r>
      <w:r w:rsidR="001A1F90">
        <w:t xml:space="preserve"> </w:t>
      </w:r>
      <w:r>
        <w:t>to</w:t>
      </w:r>
      <w:r w:rsidR="001A1F90">
        <w:t xml:space="preserve"> </w:t>
      </w:r>
      <w:r>
        <w:t>people</w:t>
      </w:r>
      <w:r w:rsidR="001A1F90">
        <w:t xml:space="preserve"> </w:t>
      </w:r>
      <w:r>
        <w:t>with</w:t>
      </w:r>
      <w:r w:rsidR="001A1F90">
        <w:t xml:space="preserve"> </w:t>
      </w:r>
      <w:r>
        <w:t>intellectual</w:t>
      </w:r>
      <w:r w:rsidR="001A1F90">
        <w:t xml:space="preserve"> </w:t>
      </w:r>
      <w:r>
        <w:t>disability.</w:t>
      </w:r>
      <w:r w:rsidR="001A1F90">
        <w:t xml:space="preserve"> </w:t>
      </w:r>
      <w:r>
        <w:t>While</w:t>
      </w:r>
      <w:r w:rsidR="001A1F90">
        <w:t xml:space="preserve"> </w:t>
      </w:r>
      <w:r>
        <w:t>some</w:t>
      </w:r>
      <w:r w:rsidR="001A1F90">
        <w:t xml:space="preserve"> </w:t>
      </w:r>
      <w:r>
        <w:t>assert</w:t>
      </w:r>
      <w:r w:rsidR="001A1F90">
        <w:t xml:space="preserve"> </w:t>
      </w:r>
      <w:r>
        <w:t>that,</w:t>
      </w:r>
      <w:r w:rsidR="001A1F90">
        <w:t xml:space="preserve"> </w:t>
      </w:r>
      <w:r>
        <w:t>because</w:t>
      </w:r>
      <w:r w:rsidR="001A1F90">
        <w:t xml:space="preserve"> </w:t>
      </w:r>
      <w:r>
        <w:t>of</w:t>
      </w:r>
      <w:r w:rsidR="001A1F90">
        <w:t xml:space="preserve"> </w:t>
      </w:r>
      <w:r>
        <w:t>the</w:t>
      </w:r>
      <w:r w:rsidR="001A1F90">
        <w:t xml:space="preserve"> </w:t>
      </w:r>
      <w:r>
        <w:t>lack</w:t>
      </w:r>
      <w:r w:rsidR="001A1F90">
        <w:t xml:space="preserve"> </w:t>
      </w:r>
      <w:r>
        <w:t>of</w:t>
      </w:r>
      <w:r w:rsidR="001A1F90">
        <w:t xml:space="preserve"> </w:t>
      </w:r>
      <w:r>
        <w:t>evidence,</w:t>
      </w:r>
      <w:r w:rsidR="001A1F90">
        <w:t xml:space="preserve"> </w:t>
      </w:r>
      <w:r>
        <w:t>these</w:t>
      </w:r>
      <w:r w:rsidR="001A1F90">
        <w:t xml:space="preserve"> </w:t>
      </w:r>
      <w:r>
        <w:t>medications</w:t>
      </w:r>
      <w:r w:rsidR="001A1F90">
        <w:t xml:space="preserve"> </w:t>
      </w:r>
      <w:r>
        <w:t>should</w:t>
      </w:r>
      <w:r w:rsidR="001A1F90">
        <w:t xml:space="preserve"> </w:t>
      </w:r>
      <w:r>
        <w:t>not</w:t>
      </w:r>
      <w:r w:rsidR="001A1F90">
        <w:t xml:space="preserve"> </w:t>
      </w:r>
      <w:r>
        <w:t>be</w:t>
      </w:r>
      <w:r w:rsidR="001A1F90">
        <w:t xml:space="preserve"> </w:t>
      </w:r>
      <w:r>
        <w:t>used</w:t>
      </w:r>
      <w:r w:rsidR="001A1F90">
        <w:t xml:space="preserve"> </w:t>
      </w:r>
      <w:r>
        <w:t>at</w:t>
      </w:r>
      <w:r w:rsidR="001A1F90">
        <w:t xml:space="preserve"> </w:t>
      </w:r>
      <w:r>
        <w:t>all,</w:t>
      </w:r>
      <w:r w:rsidR="001A1F90">
        <w:t xml:space="preserve"> </w:t>
      </w:r>
      <w:r>
        <w:t>others</w:t>
      </w:r>
      <w:r w:rsidR="001A1F90">
        <w:t xml:space="preserve"> </w:t>
      </w:r>
      <w:r>
        <w:t>contend</w:t>
      </w:r>
      <w:r w:rsidR="001A1F90">
        <w:t xml:space="preserve"> </w:t>
      </w:r>
      <w:r>
        <w:t>that</w:t>
      </w:r>
      <w:r w:rsidR="001A1F90">
        <w:t xml:space="preserve"> </w:t>
      </w:r>
      <w:r>
        <w:t>because</w:t>
      </w:r>
      <w:r w:rsidR="001A1F90">
        <w:t xml:space="preserve"> </w:t>
      </w:r>
      <w:r>
        <w:t>numerous</w:t>
      </w:r>
      <w:r w:rsidR="001A1F90">
        <w:t xml:space="preserve"> </w:t>
      </w:r>
      <w:r>
        <w:t>case</w:t>
      </w:r>
      <w:r w:rsidR="001A1F90">
        <w:t xml:space="preserve"> </w:t>
      </w:r>
      <w:r>
        <w:t>studies</w:t>
      </w:r>
      <w:r w:rsidR="001A1F90">
        <w:t xml:space="preserve"> </w:t>
      </w:r>
      <w:r>
        <w:t>have</w:t>
      </w:r>
      <w:r w:rsidR="001A1F90">
        <w:t xml:space="preserve"> </w:t>
      </w:r>
      <w:r>
        <w:t>demonstrated</w:t>
      </w:r>
      <w:r w:rsidR="001A1F90">
        <w:t xml:space="preserve"> </w:t>
      </w:r>
      <w:r>
        <w:t>benefit</w:t>
      </w:r>
      <w:r w:rsidR="001A1F90">
        <w:t xml:space="preserve"> </w:t>
      </w:r>
      <w:r>
        <w:t>for</w:t>
      </w:r>
      <w:r w:rsidR="001A1F90">
        <w:t xml:space="preserve"> </w:t>
      </w:r>
      <w:r>
        <w:t>certain</w:t>
      </w:r>
      <w:r w:rsidR="001A1F90">
        <w:t xml:space="preserve"> </w:t>
      </w:r>
      <w:r>
        <w:t>high</w:t>
      </w:r>
      <w:r w:rsidR="00A978D3">
        <w:t>-</w:t>
      </w:r>
      <w:r>
        <w:t>risk</w:t>
      </w:r>
      <w:r w:rsidR="001A1F90">
        <w:t xml:space="preserve"> </w:t>
      </w:r>
      <w:r>
        <w:t>offenders,</w:t>
      </w:r>
      <w:r w:rsidR="001A1F90">
        <w:t xml:space="preserve"> </w:t>
      </w:r>
      <w:r>
        <w:t>these</w:t>
      </w:r>
      <w:r w:rsidR="001A1F90">
        <w:t xml:space="preserve"> </w:t>
      </w:r>
      <w:r>
        <w:t>medications</w:t>
      </w:r>
      <w:r w:rsidR="001A1F90">
        <w:t xml:space="preserve"> </w:t>
      </w:r>
      <w:r>
        <w:t>do</w:t>
      </w:r>
      <w:r w:rsidR="001A1F90">
        <w:t xml:space="preserve"> </w:t>
      </w:r>
      <w:r>
        <w:t>have</w:t>
      </w:r>
      <w:r w:rsidR="001A1F90">
        <w:t xml:space="preserve"> </w:t>
      </w:r>
      <w:r>
        <w:t>a</w:t>
      </w:r>
      <w:r w:rsidR="001A1F90">
        <w:t xml:space="preserve"> </w:t>
      </w:r>
      <w:r>
        <w:t>role</w:t>
      </w:r>
      <w:r w:rsidR="001A1F90">
        <w:t xml:space="preserve"> </w:t>
      </w:r>
      <w:r>
        <w:t>to</w:t>
      </w:r>
      <w:r w:rsidR="001A1F90">
        <w:t xml:space="preserve"> </w:t>
      </w:r>
      <w:r>
        <w:t>play</w:t>
      </w:r>
      <w:r w:rsidR="001A1F90">
        <w:t xml:space="preserve"> </w:t>
      </w:r>
      <w:r>
        <w:t>in</w:t>
      </w:r>
      <w:r w:rsidR="001A1F90">
        <w:t xml:space="preserve"> </w:t>
      </w:r>
      <w:r>
        <w:t>certain</w:t>
      </w:r>
      <w:r w:rsidR="001A1F90">
        <w:t xml:space="preserve"> </w:t>
      </w:r>
      <w:r>
        <w:t>highly</w:t>
      </w:r>
      <w:r w:rsidR="001A1F90">
        <w:t xml:space="preserve"> </w:t>
      </w:r>
      <w:r>
        <w:t>specific</w:t>
      </w:r>
      <w:r w:rsidR="001A1F90">
        <w:t xml:space="preserve"> </w:t>
      </w:r>
      <w:r>
        <w:t>treatment</w:t>
      </w:r>
      <w:r w:rsidR="001A1F90">
        <w:t xml:space="preserve"> </w:t>
      </w:r>
      <w:r>
        <w:t>situations.</w:t>
      </w:r>
      <w:r w:rsidR="001A1F90">
        <w:t xml:space="preserve"> </w:t>
      </w:r>
      <w:r>
        <w:t>That</w:t>
      </w:r>
      <w:r w:rsidR="001A1F90">
        <w:t xml:space="preserve"> </w:t>
      </w:r>
      <w:r>
        <w:t>being</w:t>
      </w:r>
      <w:r w:rsidR="001A1F90">
        <w:t xml:space="preserve"> </w:t>
      </w:r>
      <w:r>
        <w:t>said,</w:t>
      </w:r>
      <w:r w:rsidR="001A1F90">
        <w:t xml:space="preserve"> </w:t>
      </w:r>
      <w:r>
        <w:t>a</w:t>
      </w:r>
      <w:r w:rsidR="001A1F90">
        <w:t xml:space="preserve"> </w:t>
      </w:r>
      <w:r>
        <w:t>great</w:t>
      </w:r>
      <w:r w:rsidR="001A1F90">
        <w:t xml:space="preserve"> </w:t>
      </w:r>
      <w:r>
        <w:t>number</w:t>
      </w:r>
      <w:r w:rsidR="001A1F90">
        <w:t xml:space="preserve"> </w:t>
      </w:r>
      <w:r>
        <w:t>of</w:t>
      </w:r>
      <w:r w:rsidR="001A1F90">
        <w:t xml:space="preserve"> </w:t>
      </w:r>
      <w:r>
        <w:t>authors</w:t>
      </w:r>
      <w:r w:rsidR="001A1F90">
        <w:t xml:space="preserve"> </w:t>
      </w:r>
      <w:r>
        <w:t>(Prentky</w:t>
      </w:r>
      <w:r w:rsidR="001A1F90">
        <w:t xml:space="preserve"> </w:t>
      </w:r>
      <w:r>
        <w:t>1997)</w:t>
      </w:r>
      <w:r w:rsidR="001A1F90">
        <w:t xml:space="preserve"> </w:t>
      </w:r>
      <w:r>
        <w:t>have</w:t>
      </w:r>
      <w:r w:rsidR="001A1F90">
        <w:t xml:space="preserve"> </w:t>
      </w:r>
      <w:r>
        <w:t>concluded</w:t>
      </w:r>
      <w:r w:rsidR="001A1F90">
        <w:t xml:space="preserve"> </w:t>
      </w:r>
      <w:r>
        <w:t>that</w:t>
      </w:r>
      <w:r w:rsidR="001A1F90">
        <w:t xml:space="preserve"> </w:t>
      </w:r>
      <w:r>
        <w:t>these</w:t>
      </w:r>
      <w:r w:rsidR="001A1F90">
        <w:t xml:space="preserve"> </w:t>
      </w:r>
      <w:r>
        <w:t>medications</w:t>
      </w:r>
      <w:r w:rsidR="001A1F90">
        <w:t xml:space="preserve"> </w:t>
      </w:r>
      <w:r>
        <w:t>should</w:t>
      </w:r>
      <w:r w:rsidR="001A1F90">
        <w:t xml:space="preserve"> </w:t>
      </w:r>
      <w:r>
        <w:t>never</w:t>
      </w:r>
      <w:r w:rsidR="001A1F90">
        <w:t xml:space="preserve"> </w:t>
      </w:r>
      <w:r>
        <w:t>be</w:t>
      </w:r>
      <w:r w:rsidR="001A1F90">
        <w:t xml:space="preserve"> </w:t>
      </w:r>
      <w:r>
        <w:t>used</w:t>
      </w:r>
      <w:r w:rsidR="001A1F90">
        <w:t xml:space="preserve"> </w:t>
      </w:r>
      <w:r>
        <w:t>as</w:t>
      </w:r>
      <w:r w:rsidR="001A1F90">
        <w:t xml:space="preserve"> </w:t>
      </w:r>
      <w:r>
        <w:t>an</w:t>
      </w:r>
      <w:r w:rsidR="001A1F90">
        <w:t xml:space="preserve"> </w:t>
      </w:r>
      <w:r>
        <w:t>exclusive</w:t>
      </w:r>
      <w:r w:rsidR="001A1F90">
        <w:t xml:space="preserve"> </w:t>
      </w:r>
      <w:r>
        <w:t>treatment,</w:t>
      </w:r>
      <w:r w:rsidR="001A1F90">
        <w:t xml:space="preserve"> </w:t>
      </w:r>
      <w:r>
        <w:t>even</w:t>
      </w:r>
      <w:r w:rsidR="001A1F90">
        <w:t xml:space="preserve"> </w:t>
      </w:r>
      <w:r>
        <w:t>though</w:t>
      </w:r>
      <w:r w:rsidR="001A1F90">
        <w:t xml:space="preserve"> </w:t>
      </w:r>
      <w:r>
        <w:t>this</w:t>
      </w:r>
      <w:r w:rsidR="001A1F90">
        <w:t xml:space="preserve"> </w:t>
      </w:r>
      <w:r>
        <w:t>can</w:t>
      </w:r>
      <w:r w:rsidR="001A1F90">
        <w:t xml:space="preserve"> </w:t>
      </w:r>
      <w:r>
        <w:t>sometimes</w:t>
      </w:r>
      <w:r w:rsidR="001A1F90">
        <w:t xml:space="preserve"> </w:t>
      </w:r>
      <w:r>
        <w:t>be</w:t>
      </w:r>
      <w:r w:rsidR="001A1F90">
        <w:t xml:space="preserve"> </w:t>
      </w:r>
      <w:r>
        <w:t>considered</w:t>
      </w:r>
      <w:r w:rsidR="001A1F90">
        <w:t xml:space="preserve"> </w:t>
      </w:r>
      <w:r>
        <w:t>an</w:t>
      </w:r>
      <w:r w:rsidR="001A1F90">
        <w:t xml:space="preserve"> </w:t>
      </w:r>
      <w:r>
        <w:t>‘easier</w:t>
      </w:r>
      <w:r w:rsidR="001A1F90">
        <w:t xml:space="preserve"> </w:t>
      </w:r>
      <w:r>
        <w:t>option’</w:t>
      </w:r>
      <w:r w:rsidR="001A1F90">
        <w:t xml:space="preserve"> </w:t>
      </w:r>
      <w:r>
        <w:t>when</w:t>
      </w:r>
      <w:r w:rsidR="001A1F90">
        <w:t xml:space="preserve"> </w:t>
      </w:r>
      <w:r>
        <w:t>services</w:t>
      </w:r>
      <w:r w:rsidR="001A1F90">
        <w:t xml:space="preserve"> </w:t>
      </w:r>
      <w:r>
        <w:t>lack</w:t>
      </w:r>
      <w:r w:rsidR="001A1F90">
        <w:t xml:space="preserve"> </w:t>
      </w:r>
      <w:r>
        <w:t>the</w:t>
      </w:r>
      <w:r w:rsidR="001A1F90">
        <w:t xml:space="preserve"> </w:t>
      </w:r>
      <w:r>
        <w:t>resources</w:t>
      </w:r>
      <w:r w:rsidR="001A1F90">
        <w:t xml:space="preserve"> </w:t>
      </w:r>
      <w:r>
        <w:t>for</w:t>
      </w:r>
      <w:r w:rsidR="001A1F90">
        <w:t xml:space="preserve"> </w:t>
      </w:r>
      <w:r>
        <w:t>providing</w:t>
      </w:r>
      <w:r w:rsidR="001A1F90">
        <w:t xml:space="preserve"> </w:t>
      </w:r>
      <w:r>
        <w:t>additional/alternative</w:t>
      </w:r>
      <w:r w:rsidR="001A1F90">
        <w:t xml:space="preserve"> </w:t>
      </w:r>
      <w:r>
        <w:t>psychotherapeutic</w:t>
      </w:r>
      <w:r w:rsidR="001A1F90">
        <w:t xml:space="preserve"> </w:t>
      </w:r>
      <w:r>
        <w:t>interventions</w:t>
      </w:r>
      <w:r w:rsidR="001A1F90">
        <w:t xml:space="preserve"> </w:t>
      </w:r>
      <w:r>
        <w:t>(Gumber</w:t>
      </w:r>
      <w:r w:rsidR="009C5020">
        <w:t>,</w:t>
      </w:r>
      <w:r w:rsidR="001A1F90">
        <w:t xml:space="preserve"> </w:t>
      </w:r>
      <w:r w:rsidR="009C5020">
        <w:t>Gangavati &amp; Bhaumik</w:t>
      </w:r>
      <w:r w:rsidR="009C5020" w:rsidDel="009C5020">
        <w:t xml:space="preserve"> </w:t>
      </w:r>
      <w:r>
        <w:t>2011).</w:t>
      </w:r>
    </w:p>
    <w:p w14:paraId="552AFBAD" w14:textId="7789A22D" w:rsidR="004946F1" w:rsidRDefault="004946F1" w:rsidP="00BD612C">
      <w:pPr>
        <w:pStyle w:val="DHHSbody"/>
      </w:pPr>
      <w:r>
        <w:t>What</w:t>
      </w:r>
      <w:r w:rsidR="001A1F90">
        <w:t xml:space="preserve"> </w:t>
      </w:r>
      <w:r>
        <w:t>is</w:t>
      </w:r>
      <w:r w:rsidR="001A1F90">
        <w:t xml:space="preserve"> </w:t>
      </w:r>
      <w:r>
        <w:t>clear</w:t>
      </w:r>
      <w:r w:rsidR="001A1F90">
        <w:t xml:space="preserve"> </w:t>
      </w:r>
      <w:r>
        <w:t>is</w:t>
      </w:r>
      <w:r w:rsidR="001A1F90">
        <w:t xml:space="preserve"> </w:t>
      </w:r>
      <w:r>
        <w:t>that</w:t>
      </w:r>
      <w:r w:rsidR="001A1F90">
        <w:t xml:space="preserve"> </w:t>
      </w:r>
      <w:r>
        <w:t>the</w:t>
      </w:r>
      <w:r w:rsidR="001A1F90">
        <w:t xml:space="preserve"> </w:t>
      </w:r>
      <w:r>
        <w:t>available</w:t>
      </w:r>
      <w:r w:rsidR="001A1F90">
        <w:t xml:space="preserve"> </w:t>
      </w:r>
      <w:r>
        <w:t>evidence</w:t>
      </w:r>
      <w:r w:rsidR="001A1F90">
        <w:t xml:space="preserve"> </w:t>
      </w:r>
      <w:r>
        <w:t>stipulates</w:t>
      </w:r>
      <w:r w:rsidR="001A1F90">
        <w:t xml:space="preserve"> </w:t>
      </w:r>
      <w:r>
        <w:t>that</w:t>
      </w:r>
      <w:r w:rsidR="001A1F90">
        <w:t xml:space="preserve"> </w:t>
      </w:r>
      <w:r>
        <w:t>anti-libidinal</w:t>
      </w:r>
      <w:r w:rsidR="001A1F90">
        <w:t xml:space="preserve"> </w:t>
      </w:r>
      <w:r>
        <w:t>medications</w:t>
      </w:r>
      <w:r w:rsidR="001A1F90">
        <w:t xml:space="preserve"> </w:t>
      </w:r>
      <w:r>
        <w:t>should</w:t>
      </w:r>
      <w:r w:rsidR="001A1F90">
        <w:t xml:space="preserve"> </w:t>
      </w:r>
      <w:r>
        <w:t>not</w:t>
      </w:r>
      <w:r w:rsidR="001A1F90">
        <w:t xml:space="preserve"> </w:t>
      </w:r>
      <w:r>
        <w:t>be</w:t>
      </w:r>
      <w:r w:rsidR="001A1F90">
        <w:t xml:space="preserve"> </w:t>
      </w:r>
      <w:r>
        <w:t>used</w:t>
      </w:r>
      <w:r w:rsidR="001A1F90">
        <w:t xml:space="preserve"> </w:t>
      </w:r>
      <w:r>
        <w:t>in</w:t>
      </w:r>
      <w:r w:rsidR="001A1F90">
        <w:t xml:space="preserve"> </w:t>
      </w:r>
      <w:r>
        <w:t>males</w:t>
      </w:r>
      <w:r w:rsidR="001A1F90">
        <w:t xml:space="preserve"> </w:t>
      </w:r>
      <w:r>
        <w:t>under</w:t>
      </w:r>
      <w:r w:rsidR="001A1F90">
        <w:t xml:space="preserve"> </w:t>
      </w:r>
      <w:r>
        <w:t>the</w:t>
      </w:r>
      <w:r w:rsidR="001A1F90">
        <w:t xml:space="preserve"> </w:t>
      </w:r>
      <w:r>
        <w:t>age</w:t>
      </w:r>
      <w:r w:rsidR="001A1F90">
        <w:t xml:space="preserve"> </w:t>
      </w:r>
      <w:r>
        <w:t>of</w:t>
      </w:r>
      <w:r w:rsidR="001A1F90">
        <w:t xml:space="preserve"> </w:t>
      </w:r>
      <w:r>
        <w:t>18,</w:t>
      </w:r>
      <w:r w:rsidR="001A1F90">
        <w:t xml:space="preserve"> </w:t>
      </w:r>
      <w:r>
        <w:t>or</w:t>
      </w:r>
      <w:r w:rsidR="001A1F90">
        <w:t xml:space="preserve"> </w:t>
      </w:r>
      <w:r>
        <w:t>in</w:t>
      </w:r>
      <w:r w:rsidR="001A1F90">
        <w:t xml:space="preserve"> </w:t>
      </w:r>
      <w:r>
        <w:t>other</w:t>
      </w:r>
      <w:r w:rsidR="001A1F90">
        <w:t xml:space="preserve"> </w:t>
      </w:r>
      <w:r>
        <w:t>instances</w:t>
      </w:r>
      <w:r w:rsidR="001A1F90">
        <w:t xml:space="preserve"> </w:t>
      </w:r>
      <w:r>
        <w:t>where</w:t>
      </w:r>
      <w:r w:rsidR="001A1F90">
        <w:t xml:space="preserve"> </w:t>
      </w:r>
      <w:r>
        <w:t>bone</w:t>
      </w:r>
      <w:r w:rsidR="001A1F90">
        <w:t xml:space="preserve"> </w:t>
      </w:r>
      <w:r>
        <w:t>and</w:t>
      </w:r>
      <w:r w:rsidR="001A1F90">
        <w:t xml:space="preserve"> </w:t>
      </w:r>
      <w:r>
        <w:t>testicular</w:t>
      </w:r>
      <w:r w:rsidR="001A1F90">
        <w:t xml:space="preserve"> </w:t>
      </w:r>
      <w:r>
        <w:t>development</w:t>
      </w:r>
      <w:r w:rsidR="001A1F90">
        <w:t xml:space="preserve"> </w:t>
      </w:r>
      <w:r>
        <w:t>have</w:t>
      </w:r>
      <w:r w:rsidR="001A1F90">
        <w:t xml:space="preserve"> </w:t>
      </w:r>
      <w:r>
        <w:t>not</w:t>
      </w:r>
      <w:r w:rsidR="001A1F90">
        <w:t xml:space="preserve"> </w:t>
      </w:r>
      <w:r>
        <w:t>yet</w:t>
      </w:r>
      <w:r w:rsidR="001A1F90">
        <w:t xml:space="preserve"> </w:t>
      </w:r>
      <w:r>
        <w:t>completed</w:t>
      </w:r>
      <w:r w:rsidR="001A1F90">
        <w:t xml:space="preserve"> </w:t>
      </w:r>
      <w:r>
        <w:t>(Glaser</w:t>
      </w:r>
      <w:r w:rsidR="001A1F90">
        <w:t xml:space="preserve"> </w:t>
      </w:r>
      <w:r>
        <w:t>2003).</w:t>
      </w:r>
      <w:r w:rsidR="001A1F90">
        <w:t xml:space="preserve"> </w:t>
      </w:r>
      <w:r>
        <w:t>However,</w:t>
      </w:r>
      <w:r w:rsidR="001A1F90">
        <w:t xml:space="preserve"> </w:t>
      </w:r>
      <w:r>
        <w:t>there</w:t>
      </w:r>
      <w:r w:rsidR="001A1F90">
        <w:t xml:space="preserve"> </w:t>
      </w:r>
      <w:r>
        <w:t>have</w:t>
      </w:r>
      <w:r w:rsidR="001A1F90">
        <w:t xml:space="preserve"> </w:t>
      </w:r>
      <w:r>
        <w:t>been</w:t>
      </w:r>
      <w:r w:rsidR="001A1F90">
        <w:t xml:space="preserve"> </w:t>
      </w:r>
      <w:r>
        <w:t>cases</w:t>
      </w:r>
      <w:r w:rsidR="001A1F90">
        <w:t xml:space="preserve"> </w:t>
      </w:r>
      <w:r>
        <w:t>anecdotally</w:t>
      </w:r>
      <w:r w:rsidR="001A1F90">
        <w:t xml:space="preserve"> </w:t>
      </w:r>
      <w:r>
        <w:t>reported</w:t>
      </w:r>
      <w:r w:rsidR="001A1F90">
        <w:t xml:space="preserve"> </w:t>
      </w:r>
      <w:r>
        <w:t>where</w:t>
      </w:r>
      <w:r w:rsidR="001A1F90">
        <w:t xml:space="preserve"> </w:t>
      </w:r>
      <w:r>
        <w:t>these</w:t>
      </w:r>
      <w:r w:rsidR="001A1F90">
        <w:t xml:space="preserve"> </w:t>
      </w:r>
      <w:r>
        <w:t>cautions</w:t>
      </w:r>
      <w:r w:rsidR="001A1F90">
        <w:t xml:space="preserve"> </w:t>
      </w:r>
      <w:r>
        <w:t>have</w:t>
      </w:r>
      <w:r w:rsidR="001A1F90">
        <w:t xml:space="preserve"> </w:t>
      </w:r>
      <w:r>
        <w:t>not</w:t>
      </w:r>
      <w:r w:rsidR="001A1F90">
        <w:t xml:space="preserve"> </w:t>
      </w:r>
      <w:r>
        <w:t>been</w:t>
      </w:r>
      <w:r w:rsidR="001A1F90">
        <w:t xml:space="preserve"> </w:t>
      </w:r>
      <w:r>
        <w:t>observed.</w:t>
      </w:r>
      <w:r w:rsidR="001A1F90">
        <w:t xml:space="preserve"> </w:t>
      </w:r>
      <w:r>
        <w:t>The</w:t>
      </w:r>
      <w:r w:rsidR="001A1F90">
        <w:t xml:space="preserve"> </w:t>
      </w:r>
      <w:r>
        <w:t>potential</w:t>
      </w:r>
      <w:r w:rsidR="001A1F90">
        <w:t xml:space="preserve"> </w:t>
      </w:r>
      <w:r>
        <w:t>for</w:t>
      </w:r>
      <w:r w:rsidR="001A1F90">
        <w:t xml:space="preserve"> </w:t>
      </w:r>
      <w:r>
        <w:t>abuse</w:t>
      </w:r>
      <w:r w:rsidR="001A1F90">
        <w:t xml:space="preserve"> </w:t>
      </w:r>
      <w:r>
        <w:t>among</w:t>
      </w:r>
      <w:r w:rsidR="001A1F90">
        <w:t xml:space="preserve"> </w:t>
      </w:r>
      <w:r>
        <w:t>prescribers</w:t>
      </w:r>
      <w:r w:rsidR="001A1F90">
        <w:t xml:space="preserve"> </w:t>
      </w:r>
      <w:r>
        <w:t>(pertaining</w:t>
      </w:r>
      <w:r w:rsidR="001A1F90">
        <w:t xml:space="preserve"> </w:t>
      </w:r>
      <w:r>
        <w:t>to</w:t>
      </w:r>
      <w:r w:rsidR="001A1F90">
        <w:t xml:space="preserve"> </w:t>
      </w:r>
      <w:r>
        <w:t>the</w:t>
      </w:r>
      <w:r w:rsidR="001A1F90">
        <w:t xml:space="preserve"> </w:t>
      </w:r>
      <w:r>
        <w:t>inappropriate</w:t>
      </w:r>
      <w:r w:rsidR="001A1F90">
        <w:t xml:space="preserve"> </w:t>
      </w:r>
      <w:r>
        <w:t>prescription</w:t>
      </w:r>
      <w:r w:rsidR="001A1F90">
        <w:t xml:space="preserve"> </w:t>
      </w:r>
      <w:r>
        <w:t>of</w:t>
      </w:r>
      <w:r w:rsidR="001A1F90">
        <w:t xml:space="preserve"> </w:t>
      </w:r>
      <w:r>
        <w:t>these</w:t>
      </w:r>
      <w:r w:rsidR="001A1F90">
        <w:t xml:space="preserve"> </w:t>
      </w:r>
      <w:r>
        <w:t>medications</w:t>
      </w:r>
      <w:r w:rsidR="001A1F90">
        <w:t xml:space="preserve"> </w:t>
      </w:r>
      <w:r>
        <w:t>to</w:t>
      </w:r>
      <w:r w:rsidR="001A1F90">
        <w:t xml:space="preserve"> </w:t>
      </w:r>
      <w:r>
        <w:t>suppress</w:t>
      </w:r>
      <w:r w:rsidR="001A1F90">
        <w:t xml:space="preserve"> </w:t>
      </w:r>
      <w:r>
        <w:t>what</w:t>
      </w:r>
      <w:r w:rsidR="001A1F90">
        <w:t xml:space="preserve"> </w:t>
      </w:r>
      <w:r>
        <w:t>amounts</w:t>
      </w:r>
      <w:r w:rsidR="001A1F90">
        <w:t xml:space="preserve"> </w:t>
      </w:r>
      <w:r>
        <w:t>to</w:t>
      </w:r>
      <w:r w:rsidR="001A1F90">
        <w:t xml:space="preserve"> </w:t>
      </w:r>
      <w:r>
        <w:t>normal</w:t>
      </w:r>
      <w:r w:rsidR="001A1F90">
        <w:t xml:space="preserve"> </w:t>
      </w:r>
      <w:r>
        <w:t>sexuality)</w:t>
      </w:r>
      <w:r w:rsidR="001A1F90">
        <w:t xml:space="preserve"> </w:t>
      </w:r>
      <w:r>
        <w:t>has</w:t>
      </w:r>
      <w:r w:rsidR="001A1F90">
        <w:t xml:space="preserve"> </w:t>
      </w:r>
      <w:r>
        <w:t>also</w:t>
      </w:r>
      <w:r w:rsidR="001A1F90">
        <w:t xml:space="preserve"> </w:t>
      </w:r>
      <w:r>
        <w:t>been</w:t>
      </w:r>
      <w:r w:rsidR="001A1F90">
        <w:t xml:space="preserve"> </w:t>
      </w:r>
      <w:r>
        <w:t>noted</w:t>
      </w:r>
      <w:r w:rsidR="001A1F90">
        <w:t xml:space="preserve"> </w:t>
      </w:r>
      <w:r>
        <w:t>in</w:t>
      </w:r>
      <w:r w:rsidR="001A1F90">
        <w:t xml:space="preserve"> </w:t>
      </w:r>
      <w:r>
        <w:t>the</w:t>
      </w:r>
      <w:r w:rsidR="001A1F90">
        <w:t xml:space="preserve"> </w:t>
      </w:r>
      <w:r>
        <w:t>literature</w:t>
      </w:r>
      <w:r w:rsidR="001A1F90">
        <w:t xml:space="preserve"> </w:t>
      </w:r>
      <w:r>
        <w:t>(Gumber</w:t>
      </w:r>
      <w:r w:rsidR="009C5020">
        <w:t xml:space="preserve"> et al. </w:t>
      </w:r>
      <w:r>
        <w:t>2011;</w:t>
      </w:r>
      <w:r w:rsidR="001A1F90">
        <w:t xml:space="preserve"> </w:t>
      </w:r>
      <w:r>
        <w:t>Hayes,</w:t>
      </w:r>
      <w:r w:rsidR="001A1F90">
        <w:t xml:space="preserve"> </w:t>
      </w:r>
      <w:r>
        <w:t>Barbouttis</w:t>
      </w:r>
      <w:r w:rsidR="001A1F90">
        <w:t xml:space="preserve"> </w:t>
      </w:r>
      <w:r>
        <w:t>&amp;</w:t>
      </w:r>
      <w:r w:rsidR="001A1F90">
        <w:t xml:space="preserve"> </w:t>
      </w:r>
      <w:r>
        <w:t>Hayes</w:t>
      </w:r>
      <w:r w:rsidR="001A1F90">
        <w:t xml:space="preserve"> </w:t>
      </w:r>
      <w:r>
        <w:t>2002).</w:t>
      </w:r>
    </w:p>
    <w:p w14:paraId="6D05EF04" w14:textId="2B5DA55D" w:rsidR="004946F1" w:rsidRDefault="004946F1" w:rsidP="009B0E14">
      <w:pPr>
        <w:pStyle w:val="Heading2"/>
      </w:pPr>
      <w:bookmarkStart w:id="5" w:name="_Toc20225593"/>
      <w:r>
        <w:t>Status</w:t>
      </w:r>
      <w:r w:rsidR="001A1F90">
        <w:t xml:space="preserve"> </w:t>
      </w:r>
      <w:r>
        <w:t>quo</w:t>
      </w:r>
      <w:bookmarkEnd w:id="5"/>
    </w:p>
    <w:p w14:paraId="17AF6C82" w14:textId="48EACAC2" w:rsidR="004946F1" w:rsidRDefault="004946F1" w:rsidP="00BD612C">
      <w:pPr>
        <w:pStyle w:val="DHHSbody"/>
      </w:pPr>
      <w:r>
        <w:t>Due</w:t>
      </w:r>
      <w:r w:rsidR="001A1F90">
        <w:t xml:space="preserve"> </w:t>
      </w:r>
      <w:r>
        <w:t>to</w:t>
      </w:r>
      <w:r w:rsidR="001A1F90">
        <w:t xml:space="preserve"> </w:t>
      </w:r>
      <w:r>
        <w:t>the</w:t>
      </w:r>
      <w:r w:rsidR="001A1F90">
        <w:t xml:space="preserve"> </w:t>
      </w:r>
      <w:r>
        <w:t>aforementioned</w:t>
      </w:r>
      <w:r w:rsidR="001A1F90">
        <w:t xml:space="preserve"> </w:t>
      </w:r>
      <w:r>
        <w:t>limited</w:t>
      </w:r>
      <w:r w:rsidR="001A1F90">
        <w:t xml:space="preserve"> </w:t>
      </w:r>
      <w:r>
        <w:t>evidence</w:t>
      </w:r>
      <w:r w:rsidR="001A1F90">
        <w:t xml:space="preserve"> </w:t>
      </w:r>
      <w:r>
        <w:t>base</w:t>
      </w:r>
      <w:r w:rsidR="000A663E">
        <w:t>,</w:t>
      </w:r>
      <w:r w:rsidR="001A1F90">
        <w:t xml:space="preserve"> </w:t>
      </w:r>
      <w:r>
        <w:t>it</w:t>
      </w:r>
      <w:r w:rsidR="001A1F90">
        <w:t xml:space="preserve"> </w:t>
      </w:r>
      <w:r>
        <w:t>has</w:t>
      </w:r>
      <w:r w:rsidR="001A1F90">
        <w:t xml:space="preserve"> </w:t>
      </w:r>
      <w:r>
        <w:t>been</w:t>
      </w:r>
      <w:r w:rsidR="001A1F90">
        <w:t xml:space="preserve"> </w:t>
      </w:r>
      <w:r>
        <w:t>strongly</w:t>
      </w:r>
      <w:r w:rsidR="001A1F90">
        <w:t xml:space="preserve"> </w:t>
      </w:r>
      <w:r>
        <w:t>recommended</w:t>
      </w:r>
      <w:r w:rsidR="001A1F90">
        <w:t xml:space="preserve"> </w:t>
      </w:r>
      <w:r>
        <w:t>that</w:t>
      </w:r>
      <w:r w:rsidR="001A1F90">
        <w:t xml:space="preserve"> </w:t>
      </w:r>
      <w:r>
        <w:t>anti-libidinal</w:t>
      </w:r>
      <w:r w:rsidR="001A1F90">
        <w:t xml:space="preserve"> </w:t>
      </w:r>
      <w:r>
        <w:t>medications</w:t>
      </w:r>
      <w:r w:rsidR="001A1F90">
        <w:t xml:space="preserve"> </w:t>
      </w:r>
      <w:r>
        <w:t>only</w:t>
      </w:r>
      <w:r w:rsidR="001A1F90">
        <w:t xml:space="preserve"> </w:t>
      </w:r>
      <w:r>
        <w:t>be</w:t>
      </w:r>
      <w:r w:rsidR="001A1F90">
        <w:t xml:space="preserve"> </w:t>
      </w:r>
      <w:r>
        <w:t>used</w:t>
      </w:r>
      <w:r w:rsidR="001A1F90">
        <w:t xml:space="preserve"> </w:t>
      </w:r>
      <w:r>
        <w:t>as</w:t>
      </w:r>
      <w:r w:rsidR="001A1F90">
        <w:t xml:space="preserve"> </w:t>
      </w:r>
      <w:r>
        <w:t>part</w:t>
      </w:r>
      <w:r w:rsidR="001A1F90">
        <w:t xml:space="preserve"> </w:t>
      </w:r>
      <w:r>
        <w:t>of</w:t>
      </w:r>
      <w:r w:rsidR="001A1F90">
        <w:t xml:space="preserve"> </w:t>
      </w:r>
      <w:r>
        <w:t>a</w:t>
      </w:r>
      <w:r w:rsidR="001A1F90">
        <w:t xml:space="preserve"> </w:t>
      </w:r>
      <w:r>
        <w:t>multifaceted</w:t>
      </w:r>
      <w:r w:rsidR="001A1F90">
        <w:t xml:space="preserve"> </w:t>
      </w:r>
      <w:r>
        <w:t>treatment,</w:t>
      </w:r>
      <w:r w:rsidR="001A1F90">
        <w:t xml:space="preserve"> </w:t>
      </w:r>
      <w:r>
        <w:t>management</w:t>
      </w:r>
      <w:r w:rsidR="001A1F90">
        <w:t xml:space="preserve"> </w:t>
      </w:r>
      <w:r>
        <w:t>and</w:t>
      </w:r>
      <w:r w:rsidR="001A1F90">
        <w:t xml:space="preserve"> </w:t>
      </w:r>
      <w:r>
        <w:t>support</w:t>
      </w:r>
      <w:r w:rsidR="001A1F90">
        <w:t xml:space="preserve"> </w:t>
      </w:r>
      <w:r>
        <w:t>plan</w:t>
      </w:r>
      <w:r w:rsidR="001A1F90">
        <w:t xml:space="preserve"> </w:t>
      </w:r>
      <w:r>
        <w:t>under</w:t>
      </w:r>
      <w:r w:rsidR="001A1F90">
        <w:t xml:space="preserve"> </w:t>
      </w:r>
      <w:r>
        <w:t>close</w:t>
      </w:r>
      <w:r w:rsidR="001A1F90">
        <w:t xml:space="preserve"> </w:t>
      </w:r>
      <w:r>
        <w:t>supervision</w:t>
      </w:r>
      <w:r w:rsidR="001A1F90">
        <w:t xml:space="preserve"> </w:t>
      </w:r>
      <w:r>
        <w:t>and</w:t>
      </w:r>
      <w:r w:rsidR="001A1F90">
        <w:t xml:space="preserve"> </w:t>
      </w:r>
      <w:r>
        <w:t>with</w:t>
      </w:r>
      <w:r w:rsidR="001A1F90">
        <w:t xml:space="preserve"> </w:t>
      </w:r>
      <w:r>
        <w:t>regular</w:t>
      </w:r>
      <w:r w:rsidR="001A1F90">
        <w:t xml:space="preserve"> </w:t>
      </w:r>
      <w:r>
        <w:t>monitoring</w:t>
      </w:r>
      <w:r w:rsidR="001A1F90">
        <w:t xml:space="preserve"> </w:t>
      </w:r>
      <w:r>
        <w:t>(Hayes</w:t>
      </w:r>
      <w:r w:rsidR="001A1F90">
        <w:t xml:space="preserve"> </w:t>
      </w:r>
      <w:r>
        <w:t>1991;</w:t>
      </w:r>
      <w:r w:rsidR="001A1F90">
        <w:t xml:space="preserve"> </w:t>
      </w:r>
      <w:r>
        <w:t>Sajith,</w:t>
      </w:r>
      <w:r w:rsidR="001A1F90">
        <w:t xml:space="preserve"> </w:t>
      </w:r>
      <w:r>
        <w:t>Morgan</w:t>
      </w:r>
      <w:r w:rsidR="001A1F90">
        <w:t xml:space="preserve"> </w:t>
      </w:r>
      <w:r>
        <w:t>&amp;</w:t>
      </w:r>
      <w:r w:rsidR="001A1F90">
        <w:t xml:space="preserve"> </w:t>
      </w:r>
      <w:r>
        <w:t>Clarke</w:t>
      </w:r>
      <w:r w:rsidR="001A1F90">
        <w:t xml:space="preserve"> </w:t>
      </w:r>
      <w:r>
        <w:t>2008).</w:t>
      </w:r>
      <w:r w:rsidR="001A1F90">
        <w:t xml:space="preserve"> </w:t>
      </w:r>
      <w:r>
        <w:t>Lindsay</w:t>
      </w:r>
      <w:r w:rsidR="001A1F90">
        <w:t xml:space="preserve"> </w:t>
      </w:r>
      <w:r>
        <w:t>(2004,</w:t>
      </w:r>
      <w:r w:rsidR="001A1F90">
        <w:t xml:space="preserve"> </w:t>
      </w:r>
      <w:r>
        <w:t>p.</w:t>
      </w:r>
      <w:r w:rsidR="001A1F90">
        <w:t xml:space="preserve"> </w:t>
      </w:r>
      <w:r>
        <w:t>179)</w:t>
      </w:r>
      <w:r w:rsidR="001A1F90">
        <w:t xml:space="preserve"> </w:t>
      </w:r>
      <w:r>
        <w:t>argues</w:t>
      </w:r>
      <w:r w:rsidR="001A1F90">
        <w:t xml:space="preserve"> </w:t>
      </w:r>
      <w:r>
        <w:t>that</w:t>
      </w:r>
      <w:r w:rsidR="001A1F90">
        <w:t xml:space="preserve"> </w:t>
      </w:r>
      <w:r>
        <w:t>further</w:t>
      </w:r>
      <w:r w:rsidR="001A1F90">
        <w:t xml:space="preserve"> </w:t>
      </w:r>
      <w:r>
        <w:t>case</w:t>
      </w:r>
      <w:r w:rsidR="001A1F90">
        <w:t xml:space="preserve"> </w:t>
      </w:r>
      <w:r>
        <w:t>examples,</w:t>
      </w:r>
      <w:r w:rsidR="001A1F90">
        <w:t xml:space="preserve"> </w:t>
      </w:r>
      <w:r>
        <w:t>as</w:t>
      </w:r>
      <w:r w:rsidR="001A1F90">
        <w:t xml:space="preserve"> </w:t>
      </w:r>
      <w:r>
        <w:t>well</w:t>
      </w:r>
      <w:r w:rsidR="001A1F90">
        <w:t xml:space="preserve"> </w:t>
      </w:r>
      <w:r>
        <w:t>as</w:t>
      </w:r>
      <w:r w:rsidR="001A1F90">
        <w:t xml:space="preserve"> </w:t>
      </w:r>
      <w:r>
        <w:t>controlled</w:t>
      </w:r>
      <w:r w:rsidR="001A1F90">
        <w:t xml:space="preserve"> </w:t>
      </w:r>
      <w:r>
        <w:t>trials,</w:t>
      </w:r>
      <w:r w:rsidR="001A1F90">
        <w:t xml:space="preserve"> </w:t>
      </w:r>
      <w:r>
        <w:t>are</w:t>
      </w:r>
      <w:r w:rsidR="001A1F90">
        <w:t xml:space="preserve"> </w:t>
      </w:r>
      <w:r>
        <w:t>required</w:t>
      </w:r>
      <w:r w:rsidR="001A1F90">
        <w:t xml:space="preserve"> </w:t>
      </w:r>
      <w:r>
        <w:t>(and</w:t>
      </w:r>
      <w:r w:rsidR="001A1F90">
        <w:t xml:space="preserve"> </w:t>
      </w:r>
      <w:r>
        <w:t>informative)</w:t>
      </w:r>
      <w:r w:rsidR="001A1F90">
        <w:t xml:space="preserve"> </w:t>
      </w:r>
      <w:r>
        <w:t>to</w:t>
      </w:r>
      <w:r w:rsidR="001A1F90">
        <w:t xml:space="preserve"> </w:t>
      </w:r>
      <w:r>
        <w:t>help</w:t>
      </w:r>
      <w:r w:rsidR="001A1F90">
        <w:t xml:space="preserve"> </w:t>
      </w:r>
      <w:r>
        <w:t>more</w:t>
      </w:r>
      <w:r w:rsidR="001A1F90">
        <w:t xml:space="preserve"> </w:t>
      </w:r>
      <w:r>
        <w:t>fully</w:t>
      </w:r>
      <w:r w:rsidR="001A1F90">
        <w:t xml:space="preserve"> </w:t>
      </w:r>
      <w:r>
        <w:t>appreciate</w:t>
      </w:r>
      <w:r w:rsidR="001A1F90">
        <w:t xml:space="preserve"> </w:t>
      </w:r>
      <w:r>
        <w:t>the</w:t>
      </w:r>
      <w:r w:rsidR="001A1F90">
        <w:t xml:space="preserve"> </w:t>
      </w:r>
      <w:r>
        <w:t>range</w:t>
      </w:r>
      <w:r w:rsidR="001A1F90">
        <w:t xml:space="preserve"> </w:t>
      </w:r>
      <w:r>
        <w:t>of</w:t>
      </w:r>
      <w:r w:rsidR="001A1F90">
        <w:t xml:space="preserve"> </w:t>
      </w:r>
      <w:r>
        <w:t>effectiveness</w:t>
      </w:r>
      <w:r w:rsidR="001A1F90">
        <w:t xml:space="preserve"> </w:t>
      </w:r>
      <w:r>
        <w:t>of</w:t>
      </w:r>
      <w:r w:rsidR="001A1F90">
        <w:t xml:space="preserve"> </w:t>
      </w:r>
      <w:r>
        <w:t>pharmacological</w:t>
      </w:r>
      <w:r w:rsidR="001A1F90">
        <w:t xml:space="preserve"> </w:t>
      </w:r>
      <w:r>
        <w:t>interventions</w:t>
      </w:r>
      <w:r w:rsidR="001A1F90">
        <w:t xml:space="preserve"> </w:t>
      </w:r>
      <w:r w:rsidR="000A663E">
        <w:t xml:space="preserve">among </w:t>
      </w:r>
      <w:r>
        <w:t>people</w:t>
      </w:r>
      <w:r w:rsidR="001A1F90">
        <w:t xml:space="preserve"> </w:t>
      </w:r>
      <w:r>
        <w:t>with</w:t>
      </w:r>
      <w:r w:rsidR="001A1F90">
        <w:t xml:space="preserve"> </w:t>
      </w:r>
      <w:r>
        <w:t>intellectual</w:t>
      </w:r>
      <w:r w:rsidR="001A1F90">
        <w:t xml:space="preserve"> </w:t>
      </w:r>
      <w:r>
        <w:t>disability.</w:t>
      </w:r>
      <w:r w:rsidR="001A1F90">
        <w:t xml:space="preserve"> </w:t>
      </w:r>
      <w:r>
        <w:t>Case</w:t>
      </w:r>
      <w:r w:rsidR="001A1F90">
        <w:t xml:space="preserve"> </w:t>
      </w:r>
      <w:r>
        <w:t>studies</w:t>
      </w:r>
      <w:r w:rsidR="001A1F90">
        <w:t xml:space="preserve"> </w:t>
      </w:r>
      <w:r>
        <w:t>and</w:t>
      </w:r>
      <w:r w:rsidR="001A1F90">
        <w:t xml:space="preserve"> </w:t>
      </w:r>
      <w:r>
        <w:t>clinical</w:t>
      </w:r>
      <w:r w:rsidR="001A1F90">
        <w:t xml:space="preserve"> </w:t>
      </w:r>
      <w:r>
        <w:t>experience</w:t>
      </w:r>
      <w:r w:rsidR="001A1F90">
        <w:t xml:space="preserve"> </w:t>
      </w:r>
      <w:r>
        <w:t>in</w:t>
      </w:r>
      <w:r w:rsidR="001A1F90">
        <w:t xml:space="preserve"> </w:t>
      </w:r>
      <w:r>
        <w:t>isolation</w:t>
      </w:r>
      <w:r w:rsidR="001A1F90">
        <w:t xml:space="preserve"> </w:t>
      </w:r>
      <w:r>
        <w:t>have</w:t>
      </w:r>
      <w:r w:rsidR="001A1F90">
        <w:t xml:space="preserve"> </w:t>
      </w:r>
      <w:r>
        <w:t>indicated</w:t>
      </w:r>
      <w:r w:rsidR="001A1F90">
        <w:t xml:space="preserve"> </w:t>
      </w:r>
      <w:r>
        <w:t>differential</w:t>
      </w:r>
      <w:r w:rsidR="001A1F90">
        <w:t xml:space="preserve"> </w:t>
      </w:r>
      <w:r>
        <w:t>treatment</w:t>
      </w:r>
      <w:r w:rsidR="001A1F90">
        <w:t xml:space="preserve"> </w:t>
      </w:r>
      <w:r>
        <w:t>gains</w:t>
      </w:r>
      <w:r w:rsidR="001A1F90">
        <w:t xml:space="preserve"> </w:t>
      </w:r>
      <w:r>
        <w:t>and</w:t>
      </w:r>
      <w:r w:rsidR="001A1F90">
        <w:t xml:space="preserve"> </w:t>
      </w:r>
      <w:r>
        <w:t>tolerance</w:t>
      </w:r>
      <w:r w:rsidR="001A1F90">
        <w:t xml:space="preserve"> </w:t>
      </w:r>
      <w:r>
        <w:t>of</w:t>
      </w:r>
      <w:r w:rsidR="001A1F90">
        <w:t xml:space="preserve"> </w:t>
      </w:r>
      <w:r>
        <w:t>anti-libidinal</w:t>
      </w:r>
      <w:r w:rsidR="001A1F90">
        <w:t xml:space="preserve"> </w:t>
      </w:r>
      <w:r>
        <w:t>medications</w:t>
      </w:r>
      <w:r w:rsidR="001A1F90">
        <w:t xml:space="preserve"> </w:t>
      </w:r>
      <w:r>
        <w:t>at</w:t>
      </w:r>
      <w:r w:rsidR="001A1F90">
        <w:t xml:space="preserve"> </w:t>
      </w:r>
      <w:r w:rsidR="000A663E">
        <w:t xml:space="preserve">the </w:t>
      </w:r>
      <w:r>
        <w:t>individual</w:t>
      </w:r>
      <w:r w:rsidR="001A1F90">
        <w:t xml:space="preserve"> </w:t>
      </w:r>
      <w:r>
        <w:t>level.</w:t>
      </w:r>
      <w:r w:rsidR="001A1F90">
        <w:t xml:space="preserve"> </w:t>
      </w:r>
      <w:r>
        <w:t>There</w:t>
      </w:r>
      <w:r w:rsidR="001A1F90">
        <w:t xml:space="preserve"> </w:t>
      </w:r>
      <w:r>
        <w:t>also</w:t>
      </w:r>
      <w:r w:rsidR="001A1F90">
        <w:t xml:space="preserve"> </w:t>
      </w:r>
      <w:r>
        <w:t>still</w:t>
      </w:r>
      <w:r w:rsidR="001A1F90">
        <w:t xml:space="preserve"> </w:t>
      </w:r>
      <w:r>
        <w:t>remains</w:t>
      </w:r>
      <w:r w:rsidR="001A1F90">
        <w:t xml:space="preserve"> </w:t>
      </w:r>
      <w:r>
        <w:t>the</w:t>
      </w:r>
      <w:r w:rsidR="001A1F90">
        <w:t xml:space="preserve"> </w:t>
      </w:r>
      <w:r>
        <w:t>need</w:t>
      </w:r>
      <w:r w:rsidR="001A1F90">
        <w:t xml:space="preserve"> </w:t>
      </w:r>
      <w:r>
        <w:t>for</w:t>
      </w:r>
      <w:r w:rsidR="001A1F90">
        <w:t xml:space="preserve"> </w:t>
      </w:r>
      <w:r>
        <w:t>controlled</w:t>
      </w:r>
      <w:r w:rsidR="001A1F90">
        <w:t xml:space="preserve"> </w:t>
      </w:r>
      <w:r>
        <w:t>studies</w:t>
      </w:r>
      <w:r w:rsidR="001A1F90">
        <w:t xml:space="preserve"> </w:t>
      </w:r>
      <w:r>
        <w:t>to</w:t>
      </w:r>
      <w:r w:rsidR="001A1F90">
        <w:t xml:space="preserve"> </w:t>
      </w:r>
      <w:r>
        <w:t>better</w:t>
      </w:r>
      <w:r w:rsidR="001A1F90">
        <w:t xml:space="preserve"> </w:t>
      </w:r>
      <w:r>
        <w:t>inform</w:t>
      </w:r>
      <w:r w:rsidR="001A1F90">
        <w:t xml:space="preserve"> </w:t>
      </w:r>
      <w:r>
        <w:t>treatment</w:t>
      </w:r>
      <w:r w:rsidR="001A1F90">
        <w:t xml:space="preserve"> </w:t>
      </w:r>
      <w:r>
        <w:t>options</w:t>
      </w:r>
      <w:r w:rsidR="001A1F90">
        <w:t xml:space="preserve"> </w:t>
      </w:r>
      <w:r>
        <w:t>and</w:t>
      </w:r>
      <w:r w:rsidR="001A1F90">
        <w:t xml:space="preserve"> </w:t>
      </w:r>
      <w:r>
        <w:t>efficacy</w:t>
      </w:r>
      <w:r w:rsidR="001A1F90">
        <w:t xml:space="preserve"> </w:t>
      </w:r>
      <w:r>
        <w:t>from</w:t>
      </w:r>
      <w:r w:rsidR="001A1F90">
        <w:t xml:space="preserve"> </w:t>
      </w:r>
      <w:r>
        <w:t>both</w:t>
      </w:r>
      <w:r w:rsidR="001A1F90">
        <w:t xml:space="preserve"> </w:t>
      </w:r>
      <w:r>
        <w:t>psychological</w:t>
      </w:r>
      <w:r w:rsidR="001A1F90">
        <w:t xml:space="preserve"> </w:t>
      </w:r>
      <w:r>
        <w:t>and</w:t>
      </w:r>
      <w:r w:rsidR="001A1F90">
        <w:t xml:space="preserve"> </w:t>
      </w:r>
      <w:r>
        <w:t>pharmacological</w:t>
      </w:r>
      <w:r w:rsidR="001A1F90">
        <w:t xml:space="preserve"> </w:t>
      </w:r>
      <w:r>
        <w:t>approaches</w:t>
      </w:r>
      <w:r w:rsidR="001A1F90">
        <w:t xml:space="preserve"> </w:t>
      </w:r>
      <w:r>
        <w:t>(Ashman</w:t>
      </w:r>
      <w:r w:rsidR="001A1F90">
        <w:t xml:space="preserve"> </w:t>
      </w:r>
      <w:r>
        <w:t>&amp;</w:t>
      </w:r>
      <w:r w:rsidR="001A1F90">
        <w:t xml:space="preserve"> </w:t>
      </w:r>
      <w:r>
        <w:t>Duggan</w:t>
      </w:r>
      <w:r w:rsidR="001A1F90">
        <w:t xml:space="preserve"> </w:t>
      </w:r>
      <w:r>
        <w:t>2008;</w:t>
      </w:r>
      <w:r w:rsidR="001A1F90">
        <w:t xml:space="preserve"> </w:t>
      </w:r>
      <w:r>
        <w:t>Cooper</w:t>
      </w:r>
      <w:r w:rsidR="001A1F90">
        <w:t xml:space="preserve"> </w:t>
      </w:r>
      <w:r>
        <w:t>1995).</w:t>
      </w:r>
    </w:p>
    <w:p w14:paraId="3FE27B09" w14:textId="437E04CB" w:rsidR="004946F1" w:rsidRDefault="004946F1" w:rsidP="00BD612C">
      <w:pPr>
        <w:pStyle w:val="DHHSbody"/>
      </w:pPr>
      <w:r>
        <w:t>To</w:t>
      </w:r>
      <w:r w:rsidR="001A1F90">
        <w:t xml:space="preserve"> </w:t>
      </w:r>
      <w:r>
        <w:t>help</w:t>
      </w:r>
      <w:r w:rsidR="001A1F90">
        <w:t xml:space="preserve"> </w:t>
      </w:r>
      <w:r>
        <w:t>facilitate</w:t>
      </w:r>
      <w:r w:rsidR="001A1F90">
        <w:t xml:space="preserve"> </w:t>
      </w:r>
      <w:r>
        <w:t>decision</w:t>
      </w:r>
      <w:r w:rsidR="006554F9">
        <w:t xml:space="preserve"> </w:t>
      </w:r>
      <w:r>
        <w:t>making</w:t>
      </w:r>
      <w:r w:rsidR="001A1F90">
        <w:t xml:space="preserve"> </w:t>
      </w:r>
      <w:r>
        <w:t>in</w:t>
      </w:r>
      <w:r w:rsidR="001A1F90">
        <w:t xml:space="preserve"> </w:t>
      </w:r>
      <w:r>
        <w:t>the</w:t>
      </w:r>
      <w:r w:rsidR="001A1F90">
        <w:t xml:space="preserve"> </w:t>
      </w:r>
      <w:r>
        <w:t>current</w:t>
      </w:r>
      <w:r w:rsidR="001A1F90">
        <w:t xml:space="preserve"> </w:t>
      </w:r>
      <w:r>
        <w:t>climate</w:t>
      </w:r>
      <w:r w:rsidR="000A663E">
        <w:t>,</w:t>
      </w:r>
      <w:r w:rsidR="001A1F90">
        <w:t xml:space="preserve"> </w:t>
      </w:r>
      <w:r>
        <w:t>there</w:t>
      </w:r>
      <w:r w:rsidR="001A1F90">
        <w:t xml:space="preserve"> </w:t>
      </w:r>
      <w:r>
        <w:t>has</w:t>
      </w:r>
      <w:r w:rsidR="001A1F90">
        <w:t xml:space="preserve"> </w:t>
      </w:r>
      <w:r>
        <w:t>been</w:t>
      </w:r>
      <w:r w:rsidR="001A1F90">
        <w:t xml:space="preserve"> </w:t>
      </w:r>
      <w:r>
        <w:t>a</w:t>
      </w:r>
      <w:r w:rsidR="001A1F90">
        <w:t xml:space="preserve"> </w:t>
      </w:r>
      <w:r>
        <w:t>call</w:t>
      </w:r>
      <w:r w:rsidR="001A1F90">
        <w:t xml:space="preserve"> </w:t>
      </w:r>
      <w:r w:rsidR="000A663E">
        <w:t>to</w:t>
      </w:r>
      <w:r w:rsidR="001A1F90">
        <w:t xml:space="preserve"> </w:t>
      </w:r>
      <w:r>
        <w:t>develop</w:t>
      </w:r>
      <w:r w:rsidR="001A1F90">
        <w:t xml:space="preserve"> </w:t>
      </w:r>
      <w:r>
        <w:t>and</w:t>
      </w:r>
      <w:r w:rsidR="001A1F90">
        <w:t xml:space="preserve"> </w:t>
      </w:r>
      <w:r>
        <w:t>operationalis</w:t>
      </w:r>
      <w:r w:rsidR="000A663E">
        <w:t>e</w:t>
      </w:r>
      <w:r w:rsidR="001A1F90">
        <w:t xml:space="preserve"> </w:t>
      </w:r>
      <w:r>
        <w:t>guidelines</w:t>
      </w:r>
      <w:r w:rsidR="001A1F90">
        <w:t xml:space="preserve"> </w:t>
      </w:r>
      <w:r>
        <w:t>and</w:t>
      </w:r>
      <w:r w:rsidR="001A1F90">
        <w:t xml:space="preserve"> </w:t>
      </w:r>
      <w:r>
        <w:t>protocols</w:t>
      </w:r>
      <w:r w:rsidR="001A1F90">
        <w:t xml:space="preserve"> </w:t>
      </w:r>
      <w:r>
        <w:t>regarding</w:t>
      </w:r>
      <w:r w:rsidR="001A1F90">
        <w:t xml:space="preserve"> </w:t>
      </w:r>
      <w:r>
        <w:t>anti-libidinal</w:t>
      </w:r>
      <w:r w:rsidR="001A1F90">
        <w:t xml:space="preserve"> </w:t>
      </w:r>
      <w:r>
        <w:t>medication</w:t>
      </w:r>
      <w:r w:rsidR="001A1F90">
        <w:t xml:space="preserve"> </w:t>
      </w:r>
      <w:r w:rsidR="000A663E">
        <w:t xml:space="preserve">prescription </w:t>
      </w:r>
      <w:r>
        <w:t>and</w:t>
      </w:r>
      <w:r w:rsidR="001A1F90">
        <w:t xml:space="preserve"> </w:t>
      </w:r>
      <w:r>
        <w:t>the</w:t>
      </w:r>
      <w:r w:rsidR="001A1F90">
        <w:t xml:space="preserve"> </w:t>
      </w:r>
      <w:r>
        <w:t>close</w:t>
      </w:r>
      <w:r w:rsidR="001A1F90">
        <w:t xml:space="preserve"> </w:t>
      </w:r>
      <w:r>
        <w:t>monitoring</w:t>
      </w:r>
      <w:r w:rsidR="001A1F90">
        <w:t xml:space="preserve"> </w:t>
      </w:r>
      <w:r>
        <w:t>of</w:t>
      </w:r>
      <w:r w:rsidR="001A1F90">
        <w:t xml:space="preserve"> </w:t>
      </w:r>
      <w:r>
        <w:t>side</w:t>
      </w:r>
      <w:r w:rsidR="00F550F1">
        <w:t xml:space="preserve"> </w:t>
      </w:r>
      <w:r>
        <w:t>effects</w:t>
      </w:r>
      <w:r w:rsidR="001A1F90">
        <w:t xml:space="preserve"> </w:t>
      </w:r>
      <w:r>
        <w:t>arising</w:t>
      </w:r>
      <w:r w:rsidR="001A1F90">
        <w:t xml:space="preserve"> </w:t>
      </w:r>
      <w:r>
        <w:t>from</w:t>
      </w:r>
      <w:r w:rsidR="001A1F90">
        <w:t xml:space="preserve"> </w:t>
      </w:r>
      <w:r w:rsidR="000A663E">
        <w:t xml:space="preserve">this </w:t>
      </w:r>
      <w:r>
        <w:t>(Gumber</w:t>
      </w:r>
      <w:r w:rsidR="001A1F90">
        <w:t xml:space="preserve"> </w:t>
      </w:r>
      <w:r>
        <w:t>et</w:t>
      </w:r>
      <w:r w:rsidR="001A1F90">
        <w:t xml:space="preserve"> </w:t>
      </w:r>
      <w:r>
        <w:t>al.</w:t>
      </w:r>
      <w:r w:rsidR="001A1F90">
        <w:t xml:space="preserve"> </w:t>
      </w:r>
      <w:r>
        <w:t>2011).</w:t>
      </w:r>
    </w:p>
    <w:p w14:paraId="6E96F0DE" w14:textId="4C729B31" w:rsidR="004946F1" w:rsidRDefault="004946F1" w:rsidP="009B0E14">
      <w:pPr>
        <w:pStyle w:val="Heading2"/>
      </w:pPr>
      <w:bookmarkStart w:id="6" w:name="_Toc20225594"/>
      <w:r>
        <w:t>Rationale</w:t>
      </w:r>
      <w:r w:rsidR="001A1F90">
        <w:t xml:space="preserve"> </w:t>
      </w:r>
      <w:r>
        <w:t>for</w:t>
      </w:r>
      <w:r w:rsidR="001A1F90">
        <w:t xml:space="preserve"> </w:t>
      </w:r>
      <w:r>
        <w:t>current</w:t>
      </w:r>
      <w:r w:rsidR="001A1F90">
        <w:t xml:space="preserve"> </w:t>
      </w:r>
      <w:r>
        <w:t>consultation</w:t>
      </w:r>
      <w:bookmarkEnd w:id="6"/>
    </w:p>
    <w:p w14:paraId="2FA3645E" w14:textId="6F381740" w:rsidR="004946F1" w:rsidRDefault="004946F1" w:rsidP="00BD612C">
      <w:pPr>
        <w:pStyle w:val="DHHSbody"/>
      </w:pPr>
      <w:r>
        <w:t>Given</w:t>
      </w:r>
      <w:r w:rsidR="001A1F90">
        <w:t xml:space="preserve"> </w:t>
      </w:r>
      <w:r>
        <w:t>that</w:t>
      </w:r>
      <w:r w:rsidR="001A1F90">
        <w:t xml:space="preserve"> </w:t>
      </w:r>
      <w:r>
        <w:t>the</w:t>
      </w:r>
      <w:r w:rsidR="001A1F90">
        <w:t xml:space="preserve"> </w:t>
      </w:r>
      <w:r>
        <w:t>current</w:t>
      </w:r>
      <w:r w:rsidR="001A1F90">
        <w:t xml:space="preserve"> </w:t>
      </w:r>
      <w:r>
        <w:t>policy</w:t>
      </w:r>
      <w:r w:rsidR="001A1F90">
        <w:t xml:space="preserve"> </w:t>
      </w:r>
      <w:r>
        <w:t>and</w:t>
      </w:r>
      <w:r w:rsidR="001A1F90">
        <w:t xml:space="preserve"> </w:t>
      </w:r>
      <w:r>
        <w:t>legislative</w:t>
      </w:r>
      <w:r w:rsidR="001A1F90">
        <w:t xml:space="preserve"> </w:t>
      </w:r>
      <w:r>
        <w:t>climate</w:t>
      </w:r>
      <w:r w:rsidR="001A1F90">
        <w:t xml:space="preserve"> </w:t>
      </w:r>
      <w:r>
        <w:t>focuses</w:t>
      </w:r>
      <w:r w:rsidR="001A1F90">
        <w:t xml:space="preserve"> </w:t>
      </w:r>
      <w:r>
        <w:t>on</w:t>
      </w:r>
      <w:r w:rsidR="001A1F90">
        <w:t xml:space="preserve"> </w:t>
      </w:r>
      <w:r>
        <w:t>increased</w:t>
      </w:r>
      <w:r w:rsidR="001A1F90">
        <w:t xml:space="preserve"> </w:t>
      </w:r>
      <w:r>
        <w:t>patient</w:t>
      </w:r>
      <w:r w:rsidR="001A1F90">
        <w:t xml:space="preserve"> </w:t>
      </w:r>
      <w:r>
        <w:t>autonomy</w:t>
      </w:r>
      <w:r w:rsidR="001A1F90">
        <w:t xml:space="preserve"> </w:t>
      </w:r>
      <w:r>
        <w:t>and</w:t>
      </w:r>
      <w:r w:rsidR="001A1F90">
        <w:t xml:space="preserve"> </w:t>
      </w:r>
      <w:r>
        <w:t>encouraging</w:t>
      </w:r>
      <w:r w:rsidR="001A1F90">
        <w:t xml:space="preserve"> </w:t>
      </w:r>
      <w:r>
        <w:t>the</w:t>
      </w:r>
      <w:r w:rsidR="001A1F90">
        <w:t xml:space="preserve"> </w:t>
      </w:r>
      <w:r>
        <w:t>active</w:t>
      </w:r>
      <w:r w:rsidR="001A1F90">
        <w:t xml:space="preserve"> </w:t>
      </w:r>
      <w:r>
        <w:t>participation</w:t>
      </w:r>
      <w:r w:rsidR="001A1F90">
        <w:t xml:space="preserve"> </w:t>
      </w:r>
      <w:r>
        <w:t>of</w:t>
      </w:r>
      <w:r w:rsidR="001A1F90">
        <w:t xml:space="preserve"> </w:t>
      </w:r>
      <w:r>
        <w:t>patients</w:t>
      </w:r>
      <w:r w:rsidR="001A1F90">
        <w:t xml:space="preserve"> </w:t>
      </w:r>
      <w:r>
        <w:t>in</w:t>
      </w:r>
      <w:r w:rsidR="001A1F90">
        <w:t xml:space="preserve"> </w:t>
      </w:r>
      <w:r>
        <w:t>decision</w:t>
      </w:r>
      <w:r w:rsidR="000A663E">
        <w:t xml:space="preserve"> </w:t>
      </w:r>
      <w:r>
        <w:t>making</w:t>
      </w:r>
      <w:r w:rsidR="001A1F90">
        <w:t xml:space="preserve"> </w:t>
      </w:r>
      <w:r>
        <w:t>about</w:t>
      </w:r>
      <w:r w:rsidR="001A1F90">
        <w:t xml:space="preserve"> </w:t>
      </w:r>
      <w:r>
        <w:t>their</w:t>
      </w:r>
      <w:r w:rsidR="001A1F90">
        <w:t xml:space="preserve"> </w:t>
      </w:r>
      <w:r>
        <w:t>care</w:t>
      </w:r>
      <w:r w:rsidR="001A1F90">
        <w:t xml:space="preserve"> </w:t>
      </w:r>
      <w:r>
        <w:t>and</w:t>
      </w:r>
      <w:r w:rsidR="001A1F90">
        <w:t xml:space="preserve"> </w:t>
      </w:r>
      <w:r>
        <w:t>treatment,</w:t>
      </w:r>
      <w:r w:rsidR="001A1F90">
        <w:t xml:space="preserve"> </w:t>
      </w:r>
      <w:r>
        <w:t>there</w:t>
      </w:r>
      <w:r w:rsidR="001A1F90">
        <w:t xml:space="preserve"> </w:t>
      </w:r>
      <w:r>
        <w:t>needs</w:t>
      </w:r>
      <w:r w:rsidR="001A1F90">
        <w:t xml:space="preserve"> </w:t>
      </w:r>
      <w:r>
        <w:t>to</w:t>
      </w:r>
      <w:r w:rsidR="001A1F90">
        <w:t xml:space="preserve"> </w:t>
      </w:r>
      <w:r>
        <w:t>be</w:t>
      </w:r>
      <w:r w:rsidR="001A1F90">
        <w:t xml:space="preserve"> </w:t>
      </w:r>
      <w:r>
        <w:t>much</w:t>
      </w:r>
      <w:r w:rsidR="001A1F90">
        <w:t xml:space="preserve"> </w:t>
      </w:r>
      <w:r>
        <w:t>more</w:t>
      </w:r>
      <w:r w:rsidR="001A1F90">
        <w:t xml:space="preserve"> </w:t>
      </w:r>
      <w:r>
        <w:t>of</w:t>
      </w:r>
      <w:r w:rsidR="001A1F90">
        <w:t xml:space="preserve"> </w:t>
      </w:r>
      <w:r>
        <w:t>a</w:t>
      </w:r>
      <w:r w:rsidR="001A1F90">
        <w:t xml:space="preserve"> </w:t>
      </w:r>
      <w:r>
        <w:t>focus</w:t>
      </w:r>
      <w:r w:rsidR="001A1F90">
        <w:t xml:space="preserve"> </w:t>
      </w:r>
      <w:r>
        <w:t>on</w:t>
      </w:r>
      <w:r w:rsidR="001A1F90">
        <w:t xml:space="preserve"> </w:t>
      </w:r>
      <w:r>
        <w:t>social</w:t>
      </w:r>
      <w:r w:rsidR="001A1F90">
        <w:t xml:space="preserve"> </w:t>
      </w:r>
      <w:r>
        <w:t>and</w:t>
      </w:r>
      <w:r w:rsidR="001A1F90">
        <w:t xml:space="preserve"> </w:t>
      </w:r>
      <w:r>
        <w:t>human</w:t>
      </w:r>
      <w:r w:rsidR="001A1F90">
        <w:t xml:space="preserve"> </w:t>
      </w:r>
      <w:r>
        <w:t>rights</w:t>
      </w:r>
      <w:r w:rsidR="000A663E">
        <w:t>-</w:t>
      </w:r>
      <w:r>
        <w:t>based</w:t>
      </w:r>
      <w:r w:rsidR="001A1F90">
        <w:t xml:space="preserve"> </w:t>
      </w:r>
      <w:r>
        <w:t>considerations</w:t>
      </w:r>
      <w:r w:rsidR="001A1F90">
        <w:t xml:space="preserve"> </w:t>
      </w:r>
      <w:r>
        <w:t>regarding</w:t>
      </w:r>
      <w:r w:rsidR="001A1F90">
        <w:t xml:space="preserve"> </w:t>
      </w:r>
      <w:r>
        <w:t>decision</w:t>
      </w:r>
      <w:r w:rsidR="000A663E">
        <w:t xml:space="preserve"> </w:t>
      </w:r>
      <w:r>
        <w:t>making</w:t>
      </w:r>
      <w:r w:rsidR="001A1F90">
        <w:t xml:space="preserve"> </w:t>
      </w:r>
      <w:r>
        <w:t>around</w:t>
      </w:r>
      <w:r w:rsidR="001A1F90">
        <w:t xml:space="preserve"> </w:t>
      </w:r>
      <w:r>
        <w:t>prescribed</w:t>
      </w:r>
      <w:r w:rsidR="001A1F90">
        <w:t xml:space="preserve"> </w:t>
      </w:r>
      <w:r>
        <w:t>treatments.</w:t>
      </w:r>
      <w:r w:rsidR="001A1F90">
        <w:t xml:space="preserve"> </w:t>
      </w:r>
      <w:r>
        <w:t>All</w:t>
      </w:r>
      <w:r w:rsidR="001A1F90">
        <w:t xml:space="preserve"> </w:t>
      </w:r>
      <w:r>
        <w:t>services</w:t>
      </w:r>
      <w:r w:rsidR="001A1F90">
        <w:t xml:space="preserve"> </w:t>
      </w:r>
      <w:r>
        <w:t>should</w:t>
      </w:r>
      <w:r w:rsidR="001A1F90">
        <w:t xml:space="preserve"> </w:t>
      </w:r>
      <w:r>
        <w:t>ultimately</w:t>
      </w:r>
      <w:r w:rsidR="001A1F90">
        <w:t xml:space="preserve"> </w:t>
      </w:r>
      <w:r>
        <w:t>work</w:t>
      </w:r>
      <w:r w:rsidR="001A1F90">
        <w:t xml:space="preserve"> </w:t>
      </w:r>
      <w:r>
        <w:t>towards</w:t>
      </w:r>
      <w:r w:rsidR="001A1F90">
        <w:t xml:space="preserve"> </w:t>
      </w:r>
      <w:r>
        <w:t>the</w:t>
      </w:r>
      <w:r w:rsidR="001A1F90">
        <w:t xml:space="preserve"> </w:t>
      </w:r>
      <w:r>
        <w:t>same</w:t>
      </w:r>
      <w:r w:rsidR="001A1F90">
        <w:t xml:space="preserve"> </w:t>
      </w:r>
      <w:r>
        <w:t>goals</w:t>
      </w:r>
      <w:r w:rsidR="001A1F90">
        <w:t xml:space="preserve"> </w:t>
      </w:r>
      <w:r>
        <w:t>to</w:t>
      </w:r>
      <w:r w:rsidR="001A1F90">
        <w:t xml:space="preserve"> </w:t>
      </w:r>
      <w:r>
        <w:t>best</w:t>
      </w:r>
      <w:r w:rsidR="001A1F90">
        <w:t xml:space="preserve"> </w:t>
      </w:r>
      <w:r>
        <w:t>meet</w:t>
      </w:r>
      <w:r w:rsidR="001A1F90">
        <w:t xml:space="preserve"> </w:t>
      </w:r>
      <w:r>
        <w:t>the</w:t>
      </w:r>
      <w:r w:rsidR="001A1F90">
        <w:t xml:space="preserve"> </w:t>
      </w:r>
      <w:r>
        <w:t>needs</w:t>
      </w:r>
      <w:r w:rsidR="001A1F90">
        <w:t xml:space="preserve"> </w:t>
      </w:r>
      <w:r>
        <w:t>of</w:t>
      </w:r>
      <w:r w:rsidR="001A1F90">
        <w:t xml:space="preserve"> </w:t>
      </w:r>
      <w:r>
        <w:t>their</w:t>
      </w:r>
      <w:r w:rsidR="001A1F90">
        <w:t xml:space="preserve"> </w:t>
      </w:r>
      <w:r>
        <w:t>client</w:t>
      </w:r>
      <w:r w:rsidR="001A1F90">
        <w:t xml:space="preserve"> </w:t>
      </w:r>
      <w:r>
        <w:t>group</w:t>
      </w:r>
      <w:r w:rsidR="001A1F90">
        <w:t xml:space="preserve"> </w:t>
      </w:r>
      <w:r>
        <w:t>and</w:t>
      </w:r>
      <w:r w:rsidR="001A1F90">
        <w:t xml:space="preserve"> </w:t>
      </w:r>
      <w:r>
        <w:t>should</w:t>
      </w:r>
      <w:r w:rsidR="001A1F90">
        <w:t xml:space="preserve"> </w:t>
      </w:r>
      <w:r>
        <w:t>therefore</w:t>
      </w:r>
      <w:r w:rsidR="001A1F90">
        <w:t xml:space="preserve"> </w:t>
      </w:r>
      <w:r>
        <w:t>base</w:t>
      </w:r>
      <w:r w:rsidR="001A1F90">
        <w:t xml:space="preserve"> </w:t>
      </w:r>
      <w:r>
        <w:t>their</w:t>
      </w:r>
      <w:r w:rsidR="001A1F90">
        <w:t xml:space="preserve"> </w:t>
      </w:r>
      <w:r>
        <w:t>intervention</w:t>
      </w:r>
      <w:r w:rsidR="001A1F90">
        <w:t xml:space="preserve"> </w:t>
      </w:r>
      <w:r>
        <w:t>strategies</w:t>
      </w:r>
      <w:r w:rsidR="001A1F90">
        <w:t xml:space="preserve"> </w:t>
      </w:r>
      <w:r>
        <w:t>on</w:t>
      </w:r>
      <w:r w:rsidR="001A1F90">
        <w:t xml:space="preserve"> </w:t>
      </w:r>
      <w:r>
        <w:t>the</w:t>
      </w:r>
      <w:r w:rsidR="001A1F90">
        <w:t xml:space="preserve"> </w:t>
      </w:r>
      <w:r>
        <w:t>available</w:t>
      </w:r>
      <w:r w:rsidR="001A1F90">
        <w:t xml:space="preserve"> </w:t>
      </w:r>
      <w:r>
        <w:t>evidence</w:t>
      </w:r>
      <w:r w:rsidR="001A1F90">
        <w:t xml:space="preserve"> </w:t>
      </w:r>
      <w:r>
        <w:t>base.</w:t>
      </w:r>
      <w:r w:rsidR="001A1F90">
        <w:t xml:space="preserve"> </w:t>
      </w:r>
      <w:r>
        <w:t>It</w:t>
      </w:r>
      <w:r w:rsidR="001A1F90">
        <w:t xml:space="preserve"> </w:t>
      </w:r>
      <w:r>
        <w:t>is</w:t>
      </w:r>
      <w:r w:rsidR="001A1F90">
        <w:t xml:space="preserve"> </w:t>
      </w:r>
      <w:r>
        <w:t>highly</w:t>
      </w:r>
      <w:r w:rsidR="001A1F90">
        <w:t xml:space="preserve"> </w:t>
      </w:r>
      <w:r>
        <w:t>unlikely</w:t>
      </w:r>
      <w:r w:rsidR="001A1F90">
        <w:t xml:space="preserve"> </w:t>
      </w:r>
      <w:r>
        <w:t>that</w:t>
      </w:r>
      <w:r w:rsidR="001A1F90">
        <w:t xml:space="preserve"> </w:t>
      </w:r>
      <w:r>
        <w:t>any</w:t>
      </w:r>
      <w:r w:rsidR="001A1F90">
        <w:t xml:space="preserve"> </w:t>
      </w:r>
      <w:r>
        <w:t>one</w:t>
      </w:r>
      <w:r w:rsidR="001A1F90">
        <w:t xml:space="preserve"> </w:t>
      </w:r>
      <w:r>
        <w:t>service</w:t>
      </w:r>
      <w:r w:rsidR="001A1F90">
        <w:t xml:space="preserve"> </w:t>
      </w:r>
      <w:r>
        <w:t>alone</w:t>
      </w:r>
      <w:r w:rsidR="001A1F90">
        <w:t xml:space="preserve"> </w:t>
      </w:r>
      <w:r>
        <w:t>can</w:t>
      </w:r>
      <w:r w:rsidR="001A1F90">
        <w:t xml:space="preserve"> </w:t>
      </w:r>
      <w:r>
        <w:t>adequately</w:t>
      </w:r>
      <w:r w:rsidR="001A1F90">
        <w:t xml:space="preserve"> </w:t>
      </w:r>
      <w:r>
        <w:t>cater</w:t>
      </w:r>
      <w:r w:rsidR="001A1F90">
        <w:t xml:space="preserve"> </w:t>
      </w:r>
      <w:r>
        <w:t>for</w:t>
      </w:r>
      <w:r w:rsidR="001A1F90">
        <w:t xml:space="preserve"> </w:t>
      </w:r>
      <w:r>
        <w:t>the</w:t>
      </w:r>
      <w:r w:rsidR="001A1F90">
        <w:t xml:space="preserve"> </w:t>
      </w:r>
      <w:r>
        <w:t>needs</w:t>
      </w:r>
      <w:r w:rsidR="001A1F90">
        <w:t xml:space="preserve"> </w:t>
      </w:r>
      <w:r>
        <w:t>of</w:t>
      </w:r>
      <w:r w:rsidR="001A1F90">
        <w:t xml:space="preserve"> </w:t>
      </w:r>
      <w:r>
        <w:t>this</w:t>
      </w:r>
      <w:r w:rsidR="001A1F90">
        <w:t xml:space="preserve"> </w:t>
      </w:r>
      <w:r>
        <w:t>client</w:t>
      </w:r>
      <w:r w:rsidR="001A1F90">
        <w:t xml:space="preserve"> </w:t>
      </w:r>
      <w:r>
        <w:t>group,</w:t>
      </w:r>
      <w:r w:rsidR="001A1F90">
        <w:t xml:space="preserve"> </w:t>
      </w:r>
      <w:r>
        <w:t>so</w:t>
      </w:r>
      <w:r w:rsidR="001A1F90">
        <w:t xml:space="preserve"> </w:t>
      </w:r>
      <w:r>
        <w:t>collaborative</w:t>
      </w:r>
      <w:r w:rsidR="001A1F90">
        <w:t xml:space="preserve"> </w:t>
      </w:r>
      <w:r>
        <w:t>efforts</w:t>
      </w:r>
      <w:r w:rsidR="001A1F90">
        <w:t xml:space="preserve"> </w:t>
      </w:r>
      <w:r>
        <w:t>are</w:t>
      </w:r>
      <w:r w:rsidR="001A1F90">
        <w:t xml:space="preserve"> </w:t>
      </w:r>
      <w:r>
        <w:t>an</w:t>
      </w:r>
      <w:r w:rsidR="001A1F90">
        <w:t xml:space="preserve"> </w:t>
      </w:r>
      <w:r>
        <w:t>inevitable</w:t>
      </w:r>
      <w:r w:rsidR="001A1F90">
        <w:t xml:space="preserve"> </w:t>
      </w:r>
      <w:r>
        <w:t>component</w:t>
      </w:r>
      <w:r w:rsidR="001A1F90">
        <w:t xml:space="preserve"> </w:t>
      </w:r>
      <w:r>
        <w:t>of</w:t>
      </w:r>
      <w:r w:rsidR="001A1F90">
        <w:t xml:space="preserve"> </w:t>
      </w:r>
      <w:r>
        <w:t>a</w:t>
      </w:r>
      <w:r w:rsidR="001A1F90">
        <w:t xml:space="preserve"> </w:t>
      </w:r>
      <w:r>
        <w:t>multifaceted</w:t>
      </w:r>
      <w:r w:rsidR="001A1F90">
        <w:t xml:space="preserve"> </w:t>
      </w:r>
      <w:r>
        <w:t>service</w:t>
      </w:r>
      <w:r w:rsidR="001A1F90">
        <w:t xml:space="preserve"> </w:t>
      </w:r>
      <w:r>
        <w:t>delivery</w:t>
      </w:r>
      <w:r w:rsidR="001A1F90">
        <w:t xml:space="preserve"> </w:t>
      </w:r>
      <w:r>
        <w:t>model.</w:t>
      </w:r>
      <w:r w:rsidR="001A1F90">
        <w:t xml:space="preserve"> </w:t>
      </w:r>
      <w:r w:rsidR="000A663E">
        <w:t>To</w:t>
      </w:r>
      <w:r w:rsidR="001A1F90">
        <w:t xml:space="preserve"> </w:t>
      </w:r>
      <w:r>
        <w:t>achieve</w:t>
      </w:r>
      <w:r w:rsidR="001A1F90">
        <w:t xml:space="preserve"> </w:t>
      </w:r>
      <w:r>
        <w:t>such</w:t>
      </w:r>
      <w:r w:rsidR="001A1F90">
        <w:t xml:space="preserve"> </w:t>
      </w:r>
      <w:r>
        <w:t>a</w:t>
      </w:r>
      <w:r w:rsidR="001A1F90">
        <w:t xml:space="preserve"> </w:t>
      </w:r>
      <w:r>
        <w:t>goal</w:t>
      </w:r>
      <w:r w:rsidR="001A1F90">
        <w:t xml:space="preserve"> </w:t>
      </w:r>
      <w:r>
        <w:t>across</w:t>
      </w:r>
      <w:r w:rsidR="001A1F90">
        <w:t xml:space="preserve"> </w:t>
      </w:r>
      <w:r>
        <w:t>services,</w:t>
      </w:r>
      <w:r w:rsidR="001A1F90">
        <w:t xml:space="preserve"> </w:t>
      </w:r>
      <w:r>
        <w:t>a</w:t>
      </w:r>
      <w:r w:rsidR="001A1F90">
        <w:t xml:space="preserve"> </w:t>
      </w:r>
      <w:r>
        <w:t>coherent</w:t>
      </w:r>
      <w:r w:rsidR="001A1F90">
        <w:t xml:space="preserve"> </w:t>
      </w:r>
      <w:r>
        <w:t>set</w:t>
      </w:r>
      <w:r w:rsidR="001A1F90">
        <w:t xml:space="preserve"> </w:t>
      </w:r>
      <w:r>
        <w:t>of</w:t>
      </w:r>
      <w:r w:rsidR="001A1F90">
        <w:t xml:space="preserve"> </w:t>
      </w:r>
      <w:r>
        <w:t>guidelines</w:t>
      </w:r>
      <w:r w:rsidR="001A1F90">
        <w:t xml:space="preserve"> </w:t>
      </w:r>
      <w:r>
        <w:t>are</w:t>
      </w:r>
      <w:r w:rsidR="001A1F90">
        <w:t xml:space="preserve"> </w:t>
      </w:r>
      <w:r>
        <w:t>arguably</w:t>
      </w:r>
      <w:r w:rsidR="001A1F90">
        <w:t xml:space="preserve"> </w:t>
      </w:r>
      <w:r>
        <w:t>a</w:t>
      </w:r>
      <w:r w:rsidR="001A1F90">
        <w:t xml:space="preserve"> </w:t>
      </w:r>
      <w:r>
        <w:t>necessity.</w:t>
      </w:r>
      <w:r w:rsidR="001A1F90">
        <w:t xml:space="preserve"> </w:t>
      </w:r>
      <w:r>
        <w:t>It</w:t>
      </w:r>
      <w:r w:rsidR="001A1F90">
        <w:t xml:space="preserve"> </w:t>
      </w:r>
      <w:r>
        <w:t>is</w:t>
      </w:r>
      <w:r w:rsidR="001A1F90">
        <w:t xml:space="preserve"> </w:t>
      </w:r>
      <w:r>
        <w:t>somewhat</w:t>
      </w:r>
      <w:r w:rsidR="001A1F90">
        <w:t xml:space="preserve"> </w:t>
      </w:r>
      <w:r>
        <w:t>surprising</w:t>
      </w:r>
      <w:r w:rsidR="001A1F90">
        <w:t xml:space="preserve"> </w:t>
      </w:r>
      <w:r>
        <w:t>therefore</w:t>
      </w:r>
      <w:r w:rsidR="001A1F90">
        <w:t xml:space="preserve"> </w:t>
      </w:r>
      <w:r>
        <w:t>that</w:t>
      </w:r>
      <w:r w:rsidR="001A1F90">
        <w:t xml:space="preserve"> </w:t>
      </w:r>
      <w:r>
        <w:t>what</w:t>
      </w:r>
      <w:r w:rsidR="001A1F90">
        <w:t xml:space="preserve"> </w:t>
      </w:r>
      <w:r>
        <w:t>remains</w:t>
      </w:r>
      <w:r w:rsidR="001A1F90">
        <w:t xml:space="preserve"> </w:t>
      </w:r>
      <w:r>
        <w:t>lacking</w:t>
      </w:r>
      <w:r w:rsidR="001A1F90">
        <w:t xml:space="preserve"> </w:t>
      </w:r>
      <w:r>
        <w:t>at</w:t>
      </w:r>
      <w:r w:rsidR="001A1F90">
        <w:t xml:space="preserve"> </w:t>
      </w:r>
      <w:r>
        <w:t>the</w:t>
      </w:r>
      <w:r w:rsidR="001A1F90">
        <w:t xml:space="preserve"> </w:t>
      </w:r>
      <w:r>
        <w:t>current</w:t>
      </w:r>
      <w:r w:rsidR="001A1F90">
        <w:t xml:space="preserve"> </w:t>
      </w:r>
      <w:r>
        <w:t>time,</w:t>
      </w:r>
      <w:r w:rsidR="001A1F90">
        <w:t xml:space="preserve"> </w:t>
      </w:r>
      <w:r>
        <w:t>certainly</w:t>
      </w:r>
      <w:r w:rsidR="001A1F90">
        <w:t xml:space="preserve"> </w:t>
      </w:r>
      <w:r>
        <w:t>in</w:t>
      </w:r>
      <w:r w:rsidR="001A1F90">
        <w:t xml:space="preserve"> </w:t>
      </w:r>
      <w:r>
        <w:t>the</w:t>
      </w:r>
      <w:r w:rsidR="001A1F90">
        <w:t xml:space="preserve"> </w:t>
      </w:r>
      <w:r>
        <w:t>Australasian</w:t>
      </w:r>
      <w:r w:rsidR="001A1F90">
        <w:t xml:space="preserve"> </w:t>
      </w:r>
      <w:r>
        <w:t>context,</w:t>
      </w:r>
      <w:r w:rsidR="001A1F90">
        <w:t xml:space="preserve"> </w:t>
      </w:r>
      <w:r>
        <w:t>are</w:t>
      </w:r>
      <w:r w:rsidR="001A1F90">
        <w:t xml:space="preserve"> </w:t>
      </w:r>
      <w:r>
        <w:t>guidelines</w:t>
      </w:r>
      <w:r w:rsidR="001A1F90">
        <w:t xml:space="preserve"> </w:t>
      </w:r>
      <w:r>
        <w:t>pertaining</w:t>
      </w:r>
      <w:r w:rsidR="001A1F90">
        <w:t xml:space="preserve"> </w:t>
      </w:r>
      <w:r>
        <w:t>to</w:t>
      </w:r>
      <w:r w:rsidR="001A1F90">
        <w:t xml:space="preserve"> </w:t>
      </w:r>
      <w:r>
        <w:t>the</w:t>
      </w:r>
      <w:r w:rsidR="001A1F90">
        <w:t xml:space="preserve"> </w:t>
      </w:r>
      <w:r>
        <w:t>prescription</w:t>
      </w:r>
      <w:r w:rsidR="001A1F90">
        <w:t xml:space="preserve"> </w:t>
      </w:r>
      <w:r>
        <w:t>and</w:t>
      </w:r>
      <w:r w:rsidR="001A1F90">
        <w:t xml:space="preserve"> </w:t>
      </w:r>
      <w:r>
        <w:t>monitoring</w:t>
      </w:r>
      <w:r w:rsidR="001A1F90">
        <w:t xml:space="preserve"> </w:t>
      </w:r>
      <w:r>
        <w:t>of</w:t>
      </w:r>
      <w:r w:rsidR="001A1F90">
        <w:t xml:space="preserve"> </w:t>
      </w:r>
      <w:r>
        <w:t>the</w:t>
      </w:r>
      <w:r w:rsidR="001A1F90">
        <w:t xml:space="preserve"> </w:t>
      </w:r>
      <w:r>
        <w:t>risks</w:t>
      </w:r>
      <w:r w:rsidR="001A1F90">
        <w:t xml:space="preserve"> </w:t>
      </w:r>
      <w:r>
        <w:t>and</w:t>
      </w:r>
      <w:r w:rsidR="001A1F90">
        <w:t xml:space="preserve"> </w:t>
      </w:r>
      <w:r>
        <w:t>benefits</w:t>
      </w:r>
      <w:r w:rsidR="001A1F90">
        <w:t xml:space="preserve"> </w:t>
      </w:r>
      <w:r>
        <w:t>of</w:t>
      </w:r>
      <w:r w:rsidR="001A1F90">
        <w:t xml:space="preserve"> </w:t>
      </w:r>
      <w:r>
        <w:t>anti-libidinal</w:t>
      </w:r>
      <w:r w:rsidR="001A1F90">
        <w:t xml:space="preserve"> </w:t>
      </w:r>
      <w:r>
        <w:t>medication</w:t>
      </w:r>
      <w:r w:rsidR="001A1F90">
        <w:t xml:space="preserve"> </w:t>
      </w:r>
      <w:r>
        <w:t>use</w:t>
      </w:r>
      <w:r w:rsidR="001A1F90">
        <w:t xml:space="preserve"> </w:t>
      </w:r>
      <w:r>
        <w:t>with</w:t>
      </w:r>
      <w:r w:rsidR="001A1F90">
        <w:t xml:space="preserve"> </w:t>
      </w:r>
      <w:r>
        <w:t>intellectually</w:t>
      </w:r>
      <w:r w:rsidR="001A1F90">
        <w:t xml:space="preserve"> </w:t>
      </w:r>
      <w:r>
        <w:t>disabled</w:t>
      </w:r>
      <w:r w:rsidR="001A1F90">
        <w:t xml:space="preserve"> </w:t>
      </w:r>
      <w:r>
        <w:t>offenders</w:t>
      </w:r>
      <w:r w:rsidR="001A1F90">
        <w:t xml:space="preserve"> </w:t>
      </w:r>
      <w:r>
        <w:t>who</w:t>
      </w:r>
      <w:r w:rsidR="001A1F90">
        <w:t xml:space="preserve"> </w:t>
      </w:r>
      <w:r>
        <w:t>present</w:t>
      </w:r>
      <w:r w:rsidR="001A1F90">
        <w:t xml:space="preserve"> </w:t>
      </w:r>
      <w:r>
        <w:t>with</w:t>
      </w:r>
      <w:r w:rsidR="001A1F90">
        <w:t xml:space="preserve"> </w:t>
      </w:r>
      <w:r>
        <w:t>sexual</w:t>
      </w:r>
      <w:r w:rsidR="001A1F90">
        <w:t xml:space="preserve"> </w:t>
      </w:r>
      <w:r>
        <w:t>deviance.</w:t>
      </w:r>
    </w:p>
    <w:p w14:paraId="2A4E3D65" w14:textId="7FD07EDD" w:rsidR="004946F1" w:rsidRDefault="004946F1" w:rsidP="00BD612C">
      <w:pPr>
        <w:pStyle w:val="DHHSbody"/>
      </w:pPr>
      <w:r>
        <w:t>A</w:t>
      </w:r>
      <w:r w:rsidR="001A1F90">
        <w:t xml:space="preserve"> </w:t>
      </w:r>
      <w:r>
        <w:t>targeted</w:t>
      </w:r>
      <w:r w:rsidR="001A1F90">
        <w:t xml:space="preserve"> </w:t>
      </w:r>
      <w:r>
        <w:t>review</w:t>
      </w:r>
      <w:r w:rsidR="001A1F90">
        <w:t xml:space="preserve"> </w:t>
      </w:r>
      <w:r>
        <w:t>of</w:t>
      </w:r>
      <w:r w:rsidR="001A1F90">
        <w:t xml:space="preserve"> </w:t>
      </w:r>
      <w:r>
        <w:t>the</w:t>
      </w:r>
      <w:r w:rsidR="001A1F90">
        <w:t xml:space="preserve"> </w:t>
      </w:r>
      <w:r>
        <w:t>literature</w:t>
      </w:r>
      <w:r w:rsidR="001A1F90">
        <w:t xml:space="preserve"> </w:t>
      </w:r>
      <w:r>
        <w:t>outlining</w:t>
      </w:r>
      <w:r w:rsidR="001A1F90">
        <w:t xml:space="preserve"> </w:t>
      </w:r>
      <w:r>
        <w:t>available</w:t>
      </w:r>
      <w:r w:rsidR="001A1F90">
        <w:t xml:space="preserve"> </w:t>
      </w:r>
      <w:r>
        <w:t>guidelines</w:t>
      </w:r>
      <w:r w:rsidR="001A1F90">
        <w:t xml:space="preserve"> </w:t>
      </w:r>
      <w:r>
        <w:t>internationally</w:t>
      </w:r>
      <w:r w:rsidR="001A1F90">
        <w:t xml:space="preserve"> </w:t>
      </w:r>
      <w:r>
        <w:t>identified</w:t>
      </w:r>
      <w:r w:rsidR="001A1F90">
        <w:t xml:space="preserve"> </w:t>
      </w:r>
      <w:r>
        <w:t>two</w:t>
      </w:r>
      <w:r w:rsidR="001A1F90">
        <w:t xml:space="preserve"> </w:t>
      </w:r>
      <w:r>
        <w:t>potential</w:t>
      </w:r>
      <w:r w:rsidR="001A1F90">
        <w:t xml:space="preserve"> </w:t>
      </w:r>
      <w:r>
        <w:t>guidelines</w:t>
      </w:r>
      <w:r w:rsidR="001A1F90">
        <w:t xml:space="preserve"> </w:t>
      </w:r>
      <w:r>
        <w:t>that</w:t>
      </w:r>
      <w:r w:rsidR="001A1F90">
        <w:t xml:space="preserve"> </w:t>
      </w:r>
      <w:r>
        <w:t>could</w:t>
      </w:r>
      <w:r w:rsidR="001A1F90">
        <w:t xml:space="preserve"> </w:t>
      </w:r>
      <w:r>
        <w:t>be</w:t>
      </w:r>
      <w:r w:rsidR="001A1F90">
        <w:t xml:space="preserve"> </w:t>
      </w:r>
      <w:r>
        <w:t>considered</w:t>
      </w:r>
      <w:r w:rsidR="001A1F90">
        <w:t xml:space="preserve"> </w:t>
      </w:r>
      <w:r>
        <w:t>as</w:t>
      </w:r>
      <w:r w:rsidR="001A1F90">
        <w:t xml:space="preserve"> </w:t>
      </w:r>
      <w:r>
        <w:t>the</w:t>
      </w:r>
      <w:r w:rsidR="001A1F90">
        <w:t xml:space="preserve"> </w:t>
      </w:r>
      <w:r>
        <w:t>basis</w:t>
      </w:r>
      <w:r w:rsidR="001A1F90">
        <w:t xml:space="preserve"> </w:t>
      </w:r>
      <w:r>
        <w:t>for</w:t>
      </w:r>
      <w:r w:rsidR="001A1F90">
        <w:t xml:space="preserve"> </w:t>
      </w:r>
      <w:r>
        <w:t>proposing</w:t>
      </w:r>
      <w:r w:rsidR="001A1F90">
        <w:t xml:space="preserve"> </w:t>
      </w:r>
      <w:r>
        <w:t>guidelines</w:t>
      </w:r>
      <w:r w:rsidR="001A1F90">
        <w:t xml:space="preserve"> </w:t>
      </w:r>
      <w:r>
        <w:t>for</w:t>
      </w:r>
      <w:r w:rsidR="001A1F90">
        <w:t xml:space="preserve"> </w:t>
      </w:r>
      <w:r>
        <w:t>use</w:t>
      </w:r>
      <w:r w:rsidR="001A1F90">
        <w:t xml:space="preserve"> </w:t>
      </w:r>
      <w:r>
        <w:t>in</w:t>
      </w:r>
      <w:r w:rsidR="001A1F90">
        <w:t xml:space="preserve"> </w:t>
      </w:r>
      <w:r>
        <w:t>Australasia.</w:t>
      </w:r>
      <w:r w:rsidR="001A1F90">
        <w:t xml:space="preserve"> </w:t>
      </w:r>
      <w:r>
        <w:t>The</w:t>
      </w:r>
      <w:r w:rsidR="001A1F90">
        <w:t xml:space="preserve"> </w:t>
      </w:r>
      <w:r>
        <w:t>next</w:t>
      </w:r>
      <w:r w:rsidR="001A1F90">
        <w:t xml:space="preserve"> </w:t>
      </w:r>
      <w:r>
        <w:t>section</w:t>
      </w:r>
      <w:r w:rsidR="001A1F90">
        <w:t xml:space="preserve"> </w:t>
      </w:r>
      <w:r>
        <w:t>summarises</w:t>
      </w:r>
      <w:r w:rsidR="001A1F90">
        <w:t xml:space="preserve"> </w:t>
      </w:r>
      <w:r>
        <w:t>the</w:t>
      </w:r>
      <w:r w:rsidR="001A1F90">
        <w:t xml:space="preserve"> </w:t>
      </w:r>
      <w:r>
        <w:t>scope</w:t>
      </w:r>
      <w:r w:rsidR="001A1F90">
        <w:t xml:space="preserve"> </w:t>
      </w:r>
      <w:r>
        <w:t>and</w:t>
      </w:r>
      <w:r w:rsidR="001A1F90">
        <w:t xml:space="preserve"> </w:t>
      </w:r>
      <w:r>
        <w:t>breadth</w:t>
      </w:r>
      <w:r w:rsidR="001A1F90">
        <w:t xml:space="preserve"> </w:t>
      </w:r>
      <w:r>
        <w:t>of</w:t>
      </w:r>
      <w:r w:rsidR="001A1F90">
        <w:t xml:space="preserve"> </w:t>
      </w:r>
      <w:r>
        <w:t>these</w:t>
      </w:r>
      <w:r w:rsidR="001A1F90">
        <w:t xml:space="preserve"> </w:t>
      </w:r>
      <w:r>
        <w:t>guidelines</w:t>
      </w:r>
      <w:r w:rsidR="001A1F90">
        <w:t xml:space="preserve"> </w:t>
      </w:r>
      <w:r>
        <w:t>as</w:t>
      </w:r>
      <w:r w:rsidR="001A1F90">
        <w:t xml:space="preserve"> </w:t>
      </w:r>
      <w:r>
        <w:t>they</w:t>
      </w:r>
      <w:r w:rsidR="001A1F90">
        <w:t xml:space="preserve"> </w:t>
      </w:r>
      <w:r>
        <w:t>relate</w:t>
      </w:r>
      <w:r w:rsidR="001A1F90">
        <w:t xml:space="preserve"> </w:t>
      </w:r>
      <w:r>
        <w:t>to</w:t>
      </w:r>
      <w:r w:rsidR="001A1F90">
        <w:t xml:space="preserve"> </w:t>
      </w:r>
      <w:r>
        <w:t>the</w:t>
      </w:r>
      <w:r w:rsidR="001A1F90">
        <w:t xml:space="preserve"> </w:t>
      </w:r>
      <w:r>
        <w:t>need</w:t>
      </w:r>
      <w:r w:rsidR="001A1F90">
        <w:t xml:space="preserve"> </w:t>
      </w:r>
      <w:r>
        <w:t>for</w:t>
      </w:r>
      <w:r w:rsidR="001A1F90">
        <w:t xml:space="preserve"> </w:t>
      </w:r>
      <w:r>
        <w:t>a</w:t>
      </w:r>
      <w:r w:rsidR="001A1F90">
        <w:t xml:space="preserve"> </w:t>
      </w:r>
      <w:r>
        <w:t>multifaceted</w:t>
      </w:r>
      <w:r w:rsidR="001A1F90">
        <w:t xml:space="preserve"> </w:t>
      </w:r>
      <w:r>
        <w:t>psychological,</w:t>
      </w:r>
      <w:r w:rsidR="001A1F90">
        <w:t xml:space="preserve"> </w:t>
      </w:r>
      <w:r>
        <w:t>environmental</w:t>
      </w:r>
      <w:r w:rsidR="001A1F90">
        <w:t xml:space="preserve"> </w:t>
      </w:r>
      <w:r>
        <w:t>and</w:t>
      </w:r>
      <w:r w:rsidR="001A1F90">
        <w:t xml:space="preserve"> </w:t>
      </w:r>
      <w:r>
        <w:t>biological</w:t>
      </w:r>
      <w:r w:rsidR="001A1F90">
        <w:t xml:space="preserve"> </w:t>
      </w:r>
      <w:r>
        <w:t>approach</w:t>
      </w:r>
      <w:r w:rsidR="001A1F90">
        <w:t xml:space="preserve"> </w:t>
      </w:r>
      <w:r>
        <w:t>to</w:t>
      </w:r>
      <w:r w:rsidR="001A1F90">
        <w:t xml:space="preserve"> </w:t>
      </w:r>
      <w:r>
        <w:t>manag</w:t>
      </w:r>
      <w:r w:rsidR="000A663E">
        <w:t>ing</w:t>
      </w:r>
      <w:r w:rsidR="001A1F90">
        <w:t xml:space="preserve"> </w:t>
      </w:r>
      <w:r>
        <w:t>sexual</w:t>
      </w:r>
      <w:r w:rsidR="001A1F90">
        <w:t xml:space="preserve"> </w:t>
      </w:r>
      <w:r>
        <w:t>deviance</w:t>
      </w:r>
      <w:r w:rsidR="001A1F90">
        <w:t xml:space="preserve"> </w:t>
      </w:r>
      <w:r>
        <w:t>and</w:t>
      </w:r>
      <w:r w:rsidR="001A1F90">
        <w:t xml:space="preserve"> </w:t>
      </w:r>
      <w:r>
        <w:t>its</w:t>
      </w:r>
      <w:r w:rsidR="001A1F90">
        <w:t xml:space="preserve"> </w:t>
      </w:r>
      <w:r>
        <w:t>potential</w:t>
      </w:r>
      <w:r w:rsidR="001A1F90">
        <w:t xml:space="preserve"> </w:t>
      </w:r>
      <w:r>
        <w:t>application</w:t>
      </w:r>
      <w:r w:rsidR="001A1F90">
        <w:t xml:space="preserve"> </w:t>
      </w:r>
      <w:r>
        <w:t>to</w:t>
      </w:r>
      <w:r w:rsidR="001A1F90">
        <w:t xml:space="preserve"> </w:t>
      </w:r>
      <w:r>
        <w:t>people</w:t>
      </w:r>
      <w:r w:rsidR="001A1F90">
        <w:t xml:space="preserve"> </w:t>
      </w:r>
      <w:r>
        <w:t>with</w:t>
      </w:r>
      <w:r w:rsidR="001A1F90">
        <w:t xml:space="preserve"> </w:t>
      </w:r>
      <w:r>
        <w:t>intellectual</w:t>
      </w:r>
      <w:r w:rsidR="001A1F90">
        <w:t xml:space="preserve"> </w:t>
      </w:r>
      <w:r>
        <w:t>disability.</w:t>
      </w:r>
    </w:p>
    <w:p w14:paraId="16961DF7" w14:textId="42FBFD3A" w:rsidR="004946F1" w:rsidRDefault="00301CA9" w:rsidP="009B0E14">
      <w:pPr>
        <w:pStyle w:val="Heading1"/>
      </w:pPr>
      <w:bookmarkStart w:id="7" w:name="_Toc20225595"/>
      <w:r>
        <w:t>1</w:t>
      </w:r>
      <w:r w:rsidR="004946F1">
        <w:t>.</w:t>
      </w:r>
      <w:r w:rsidR="001A1F90">
        <w:t xml:space="preserve"> </w:t>
      </w:r>
      <w:r w:rsidR="004946F1">
        <w:t>Available</w:t>
      </w:r>
      <w:r w:rsidR="001A1F90">
        <w:t xml:space="preserve"> </w:t>
      </w:r>
      <w:r w:rsidR="004946F1">
        <w:t>guidelines</w:t>
      </w:r>
      <w:bookmarkEnd w:id="7"/>
    </w:p>
    <w:p w14:paraId="18085125" w14:textId="13997076" w:rsidR="004946F1" w:rsidRDefault="004946F1" w:rsidP="009B0E14">
      <w:pPr>
        <w:pStyle w:val="Heading2"/>
      </w:pPr>
      <w:bookmarkStart w:id="8" w:name="_Toc20225596"/>
      <w:r>
        <w:t>Bone</w:t>
      </w:r>
      <w:r w:rsidR="001A1F90">
        <w:t xml:space="preserve"> </w:t>
      </w:r>
      <w:r>
        <w:t>health</w:t>
      </w:r>
      <w:r w:rsidR="001A1F90">
        <w:t xml:space="preserve"> </w:t>
      </w:r>
      <w:r>
        <w:t>and</w:t>
      </w:r>
      <w:r w:rsidR="001A1F90">
        <w:t xml:space="preserve"> </w:t>
      </w:r>
      <w:r>
        <w:t>metabolic</w:t>
      </w:r>
      <w:r w:rsidR="001A1F90">
        <w:t xml:space="preserve"> </w:t>
      </w:r>
      <w:r>
        <w:t>health</w:t>
      </w:r>
      <w:r w:rsidR="001A1F90">
        <w:t xml:space="preserve"> </w:t>
      </w:r>
      <w:r>
        <w:t>for</w:t>
      </w:r>
      <w:r w:rsidR="001A1F90">
        <w:t xml:space="preserve"> </w:t>
      </w:r>
      <w:r>
        <w:t>patients</w:t>
      </w:r>
      <w:r w:rsidR="001A1F90">
        <w:t xml:space="preserve"> </w:t>
      </w:r>
      <w:r>
        <w:t>who</w:t>
      </w:r>
      <w:r w:rsidR="001A1F90">
        <w:t xml:space="preserve"> </w:t>
      </w:r>
      <w:r>
        <w:t>are</w:t>
      </w:r>
      <w:r w:rsidR="001A1F90">
        <w:t xml:space="preserve"> </w:t>
      </w:r>
      <w:r>
        <w:t>receiving</w:t>
      </w:r>
      <w:r w:rsidR="001A1F90">
        <w:t xml:space="preserve"> </w:t>
      </w:r>
      <w:r>
        <w:t>androgen</w:t>
      </w:r>
      <w:r w:rsidR="001A1F90">
        <w:t xml:space="preserve"> </w:t>
      </w:r>
      <w:r>
        <w:t>deprivation</w:t>
      </w:r>
      <w:r w:rsidR="001A1F90">
        <w:t xml:space="preserve"> </w:t>
      </w:r>
      <w:r>
        <w:t>therapy</w:t>
      </w:r>
      <w:bookmarkEnd w:id="8"/>
    </w:p>
    <w:p w14:paraId="121DA5B4" w14:textId="03A6AA1A" w:rsidR="004946F1" w:rsidRDefault="004946F1" w:rsidP="00BD612C">
      <w:pPr>
        <w:pStyle w:val="DHHSbody"/>
      </w:pPr>
      <w:r>
        <w:t>The</w:t>
      </w:r>
      <w:r w:rsidR="001A1F90">
        <w:t xml:space="preserve"> </w:t>
      </w:r>
      <w:r>
        <w:t>first</w:t>
      </w:r>
      <w:r w:rsidR="001A1F90">
        <w:t xml:space="preserve"> </w:t>
      </w:r>
      <w:r>
        <w:t>guidelines</w:t>
      </w:r>
      <w:r w:rsidR="001A1F90">
        <w:t xml:space="preserve"> </w:t>
      </w:r>
      <w:r>
        <w:t>were</w:t>
      </w:r>
      <w:r w:rsidR="001A1F90">
        <w:t xml:space="preserve"> </w:t>
      </w:r>
      <w:r>
        <w:t>sourced</w:t>
      </w:r>
      <w:r w:rsidR="001A1F90">
        <w:t xml:space="preserve"> </w:t>
      </w:r>
      <w:r>
        <w:t>through</w:t>
      </w:r>
      <w:r w:rsidR="001A1F90">
        <w:t xml:space="preserve"> </w:t>
      </w:r>
      <w:r w:rsidR="000A663E">
        <w:t xml:space="preserve">a </w:t>
      </w:r>
      <w:r>
        <w:t>collaboration</w:t>
      </w:r>
      <w:r w:rsidR="001A1F90">
        <w:t xml:space="preserve"> </w:t>
      </w:r>
      <w:r>
        <w:t>between</w:t>
      </w:r>
      <w:r w:rsidR="001A1F90">
        <w:t xml:space="preserve"> </w:t>
      </w:r>
      <w:r>
        <w:t>the</w:t>
      </w:r>
      <w:r w:rsidR="001A1F90">
        <w:t xml:space="preserve"> </w:t>
      </w:r>
      <w:r>
        <w:t>Endocrine</w:t>
      </w:r>
      <w:r w:rsidR="001A1F90">
        <w:t xml:space="preserve"> </w:t>
      </w:r>
      <w:r>
        <w:t>Society</w:t>
      </w:r>
      <w:r w:rsidR="001A1F90">
        <w:t xml:space="preserve"> </w:t>
      </w:r>
      <w:r>
        <w:t>of</w:t>
      </w:r>
      <w:r w:rsidR="001A1F90">
        <w:t xml:space="preserve"> </w:t>
      </w:r>
      <w:r>
        <w:t>Australia,</w:t>
      </w:r>
      <w:r w:rsidR="001A1F90">
        <w:t xml:space="preserve"> </w:t>
      </w:r>
      <w:r>
        <w:t>the</w:t>
      </w:r>
      <w:r w:rsidR="001A1F90">
        <w:t xml:space="preserve"> </w:t>
      </w:r>
      <w:r>
        <w:t>Australian</w:t>
      </w:r>
      <w:r w:rsidR="001A1F90">
        <w:t xml:space="preserve"> </w:t>
      </w:r>
      <w:r>
        <w:t>and</w:t>
      </w:r>
      <w:r w:rsidR="001A1F90">
        <w:t xml:space="preserve"> </w:t>
      </w:r>
      <w:r>
        <w:t>New</w:t>
      </w:r>
      <w:r w:rsidR="001A1F90">
        <w:t xml:space="preserve"> </w:t>
      </w:r>
      <w:r>
        <w:t>Zealand</w:t>
      </w:r>
      <w:r w:rsidR="001A1F90">
        <w:t xml:space="preserve"> </w:t>
      </w:r>
      <w:r>
        <w:t>Bone</w:t>
      </w:r>
      <w:r w:rsidR="001A1F90">
        <w:t xml:space="preserve"> </w:t>
      </w:r>
      <w:r>
        <w:t>and</w:t>
      </w:r>
      <w:r w:rsidR="001A1F90">
        <w:t xml:space="preserve"> </w:t>
      </w:r>
      <w:r>
        <w:t>Mineral</w:t>
      </w:r>
      <w:r w:rsidR="001A1F90">
        <w:t xml:space="preserve"> </w:t>
      </w:r>
      <w:r>
        <w:t>Society,</w:t>
      </w:r>
      <w:r w:rsidR="001A1F90">
        <w:t xml:space="preserve"> </w:t>
      </w:r>
      <w:r>
        <w:t>and</w:t>
      </w:r>
      <w:r w:rsidR="001A1F90">
        <w:t xml:space="preserve"> </w:t>
      </w:r>
      <w:r>
        <w:t>the</w:t>
      </w:r>
      <w:r w:rsidR="001A1F90">
        <w:t xml:space="preserve"> </w:t>
      </w:r>
      <w:r>
        <w:t>Urological</w:t>
      </w:r>
      <w:r w:rsidR="001A1F90">
        <w:t xml:space="preserve"> </w:t>
      </w:r>
      <w:r>
        <w:t>Society</w:t>
      </w:r>
      <w:r w:rsidR="001A1F90">
        <w:t xml:space="preserve"> </w:t>
      </w:r>
      <w:r>
        <w:t>of</w:t>
      </w:r>
      <w:r w:rsidR="001A1F90">
        <w:t xml:space="preserve"> </w:t>
      </w:r>
      <w:r>
        <w:t>Australia</w:t>
      </w:r>
      <w:r w:rsidR="001A1F90">
        <w:t xml:space="preserve"> </w:t>
      </w:r>
      <w:r>
        <w:t>and</w:t>
      </w:r>
      <w:r w:rsidR="001A1F90">
        <w:t xml:space="preserve"> </w:t>
      </w:r>
      <w:r>
        <w:t>New</w:t>
      </w:r>
      <w:r w:rsidR="001A1F90">
        <w:t xml:space="preserve"> </w:t>
      </w:r>
      <w:r>
        <w:t>Zealand.</w:t>
      </w:r>
      <w:r w:rsidR="001A1F90">
        <w:t xml:space="preserve"> </w:t>
      </w:r>
      <w:r>
        <w:t>They</w:t>
      </w:r>
      <w:r w:rsidR="001A1F90">
        <w:t xml:space="preserve"> </w:t>
      </w:r>
      <w:r>
        <w:t>focus</w:t>
      </w:r>
      <w:r w:rsidR="001A1F90">
        <w:t xml:space="preserve"> </w:t>
      </w:r>
      <w:r>
        <w:t>on</w:t>
      </w:r>
      <w:r w:rsidR="001A1F90">
        <w:t xml:space="preserve"> </w:t>
      </w:r>
      <w:r>
        <w:t>recommendations</w:t>
      </w:r>
      <w:r w:rsidR="001A1F90">
        <w:t xml:space="preserve"> </w:t>
      </w:r>
      <w:r>
        <w:t>around</w:t>
      </w:r>
      <w:r w:rsidR="001A1F90">
        <w:t xml:space="preserve"> </w:t>
      </w:r>
      <w:r>
        <w:t>assessing</w:t>
      </w:r>
      <w:r w:rsidR="001A1F90">
        <w:t xml:space="preserve"> </w:t>
      </w:r>
      <w:r>
        <w:t>and</w:t>
      </w:r>
      <w:r w:rsidR="001A1F90">
        <w:t xml:space="preserve"> </w:t>
      </w:r>
      <w:r>
        <w:t>managing</w:t>
      </w:r>
      <w:r w:rsidR="001A1F90">
        <w:t xml:space="preserve"> </w:t>
      </w:r>
      <w:r>
        <w:t>bone</w:t>
      </w:r>
      <w:r w:rsidR="001A1F90">
        <w:t xml:space="preserve"> </w:t>
      </w:r>
      <w:r>
        <w:t>health</w:t>
      </w:r>
      <w:r w:rsidR="001A1F90">
        <w:t xml:space="preserve"> </w:t>
      </w:r>
      <w:r>
        <w:t>and</w:t>
      </w:r>
      <w:r w:rsidR="001A1F90">
        <w:t xml:space="preserve"> </w:t>
      </w:r>
      <w:r>
        <w:t>metabolic</w:t>
      </w:r>
      <w:r w:rsidR="001A1F90">
        <w:t xml:space="preserve"> </w:t>
      </w:r>
      <w:r>
        <w:t>health</w:t>
      </w:r>
      <w:r w:rsidR="001A1F90">
        <w:t xml:space="preserve"> </w:t>
      </w:r>
      <w:r>
        <w:t>for</w:t>
      </w:r>
      <w:r w:rsidR="001A1F90">
        <w:t xml:space="preserve"> </w:t>
      </w:r>
      <w:r>
        <w:t>patients</w:t>
      </w:r>
      <w:r w:rsidR="001A1F90">
        <w:t xml:space="preserve"> </w:t>
      </w:r>
      <w:r>
        <w:t>who</w:t>
      </w:r>
      <w:r w:rsidR="001A1F90">
        <w:t xml:space="preserve"> </w:t>
      </w:r>
      <w:r>
        <w:t>are</w:t>
      </w:r>
      <w:r w:rsidR="001A1F90">
        <w:t xml:space="preserve"> </w:t>
      </w:r>
      <w:r>
        <w:t>receiving</w:t>
      </w:r>
      <w:r w:rsidR="001A1F90">
        <w:t xml:space="preserve"> </w:t>
      </w:r>
      <w:r>
        <w:t>androgen</w:t>
      </w:r>
      <w:r w:rsidR="001A1F90">
        <w:t xml:space="preserve"> </w:t>
      </w:r>
      <w:r>
        <w:t>deprivation</w:t>
      </w:r>
      <w:r w:rsidR="001A1F90">
        <w:t xml:space="preserve"> </w:t>
      </w:r>
      <w:r>
        <w:t>therapy</w:t>
      </w:r>
      <w:r w:rsidR="001A1F90">
        <w:t xml:space="preserve"> </w:t>
      </w:r>
      <w:r>
        <w:t>for</w:t>
      </w:r>
      <w:r w:rsidR="001A1F90">
        <w:t xml:space="preserve"> </w:t>
      </w:r>
      <w:r>
        <w:t>non-metastatic</w:t>
      </w:r>
      <w:r w:rsidR="001A1F90">
        <w:t xml:space="preserve"> </w:t>
      </w:r>
      <w:r>
        <w:t>prostate</w:t>
      </w:r>
      <w:r w:rsidR="001A1F90">
        <w:t xml:space="preserve"> </w:t>
      </w:r>
      <w:r>
        <w:t>cancer.</w:t>
      </w:r>
      <w:r w:rsidR="001A1F90">
        <w:t xml:space="preserve"> </w:t>
      </w:r>
      <w:r>
        <w:t>They</w:t>
      </w:r>
      <w:r w:rsidR="001A1F90">
        <w:t xml:space="preserve"> </w:t>
      </w:r>
      <w:r>
        <w:t>were</w:t>
      </w:r>
      <w:r w:rsidR="001A1F90">
        <w:t xml:space="preserve"> </w:t>
      </w:r>
      <w:r>
        <w:t>published</w:t>
      </w:r>
      <w:r w:rsidR="001A1F90">
        <w:t xml:space="preserve"> </w:t>
      </w:r>
      <w:r>
        <w:t>in</w:t>
      </w:r>
      <w:r w:rsidR="001A1F90">
        <w:t xml:space="preserve"> </w:t>
      </w:r>
      <w:r>
        <w:t>the</w:t>
      </w:r>
      <w:r w:rsidR="001A1F90">
        <w:t xml:space="preserve"> </w:t>
      </w:r>
      <w:r w:rsidRPr="001F18FC">
        <w:rPr>
          <w:i/>
          <w:iCs/>
        </w:rPr>
        <w:t>Medical</w:t>
      </w:r>
      <w:r w:rsidR="001A1F90" w:rsidRPr="001F18FC">
        <w:rPr>
          <w:i/>
          <w:iCs/>
        </w:rPr>
        <w:t xml:space="preserve"> </w:t>
      </w:r>
      <w:r w:rsidRPr="001F18FC">
        <w:rPr>
          <w:i/>
          <w:iCs/>
        </w:rPr>
        <w:t>Journal</w:t>
      </w:r>
      <w:r w:rsidR="001A1F90" w:rsidRPr="001F18FC">
        <w:rPr>
          <w:i/>
          <w:iCs/>
        </w:rPr>
        <w:t xml:space="preserve"> </w:t>
      </w:r>
      <w:r w:rsidRPr="001F18FC">
        <w:rPr>
          <w:i/>
          <w:iCs/>
        </w:rPr>
        <w:t>of</w:t>
      </w:r>
      <w:r w:rsidR="001A1F90" w:rsidRPr="001F18FC">
        <w:rPr>
          <w:i/>
          <w:iCs/>
        </w:rPr>
        <w:t xml:space="preserve"> </w:t>
      </w:r>
      <w:r w:rsidRPr="001F18FC">
        <w:rPr>
          <w:i/>
          <w:iCs/>
        </w:rPr>
        <w:t>Australia</w:t>
      </w:r>
      <w:r w:rsidR="001A1F90">
        <w:t xml:space="preserve"> </w:t>
      </w:r>
      <w:r>
        <w:t>in</w:t>
      </w:r>
      <w:r w:rsidR="001A1F90">
        <w:t xml:space="preserve"> </w:t>
      </w:r>
      <w:r>
        <w:t>March</w:t>
      </w:r>
      <w:r w:rsidR="001A1F90">
        <w:t xml:space="preserve"> </w:t>
      </w:r>
      <w:r>
        <w:t>2011</w:t>
      </w:r>
      <w:r w:rsidR="001A1F90">
        <w:t xml:space="preserve"> </w:t>
      </w:r>
      <w:r>
        <w:t>(Grossman</w:t>
      </w:r>
      <w:r w:rsidR="006554F9">
        <w:t xml:space="preserve"> et al. </w:t>
      </w:r>
      <w:r>
        <w:t>2011).</w:t>
      </w:r>
      <w:r w:rsidR="001A1F90">
        <w:t xml:space="preserve"> </w:t>
      </w:r>
      <w:r>
        <w:t>The</w:t>
      </w:r>
      <w:r w:rsidR="001A1F90">
        <w:t xml:space="preserve"> </w:t>
      </w:r>
      <w:r>
        <w:t>paper</w:t>
      </w:r>
      <w:r w:rsidR="001A1F90">
        <w:t xml:space="preserve"> </w:t>
      </w:r>
      <w:r>
        <w:t>outlines</w:t>
      </w:r>
      <w:r w:rsidR="001A1F90">
        <w:t xml:space="preserve"> </w:t>
      </w:r>
      <w:r>
        <w:t>the</w:t>
      </w:r>
      <w:r w:rsidR="001A1F90">
        <w:t xml:space="preserve"> </w:t>
      </w:r>
      <w:r>
        <w:t>application</w:t>
      </w:r>
      <w:r w:rsidR="001A1F90">
        <w:t xml:space="preserve"> </w:t>
      </w:r>
      <w:r>
        <w:t>of</w:t>
      </w:r>
      <w:r w:rsidR="001A1F90">
        <w:t xml:space="preserve"> </w:t>
      </w:r>
      <w:r>
        <w:t>a</w:t>
      </w:r>
      <w:r w:rsidR="001A1F90">
        <w:t xml:space="preserve"> </w:t>
      </w:r>
      <w:r>
        <w:t>risks</w:t>
      </w:r>
      <w:r w:rsidR="001A1F90">
        <w:t xml:space="preserve"> </w:t>
      </w:r>
      <w:r>
        <w:t>and</w:t>
      </w:r>
      <w:r w:rsidR="001A1F90">
        <w:t xml:space="preserve"> </w:t>
      </w:r>
      <w:r>
        <w:t>benefits</w:t>
      </w:r>
      <w:r w:rsidR="001A1F90">
        <w:t xml:space="preserve"> </w:t>
      </w:r>
      <w:r>
        <w:t>assessment</w:t>
      </w:r>
      <w:r w:rsidR="001A1F90">
        <w:t xml:space="preserve"> </w:t>
      </w:r>
      <w:r>
        <w:t>in</w:t>
      </w:r>
      <w:r w:rsidR="001A1F90">
        <w:t xml:space="preserve"> </w:t>
      </w:r>
      <w:r>
        <w:t>relation</w:t>
      </w:r>
      <w:r w:rsidR="001A1F90">
        <w:t xml:space="preserve"> </w:t>
      </w:r>
      <w:r>
        <w:t>to</w:t>
      </w:r>
      <w:r w:rsidR="001A1F90">
        <w:t xml:space="preserve"> </w:t>
      </w:r>
      <w:r>
        <w:t>their</w:t>
      </w:r>
      <w:r w:rsidR="001A1F90">
        <w:t xml:space="preserve"> </w:t>
      </w:r>
      <w:r>
        <w:t>use,</w:t>
      </w:r>
      <w:r w:rsidR="001A1F90">
        <w:t xml:space="preserve"> </w:t>
      </w:r>
      <w:r>
        <w:t>focusing</w:t>
      </w:r>
      <w:r w:rsidR="001A1F90">
        <w:t xml:space="preserve"> </w:t>
      </w:r>
      <w:r>
        <w:t>on</w:t>
      </w:r>
      <w:r w:rsidR="001A1F90">
        <w:t xml:space="preserve"> </w:t>
      </w:r>
      <w:r>
        <w:t>a</w:t>
      </w:r>
      <w:r w:rsidR="001A1F90">
        <w:t xml:space="preserve"> </w:t>
      </w:r>
      <w:r>
        <w:t>number</w:t>
      </w:r>
      <w:r w:rsidR="001A1F90">
        <w:t xml:space="preserve"> </w:t>
      </w:r>
      <w:r>
        <w:t>of</w:t>
      </w:r>
      <w:r w:rsidR="001A1F90">
        <w:t xml:space="preserve"> </w:t>
      </w:r>
      <w:r>
        <w:t>possible</w:t>
      </w:r>
      <w:r w:rsidR="001A1F90">
        <w:t xml:space="preserve"> </w:t>
      </w:r>
      <w:r>
        <w:t>adverse</w:t>
      </w:r>
      <w:r w:rsidR="001A1F90">
        <w:t xml:space="preserve"> </w:t>
      </w:r>
      <w:r>
        <w:t>side</w:t>
      </w:r>
      <w:r w:rsidR="001A1F90">
        <w:t xml:space="preserve"> </w:t>
      </w:r>
      <w:r>
        <w:t>effects</w:t>
      </w:r>
      <w:r w:rsidR="001A1F90">
        <w:t xml:space="preserve"> </w:t>
      </w:r>
      <w:r>
        <w:t>arising</w:t>
      </w:r>
      <w:r w:rsidR="001A1F90">
        <w:t xml:space="preserve"> </w:t>
      </w:r>
      <w:r>
        <w:t>from</w:t>
      </w:r>
      <w:r w:rsidR="001A1F90">
        <w:t xml:space="preserve"> </w:t>
      </w:r>
      <w:r>
        <w:t>the</w:t>
      </w:r>
      <w:r w:rsidR="001A1F90">
        <w:t xml:space="preserve"> </w:t>
      </w:r>
      <w:r>
        <w:t>medication,</w:t>
      </w:r>
      <w:r w:rsidR="001A1F90">
        <w:t xml:space="preserve"> </w:t>
      </w:r>
      <w:r>
        <w:t>especially</w:t>
      </w:r>
      <w:r w:rsidR="001A1F90">
        <w:t xml:space="preserve"> </w:t>
      </w:r>
      <w:r>
        <w:t>over</w:t>
      </w:r>
      <w:r w:rsidR="001A1F90">
        <w:t xml:space="preserve"> </w:t>
      </w:r>
      <w:r>
        <w:t>the</w:t>
      </w:r>
      <w:r w:rsidR="001A1F90">
        <w:t xml:space="preserve"> </w:t>
      </w:r>
      <w:r>
        <w:t>longer</w:t>
      </w:r>
      <w:r w:rsidR="006554F9">
        <w:t xml:space="preserve"> </w:t>
      </w:r>
      <w:r>
        <w:t>term.</w:t>
      </w:r>
    </w:p>
    <w:p w14:paraId="166A92C8" w14:textId="57AA51D2" w:rsidR="004946F1" w:rsidRDefault="004946F1" w:rsidP="00BD612C">
      <w:pPr>
        <w:pStyle w:val="DHHSbody"/>
      </w:pPr>
      <w:r>
        <w:t>In</w:t>
      </w:r>
      <w:r w:rsidR="001A1F90">
        <w:t xml:space="preserve"> </w:t>
      </w:r>
      <w:r>
        <w:t>relation</w:t>
      </w:r>
      <w:r w:rsidR="001A1F90">
        <w:t xml:space="preserve"> </w:t>
      </w:r>
      <w:r>
        <w:t>to</w:t>
      </w:r>
      <w:r w:rsidR="001A1F90">
        <w:t xml:space="preserve"> </w:t>
      </w:r>
      <w:r>
        <w:t>bone</w:t>
      </w:r>
      <w:r w:rsidR="001A1F90">
        <w:t xml:space="preserve"> </w:t>
      </w:r>
      <w:r>
        <w:t>health,</w:t>
      </w:r>
      <w:r w:rsidR="001A1F90">
        <w:t xml:space="preserve"> </w:t>
      </w:r>
      <w:r>
        <w:t>the</w:t>
      </w:r>
      <w:r w:rsidR="001A1F90">
        <w:t xml:space="preserve"> </w:t>
      </w:r>
      <w:r>
        <w:t>Grossman</w:t>
      </w:r>
      <w:r w:rsidR="001A1F90">
        <w:t xml:space="preserve"> </w:t>
      </w:r>
      <w:r>
        <w:t>paper</w:t>
      </w:r>
      <w:r w:rsidR="001A1F90">
        <w:t xml:space="preserve"> </w:t>
      </w:r>
      <w:r>
        <w:t>(2011)</w:t>
      </w:r>
      <w:r w:rsidR="001A1F90">
        <w:t xml:space="preserve"> </w:t>
      </w:r>
      <w:r>
        <w:t>presents</w:t>
      </w:r>
      <w:r w:rsidR="001A1F90">
        <w:t xml:space="preserve"> </w:t>
      </w:r>
      <w:r>
        <w:t>the</w:t>
      </w:r>
      <w:r w:rsidR="001A1F90">
        <w:t xml:space="preserve"> </w:t>
      </w:r>
      <w:r>
        <w:t>case</w:t>
      </w:r>
      <w:r w:rsidR="001A1F90">
        <w:t xml:space="preserve"> </w:t>
      </w:r>
      <w:r>
        <w:t>that</w:t>
      </w:r>
      <w:r w:rsidR="001A1F90">
        <w:t xml:space="preserve"> </w:t>
      </w:r>
      <w:r>
        <w:t>bone-mineral</w:t>
      </w:r>
      <w:r w:rsidR="001A1F90">
        <w:t xml:space="preserve"> </w:t>
      </w:r>
      <w:r>
        <w:t>density</w:t>
      </w:r>
      <w:r w:rsidR="001A1F90">
        <w:t xml:space="preserve"> </w:t>
      </w:r>
      <w:r>
        <w:t>(BMD)</w:t>
      </w:r>
      <w:r w:rsidR="001A1F90">
        <w:t xml:space="preserve"> </w:t>
      </w:r>
      <w:r>
        <w:t>is</w:t>
      </w:r>
      <w:r w:rsidR="001A1F90">
        <w:t xml:space="preserve"> </w:t>
      </w:r>
      <w:r>
        <w:t>of</w:t>
      </w:r>
      <w:r w:rsidR="001A1F90">
        <w:t xml:space="preserve"> </w:t>
      </w:r>
      <w:r>
        <w:t>particular</w:t>
      </w:r>
      <w:r w:rsidR="001A1F90">
        <w:t xml:space="preserve"> </w:t>
      </w:r>
      <w:r>
        <w:t>concern.</w:t>
      </w:r>
      <w:r w:rsidR="001A1F90">
        <w:t xml:space="preserve"> </w:t>
      </w:r>
      <w:r>
        <w:t>Results</w:t>
      </w:r>
      <w:r w:rsidR="001A1F90">
        <w:t xml:space="preserve"> </w:t>
      </w:r>
      <w:r>
        <w:t>from</w:t>
      </w:r>
      <w:r w:rsidR="001A1F90">
        <w:t xml:space="preserve"> </w:t>
      </w:r>
      <w:r>
        <w:t>prospective</w:t>
      </w:r>
      <w:r w:rsidR="001A1F90">
        <w:t xml:space="preserve"> </w:t>
      </w:r>
      <w:r>
        <w:t>studies</w:t>
      </w:r>
      <w:r w:rsidR="001A1F90">
        <w:t xml:space="preserve"> </w:t>
      </w:r>
      <w:r>
        <w:t>have</w:t>
      </w:r>
      <w:r w:rsidR="001A1F90">
        <w:t xml:space="preserve"> </w:t>
      </w:r>
      <w:r>
        <w:t>demonstrated</w:t>
      </w:r>
      <w:r w:rsidR="001A1F90">
        <w:t xml:space="preserve"> </w:t>
      </w:r>
      <w:r>
        <w:t>that</w:t>
      </w:r>
      <w:r w:rsidR="001A1F90">
        <w:t xml:space="preserve"> </w:t>
      </w:r>
      <w:r>
        <w:t>the</w:t>
      </w:r>
      <w:r w:rsidR="001A1F90">
        <w:t xml:space="preserve"> </w:t>
      </w:r>
      <w:r>
        <w:t>reduction</w:t>
      </w:r>
      <w:r w:rsidR="001A1F90">
        <w:t xml:space="preserve"> </w:t>
      </w:r>
      <w:r>
        <w:t>in</w:t>
      </w:r>
      <w:r w:rsidR="001A1F90">
        <w:t xml:space="preserve"> </w:t>
      </w:r>
      <w:r>
        <w:t>BMD</w:t>
      </w:r>
      <w:r w:rsidR="001A1F90">
        <w:t xml:space="preserve"> </w:t>
      </w:r>
      <w:r>
        <w:t>starts</w:t>
      </w:r>
      <w:r w:rsidR="001A1F90">
        <w:t xml:space="preserve"> </w:t>
      </w:r>
      <w:r>
        <w:t>very</w:t>
      </w:r>
      <w:r w:rsidR="001A1F90">
        <w:t xml:space="preserve"> </w:t>
      </w:r>
      <w:r>
        <w:t>soon</w:t>
      </w:r>
      <w:r w:rsidR="001A1F90">
        <w:t xml:space="preserve"> </w:t>
      </w:r>
      <w:r>
        <w:t>(within</w:t>
      </w:r>
      <w:r w:rsidR="001A1F90">
        <w:t xml:space="preserve"> </w:t>
      </w:r>
      <w:r>
        <w:t>months)</w:t>
      </w:r>
      <w:r w:rsidR="001A1F90">
        <w:t xml:space="preserve"> </w:t>
      </w:r>
      <w:r>
        <w:t>of</w:t>
      </w:r>
      <w:r w:rsidR="001A1F90">
        <w:t xml:space="preserve"> </w:t>
      </w:r>
      <w:r>
        <w:t>commenc</w:t>
      </w:r>
      <w:r w:rsidR="00E841E5">
        <w:t>ing</w:t>
      </w:r>
      <w:r w:rsidR="001A1F90">
        <w:t xml:space="preserve"> </w:t>
      </w:r>
      <w:r w:rsidR="00E841E5">
        <w:t>a</w:t>
      </w:r>
      <w:r w:rsidR="001F18FC">
        <w:t>n</w:t>
      </w:r>
      <w:r w:rsidR="001A1F90">
        <w:t xml:space="preserve"> </w:t>
      </w:r>
      <w:r>
        <w:t>anti-libidinal</w:t>
      </w:r>
      <w:r w:rsidR="001A1F90">
        <w:t xml:space="preserve"> </w:t>
      </w:r>
      <w:r>
        <w:t>medication</w:t>
      </w:r>
      <w:r w:rsidR="001A1F90">
        <w:t xml:space="preserve"> </w:t>
      </w:r>
      <w:r>
        <w:t>regime</w:t>
      </w:r>
      <w:r w:rsidR="00E841E5">
        <w:t>n</w:t>
      </w:r>
      <w:r>
        <w:t>,</w:t>
      </w:r>
      <w:r w:rsidR="001A1F90">
        <w:t xml:space="preserve"> </w:t>
      </w:r>
      <w:r>
        <w:t>with</w:t>
      </w:r>
      <w:r w:rsidR="001A1F90">
        <w:t xml:space="preserve"> </w:t>
      </w:r>
      <w:r>
        <w:t>rates</w:t>
      </w:r>
      <w:r w:rsidR="001A1F90">
        <w:t xml:space="preserve"> </w:t>
      </w:r>
      <w:r>
        <w:t>of</w:t>
      </w:r>
      <w:r w:rsidR="001A1F90">
        <w:t xml:space="preserve"> </w:t>
      </w:r>
      <w:r>
        <w:t>bone</w:t>
      </w:r>
      <w:r w:rsidR="001A1F90">
        <w:t xml:space="preserve"> </w:t>
      </w:r>
      <w:r>
        <w:t>loss</w:t>
      </w:r>
      <w:r w:rsidR="001A1F90">
        <w:t xml:space="preserve"> </w:t>
      </w:r>
      <w:r>
        <w:t>being</w:t>
      </w:r>
      <w:r w:rsidR="001A1F90">
        <w:t xml:space="preserve"> </w:t>
      </w:r>
      <w:r>
        <w:t>some</w:t>
      </w:r>
      <w:r w:rsidR="001A1F90">
        <w:t xml:space="preserve"> </w:t>
      </w:r>
      <w:r>
        <w:t>eight</w:t>
      </w:r>
      <w:r w:rsidR="001A1F90">
        <w:t xml:space="preserve"> </w:t>
      </w:r>
      <w:r>
        <w:t>times</w:t>
      </w:r>
      <w:r w:rsidR="001A1F90">
        <w:t xml:space="preserve"> </w:t>
      </w:r>
      <w:r>
        <w:t>higher</w:t>
      </w:r>
      <w:r w:rsidR="001A1F90">
        <w:t xml:space="preserve"> </w:t>
      </w:r>
      <w:r>
        <w:t>than</w:t>
      </w:r>
      <w:r w:rsidR="001A1F90">
        <w:t xml:space="preserve"> </w:t>
      </w:r>
      <w:r>
        <w:t>that</w:t>
      </w:r>
      <w:r w:rsidR="001A1F90">
        <w:t xml:space="preserve"> </w:t>
      </w:r>
      <w:r>
        <w:t>found</w:t>
      </w:r>
      <w:r w:rsidR="001A1F90">
        <w:t xml:space="preserve"> </w:t>
      </w:r>
      <w:r>
        <w:t>in</w:t>
      </w:r>
      <w:r w:rsidR="001A1F90">
        <w:t xml:space="preserve"> </w:t>
      </w:r>
      <w:r>
        <w:t>the</w:t>
      </w:r>
      <w:r w:rsidR="001A1F90">
        <w:t xml:space="preserve"> </w:t>
      </w:r>
      <w:r>
        <w:t>general</w:t>
      </w:r>
      <w:r w:rsidR="001A1F90">
        <w:t xml:space="preserve"> </w:t>
      </w:r>
      <w:r>
        <w:t>population.</w:t>
      </w:r>
      <w:r w:rsidR="001A1F90">
        <w:t xml:space="preserve"> </w:t>
      </w:r>
      <w:r>
        <w:t>Available</w:t>
      </w:r>
      <w:r w:rsidR="001A1F90">
        <w:t xml:space="preserve"> </w:t>
      </w:r>
      <w:r>
        <w:t>evidence</w:t>
      </w:r>
      <w:r w:rsidR="001A1F90">
        <w:t xml:space="preserve"> </w:t>
      </w:r>
      <w:r>
        <w:t>also</w:t>
      </w:r>
      <w:r w:rsidR="001A1F90">
        <w:t xml:space="preserve"> </w:t>
      </w:r>
      <w:r>
        <w:t>suggests</w:t>
      </w:r>
      <w:r w:rsidR="001A1F90">
        <w:t xml:space="preserve"> </w:t>
      </w:r>
      <w:r>
        <w:t>that</w:t>
      </w:r>
      <w:r w:rsidR="001A1F90">
        <w:t xml:space="preserve"> </w:t>
      </w:r>
      <w:r>
        <w:t>while</w:t>
      </w:r>
      <w:r w:rsidR="001A1F90">
        <w:t xml:space="preserve"> </w:t>
      </w:r>
      <w:r>
        <w:t>BMD</w:t>
      </w:r>
      <w:r w:rsidR="001A1F90">
        <w:t xml:space="preserve"> </w:t>
      </w:r>
      <w:r>
        <w:t>loss</w:t>
      </w:r>
      <w:r w:rsidR="001A1F90">
        <w:t xml:space="preserve"> </w:t>
      </w:r>
      <w:r>
        <w:t>is</w:t>
      </w:r>
      <w:r w:rsidR="001A1F90">
        <w:t xml:space="preserve"> </w:t>
      </w:r>
      <w:r>
        <w:t>maximal</w:t>
      </w:r>
      <w:r w:rsidR="001A1F90">
        <w:t xml:space="preserve"> </w:t>
      </w:r>
      <w:r>
        <w:t>in</w:t>
      </w:r>
      <w:r w:rsidR="001A1F90">
        <w:t xml:space="preserve"> </w:t>
      </w:r>
      <w:r>
        <w:t>the</w:t>
      </w:r>
      <w:r w:rsidR="001A1F90">
        <w:t xml:space="preserve"> </w:t>
      </w:r>
      <w:r>
        <w:t>first</w:t>
      </w:r>
      <w:r w:rsidR="001A1F90">
        <w:t xml:space="preserve"> </w:t>
      </w:r>
      <w:r>
        <w:t>12</w:t>
      </w:r>
      <w:r w:rsidR="001A1F90">
        <w:t xml:space="preserve"> </w:t>
      </w:r>
      <w:r>
        <w:t>months</w:t>
      </w:r>
      <w:r w:rsidR="001A1F90">
        <w:t xml:space="preserve"> </w:t>
      </w:r>
      <w:r>
        <w:t>after</w:t>
      </w:r>
      <w:r w:rsidR="001A1F90">
        <w:t xml:space="preserve"> </w:t>
      </w:r>
      <w:r>
        <w:t>commenc</w:t>
      </w:r>
      <w:r w:rsidR="00E841E5">
        <w:t xml:space="preserve">ing </w:t>
      </w:r>
      <w:r>
        <w:t>anti-libidinal</w:t>
      </w:r>
      <w:r w:rsidR="00E841E5">
        <w:t>s</w:t>
      </w:r>
      <w:r>
        <w:t>,</w:t>
      </w:r>
      <w:r w:rsidR="001A1F90">
        <w:t xml:space="preserve"> </w:t>
      </w:r>
      <w:r>
        <w:t>loss</w:t>
      </w:r>
      <w:r w:rsidR="001A1F90">
        <w:t xml:space="preserve"> </w:t>
      </w:r>
      <w:r>
        <w:t>of</w:t>
      </w:r>
      <w:r w:rsidR="001A1F90">
        <w:t xml:space="preserve"> </w:t>
      </w:r>
      <w:r>
        <w:t>BMD</w:t>
      </w:r>
      <w:r w:rsidR="001A1F90">
        <w:t xml:space="preserve"> </w:t>
      </w:r>
      <w:r>
        <w:t>is</w:t>
      </w:r>
      <w:r w:rsidR="001A1F90">
        <w:t xml:space="preserve"> </w:t>
      </w:r>
      <w:r>
        <w:t>still</w:t>
      </w:r>
      <w:r w:rsidR="001A1F90">
        <w:t xml:space="preserve"> </w:t>
      </w:r>
      <w:r>
        <w:t>apparent</w:t>
      </w:r>
      <w:r w:rsidR="001A1F90">
        <w:t xml:space="preserve"> </w:t>
      </w:r>
      <w:r>
        <w:t>in</w:t>
      </w:r>
      <w:r w:rsidR="001A1F90">
        <w:t xml:space="preserve"> </w:t>
      </w:r>
      <w:r>
        <w:t>longer</w:t>
      </w:r>
      <w:r w:rsidR="00283E42">
        <w:t xml:space="preserve"> </w:t>
      </w:r>
      <w:r>
        <w:t>term</w:t>
      </w:r>
      <w:r w:rsidR="001A1F90">
        <w:t xml:space="preserve"> </w:t>
      </w:r>
      <w:r>
        <w:t>use</w:t>
      </w:r>
      <w:r w:rsidR="00E841E5">
        <w:t>,</w:t>
      </w:r>
      <w:r w:rsidR="001A1F90">
        <w:t xml:space="preserve"> </w:t>
      </w:r>
      <w:r>
        <w:t>with</w:t>
      </w:r>
      <w:r w:rsidR="001A1F90">
        <w:t xml:space="preserve"> </w:t>
      </w:r>
      <w:r>
        <w:t>osteoporosis</w:t>
      </w:r>
      <w:r w:rsidR="001A1F90">
        <w:t xml:space="preserve"> </w:t>
      </w:r>
      <w:r>
        <w:t>being</w:t>
      </w:r>
      <w:r w:rsidR="001A1F90">
        <w:t xml:space="preserve"> </w:t>
      </w:r>
      <w:r>
        <w:t>a</w:t>
      </w:r>
      <w:r w:rsidR="001A1F90">
        <w:t xml:space="preserve"> </w:t>
      </w:r>
      <w:r>
        <w:t>likely</w:t>
      </w:r>
      <w:r w:rsidR="001A1F90">
        <w:t xml:space="preserve"> </w:t>
      </w:r>
      <w:r>
        <w:t>outcome</w:t>
      </w:r>
      <w:r w:rsidR="001A1F90">
        <w:t xml:space="preserve"> </w:t>
      </w:r>
      <w:r>
        <w:t>of</w:t>
      </w:r>
      <w:r w:rsidR="001A1F90">
        <w:t xml:space="preserve"> </w:t>
      </w:r>
      <w:r>
        <w:t>long-term</w:t>
      </w:r>
      <w:r w:rsidR="001A1F90">
        <w:t xml:space="preserve"> </w:t>
      </w:r>
      <w:r>
        <w:t>use.</w:t>
      </w:r>
      <w:r w:rsidR="001A1F90">
        <w:t xml:space="preserve"> </w:t>
      </w:r>
      <w:r>
        <w:t>The</w:t>
      </w:r>
      <w:r w:rsidR="001A1F90">
        <w:t xml:space="preserve"> </w:t>
      </w:r>
      <w:r>
        <w:t>potential</w:t>
      </w:r>
      <w:r w:rsidR="001A1F90">
        <w:t xml:space="preserve"> </w:t>
      </w:r>
      <w:r>
        <w:t>benefits</w:t>
      </w:r>
      <w:r w:rsidR="001A1F90">
        <w:t xml:space="preserve"> </w:t>
      </w:r>
      <w:r>
        <w:t>from</w:t>
      </w:r>
      <w:r w:rsidR="001A1F90">
        <w:t xml:space="preserve"> </w:t>
      </w:r>
      <w:r>
        <w:t>these</w:t>
      </w:r>
      <w:r w:rsidR="001A1F90">
        <w:t xml:space="preserve"> </w:t>
      </w:r>
      <w:r>
        <w:t>guidelines</w:t>
      </w:r>
      <w:r w:rsidR="001A1F90">
        <w:t xml:space="preserve"> </w:t>
      </w:r>
      <w:r>
        <w:t>focus</w:t>
      </w:r>
      <w:r w:rsidR="001A1F90">
        <w:t xml:space="preserve"> </w:t>
      </w:r>
      <w:r>
        <w:t>on</w:t>
      </w:r>
      <w:r w:rsidR="001A1F90">
        <w:t xml:space="preserve"> </w:t>
      </w:r>
      <w:r>
        <w:t>the</w:t>
      </w:r>
      <w:r w:rsidR="001A1F90">
        <w:t xml:space="preserve"> </w:t>
      </w:r>
      <w:r>
        <w:t>recommended</w:t>
      </w:r>
      <w:r w:rsidR="001A1F90">
        <w:t xml:space="preserve"> </w:t>
      </w:r>
      <w:r>
        <w:t>close</w:t>
      </w:r>
      <w:r w:rsidR="001A1F90">
        <w:t xml:space="preserve"> </w:t>
      </w:r>
      <w:r>
        <w:t>monitoring</w:t>
      </w:r>
      <w:r w:rsidR="001A1F90">
        <w:t xml:space="preserve"> </w:t>
      </w:r>
      <w:r>
        <w:t>of</w:t>
      </w:r>
      <w:r w:rsidR="001A1F90">
        <w:t xml:space="preserve"> </w:t>
      </w:r>
      <w:r>
        <w:t>BMD,</w:t>
      </w:r>
      <w:r w:rsidR="001A1F90">
        <w:t xml:space="preserve"> </w:t>
      </w:r>
      <w:r>
        <w:t>especially</w:t>
      </w:r>
      <w:r w:rsidR="001A1F90">
        <w:t xml:space="preserve"> </w:t>
      </w:r>
      <w:r>
        <w:t>in</w:t>
      </w:r>
      <w:r w:rsidR="001A1F90">
        <w:t xml:space="preserve"> </w:t>
      </w:r>
      <w:r>
        <w:t>the</w:t>
      </w:r>
      <w:r w:rsidR="001A1F90">
        <w:t xml:space="preserve"> </w:t>
      </w:r>
      <w:r>
        <w:t>first</w:t>
      </w:r>
      <w:r w:rsidR="001A1F90">
        <w:t xml:space="preserve"> </w:t>
      </w:r>
      <w:r>
        <w:t>12</w:t>
      </w:r>
      <w:r w:rsidR="001A1F90">
        <w:t xml:space="preserve"> </w:t>
      </w:r>
      <w:r>
        <w:t>months</w:t>
      </w:r>
      <w:r w:rsidR="001A1F90">
        <w:t xml:space="preserve"> </w:t>
      </w:r>
      <w:r>
        <w:t>of</w:t>
      </w:r>
      <w:r w:rsidR="001A1F90">
        <w:t xml:space="preserve"> </w:t>
      </w:r>
      <w:r>
        <w:t>treatment,</w:t>
      </w:r>
      <w:r w:rsidR="001A1F90">
        <w:t xml:space="preserve"> </w:t>
      </w:r>
      <w:r>
        <w:t>and</w:t>
      </w:r>
      <w:r w:rsidR="001A1F90">
        <w:t xml:space="preserve"> </w:t>
      </w:r>
      <w:r>
        <w:t>the</w:t>
      </w:r>
      <w:r w:rsidR="001A1F90">
        <w:t xml:space="preserve"> </w:t>
      </w:r>
      <w:r>
        <w:t>complications</w:t>
      </w:r>
      <w:r w:rsidR="001A1F90">
        <w:t xml:space="preserve"> </w:t>
      </w:r>
      <w:r>
        <w:t>that</w:t>
      </w:r>
      <w:r w:rsidR="001A1F90">
        <w:t xml:space="preserve"> </w:t>
      </w:r>
      <w:r>
        <w:t>arise</w:t>
      </w:r>
      <w:r w:rsidR="001A1F90">
        <w:t xml:space="preserve"> </w:t>
      </w:r>
      <w:r>
        <w:t>when</w:t>
      </w:r>
      <w:r w:rsidR="001A1F90">
        <w:t xml:space="preserve"> </w:t>
      </w:r>
      <w:r>
        <w:t>these</w:t>
      </w:r>
      <w:r w:rsidR="001A1F90">
        <w:t xml:space="preserve"> </w:t>
      </w:r>
      <w:r>
        <w:t>pharmacological</w:t>
      </w:r>
      <w:r w:rsidR="001A1F90">
        <w:t xml:space="preserve"> </w:t>
      </w:r>
      <w:r>
        <w:t>agents</w:t>
      </w:r>
      <w:r w:rsidR="001A1F90">
        <w:t xml:space="preserve"> </w:t>
      </w:r>
      <w:r>
        <w:t>are</w:t>
      </w:r>
      <w:r w:rsidR="001A1F90">
        <w:t xml:space="preserve"> </w:t>
      </w:r>
      <w:r>
        <w:t>administered</w:t>
      </w:r>
      <w:r w:rsidR="001A1F90">
        <w:t xml:space="preserve"> </w:t>
      </w:r>
      <w:r>
        <w:t>over</w:t>
      </w:r>
      <w:r w:rsidR="001A1F90">
        <w:t xml:space="preserve"> </w:t>
      </w:r>
      <w:r>
        <w:t>a</w:t>
      </w:r>
      <w:r w:rsidR="001A1F90">
        <w:t xml:space="preserve"> </w:t>
      </w:r>
      <w:r>
        <w:t>prolonged</w:t>
      </w:r>
      <w:r w:rsidR="001A1F90">
        <w:t xml:space="preserve"> </w:t>
      </w:r>
      <w:r>
        <w:t>period</w:t>
      </w:r>
      <w:r w:rsidR="001A1F90">
        <w:t xml:space="preserve"> </w:t>
      </w:r>
      <w:r>
        <w:t>of</w:t>
      </w:r>
      <w:r w:rsidR="001A1F90">
        <w:t xml:space="preserve"> </w:t>
      </w:r>
      <w:r>
        <w:t>time.</w:t>
      </w:r>
      <w:r w:rsidR="001A1F90">
        <w:t xml:space="preserve"> </w:t>
      </w:r>
      <w:r>
        <w:t>These</w:t>
      </w:r>
      <w:r w:rsidR="001A1F90">
        <w:t xml:space="preserve"> </w:t>
      </w:r>
      <w:r>
        <w:t>guidelines</w:t>
      </w:r>
      <w:r w:rsidR="001A1F90">
        <w:t xml:space="preserve"> </w:t>
      </w:r>
      <w:r>
        <w:t>also</w:t>
      </w:r>
      <w:r w:rsidR="001A1F90">
        <w:t xml:space="preserve"> </w:t>
      </w:r>
      <w:r>
        <w:t>lend</w:t>
      </w:r>
      <w:r w:rsidR="001A1F90">
        <w:t xml:space="preserve"> </w:t>
      </w:r>
      <w:r>
        <w:t>significant</w:t>
      </w:r>
      <w:r w:rsidR="001A1F90">
        <w:t xml:space="preserve"> </w:t>
      </w:r>
      <w:r>
        <w:t>weight</w:t>
      </w:r>
      <w:r w:rsidR="001A1F90">
        <w:t xml:space="preserve"> </w:t>
      </w:r>
      <w:r>
        <w:t>to</w:t>
      </w:r>
      <w:r w:rsidR="001A1F90">
        <w:t xml:space="preserve"> </w:t>
      </w:r>
      <w:r>
        <w:t>the</w:t>
      </w:r>
      <w:r w:rsidR="001A1F90">
        <w:t xml:space="preserve"> </w:t>
      </w:r>
      <w:r>
        <w:t>argument</w:t>
      </w:r>
      <w:r w:rsidR="001A1F90">
        <w:t xml:space="preserve"> </w:t>
      </w:r>
      <w:r>
        <w:t>of</w:t>
      </w:r>
      <w:r w:rsidR="001A1F90">
        <w:t xml:space="preserve"> </w:t>
      </w:r>
      <w:r>
        <w:t>providing</w:t>
      </w:r>
      <w:r w:rsidR="001A1F90">
        <w:t xml:space="preserve"> </w:t>
      </w:r>
      <w:r>
        <w:t>calcium</w:t>
      </w:r>
      <w:r w:rsidR="001A1F90">
        <w:t xml:space="preserve"> </w:t>
      </w:r>
      <w:r>
        <w:t>supplements</w:t>
      </w:r>
      <w:r w:rsidR="001A1F90">
        <w:t xml:space="preserve"> </w:t>
      </w:r>
      <w:r>
        <w:t>alongside</w:t>
      </w:r>
      <w:r w:rsidR="001A1F90">
        <w:t xml:space="preserve"> </w:t>
      </w:r>
      <w:r>
        <w:t>anti-androgen</w:t>
      </w:r>
      <w:r w:rsidR="001A1F90">
        <w:t xml:space="preserve"> </w:t>
      </w:r>
      <w:r>
        <w:t>medications.</w:t>
      </w:r>
    </w:p>
    <w:p w14:paraId="118DB277" w14:textId="180A338E" w:rsidR="004946F1" w:rsidRDefault="004946F1" w:rsidP="009B0E14">
      <w:pPr>
        <w:pStyle w:val="Heading2"/>
      </w:pPr>
      <w:bookmarkStart w:id="9" w:name="_Toc20225597"/>
      <w:r>
        <w:t>World</w:t>
      </w:r>
      <w:r w:rsidR="001A1F90">
        <w:t xml:space="preserve"> </w:t>
      </w:r>
      <w:r>
        <w:t>Federation</w:t>
      </w:r>
      <w:r w:rsidR="001A1F90">
        <w:t xml:space="preserve"> </w:t>
      </w:r>
      <w:r>
        <w:t>of</w:t>
      </w:r>
      <w:r w:rsidR="001A1F90">
        <w:t xml:space="preserve"> </w:t>
      </w:r>
      <w:r>
        <w:t>Societies</w:t>
      </w:r>
      <w:r w:rsidR="001A1F90">
        <w:t xml:space="preserve"> </w:t>
      </w:r>
      <w:r>
        <w:t>of</w:t>
      </w:r>
      <w:r w:rsidR="001A1F90">
        <w:t xml:space="preserve"> </w:t>
      </w:r>
      <w:r>
        <w:t>Biological</w:t>
      </w:r>
      <w:r w:rsidR="001A1F90">
        <w:t xml:space="preserve"> </w:t>
      </w:r>
      <w:r>
        <w:t>Psychiatry</w:t>
      </w:r>
      <w:r w:rsidR="001A1F90">
        <w:t xml:space="preserve"> </w:t>
      </w:r>
      <w:r>
        <w:t>(WFSBP)</w:t>
      </w:r>
      <w:r w:rsidR="001A1F90">
        <w:t xml:space="preserve"> </w:t>
      </w:r>
      <w:r w:rsidR="00E841E5">
        <w:t>g</w:t>
      </w:r>
      <w:r>
        <w:t>uidelines</w:t>
      </w:r>
      <w:r w:rsidR="001A1F90">
        <w:t xml:space="preserve"> </w:t>
      </w:r>
      <w:r>
        <w:t>for</w:t>
      </w:r>
      <w:r w:rsidR="001A1F90">
        <w:t xml:space="preserve"> </w:t>
      </w:r>
      <w:r>
        <w:t>the</w:t>
      </w:r>
      <w:r w:rsidR="001A1F90">
        <w:t xml:space="preserve"> </w:t>
      </w:r>
      <w:r>
        <w:t>biological</w:t>
      </w:r>
      <w:r w:rsidR="001A1F90">
        <w:t xml:space="preserve"> </w:t>
      </w:r>
      <w:r>
        <w:t>treatment</w:t>
      </w:r>
      <w:r w:rsidR="001A1F90">
        <w:t xml:space="preserve"> </w:t>
      </w:r>
      <w:r>
        <w:t>of</w:t>
      </w:r>
      <w:r w:rsidR="001A1F90">
        <w:t xml:space="preserve"> </w:t>
      </w:r>
      <w:r>
        <w:t>paraphilias</w:t>
      </w:r>
      <w:bookmarkEnd w:id="9"/>
    </w:p>
    <w:p w14:paraId="4438D0B2" w14:textId="664FC49D" w:rsidR="00C3409A" w:rsidRPr="00C3409A" w:rsidRDefault="004946F1" w:rsidP="0016163D">
      <w:pPr>
        <w:pStyle w:val="DHHSbody"/>
      </w:pPr>
      <w:r>
        <w:t>These</w:t>
      </w:r>
      <w:r w:rsidR="001A1F90">
        <w:t xml:space="preserve"> </w:t>
      </w:r>
      <w:r>
        <w:t>guidelines</w:t>
      </w:r>
      <w:r w:rsidR="001A1F90">
        <w:t xml:space="preserve"> </w:t>
      </w:r>
      <w:r>
        <w:t>sought</w:t>
      </w:r>
      <w:r w:rsidR="001A1F90">
        <w:t xml:space="preserve"> </w:t>
      </w:r>
      <w:r>
        <w:t>to</w:t>
      </w:r>
      <w:r w:rsidR="001A1F90">
        <w:t xml:space="preserve"> </w:t>
      </w:r>
      <w:r>
        <w:t>help</w:t>
      </w:r>
      <w:r w:rsidR="001A1F90">
        <w:t xml:space="preserve"> </w:t>
      </w:r>
      <w:r>
        <w:t>better</w:t>
      </w:r>
      <w:r w:rsidR="001A1F90">
        <w:t xml:space="preserve"> </w:t>
      </w:r>
      <w:r>
        <w:t>inform</w:t>
      </w:r>
      <w:r w:rsidR="001A1F90">
        <w:t xml:space="preserve"> </w:t>
      </w:r>
      <w:r>
        <w:t>clinicians</w:t>
      </w:r>
      <w:r w:rsidR="001A1F90">
        <w:t xml:space="preserve"> </w:t>
      </w:r>
      <w:r>
        <w:t>in</w:t>
      </w:r>
      <w:r w:rsidR="001A1F90">
        <w:t xml:space="preserve"> </w:t>
      </w:r>
      <w:r>
        <w:t>their</w:t>
      </w:r>
      <w:r w:rsidR="001A1F90">
        <w:t xml:space="preserve"> </w:t>
      </w:r>
      <w:r>
        <w:t>decision</w:t>
      </w:r>
      <w:r w:rsidR="00E841E5">
        <w:t xml:space="preserve"> </w:t>
      </w:r>
      <w:r>
        <w:t>making</w:t>
      </w:r>
      <w:r w:rsidR="001A1F90">
        <w:t xml:space="preserve"> </w:t>
      </w:r>
      <w:r>
        <w:t>regarding</w:t>
      </w:r>
      <w:r w:rsidR="001A1F90">
        <w:t xml:space="preserve"> </w:t>
      </w:r>
      <w:r>
        <w:t>the</w:t>
      </w:r>
      <w:r w:rsidR="001A1F90">
        <w:t xml:space="preserve"> </w:t>
      </w:r>
      <w:r>
        <w:t>diagnosis</w:t>
      </w:r>
      <w:r w:rsidR="001A1F90">
        <w:t xml:space="preserve"> </w:t>
      </w:r>
      <w:r>
        <w:t>and</w:t>
      </w:r>
      <w:r w:rsidR="001A1F90">
        <w:t xml:space="preserve"> </w:t>
      </w:r>
      <w:r>
        <w:t>treatment</w:t>
      </w:r>
      <w:r w:rsidR="001A1F90">
        <w:t xml:space="preserve"> </w:t>
      </w:r>
      <w:r>
        <w:t>of</w:t>
      </w:r>
      <w:r w:rsidR="001A1F90">
        <w:t xml:space="preserve"> </w:t>
      </w:r>
      <w:r w:rsidR="00E841E5">
        <w:t xml:space="preserve">patients </w:t>
      </w:r>
      <w:r>
        <w:t>with</w:t>
      </w:r>
      <w:r w:rsidR="001A1F90">
        <w:t xml:space="preserve"> </w:t>
      </w:r>
      <w:r>
        <w:t>paraphilia</w:t>
      </w:r>
      <w:r w:rsidR="001A1F90">
        <w:t xml:space="preserve"> </w:t>
      </w:r>
      <w:r>
        <w:t>and,</w:t>
      </w:r>
      <w:r w:rsidR="001A1F90">
        <w:t xml:space="preserve"> </w:t>
      </w:r>
      <w:r>
        <w:t>more</w:t>
      </w:r>
      <w:r w:rsidR="001A1F90">
        <w:t xml:space="preserve"> </w:t>
      </w:r>
      <w:r>
        <w:t>broadly,</w:t>
      </w:r>
      <w:r w:rsidR="001A1F90">
        <w:t xml:space="preserve"> </w:t>
      </w:r>
      <w:r>
        <w:t>improve</w:t>
      </w:r>
      <w:r w:rsidR="001A1F90">
        <w:t xml:space="preserve"> </w:t>
      </w:r>
      <w:r>
        <w:t>the</w:t>
      </w:r>
      <w:r w:rsidR="001A1F90">
        <w:t xml:space="preserve"> </w:t>
      </w:r>
      <w:r>
        <w:t>quality</w:t>
      </w:r>
      <w:r w:rsidR="001A1F90">
        <w:t xml:space="preserve"> </w:t>
      </w:r>
      <w:r>
        <w:t>of</w:t>
      </w:r>
      <w:r w:rsidR="001A1F90">
        <w:t xml:space="preserve"> </w:t>
      </w:r>
      <w:r>
        <w:t>care</w:t>
      </w:r>
      <w:r w:rsidR="001A1F90">
        <w:t xml:space="preserve"> </w:t>
      </w:r>
      <w:r>
        <w:t>that</w:t>
      </w:r>
      <w:r w:rsidR="001A1F90">
        <w:t xml:space="preserve"> </w:t>
      </w:r>
      <w:r>
        <w:t>is</w:t>
      </w:r>
      <w:r w:rsidR="001A1F90">
        <w:t xml:space="preserve"> </w:t>
      </w:r>
      <w:r>
        <w:t>provided.</w:t>
      </w:r>
      <w:r w:rsidR="001A1F90">
        <w:t xml:space="preserve"> </w:t>
      </w:r>
      <w:r>
        <w:t>The</w:t>
      </w:r>
      <w:r w:rsidR="001A1F90">
        <w:t xml:space="preserve"> </w:t>
      </w:r>
      <w:r w:rsidR="00283E42">
        <w:t>t</w:t>
      </w:r>
      <w:r>
        <w:t>ask</w:t>
      </w:r>
      <w:r w:rsidR="00283E42">
        <w:t>f</w:t>
      </w:r>
      <w:r>
        <w:t>orce</w:t>
      </w:r>
      <w:r w:rsidR="001A1F90">
        <w:t xml:space="preserve"> </w:t>
      </w:r>
      <w:r w:rsidR="00E841E5">
        <w:t xml:space="preserve">that </w:t>
      </w:r>
      <w:r>
        <w:t>undertook</w:t>
      </w:r>
      <w:r w:rsidR="001A1F90">
        <w:t xml:space="preserve"> </w:t>
      </w:r>
      <w:r>
        <w:t>the</w:t>
      </w:r>
      <w:r w:rsidR="001A1F90">
        <w:t xml:space="preserve"> </w:t>
      </w:r>
      <w:r>
        <w:t>extensive</w:t>
      </w:r>
      <w:r w:rsidR="001A1F90">
        <w:t xml:space="preserve"> </w:t>
      </w:r>
      <w:r>
        <w:t>work</w:t>
      </w:r>
      <w:r w:rsidR="001A1F90">
        <w:t xml:space="preserve"> </w:t>
      </w:r>
      <w:r>
        <w:t>included</w:t>
      </w:r>
      <w:r w:rsidR="001A1F90">
        <w:t xml:space="preserve"> </w:t>
      </w:r>
      <w:r>
        <w:t>representatives</w:t>
      </w:r>
      <w:r w:rsidR="001A1F90">
        <w:t xml:space="preserve"> </w:t>
      </w:r>
      <w:r>
        <w:t>from</w:t>
      </w:r>
      <w:r w:rsidR="001A1F90">
        <w:t xml:space="preserve"> </w:t>
      </w:r>
      <w:r>
        <w:t>all</w:t>
      </w:r>
      <w:r w:rsidR="001A1F90">
        <w:t xml:space="preserve"> </w:t>
      </w:r>
      <w:r>
        <w:t>five</w:t>
      </w:r>
      <w:r w:rsidR="001A1F90">
        <w:t xml:space="preserve"> </w:t>
      </w:r>
      <w:r>
        <w:t>continents,</w:t>
      </w:r>
      <w:r w:rsidR="001A1F90">
        <w:t xml:space="preserve"> </w:t>
      </w:r>
      <w:r>
        <w:t>including</w:t>
      </w:r>
      <w:r w:rsidR="001A1F90">
        <w:t xml:space="preserve"> </w:t>
      </w:r>
      <w:r>
        <w:t>experts</w:t>
      </w:r>
      <w:r w:rsidR="001A1F90">
        <w:t xml:space="preserve"> </w:t>
      </w:r>
      <w:r>
        <w:t>from</w:t>
      </w:r>
      <w:r w:rsidR="001A1F90">
        <w:t xml:space="preserve"> </w:t>
      </w:r>
      <w:r>
        <w:t>France,</w:t>
      </w:r>
      <w:r w:rsidR="001A1F90">
        <w:t xml:space="preserve"> </w:t>
      </w:r>
      <w:r>
        <w:t>Chile,</w:t>
      </w:r>
      <w:r w:rsidR="001A1F90">
        <w:t xml:space="preserve"> </w:t>
      </w:r>
      <w:r>
        <w:t>Belgium,</w:t>
      </w:r>
      <w:r w:rsidR="001A1F90">
        <w:t xml:space="preserve"> </w:t>
      </w:r>
      <w:r>
        <w:t>Canada</w:t>
      </w:r>
      <w:r w:rsidR="001A1F90">
        <w:t xml:space="preserve"> </w:t>
      </w:r>
      <w:r>
        <w:t>and</w:t>
      </w:r>
      <w:r w:rsidR="001A1F90">
        <w:t xml:space="preserve"> </w:t>
      </w:r>
      <w:r>
        <w:t>the</w:t>
      </w:r>
      <w:r w:rsidR="001A1F90">
        <w:t xml:space="preserve"> </w:t>
      </w:r>
      <w:r>
        <w:t>United</w:t>
      </w:r>
      <w:r w:rsidR="001A1F90">
        <w:t xml:space="preserve"> </w:t>
      </w:r>
      <w:r>
        <w:t>Kingdom.</w:t>
      </w:r>
      <w:r w:rsidR="001A1F90">
        <w:t xml:space="preserve"> </w:t>
      </w:r>
      <w:r>
        <w:t>The</w:t>
      </w:r>
      <w:r w:rsidR="001A1F90">
        <w:t xml:space="preserve"> </w:t>
      </w:r>
      <w:r w:rsidR="00E841E5">
        <w:t>t</w:t>
      </w:r>
      <w:r>
        <w:t>ask</w:t>
      </w:r>
      <w:r w:rsidR="00E841E5">
        <w:t>f</w:t>
      </w:r>
      <w:r>
        <w:t>orce</w:t>
      </w:r>
      <w:r w:rsidR="001A1F90">
        <w:t xml:space="preserve"> </w:t>
      </w:r>
      <w:r>
        <w:t>reviewed</w:t>
      </w:r>
      <w:r w:rsidR="001A1F90">
        <w:t xml:space="preserve"> </w:t>
      </w:r>
      <w:r>
        <w:t>all</w:t>
      </w:r>
      <w:r w:rsidR="001A1F90">
        <w:t xml:space="preserve"> </w:t>
      </w:r>
      <w:r>
        <w:t>(English</w:t>
      </w:r>
      <w:r w:rsidR="001A1F90">
        <w:t xml:space="preserve"> </w:t>
      </w:r>
      <w:r>
        <w:t>language)</w:t>
      </w:r>
      <w:r w:rsidR="001A1F90">
        <w:t xml:space="preserve"> </w:t>
      </w:r>
      <w:r>
        <w:t>literature</w:t>
      </w:r>
      <w:r w:rsidR="001A1F90">
        <w:t xml:space="preserve"> </w:t>
      </w:r>
      <w:r>
        <w:t>on</w:t>
      </w:r>
      <w:r w:rsidR="001A1F90">
        <w:t xml:space="preserve"> </w:t>
      </w:r>
      <w:r>
        <w:t>anti-androgen</w:t>
      </w:r>
      <w:r w:rsidR="001A1F90">
        <w:t xml:space="preserve"> </w:t>
      </w:r>
      <w:r>
        <w:t>treatments</w:t>
      </w:r>
      <w:r w:rsidR="001A1F90">
        <w:t xml:space="preserve"> </w:t>
      </w:r>
      <w:r>
        <w:t>published</w:t>
      </w:r>
      <w:r w:rsidR="001A1F90">
        <w:t xml:space="preserve"> </w:t>
      </w:r>
      <w:r>
        <w:t>in</w:t>
      </w:r>
      <w:r w:rsidR="001A1F90">
        <w:t xml:space="preserve"> </w:t>
      </w:r>
      <w:r>
        <w:t>peer</w:t>
      </w:r>
      <w:r w:rsidR="00E841E5">
        <w:t>-</w:t>
      </w:r>
      <w:r>
        <w:t>reviewed</w:t>
      </w:r>
      <w:r w:rsidR="001A1F90">
        <w:t xml:space="preserve"> </w:t>
      </w:r>
      <w:r>
        <w:t>journals</w:t>
      </w:r>
      <w:r w:rsidR="001A1F90">
        <w:t xml:space="preserve"> </w:t>
      </w:r>
      <w:r>
        <w:t>and</w:t>
      </w:r>
      <w:r w:rsidR="001A1F90">
        <w:t xml:space="preserve"> </w:t>
      </w:r>
      <w:r>
        <w:t>reviews</w:t>
      </w:r>
      <w:r w:rsidR="001A1F90">
        <w:t xml:space="preserve"> </w:t>
      </w:r>
      <w:r>
        <w:t>published</w:t>
      </w:r>
      <w:r w:rsidR="001A1F90">
        <w:t xml:space="preserve"> </w:t>
      </w:r>
      <w:r>
        <w:t>between</w:t>
      </w:r>
      <w:r w:rsidR="001A1F90">
        <w:t xml:space="preserve"> </w:t>
      </w:r>
      <w:r>
        <w:t>1969</w:t>
      </w:r>
      <w:r w:rsidR="001A1F90">
        <w:t xml:space="preserve"> </w:t>
      </w:r>
      <w:r>
        <w:t>and</w:t>
      </w:r>
      <w:r w:rsidR="001A1F90">
        <w:t xml:space="preserve"> </w:t>
      </w:r>
      <w:r w:rsidR="00C84854">
        <w:t>2009 and</w:t>
      </w:r>
      <w:r w:rsidR="001A1F90">
        <w:t xml:space="preserve"> </w:t>
      </w:r>
      <w:r>
        <w:t>included</w:t>
      </w:r>
      <w:r w:rsidR="001A1F90">
        <w:t xml:space="preserve"> </w:t>
      </w:r>
      <w:r>
        <w:t>a</w:t>
      </w:r>
      <w:r w:rsidR="001A1F90">
        <w:t xml:space="preserve"> </w:t>
      </w:r>
      <w:r>
        <w:t>more</w:t>
      </w:r>
      <w:r w:rsidR="001A1F90">
        <w:t xml:space="preserve"> </w:t>
      </w:r>
      <w:r>
        <w:t>limited</w:t>
      </w:r>
      <w:r w:rsidR="001A1F90">
        <w:t xml:space="preserve"> </w:t>
      </w:r>
      <w:r>
        <w:t>literature</w:t>
      </w:r>
      <w:r w:rsidR="001A1F90">
        <w:t xml:space="preserve"> </w:t>
      </w:r>
      <w:r>
        <w:t>search</w:t>
      </w:r>
      <w:r w:rsidR="001A1F90">
        <w:t xml:space="preserve"> </w:t>
      </w:r>
      <w:r>
        <w:t>regarding</w:t>
      </w:r>
      <w:r w:rsidR="001A1F90">
        <w:t xml:space="preserve"> </w:t>
      </w:r>
      <w:r>
        <w:t>the</w:t>
      </w:r>
      <w:r w:rsidR="001A1F90">
        <w:t xml:space="preserve"> </w:t>
      </w:r>
      <w:r>
        <w:t>use</w:t>
      </w:r>
      <w:r w:rsidR="001A1F90">
        <w:t xml:space="preserve"> </w:t>
      </w:r>
      <w:r>
        <w:t>of</w:t>
      </w:r>
      <w:r w:rsidR="001A1F90">
        <w:t xml:space="preserve"> </w:t>
      </w:r>
      <w:r w:rsidR="00283E42">
        <w:t>s</w:t>
      </w:r>
      <w:r>
        <w:t>elective</w:t>
      </w:r>
      <w:r w:rsidR="001A1F90">
        <w:t xml:space="preserve"> </w:t>
      </w:r>
      <w:r w:rsidR="00283E42">
        <w:t>s</w:t>
      </w:r>
      <w:r>
        <w:t>erotonin</w:t>
      </w:r>
      <w:r w:rsidR="001A1F90">
        <w:t xml:space="preserve"> </w:t>
      </w:r>
      <w:r w:rsidR="00283E42">
        <w:t>r</w:t>
      </w:r>
      <w:r>
        <w:t>euptake</w:t>
      </w:r>
      <w:r w:rsidR="001A1F90">
        <w:t xml:space="preserve"> </w:t>
      </w:r>
      <w:r w:rsidR="00283E42">
        <w:t>i</w:t>
      </w:r>
      <w:r>
        <w:t>nhibitors</w:t>
      </w:r>
      <w:r w:rsidR="001A1F90">
        <w:t xml:space="preserve"> </w:t>
      </w:r>
      <w:r>
        <w:t>(SSRIs)</w:t>
      </w:r>
      <w:r w:rsidR="001A1F90">
        <w:t xml:space="preserve"> </w:t>
      </w:r>
      <w:r>
        <w:t>between</w:t>
      </w:r>
      <w:r w:rsidR="001A1F90">
        <w:t xml:space="preserve"> </w:t>
      </w:r>
      <w:r>
        <w:t>1990</w:t>
      </w:r>
      <w:r w:rsidR="001A1F90">
        <w:t xml:space="preserve"> </w:t>
      </w:r>
      <w:r>
        <w:t>and</w:t>
      </w:r>
      <w:r w:rsidR="001A1F90">
        <w:t xml:space="preserve"> </w:t>
      </w:r>
      <w:r>
        <w:t>2009,</w:t>
      </w:r>
      <w:r w:rsidR="001A1F90">
        <w:t xml:space="preserve"> </w:t>
      </w:r>
      <w:r>
        <w:t>again</w:t>
      </w:r>
      <w:r w:rsidR="001A1F90">
        <w:t xml:space="preserve"> </w:t>
      </w:r>
      <w:r>
        <w:t>reviewing</w:t>
      </w:r>
      <w:r w:rsidR="001A1F90">
        <w:t xml:space="preserve"> </w:t>
      </w:r>
      <w:r>
        <w:t>peer</w:t>
      </w:r>
      <w:r w:rsidR="00E841E5">
        <w:t>-</w:t>
      </w:r>
      <w:r>
        <w:t>reviewed</w:t>
      </w:r>
      <w:r w:rsidR="001A1F90">
        <w:t xml:space="preserve"> </w:t>
      </w:r>
      <w:r>
        <w:t>outputs.</w:t>
      </w:r>
      <w:r w:rsidR="001A1F90">
        <w:t xml:space="preserve"> </w:t>
      </w:r>
      <w:r>
        <w:t>Thibaut</w:t>
      </w:r>
      <w:r w:rsidR="001A1F90">
        <w:t xml:space="preserve"> </w:t>
      </w:r>
      <w:r>
        <w:t>and</w:t>
      </w:r>
      <w:r w:rsidR="001A1F90">
        <w:t xml:space="preserve"> </w:t>
      </w:r>
      <w:r>
        <w:t>colleagues</w:t>
      </w:r>
      <w:r w:rsidR="001A1F90">
        <w:t xml:space="preserve"> </w:t>
      </w:r>
      <w:r>
        <w:t>(2010)</w:t>
      </w:r>
      <w:r w:rsidR="001A1F90">
        <w:t xml:space="preserve"> </w:t>
      </w:r>
      <w:r>
        <w:t>note</w:t>
      </w:r>
      <w:r w:rsidR="001A1F90">
        <w:t xml:space="preserve"> </w:t>
      </w:r>
      <w:r>
        <w:t>that</w:t>
      </w:r>
      <w:r w:rsidR="001A1F90">
        <w:t xml:space="preserve"> </w:t>
      </w:r>
      <w:r>
        <w:t>a</w:t>
      </w:r>
      <w:r w:rsidR="001A1F90">
        <w:t xml:space="preserve"> </w:t>
      </w:r>
      <w:r>
        <w:t>prior</w:t>
      </w:r>
      <w:r w:rsidR="001A1F90">
        <w:t xml:space="preserve"> </w:t>
      </w:r>
      <w:r>
        <w:t>systematic</w:t>
      </w:r>
      <w:r w:rsidR="001A1F90">
        <w:t xml:space="preserve"> </w:t>
      </w:r>
      <w:r>
        <w:t>review</w:t>
      </w:r>
      <w:r w:rsidR="001A1F90">
        <w:t xml:space="preserve"> </w:t>
      </w:r>
      <w:r>
        <w:t>of</w:t>
      </w:r>
      <w:r w:rsidR="001A1F90">
        <w:t xml:space="preserve"> </w:t>
      </w:r>
      <w:r>
        <w:t>SSRIs</w:t>
      </w:r>
      <w:r w:rsidR="001A1F90">
        <w:t xml:space="preserve"> </w:t>
      </w:r>
      <w:r>
        <w:t>(Adi</w:t>
      </w:r>
      <w:r w:rsidR="001A1F90">
        <w:t xml:space="preserve"> </w:t>
      </w:r>
      <w:r>
        <w:t>et</w:t>
      </w:r>
      <w:r w:rsidR="001A1F90">
        <w:t xml:space="preserve"> </w:t>
      </w:r>
      <w:r>
        <w:t>al.</w:t>
      </w:r>
      <w:r w:rsidR="001A1F90">
        <w:t xml:space="preserve"> </w:t>
      </w:r>
      <w:r>
        <w:t>2002)</w:t>
      </w:r>
      <w:r w:rsidR="001A1F90">
        <w:t xml:space="preserve"> </w:t>
      </w:r>
      <w:r>
        <w:t>identified</w:t>
      </w:r>
      <w:r w:rsidR="001A1F90">
        <w:t xml:space="preserve"> </w:t>
      </w:r>
      <w:r>
        <w:t>only</w:t>
      </w:r>
      <w:r w:rsidR="001A1F90">
        <w:t xml:space="preserve"> </w:t>
      </w:r>
      <w:r w:rsidR="00283E42">
        <w:t>nine</w:t>
      </w:r>
      <w:r w:rsidR="001A1F90">
        <w:t xml:space="preserve"> </w:t>
      </w:r>
      <w:r>
        <w:t>studies</w:t>
      </w:r>
      <w:r w:rsidR="001A1F90">
        <w:t xml:space="preserve"> </w:t>
      </w:r>
      <w:r>
        <w:t>eligible</w:t>
      </w:r>
      <w:r w:rsidR="001A1F90">
        <w:t xml:space="preserve"> </w:t>
      </w:r>
      <w:r>
        <w:t>for</w:t>
      </w:r>
      <w:r w:rsidR="001A1F90">
        <w:t xml:space="preserve"> </w:t>
      </w:r>
      <w:r>
        <w:t>their</w:t>
      </w:r>
      <w:r w:rsidR="001A1F90">
        <w:t xml:space="preserve"> </w:t>
      </w:r>
      <w:r>
        <w:t>meta-analysis.</w:t>
      </w:r>
      <w:r w:rsidR="001A1F90">
        <w:t xml:space="preserve"> </w:t>
      </w:r>
      <w:r>
        <w:t>The</w:t>
      </w:r>
      <w:r w:rsidR="001A1F90">
        <w:t xml:space="preserve"> </w:t>
      </w:r>
      <w:r>
        <w:t>paper</w:t>
      </w:r>
      <w:r w:rsidR="001A1F90">
        <w:t xml:space="preserve"> </w:t>
      </w:r>
      <w:r>
        <w:t>by</w:t>
      </w:r>
      <w:r w:rsidR="001A1F90">
        <w:t xml:space="preserve"> </w:t>
      </w:r>
      <w:r>
        <w:t>Adi</w:t>
      </w:r>
      <w:r w:rsidR="001A1F90">
        <w:t xml:space="preserve"> </w:t>
      </w:r>
      <w:r>
        <w:t>and</w:t>
      </w:r>
      <w:r w:rsidR="001A1F90">
        <w:t xml:space="preserve"> </w:t>
      </w:r>
      <w:r>
        <w:t>colleagues</w:t>
      </w:r>
      <w:r w:rsidR="001A1F90">
        <w:t xml:space="preserve"> </w:t>
      </w:r>
      <w:r>
        <w:t>(2002)</w:t>
      </w:r>
      <w:r w:rsidR="001A1F90">
        <w:t xml:space="preserve"> </w:t>
      </w:r>
      <w:r>
        <w:t>acknowledges</w:t>
      </w:r>
      <w:r w:rsidR="001A1F90">
        <w:t xml:space="preserve"> </w:t>
      </w:r>
      <w:r>
        <w:t>methodological</w:t>
      </w:r>
      <w:r w:rsidR="001A1F90">
        <w:t xml:space="preserve"> </w:t>
      </w:r>
      <w:r>
        <w:t>limitations</w:t>
      </w:r>
      <w:r w:rsidR="001A1F90">
        <w:t xml:space="preserve"> </w:t>
      </w:r>
      <w:r>
        <w:t>in</w:t>
      </w:r>
      <w:r w:rsidR="001A1F90">
        <w:t xml:space="preserve"> </w:t>
      </w:r>
      <w:r>
        <w:t>the</w:t>
      </w:r>
      <w:r w:rsidR="001A1F90">
        <w:t xml:space="preserve"> </w:t>
      </w:r>
      <w:r>
        <w:t>case</w:t>
      </w:r>
      <w:r w:rsidR="001A1F90">
        <w:t xml:space="preserve"> </w:t>
      </w:r>
      <w:r>
        <w:t>series</w:t>
      </w:r>
      <w:r w:rsidR="001A1F90">
        <w:t xml:space="preserve"> </w:t>
      </w:r>
      <w:r>
        <w:t>studies</w:t>
      </w:r>
      <w:r w:rsidR="001A1F90">
        <w:t xml:space="preserve"> </w:t>
      </w:r>
      <w:r>
        <w:t>included</w:t>
      </w:r>
      <w:r w:rsidR="001A1F90">
        <w:t xml:space="preserve"> </w:t>
      </w:r>
      <w:r>
        <w:t>but</w:t>
      </w:r>
      <w:r w:rsidR="001A1F90">
        <w:t xml:space="preserve"> </w:t>
      </w:r>
      <w:r>
        <w:t>concluded</w:t>
      </w:r>
      <w:r w:rsidR="001A1F90">
        <w:t xml:space="preserve"> </w:t>
      </w:r>
      <w:r>
        <w:t>that</w:t>
      </w:r>
      <w:r w:rsidR="00E841E5">
        <w:t>,</w:t>
      </w:r>
      <w:r w:rsidR="001A1F90">
        <w:t xml:space="preserve"> </w:t>
      </w:r>
      <w:r>
        <w:t>based</w:t>
      </w:r>
      <w:r w:rsidR="001A1F90">
        <w:t xml:space="preserve"> </w:t>
      </w:r>
      <w:r>
        <w:t>on</w:t>
      </w:r>
      <w:r w:rsidR="001A1F90">
        <w:t xml:space="preserve"> </w:t>
      </w:r>
      <w:r>
        <w:t>the</w:t>
      </w:r>
      <w:r w:rsidR="001A1F90">
        <w:t xml:space="preserve"> </w:t>
      </w:r>
      <w:r>
        <w:t>available</w:t>
      </w:r>
      <w:r w:rsidR="001A1F90">
        <w:t xml:space="preserve"> </w:t>
      </w:r>
      <w:r>
        <w:t>results</w:t>
      </w:r>
      <w:r w:rsidR="00E841E5">
        <w:t>,</w:t>
      </w:r>
      <w:r w:rsidR="001A1F90">
        <w:t xml:space="preserve"> </w:t>
      </w:r>
      <w:r>
        <w:t>there</w:t>
      </w:r>
      <w:r w:rsidR="001A1F90">
        <w:t xml:space="preserve"> </w:t>
      </w:r>
      <w:r>
        <w:t>was</w:t>
      </w:r>
      <w:r w:rsidR="001A1F90">
        <w:t xml:space="preserve"> </w:t>
      </w:r>
      <w:r>
        <w:t>preliminary</w:t>
      </w:r>
      <w:r w:rsidR="001A1F90">
        <w:t xml:space="preserve"> </w:t>
      </w:r>
      <w:r>
        <w:t>evidence</w:t>
      </w:r>
      <w:r w:rsidR="001A1F90">
        <w:t xml:space="preserve"> </w:t>
      </w:r>
      <w:r>
        <w:t>of</w:t>
      </w:r>
      <w:r w:rsidR="001A1F90">
        <w:t xml:space="preserve"> </w:t>
      </w:r>
      <w:r>
        <w:t>the</w:t>
      </w:r>
      <w:r w:rsidR="001A1F90">
        <w:t xml:space="preserve"> </w:t>
      </w:r>
      <w:r>
        <w:t>potential</w:t>
      </w:r>
      <w:r w:rsidR="001A1F90">
        <w:t xml:space="preserve"> </w:t>
      </w:r>
      <w:r>
        <w:t>value</w:t>
      </w:r>
      <w:r w:rsidR="001A1F90">
        <w:t xml:space="preserve"> </w:t>
      </w:r>
      <w:r>
        <w:t>of</w:t>
      </w:r>
      <w:r w:rsidR="001A1F90">
        <w:t xml:space="preserve"> </w:t>
      </w:r>
      <w:r>
        <w:t>SSRIs</w:t>
      </w:r>
      <w:r w:rsidR="001A1F90">
        <w:t xml:space="preserve"> </w:t>
      </w:r>
      <w:r>
        <w:t>in</w:t>
      </w:r>
      <w:r w:rsidR="001A1F90">
        <w:t xml:space="preserve"> </w:t>
      </w:r>
      <w:r>
        <w:t>treat</w:t>
      </w:r>
      <w:r w:rsidR="00E841E5">
        <w:t>ing</w:t>
      </w:r>
      <w:r w:rsidR="001A1F90">
        <w:t xml:space="preserve"> </w:t>
      </w:r>
      <w:r>
        <w:t>sexual</w:t>
      </w:r>
      <w:r w:rsidR="001A1F90">
        <w:t xml:space="preserve"> </w:t>
      </w:r>
      <w:r>
        <w:t>abusers.</w:t>
      </w:r>
    </w:p>
    <w:p w14:paraId="2F7362EE" w14:textId="26545E28" w:rsidR="004946F1" w:rsidRDefault="004946F1" w:rsidP="0016163D">
      <w:pPr>
        <w:pStyle w:val="DHHSbody"/>
      </w:pPr>
      <w:r>
        <w:t>The</w:t>
      </w:r>
      <w:r w:rsidR="001A1F90">
        <w:t xml:space="preserve"> </w:t>
      </w:r>
      <w:r>
        <w:t>WFSBP</w:t>
      </w:r>
      <w:r w:rsidR="001A1F90">
        <w:t xml:space="preserve"> </w:t>
      </w:r>
      <w:r>
        <w:t>guidelines</w:t>
      </w:r>
      <w:r w:rsidR="001A1F90">
        <w:t xml:space="preserve"> </w:t>
      </w:r>
      <w:r>
        <w:t>considered</w:t>
      </w:r>
      <w:r w:rsidR="001A1F90">
        <w:t xml:space="preserve"> </w:t>
      </w:r>
      <w:r>
        <w:t>the</w:t>
      </w:r>
      <w:r w:rsidR="001A1F90">
        <w:t xml:space="preserve"> </w:t>
      </w:r>
      <w:r>
        <w:t>treatment</w:t>
      </w:r>
      <w:r w:rsidR="001A1F90">
        <w:t xml:space="preserve"> </w:t>
      </w:r>
      <w:r>
        <w:t>and</w:t>
      </w:r>
      <w:r w:rsidR="001A1F90">
        <w:t xml:space="preserve"> </w:t>
      </w:r>
      <w:r>
        <w:t>management</w:t>
      </w:r>
      <w:r w:rsidR="001A1F90">
        <w:t xml:space="preserve"> </w:t>
      </w:r>
      <w:r>
        <w:t>of</w:t>
      </w:r>
      <w:r w:rsidR="001A1F90">
        <w:t xml:space="preserve"> </w:t>
      </w:r>
      <w:r>
        <w:t>sexual</w:t>
      </w:r>
      <w:r w:rsidR="001A1F90">
        <w:t xml:space="preserve"> </w:t>
      </w:r>
      <w:r>
        <w:t>paraphilias</w:t>
      </w:r>
      <w:r w:rsidR="001A1F90">
        <w:t xml:space="preserve"> </w:t>
      </w:r>
      <w:r>
        <w:t>with</w:t>
      </w:r>
      <w:r w:rsidR="001A1F90">
        <w:t xml:space="preserve"> </w:t>
      </w:r>
      <w:r>
        <w:t>pharmacological</w:t>
      </w:r>
      <w:r w:rsidR="001A1F90">
        <w:t xml:space="preserve"> </w:t>
      </w:r>
      <w:r>
        <w:t>agents</w:t>
      </w:r>
      <w:r w:rsidR="001A1F90">
        <w:t xml:space="preserve"> </w:t>
      </w:r>
      <w:r>
        <w:t>and</w:t>
      </w:r>
      <w:r w:rsidR="001A1F90">
        <w:t xml:space="preserve"> </w:t>
      </w:r>
      <w:r>
        <w:t>how</w:t>
      </w:r>
      <w:r w:rsidR="001A1F90">
        <w:t xml:space="preserve"> </w:t>
      </w:r>
      <w:r>
        <w:t>these</w:t>
      </w:r>
      <w:r w:rsidR="001A1F90">
        <w:t xml:space="preserve"> </w:t>
      </w:r>
      <w:r>
        <w:t>could</w:t>
      </w:r>
      <w:r w:rsidR="001A1F90">
        <w:t xml:space="preserve"> </w:t>
      </w:r>
      <w:r>
        <w:t>be</w:t>
      </w:r>
      <w:r w:rsidR="001A1F90">
        <w:t xml:space="preserve"> </w:t>
      </w:r>
      <w:r>
        <w:t>supplemented</w:t>
      </w:r>
      <w:r w:rsidR="001A1F90">
        <w:t xml:space="preserve"> </w:t>
      </w:r>
      <w:r>
        <w:t>with</w:t>
      </w:r>
      <w:r w:rsidR="001A1F90">
        <w:t xml:space="preserve"> </w:t>
      </w:r>
      <w:r>
        <w:t>psychological</w:t>
      </w:r>
      <w:r w:rsidR="001A1F90">
        <w:t xml:space="preserve"> </w:t>
      </w:r>
      <w:r>
        <w:t>interventions.</w:t>
      </w:r>
      <w:r w:rsidR="001A1F90">
        <w:t xml:space="preserve"> </w:t>
      </w:r>
      <w:r>
        <w:t>To</w:t>
      </w:r>
      <w:r w:rsidR="001A1F90">
        <w:t xml:space="preserve"> </w:t>
      </w:r>
      <w:r>
        <w:t>these</w:t>
      </w:r>
      <w:r w:rsidR="001A1F90">
        <w:t xml:space="preserve"> </w:t>
      </w:r>
      <w:r>
        <w:t>ends,</w:t>
      </w:r>
      <w:r w:rsidR="001A1F90">
        <w:t xml:space="preserve"> </w:t>
      </w:r>
      <w:r>
        <w:t>they</w:t>
      </w:r>
      <w:r w:rsidR="001A1F90">
        <w:t xml:space="preserve"> </w:t>
      </w:r>
      <w:r>
        <w:t>reviewed</w:t>
      </w:r>
      <w:r w:rsidR="001A1F90">
        <w:t xml:space="preserve"> </w:t>
      </w:r>
      <w:r>
        <w:t>all</w:t>
      </w:r>
      <w:r w:rsidR="001A1F90">
        <w:t xml:space="preserve"> </w:t>
      </w:r>
      <w:r>
        <w:t>available</w:t>
      </w:r>
      <w:r w:rsidR="001A1F90">
        <w:t xml:space="preserve"> </w:t>
      </w:r>
      <w:r>
        <w:t>English</w:t>
      </w:r>
      <w:r w:rsidR="00E841E5">
        <w:t>-</w:t>
      </w:r>
      <w:r>
        <w:t>language</w:t>
      </w:r>
      <w:r w:rsidR="001A1F90">
        <w:t xml:space="preserve"> </w:t>
      </w:r>
      <w:r>
        <w:t>literature</w:t>
      </w:r>
      <w:r w:rsidR="001A1F90">
        <w:t xml:space="preserve"> </w:t>
      </w:r>
      <w:r>
        <w:t>published</w:t>
      </w:r>
      <w:r w:rsidR="001A1F90">
        <w:t xml:space="preserve"> </w:t>
      </w:r>
      <w:r>
        <w:t>over</w:t>
      </w:r>
      <w:r w:rsidR="001A1F90">
        <w:t xml:space="preserve"> </w:t>
      </w:r>
      <w:r>
        <w:t>a</w:t>
      </w:r>
      <w:r w:rsidR="001A1F90">
        <w:t xml:space="preserve"> </w:t>
      </w:r>
      <w:r>
        <w:t>40-year</w:t>
      </w:r>
      <w:r w:rsidR="001A1F90">
        <w:t xml:space="preserve"> </w:t>
      </w:r>
      <w:r>
        <w:t>period</w:t>
      </w:r>
      <w:r w:rsidR="001A1F90">
        <w:t xml:space="preserve"> </w:t>
      </w:r>
      <w:r>
        <w:t>(1969</w:t>
      </w:r>
      <w:r w:rsidR="00301CA9">
        <w:t>–</w:t>
      </w:r>
      <w:r>
        <w:t>2009).</w:t>
      </w:r>
      <w:r w:rsidR="001A1F90">
        <w:t xml:space="preserve"> </w:t>
      </w:r>
      <w:r>
        <w:t>Thibaut</w:t>
      </w:r>
      <w:r w:rsidR="001A1F90">
        <w:t xml:space="preserve"> </w:t>
      </w:r>
      <w:r>
        <w:t>and</w:t>
      </w:r>
      <w:r w:rsidR="001A1F90">
        <w:t xml:space="preserve"> </w:t>
      </w:r>
      <w:r>
        <w:t>colleagues</w:t>
      </w:r>
      <w:r w:rsidR="001A1F90">
        <w:t xml:space="preserve"> </w:t>
      </w:r>
      <w:r>
        <w:t>(p.</w:t>
      </w:r>
      <w:r w:rsidR="001A1F90">
        <w:t xml:space="preserve"> </w:t>
      </w:r>
      <w:r>
        <w:t>606)</w:t>
      </w:r>
      <w:r w:rsidR="001A1F90">
        <w:t xml:space="preserve"> </w:t>
      </w:r>
      <w:r>
        <w:t>point</w:t>
      </w:r>
      <w:r w:rsidR="001A1F90">
        <w:t xml:space="preserve"> </w:t>
      </w:r>
      <w:r>
        <w:t>out</w:t>
      </w:r>
      <w:r w:rsidR="001A1F90">
        <w:t xml:space="preserve"> </w:t>
      </w:r>
      <w:r>
        <w:t>that,</w:t>
      </w:r>
      <w:r w:rsidR="001A1F90">
        <w:t xml:space="preserve"> </w:t>
      </w:r>
      <w:r>
        <w:t>ethically,</w:t>
      </w:r>
      <w:r w:rsidR="001A1F90">
        <w:t xml:space="preserve"> </w:t>
      </w:r>
      <w:r>
        <w:t>a</w:t>
      </w:r>
      <w:r w:rsidR="001A1F90">
        <w:t xml:space="preserve"> </w:t>
      </w:r>
      <w:r>
        <w:t>person</w:t>
      </w:r>
      <w:r w:rsidR="001A1F90">
        <w:t xml:space="preserve"> </w:t>
      </w:r>
      <w:r>
        <w:t>may</w:t>
      </w:r>
      <w:r w:rsidR="001A1F90">
        <w:t xml:space="preserve"> </w:t>
      </w:r>
      <w:r>
        <w:t>only</w:t>
      </w:r>
      <w:r w:rsidR="001A1F90">
        <w:t xml:space="preserve"> </w:t>
      </w:r>
      <w:r>
        <w:t>be</w:t>
      </w:r>
      <w:r w:rsidR="001A1F90">
        <w:t xml:space="preserve"> </w:t>
      </w:r>
      <w:r>
        <w:t>subjected</w:t>
      </w:r>
      <w:r w:rsidR="001A1F90">
        <w:t xml:space="preserve"> </w:t>
      </w:r>
      <w:r>
        <w:t>to</w:t>
      </w:r>
      <w:r w:rsidR="001A1F90">
        <w:t xml:space="preserve"> </w:t>
      </w:r>
      <w:r>
        <w:t>anti-androgen</w:t>
      </w:r>
      <w:r w:rsidR="001A1F90">
        <w:t xml:space="preserve"> </w:t>
      </w:r>
      <w:r>
        <w:t>medications</w:t>
      </w:r>
      <w:r w:rsidR="001A1F90">
        <w:t xml:space="preserve"> </w:t>
      </w:r>
      <w:r>
        <w:t>when</w:t>
      </w:r>
      <w:r w:rsidR="001A1F90">
        <w:t xml:space="preserve"> </w:t>
      </w:r>
      <w:r>
        <w:t>all</w:t>
      </w:r>
      <w:r w:rsidR="001A1F90">
        <w:t xml:space="preserve"> </w:t>
      </w:r>
      <w:r>
        <w:t>of</w:t>
      </w:r>
      <w:r w:rsidR="001A1F90">
        <w:t xml:space="preserve"> </w:t>
      </w:r>
      <w:r>
        <w:t>the</w:t>
      </w:r>
      <w:r w:rsidR="001A1F90">
        <w:t xml:space="preserve"> </w:t>
      </w:r>
      <w:r>
        <w:t>following</w:t>
      </w:r>
      <w:r w:rsidR="001A1F90">
        <w:t xml:space="preserve"> </w:t>
      </w:r>
      <w:r>
        <w:t>six</w:t>
      </w:r>
      <w:r w:rsidR="001A1F90">
        <w:t xml:space="preserve"> </w:t>
      </w:r>
      <w:r>
        <w:t>conditions</w:t>
      </w:r>
      <w:r w:rsidR="001A1F90">
        <w:t xml:space="preserve"> </w:t>
      </w:r>
      <w:r>
        <w:t>have</w:t>
      </w:r>
      <w:r w:rsidR="001A1F90">
        <w:t xml:space="preserve"> </w:t>
      </w:r>
      <w:r>
        <w:t>been</w:t>
      </w:r>
      <w:r w:rsidR="001A1F90">
        <w:t xml:space="preserve"> </w:t>
      </w:r>
      <w:r>
        <w:t>met:</w:t>
      </w:r>
    </w:p>
    <w:tbl>
      <w:tblPr>
        <w:tblStyle w:val="SPhighlighttable"/>
        <w:tblW w:w="9299" w:type="dxa"/>
        <w:tblLayout w:type="fixed"/>
        <w:tblLook w:val="0600" w:firstRow="0" w:lastRow="0" w:firstColumn="0" w:lastColumn="0" w:noHBand="1" w:noVBand="1"/>
      </w:tblPr>
      <w:tblGrid>
        <w:gridCol w:w="9299"/>
      </w:tblGrid>
      <w:tr w:rsidR="004946F1" w14:paraId="1399FEB9" w14:textId="77777777" w:rsidTr="00B22AC9">
        <w:trPr>
          <w:trHeight w:val="60"/>
        </w:trPr>
        <w:tc>
          <w:tcPr>
            <w:tcW w:w="9639" w:type="dxa"/>
          </w:tcPr>
          <w:p w14:paraId="78A70053" w14:textId="70A0DBE9" w:rsidR="004946F1" w:rsidRPr="00F224CB" w:rsidRDefault="004946F1" w:rsidP="00CD0313">
            <w:pPr>
              <w:pStyle w:val="DHHSnumberdigit"/>
              <w:pageBreakBefore/>
            </w:pPr>
            <w:r w:rsidRPr="00F224CB">
              <w:t>The</w:t>
            </w:r>
            <w:r w:rsidR="001A1F90">
              <w:t xml:space="preserve"> </w:t>
            </w:r>
            <w:r w:rsidRPr="00F224CB">
              <w:t>individual</w:t>
            </w:r>
            <w:r w:rsidR="001A1F90">
              <w:t xml:space="preserve"> </w:t>
            </w:r>
            <w:r w:rsidRPr="00F224CB">
              <w:t>has</w:t>
            </w:r>
            <w:r w:rsidR="001A1F90">
              <w:t xml:space="preserve"> </w:t>
            </w:r>
            <w:r w:rsidRPr="00F224CB">
              <w:t>a</w:t>
            </w:r>
            <w:r w:rsidR="001A1F90">
              <w:t xml:space="preserve"> </w:t>
            </w:r>
            <w:r w:rsidRPr="00F224CB">
              <w:t>paraphiliac</w:t>
            </w:r>
            <w:r w:rsidR="001A1F90">
              <w:t xml:space="preserve"> </w:t>
            </w:r>
            <w:r w:rsidRPr="00F224CB">
              <w:t>disorder</w:t>
            </w:r>
            <w:r w:rsidR="001A1F90">
              <w:t xml:space="preserve"> </w:t>
            </w:r>
            <w:r w:rsidRPr="00F224CB">
              <w:t>diagnosed</w:t>
            </w:r>
            <w:r w:rsidR="001A1F90">
              <w:t xml:space="preserve"> </w:t>
            </w:r>
            <w:r w:rsidRPr="00F224CB">
              <w:t>by</w:t>
            </w:r>
            <w:r w:rsidR="001A1F90">
              <w:t xml:space="preserve"> </w:t>
            </w:r>
            <w:r w:rsidRPr="00F224CB">
              <w:t>a</w:t>
            </w:r>
            <w:r w:rsidR="001A1F90">
              <w:t xml:space="preserve"> </w:t>
            </w:r>
            <w:r w:rsidRPr="00F224CB">
              <w:t>psychiatrist</w:t>
            </w:r>
            <w:r w:rsidR="001A1F90">
              <w:t xml:space="preserve"> </w:t>
            </w:r>
            <w:r w:rsidRPr="00F224CB">
              <w:t>after</w:t>
            </w:r>
            <w:r w:rsidR="001A1F90">
              <w:t xml:space="preserve"> </w:t>
            </w:r>
            <w:r w:rsidRPr="00F224CB">
              <w:t>a</w:t>
            </w:r>
            <w:r w:rsidR="001A1F90">
              <w:t xml:space="preserve"> </w:t>
            </w:r>
            <w:r w:rsidRPr="00F224CB">
              <w:t>detailed</w:t>
            </w:r>
            <w:r w:rsidR="001A1F90">
              <w:t xml:space="preserve"> </w:t>
            </w:r>
            <w:r w:rsidRPr="00F224CB">
              <w:t>psychiatric</w:t>
            </w:r>
            <w:r w:rsidR="001A1F90">
              <w:t xml:space="preserve"> </w:t>
            </w:r>
            <w:r w:rsidRPr="00F224CB">
              <w:t>exam</w:t>
            </w:r>
            <w:r w:rsidR="00E841E5">
              <w:t>.</w:t>
            </w:r>
          </w:p>
          <w:p w14:paraId="39C47560" w14:textId="7E6D0C07" w:rsidR="004946F1" w:rsidRPr="00F224CB" w:rsidRDefault="004946F1" w:rsidP="00BD612C">
            <w:pPr>
              <w:pStyle w:val="DHHSnumberdigit"/>
            </w:pPr>
            <w:r w:rsidRPr="00F224CB">
              <w:t>The</w:t>
            </w:r>
            <w:r w:rsidR="001A1F90">
              <w:t xml:space="preserve"> </w:t>
            </w:r>
            <w:r w:rsidRPr="00F224CB">
              <w:t>treatment</w:t>
            </w:r>
            <w:r w:rsidR="001A1F90">
              <w:t xml:space="preserve"> </w:t>
            </w:r>
            <w:r w:rsidRPr="00F224CB">
              <w:t>addresses</w:t>
            </w:r>
            <w:r w:rsidR="001A1F90">
              <w:t xml:space="preserve"> </w:t>
            </w:r>
            <w:r w:rsidRPr="00F224CB">
              <w:t>specific</w:t>
            </w:r>
            <w:r w:rsidR="001A1F90">
              <w:t xml:space="preserve"> </w:t>
            </w:r>
            <w:r w:rsidRPr="00F224CB">
              <w:t>clinical</w:t>
            </w:r>
            <w:r w:rsidR="001A1F90">
              <w:t xml:space="preserve"> </w:t>
            </w:r>
            <w:r w:rsidRPr="00F224CB">
              <w:t>signs,</w:t>
            </w:r>
            <w:r w:rsidR="001A1F90">
              <w:t xml:space="preserve"> </w:t>
            </w:r>
            <w:r w:rsidRPr="00F224CB">
              <w:t>symptoms</w:t>
            </w:r>
            <w:r w:rsidR="001A1F90">
              <w:t xml:space="preserve"> </w:t>
            </w:r>
            <w:r w:rsidRPr="00F224CB">
              <w:t>and</w:t>
            </w:r>
            <w:r w:rsidR="001A1F90">
              <w:t xml:space="preserve"> </w:t>
            </w:r>
            <w:r w:rsidRPr="00F224CB">
              <w:t>behaviours,</w:t>
            </w:r>
            <w:r w:rsidR="001A1F90">
              <w:t xml:space="preserve"> </w:t>
            </w:r>
            <w:r w:rsidRPr="00F224CB">
              <w:t>adapted</w:t>
            </w:r>
            <w:r w:rsidR="001A1F90">
              <w:t xml:space="preserve"> </w:t>
            </w:r>
            <w:r w:rsidRPr="00F224CB">
              <w:t>to</w:t>
            </w:r>
            <w:r w:rsidR="001A1F90">
              <w:t xml:space="preserve"> </w:t>
            </w:r>
            <w:r w:rsidRPr="00F224CB">
              <w:t>the</w:t>
            </w:r>
            <w:r w:rsidR="001A1F90">
              <w:t xml:space="preserve"> </w:t>
            </w:r>
            <w:r w:rsidRPr="00F224CB">
              <w:t>individual’s</w:t>
            </w:r>
            <w:r w:rsidR="001A1F90">
              <w:t xml:space="preserve"> </w:t>
            </w:r>
            <w:r w:rsidRPr="00F224CB">
              <w:t>state</w:t>
            </w:r>
            <w:r w:rsidR="001A1F90">
              <w:t xml:space="preserve"> </w:t>
            </w:r>
            <w:r w:rsidRPr="00F224CB">
              <w:t>of</w:t>
            </w:r>
            <w:r w:rsidR="001A1F90">
              <w:t xml:space="preserve"> </w:t>
            </w:r>
            <w:r w:rsidRPr="00F224CB">
              <w:t>health</w:t>
            </w:r>
            <w:r w:rsidR="00E841E5">
              <w:t>.</w:t>
            </w:r>
          </w:p>
          <w:p w14:paraId="40D7BC37" w14:textId="1BD3537C" w:rsidR="004946F1" w:rsidRPr="00F224CB" w:rsidRDefault="004946F1" w:rsidP="00BD612C">
            <w:pPr>
              <w:pStyle w:val="DHHSnumberdigit"/>
            </w:pPr>
            <w:r w:rsidRPr="00F224CB">
              <w:t>Their</w:t>
            </w:r>
            <w:r w:rsidR="001A1F90">
              <w:t xml:space="preserve"> </w:t>
            </w:r>
            <w:r w:rsidRPr="00F224CB">
              <w:t>condition</w:t>
            </w:r>
            <w:r w:rsidR="001A1F90">
              <w:t xml:space="preserve"> </w:t>
            </w:r>
            <w:r w:rsidRPr="00F224CB">
              <w:t>represents</w:t>
            </w:r>
            <w:r w:rsidR="001A1F90">
              <w:t xml:space="preserve"> </w:t>
            </w:r>
            <w:r w:rsidRPr="00F224CB">
              <w:t>a</w:t>
            </w:r>
            <w:r w:rsidR="001A1F90">
              <w:t xml:space="preserve"> </w:t>
            </w:r>
            <w:r w:rsidRPr="00F224CB">
              <w:t>significant</w:t>
            </w:r>
            <w:r w:rsidR="001A1F90">
              <w:t xml:space="preserve"> </w:t>
            </w:r>
            <w:r w:rsidRPr="00F224CB">
              <w:t>risk</w:t>
            </w:r>
            <w:r w:rsidR="001A1F90">
              <w:t xml:space="preserve"> </w:t>
            </w:r>
            <w:r w:rsidRPr="00F224CB">
              <w:t>of</w:t>
            </w:r>
            <w:r w:rsidR="001A1F90">
              <w:t xml:space="preserve"> </w:t>
            </w:r>
            <w:r w:rsidRPr="00F224CB">
              <w:t>serious</w:t>
            </w:r>
            <w:r w:rsidR="001A1F90">
              <w:t xml:space="preserve"> </w:t>
            </w:r>
            <w:r w:rsidRPr="00F224CB">
              <w:t>harm</w:t>
            </w:r>
            <w:r w:rsidR="001A1F90">
              <w:t xml:space="preserve"> </w:t>
            </w:r>
            <w:r w:rsidRPr="00F224CB">
              <w:t>to</w:t>
            </w:r>
            <w:r w:rsidR="001A1F90">
              <w:t xml:space="preserve"> </w:t>
            </w:r>
            <w:r w:rsidRPr="00F224CB">
              <w:t>his</w:t>
            </w:r>
            <w:r w:rsidR="001A1F90">
              <w:t xml:space="preserve"> </w:t>
            </w:r>
            <w:r w:rsidRPr="00F224CB">
              <w:t>health</w:t>
            </w:r>
            <w:r w:rsidR="001A1F90">
              <w:t xml:space="preserve"> </w:t>
            </w:r>
            <w:r w:rsidRPr="00F224CB">
              <w:t>or</w:t>
            </w:r>
            <w:r w:rsidR="001A1F90">
              <w:t xml:space="preserve"> </w:t>
            </w:r>
            <w:r w:rsidRPr="00F224CB">
              <w:t>to</w:t>
            </w:r>
            <w:r w:rsidR="001A1F90">
              <w:t xml:space="preserve"> </w:t>
            </w:r>
            <w:r w:rsidRPr="00F224CB">
              <w:t>the</w:t>
            </w:r>
            <w:r w:rsidR="001A1F90">
              <w:t xml:space="preserve"> </w:t>
            </w:r>
            <w:r w:rsidRPr="00F224CB">
              <w:t>physical</w:t>
            </w:r>
            <w:r w:rsidR="001A1F90">
              <w:t xml:space="preserve"> </w:t>
            </w:r>
            <w:r w:rsidRPr="00F224CB">
              <w:t>or</w:t>
            </w:r>
            <w:r w:rsidR="001A1F90">
              <w:t xml:space="preserve"> </w:t>
            </w:r>
            <w:r w:rsidRPr="00F224CB">
              <w:t>moral</w:t>
            </w:r>
            <w:r w:rsidR="001A1F90">
              <w:t xml:space="preserve"> </w:t>
            </w:r>
            <w:r w:rsidRPr="00F224CB">
              <w:t>integrity</w:t>
            </w:r>
            <w:r w:rsidR="001A1F90">
              <w:t xml:space="preserve"> </w:t>
            </w:r>
            <w:r w:rsidRPr="00F224CB">
              <w:t>of</w:t>
            </w:r>
            <w:r w:rsidR="001A1F90">
              <w:t xml:space="preserve"> </w:t>
            </w:r>
            <w:r w:rsidRPr="00F224CB">
              <w:t>other</w:t>
            </w:r>
            <w:r w:rsidR="001A1F90">
              <w:t xml:space="preserve"> </w:t>
            </w:r>
            <w:r w:rsidRPr="00F224CB">
              <w:t>persons</w:t>
            </w:r>
            <w:r w:rsidR="00E841E5">
              <w:t>.</w:t>
            </w:r>
          </w:p>
          <w:p w14:paraId="2F5C69BD" w14:textId="27F8CF36" w:rsidR="004946F1" w:rsidRPr="00F224CB" w:rsidRDefault="004946F1" w:rsidP="00BD612C">
            <w:pPr>
              <w:pStyle w:val="DHHSnumberdigit"/>
            </w:pPr>
            <w:r w:rsidRPr="00F224CB">
              <w:t>That</w:t>
            </w:r>
            <w:r w:rsidR="001A1F90">
              <w:t xml:space="preserve"> </w:t>
            </w:r>
            <w:r w:rsidRPr="00F224CB">
              <w:t>there</w:t>
            </w:r>
            <w:r w:rsidR="001A1F90">
              <w:t xml:space="preserve"> </w:t>
            </w:r>
            <w:r w:rsidRPr="00F224CB">
              <w:t>are</w:t>
            </w:r>
            <w:r w:rsidR="001A1F90">
              <w:t xml:space="preserve"> </w:t>
            </w:r>
            <w:r w:rsidRPr="00F224CB">
              <w:t>no</w:t>
            </w:r>
            <w:r w:rsidR="001A1F90">
              <w:t xml:space="preserve"> </w:t>
            </w:r>
            <w:r w:rsidRPr="00F224CB">
              <w:t>less</w:t>
            </w:r>
            <w:r w:rsidR="001A1F90">
              <w:t xml:space="preserve"> </w:t>
            </w:r>
            <w:r w:rsidRPr="00F224CB">
              <w:t>intrusive</w:t>
            </w:r>
            <w:r w:rsidR="001A1F90">
              <w:t xml:space="preserve"> </w:t>
            </w:r>
            <w:r w:rsidRPr="00F224CB">
              <w:t>means</w:t>
            </w:r>
            <w:r w:rsidR="001A1F90">
              <w:t xml:space="preserve"> </w:t>
            </w:r>
            <w:r w:rsidRPr="00F224CB">
              <w:t>of</w:t>
            </w:r>
            <w:r w:rsidR="001A1F90">
              <w:t xml:space="preserve"> </w:t>
            </w:r>
            <w:r w:rsidRPr="00F224CB">
              <w:t>providing</w:t>
            </w:r>
            <w:r w:rsidR="001A1F90">
              <w:t xml:space="preserve"> </w:t>
            </w:r>
            <w:r w:rsidRPr="00F224CB">
              <w:t>treatment</w:t>
            </w:r>
            <w:r w:rsidR="001A1F90">
              <w:t xml:space="preserve"> </w:t>
            </w:r>
            <w:r w:rsidRPr="00F224CB">
              <w:t>available</w:t>
            </w:r>
            <w:r w:rsidR="00E841E5">
              <w:t>.</w:t>
            </w:r>
          </w:p>
          <w:p w14:paraId="075156BF" w14:textId="6DA40A7A" w:rsidR="004946F1" w:rsidRPr="00F224CB" w:rsidRDefault="004946F1" w:rsidP="00BD612C">
            <w:pPr>
              <w:pStyle w:val="DHHSnumberdigit"/>
            </w:pPr>
            <w:r w:rsidRPr="00F224CB">
              <w:t>That</w:t>
            </w:r>
            <w:r w:rsidR="001A1F90">
              <w:t xml:space="preserve"> </w:t>
            </w:r>
            <w:r w:rsidRPr="00F224CB">
              <w:t>the</w:t>
            </w:r>
            <w:r w:rsidR="001A1F90">
              <w:t xml:space="preserve"> </w:t>
            </w:r>
            <w:r w:rsidRPr="00F224CB">
              <w:t>responsible</w:t>
            </w:r>
            <w:r w:rsidR="001A1F90">
              <w:t xml:space="preserve"> </w:t>
            </w:r>
            <w:r w:rsidRPr="00F224CB">
              <w:t>psychiatrist</w:t>
            </w:r>
            <w:r w:rsidR="001A1F90">
              <w:t xml:space="preserve"> </w:t>
            </w:r>
            <w:r w:rsidRPr="00F224CB">
              <w:t>agrees</w:t>
            </w:r>
            <w:r w:rsidR="001A1F90">
              <w:t xml:space="preserve"> </w:t>
            </w:r>
            <w:r w:rsidRPr="00F224CB">
              <w:t>to</w:t>
            </w:r>
            <w:r w:rsidR="001A1F90">
              <w:t xml:space="preserve"> </w:t>
            </w:r>
            <w:r w:rsidRPr="00F224CB">
              <w:t>inform</w:t>
            </w:r>
            <w:r w:rsidR="001A1F90">
              <w:t xml:space="preserve"> </w:t>
            </w:r>
            <w:r w:rsidRPr="00F224CB">
              <w:t>the</w:t>
            </w:r>
            <w:r w:rsidR="001A1F90">
              <w:t xml:space="preserve"> </w:t>
            </w:r>
            <w:r w:rsidRPr="00F224CB">
              <w:t>individual</w:t>
            </w:r>
            <w:r w:rsidR="001A1F90">
              <w:t xml:space="preserve"> </w:t>
            </w:r>
            <w:r w:rsidRPr="00F224CB">
              <w:t>and</w:t>
            </w:r>
            <w:r w:rsidR="001A1F90">
              <w:t xml:space="preserve"> </w:t>
            </w:r>
            <w:r w:rsidRPr="00F224CB">
              <w:t>receive</w:t>
            </w:r>
            <w:r w:rsidR="001A1F90">
              <w:t xml:space="preserve"> </w:t>
            </w:r>
            <w:r w:rsidRPr="00F224CB">
              <w:t>their</w:t>
            </w:r>
            <w:r w:rsidR="001A1F90">
              <w:t xml:space="preserve"> </w:t>
            </w:r>
            <w:r w:rsidRPr="00F224CB">
              <w:t>consent</w:t>
            </w:r>
            <w:r w:rsidR="001A1F90">
              <w:t xml:space="preserve"> </w:t>
            </w:r>
            <w:r w:rsidRPr="00F224CB">
              <w:t>to</w:t>
            </w:r>
            <w:r w:rsidR="001A1F90">
              <w:t xml:space="preserve"> </w:t>
            </w:r>
            <w:r w:rsidRPr="00F224CB">
              <w:t>take</w:t>
            </w:r>
            <w:r w:rsidR="001A1F90">
              <w:t xml:space="preserve"> </w:t>
            </w:r>
            <w:r w:rsidRPr="00F224CB">
              <w:t>the</w:t>
            </w:r>
            <w:r w:rsidR="001A1F90">
              <w:t xml:space="preserve"> </w:t>
            </w:r>
            <w:r w:rsidRPr="00F224CB">
              <w:t>responsibility</w:t>
            </w:r>
            <w:r w:rsidR="001A1F90">
              <w:t xml:space="preserve"> </w:t>
            </w:r>
            <w:r w:rsidRPr="00F224CB">
              <w:t>for</w:t>
            </w:r>
            <w:r w:rsidR="001A1F90">
              <w:t xml:space="preserve"> </w:t>
            </w:r>
            <w:r w:rsidRPr="00F224CB">
              <w:t>the</w:t>
            </w:r>
            <w:r w:rsidR="001A1F90">
              <w:t xml:space="preserve"> </w:t>
            </w:r>
            <w:r w:rsidRPr="00F224CB">
              <w:t>indication</w:t>
            </w:r>
            <w:r w:rsidR="001A1F90">
              <w:t xml:space="preserve"> </w:t>
            </w:r>
            <w:r w:rsidRPr="00F224CB">
              <w:t>of</w:t>
            </w:r>
            <w:r w:rsidR="001A1F90">
              <w:t xml:space="preserve"> </w:t>
            </w:r>
            <w:r w:rsidRPr="00F224CB">
              <w:t>the</w:t>
            </w:r>
            <w:r w:rsidR="001A1F90">
              <w:t xml:space="preserve"> </w:t>
            </w:r>
            <w:r w:rsidRPr="00F224CB">
              <w:t>treatment</w:t>
            </w:r>
            <w:r w:rsidR="001A1F90">
              <w:t xml:space="preserve"> </w:t>
            </w:r>
            <w:r w:rsidRPr="00F224CB">
              <w:t>and</w:t>
            </w:r>
            <w:r w:rsidR="001A1F90">
              <w:t xml:space="preserve"> </w:t>
            </w:r>
            <w:r w:rsidRPr="00F224CB">
              <w:t>for</w:t>
            </w:r>
            <w:r w:rsidR="001A1F90">
              <w:t xml:space="preserve"> </w:t>
            </w:r>
            <w:r w:rsidRPr="00F224CB">
              <w:t>follow-up,</w:t>
            </w:r>
            <w:r w:rsidR="001A1F90">
              <w:t xml:space="preserve"> </w:t>
            </w:r>
            <w:r w:rsidRPr="00F224CB">
              <w:t>including</w:t>
            </w:r>
            <w:r w:rsidR="001A1F90">
              <w:t xml:space="preserve"> </w:t>
            </w:r>
            <w:r w:rsidRPr="00F224CB">
              <w:t>somatic</w:t>
            </w:r>
            <w:r w:rsidR="001A1F90">
              <w:t xml:space="preserve"> </w:t>
            </w:r>
            <w:r w:rsidRPr="00F224CB">
              <w:t>aspects</w:t>
            </w:r>
            <w:r w:rsidR="001A1F90">
              <w:t xml:space="preserve"> </w:t>
            </w:r>
            <w:r w:rsidRPr="00F224CB">
              <w:t>with</w:t>
            </w:r>
            <w:r w:rsidR="001A1F90">
              <w:t xml:space="preserve"> </w:t>
            </w:r>
            <w:r w:rsidRPr="00F224CB">
              <w:t>support</w:t>
            </w:r>
            <w:r w:rsidR="001A1F90">
              <w:t xml:space="preserve"> </w:t>
            </w:r>
            <w:r w:rsidRPr="00F224CB">
              <w:t>from</w:t>
            </w:r>
            <w:r w:rsidR="001A1F90">
              <w:t xml:space="preserve"> </w:t>
            </w:r>
            <w:r w:rsidRPr="00F224CB">
              <w:t>an</w:t>
            </w:r>
            <w:r w:rsidR="001A1F90">
              <w:t xml:space="preserve"> </w:t>
            </w:r>
            <w:r w:rsidRPr="00F224CB">
              <w:t>endocrinologist</w:t>
            </w:r>
            <w:r w:rsidR="001A1F90">
              <w:t xml:space="preserve"> </w:t>
            </w:r>
            <w:r w:rsidRPr="00F224CB">
              <w:t>where</w:t>
            </w:r>
            <w:r w:rsidR="001A1F90">
              <w:t xml:space="preserve"> </w:t>
            </w:r>
            <w:r w:rsidRPr="00F224CB">
              <w:t>necessary</w:t>
            </w:r>
            <w:r w:rsidR="00E841E5">
              <w:t>.</w:t>
            </w:r>
          </w:p>
          <w:p w14:paraId="5679A41E" w14:textId="4085AB71" w:rsidR="004946F1" w:rsidRDefault="004946F1" w:rsidP="00BD612C">
            <w:pPr>
              <w:pStyle w:val="DHHSnumberdigit"/>
            </w:pPr>
            <w:r w:rsidRPr="00F224CB">
              <w:t>That</w:t>
            </w:r>
            <w:r w:rsidR="001A1F90">
              <w:t xml:space="preserve"> </w:t>
            </w:r>
            <w:r w:rsidRPr="00F224CB">
              <w:t>the</w:t>
            </w:r>
            <w:r w:rsidR="001A1F90">
              <w:t xml:space="preserve"> </w:t>
            </w:r>
            <w:r w:rsidRPr="00F224CB">
              <w:t>treatment</w:t>
            </w:r>
            <w:r w:rsidR="001A1F90">
              <w:t xml:space="preserve"> </w:t>
            </w:r>
            <w:r w:rsidRPr="00F224CB">
              <w:t>is</w:t>
            </w:r>
            <w:r w:rsidR="001A1F90">
              <w:t xml:space="preserve"> </w:t>
            </w:r>
            <w:r w:rsidRPr="00F224CB">
              <w:t>part</w:t>
            </w:r>
            <w:r w:rsidR="001A1F90">
              <w:t xml:space="preserve"> </w:t>
            </w:r>
            <w:r w:rsidRPr="00F224CB">
              <w:t>of</w:t>
            </w:r>
            <w:r w:rsidR="001A1F90">
              <w:t xml:space="preserve"> </w:t>
            </w:r>
            <w:r w:rsidRPr="00F224CB">
              <w:t>a</w:t>
            </w:r>
            <w:r w:rsidR="001A1F90">
              <w:t xml:space="preserve"> </w:t>
            </w:r>
            <w:r w:rsidRPr="00F224CB">
              <w:t>written</w:t>
            </w:r>
            <w:r w:rsidR="001A1F90">
              <w:t xml:space="preserve"> </w:t>
            </w:r>
            <w:r w:rsidRPr="00F224CB">
              <w:t>treatment</w:t>
            </w:r>
            <w:r w:rsidR="001A1F90">
              <w:t xml:space="preserve"> </w:t>
            </w:r>
            <w:r w:rsidRPr="00F224CB">
              <w:t>plan,</w:t>
            </w:r>
            <w:r w:rsidR="001A1F90">
              <w:t xml:space="preserve"> </w:t>
            </w:r>
            <w:r w:rsidRPr="00F224CB">
              <w:t>reviewed</w:t>
            </w:r>
            <w:r w:rsidR="001A1F90">
              <w:t xml:space="preserve"> </w:t>
            </w:r>
            <w:r w:rsidRPr="00F224CB">
              <w:t>at</w:t>
            </w:r>
            <w:r w:rsidR="001A1F90">
              <w:t xml:space="preserve"> </w:t>
            </w:r>
            <w:r w:rsidRPr="00F224CB">
              <w:t>appropriate</w:t>
            </w:r>
            <w:r w:rsidR="001A1F90">
              <w:t xml:space="preserve"> </w:t>
            </w:r>
            <w:r w:rsidRPr="00F224CB">
              <w:t>intervals</w:t>
            </w:r>
            <w:r w:rsidR="001A1F90">
              <w:t xml:space="preserve"> </w:t>
            </w:r>
            <w:r w:rsidRPr="00F224CB">
              <w:t>and</w:t>
            </w:r>
            <w:r w:rsidR="001A1F90">
              <w:t xml:space="preserve"> </w:t>
            </w:r>
            <w:r w:rsidRPr="00F224CB">
              <w:t>revised</w:t>
            </w:r>
            <w:r w:rsidR="001A1F90">
              <w:t xml:space="preserve"> </w:t>
            </w:r>
            <w:r w:rsidRPr="00F224CB">
              <w:t>as</w:t>
            </w:r>
            <w:r w:rsidR="001A1F90">
              <w:t xml:space="preserve"> </w:t>
            </w:r>
            <w:r w:rsidRPr="00F224CB">
              <w:t>necessary.</w:t>
            </w:r>
          </w:p>
        </w:tc>
      </w:tr>
    </w:tbl>
    <w:p w14:paraId="117D3C08" w14:textId="1715587D" w:rsidR="004946F1" w:rsidRDefault="004946F1" w:rsidP="00CA3986">
      <w:pPr>
        <w:pStyle w:val="DHHSbodyaftertablefigure"/>
      </w:pPr>
      <w:r>
        <w:t>The</w:t>
      </w:r>
      <w:r w:rsidR="001A1F90">
        <w:t xml:space="preserve"> </w:t>
      </w:r>
      <w:r>
        <w:t>key</w:t>
      </w:r>
      <w:r w:rsidR="001A1F90">
        <w:t xml:space="preserve"> </w:t>
      </w:r>
      <w:r>
        <w:t>points</w:t>
      </w:r>
      <w:r w:rsidR="001A1F90">
        <w:t xml:space="preserve"> </w:t>
      </w:r>
      <w:r>
        <w:t>gleaned</w:t>
      </w:r>
      <w:r w:rsidR="001A1F90">
        <w:t xml:space="preserve"> </w:t>
      </w:r>
      <w:r>
        <w:t>from</w:t>
      </w:r>
      <w:r w:rsidR="001A1F90">
        <w:t xml:space="preserve"> </w:t>
      </w:r>
      <w:r>
        <w:t>here</w:t>
      </w:r>
      <w:r w:rsidR="001A1F90">
        <w:t xml:space="preserve"> </w:t>
      </w:r>
      <w:r>
        <w:t>relate</w:t>
      </w:r>
      <w:r w:rsidR="001A1F90">
        <w:t xml:space="preserve"> </w:t>
      </w:r>
      <w:r>
        <w:t>to</w:t>
      </w:r>
      <w:r w:rsidR="001A1F90">
        <w:t xml:space="preserve"> </w:t>
      </w:r>
      <w:r>
        <w:t>the</w:t>
      </w:r>
      <w:r w:rsidR="001A1F90">
        <w:t xml:space="preserve"> </w:t>
      </w:r>
      <w:r>
        <w:t>expert</w:t>
      </w:r>
      <w:r w:rsidR="001A1F90">
        <w:t xml:space="preserve"> </w:t>
      </w:r>
      <w:r>
        <w:t>assessment</w:t>
      </w:r>
      <w:r w:rsidR="001A1F90">
        <w:t xml:space="preserve"> </w:t>
      </w:r>
      <w:r>
        <w:t>of</w:t>
      </w:r>
      <w:r w:rsidR="001A1F90">
        <w:t xml:space="preserve"> </w:t>
      </w:r>
      <w:r>
        <w:t>the</w:t>
      </w:r>
      <w:r w:rsidR="001A1F90">
        <w:t xml:space="preserve"> </w:t>
      </w:r>
      <w:r>
        <w:t>paraphiliac</w:t>
      </w:r>
      <w:r w:rsidR="001A1F90">
        <w:t xml:space="preserve"> </w:t>
      </w:r>
      <w:r>
        <w:t>disorder</w:t>
      </w:r>
      <w:r w:rsidR="00E841E5">
        <w:t>,</w:t>
      </w:r>
      <w:r w:rsidR="001A1F90">
        <w:t xml:space="preserve"> </w:t>
      </w:r>
      <w:r>
        <w:t>the</w:t>
      </w:r>
      <w:r w:rsidR="001A1F90">
        <w:t xml:space="preserve"> </w:t>
      </w:r>
      <w:r>
        <w:t>significant</w:t>
      </w:r>
      <w:r w:rsidR="001A1F90">
        <w:t xml:space="preserve"> </w:t>
      </w:r>
      <w:r>
        <w:t>risk</w:t>
      </w:r>
      <w:r w:rsidR="001A1F90">
        <w:t xml:space="preserve"> </w:t>
      </w:r>
      <w:r>
        <w:t>of</w:t>
      </w:r>
      <w:r w:rsidR="001A1F90">
        <w:t xml:space="preserve"> </w:t>
      </w:r>
      <w:r>
        <w:t>serious</w:t>
      </w:r>
      <w:r w:rsidR="001A1F90">
        <w:t xml:space="preserve"> </w:t>
      </w:r>
      <w:r>
        <w:t>harm</w:t>
      </w:r>
      <w:r w:rsidR="00E841E5">
        <w:t>,</w:t>
      </w:r>
      <w:r w:rsidR="001A1F90">
        <w:t xml:space="preserve"> </w:t>
      </w:r>
      <w:r>
        <w:t>and</w:t>
      </w:r>
      <w:r w:rsidR="001A1F90">
        <w:t xml:space="preserve"> </w:t>
      </w:r>
      <w:r>
        <w:t>the</w:t>
      </w:r>
      <w:r w:rsidR="001A1F90">
        <w:t xml:space="preserve"> </w:t>
      </w:r>
      <w:r>
        <w:t>lack</w:t>
      </w:r>
      <w:r w:rsidR="001A1F90">
        <w:t xml:space="preserve"> </w:t>
      </w:r>
      <w:r>
        <w:t>of</w:t>
      </w:r>
      <w:r w:rsidR="001A1F90">
        <w:t xml:space="preserve"> </w:t>
      </w:r>
      <w:r>
        <w:t>appropriate,</w:t>
      </w:r>
      <w:r w:rsidR="001A1F90">
        <w:t xml:space="preserve"> </w:t>
      </w:r>
      <w:r>
        <w:t>less</w:t>
      </w:r>
      <w:r w:rsidR="001A1F90">
        <w:t xml:space="preserve"> </w:t>
      </w:r>
      <w:r>
        <w:t>intrusive,</w:t>
      </w:r>
      <w:r w:rsidR="001A1F90">
        <w:t xml:space="preserve"> </w:t>
      </w:r>
      <w:r>
        <w:t>treatments.</w:t>
      </w:r>
      <w:r w:rsidR="001A1F90">
        <w:t xml:space="preserve"> </w:t>
      </w:r>
      <w:r>
        <w:t>These</w:t>
      </w:r>
      <w:r w:rsidR="001A1F90">
        <w:t xml:space="preserve"> </w:t>
      </w:r>
      <w:r>
        <w:t>points</w:t>
      </w:r>
      <w:r w:rsidR="001A1F90">
        <w:t xml:space="preserve"> </w:t>
      </w:r>
      <w:r>
        <w:t>are</w:t>
      </w:r>
      <w:r w:rsidR="001A1F90">
        <w:t xml:space="preserve"> </w:t>
      </w:r>
      <w:r>
        <w:t>not</w:t>
      </w:r>
      <w:r w:rsidR="001A1F90">
        <w:t xml:space="preserve"> </w:t>
      </w:r>
      <w:r>
        <w:t>elaborated</w:t>
      </w:r>
      <w:r w:rsidR="001A1F90">
        <w:t xml:space="preserve"> </w:t>
      </w:r>
      <w:r>
        <w:t>upon</w:t>
      </w:r>
      <w:r w:rsidR="001A1F90">
        <w:t xml:space="preserve"> </w:t>
      </w:r>
      <w:r>
        <w:t>further</w:t>
      </w:r>
      <w:r w:rsidR="001A1F90">
        <w:t xml:space="preserve"> </w:t>
      </w:r>
      <w:r>
        <w:t>or</w:t>
      </w:r>
      <w:r w:rsidR="001A1F90">
        <w:t xml:space="preserve"> </w:t>
      </w:r>
      <w:r>
        <w:t>operationali</w:t>
      </w:r>
      <w:r w:rsidR="00283E42">
        <w:t>s</w:t>
      </w:r>
      <w:r>
        <w:t>ed</w:t>
      </w:r>
      <w:r w:rsidR="00E841E5">
        <w:t>;</w:t>
      </w:r>
      <w:r w:rsidR="001A1F90">
        <w:t xml:space="preserve"> </w:t>
      </w:r>
      <w:r>
        <w:t>for</w:t>
      </w:r>
      <w:r w:rsidR="001A1F90">
        <w:t xml:space="preserve"> </w:t>
      </w:r>
      <w:r>
        <w:t>example</w:t>
      </w:r>
      <w:r w:rsidR="00E841E5">
        <w:t>,</w:t>
      </w:r>
      <w:r w:rsidR="001A1F90">
        <w:t xml:space="preserve"> </w:t>
      </w:r>
      <w:r>
        <w:t>the</w:t>
      </w:r>
      <w:r w:rsidR="001A1F90">
        <w:t xml:space="preserve"> </w:t>
      </w:r>
      <w:r>
        <w:t>specifics</w:t>
      </w:r>
      <w:r w:rsidR="001A1F90">
        <w:t xml:space="preserve"> </w:t>
      </w:r>
      <w:r>
        <w:t>of</w:t>
      </w:r>
      <w:r w:rsidR="001A1F90">
        <w:t xml:space="preserve"> </w:t>
      </w:r>
      <w:r>
        <w:t>what</w:t>
      </w:r>
      <w:r w:rsidR="001A1F90">
        <w:t xml:space="preserve"> </w:t>
      </w:r>
      <w:r>
        <w:t>is</w:t>
      </w:r>
      <w:r w:rsidR="001A1F90">
        <w:t xml:space="preserve"> </w:t>
      </w:r>
      <w:r>
        <w:t>meant</w:t>
      </w:r>
      <w:r w:rsidR="001A1F90">
        <w:t xml:space="preserve"> </w:t>
      </w:r>
      <w:r>
        <w:t>by</w:t>
      </w:r>
      <w:r w:rsidR="001A1F90">
        <w:t xml:space="preserve"> </w:t>
      </w:r>
      <w:r>
        <w:t>‘significant</w:t>
      </w:r>
      <w:r w:rsidR="001A1F90">
        <w:t xml:space="preserve"> </w:t>
      </w:r>
      <w:r>
        <w:t>risk’</w:t>
      </w:r>
      <w:r w:rsidR="001A1F90">
        <w:t xml:space="preserve"> </w:t>
      </w:r>
      <w:r>
        <w:t>and</w:t>
      </w:r>
      <w:r w:rsidR="001A1F90">
        <w:t xml:space="preserve"> </w:t>
      </w:r>
      <w:r>
        <w:t>‘reviewed</w:t>
      </w:r>
      <w:r w:rsidR="001A1F90">
        <w:t xml:space="preserve"> </w:t>
      </w:r>
      <w:r>
        <w:t>at</w:t>
      </w:r>
      <w:r w:rsidR="001A1F90">
        <w:t xml:space="preserve"> </w:t>
      </w:r>
      <w:r>
        <w:t>appropriate</w:t>
      </w:r>
      <w:r w:rsidR="001A1F90">
        <w:t xml:space="preserve"> </w:t>
      </w:r>
      <w:r>
        <w:t>intervals’</w:t>
      </w:r>
      <w:r w:rsidR="001A1F90">
        <w:t xml:space="preserve"> </w:t>
      </w:r>
      <w:r>
        <w:t>are</w:t>
      </w:r>
      <w:r w:rsidR="001A1F90">
        <w:t xml:space="preserve"> </w:t>
      </w:r>
      <w:r>
        <w:t>not</w:t>
      </w:r>
      <w:r w:rsidR="001A1F90">
        <w:t xml:space="preserve"> </w:t>
      </w:r>
      <w:r>
        <w:t>detailed</w:t>
      </w:r>
      <w:r w:rsidR="001A1F90">
        <w:t xml:space="preserve"> </w:t>
      </w:r>
      <w:r>
        <w:t>so</w:t>
      </w:r>
      <w:r w:rsidR="001A1F90">
        <w:t xml:space="preserve"> </w:t>
      </w:r>
      <w:r>
        <w:t>as</w:t>
      </w:r>
      <w:r w:rsidR="001A1F90">
        <w:t xml:space="preserve"> </w:t>
      </w:r>
      <w:r>
        <w:t>to</w:t>
      </w:r>
      <w:r w:rsidR="001A1F90">
        <w:t xml:space="preserve"> </w:t>
      </w:r>
      <w:r>
        <w:t>enable</w:t>
      </w:r>
      <w:r w:rsidR="001A1F90">
        <w:t xml:space="preserve"> </w:t>
      </w:r>
      <w:r>
        <w:t>a</w:t>
      </w:r>
      <w:r w:rsidR="001A1F90">
        <w:t xml:space="preserve"> </w:t>
      </w:r>
      <w:r>
        <w:t>uniform</w:t>
      </w:r>
      <w:r w:rsidR="001A1F90">
        <w:t xml:space="preserve"> </w:t>
      </w:r>
      <w:r>
        <w:t>approach</w:t>
      </w:r>
      <w:r w:rsidR="001A1F90">
        <w:t xml:space="preserve"> </w:t>
      </w:r>
      <w:r>
        <w:t>to</w:t>
      </w:r>
      <w:r w:rsidR="001A1F90">
        <w:t xml:space="preserve"> </w:t>
      </w:r>
      <w:r>
        <w:t>their</w:t>
      </w:r>
      <w:r w:rsidR="001A1F90">
        <w:t xml:space="preserve"> </w:t>
      </w:r>
      <w:r>
        <w:t>use</w:t>
      </w:r>
      <w:r w:rsidR="001A1F90">
        <w:t xml:space="preserve"> </w:t>
      </w:r>
      <w:r>
        <w:t>in</w:t>
      </w:r>
      <w:r w:rsidR="001A1F90">
        <w:t xml:space="preserve"> </w:t>
      </w:r>
      <w:r>
        <w:t>practice.</w:t>
      </w:r>
    </w:p>
    <w:p w14:paraId="0C74B3F5" w14:textId="2FD2EBCC" w:rsidR="004946F1" w:rsidRDefault="004946F1" w:rsidP="0016163D">
      <w:pPr>
        <w:pStyle w:val="DHHSbody"/>
      </w:pPr>
      <w:r>
        <w:t>The</w:t>
      </w:r>
      <w:r w:rsidR="001A1F90">
        <w:t xml:space="preserve"> </w:t>
      </w:r>
      <w:r>
        <w:t>WFSBP</w:t>
      </w:r>
      <w:r w:rsidR="001A1F90">
        <w:t xml:space="preserve"> </w:t>
      </w:r>
      <w:r>
        <w:t>guidelines</w:t>
      </w:r>
      <w:r w:rsidR="001A1F90">
        <w:t xml:space="preserve"> </w:t>
      </w:r>
      <w:r>
        <w:t>specifically</w:t>
      </w:r>
      <w:r w:rsidR="001A1F90">
        <w:t xml:space="preserve"> </w:t>
      </w:r>
      <w:r>
        <w:t>comment</w:t>
      </w:r>
      <w:r w:rsidR="001A1F90">
        <w:t xml:space="preserve"> </w:t>
      </w:r>
      <w:r>
        <w:t>on</w:t>
      </w:r>
      <w:r w:rsidR="001A1F90">
        <w:t xml:space="preserve"> </w:t>
      </w:r>
      <w:r>
        <w:t>observ</w:t>
      </w:r>
      <w:r w:rsidR="00E841E5">
        <w:t>ing</w:t>
      </w:r>
      <w:r w:rsidR="001A1F90">
        <w:t xml:space="preserve"> </w:t>
      </w:r>
      <w:r>
        <w:t>severe</w:t>
      </w:r>
      <w:r w:rsidR="001A1F90">
        <w:t xml:space="preserve"> </w:t>
      </w:r>
      <w:r>
        <w:t>side</w:t>
      </w:r>
      <w:r w:rsidR="001A1F90">
        <w:t xml:space="preserve"> </w:t>
      </w:r>
      <w:r>
        <w:t>effects</w:t>
      </w:r>
      <w:r w:rsidR="001A1F90">
        <w:t xml:space="preserve"> </w:t>
      </w:r>
      <w:r>
        <w:t>when</w:t>
      </w:r>
      <w:r w:rsidR="001A1F90">
        <w:t xml:space="preserve"> </w:t>
      </w:r>
      <w:r>
        <w:t>these</w:t>
      </w:r>
      <w:r w:rsidR="001A1F90">
        <w:t xml:space="preserve"> </w:t>
      </w:r>
      <w:r>
        <w:t>drugs</w:t>
      </w:r>
      <w:r w:rsidR="001A1F90">
        <w:t xml:space="preserve"> </w:t>
      </w:r>
      <w:r>
        <w:t>are</w:t>
      </w:r>
      <w:r w:rsidR="001A1F90">
        <w:t xml:space="preserve"> </w:t>
      </w:r>
      <w:r>
        <w:t>used.</w:t>
      </w:r>
      <w:r w:rsidR="001A1F90">
        <w:t xml:space="preserve"> </w:t>
      </w:r>
      <w:r>
        <w:t>It</w:t>
      </w:r>
      <w:r w:rsidR="001A1F90">
        <w:t xml:space="preserve"> </w:t>
      </w:r>
      <w:r>
        <w:t>further</w:t>
      </w:r>
      <w:r w:rsidR="001A1F90">
        <w:t xml:space="preserve"> </w:t>
      </w:r>
      <w:r>
        <w:t>states</w:t>
      </w:r>
      <w:r w:rsidR="001A1F90">
        <w:t xml:space="preserve"> </w:t>
      </w:r>
      <w:r>
        <w:t>that,</w:t>
      </w:r>
      <w:r w:rsidR="001A1F90">
        <w:t xml:space="preserve"> </w:t>
      </w:r>
      <w:r>
        <w:t>based</w:t>
      </w:r>
      <w:r w:rsidR="001A1F90">
        <w:t xml:space="preserve"> </w:t>
      </w:r>
      <w:r>
        <w:t>on</w:t>
      </w:r>
      <w:r w:rsidR="001A1F90">
        <w:t xml:space="preserve"> </w:t>
      </w:r>
      <w:r>
        <w:t>research</w:t>
      </w:r>
      <w:r w:rsidR="001A1F90">
        <w:t xml:space="preserve"> </w:t>
      </w:r>
      <w:r>
        <w:t>reported</w:t>
      </w:r>
      <w:r w:rsidR="001A1F90">
        <w:t xml:space="preserve"> </w:t>
      </w:r>
      <w:r>
        <w:t>by</w:t>
      </w:r>
      <w:r w:rsidR="001A1F90">
        <w:t xml:space="preserve"> </w:t>
      </w:r>
      <w:r>
        <w:t>Reilly</w:t>
      </w:r>
      <w:r w:rsidR="001A1F90">
        <w:t xml:space="preserve"> </w:t>
      </w:r>
      <w:r>
        <w:t>and</w:t>
      </w:r>
      <w:r w:rsidR="001A1F90">
        <w:t xml:space="preserve"> </w:t>
      </w:r>
      <w:r>
        <w:t>colleagues</w:t>
      </w:r>
      <w:r w:rsidR="001A1F90">
        <w:t xml:space="preserve"> </w:t>
      </w:r>
      <w:r>
        <w:t>(2000)</w:t>
      </w:r>
      <w:r w:rsidR="001A1F90">
        <w:t xml:space="preserve"> </w:t>
      </w:r>
      <w:r>
        <w:t>and</w:t>
      </w:r>
      <w:r w:rsidR="001A1F90">
        <w:t xml:space="preserve"> </w:t>
      </w:r>
      <w:r>
        <w:t>Hill</w:t>
      </w:r>
      <w:r w:rsidR="00E841E5">
        <w:t xml:space="preserve"> </w:t>
      </w:r>
      <w:r w:rsidR="00283E42">
        <w:t>and colleagues</w:t>
      </w:r>
      <w:r w:rsidR="001A1F90">
        <w:t xml:space="preserve"> </w:t>
      </w:r>
      <w:r>
        <w:t>(2003),</w:t>
      </w:r>
      <w:r w:rsidR="001A1F90">
        <w:t xml:space="preserve"> </w:t>
      </w:r>
      <w:r>
        <w:t>anti-libidinal</w:t>
      </w:r>
      <w:r w:rsidR="001A1F90">
        <w:t xml:space="preserve"> </w:t>
      </w:r>
      <w:r>
        <w:t>medications</w:t>
      </w:r>
      <w:r w:rsidR="001A1F90">
        <w:t xml:space="preserve"> </w:t>
      </w:r>
      <w:r>
        <w:t>should</w:t>
      </w:r>
      <w:r w:rsidR="001A1F90">
        <w:t xml:space="preserve"> </w:t>
      </w:r>
      <w:r>
        <w:t>not</w:t>
      </w:r>
      <w:r w:rsidR="001A1F90">
        <w:t xml:space="preserve"> </w:t>
      </w:r>
      <w:r>
        <w:t>be</w:t>
      </w:r>
      <w:r w:rsidR="001A1F90">
        <w:t xml:space="preserve"> </w:t>
      </w:r>
      <w:r>
        <w:t>used</w:t>
      </w:r>
      <w:r w:rsidR="001A1F90">
        <w:t xml:space="preserve"> </w:t>
      </w:r>
      <w:r>
        <w:t>in</w:t>
      </w:r>
      <w:r w:rsidR="001A1F90">
        <w:t xml:space="preserve"> </w:t>
      </w:r>
      <w:r>
        <w:t>the</w:t>
      </w:r>
      <w:r w:rsidR="001A1F90">
        <w:t xml:space="preserve"> </w:t>
      </w:r>
      <w:r>
        <w:t>following</w:t>
      </w:r>
      <w:r w:rsidR="001A1F90">
        <w:t xml:space="preserve"> </w:t>
      </w:r>
      <w:r>
        <w:t>cases/situations:</w:t>
      </w:r>
    </w:p>
    <w:tbl>
      <w:tblPr>
        <w:tblStyle w:val="SPhighlighttable"/>
        <w:tblW w:w="9299" w:type="dxa"/>
        <w:tblLayout w:type="fixed"/>
        <w:tblLook w:val="0600" w:firstRow="0" w:lastRow="0" w:firstColumn="0" w:lastColumn="0" w:noHBand="1" w:noVBand="1"/>
      </w:tblPr>
      <w:tblGrid>
        <w:gridCol w:w="9299"/>
      </w:tblGrid>
      <w:tr w:rsidR="004946F1" w:rsidRPr="00F224CB" w14:paraId="77D6C931" w14:textId="77777777" w:rsidTr="00B22AC9">
        <w:trPr>
          <w:trHeight w:val="60"/>
        </w:trPr>
        <w:tc>
          <w:tcPr>
            <w:tcW w:w="9639" w:type="dxa"/>
          </w:tcPr>
          <w:p w14:paraId="7428888E" w14:textId="3DDCB91D" w:rsidR="004946F1" w:rsidRPr="00F224CB" w:rsidRDefault="00283E42" w:rsidP="00BD612C">
            <w:pPr>
              <w:pStyle w:val="DHHSbullet1"/>
            </w:pPr>
            <w:r w:rsidRPr="00F224CB">
              <w:t>non-consent</w:t>
            </w:r>
          </w:p>
          <w:p w14:paraId="520BA586" w14:textId="5D3FA1F3" w:rsidR="004946F1" w:rsidRDefault="00283E42" w:rsidP="00BD612C">
            <w:pPr>
              <w:pStyle w:val="DHHSbullet1"/>
            </w:pPr>
            <w:r w:rsidRPr="00F224CB">
              <w:t>puberty</w:t>
            </w:r>
            <w:r>
              <w:t xml:space="preserve"> </w:t>
            </w:r>
            <w:r w:rsidRPr="00F224CB">
              <w:t>not</w:t>
            </w:r>
            <w:r>
              <w:t xml:space="preserve"> </w:t>
            </w:r>
            <w:r w:rsidRPr="00F224CB">
              <w:t>completed</w:t>
            </w:r>
            <w:r>
              <w:t xml:space="preserve"> </w:t>
            </w:r>
            <w:r w:rsidRPr="00F224CB">
              <w:t>(especially</w:t>
            </w:r>
            <w:r>
              <w:t xml:space="preserve"> </w:t>
            </w:r>
            <w:r w:rsidRPr="00F224CB">
              <w:t>when</w:t>
            </w:r>
            <w:r>
              <w:t xml:space="preserve"> </w:t>
            </w:r>
            <w:r w:rsidRPr="00F224CB">
              <w:t>bone</w:t>
            </w:r>
            <w:r>
              <w:t xml:space="preserve"> </w:t>
            </w:r>
            <w:r w:rsidRPr="00F224CB">
              <w:t>growth</w:t>
            </w:r>
            <w:r>
              <w:t xml:space="preserve"> </w:t>
            </w:r>
            <w:r w:rsidRPr="00F224CB">
              <w:t>is</w:t>
            </w:r>
            <w:r>
              <w:t xml:space="preserve"> </w:t>
            </w:r>
            <w:r w:rsidRPr="00F224CB">
              <w:t>not</w:t>
            </w:r>
            <w:r>
              <w:t xml:space="preserve"> </w:t>
            </w:r>
            <w:r w:rsidRPr="00F224CB">
              <w:t>completed)</w:t>
            </w:r>
          </w:p>
          <w:p w14:paraId="7FAF0DAB" w14:textId="05D04CE0" w:rsidR="004946F1" w:rsidRDefault="00283E42" w:rsidP="00BD612C">
            <w:pPr>
              <w:pStyle w:val="DHHSbullet1"/>
            </w:pPr>
            <w:r w:rsidRPr="00F224CB">
              <w:t>hepatocellular</w:t>
            </w:r>
            <w:r>
              <w:t xml:space="preserve"> </w:t>
            </w:r>
            <w:r w:rsidRPr="00F224CB">
              <w:t>disease</w:t>
            </w:r>
          </w:p>
          <w:p w14:paraId="79AC4996" w14:textId="4A4C1A1C" w:rsidR="00B87022" w:rsidRPr="00F224CB" w:rsidRDefault="00283E42" w:rsidP="00B87022">
            <w:pPr>
              <w:pStyle w:val="DHHSbullet1"/>
            </w:pPr>
            <w:r w:rsidRPr="00F224CB">
              <w:t>liver</w:t>
            </w:r>
            <w:r>
              <w:t xml:space="preserve"> </w:t>
            </w:r>
            <w:r w:rsidRPr="00F224CB">
              <w:t>carcinoma</w:t>
            </w:r>
          </w:p>
          <w:p w14:paraId="618FF20E" w14:textId="76B5F217" w:rsidR="00B87022" w:rsidRPr="00F224CB" w:rsidRDefault="00283E42" w:rsidP="00B87022">
            <w:pPr>
              <w:pStyle w:val="DHHSbullet1"/>
            </w:pPr>
            <w:r w:rsidRPr="00F224CB">
              <w:t>diabet</w:t>
            </w:r>
            <w:r w:rsidR="008711C3">
              <w:t>e</w:t>
            </w:r>
            <w:r w:rsidRPr="00F224CB">
              <w:t>s</w:t>
            </w:r>
            <w:r>
              <w:t xml:space="preserve"> </w:t>
            </w:r>
            <w:r w:rsidRPr="00F224CB">
              <w:t>mellitus</w:t>
            </w:r>
          </w:p>
          <w:p w14:paraId="6A45F8F2" w14:textId="7EFFBB64" w:rsidR="00B87022" w:rsidRPr="00F224CB" w:rsidRDefault="00283E42" w:rsidP="00B87022">
            <w:pPr>
              <w:pStyle w:val="DHHSbullet1"/>
            </w:pPr>
            <w:r w:rsidRPr="00F224CB">
              <w:t>severe</w:t>
            </w:r>
            <w:r>
              <w:t xml:space="preserve"> </w:t>
            </w:r>
            <w:r w:rsidRPr="00F224CB">
              <w:t>hypertension</w:t>
            </w:r>
          </w:p>
          <w:p w14:paraId="196C5168" w14:textId="1B5F3CEC" w:rsidR="00B87022" w:rsidRPr="00F224CB" w:rsidRDefault="00283E42" w:rsidP="00B87022">
            <w:pPr>
              <w:pStyle w:val="DHHSbullet1"/>
            </w:pPr>
            <w:r w:rsidRPr="00F224CB">
              <w:t>carcinoma</w:t>
            </w:r>
            <w:r>
              <w:t xml:space="preserve"> </w:t>
            </w:r>
            <w:r w:rsidRPr="00F224CB">
              <w:t>(except</w:t>
            </w:r>
            <w:r>
              <w:t xml:space="preserve"> </w:t>
            </w:r>
            <w:r w:rsidRPr="00F224CB">
              <w:t>prostate</w:t>
            </w:r>
            <w:r>
              <w:t xml:space="preserve"> </w:t>
            </w:r>
            <w:r w:rsidRPr="00F224CB">
              <w:t>carcinoma)</w:t>
            </w:r>
          </w:p>
          <w:p w14:paraId="6B7BAF10" w14:textId="7748422C" w:rsidR="00B87022" w:rsidRDefault="00283E42" w:rsidP="00B87022">
            <w:pPr>
              <w:pStyle w:val="DHHSbullet1"/>
            </w:pPr>
            <w:r w:rsidRPr="00F224CB">
              <w:t>pregnancy</w:t>
            </w:r>
            <w:r>
              <w:t xml:space="preserve"> </w:t>
            </w:r>
            <w:r w:rsidRPr="00F224CB">
              <w:t>or</w:t>
            </w:r>
            <w:r>
              <w:t xml:space="preserve"> </w:t>
            </w:r>
            <w:r w:rsidRPr="00F224CB">
              <w:t>breastfeeding</w:t>
            </w:r>
          </w:p>
          <w:p w14:paraId="02F7E011" w14:textId="129A0F65" w:rsidR="00B87022" w:rsidRPr="00F224CB" w:rsidRDefault="00283E42" w:rsidP="00B87022">
            <w:pPr>
              <w:pStyle w:val="DHHSbullet1"/>
            </w:pPr>
            <w:r w:rsidRPr="00F224CB">
              <w:t>previous</w:t>
            </w:r>
            <w:r>
              <w:t xml:space="preserve"> </w:t>
            </w:r>
            <w:r w:rsidRPr="00F224CB">
              <w:t>thromboembolic</w:t>
            </w:r>
            <w:r>
              <w:t xml:space="preserve"> </w:t>
            </w:r>
            <w:r w:rsidRPr="00F224CB">
              <w:t>disease</w:t>
            </w:r>
          </w:p>
          <w:p w14:paraId="7A5BAB56" w14:textId="01BE62B1" w:rsidR="00B87022" w:rsidRPr="00F224CB" w:rsidRDefault="00283E42" w:rsidP="00B87022">
            <w:pPr>
              <w:pStyle w:val="DHHSbullet1"/>
            </w:pPr>
            <w:r w:rsidRPr="00F224CB">
              <w:t>cardiac</w:t>
            </w:r>
            <w:r>
              <w:t xml:space="preserve"> </w:t>
            </w:r>
            <w:r w:rsidRPr="00F224CB">
              <w:t>or</w:t>
            </w:r>
            <w:r>
              <w:t xml:space="preserve"> </w:t>
            </w:r>
            <w:r w:rsidRPr="00F224CB">
              <w:t>adrenal</w:t>
            </w:r>
            <w:r>
              <w:t xml:space="preserve"> </w:t>
            </w:r>
            <w:r w:rsidRPr="00F224CB">
              <w:t>disease</w:t>
            </w:r>
          </w:p>
          <w:p w14:paraId="29C9072B" w14:textId="564D3288" w:rsidR="00B87022" w:rsidRDefault="00283E42" w:rsidP="00B87022">
            <w:pPr>
              <w:pStyle w:val="DHHSbullet1"/>
            </w:pPr>
            <w:r w:rsidRPr="00F224CB">
              <w:t>severe</w:t>
            </w:r>
            <w:r>
              <w:t xml:space="preserve"> </w:t>
            </w:r>
            <w:r w:rsidRPr="00F224CB">
              <w:t>depressive</w:t>
            </w:r>
            <w:r>
              <w:t xml:space="preserve"> </w:t>
            </w:r>
            <w:r w:rsidRPr="00F224CB">
              <w:t>disorder</w:t>
            </w:r>
          </w:p>
          <w:p w14:paraId="2024D005" w14:textId="72CFFACC" w:rsidR="00B87022" w:rsidRDefault="00283E42" w:rsidP="00B87022">
            <w:pPr>
              <w:pStyle w:val="DHHSbullet1"/>
            </w:pPr>
            <w:r w:rsidRPr="00F224CB">
              <w:t>tuberculosis</w:t>
            </w:r>
          </w:p>
          <w:p w14:paraId="3F4D09A9" w14:textId="287BE28D" w:rsidR="00B87022" w:rsidRPr="00F224CB" w:rsidRDefault="00283E42" w:rsidP="00B87022">
            <w:pPr>
              <w:pStyle w:val="DHHSbullet1"/>
            </w:pPr>
            <w:r w:rsidRPr="00F224CB">
              <w:t>cachexia</w:t>
            </w:r>
          </w:p>
          <w:p w14:paraId="09787AEE" w14:textId="5E85BB75" w:rsidR="00B87022" w:rsidRPr="00F224CB" w:rsidRDefault="00283E42" w:rsidP="00B87022">
            <w:pPr>
              <w:pStyle w:val="DHHSbullet1"/>
            </w:pPr>
            <w:r w:rsidRPr="00F224CB">
              <w:t>epilepsy</w:t>
            </w:r>
          </w:p>
          <w:p w14:paraId="6E10AA77" w14:textId="7161F03F" w:rsidR="00B87022" w:rsidRPr="00F224CB" w:rsidRDefault="00283E42" w:rsidP="00B87022">
            <w:pPr>
              <w:pStyle w:val="DHHSbullet1"/>
            </w:pPr>
            <w:r w:rsidRPr="00F224CB">
              <w:t>psychosis</w:t>
            </w:r>
          </w:p>
          <w:p w14:paraId="1068854E" w14:textId="530D216B" w:rsidR="00B87022" w:rsidRDefault="00283E42" w:rsidP="00B87022">
            <w:pPr>
              <w:pStyle w:val="DHHSbullet1"/>
            </w:pPr>
            <w:r w:rsidRPr="00F224CB">
              <w:t>allergy</w:t>
            </w:r>
            <w:r>
              <w:t xml:space="preserve"> </w:t>
            </w:r>
            <w:r w:rsidRPr="00F224CB">
              <w:t>to</w:t>
            </w:r>
            <w:r>
              <w:t xml:space="preserve"> c</w:t>
            </w:r>
            <w:r w:rsidRPr="00F224CB">
              <w:t>yproterone</w:t>
            </w:r>
            <w:r>
              <w:t xml:space="preserve"> a</w:t>
            </w:r>
            <w:r w:rsidRPr="00F224CB">
              <w:t>cetate</w:t>
            </w:r>
          </w:p>
          <w:p w14:paraId="14CEAE5F" w14:textId="5B327DBD" w:rsidR="00B87022" w:rsidRDefault="00283E42" w:rsidP="00B87022">
            <w:pPr>
              <w:pStyle w:val="DHHSbullet1"/>
            </w:pPr>
            <w:r w:rsidRPr="00F224CB">
              <w:t>drepanocytosis</w:t>
            </w:r>
          </w:p>
          <w:p w14:paraId="23D9DBED" w14:textId="00A4F8C8" w:rsidR="00B87022" w:rsidRPr="00F224CB" w:rsidRDefault="00283E42" w:rsidP="00B87022">
            <w:pPr>
              <w:pStyle w:val="DHHSbullet1"/>
            </w:pPr>
            <w:r w:rsidRPr="00F224CB">
              <w:t>pituitary</w:t>
            </w:r>
            <w:r w:rsidR="001A1F90">
              <w:t xml:space="preserve"> </w:t>
            </w:r>
            <w:r w:rsidR="00B87022" w:rsidRPr="00F224CB">
              <w:t>disease</w:t>
            </w:r>
            <w:r>
              <w:t>.</w:t>
            </w:r>
          </w:p>
        </w:tc>
      </w:tr>
    </w:tbl>
    <w:p w14:paraId="6D5CC705" w14:textId="77777777" w:rsidR="00CD0313" w:rsidRDefault="00CD0313" w:rsidP="00CD0313">
      <w:pPr>
        <w:pStyle w:val="DHHSbody"/>
      </w:pPr>
      <w:r>
        <w:br w:type="page"/>
      </w:r>
    </w:p>
    <w:p w14:paraId="56EBBF92" w14:textId="520D9011" w:rsidR="004946F1" w:rsidRDefault="004946F1" w:rsidP="00B87022">
      <w:pPr>
        <w:pStyle w:val="DHHSbodyaftertablefigure"/>
        <w:spacing w:after="240"/>
      </w:pPr>
      <w:r>
        <w:t>The</w:t>
      </w:r>
      <w:r w:rsidR="001A1F90">
        <w:t xml:space="preserve"> </w:t>
      </w:r>
      <w:r>
        <w:t>WFSBP</w:t>
      </w:r>
      <w:r w:rsidR="001A1F90">
        <w:t xml:space="preserve"> </w:t>
      </w:r>
      <w:r>
        <w:t>guidelines</w:t>
      </w:r>
      <w:r w:rsidR="001A1F90">
        <w:t xml:space="preserve"> </w:t>
      </w:r>
      <w:r>
        <w:t>conclude</w:t>
      </w:r>
      <w:r w:rsidR="001A1F90">
        <w:t xml:space="preserve"> </w:t>
      </w:r>
      <w:r>
        <w:t>that</w:t>
      </w:r>
      <w:r w:rsidR="001A1F90">
        <w:t xml:space="preserve"> </w:t>
      </w:r>
      <w:r>
        <w:t>there</w:t>
      </w:r>
      <w:r w:rsidR="001A1F90">
        <w:t xml:space="preserve"> </w:t>
      </w:r>
      <w:r>
        <w:t>are</w:t>
      </w:r>
      <w:r w:rsidR="001A1F90">
        <w:t xml:space="preserve"> </w:t>
      </w:r>
      <w:r>
        <w:t>several</w:t>
      </w:r>
      <w:r w:rsidR="001A1F90">
        <w:t xml:space="preserve"> </w:t>
      </w:r>
      <w:r>
        <w:t>pharmacological</w:t>
      </w:r>
      <w:r w:rsidR="001A1F90">
        <w:t xml:space="preserve"> </w:t>
      </w:r>
      <w:r>
        <w:t>treatment</w:t>
      </w:r>
      <w:r w:rsidR="001A1F90">
        <w:t xml:space="preserve"> </w:t>
      </w:r>
      <w:r>
        <w:t>options</w:t>
      </w:r>
      <w:r w:rsidR="001A1F90">
        <w:t xml:space="preserve"> </w:t>
      </w:r>
      <w:r>
        <w:t>available;</w:t>
      </w:r>
      <w:r w:rsidR="001A1F90">
        <w:t xml:space="preserve"> </w:t>
      </w:r>
      <w:r>
        <w:t>they</w:t>
      </w:r>
      <w:r w:rsidR="001A1F90">
        <w:t xml:space="preserve"> </w:t>
      </w:r>
      <w:r>
        <w:t>note</w:t>
      </w:r>
      <w:r w:rsidR="001A1F90">
        <w:t xml:space="preserve"> </w:t>
      </w:r>
      <w:r>
        <w:t>that</w:t>
      </w:r>
      <w:r w:rsidR="001A1F90">
        <w:t xml:space="preserve"> </w:t>
      </w:r>
      <w:r>
        <w:t>these</w:t>
      </w:r>
      <w:r w:rsidR="001A1F90">
        <w:t xml:space="preserve"> </w:t>
      </w:r>
      <w:r>
        <w:t>are</w:t>
      </w:r>
      <w:r w:rsidR="001A1F90">
        <w:t xml:space="preserve"> </w:t>
      </w:r>
      <w:r>
        <w:t>in</w:t>
      </w:r>
      <w:r w:rsidR="001A1F90">
        <w:t xml:space="preserve"> </w:t>
      </w:r>
      <w:r>
        <w:t>addition</w:t>
      </w:r>
      <w:r w:rsidR="001A1F90">
        <w:t xml:space="preserve"> </w:t>
      </w:r>
      <w:r>
        <w:t>to</w:t>
      </w:r>
      <w:r w:rsidR="001A1F90">
        <w:t xml:space="preserve"> </w:t>
      </w:r>
      <w:r>
        <w:t>psychological</w:t>
      </w:r>
      <w:r w:rsidR="001A1F90">
        <w:t xml:space="preserve"> </w:t>
      </w:r>
      <w:r>
        <w:t>and</w:t>
      </w:r>
      <w:r w:rsidR="001A1F90">
        <w:t xml:space="preserve"> </w:t>
      </w:r>
      <w:r>
        <w:t>other</w:t>
      </w:r>
      <w:r w:rsidR="001A1F90">
        <w:t xml:space="preserve"> </w:t>
      </w:r>
      <w:r>
        <w:t>behavioural</w:t>
      </w:r>
      <w:r w:rsidR="001A1F90">
        <w:t xml:space="preserve"> </w:t>
      </w:r>
      <w:r>
        <w:t>therapies</w:t>
      </w:r>
      <w:r w:rsidR="001A1F90">
        <w:t xml:space="preserve"> </w:t>
      </w:r>
      <w:r>
        <w:t>and</w:t>
      </w:r>
      <w:r w:rsidR="001A1F90">
        <w:t xml:space="preserve"> </w:t>
      </w:r>
      <w:r>
        <w:t>should</w:t>
      </w:r>
      <w:r w:rsidR="001A1F90">
        <w:t xml:space="preserve"> </w:t>
      </w:r>
      <w:r>
        <w:t>be</w:t>
      </w:r>
      <w:r w:rsidR="001A1F90">
        <w:t xml:space="preserve"> </w:t>
      </w:r>
      <w:r>
        <w:t>considered</w:t>
      </w:r>
      <w:r w:rsidR="001A1F90">
        <w:t xml:space="preserve"> </w:t>
      </w:r>
      <w:r>
        <w:t>as</w:t>
      </w:r>
      <w:r w:rsidR="001A1F90">
        <w:t xml:space="preserve"> </w:t>
      </w:r>
      <w:r>
        <w:t>part</w:t>
      </w:r>
      <w:r w:rsidR="001A1F90">
        <w:t xml:space="preserve"> </w:t>
      </w:r>
      <w:r>
        <w:t>of</w:t>
      </w:r>
      <w:r w:rsidR="001A1F90">
        <w:t xml:space="preserve"> </w:t>
      </w:r>
      <w:r>
        <w:t>a</w:t>
      </w:r>
      <w:r w:rsidR="001A1F90">
        <w:t xml:space="preserve"> </w:t>
      </w:r>
      <w:r>
        <w:t>comprehensive</w:t>
      </w:r>
      <w:r w:rsidR="001A1F90">
        <w:t xml:space="preserve"> </w:t>
      </w:r>
      <w:r>
        <w:t>treatment</w:t>
      </w:r>
      <w:r w:rsidR="001A1F90">
        <w:t xml:space="preserve"> </w:t>
      </w:r>
      <w:r>
        <w:t>plan</w:t>
      </w:r>
      <w:r w:rsidR="001A1F90">
        <w:t xml:space="preserve"> </w:t>
      </w:r>
      <w:r>
        <w:t>(p.</w:t>
      </w:r>
      <w:r w:rsidR="001A1F90">
        <w:t xml:space="preserve"> </w:t>
      </w:r>
      <w:r>
        <w:t>645).</w:t>
      </w:r>
      <w:r w:rsidR="001A1F90">
        <w:t xml:space="preserve"> </w:t>
      </w:r>
      <w:r>
        <w:t>The</w:t>
      </w:r>
      <w:r w:rsidR="001A1F90">
        <w:t xml:space="preserve"> </w:t>
      </w:r>
      <w:r>
        <w:t>authors</w:t>
      </w:r>
      <w:r w:rsidR="001A1F90">
        <w:t xml:space="preserve"> </w:t>
      </w:r>
      <w:r>
        <w:t>assert</w:t>
      </w:r>
      <w:r w:rsidR="001A1F90">
        <w:t xml:space="preserve"> </w:t>
      </w:r>
      <w:r>
        <w:t>that</w:t>
      </w:r>
      <w:r w:rsidR="001A1F90">
        <w:t xml:space="preserve"> </w:t>
      </w:r>
      <w:r>
        <w:t>treatment</w:t>
      </w:r>
      <w:r w:rsidR="001A1F90">
        <w:t xml:space="preserve"> </w:t>
      </w:r>
      <w:r>
        <w:t>choice</w:t>
      </w:r>
      <w:r w:rsidR="001A1F90">
        <w:t xml:space="preserve"> </w:t>
      </w:r>
      <w:r>
        <w:t>should</w:t>
      </w:r>
      <w:r w:rsidR="001A1F90">
        <w:t xml:space="preserve"> </w:t>
      </w:r>
      <w:r>
        <w:t>be</w:t>
      </w:r>
      <w:r w:rsidR="001A1F90">
        <w:t xml:space="preserve"> </w:t>
      </w:r>
      <w:r>
        <w:t>determined</w:t>
      </w:r>
      <w:r w:rsidR="001A1F90">
        <w:t xml:space="preserve"> </w:t>
      </w:r>
      <w:r>
        <w:t>by</w:t>
      </w:r>
      <w:r w:rsidR="001A1F90">
        <w:t xml:space="preserve"> </w:t>
      </w:r>
      <w:r>
        <w:t>the</w:t>
      </w:r>
      <w:r w:rsidR="001A1F90">
        <w:t xml:space="preserve"> </w:t>
      </w:r>
      <w:r>
        <w:t>following:</w:t>
      </w:r>
    </w:p>
    <w:tbl>
      <w:tblPr>
        <w:tblStyle w:val="SPhighlighttable"/>
        <w:tblW w:w="9299" w:type="dxa"/>
        <w:tblLayout w:type="fixed"/>
        <w:tblLook w:val="0600" w:firstRow="0" w:lastRow="0" w:firstColumn="0" w:lastColumn="0" w:noHBand="1" w:noVBand="1"/>
      </w:tblPr>
      <w:tblGrid>
        <w:gridCol w:w="9299"/>
      </w:tblGrid>
      <w:tr w:rsidR="004946F1" w14:paraId="4E5550DD" w14:textId="77777777" w:rsidTr="00B87022">
        <w:trPr>
          <w:trHeight w:val="60"/>
        </w:trPr>
        <w:tc>
          <w:tcPr>
            <w:tcW w:w="9639" w:type="dxa"/>
          </w:tcPr>
          <w:p w14:paraId="2D2138A1" w14:textId="054DAB39" w:rsidR="004946F1" w:rsidRPr="00F224CB" w:rsidRDefault="00283E42" w:rsidP="00BD612C">
            <w:pPr>
              <w:pStyle w:val="DHHSbullet1"/>
            </w:pPr>
            <w:r>
              <w:t>t</w:t>
            </w:r>
            <w:r w:rsidR="004946F1" w:rsidRPr="00F224CB">
              <w:t>he</w:t>
            </w:r>
            <w:r w:rsidR="001A1F90">
              <w:t xml:space="preserve"> </w:t>
            </w:r>
            <w:r w:rsidR="004946F1" w:rsidRPr="00F224CB">
              <w:t>patient’s</w:t>
            </w:r>
            <w:r w:rsidR="001A1F90">
              <w:t xml:space="preserve"> </w:t>
            </w:r>
            <w:r w:rsidR="004946F1" w:rsidRPr="00F224CB">
              <w:t>previous</w:t>
            </w:r>
            <w:r w:rsidR="001A1F90">
              <w:t xml:space="preserve"> </w:t>
            </w:r>
            <w:r w:rsidR="004946F1" w:rsidRPr="00F224CB">
              <w:t>medical</w:t>
            </w:r>
            <w:r w:rsidR="001A1F90">
              <w:t xml:space="preserve"> </w:t>
            </w:r>
            <w:r w:rsidR="004946F1" w:rsidRPr="00F224CB">
              <w:t>history</w:t>
            </w:r>
          </w:p>
          <w:p w14:paraId="6E86443D" w14:textId="623FBF2F" w:rsidR="004946F1" w:rsidRDefault="00283E42" w:rsidP="00BD612C">
            <w:pPr>
              <w:pStyle w:val="DHHSbullet1"/>
            </w:pPr>
            <w:r>
              <w:t>t</w:t>
            </w:r>
            <w:r w:rsidR="004946F1" w:rsidRPr="00F224CB">
              <w:t>he</w:t>
            </w:r>
            <w:r w:rsidR="001A1F90">
              <w:t xml:space="preserve"> </w:t>
            </w:r>
            <w:r w:rsidR="004946F1" w:rsidRPr="00F224CB">
              <w:t>patient’s</w:t>
            </w:r>
            <w:r w:rsidR="001A1F90">
              <w:t xml:space="preserve"> </w:t>
            </w:r>
            <w:r w:rsidR="004946F1" w:rsidRPr="00F224CB">
              <w:t>observance</w:t>
            </w:r>
          </w:p>
          <w:p w14:paraId="2FF4CA81" w14:textId="4E330428" w:rsidR="004946F1" w:rsidRDefault="00283E42" w:rsidP="00BD612C">
            <w:pPr>
              <w:pStyle w:val="DHHSbullet1"/>
            </w:pPr>
            <w:r>
              <w:t>t</w:t>
            </w:r>
            <w:r w:rsidR="004946F1" w:rsidRPr="00F224CB">
              <w:t>he</w:t>
            </w:r>
            <w:r w:rsidR="001A1F90">
              <w:t xml:space="preserve"> </w:t>
            </w:r>
            <w:r w:rsidR="004946F1" w:rsidRPr="00F224CB">
              <w:t>intensity</w:t>
            </w:r>
            <w:r w:rsidR="001A1F90">
              <w:t xml:space="preserve"> </w:t>
            </w:r>
            <w:r w:rsidR="004946F1" w:rsidRPr="00F224CB">
              <w:t>of</w:t>
            </w:r>
            <w:r w:rsidR="001A1F90">
              <w:t xml:space="preserve"> </w:t>
            </w:r>
            <w:r w:rsidR="004946F1" w:rsidRPr="00F224CB">
              <w:t>the</w:t>
            </w:r>
            <w:r w:rsidR="001A1F90">
              <w:t xml:space="preserve"> </w:t>
            </w:r>
            <w:r w:rsidR="004946F1" w:rsidRPr="00F224CB">
              <w:t>paraphiliac</w:t>
            </w:r>
            <w:r w:rsidR="001A1F90">
              <w:t xml:space="preserve"> </w:t>
            </w:r>
            <w:r w:rsidR="004946F1" w:rsidRPr="00F224CB">
              <w:t>sexual</w:t>
            </w:r>
            <w:r w:rsidR="001A1F90">
              <w:t xml:space="preserve"> </w:t>
            </w:r>
            <w:r w:rsidR="004946F1" w:rsidRPr="00F224CB">
              <w:t>behaviour</w:t>
            </w:r>
          </w:p>
          <w:p w14:paraId="5D097188" w14:textId="3C7C48AA" w:rsidR="004946F1" w:rsidRPr="00F224CB" w:rsidRDefault="00283E42" w:rsidP="00BD612C">
            <w:pPr>
              <w:pStyle w:val="DHHSbullet1"/>
            </w:pPr>
            <w:r>
              <w:t>t</w:t>
            </w:r>
            <w:r w:rsidR="004946F1" w:rsidRPr="00F224CB">
              <w:t>he</w:t>
            </w:r>
            <w:r w:rsidR="001A1F90">
              <w:t xml:space="preserve"> </w:t>
            </w:r>
            <w:r w:rsidR="004946F1" w:rsidRPr="00F224CB">
              <w:t>risk</w:t>
            </w:r>
            <w:r w:rsidR="001A1F90">
              <w:t xml:space="preserve"> </w:t>
            </w:r>
            <w:r w:rsidR="004946F1" w:rsidRPr="00F224CB">
              <w:t>of</w:t>
            </w:r>
            <w:r w:rsidR="001A1F90">
              <w:t xml:space="preserve"> </w:t>
            </w:r>
            <w:r w:rsidR="004946F1" w:rsidRPr="00F224CB">
              <w:t>sexual</w:t>
            </w:r>
            <w:r w:rsidR="001A1F90">
              <w:t xml:space="preserve"> </w:t>
            </w:r>
            <w:r w:rsidR="004946F1" w:rsidRPr="00F224CB">
              <w:t>violence</w:t>
            </w:r>
            <w:r>
              <w:t>.</w:t>
            </w:r>
          </w:p>
        </w:tc>
      </w:tr>
    </w:tbl>
    <w:p w14:paraId="78C35AC3" w14:textId="00E7CF60" w:rsidR="004946F1" w:rsidRDefault="004946F1" w:rsidP="00B87022">
      <w:pPr>
        <w:pStyle w:val="DHHSbodyaftertablefigure"/>
      </w:pPr>
      <w:r>
        <w:t>The</w:t>
      </w:r>
      <w:r w:rsidR="001A1F90">
        <w:t xml:space="preserve"> </w:t>
      </w:r>
      <w:r>
        <w:t>guidelines</w:t>
      </w:r>
      <w:r w:rsidR="001A1F90">
        <w:t xml:space="preserve"> </w:t>
      </w:r>
      <w:r>
        <w:t>conclude</w:t>
      </w:r>
      <w:r w:rsidR="001A1F90">
        <w:t xml:space="preserve"> </w:t>
      </w:r>
      <w:r>
        <w:t>with</w:t>
      </w:r>
      <w:r w:rsidR="001A1F90">
        <w:t xml:space="preserve"> </w:t>
      </w:r>
      <w:r>
        <w:t>a</w:t>
      </w:r>
      <w:r w:rsidR="001A1F90">
        <w:t xml:space="preserve"> </w:t>
      </w:r>
      <w:r>
        <w:t>detailed</w:t>
      </w:r>
      <w:r w:rsidR="001A1F90">
        <w:t xml:space="preserve"> </w:t>
      </w:r>
      <w:r>
        <w:t>algorithm</w:t>
      </w:r>
      <w:r w:rsidR="001A1F90">
        <w:t xml:space="preserve"> </w:t>
      </w:r>
      <w:r>
        <w:t>clearly</w:t>
      </w:r>
      <w:r w:rsidR="001A1F90">
        <w:t xml:space="preserve"> </w:t>
      </w:r>
      <w:r>
        <w:t>articulating</w:t>
      </w:r>
      <w:r w:rsidR="001A1F90">
        <w:t xml:space="preserve"> </w:t>
      </w:r>
      <w:r>
        <w:t>a</w:t>
      </w:r>
      <w:r w:rsidR="001A1F90">
        <w:t xml:space="preserve"> </w:t>
      </w:r>
      <w:r>
        <w:t>staged</w:t>
      </w:r>
      <w:r w:rsidR="001A1F90">
        <w:t xml:space="preserve"> </w:t>
      </w:r>
      <w:r>
        <w:t>approach</w:t>
      </w:r>
      <w:r w:rsidR="001A1F90">
        <w:t xml:space="preserve"> </w:t>
      </w:r>
      <w:r>
        <w:t>to</w:t>
      </w:r>
      <w:r w:rsidR="001A1F90">
        <w:t xml:space="preserve"> </w:t>
      </w:r>
      <w:r>
        <w:t>the</w:t>
      </w:r>
      <w:r w:rsidR="001A1F90">
        <w:t xml:space="preserve"> </w:t>
      </w:r>
      <w:r>
        <w:t>pharmacological</w:t>
      </w:r>
      <w:r w:rsidR="001A1F90">
        <w:t xml:space="preserve"> </w:t>
      </w:r>
      <w:r>
        <w:t>treatment</w:t>
      </w:r>
      <w:r w:rsidR="001A1F90">
        <w:t xml:space="preserve"> </w:t>
      </w:r>
      <w:r>
        <w:t>of</w:t>
      </w:r>
      <w:r w:rsidR="001A1F90">
        <w:t xml:space="preserve"> </w:t>
      </w:r>
      <w:r>
        <w:t>paraphilias,</w:t>
      </w:r>
      <w:r w:rsidR="001A1F90">
        <w:t xml:space="preserve"> </w:t>
      </w:r>
      <w:r>
        <w:t>based</w:t>
      </w:r>
      <w:r w:rsidR="001A1F90">
        <w:t xml:space="preserve"> </w:t>
      </w:r>
      <w:r>
        <w:t>on</w:t>
      </w:r>
      <w:r w:rsidR="001A1F90">
        <w:t xml:space="preserve"> </w:t>
      </w:r>
      <w:r>
        <w:t>Bradford</w:t>
      </w:r>
      <w:r w:rsidR="001A1F90">
        <w:t xml:space="preserve"> </w:t>
      </w:r>
      <w:r>
        <w:t>(2000);</w:t>
      </w:r>
      <w:r w:rsidR="001A1F90">
        <w:t xml:space="preserve"> </w:t>
      </w:r>
      <w:r>
        <w:t>these</w:t>
      </w:r>
      <w:r w:rsidR="001A1F90">
        <w:t xml:space="preserve"> </w:t>
      </w:r>
      <w:r>
        <w:t>have</w:t>
      </w:r>
      <w:r w:rsidR="001A1F90">
        <w:t xml:space="preserve"> </w:t>
      </w:r>
      <w:r>
        <w:t>been</w:t>
      </w:r>
      <w:r w:rsidR="001A1F90">
        <w:t xml:space="preserve"> </w:t>
      </w:r>
      <w:r>
        <w:t>set</w:t>
      </w:r>
      <w:r w:rsidR="001A1F90">
        <w:t xml:space="preserve"> </w:t>
      </w:r>
      <w:r>
        <w:t>out</w:t>
      </w:r>
      <w:r w:rsidR="001A1F90">
        <w:t xml:space="preserve"> </w:t>
      </w:r>
      <w:r>
        <w:t>in</w:t>
      </w:r>
      <w:r w:rsidR="001A1F90">
        <w:t xml:space="preserve"> </w:t>
      </w:r>
      <w:r w:rsidR="00F550F1">
        <w:t>Table</w:t>
      </w:r>
      <w:r w:rsidR="00F550F1" w:rsidRPr="00B22AC9">
        <w:t xml:space="preserve"> </w:t>
      </w:r>
      <w:r w:rsidRPr="00B22AC9">
        <w:t>1</w:t>
      </w:r>
      <w:r>
        <w:t>.</w:t>
      </w:r>
    </w:p>
    <w:p w14:paraId="1BC23695" w14:textId="52F601D9" w:rsidR="00913A29" w:rsidRPr="0016163D" w:rsidRDefault="004946F1" w:rsidP="00913A29">
      <w:pPr>
        <w:pStyle w:val="DHHSbody"/>
      </w:pPr>
      <w:r>
        <w:t>Progression</w:t>
      </w:r>
      <w:r w:rsidR="001A1F90">
        <w:t xml:space="preserve"> </w:t>
      </w:r>
      <w:r>
        <w:t>upwards</w:t>
      </w:r>
      <w:r w:rsidR="001A1F90">
        <w:t xml:space="preserve"> </w:t>
      </w:r>
      <w:r>
        <w:t>step</w:t>
      </w:r>
      <w:r w:rsidR="001A1F90">
        <w:t xml:space="preserve"> </w:t>
      </w:r>
      <w:r>
        <w:t>by</w:t>
      </w:r>
      <w:r w:rsidR="001A1F90">
        <w:t xml:space="preserve"> </w:t>
      </w:r>
      <w:r>
        <w:t>step</w:t>
      </w:r>
      <w:r w:rsidR="001A1F90">
        <w:t xml:space="preserve"> </w:t>
      </w:r>
      <w:r>
        <w:t>from</w:t>
      </w:r>
      <w:r w:rsidR="001A1F90">
        <w:t xml:space="preserve"> </w:t>
      </w:r>
      <w:r w:rsidR="00283E42">
        <w:t>l</w:t>
      </w:r>
      <w:r>
        <w:t>evel</w:t>
      </w:r>
      <w:r w:rsidR="001A1F90">
        <w:t xml:space="preserve"> </w:t>
      </w:r>
      <w:r>
        <w:t>1</w:t>
      </w:r>
      <w:r w:rsidR="001A1F90">
        <w:t xml:space="preserve"> </w:t>
      </w:r>
      <w:r>
        <w:t>through</w:t>
      </w:r>
      <w:r w:rsidR="001A1F90">
        <w:t xml:space="preserve"> </w:t>
      </w:r>
      <w:r>
        <w:t>to</w:t>
      </w:r>
      <w:r w:rsidR="001A1F90">
        <w:t xml:space="preserve"> </w:t>
      </w:r>
      <w:r w:rsidR="00283E42">
        <w:t>l</w:t>
      </w:r>
      <w:r>
        <w:t>evel</w:t>
      </w:r>
      <w:r w:rsidR="001A1F90">
        <w:t xml:space="preserve"> </w:t>
      </w:r>
      <w:r>
        <w:t>6</w:t>
      </w:r>
      <w:r w:rsidR="001A1F90">
        <w:t xml:space="preserve"> </w:t>
      </w:r>
      <w:r>
        <w:t>approaches</w:t>
      </w:r>
      <w:r w:rsidR="001A1F90">
        <w:t xml:space="preserve"> </w:t>
      </w:r>
      <w:r>
        <w:t>are</w:t>
      </w:r>
      <w:r w:rsidR="001A1F90">
        <w:t xml:space="preserve"> </w:t>
      </w:r>
      <w:r>
        <w:t>based</w:t>
      </w:r>
      <w:r w:rsidR="001A1F90">
        <w:t xml:space="preserve"> </w:t>
      </w:r>
      <w:r>
        <w:t>on</w:t>
      </w:r>
      <w:r w:rsidR="001A1F90">
        <w:t xml:space="preserve"> </w:t>
      </w:r>
      <w:r>
        <w:t>finding</w:t>
      </w:r>
      <w:r w:rsidR="001A1F90">
        <w:t xml:space="preserve"> </w:t>
      </w:r>
      <w:r>
        <w:t>that</w:t>
      </w:r>
      <w:r w:rsidR="001A1F90">
        <w:t xml:space="preserve"> </w:t>
      </w:r>
      <w:r>
        <w:t>there</w:t>
      </w:r>
      <w:r w:rsidR="001A1F90">
        <w:t xml:space="preserve"> </w:t>
      </w:r>
      <w:r>
        <w:t>are</w:t>
      </w:r>
      <w:r w:rsidR="001A1F90">
        <w:t xml:space="preserve"> </w:t>
      </w:r>
      <w:r>
        <w:t>unsatisfactory</w:t>
      </w:r>
      <w:r w:rsidR="001A1F90">
        <w:t xml:space="preserve"> </w:t>
      </w:r>
      <w:r>
        <w:t>results</w:t>
      </w:r>
      <w:r w:rsidR="001A1F90">
        <w:t xml:space="preserve"> </w:t>
      </w:r>
      <w:r>
        <w:t>with</w:t>
      </w:r>
      <w:r w:rsidR="001A1F90">
        <w:t xml:space="preserve"> </w:t>
      </w:r>
      <w:r>
        <w:t>treatment</w:t>
      </w:r>
      <w:r w:rsidR="001A1F90">
        <w:t xml:space="preserve"> </w:t>
      </w:r>
      <w:r>
        <w:t>recommendations</w:t>
      </w:r>
      <w:r w:rsidR="001A1F90">
        <w:t xml:space="preserve"> </w:t>
      </w:r>
      <w:r>
        <w:t>at</w:t>
      </w:r>
      <w:r w:rsidR="001A1F90">
        <w:t xml:space="preserve"> </w:t>
      </w:r>
      <w:r>
        <w:t>lower</w:t>
      </w:r>
      <w:r w:rsidR="001A1F90">
        <w:t xml:space="preserve"> </w:t>
      </w:r>
      <w:r>
        <w:t>levels.</w:t>
      </w:r>
      <w:r w:rsidR="001A1F90">
        <w:t xml:space="preserve"> </w:t>
      </w:r>
      <w:r>
        <w:t>Of</w:t>
      </w:r>
      <w:r w:rsidR="001A1F90">
        <w:t xml:space="preserve"> </w:t>
      </w:r>
      <w:r>
        <w:t>note,</w:t>
      </w:r>
      <w:r w:rsidR="001A1F90">
        <w:t xml:space="preserve"> </w:t>
      </w:r>
      <w:r>
        <w:t>issues</w:t>
      </w:r>
      <w:r w:rsidR="001A1F90">
        <w:t xml:space="preserve"> </w:t>
      </w:r>
      <w:r>
        <w:t>around</w:t>
      </w:r>
      <w:r w:rsidR="001A1F90">
        <w:t xml:space="preserve"> </w:t>
      </w:r>
      <w:r>
        <w:t>compliance</w:t>
      </w:r>
      <w:r w:rsidR="001A1F90">
        <w:t xml:space="preserve"> </w:t>
      </w:r>
      <w:r>
        <w:t>and</w:t>
      </w:r>
      <w:r w:rsidR="001A1F90">
        <w:t xml:space="preserve"> </w:t>
      </w:r>
      <w:r>
        <w:t>risk</w:t>
      </w:r>
      <w:r w:rsidR="001A1F90">
        <w:t xml:space="preserve"> </w:t>
      </w:r>
      <w:r>
        <w:t>are</w:t>
      </w:r>
      <w:r w:rsidR="001A1F90">
        <w:t xml:space="preserve"> </w:t>
      </w:r>
      <w:r>
        <w:t>introduced</w:t>
      </w:r>
      <w:r w:rsidR="001A1F90">
        <w:t xml:space="preserve"> </w:t>
      </w:r>
      <w:r>
        <w:t>beyond</w:t>
      </w:r>
      <w:r w:rsidR="001A1F90">
        <w:t xml:space="preserve"> </w:t>
      </w:r>
      <w:r w:rsidR="00283E42">
        <w:t>l</w:t>
      </w:r>
      <w:r>
        <w:t>evel</w:t>
      </w:r>
      <w:r w:rsidR="001A1F90">
        <w:t xml:space="preserve"> </w:t>
      </w:r>
      <w:r>
        <w:t>3,</w:t>
      </w:r>
      <w:r w:rsidR="001A1F90">
        <w:t xml:space="preserve"> </w:t>
      </w:r>
      <w:r>
        <w:t>where</w:t>
      </w:r>
      <w:r w:rsidR="001A1F90">
        <w:t xml:space="preserve"> </w:t>
      </w:r>
      <w:r>
        <w:t>a</w:t>
      </w:r>
      <w:r w:rsidR="001A1F90">
        <w:t xml:space="preserve"> </w:t>
      </w:r>
      <w:r>
        <w:t>full</w:t>
      </w:r>
      <w:r w:rsidR="001A1F90">
        <w:t xml:space="preserve"> </w:t>
      </w:r>
      <w:r>
        <w:t>dosage</w:t>
      </w:r>
      <w:r w:rsidR="001A1F90">
        <w:t xml:space="preserve"> </w:t>
      </w:r>
      <w:r>
        <w:t>of</w:t>
      </w:r>
      <w:r w:rsidR="001A1F90">
        <w:t xml:space="preserve"> </w:t>
      </w:r>
      <w:r>
        <w:t>anti-libidinal</w:t>
      </w:r>
      <w:r w:rsidR="001A1F90">
        <w:t xml:space="preserve"> </w:t>
      </w:r>
      <w:r>
        <w:t>medications</w:t>
      </w:r>
      <w:r w:rsidR="001A1F90">
        <w:t xml:space="preserve"> </w:t>
      </w:r>
      <w:r>
        <w:t>are</w:t>
      </w:r>
      <w:r w:rsidR="001A1F90">
        <w:t xml:space="preserve"> </w:t>
      </w:r>
      <w:r>
        <w:t>first</w:t>
      </w:r>
      <w:r w:rsidR="001A1F90">
        <w:t xml:space="preserve"> </w:t>
      </w:r>
      <w:r>
        <w:t>introduced</w:t>
      </w:r>
      <w:r w:rsidR="001A1F90">
        <w:t xml:space="preserve"> </w:t>
      </w:r>
      <w:r>
        <w:t>alongside</w:t>
      </w:r>
      <w:r w:rsidR="001A1F90">
        <w:t xml:space="preserve"> </w:t>
      </w:r>
      <w:r>
        <w:t>SSRIs</w:t>
      </w:r>
      <w:r w:rsidR="001A1F90">
        <w:t xml:space="preserve"> </w:t>
      </w:r>
      <w:r>
        <w:t>(where</w:t>
      </w:r>
      <w:r w:rsidR="001A1F90">
        <w:t xml:space="preserve"> </w:t>
      </w:r>
      <w:r>
        <w:t>additionally</w:t>
      </w:r>
      <w:r w:rsidR="001A1F90">
        <w:t xml:space="preserve"> </w:t>
      </w:r>
      <w:r>
        <w:t>indicated)</w:t>
      </w:r>
      <w:r w:rsidR="001A1F90">
        <w:t xml:space="preserve"> </w:t>
      </w:r>
      <w:r>
        <w:t>in</w:t>
      </w:r>
      <w:r w:rsidR="001A1F90">
        <w:t xml:space="preserve"> </w:t>
      </w:r>
      <w:r>
        <w:t>the</w:t>
      </w:r>
      <w:r w:rsidR="001A1F90">
        <w:t xml:space="preserve"> </w:t>
      </w:r>
      <w:r>
        <w:t>treatment</w:t>
      </w:r>
      <w:r w:rsidR="001A1F90">
        <w:t xml:space="preserve"> </w:t>
      </w:r>
      <w:r>
        <w:t>plan.</w:t>
      </w:r>
    </w:p>
    <w:p w14:paraId="6DA662A3" w14:textId="6CFA8AD0" w:rsidR="004946F1" w:rsidRDefault="00F550F1" w:rsidP="00CA3986">
      <w:pPr>
        <w:pStyle w:val="DHHStablecaption"/>
      </w:pPr>
      <w:r>
        <w:t xml:space="preserve">Table </w:t>
      </w:r>
      <w:r w:rsidR="004946F1">
        <w:t>1:</w:t>
      </w:r>
      <w:r w:rsidR="001A1F90">
        <w:t xml:space="preserve"> </w:t>
      </w:r>
      <w:r w:rsidR="004946F1">
        <w:t>The</w:t>
      </w:r>
      <w:r w:rsidR="001A1F90">
        <w:t xml:space="preserve"> </w:t>
      </w:r>
      <w:r w:rsidR="004946F1">
        <w:t>staged</w:t>
      </w:r>
      <w:r w:rsidR="001A1F90">
        <w:t xml:space="preserve"> </w:t>
      </w:r>
      <w:r w:rsidR="004946F1">
        <w:t>approach</w:t>
      </w:r>
      <w:r w:rsidR="001A1F90">
        <w:t xml:space="preserve"> </w:t>
      </w:r>
      <w:r w:rsidR="004946F1">
        <w:t>to</w:t>
      </w:r>
      <w:r w:rsidR="001A1F90">
        <w:t xml:space="preserve"> </w:t>
      </w:r>
      <w:r w:rsidR="004946F1">
        <w:t>the</w:t>
      </w:r>
      <w:r w:rsidR="001A1F90">
        <w:t xml:space="preserve"> </w:t>
      </w:r>
      <w:r w:rsidR="004946F1">
        <w:t>pharmacological</w:t>
      </w:r>
      <w:r w:rsidR="001A1F90">
        <w:t xml:space="preserve"> </w:t>
      </w:r>
      <w:r w:rsidR="004946F1">
        <w:t>treatment</w:t>
      </w:r>
      <w:r w:rsidR="001A1F90">
        <w:t xml:space="preserve"> </w:t>
      </w:r>
      <w:r w:rsidR="004946F1">
        <w:t>of</w:t>
      </w:r>
      <w:r w:rsidR="001A1F90">
        <w:t xml:space="preserve"> </w:t>
      </w:r>
      <w:r w:rsidR="004946F1">
        <w:t>paraphilias</w:t>
      </w:r>
    </w:p>
    <w:tbl>
      <w:tblPr>
        <w:tblStyle w:val="TableGrid"/>
        <w:tblW w:w="9625" w:type="dxa"/>
        <w:tblLayout w:type="fixed"/>
        <w:tblLook w:val="04A0" w:firstRow="1" w:lastRow="0" w:firstColumn="1" w:lastColumn="0" w:noHBand="0" w:noVBand="1"/>
      </w:tblPr>
      <w:tblGrid>
        <w:gridCol w:w="1525"/>
        <w:gridCol w:w="4235"/>
        <w:gridCol w:w="3865"/>
      </w:tblGrid>
      <w:tr w:rsidR="00A758E4" w14:paraId="1230E200" w14:textId="77777777" w:rsidTr="00CD0313">
        <w:trPr>
          <w:cnfStyle w:val="100000000000" w:firstRow="1" w:lastRow="0" w:firstColumn="0" w:lastColumn="0" w:oddVBand="0" w:evenVBand="0" w:oddHBand="0" w:evenHBand="0" w:firstRowFirstColumn="0" w:firstRowLastColumn="0" w:lastRowFirstColumn="0" w:lastRowLastColumn="0"/>
          <w:cantSplit/>
          <w:tblHeader/>
        </w:trPr>
        <w:tc>
          <w:tcPr>
            <w:tcW w:w="0" w:type="dxa"/>
          </w:tcPr>
          <w:p w14:paraId="7E919415" w14:textId="0713B960" w:rsidR="00A758E4" w:rsidRPr="00A758E4" w:rsidRDefault="00A758E4" w:rsidP="00A758E4">
            <w:pPr>
              <w:pStyle w:val="DHHStablecolhead"/>
            </w:pPr>
            <w:r w:rsidRPr="00A758E4">
              <w:t>Level</w:t>
            </w:r>
          </w:p>
        </w:tc>
        <w:tc>
          <w:tcPr>
            <w:tcW w:w="0" w:type="dxa"/>
          </w:tcPr>
          <w:p w14:paraId="260CBBB4" w14:textId="67452D8C" w:rsidR="00A758E4" w:rsidRPr="00A758E4" w:rsidRDefault="00A758E4" w:rsidP="00A758E4">
            <w:pPr>
              <w:pStyle w:val="DHHStablecolhead"/>
            </w:pPr>
            <w:r>
              <w:t>Aim/approach</w:t>
            </w:r>
          </w:p>
        </w:tc>
        <w:tc>
          <w:tcPr>
            <w:tcW w:w="0" w:type="dxa"/>
          </w:tcPr>
          <w:p w14:paraId="23230984" w14:textId="63F146CC" w:rsidR="00A758E4" w:rsidRPr="00A758E4" w:rsidRDefault="00A758E4" w:rsidP="00A758E4">
            <w:pPr>
              <w:pStyle w:val="DHHStablecolhead"/>
            </w:pPr>
            <w:r w:rsidRPr="00A758E4">
              <w:t>Treatment</w:t>
            </w:r>
          </w:p>
        </w:tc>
      </w:tr>
      <w:tr w:rsidR="00A035C6" w14:paraId="4FAD48AA" w14:textId="77777777" w:rsidTr="00CD0313">
        <w:trPr>
          <w:cantSplit/>
        </w:trPr>
        <w:tc>
          <w:tcPr>
            <w:tcW w:w="1525" w:type="dxa"/>
          </w:tcPr>
          <w:p w14:paraId="1E4FA893" w14:textId="4A9AE2B5" w:rsidR="00A035C6" w:rsidRPr="00A758E4" w:rsidRDefault="00A035C6" w:rsidP="00A035C6">
            <w:pPr>
              <w:pStyle w:val="DHHStabletext"/>
              <w:rPr>
                <w:rStyle w:val="Strong"/>
                <w:b w:val="0"/>
                <w:bCs w:val="0"/>
              </w:rPr>
            </w:pPr>
            <w:r w:rsidRPr="00A758E4">
              <w:rPr>
                <w:b/>
                <w:bCs/>
              </w:rPr>
              <w:t>Level 1</w:t>
            </w:r>
          </w:p>
        </w:tc>
        <w:tc>
          <w:tcPr>
            <w:tcW w:w="4235" w:type="dxa"/>
          </w:tcPr>
          <w:p w14:paraId="785AD3B1" w14:textId="075A9217" w:rsidR="00A035C6" w:rsidRDefault="00A035C6" w:rsidP="007A665D">
            <w:pPr>
              <w:pStyle w:val="DHHStablebullet1"/>
            </w:pPr>
            <w:r w:rsidRPr="004B4157">
              <w:rPr>
                <w:rStyle w:val="Strong"/>
              </w:rPr>
              <w:t>Aim:</w:t>
            </w:r>
            <w:r>
              <w:rPr>
                <w:rStyle w:val="Strong"/>
              </w:rPr>
              <w:t xml:space="preserve"> </w:t>
            </w:r>
            <w:r>
              <w:t>Control of paraphiliac sexual behaviour, compulsions and behaviours without impact on conventional sexual activity and on sexual desire</w:t>
            </w:r>
          </w:p>
        </w:tc>
        <w:tc>
          <w:tcPr>
            <w:tcW w:w="3865" w:type="dxa"/>
          </w:tcPr>
          <w:p w14:paraId="4F782842" w14:textId="4CFCA870" w:rsidR="00A035C6" w:rsidRDefault="00A035C6" w:rsidP="007A665D">
            <w:pPr>
              <w:pStyle w:val="DHHStablebullet1"/>
            </w:pPr>
            <w:r>
              <w:t>Psychotherapy – preferably CBT if available due to low evidence base with other forms of therapy</w:t>
            </w:r>
          </w:p>
        </w:tc>
      </w:tr>
      <w:tr w:rsidR="00A035C6" w14:paraId="618611A0" w14:textId="77777777" w:rsidTr="00CD0313">
        <w:trPr>
          <w:cantSplit/>
        </w:trPr>
        <w:tc>
          <w:tcPr>
            <w:tcW w:w="1525" w:type="dxa"/>
          </w:tcPr>
          <w:p w14:paraId="520937A2" w14:textId="692E2B1F" w:rsidR="00A035C6" w:rsidRPr="00A035C6" w:rsidRDefault="00A035C6" w:rsidP="00A035C6">
            <w:pPr>
              <w:pStyle w:val="DHHStabletext"/>
              <w:rPr>
                <w:rStyle w:val="Strong"/>
                <w:b w:val="0"/>
                <w:bCs w:val="0"/>
              </w:rPr>
            </w:pPr>
            <w:r w:rsidRPr="00A035C6">
              <w:rPr>
                <w:b/>
                <w:bCs/>
              </w:rPr>
              <w:t>Level 2</w:t>
            </w:r>
          </w:p>
        </w:tc>
        <w:tc>
          <w:tcPr>
            <w:tcW w:w="4235" w:type="dxa"/>
          </w:tcPr>
          <w:p w14:paraId="17B1C864" w14:textId="61723234" w:rsidR="00A035C6" w:rsidRDefault="00A035C6" w:rsidP="007A665D">
            <w:pPr>
              <w:pStyle w:val="DHHStablebullet1"/>
            </w:pPr>
            <w:r w:rsidRPr="004B4157">
              <w:rPr>
                <w:rStyle w:val="Strong"/>
              </w:rPr>
              <w:t>Aim:</w:t>
            </w:r>
            <w:r>
              <w:rPr>
                <w:rStyle w:val="Strong"/>
              </w:rPr>
              <w:t xml:space="preserve"> </w:t>
            </w:r>
            <w:r>
              <w:t>Control of paraphiliac sexual behaviour, compulsions and behaviours with a moderate reduction of conventional sexual activity and on sexual desire</w:t>
            </w:r>
          </w:p>
          <w:p w14:paraId="1A615D5A" w14:textId="0B9AA501" w:rsidR="00A035C6" w:rsidRDefault="00A035C6" w:rsidP="007A665D">
            <w:pPr>
              <w:pStyle w:val="DHHStablebullet1"/>
            </w:pPr>
            <w:r>
              <w:t>May be used in all mild cases (‘hands off’ paraphilias with low risk of sexual violence such as exhibitionism without any risk of rape or paedophilia</w:t>
            </w:r>
            <w:r w:rsidR="00734C98">
              <w:t>)</w:t>
            </w:r>
          </w:p>
          <w:p w14:paraId="244701F1" w14:textId="190246FC" w:rsidR="00A035C6" w:rsidRDefault="00A035C6" w:rsidP="007A665D">
            <w:pPr>
              <w:pStyle w:val="DHHStablebullet1"/>
            </w:pPr>
            <w:r>
              <w:t>No satisfactory results at level 1</w:t>
            </w:r>
          </w:p>
        </w:tc>
        <w:tc>
          <w:tcPr>
            <w:tcW w:w="3865" w:type="dxa"/>
          </w:tcPr>
          <w:p w14:paraId="53222F86" w14:textId="5C17C0D2" w:rsidR="00A035C6" w:rsidRDefault="00A035C6" w:rsidP="007A665D">
            <w:pPr>
              <w:pStyle w:val="DHHStablebullet1"/>
            </w:pPr>
            <w:r>
              <w:t xml:space="preserve">SSRIs: increase dosage at the same level as prescribed in </w:t>
            </w:r>
            <w:r w:rsidR="00774E0D">
              <w:t>o</w:t>
            </w:r>
            <w:r w:rsidR="00774E0D" w:rsidRPr="00774E0D">
              <w:t>bsessive-compulsive disorder</w:t>
            </w:r>
          </w:p>
        </w:tc>
      </w:tr>
      <w:tr w:rsidR="00A035C6" w14:paraId="6CDBEF99" w14:textId="77777777" w:rsidTr="00CD0313">
        <w:trPr>
          <w:cantSplit/>
        </w:trPr>
        <w:tc>
          <w:tcPr>
            <w:tcW w:w="1525" w:type="dxa"/>
          </w:tcPr>
          <w:p w14:paraId="421A963E" w14:textId="1858C35D" w:rsidR="00A035C6" w:rsidRPr="00A035C6" w:rsidRDefault="00A035C6" w:rsidP="00A035C6">
            <w:pPr>
              <w:pStyle w:val="DHHStabletext"/>
              <w:rPr>
                <w:rStyle w:val="Strong"/>
                <w:b w:val="0"/>
                <w:bCs w:val="0"/>
              </w:rPr>
            </w:pPr>
            <w:r w:rsidRPr="00A035C6">
              <w:rPr>
                <w:b/>
                <w:bCs/>
              </w:rPr>
              <w:t>Level 3</w:t>
            </w:r>
          </w:p>
        </w:tc>
        <w:tc>
          <w:tcPr>
            <w:tcW w:w="4235" w:type="dxa"/>
          </w:tcPr>
          <w:p w14:paraId="30B186CB" w14:textId="2905D1A2" w:rsidR="00A035C6" w:rsidRDefault="00A035C6" w:rsidP="007A665D">
            <w:pPr>
              <w:pStyle w:val="DHHStablebullet1"/>
            </w:pPr>
            <w:r w:rsidRPr="004B4157">
              <w:rPr>
                <w:rStyle w:val="Strong"/>
              </w:rPr>
              <w:t>Aim:</w:t>
            </w:r>
            <w:r>
              <w:rPr>
                <w:rStyle w:val="Strong"/>
              </w:rPr>
              <w:t xml:space="preserve"> </w:t>
            </w:r>
            <w:r>
              <w:t>Control of paraphiliac sexual behaviour, compulsions and behaviours with a moderate reduction of conventional sexual activity and on sexual desire</w:t>
            </w:r>
          </w:p>
          <w:p w14:paraId="258CEF9E" w14:textId="5D054B97" w:rsidR="00A035C6" w:rsidRDefault="00A035C6" w:rsidP="007A665D">
            <w:pPr>
              <w:pStyle w:val="DHHStablebullet1"/>
            </w:pPr>
            <w:r>
              <w:t>‘Hands on’ paraphilias with fondling but no penetration</w:t>
            </w:r>
          </w:p>
          <w:p w14:paraId="2AD13A05" w14:textId="57269639" w:rsidR="00A035C6" w:rsidRDefault="00A035C6" w:rsidP="007A665D">
            <w:pPr>
              <w:pStyle w:val="DHHStablebullet1"/>
            </w:pPr>
            <w:r>
              <w:t>Paraphilic sexual behaviour without sexual sadism</w:t>
            </w:r>
          </w:p>
          <w:p w14:paraId="37AB9F71" w14:textId="741A1EE5" w:rsidR="00A035C6" w:rsidRDefault="00A035C6" w:rsidP="007A665D">
            <w:pPr>
              <w:pStyle w:val="DHHStablebullet1"/>
            </w:pPr>
            <w:r>
              <w:t>No satisfactory results at level 2 after 4–6 weeks of SSRIs at higher dosages</w:t>
            </w:r>
          </w:p>
        </w:tc>
        <w:tc>
          <w:tcPr>
            <w:tcW w:w="3865" w:type="dxa"/>
          </w:tcPr>
          <w:p w14:paraId="4E1092C8" w14:textId="2DC1901B" w:rsidR="00A035C6" w:rsidRDefault="00A035C6" w:rsidP="007A665D">
            <w:pPr>
              <w:pStyle w:val="DHHStablebullet1"/>
            </w:pPr>
            <w:r>
              <w:t>Add low dosage of anti-androgen (for example, cyproterone acetate 50–100 mg/day) to SSRIs</w:t>
            </w:r>
          </w:p>
        </w:tc>
      </w:tr>
      <w:tr w:rsidR="00A035C6" w14:paraId="0E07D64B" w14:textId="77777777" w:rsidTr="00CD0313">
        <w:trPr>
          <w:cantSplit/>
        </w:trPr>
        <w:tc>
          <w:tcPr>
            <w:tcW w:w="1525" w:type="dxa"/>
          </w:tcPr>
          <w:p w14:paraId="19928A8E" w14:textId="7E99D271" w:rsidR="00A035C6" w:rsidRPr="00A035C6" w:rsidRDefault="00A035C6" w:rsidP="00A035C6">
            <w:pPr>
              <w:pStyle w:val="DHHStabletext"/>
              <w:rPr>
                <w:rStyle w:val="Strong"/>
                <w:b w:val="0"/>
                <w:bCs w:val="0"/>
              </w:rPr>
            </w:pPr>
            <w:r w:rsidRPr="00A035C6">
              <w:rPr>
                <w:b/>
                <w:bCs/>
              </w:rPr>
              <w:t>Level 4</w:t>
            </w:r>
          </w:p>
        </w:tc>
        <w:tc>
          <w:tcPr>
            <w:tcW w:w="4235" w:type="dxa"/>
          </w:tcPr>
          <w:p w14:paraId="346F85A8" w14:textId="652521C9" w:rsidR="00A035C6" w:rsidRDefault="00A035C6" w:rsidP="007A665D">
            <w:pPr>
              <w:pStyle w:val="DHHStablebullet1"/>
            </w:pPr>
            <w:r w:rsidRPr="004B4157">
              <w:rPr>
                <w:rStyle w:val="Strong"/>
              </w:rPr>
              <w:t>Aim:</w:t>
            </w:r>
            <w:r>
              <w:t xml:space="preserve"> Control of paraphiliac sexual behaviour, compulsions and behaviours with a substantial reduction of conventional sexual activity and on sexual desire</w:t>
            </w:r>
          </w:p>
          <w:p w14:paraId="35675C5E" w14:textId="21FDDAB3" w:rsidR="00A035C6" w:rsidRDefault="00A035C6" w:rsidP="007A665D">
            <w:pPr>
              <w:pStyle w:val="DHHStablebullet1"/>
            </w:pPr>
            <w:r>
              <w:t>Moderate and high risk of sexual violence (severe sexual paraphilias with more intrusive fondling with limited number of victims)</w:t>
            </w:r>
          </w:p>
          <w:p w14:paraId="594F4FEC" w14:textId="3301020C" w:rsidR="00A035C6" w:rsidRDefault="00A035C6" w:rsidP="007A665D">
            <w:pPr>
              <w:pStyle w:val="DHHStablebullet1"/>
            </w:pPr>
            <w:r>
              <w:t>No sexual sadism fantasies and/or behaviour (if present go to level 5)</w:t>
            </w:r>
          </w:p>
          <w:p w14:paraId="52B9FF67" w14:textId="1C2A1216" w:rsidR="00A035C6" w:rsidRDefault="00A035C6" w:rsidP="007A665D">
            <w:pPr>
              <w:pStyle w:val="DHHStablebullet1"/>
            </w:pPr>
            <w:r>
              <w:t>Compliant patient; if not, use IM or go to level 5</w:t>
            </w:r>
          </w:p>
          <w:p w14:paraId="4487F71F" w14:textId="27412D3A" w:rsidR="00A035C6" w:rsidRPr="004B4157" w:rsidRDefault="00A035C6" w:rsidP="007A665D">
            <w:pPr>
              <w:pStyle w:val="DHHStablebullet1"/>
              <w:rPr>
                <w:rStyle w:val="Strong"/>
              </w:rPr>
            </w:pPr>
            <w:r w:rsidRPr="004B4157">
              <w:rPr>
                <w:rStyle w:val="Strong"/>
              </w:rPr>
              <w:t>No</w:t>
            </w:r>
            <w:r>
              <w:rPr>
                <w:rStyle w:val="Strong"/>
              </w:rPr>
              <w:t xml:space="preserve"> </w:t>
            </w:r>
            <w:r w:rsidRPr="004B4157">
              <w:rPr>
                <w:rStyle w:val="Strong"/>
              </w:rPr>
              <w:t>satisfactory</w:t>
            </w:r>
            <w:r>
              <w:rPr>
                <w:rStyle w:val="Strong"/>
              </w:rPr>
              <w:t xml:space="preserve"> </w:t>
            </w:r>
            <w:r w:rsidRPr="004B4157">
              <w:rPr>
                <w:rStyle w:val="Strong"/>
              </w:rPr>
              <w:t>results</w:t>
            </w:r>
            <w:r>
              <w:rPr>
                <w:rStyle w:val="Strong"/>
              </w:rPr>
              <w:t xml:space="preserve"> </w:t>
            </w:r>
            <w:r w:rsidRPr="004B4157">
              <w:rPr>
                <w:rStyle w:val="Strong"/>
              </w:rPr>
              <w:t>at</w:t>
            </w:r>
            <w:r>
              <w:rPr>
                <w:rStyle w:val="Strong"/>
              </w:rPr>
              <w:t xml:space="preserve"> l</w:t>
            </w:r>
            <w:r w:rsidRPr="004B4157">
              <w:rPr>
                <w:rStyle w:val="Strong"/>
              </w:rPr>
              <w:t>evel</w:t>
            </w:r>
            <w:r>
              <w:rPr>
                <w:rStyle w:val="Strong"/>
              </w:rPr>
              <w:t xml:space="preserve"> </w:t>
            </w:r>
            <w:r w:rsidRPr="004B4157">
              <w:rPr>
                <w:rStyle w:val="Strong"/>
              </w:rPr>
              <w:t>3</w:t>
            </w:r>
          </w:p>
        </w:tc>
        <w:tc>
          <w:tcPr>
            <w:tcW w:w="3865" w:type="dxa"/>
          </w:tcPr>
          <w:p w14:paraId="2F203EE6" w14:textId="4AB9F2FB" w:rsidR="00A035C6" w:rsidRDefault="00A035C6" w:rsidP="007A665D">
            <w:pPr>
              <w:pStyle w:val="DHHStablebullet1"/>
            </w:pPr>
            <w:r>
              <w:t xml:space="preserve">First choice: full dosage of cyproterone acetate: </w:t>
            </w:r>
            <w:r w:rsidR="00774E0D">
              <w:t>o</w:t>
            </w:r>
            <w:r>
              <w:t>ral, 200–300 mg per day or IM 200–400 mg once weekly or every 2 weeks; or use medroxyprogesterone acetate: 50–300 mg/day if cyproterone acetate not available</w:t>
            </w:r>
          </w:p>
          <w:p w14:paraId="0319C0D8" w14:textId="1147872C" w:rsidR="00A035C6" w:rsidRDefault="00A035C6" w:rsidP="007A665D">
            <w:pPr>
              <w:pStyle w:val="DHHStablebullet1"/>
            </w:pPr>
            <w:r>
              <w:t>If comorbidity with anxiety, depression or obsessive</w:t>
            </w:r>
            <w:r w:rsidR="00774E0D">
              <w:t>-</w:t>
            </w:r>
            <w:r>
              <w:t>compulsive symptoms, SSRIs might be associated with cyproterone acetate</w:t>
            </w:r>
          </w:p>
        </w:tc>
      </w:tr>
      <w:tr w:rsidR="00A035C6" w14:paraId="48753A7E" w14:textId="77777777" w:rsidTr="00CD0313">
        <w:trPr>
          <w:cantSplit/>
        </w:trPr>
        <w:tc>
          <w:tcPr>
            <w:tcW w:w="1525" w:type="dxa"/>
          </w:tcPr>
          <w:p w14:paraId="1949FBE2" w14:textId="19553D12" w:rsidR="00A035C6" w:rsidRPr="00A035C6" w:rsidRDefault="00A035C6" w:rsidP="00A035C6">
            <w:pPr>
              <w:pStyle w:val="DHHStabletext"/>
              <w:rPr>
                <w:rStyle w:val="Strong"/>
                <w:b w:val="0"/>
                <w:bCs w:val="0"/>
              </w:rPr>
            </w:pPr>
            <w:r w:rsidRPr="00A035C6">
              <w:rPr>
                <w:b/>
                <w:bCs/>
              </w:rPr>
              <w:t>Level 5</w:t>
            </w:r>
          </w:p>
        </w:tc>
        <w:tc>
          <w:tcPr>
            <w:tcW w:w="4235" w:type="dxa"/>
          </w:tcPr>
          <w:p w14:paraId="5D8C0962" w14:textId="7813DD61" w:rsidR="00A035C6" w:rsidRDefault="00A035C6" w:rsidP="007A665D">
            <w:pPr>
              <w:pStyle w:val="DHHStablebullet1"/>
            </w:pPr>
            <w:r w:rsidRPr="004B4157">
              <w:rPr>
                <w:rStyle w:val="Strong"/>
              </w:rPr>
              <w:t>Aim:</w:t>
            </w:r>
            <w:r>
              <w:t xml:space="preserve"> Control of paraphiliac sexual behaviour, compulsions and behaviours with almost complete suppression of sexual desire and activity</w:t>
            </w:r>
          </w:p>
          <w:p w14:paraId="6050DB2D" w14:textId="358ABA83" w:rsidR="00A035C6" w:rsidRPr="004B4157" w:rsidRDefault="00A035C6" w:rsidP="007A665D">
            <w:pPr>
              <w:pStyle w:val="DHHStablebullet1"/>
              <w:rPr>
                <w:rStyle w:val="Strong"/>
              </w:rPr>
            </w:pPr>
            <w:r w:rsidRPr="004B4157">
              <w:rPr>
                <w:rStyle w:val="Strong"/>
              </w:rPr>
              <w:t>High</w:t>
            </w:r>
            <w:r>
              <w:rPr>
                <w:rStyle w:val="Strong"/>
              </w:rPr>
              <w:t xml:space="preserve"> </w:t>
            </w:r>
            <w:r w:rsidRPr="004B4157">
              <w:rPr>
                <w:rStyle w:val="Strong"/>
              </w:rPr>
              <w:t>risk</w:t>
            </w:r>
            <w:r>
              <w:rPr>
                <w:rStyle w:val="Strong"/>
              </w:rPr>
              <w:t xml:space="preserve"> </w:t>
            </w:r>
            <w:r w:rsidRPr="004B4157">
              <w:rPr>
                <w:rStyle w:val="Strong"/>
              </w:rPr>
              <w:t>of</w:t>
            </w:r>
            <w:r>
              <w:rPr>
                <w:rStyle w:val="Strong"/>
              </w:rPr>
              <w:t xml:space="preserve"> </w:t>
            </w:r>
            <w:r w:rsidRPr="004B4157">
              <w:rPr>
                <w:rStyle w:val="Strong"/>
              </w:rPr>
              <w:t>sexual</w:t>
            </w:r>
            <w:r>
              <w:rPr>
                <w:rStyle w:val="Strong"/>
              </w:rPr>
              <w:t xml:space="preserve"> </w:t>
            </w:r>
            <w:r w:rsidRPr="004B4157">
              <w:rPr>
                <w:rStyle w:val="Strong"/>
              </w:rPr>
              <w:t>violence</w:t>
            </w:r>
            <w:r>
              <w:rPr>
                <w:rStyle w:val="Strong"/>
              </w:rPr>
              <w:t xml:space="preserve"> </w:t>
            </w:r>
            <w:r w:rsidRPr="004B4157">
              <w:rPr>
                <w:rStyle w:val="Strong"/>
              </w:rPr>
              <w:t>and</w:t>
            </w:r>
            <w:r>
              <w:rPr>
                <w:rStyle w:val="Strong"/>
              </w:rPr>
              <w:t xml:space="preserve"> </w:t>
            </w:r>
            <w:r w:rsidRPr="004B4157">
              <w:rPr>
                <w:rStyle w:val="Strong"/>
              </w:rPr>
              <w:t>severe</w:t>
            </w:r>
            <w:r>
              <w:rPr>
                <w:rStyle w:val="Strong"/>
              </w:rPr>
              <w:t xml:space="preserve"> </w:t>
            </w:r>
            <w:r w:rsidRPr="004B4157">
              <w:rPr>
                <w:rStyle w:val="Strong"/>
              </w:rPr>
              <w:t>paraphilias</w:t>
            </w:r>
          </w:p>
          <w:p w14:paraId="18F540BD" w14:textId="0047BA2D" w:rsidR="00A035C6" w:rsidRDefault="00A035C6" w:rsidP="007A665D">
            <w:pPr>
              <w:pStyle w:val="DHHStablebullet1"/>
            </w:pPr>
            <w:r>
              <w:t>Sexual sadism fantasies and/or behaviour or physical violence</w:t>
            </w:r>
          </w:p>
          <w:p w14:paraId="13C16203" w14:textId="5B95A38D" w:rsidR="00A035C6" w:rsidRPr="004B4157" w:rsidRDefault="00A035C6" w:rsidP="007A665D">
            <w:pPr>
              <w:pStyle w:val="DHHStablebullet1"/>
              <w:rPr>
                <w:rStyle w:val="Strong"/>
              </w:rPr>
            </w:pPr>
            <w:r w:rsidRPr="004B4157">
              <w:rPr>
                <w:rStyle w:val="Strong"/>
              </w:rPr>
              <w:t>No</w:t>
            </w:r>
            <w:r>
              <w:rPr>
                <w:rStyle w:val="Strong"/>
              </w:rPr>
              <w:t xml:space="preserve"> </w:t>
            </w:r>
            <w:r w:rsidRPr="004B4157">
              <w:rPr>
                <w:rStyle w:val="Strong"/>
              </w:rPr>
              <w:t>compliance</w:t>
            </w:r>
            <w:r>
              <w:rPr>
                <w:rStyle w:val="Strong"/>
              </w:rPr>
              <w:t xml:space="preserve"> </w:t>
            </w:r>
            <w:r w:rsidRPr="004B4157">
              <w:rPr>
                <w:rStyle w:val="Strong"/>
              </w:rPr>
              <w:t>at</w:t>
            </w:r>
            <w:r>
              <w:rPr>
                <w:rStyle w:val="Strong"/>
              </w:rPr>
              <w:t xml:space="preserve"> l</w:t>
            </w:r>
            <w:r w:rsidRPr="004B4157">
              <w:rPr>
                <w:rStyle w:val="Strong"/>
              </w:rPr>
              <w:t>evel</w:t>
            </w:r>
            <w:r>
              <w:rPr>
                <w:rStyle w:val="Strong"/>
              </w:rPr>
              <w:t xml:space="preserve"> </w:t>
            </w:r>
            <w:r w:rsidRPr="004B4157">
              <w:rPr>
                <w:rStyle w:val="Strong"/>
              </w:rPr>
              <w:t>4</w:t>
            </w:r>
          </w:p>
          <w:p w14:paraId="7CD9CE46" w14:textId="7CEFC971" w:rsidR="00A035C6" w:rsidRDefault="00A035C6" w:rsidP="007A665D">
            <w:pPr>
              <w:pStyle w:val="DHHStablebullet1"/>
            </w:pPr>
            <w:r w:rsidRPr="004B4157">
              <w:rPr>
                <w:rStyle w:val="Strong"/>
              </w:rPr>
              <w:t>No</w:t>
            </w:r>
            <w:r>
              <w:rPr>
                <w:rStyle w:val="Strong"/>
              </w:rPr>
              <w:t xml:space="preserve"> </w:t>
            </w:r>
            <w:r w:rsidRPr="004B4157">
              <w:rPr>
                <w:rStyle w:val="Strong"/>
              </w:rPr>
              <w:t>satisfactory</w:t>
            </w:r>
            <w:r>
              <w:rPr>
                <w:rStyle w:val="Strong"/>
              </w:rPr>
              <w:t xml:space="preserve"> </w:t>
            </w:r>
            <w:r w:rsidRPr="004B4157">
              <w:rPr>
                <w:rStyle w:val="Strong"/>
              </w:rPr>
              <w:t>results</w:t>
            </w:r>
            <w:r>
              <w:rPr>
                <w:rStyle w:val="Strong"/>
              </w:rPr>
              <w:t xml:space="preserve"> </w:t>
            </w:r>
            <w:r w:rsidRPr="004B4157">
              <w:rPr>
                <w:rStyle w:val="Strong"/>
              </w:rPr>
              <w:t>at</w:t>
            </w:r>
            <w:r>
              <w:rPr>
                <w:rStyle w:val="Strong"/>
              </w:rPr>
              <w:t xml:space="preserve"> l</w:t>
            </w:r>
            <w:r w:rsidRPr="004B4157">
              <w:rPr>
                <w:rStyle w:val="Strong"/>
              </w:rPr>
              <w:t>evel</w:t>
            </w:r>
            <w:r>
              <w:rPr>
                <w:rStyle w:val="Strong"/>
              </w:rPr>
              <w:t xml:space="preserve"> </w:t>
            </w:r>
            <w:r w:rsidRPr="004B4157">
              <w:rPr>
                <w:rStyle w:val="Strong"/>
              </w:rPr>
              <w:t>4</w:t>
            </w:r>
          </w:p>
        </w:tc>
        <w:tc>
          <w:tcPr>
            <w:tcW w:w="3865" w:type="dxa"/>
          </w:tcPr>
          <w:p w14:paraId="4ACB54AE" w14:textId="4ADFC0C7" w:rsidR="00A035C6" w:rsidRDefault="00A035C6" w:rsidP="007A665D">
            <w:pPr>
              <w:pStyle w:val="DHHStablebullet1"/>
            </w:pPr>
            <w:r>
              <w:t>Long</w:t>
            </w:r>
            <w:r w:rsidR="00A758E4">
              <w:t>-</w:t>
            </w:r>
            <w:r>
              <w:t>acting GnRH agonists</w:t>
            </w:r>
          </w:p>
          <w:p w14:paraId="757C7DC9" w14:textId="07EDC2BF" w:rsidR="00A035C6" w:rsidRDefault="00A035C6" w:rsidP="007A665D">
            <w:pPr>
              <w:pStyle w:val="DHHStablebullet1"/>
            </w:pPr>
            <w:r>
              <w:t>Testosterone level measurements may be easily used to control GnRH agonist treatment observance if necessary</w:t>
            </w:r>
          </w:p>
          <w:p w14:paraId="43F27B69" w14:textId="46AE4617" w:rsidR="00A035C6" w:rsidRDefault="00A035C6" w:rsidP="007A665D">
            <w:pPr>
              <w:pStyle w:val="DHHStablebullet1"/>
            </w:pPr>
            <w:r>
              <w:t xml:space="preserve">Cyproterone acetate may be associated with GnRH agonist treatment (one week before and during the first month of GNRHa) to prevent a flare up effect and to control the risk of relapse risk of </w:t>
            </w:r>
            <w:r w:rsidR="00C84854">
              <w:t>inappropriate</w:t>
            </w:r>
            <w:r>
              <w:t xml:space="preserve"> sexual behaviour associated with the flare</w:t>
            </w:r>
            <w:r w:rsidR="00774E0D">
              <w:t>-</w:t>
            </w:r>
            <w:r>
              <w:t>up effect</w:t>
            </w:r>
          </w:p>
        </w:tc>
      </w:tr>
      <w:tr w:rsidR="00A035C6" w14:paraId="1ECE1B37" w14:textId="77777777" w:rsidTr="00CD0313">
        <w:trPr>
          <w:cantSplit/>
          <w:trHeight w:val="60"/>
        </w:trPr>
        <w:tc>
          <w:tcPr>
            <w:tcW w:w="1525" w:type="dxa"/>
          </w:tcPr>
          <w:p w14:paraId="3AA7C22E" w14:textId="18A95CB5" w:rsidR="00A035C6" w:rsidRPr="00A035C6" w:rsidRDefault="00A035C6" w:rsidP="00A035C6">
            <w:pPr>
              <w:pStyle w:val="DHHStabletext"/>
              <w:rPr>
                <w:rStyle w:val="Strong"/>
                <w:b w:val="0"/>
                <w:bCs w:val="0"/>
              </w:rPr>
            </w:pPr>
            <w:r w:rsidRPr="00A035C6">
              <w:rPr>
                <w:b/>
                <w:bCs/>
              </w:rPr>
              <w:t>Level 6</w:t>
            </w:r>
          </w:p>
        </w:tc>
        <w:tc>
          <w:tcPr>
            <w:tcW w:w="4235" w:type="dxa"/>
          </w:tcPr>
          <w:p w14:paraId="3C549823" w14:textId="7D4577EA" w:rsidR="00A035C6" w:rsidRDefault="00A035C6" w:rsidP="007A665D">
            <w:pPr>
              <w:pStyle w:val="DHHStablebullet1"/>
            </w:pPr>
            <w:r w:rsidRPr="004B4157">
              <w:rPr>
                <w:rStyle w:val="Strong"/>
              </w:rPr>
              <w:t>Aim:</w:t>
            </w:r>
            <w:r>
              <w:t xml:space="preserve"> Control of paraphiliac sexual behaviour, compulsions and behaviours with a complete suppression of conventional sexual desire and activity</w:t>
            </w:r>
          </w:p>
          <w:p w14:paraId="145D3CC7" w14:textId="13ECF274" w:rsidR="00A035C6" w:rsidRDefault="00A035C6" w:rsidP="007A665D">
            <w:pPr>
              <w:pStyle w:val="DHHStablebullet1"/>
            </w:pPr>
            <w:r>
              <w:t xml:space="preserve">Most severe paraphilias (catastrophic cases of paraphilia, as operationalised in Bradford 2000, based on </w:t>
            </w:r>
            <w:r w:rsidR="00774E0D" w:rsidRPr="00CA3986">
              <w:rPr>
                <w:i/>
                <w:iCs/>
              </w:rPr>
              <w:t>D</w:t>
            </w:r>
            <w:r w:rsidR="00774E0D" w:rsidRPr="00006D2F">
              <w:rPr>
                <w:i/>
                <w:iCs/>
              </w:rPr>
              <w:t>iagnostic and statistical manual of mental disorders</w:t>
            </w:r>
            <w:r w:rsidR="00774E0D">
              <w:t xml:space="preserve"> </w:t>
            </w:r>
            <w:r>
              <w:t>criteria)</w:t>
            </w:r>
          </w:p>
          <w:p w14:paraId="57F14B66" w14:textId="31213A83" w:rsidR="00A035C6" w:rsidRPr="004B4157" w:rsidRDefault="00A035C6" w:rsidP="007A665D">
            <w:pPr>
              <w:pStyle w:val="DHHStablebullet1"/>
              <w:rPr>
                <w:rStyle w:val="Strong"/>
              </w:rPr>
            </w:pPr>
            <w:r w:rsidRPr="004B4157">
              <w:rPr>
                <w:rStyle w:val="Strong"/>
              </w:rPr>
              <w:t>No</w:t>
            </w:r>
            <w:r>
              <w:rPr>
                <w:rStyle w:val="Strong"/>
              </w:rPr>
              <w:t xml:space="preserve"> </w:t>
            </w:r>
            <w:r w:rsidRPr="004B4157">
              <w:rPr>
                <w:rStyle w:val="Strong"/>
              </w:rPr>
              <w:t>satisfactory</w:t>
            </w:r>
            <w:r>
              <w:rPr>
                <w:rStyle w:val="Strong"/>
              </w:rPr>
              <w:t xml:space="preserve"> </w:t>
            </w:r>
            <w:r w:rsidRPr="004B4157">
              <w:rPr>
                <w:rStyle w:val="Strong"/>
              </w:rPr>
              <w:t>results</w:t>
            </w:r>
            <w:r>
              <w:rPr>
                <w:rStyle w:val="Strong"/>
              </w:rPr>
              <w:t xml:space="preserve"> </w:t>
            </w:r>
            <w:r w:rsidRPr="004B4157">
              <w:rPr>
                <w:rStyle w:val="Strong"/>
              </w:rPr>
              <w:t>at</w:t>
            </w:r>
            <w:r>
              <w:rPr>
                <w:rStyle w:val="Strong"/>
              </w:rPr>
              <w:t xml:space="preserve"> l</w:t>
            </w:r>
            <w:r w:rsidRPr="004B4157">
              <w:rPr>
                <w:rStyle w:val="Strong"/>
              </w:rPr>
              <w:t>evel</w:t>
            </w:r>
            <w:r>
              <w:rPr>
                <w:rStyle w:val="Strong"/>
              </w:rPr>
              <w:t xml:space="preserve"> </w:t>
            </w:r>
            <w:r w:rsidRPr="004B4157">
              <w:rPr>
                <w:rStyle w:val="Strong"/>
              </w:rPr>
              <w:t>5</w:t>
            </w:r>
          </w:p>
        </w:tc>
        <w:tc>
          <w:tcPr>
            <w:tcW w:w="3865" w:type="dxa"/>
          </w:tcPr>
          <w:p w14:paraId="5EE66F3B" w14:textId="703D2845" w:rsidR="00A035C6" w:rsidRDefault="00A035C6" w:rsidP="007A665D">
            <w:pPr>
              <w:pStyle w:val="DHHStablebullet1"/>
            </w:pPr>
            <w:r>
              <w:t xml:space="preserve">Cyproterone acetate (50–200 mg/day </w:t>
            </w:r>
            <w:r w:rsidR="00774E0D">
              <w:t>orally</w:t>
            </w:r>
            <w:r>
              <w:t xml:space="preserve"> or 200–400 mg once weekly or every 2 weeks IM; alternatively, medrox</w:t>
            </w:r>
            <w:r w:rsidR="00774E0D">
              <w:t>y</w:t>
            </w:r>
            <w:r>
              <w:t>progesterone acetate (300–500 mg/week if cyproterone acetate not available) in addition to GnRH agonists</w:t>
            </w:r>
          </w:p>
          <w:p w14:paraId="494608D8" w14:textId="4C83B982" w:rsidR="00A035C6" w:rsidRDefault="00A035C6" w:rsidP="007A665D">
            <w:pPr>
              <w:pStyle w:val="DHHStablebullet1"/>
            </w:pPr>
            <w:r>
              <w:t>SSRIs may also be added (although it is noted that there is no level of evidence available on their efficacy at this level</w:t>
            </w:r>
            <w:r w:rsidR="00774E0D">
              <w:t>)</w:t>
            </w:r>
          </w:p>
        </w:tc>
      </w:tr>
    </w:tbl>
    <w:p w14:paraId="3DA252EC" w14:textId="5DFC9E9B" w:rsidR="00774E0D" w:rsidRPr="00CD0313" w:rsidRDefault="00774E0D" w:rsidP="00CD0313">
      <w:pPr>
        <w:pStyle w:val="DHHStablefigurenote"/>
      </w:pPr>
      <w:r w:rsidRPr="00CD0313">
        <w:t>IM = intramuscular</w:t>
      </w:r>
    </w:p>
    <w:p w14:paraId="14FCEC07" w14:textId="5DE1B3F9" w:rsidR="00A758E4" w:rsidRPr="00CD0313" w:rsidRDefault="00774E0D" w:rsidP="00CD0313">
      <w:pPr>
        <w:pStyle w:val="DHHStablefigurenote"/>
      </w:pPr>
      <w:r w:rsidRPr="00CD0313">
        <w:t>Adapted from</w:t>
      </w:r>
      <w:r w:rsidR="006554F9" w:rsidRPr="00CD0313">
        <w:t xml:space="preserve"> Thibaut et al. 2010</w:t>
      </w:r>
    </w:p>
    <w:p w14:paraId="0EC31D57" w14:textId="5F8B56D9" w:rsidR="004946F1" w:rsidRDefault="004946F1" w:rsidP="00B87022">
      <w:pPr>
        <w:pStyle w:val="DHHSbodyaftertablefigure"/>
        <w:spacing w:after="240"/>
      </w:pPr>
      <w:r>
        <w:t>The</w:t>
      </w:r>
      <w:r w:rsidR="001A1F90">
        <w:t xml:space="preserve"> </w:t>
      </w:r>
      <w:r>
        <w:t>WFSBP</w:t>
      </w:r>
      <w:r w:rsidR="001A1F90">
        <w:t xml:space="preserve"> </w:t>
      </w:r>
      <w:r>
        <w:t>guidelines</w:t>
      </w:r>
      <w:r w:rsidR="001A1F90">
        <w:t xml:space="preserve"> </w:t>
      </w:r>
      <w:r>
        <w:t>also</w:t>
      </w:r>
      <w:r w:rsidR="001A1F90">
        <w:t xml:space="preserve"> </w:t>
      </w:r>
      <w:r>
        <w:t>stipulate</w:t>
      </w:r>
      <w:r w:rsidR="001A1F90">
        <w:t xml:space="preserve"> </w:t>
      </w:r>
      <w:r>
        <w:t>details</w:t>
      </w:r>
      <w:r w:rsidR="001A1F90">
        <w:t xml:space="preserve"> </w:t>
      </w:r>
      <w:r>
        <w:t>of</w:t>
      </w:r>
      <w:r w:rsidR="001A1F90">
        <w:t xml:space="preserve"> </w:t>
      </w:r>
      <w:r>
        <w:t>a</w:t>
      </w:r>
      <w:r w:rsidR="001A1F90">
        <w:t xml:space="preserve"> </w:t>
      </w:r>
      <w:r>
        <w:t>medical</w:t>
      </w:r>
      <w:r w:rsidR="001A1F90">
        <w:t xml:space="preserve"> </w:t>
      </w:r>
      <w:r>
        <w:t>review</w:t>
      </w:r>
      <w:r w:rsidR="001A1F90">
        <w:t xml:space="preserve"> </w:t>
      </w:r>
      <w:r>
        <w:t>process</w:t>
      </w:r>
      <w:r w:rsidR="001A1F90">
        <w:t xml:space="preserve"> </w:t>
      </w:r>
      <w:r>
        <w:t>that</w:t>
      </w:r>
      <w:r w:rsidR="001A1F90">
        <w:t xml:space="preserve"> </w:t>
      </w:r>
      <w:r>
        <w:t>should</w:t>
      </w:r>
      <w:r w:rsidR="001A1F90">
        <w:t xml:space="preserve"> </w:t>
      </w:r>
      <w:r>
        <w:t>be</w:t>
      </w:r>
      <w:r w:rsidR="001A1F90">
        <w:t xml:space="preserve"> </w:t>
      </w:r>
      <w:r>
        <w:t>used</w:t>
      </w:r>
      <w:r w:rsidR="001A1F90">
        <w:t xml:space="preserve"> </w:t>
      </w:r>
      <w:r>
        <w:t>on</w:t>
      </w:r>
      <w:r w:rsidR="001A1F90">
        <w:t xml:space="preserve"> </w:t>
      </w:r>
      <w:r>
        <w:t>a</w:t>
      </w:r>
      <w:r w:rsidR="001A1F90">
        <w:t xml:space="preserve"> </w:t>
      </w:r>
      <w:r>
        <w:t>strict</w:t>
      </w:r>
      <w:r w:rsidR="001A1F90">
        <w:t xml:space="preserve"> </w:t>
      </w:r>
      <w:r>
        <w:t>basis</w:t>
      </w:r>
      <w:r w:rsidR="001A1F90">
        <w:t xml:space="preserve"> </w:t>
      </w:r>
      <w:r>
        <w:t>with</w:t>
      </w:r>
      <w:r w:rsidR="001A1F90">
        <w:t xml:space="preserve"> </w:t>
      </w:r>
      <w:r>
        <w:t>all</w:t>
      </w:r>
      <w:r w:rsidR="001A1F90">
        <w:t xml:space="preserve"> </w:t>
      </w:r>
      <w:r>
        <w:t>those</w:t>
      </w:r>
      <w:r w:rsidR="001A1F90">
        <w:t xml:space="preserve"> </w:t>
      </w:r>
      <w:r>
        <w:t>on</w:t>
      </w:r>
      <w:r w:rsidR="001A1F90">
        <w:t xml:space="preserve"> </w:t>
      </w:r>
      <w:r>
        <w:t>anti-libidinal</w:t>
      </w:r>
      <w:r w:rsidR="001A1F90">
        <w:t xml:space="preserve"> </w:t>
      </w:r>
      <w:r>
        <w:t>medications</w:t>
      </w:r>
      <w:r w:rsidR="00774E0D">
        <w:t xml:space="preserve"> (Table 2)</w:t>
      </w:r>
      <w:r>
        <w:t>.</w:t>
      </w:r>
      <w:r w:rsidR="001A1F90">
        <w:t xml:space="preserve"> </w:t>
      </w:r>
      <w:r>
        <w:t>Bradford</w:t>
      </w:r>
      <w:r w:rsidR="001A1F90">
        <w:t xml:space="preserve"> </w:t>
      </w:r>
      <w:r>
        <w:t>(2000,</w:t>
      </w:r>
      <w:r w:rsidR="001A1F90">
        <w:t xml:space="preserve"> </w:t>
      </w:r>
      <w:r>
        <w:t>p.</w:t>
      </w:r>
      <w:r w:rsidR="00301CA9">
        <w:t xml:space="preserve"> </w:t>
      </w:r>
      <w:r>
        <w:t>251)</w:t>
      </w:r>
      <w:r w:rsidR="001A1F90">
        <w:t xml:space="preserve"> </w:t>
      </w:r>
      <w:r>
        <w:t>also</w:t>
      </w:r>
      <w:r w:rsidR="001A1F90">
        <w:t xml:space="preserve"> </w:t>
      </w:r>
      <w:r>
        <w:t>notes</w:t>
      </w:r>
      <w:r w:rsidR="001A1F90">
        <w:t xml:space="preserve"> </w:t>
      </w:r>
      <w:r>
        <w:t>that</w:t>
      </w:r>
      <w:r w:rsidR="001A1F90">
        <w:t xml:space="preserve"> </w:t>
      </w:r>
      <w:r>
        <w:t>the</w:t>
      </w:r>
      <w:r w:rsidR="001A1F90">
        <w:t xml:space="preserve"> </w:t>
      </w:r>
      <w:r>
        <w:t>treatment</w:t>
      </w:r>
      <w:r w:rsidR="001A1F90">
        <w:t xml:space="preserve"> </w:t>
      </w:r>
      <w:r>
        <w:t>regime</w:t>
      </w:r>
      <w:r w:rsidR="00774E0D">
        <w:t>n</w:t>
      </w:r>
      <w:r w:rsidR="001A1F90">
        <w:t xml:space="preserve"> </w:t>
      </w:r>
      <w:r>
        <w:t>proposed</w:t>
      </w:r>
      <w:r w:rsidR="001A1F90">
        <w:t xml:space="preserve"> </w:t>
      </w:r>
      <w:r>
        <w:t>in</w:t>
      </w:r>
      <w:r w:rsidR="001A1F90">
        <w:t xml:space="preserve"> </w:t>
      </w:r>
      <w:r>
        <w:t>the</w:t>
      </w:r>
      <w:r w:rsidR="001A1F90">
        <w:t xml:space="preserve"> </w:t>
      </w:r>
      <w:r>
        <w:t>algorithm</w:t>
      </w:r>
      <w:r w:rsidR="001A1F90">
        <w:t xml:space="preserve"> </w:t>
      </w:r>
      <w:r>
        <w:t>should</w:t>
      </w:r>
      <w:r w:rsidR="001A1F90">
        <w:t xml:space="preserve"> </w:t>
      </w:r>
      <w:r>
        <w:t>only</w:t>
      </w:r>
      <w:r w:rsidR="001A1F90">
        <w:t xml:space="preserve"> </w:t>
      </w:r>
      <w:r>
        <w:t>be</w:t>
      </w:r>
      <w:r w:rsidR="001A1F90">
        <w:t xml:space="preserve"> </w:t>
      </w:r>
      <w:r>
        <w:t>used</w:t>
      </w:r>
      <w:r w:rsidR="001A1F90">
        <w:t xml:space="preserve"> </w:t>
      </w:r>
      <w:r>
        <w:t>with</w:t>
      </w:r>
      <w:r w:rsidR="001A1F90">
        <w:t xml:space="preserve"> </w:t>
      </w:r>
      <w:r>
        <w:t>a</w:t>
      </w:r>
      <w:r w:rsidR="001A1F90">
        <w:t xml:space="preserve"> </w:t>
      </w:r>
      <w:r>
        <w:t>full</w:t>
      </w:r>
      <w:r w:rsidR="001A1F90">
        <w:t xml:space="preserve"> </w:t>
      </w:r>
      <w:r>
        <w:t>understanding</w:t>
      </w:r>
      <w:r w:rsidR="001A1F90">
        <w:t xml:space="preserve"> </w:t>
      </w:r>
      <w:r>
        <w:t>of</w:t>
      </w:r>
      <w:r w:rsidR="001A1F90">
        <w:t xml:space="preserve"> </w:t>
      </w:r>
      <w:r>
        <w:t>the</w:t>
      </w:r>
      <w:r w:rsidR="001A1F90">
        <w:t xml:space="preserve"> </w:t>
      </w:r>
      <w:r>
        <w:t>pharmacology</w:t>
      </w:r>
      <w:r w:rsidR="001A1F90">
        <w:t xml:space="preserve"> </w:t>
      </w:r>
      <w:r>
        <w:t>of</w:t>
      </w:r>
      <w:r w:rsidR="001A1F90">
        <w:t xml:space="preserve"> </w:t>
      </w:r>
      <w:r>
        <w:t>the</w:t>
      </w:r>
      <w:r w:rsidR="001A1F90">
        <w:t xml:space="preserve"> </w:t>
      </w:r>
      <w:r>
        <w:t>medications.</w:t>
      </w:r>
    </w:p>
    <w:p w14:paraId="27A5E69E" w14:textId="77777777" w:rsidR="00CD0313" w:rsidRPr="00CD0313" w:rsidRDefault="00CD0313" w:rsidP="00CD0313">
      <w:pPr>
        <w:pStyle w:val="DHHSbody"/>
      </w:pPr>
      <w:r w:rsidRPr="00CD0313">
        <w:br w:type="page"/>
      </w:r>
    </w:p>
    <w:p w14:paraId="067964FC" w14:textId="0929E795" w:rsidR="00F550F1" w:rsidRPr="0016163D" w:rsidRDefault="00F550F1" w:rsidP="00CA3986">
      <w:pPr>
        <w:pStyle w:val="DHHStablecaption"/>
      </w:pPr>
      <w:r>
        <w:t xml:space="preserve">Table 2: </w:t>
      </w:r>
      <w:r w:rsidR="00A758E4">
        <w:t>Medical review process for anti-libidinal medications</w:t>
      </w:r>
    </w:p>
    <w:tbl>
      <w:tblPr>
        <w:tblStyle w:val="TableGrid"/>
        <w:tblW w:w="9625" w:type="dxa"/>
        <w:tblLayout w:type="fixed"/>
        <w:tblLook w:val="06A0" w:firstRow="1" w:lastRow="0" w:firstColumn="1" w:lastColumn="0" w:noHBand="1" w:noVBand="1"/>
      </w:tblPr>
      <w:tblGrid>
        <w:gridCol w:w="2593"/>
        <w:gridCol w:w="7032"/>
      </w:tblGrid>
      <w:tr w:rsidR="004946F1" w14:paraId="33BF3554" w14:textId="77777777" w:rsidTr="00A758E4">
        <w:trPr>
          <w:cnfStyle w:val="100000000000" w:firstRow="1" w:lastRow="0" w:firstColumn="0" w:lastColumn="0" w:oddVBand="0" w:evenVBand="0" w:oddHBand="0" w:evenHBand="0" w:firstRowFirstColumn="0" w:firstRowLastColumn="0" w:lastRowFirstColumn="0" w:lastRowLastColumn="0"/>
          <w:trHeight w:val="60"/>
          <w:tblHeader/>
        </w:trPr>
        <w:tc>
          <w:tcPr>
            <w:tcW w:w="2593" w:type="dxa"/>
          </w:tcPr>
          <w:p w14:paraId="0C43431B" w14:textId="77777777" w:rsidR="004946F1" w:rsidRDefault="004946F1" w:rsidP="00BD612C">
            <w:pPr>
              <w:pStyle w:val="DHHStablecolhead"/>
            </w:pPr>
            <w:r>
              <w:t>Timeframe</w:t>
            </w:r>
          </w:p>
        </w:tc>
        <w:tc>
          <w:tcPr>
            <w:tcW w:w="7032" w:type="dxa"/>
          </w:tcPr>
          <w:p w14:paraId="0B721C95" w14:textId="1F3E7375" w:rsidR="004946F1" w:rsidRDefault="004946F1" w:rsidP="00BD612C">
            <w:pPr>
              <w:pStyle w:val="DHHStablecolhead"/>
            </w:pPr>
            <w:r>
              <w:t>Medical</w:t>
            </w:r>
            <w:r w:rsidR="001A1F90">
              <w:t xml:space="preserve"> </w:t>
            </w:r>
            <w:r>
              <w:t>review</w:t>
            </w:r>
          </w:p>
        </w:tc>
      </w:tr>
      <w:tr w:rsidR="004946F1" w14:paraId="1ECE925A" w14:textId="77777777" w:rsidTr="00A758E4">
        <w:trPr>
          <w:trHeight w:val="60"/>
        </w:trPr>
        <w:tc>
          <w:tcPr>
            <w:tcW w:w="2593" w:type="dxa"/>
          </w:tcPr>
          <w:p w14:paraId="496DB001" w14:textId="33629A69" w:rsidR="004946F1" w:rsidRDefault="004946F1" w:rsidP="00BD612C">
            <w:pPr>
              <w:pStyle w:val="DHHStabletext"/>
            </w:pPr>
            <w:r>
              <w:t>Every</w:t>
            </w:r>
            <w:r w:rsidR="001A1F90">
              <w:t xml:space="preserve"> </w:t>
            </w:r>
            <w:r>
              <w:t>1–3</w:t>
            </w:r>
            <w:r w:rsidR="001A1F90">
              <w:t xml:space="preserve"> </w:t>
            </w:r>
            <w:r>
              <w:t>months</w:t>
            </w:r>
          </w:p>
        </w:tc>
        <w:tc>
          <w:tcPr>
            <w:tcW w:w="7032" w:type="dxa"/>
          </w:tcPr>
          <w:p w14:paraId="10060410" w14:textId="5A61D627" w:rsidR="004946F1" w:rsidRDefault="004946F1" w:rsidP="007A665D">
            <w:pPr>
              <w:pStyle w:val="DHHStablebullet1"/>
            </w:pPr>
            <w:r>
              <w:t>Paraphiliac</w:t>
            </w:r>
            <w:r w:rsidR="001A1F90">
              <w:t xml:space="preserve"> </w:t>
            </w:r>
            <w:r>
              <w:t>and</w:t>
            </w:r>
            <w:r w:rsidR="001A1F90">
              <w:t xml:space="preserve"> </w:t>
            </w:r>
            <w:r>
              <w:t>non-paraphiliac</w:t>
            </w:r>
            <w:r w:rsidR="001A1F90">
              <w:t xml:space="preserve"> </w:t>
            </w:r>
            <w:r>
              <w:t>sexual</w:t>
            </w:r>
            <w:r w:rsidR="001A1F90">
              <w:t xml:space="preserve"> </w:t>
            </w:r>
            <w:r>
              <w:t>activity</w:t>
            </w:r>
            <w:r w:rsidR="001A1F90">
              <w:t xml:space="preserve"> </w:t>
            </w:r>
            <w:r>
              <w:t>and</w:t>
            </w:r>
            <w:r w:rsidR="001A1F90">
              <w:t xml:space="preserve"> </w:t>
            </w:r>
            <w:r>
              <w:t>fantasies</w:t>
            </w:r>
            <w:r w:rsidR="001A1F90">
              <w:t xml:space="preserve"> </w:t>
            </w:r>
            <w:r>
              <w:t>(nature,</w:t>
            </w:r>
            <w:r w:rsidR="001A1F90">
              <w:t xml:space="preserve"> </w:t>
            </w:r>
            <w:r>
              <w:t>intensity</w:t>
            </w:r>
            <w:r w:rsidR="001A1F90">
              <w:t xml:space="preserve"> </w:t>
            </w:r>
            <w:r>
              <w:t>and</w:t>
            </w:r>
            <w:r w:rsidR="001A1F90">
              <w:t xml:space="preserve"> </w:t>
            </w:r>
            <w:r>
              <w:t>frequency)</w:t>
            </w:r>
          </w:p>
          <w:p w14:paraId="51D68A4A" w14:textId="77E475B2" w:rsidR="004946F1" w:rsidRDefault="004946F1" w:rsidP="007A665D">
            <w:pPr>
              <w:pStyle w:val="DHHStablebullet1"/>
            </w:pPr>
            <w:r>
              <w:t>Risk</w:t>
            </w:r>
            <w:r w:rsidR="001A1F90">
              <w:t xml:space="preserve"> </w:t>
            </w:r>
            <w:r>
              <w:t>of</w:t>
            </w:r>
            <w:r w:rsidR="001A1F90">
              <w:t xml:space="preserve"> </w:t>
            </w:r>
            <w:r>
              <w:t>sexual</w:t>
            </w:r>
            <w:r w:rsidR="001A1F90">
              <w:t xml:space="preserve"> </w:t>
            </w:r>
            <w:r>
              <w:t>offending</w:t>
            </w:r>
          </w:p>
          <w:p w14:paraId="2E8426BB" w14:textId="41364DD2" w:rsidR="004946F1" w:rsidRDefault="004946F1" w:rsidP="007A665D">
            <w:pPr>
              <w:pStyle w:val="DHHStablebullet1"/>
            </w:pPr>
            <w:r>
              <w:t>Through</w:t>
            </w:r>
            <w:r w:rsidR="001A1F90">
              <w:t xml:space="preserve"> </w:t>
            </w:r>
            <w:r>
              <w:t>self-reports</w:t>
            </w:r>
            <w:r w:rsidR="001A1F90">
              <w:t xml:space="preserve"> </w:t>
            </w:r>
            <w:r>
              <w:t>of</w:t>
            </w:r>
            <w:r w:rsidR="001A1F90">
              <w:t xml:space="preserve"> </w:t>
            </w:r>
            <w:r>
              <w:t>the</w:t>
            </w:r>
            <w:r w:rsidR="001A1F90">
              <w:t xml:space="preserve"> </w:t>
            </w:r>
            <w:r>
              <w:t>patient</w:t>
            </w:r>
          </w:p>
        </w:tc>
      </w:tr>
      <w:tr w:rsidR="004946F1" w14:paraId="7B087670" w14:textId="77777777" w:rsidTr="00A758E4">
        <w:trPr>
          <w:trHeight w:val="60"/>
        </w:trPr>
        <w:tc>
          <w:tcPr>
            <w:tcW w:w="2593" w:type="dxa"/>
          </w:tcPr>
          <w:p w14:paraId="75D145EF" w14:textId="563FC278" w:rsidR="004946F1" w:rsidRDefault="004946F1" w:rsidP="00BD612C">
            <w:pPr>
              <w:pStyle w:val="DHHStabletext"/>
            </w:pPr>
            <w:r>
              <w:t>Every</w:t>
            </w:r>
            <w:r w:rsidR="001A1F90">
              <w:t xml:space="preserve"> </w:t>
            </w:r>
            <w:r>
              <w:t>3–6</w:t>
            </w:r>
            <w:r w:rsidR="001A1F90">
              <w:t xml:space="preserve"> </w:t>
            </w:r>
            <w:r>
              <w:t>months</w:t>
            </w:r>
          </w:p>
        </w:tc>
        <w:tc>
          <w:tcPr>
            <w:tcW w:w="7032" w:type="dxa"/>
          </w:tcPr>
          <w:p w14:paraId="7874C759" w14:textId="132690C1" w:rsidR="004946F1" w:rsidRDefault="004946F1" w:rsidP="007A665D">
            <w:pPr>
              <w:pStyle w:val="DHHStablebullet1"/>
            </w:pPr>
            <w:r>
              <w:t>Blood</w:t>
            </w:r>
            <w:r w:rsidR="001A1F90">
              <w:t xml:space="preserve"> </w:t>
            </w:r>
            <w:r>
              <w:t>pressure</w:t>
            </w:r>
          </w:p>
          <w:p w14:paraId="3310A655" w14:textId="4C2A6BB5" w:rsidR="004946F1" w:rsidRDefault="004946F1" w:rsidP="007A665D">
            <w:pPr>
              <w:pStyle w:val="DHHStablebullet1"/>
            </w:pPr>
            <w:r>
              <w:t>Weight</w:t>
            </w:r>
          </w:p>
          <w:p w14:paraId="20C9CE3E" w14:textId="002BE108" w:rsidR="004946F1" w:rsidRDefault="004946F1" w:rsidP="007A665D">
            <w:pPr>
              <w:pStyle w:val="DHHStablebullet1"/>
            </w:pPr>
            <w:r>
              <w:t>Depression</w:t>
            </w:r>
            <w:r w:rsidR="001A1F90">
              <w:t xml:space="preserve"> </w:t>
            </w:r>
            <w:r>
              <w:t>and</w:t>
            </w:r>
            <w:r w:rsidR="001A1F90">
              <w:t xml:space="preserve"> </w:t>
            </w:r>
            <w:r>
              <w:t>emotional</w:t>
            </w:r>
            <w:r w:rsidR="001A1F90">
              <w:t xml:space="preserve"> </w:t>
            </w:r>
            <w:r>
              <w:t>disturbances</w:t>
            </w:r>
          </w:p>
          <w:p w14:paraId="78F9DF4F" w14:textId="0F58AAF3" w:rsidR="004946F1" w:rsidRDefault="004946F1" w:rsidP="007A665D">
            <w:pPr>
              <w:pStyle w:val="DHHStablebullet1"/>
            </w:pPr>
            <w:r>
              <w:t>Risk</w:t>
            </w:r>
            <w:r w:rsidR="001A1F90">
              <w:t xml:space="preserve"> </w:t>
            </w:r>
            <w:r>
              <w:t>of</w:t>
            </w:r>
            <w:r w:rsidR="001A1F90">
              <w:t xml:space="preserve"> </w:t>
            </w:r>
            <w:r>
              <w:t>feminisation</w:t>
            </w:r>
          </w:p>
          <w:p w14:paraId="24F8E225" w14:textId="1D0922ED" w:rsidR="004946F1" w:rsidRDefault="004946F1" w:rsidP="007A665D">
            <w:pPr>
              <w:pStyle w:val="DHHStablebullet1"/>
            </w:pPr>
            <w:r>
              <w:t>Add</w:t>
            </w:r>
            <w:r w:rsidR="001A1F90">
              <w:t xml:space="preserve"> </w:t>
            </w:r>
            <w:r>
              <w:t>blood</w:t>
            </w:r>
            <w:r w:rsidR="001A1F90">
              <w:t xml:space="preserve"> </w:t>
            </w:r>
            <w:r>
              <w:t>cell</w:t>
            </w:r>
            <w:r w:rsidR="001A1F90">
              <w:t xml:space="preserve"> </w:t>
            </w:r>
            <w:r>
              <w:t>counts,</w:t>
            </w:r>
            <w:r w:rsidR="001A1F90">
              <w:t xml:space="preserve"> </w:t>
            </w:r>
            <w:r>
              <w:t>hepatocellular</w:t>
            </w:r>
            <w:r w:rsidR="001A1F90">
              <w:t xml:space="preserve"> </w:t>
            </w:r>
            <w:r>
              <w:t>function</w:t>
            </w:r>
            <w:r w:rsidR="001A1F90">
              <w:t xml:space="preserve"> </w:t>
            </w:r>
            <w:r>
              <w:t>if</w:t>
            </w:r>
            <w:r w:rsidR="001A1F90">
              <w:t xml:space="preserve"> </w:t>
            </w:r>
            <w:r w:rsidR="002B53B9">
              <w:t>c</w:t>
            </w:r>
            <w:r>
              <w:t>yproterone</w:t>
            </w:r>
            <w:r w:rsidR="001A1F90">
              <w:t xml:space="preserve"> </w:t>
            </w:r>
            <w:r w:rsidR="002B53B9">
              <w:t>a</w:t>
            </w:r>
            <w:r>
              <w:t>cetate</w:t>
            </w:r>
            <w:r w:rsidR="001A1F90">
              <w:t xml:space="preserve"> </w:t>
            </w:r>
            <w:r>
              <w:t>used</w:t>
            </w:r>
          </w:p>
        </w:tc>
      </w:tr>
      <w:tr w:rsidR="004946F1" w14:paraId="6D7FD3B3" w14:textId="77777777" w:rsidTr="00A758E4">
        <w:trPr>
          <w:trHeight w:val="60"/>
        </w:trPr>
        <w:tc>
          <w:tcPr>
            <w:tcW w:w="2593" w:type="dxa"/>
          </w:tcPr>
          <w:p w14:paraId="0EB48E18" w14:textId="06307F89" w:rsidR="004946F1" w:rsidRDefault="004946F1" w:rsidP="00BD612C">
            <w:pPr>
              <w:pStyle w:val="DHHStabletext"/>
            </w:pPr>
            <w:r>
              <w:t>Every</w:t>
            </w:r>
            <w:r w:rsidR="001A1F90">
              <w:t xml:space="preserve"> </w:t>
            </w:r>
            <w:r>
              <w:t>6</w:t>
            </w:r>
            <w:r w:rsidR="001A1F90">
              <w:t xml:space="preserve"> </w:t>
            </w:r>
            <w:r>
              <w:t>months</w:t>
            </w:r>
            <w:r w:rsidR="001A1F90">
              <w:t xml:space="preserve"> </w:t>
            </w:r>
          </w:p>
        </w:tc>
        <w:tc>
          <w:tcPr>
            <w:tcW w:w="7032" w:type="dxa"/>
          </w:tcPr>
          <w:p w14:paraId="3FBBD54F" w14:textId="387BCA25" w:rsidR="004946F1" w:rsidRDefault="004946F1" w:rsidP="007A665D">
            <w:pPr>
              <w:pStyle w:val="DHHStablebullet1"/>
            </w:pPr>
            <w:r>
              <w:t>Fasting</w:t>
            </w:r>
            <w:r w:rsidR="001A1F90">
              <w:t xml:space="preserve"> </w:t>
            </w:r>
            <w:r>
              <w:t>blood</w:t>
            </w:r>
            <w:r w:rsidR="001A1F90">
              <w:t xml:space="preserve"> </w:t>
            </w:r>
            <w:r>
              <w:t>glucose</w:t>
            </w:r>
            <w:r w:rsidR="001A1F90">
              <w:t xml:space="preserve"> </w:t>
            </w:r>
            <w:r>
              <w:t>levels</w:t>
            </w:r>
          </w:p>
          <w:p w14:paraId="23F30015" w14:textId="1C3807F0" w:rsidR="004946F1" w:rsidRDefault="004946F1" w:rsidP="007A665D">
            <w:pPr>
              <w:pStyle w:val="DHHStablebullet1"/>
            </w:pPr>
            <w:r>
              <w:t>Lipid</w:t>
            </w:r>
            <w:r w:rsidR="001A1F90">
              <w:t xml:space="preserve"> </w:t>
            </w:r>
            <w:r>
              <w:t>profile</w:t>
            </w:r>
          </w:p>
          <w:p w14:paraId="3C56EAF0" w14:textId="716D5C9B" w:rsidR="004946F1" w:rsidRDefault="004946F1" w:rsidP="007A665D">
            <w:pPr>
              <w:pStyle w:val="DHHStablebullet1"/>
            </w:pPr>
            <w:r>
              <w:t>Calcium</w:t>
            </w:r>
            <w:r w:rsidR="001A1F90">
              <w:t xml:space="preserve"> </w:t>
            </w:r>
            <w:r>
              <w:t>and</w:t>
            </w:r>
            <w:r w:rsidR="001A1F90">
              <w:t xml:space="preserve"> </w:t>
            </w:r>
            <w:r>
              <w:t>phosphate</w:t>
            </w:r>
            <w:r w:rsidR="001A1F90">
              <w:t xml:space="preserve"> </w:t>
            </w:r>
            <w:r>
              <w:t>levels</w:t>
            </w:r>
            <w:r w:rsidR="001A1F90">
              <w:t xml:space="preserve"> </w:t>
            </w:r>
            <w:r>
              <w:t>controlled</w:t>
            </w:r>
          </w:p>
        </w:tc>
      </w:tr>
      <w:tr w:rsidR="004946F1" w14:paraId="29E564A0" w14:textId="77777777" w:rsidTr="00A758E4">
        <w:trPr>
          <w:trHeight w:val="60"/>
        </w:trPr>
        <w:tc>
          <w:tcPr>
            <w:tcW w:w="2593" w:type="dxa"/>
          </w:tcPr>
          <w:p w14:paraId="5BE9640D" w14:textId="4898A173" w:rsidR="004946F1" w:rsidRDefault="004946F1" w:rsidP="00BD612C">
            <w:pPr>
              <w:pStyle w:val="DHHStabletext"/>
            </w:pPr>
            <w:r>
              <w:t>Every</w:t>
            </w:r>
            <w:r w:rsidR="001A1F90">
              <w:t xml:space="preserve"> </w:t>
            </w:r>
            <w:r>
              <w:t>24</w:t>
            </w:r>
            <w:r w:rsidR="001A1F90">
              <w:t xml:space="preserve"> </w:t>
            </w:r>
            <w:r>
              <w:t>months</w:t>
            </w:r>
            <w:r w:rsidR="001A1F90">
              <w:t xml:space="preserve"> </w:t>
            </w:r>
            <w:r>
              <w:t>(or</w:t>
            </w:r>
            <w:r w:rsidR="001A1F90">
              <w:t xml:space="preserve"> </w:t>
            </w:r>
            <w:r>
              <w:t>annually</w:t>
            </w:r>
            <w:r w:rsidR="001A1F90">
              <w:t xml:space="preserve"> </w:t>
            </w:r>
            <w:r>
              <w:t>if</w:t>
            </w:r>
            <w:r w:rsidR="001A1F90">
              <w:t xml:space="preserve"> </w:t>
            </w:r>
            <w:r>
              <w:t>at</w:t>
            </w:r>
            <w:r w:rsidR="001A1F90">
              <w:t xml:space="preserve"> </w:t>
            </w:r>
            <w:r>
              <w:t>increased</w:t>
            </w:r>
            <w:r w:rsidR="001A1F90">
              <w:t xml:space="preserve"> </w:t>
            </w:r>
            <w:r>
              <w:t>risk</w:t>
            </w:r>
            <w:r w:rsidR="001A1F90">
              <w:t xml:space="preserve"> </w:t>
            </w:r>
            <w:r>
              <w:t>of</w:t>
            </w:r>
            <w:r w:rsidR="001A1F90">
              <w:t xml:space="preserve"> </w:t>
            </w:r>
            <w:r>
              <w:t>osteoporosis</w:t>
            </w:r>
            <w:r w:rsidR="001A1F90">
              <w:t xml:space="preserve"> </w:t>
            </w:r>
            <w:r>
              <w:t>or</w:t>
            </w:r>
            <w:r w:rsidR="001A1F90">
              <w:t xml:space="preserve"> </w:t>
            </w:r>
            <w:r>
              <w:t>if</w:t>
            </w:r>
            <w:r w:rsidR="001A1F90">
              <w:t xml:space="preserve"> </w:t>
            </w:r>
            <w:r>
              <w:t>aged</w:t>
            </w:r>
            <w:r w:rsidR="001A1F90">
              <w:t xml:space="preserve"> </w:t>
            </w:r>
            <w:r w:rsidR="00B23074">
              <w:t>over</w:t>
            </w:r>
            <w:r w:rsidR="00CB48A3">
              <w:t xml:space="preserve"> </w:t>
            </w:r>
            <w:r>
              <w:t>50</w:t>
            </w:r>
            <w:r w:rsidR="00CB48A3">
              <w:t xml:space="preserve"> </w:t>
            </w:r>
            <w:r>
              <w:t>y</w:t>
            </w:r>
            <w:r w:rsidR="00CB48A3">
              <w:t>ea</w:t>
            </w:r>
            <w:r>
              <w:t>rs)</w:t>
            </w:r>
            <w:r w:rsidR="001A1F90">
              <w:t xml:space="preserve"> </w:t>
            </w:r>
          </w:p>
        </w:tc>
        <w:tc>
          <w:tcPr>
            <w:tcW w:w="7032" w:type="dxa"/>
          </w:tcPr>
          <w:p w14:paraId="23B02176" w14:textId="6CAF0840" w:rsidR="004946F1" w:rsidRDefault="004946F1" w:rsidP="007A665D">
            <w:pPr>
              <w:pStyle w:val="DHHStablebullet1"/>
            </w:pPr>
            <w:r>
              <w:t>Bone</w:t>
            </w:r>
            <w:r w:rsidR="001A1F90">
              <w:t xml:space="preserve"> </w:t>
            </w:r>
            <w:r>
              <w:t>mass</w:t>
            </w:r>
            <w:r w:rsidR="001A1F90">
              <w:t xml:space="preserve"> </w:t>
            </w:r>
            <w:r>
              <w:t>density</w:t>
            </w:r>
          </w:p>
          <w:p w14:paraId="3700846F" w14:textId="6939647C" w:rsidR="004946F1" w:rsidRDefault="004946F1" w:rsidP="007A665D">
            <w:pPr>
              <w:pStyle w:val="DHHStablebullet1"/>
            </w:pPr>
            <w:r>
              <w:t>Calcium,</w:t>
            </w:r>
            <w:r w:rsidR="001A1F90">
              <w:t xml:space="preserve"> </w:t>
            </w:r>
            <w:r w:rsidR="002B53B9">
              <w:t>v</w:t>
            </w:r>
            <w:r>
              <w:t>itamin</w:t>
            </w:r>
            <w:r w:rsidR="001A1F90">
              <w:t xml:space="preserve"> </w:t>
            </w:r>
            <w:r>
              <w:t>D</w:t>
            </w:r>
            <w:r w:rsidR="001A1F90">
              <w:t xml:space="preserve"> </w:t>
            </w:r>
            <w:r>
              <w:t>or</w:t>
            </w:r>
            <w:r w:rsidR="001A1F90">
              <w:t xml:space="preserve"> </w:t>
            </w:r>
            <w:r>
              <w:t>bisphosphonates</w:t>
            </w:r>
            <w:r w:rsidR="001A1F90">
              <w:t xml:space="preserve"> </w:t>
            </w:r>
            <w:r>
              <w:t>must</w:t>
            </w:r>
            <w:r w:rsidR="001A1F90">
              <w:t xml:space="preserve"> </w:t>
            </w:r>
            <w:r>
              <w:t>be</w:t>
            </w:r>
            <w:r w:rsidR="001A1F90">
              <w:t xml:space="preserve"> </w:t>
            </w:r>
            <w:r>
              <w:t>prescribed</w:t>
            </w:r>
            <w:r w:rsidR="001A1F90">
              <w:t xml:space="preserve"> </w:t>
            </w:r>
            <w:r>
              <w:t>in</w:t>
            </w:r>
            <w:r w:rsidR="001A1F90">
              <w:t xml:space="preserve"> </w:t>
            </w:r>
            <w:r>
              <w:t>case</w:t>
            </w:r>
            <w:r w:rsidR="001A1F90">
              <w:t xml:space="preserve"> </w:t>
            </w:r>
            <w:r>
              <w:t>of</w:t>
            </w:r>
            <w:r w:rsidR="001A1F90">
              <w:t xml:space="preserve"> </w:t>
            </w:r>
            <w:r>
              <w:t>osteoporosis</w:t>
            </w:r>
            <w:r w:rsidR="001A1F90">
              <w:t xml:space="preserve"> </w:t>
            </w:r>
          </w:p>
        </w:tc>
      </w:tr>
      <w:tr w:rsidR="004946F1" w14:paraId="55FEFD32" w14:textId="77777777" w:rsidTr="00A758E4">
        <w:trPr>
          <w:trHeight w:val="60"/>
        </w:trPr>
        <w:tc>
          <w:tcPr>
            <w:tcW w:w="2593" w:type="dxa"/>
          </w:tcPr>
          <w:p w14:paraId="605220D8" w14:textId="4AD4B355" w:rsidR="004946F1" w:rsidRDefault="004946F1" w:rsidP="00BD612C">
            <w:pPr>
              <w:pStyle w:val="DHHSbody"/>
            </w:pPr>
            <w:r>
              <w:t>Routine</w:t>
            </w:r>
            <w:r w:rsidR="001A1F90">
              <w:t xml:space="preserve"> </w:t>
            </w:r>
            <w:r>
              <w:t>(no</w:t>
            </w:r>
            <w:r w:rsidR="001A1F90">
              <w:t xml:space="preserve"> </w:t>
            </w:r>
            <w:r>
              <w:t>timeframe</w:t>
            </w:r>
            <w:r w:rsidR="001A1F90">
              <w:t xml:space="preserve"> </w:t>
            </w:r>
            <w:r>
              <w:t>noted)</w:t>
            </w:r>
            <w:r w:rsidR="001A1F90">
              <w:t xml:space="preserve"> </w:t>
            </w:r>
          </w:p>
        </w:tc>
        <w:tc>
          <w:tcPr>
            <w:tcW w:w="7032" w:type="dxa"/>
          </w:tcPr>
          <w:p w14:paraId="49C2ECB0" w14:textId="343986E7" w:rsidR="004946F1" w:rsidRDefault="004946F1" w:rsidP="007A665D">
            <w:pPr>
              <w:pStyle w:val="DHHStablebullet1"/>
            </w:pPr>
            <w:r>
              <w:t>Testosterone</w:t>
            </w:r>
            <w:r w:rsidR="001A1F90">
              <w:t xml:space="preserve"> </w:t>
            </w:r>
            <w:r>
              <w:t>blood</w:t>
            </w:r>
            <w:r w:rsidR="001A1F90">
              <w:t xml:space="preserve"> </w:t>
            </w:r>
            <w:r>
              <w:t>levels</w:t>
            </w:r>
            <w:r w:rsidR="001A1F90">
              <w:t xml:space="preserve"> </w:t>
            </w:r>
            <w:r>
              <w:t>(in</w:t>
            </w:r>
            <w:r w:rsidR="001A1F90">
              <w:t xml:space="preserve"> </w:t>
            </w:r>
            <w:r>
              <w:t>case</w:t>
            </w:r>
            <w:r w:rsidR="001A1F90">
              <w:t xml:space="preserve"> </w:t>
            </w:r>
            <w:r>
              <w:t>of</w:t>
            </w:r>
            <w:r w:rsidR="001A1F90">
              <w:t xml:space="preserve"> </w:t>
            </w:r>
            <w:r>
              <w:t>risk</w:t>
            </w:r>
            <w:r w:rsidR="001A1F90">
              <w:t xml:space="preserve"> </w:t>
            </w:r>
            <w:r>
              <w:t>of</w:t>
            </w:r>
            <w:r w:rsidR="001A1F90">
              <w:t xml:space="preserve"> </w:t>
            </w:r>
            <w:r>
              <w:t>breaks</w:t>
            </w:r>
            <w:r w:rsidR="001A1F90">
              <w:t xml:space="preserve"> </w:t>
            </w:r>
            <w:r>
              <w:t>in</w:t>
            </w:r>
            <w:r w:rsidR="001A1F90">
              <w:t xml:space="preserve"> </w:t>
            </w:r>
            <w:r>
              <w:t>therapy</w:t>
            </w:r>
            <w:r w:rsidR="001A1F90">
              <w:t xml:space="preserve"> </w:t>
            </w:r>
            <w:r>
              <w:t>or</w:t>
            </w:r>
            <w:r w:rsidR="001A1F90">
              <w:t xml:space="preserve"> </w:t>
            </w:r>
            <w:r>
              <w:t>masked</w:t>
            </w:r>
            <w:r w:rsidR="001A1F90">
              <w:t xml:space="preserve"> </w:t>
            </w:r>
            <w:r>
              <w:t>testosterone</w:t>
            </w:r>
            <w:r w:rsidR="001A1F90">
              <w:t xml:space="preserve"> </w:t>
            </w:r>
            <w:r>
              <w:t>supplementation)</w:t>
            </w:r>
          </w:p>
        </w:tc>
      </w:tr>
    </w:tbl>
    <w:p w14:paraId="7E2B644B" w14:textId="3F07139C" w:rsidR="004946F1" w:rsidRDefault="004946F1" w:rsidP="00B87022">
      <w:pPr>
        <w:pStyle w:val="DHHSbodyaftertablefigure"/>
      </w:pPr>
      <w:r>
        <w:t>Bradford</w:t>
      </w:r>
      <w:r w:rsidR="001A1F90">
        <w:t xml:space="preserve"> </w:t>
      </w:r>
      <w:r>
        <w:t>(2000,</w:t>
      </w:r>
      <w:r w:rsidR="001A1F90">
        <w:t xml:space="preserve"> </w:t>
      </w:r>
      <w:r>
        <w:t>p.</w:t>
      </w:r>
      <w:r w:rsidR="001A1F90">
        <w:t xml:space="preserve"> </w:t>
      </w:r>
      <w:r>
        <w:t>251)</w:t>
      </w:r>
      <w:r w:rsidR="001A1F90">
        <w:t xml:space="preserve"> </w:t>
      </w:r>
      <w:r>
        <w:t>also</w:t>
      </w:r>
      <w:r w:rsidR="001A1F90">
        <w:t xml:space="preserve"> </w:t>
      </w:r>
      <w:r>
        <w:t>notes</w:t>
      </w:r>
      <w:r w:rsidR="001A1F90">
        <w:t xml:space="preserve"> </w:t>
      </w:r>
      <w:r>
        <w:t>a</w:t>
      </w:r>
      <w:r w:rsidR="001A1F90">
        <w:t xml:space="preserve"> </w:t>
      </w:r>
      <w:r>
        <w:t>number</w:t>
      </w:r>
      <w:r w:rsidR="001A1F90">
        <w:t xml:space="preserve"> </w:t>
      </w:r>
      <w:r>
        <w:t>of</w:t>
      </w:r>
      <w:r w:rsidR="001A1F90">
        <w:t xml:space="preserve"> </w:t>
      </w:r>
      <w:r>
        <w:t>potentially</w:t>
      </w:r>
      <w:r w:rsidR="001A1F90">
        <w:t xml:space="preserve"> </w:t>
      </w:r>
      <w:r>
        <w:t>influential</w:t>
      </w:r>
      <w:r w:rsidR="001A1F90">
        <w:t xml:space="preserve"> </w:t>
      </w:r>
      <w:r>
        <w:t>mediating</w:t>
      </w:r>
      <w:r w:rsidR="001A1F90">
        <w:t xml:space="preserve"> </w:t>
      </w:r>
      <w:r>
        <w:t>factors</w:t>
      </w:r>
      <w:r w:rsidR="001A1F90">
        <w:t xml:space="preserve"> </w:t>
      </w:r>
      <w:r>
        <w:t>to</w:t>
      </w:r>
      <w:r w:rsidR="001A1F90">
        <w:t xml:space="preserve"> </w:t>
      </w:r>
      <w:r>
        <w:t>consider</w:t>
      </w:r>
      <w:r w:rsidR="001A1F90">
        <w:t xml:space="preserve"> </w:t>
      </w:r>
      <w:r w:rsidR="00B23074">
        <w:t xml:space="preserve">that </w:t>
      </w:r>
      <w:r>
        <w:t>could</w:t>
      </w:r>
      <w:r w:rsidR="001A1F90">
        <w:t xml:space="preserve"> </w:t>
      </w:r>
      <w:r>
        <w:t>contribute</w:t>
      </w:r>
      <w:r w:rsidR="001A1F90">
        <w:t xml:space="preserve"> </w:t>
      </w:r>
      <w:r>
        <w:t>to</w:t>
      </w:r>
      <w:r w:rsidR="001A1F90">
        <w:t xml:space="preserve"> </w:t>
      </w:r>
      <w:r>
        <w:t>a</w:t>
      </w:r>
      <w:r w:rsidR="001A1F90">
        <w:t xml:space="preserve"> </w:t>
      </w:r>
      <w:r>
        <w:t>relapse</w:t>
      </w:r>
      <w:r w:rsidR="001A1F90">
        <w:t xml:space="preserve"> </w:t>
      </w:r>
      <w:r>
        <w:t>of</w:t>
      </w:r>
      <w:r w:rsidR="001A1F90">
        <w:t xml:space="preserve"> </w:t>
      </w:r>
      <w:r>
        <w:t>sexually</w:t>
      </w:r>
      <w:r w:rsidR="001A1F90">
        <w:t xml:space="preserve"> </w:t>
      </w:r>
      <w:r w:rsidR="00C84854">
        <w:t>inappropriate</w:t>
      </w:r>
      <w:r w:rsidR="001A1F90">
        <w:t xml:space="preserve"> </w:t>
      </w:r>
      <w:r>
        <w:t>behaviours.</w:t>
      </w:r>
      <w:r w:rsidR="001A1F90">
        <w:t xml:space="preserve"> </w:t>
      </w:r>
      <w:r>
        <w:t>These</w:t>
      </w:r>
      <w:r w:rsidR="001A1F90">
        <w:t xml:space="preserve"> </w:t>
      </w:r>
      <w:r>
        <w:t>include:</w:t>
      </w:r>
      <w:r w:rsidR="001A1F90">
        <w:t xml:space="preserve"> </w:t>
      </w:r>
      <w:r>
        <w:t>(1)</w:t>
      </w:r>
      <w:r w:rsidR="001A1F90">
        <w:t xml:space="preserve"> </w:t>
      </w:r>
      <w:r>
        <w:t>abuse</w:t>
      </w:r>
      <w:r w:rsidR="001A1F90">
        <w:t xml:space="preserve"> </w:t>
      </w:r>
      <w:r>
        <w:t>of</w:t>
      </w:r>
      <w:r w:rsidR="001A1F90">
        <w:t xml:space="preserve"> </w:t>
      </w:r>
      <w:r>
        <w:t>substances,</w:t>
      </w:r>
      <w:r w:rsidR="001A1F90">
        <w:t xml:space="preserve"> </w:t>
      </w:r>
      <w:r>
        <w:t>specifically</w:t>
      </w:r>
      <w:r w:rsidR="001A1F90">
        <w:t xml:space="preserve"> </w:t>
      </w:r>
      <w:r>
        <w:t>alcohol</w:t>
      </w:r>
      <w:r w:rsidR="001A1F90">
        <w:t xml:space="preserve"> </w:t>
      </w:r>
      <w:r>
        <w:t>but</w:t>
      </w:r>
      <w:r w:rsidR="001A1F90">
        <w:t xml:space="preserve"> </w:t>
      </w:r>
      <w:r>
        <w:t>also</w:t>
      </w:r>
      <w:r w:rsidR="001A1F90">
        <w:t xml:space="preserve"> </w:t>
      </w:r>
      <w:r>
        <w:t>non-prescription</w:t>
      </w:r>
      <w:r w:rsidR="001A1F90">
        <w:t xml:space="preserve"> </w:t>
      </w:r>
      <w:r>
        <w:t>drugs;</w:t>
      </w:r>
      <w:r w:rsidR="001A1F90">
        <w:t xml:space="preserve"> </w:t>
      </w:r>
      <w:r>
        <w:t>(2)</w:t>
      </w:r>
      <w:r w:rsidR="001A1F90">
        <w:t xml:space="preserve"> </w:t>
      </w:r>
      <w:r>
        <w:t>mood</w:t>
      </w:r>
      <w:r w:rsidR="001A1F90">
        <w:t xml:space="preserve"> </w:t>
      </w:r>
      <w:r>
        <w:t>disorders,</w:t>
      </w:r>
      <w:r w:rsidR="001A1F90">
        <w:t xml:space="preserve"> </w:t>
      </w:r>
      <w:r>
        <w:t>specifically</w:t>
      </w:r>
      <w:r w:rsidR="001A1F90">
        <w:t xml:space="preserve"> </w:t>
      </w:r>
      <w:r>
        <w:t>depression</w:t>
      </w:r>
      <w:r w:rsidR="001A1F90">
        <w:t xml:space="preserve"> </w:t>
      </w:r>
      <w:r>
        <w:t>but</w:t>
      </w:r>
      <w:r w:rsidR="001A1F90">
        <w:t xml:space="preserve"> </w:t>
      </w:r>
      <w:r>
        <w:t>any</w:t>
      </w:r>
      <w:r w:rsidR="001A1F90">
        <w:t xml:space="preserve"> </w:t>
      </w:r>
      <w:r>
        <w:t>variation</w:t>
      </w:r>
      <w:r w:rsidR="001A1F90">
        <w:t xml:space="preserve"> </w:t>
      </w:r>
      <w:r>
        <w:t>of</w:t>
      </w:r>
      <w:r w:rsidR="001A1F90">
        <w:t xml:space="preserve"> </w:t>
      </w:r>
      <w:r>
        <w:t>mood</w:t>
      </w:r>
      <w:r w:rsidR="001A1F90">
        <w:t xml:space="preserve"> </w:t>
      </w:r>
      <w:r>
        <w:t>disorder</w:t>
      </w:r>
      <w:r w:rsidR="001A1F90">
        <w:t xml:space="preserve"> </w:t>
      </w:r>
      <w:r>
        <w:t>can</w:t>
      </w:r>
      <w:r w:rsidR="001A1F90">
        <w:t xml:space="preserve"> </w:t>
      </w:r>
      <w:r>
        <w:t>disinhibit</w:t>
      </w:r>
      <w:r w:rsidR="001A1F90">
        <w:t xml:space="preserve"> </w:t>
      </w:r>
      <w:r>
        <w:t>sexual</w:t>
      </w:r>
      <w:r w:rsidR="001A1F90">
        <w:t xml:space="preserve"> </w:t>
      </w:r>
      <w:r>
        <w:t>behaviour;</w:t>
      </w:r>
      <w:r w:rsidR="001A1F90">
        <w:t xml:space="preserve"> </w:t>
      </w:r>
      <w:r>
        <w:t>(3)</w:t>
      </w:r>
      <w:r w:rsidR="001A1F90">
        <w:t xml:space="preserve"> </w:t>
      </w:r>
      <w:r>
        <w:t>noncompliance</w:t>
      </w:r>
      <w:r w:rsidR="001A1F90">
        <w:t xml:space="preserve"> </w:t>
      </w:r>
      <w:r>
        <w:t>with</w:t>
      </w:r>
      <w:r w:rsidR="001A1F90">
        <w:t xml:space="preserve"> </w:t>
      </w:r>
      <w:r>
        <w:t>pharmacological</w:t>
      </w:r>
      <w:r w:rsidR="001A1F90">
        <w:t xml:space="preserve"> </w:t>
      </w:r>
      <w:r>
        <w:t>treatment;</w:t>
      </w:r>
      <w:r w:rsidR="001A1F90">
        <w:t xml:space="preserve"> </w:t>
      </w:r>
      <w:r>
        <w:t>and</w:t>
      </w:r>
      <w:r w:rsidR="001A1F90">
        <w:t xml:space="preserve"> </w:t>
      </w:r>
      <w:r>
        <w:t>(4)</w:t>
      </w:r>
      <w:r w:rsidR="001A1F90">
        <w:t xml:space="preserve"> </w:t>
      </w:r>
      <w:r>
        <w:t>noncompliance</w:t>
      </w:r>
      <w:r w:rsidR="001A1F90">
        <w:t xml:space="preserve"> </w:t>
      </w:r>
      <w:r>
        <w:t>with</w:t>
      </w:r>
      <w:r w:rsidR="001A1F90">
        <w:t xml:space="preserve"> </w:t>
      </w:r>
      <w:r>
        <w:t>relapse</w:t>
      </w:r>
      <w:r w:rsidR="001A1F90">
        <w:t xml:space="preserve"> </w:t>
      </w:r>
      <w:r>
        <w:t>prevention</w:t>
      </w:r>
      <w:r w:rsidR="001A1F90">
        <w:t xml:space="preserve"> </w:t>
      </w:r>
      <w:r>
        <w:t>interventions.</w:t>
      </w:r>
    </w:p>
    <w:p w14:paraId="30935D36" w14:textId="77777777" w:rsidR="00B87022" w:rsidRPr="00B87022" w:rsidRDefault="00B87022" w:rsidP="00B87022">
      <w:pPr>
        <w:pStyle w:val="DHHSbody"/>
      </w:pPr>
      <w:r w:rsidRPr="00B87022">
        <w:br w:type="page"/>
      </w:r>
    </w:p>
    <w:p w14:paraId="61B3848F" w14:textId="7F9B5A8F" w:rsidR="004946F1" w:rsidRDefault="00301CA9" w:rsidP="009B0E14">
      <w:pPr>
        <w:pStyle w:val="Heading1"/>
      </w:pPr>
      <w:bookmarkStart w:id="10" w:name="_Toc20225598"/>
      <w:r>
        <w:t>2</w:t>
      </w:r>
      <w:r w:rsidR="004946F1">
        <w:t>.</w:t>
      </w:r>
      <w:r w:rsidR="001A1F90">
        <w:t xml:space="preserve"> </w:t>
      </w:r>
      <w:r w:rsidR="004946F1">
        <w:t>Methodology</w:t>
      </w:r>
      <w:bookmarkEnd w:id="10"/>
    </w:p>
    <w:p w14:paraId="3EF150C5" w14:textId="426F7210" w:rsidR="004946F1" w:rsidRDefault="004946F1" w:rsidP="00BD612C">
      <w:pPr>
        <w:pStyle w:val="DHHSbody"/>
      </w:pPr>
      <w:r>
        <w:t>Experienced</w:t>
      </w:r>
      <w:r w:rsidR="001A1F90">
        <w:t xml:space="preserve"> </w:t>
      </w:r>
      <w:r>
        <w:t>staff</w:t>
      </w:r>
      <w:r w:rsidR="001A1F90">
        <w:t xml:space="preserve"> </w:t>
      </w:r>
      <w:r>
        <w:t>in</w:t>
      </w:r>
      <w:r w:rsidR="001A1F90">
        <w:t xml:space="preserve"> </w:t>
      </w:r>
      <w:r>
        <w:t>the</w:t>
      </w:r>
      <w:r w:rsidR="001A1F90">
        <w:t xml:space="preserve"> </w:t>
      </w:r>
      <w:r>
        <w:t>Office</w:t>
      </w:r>
      <w:r w:rsidR="001A1F90">
        <w:t xml:space="preserve"> </w:t>
      </w:r>
      <w:r>
        <w:t>of</w:t>
      </w:r>
      <w:r w:rsidR="001A1F90">
        <w:t xml:space="preserve"> </w:t>
      </w:r>
      <w:r>
        <w:t>Professional</w:t>
      </w:r>
      <w:r w:rsidR="001A1F90">
        <w:t xml:space="preserve"> </w:t>
      </w:r>
      <w:r>
        <w:t>Practice</w:t>
      </w:r>
      <w:r w:rsidR="001A1F90">
        <w:t xml:space="preserve"> </w:t>
      </w:r>
      <w:r>
        <w:t>identified</w:t>
      </w:r>
      <w:r w:rsidR="001A1F90">
        <w:t xml:space="preserve"> </w:t>
      </w:r>
      <w:r>
        <w:t>a</w:t>
      </w:r>
      <w:r w:rsidR="001A1F90">
        <w:t xml:space="preserve"> </w:t>
      </w:r>
      <w:r>
        <w:t>group</w:t>
      </w:r>
      <w:r w:rsidR="001A1F90">
        <w:t xml:space="preserve"> </w:t>
      </w:r>
      <w:r>
        <w:t>of</w:t>
      </w:r>
      <w:r w:rsidR="001A1F90">
        <w:t xml:space="preserve"> </w:t>
      </w:r>
      <w:r>
        <w:t>24</w:t>
      </w:r>
      <w:r w:rsidR="001A1F90">
        <w:t xml:space="preserve"> </w:t>
      </w:r>
      <w:r w:rsidR="00B23074">
        <w:t xml:space="preserve">people to </w:t>
      </w:r>
      <w:r>
        <w:t>participat</w:t>
      </w:r>
      <w:r w:rsidR="00B23074">
        <w:t>e</w:t>
      </w:r>
      <w:r w:rsidR="001A1F90">
        <w:t xml:space="preserve"> </w:t>
      </w:r>
      <w:r>
        <w:t>in</w:t>
      </w:r>
      <w:r w:rsidR="001A1F90">
        <w:t xml:space="preserve"> </w:t>
      </w:r>
      <w:r>
        <w:t>a</w:t>
      </w:r>
      <w:r w:rsidR="001A1F90">
        <w:t xml:space="preserve"> </w:t>
      </w:r>
      <w:r>
        <w:t>Delphi</w:t>
      </w:r>
      <w:r w:rsidR="00B23074">
        <w:t>-</w:t>
      </w:r>
      <w:r>
        <w:t>style</w:t>
      </w:r>
      <w:r w:rsidR="001A1F90">
        <w:t xml:space="preserve"> </w:t>
      </w:r>
      <w:r>
        <w:t>consultation</w:t>
      </w:r>
      <w:r w:rsidR="001A1F90">
        <w:t xml:space="preserve"> </w:t>
      </w:r>
      <w:r>
        <w:t>about</w:t>
      </w:r>
      <w:r w:rsidR="001A1F90">
        <w:t xml:space="preserve"> </w:t>
      </w:r>
      <w:r>
        <w:t>their</w:t>
      </w:r>
      <w:r w:rsidR="001A1F90">
        <w:t xml:space="preserve"> </w:t>
      </w:r>
      <w:r>
        <w:t>experiences</w:t>
      </w:r>
      <w:r w:rsidR="001A1F90">
        <w:t xml:space="preserve"> </w:t>
      </w:r>
      <w:r>
        <w:t>with</w:t>
      </w:r>
      <w:r w:rsidR="001A1F90">
        <w:t xml:space="preserve"> </w:t>
      </w:r>
      <w:r>
        <w:t>prescribing</w:t>
      </w:r>
      <w:r w:rsidR="001A1F90">
        <w:t xml:space="preserve"> </w:t>
      </w:r>
      <w:r>
        <w:t>anti-libidinal</w:t>
      </w:r>
      <w:r w:rsidR="001A1F90">
        <w:t xml:space="preserve"> </w:t>
      </w:r>
      <w:r>
        <w:t>medication</w:t>
      </w:r>
      <w:r w:rsidR="001A1F90">
        <w:t xml:space="preserve"> </w:t>
      </w:r>
      <w:r>
        <w:t>to</w:t>
      </w:r>
      <w:r w:rsidR="001A1F90">
        <w:t xml:space="preserve"> </w:t>
      </w:r>
      <w:r>
        <w:t>people</w:t>
      </w:r>
      <w:r w:rsidR="001A1F90">
        <w:t xml:space="preserve"> </w:t>
      </w:r>
      <w:r>
        <w:t>with</w:t>
      </w:r>
      <w:r w:rsidR="001A1F90">
        <w:t xml:space="preserve"> </w:t>
      </w:r>
      <w:r>
        <w:t>intellectual</w:t>
      </w:r>
      <w:r w:rsidR="001A1F90">
        <w:t xml:space="preserve"> </w:t>
      </w:r>
      <w:r>
        <w:t>disability.</w:t>
      </w:r>
      <w:r w:rsidR="001A1F90">
        <w:t xml:space="preserve"> </w:t>
      </w:r>
      <w:r>
        <w:t>The</w:t>
      </w:r>
      <w:r w:rsidR="001A1F90">
        <w:t xml:space="preserve"> </w:t>
      </w:r>
      <w:r>
        <w:t>Delphi</w:t>
      </w:r>
      <w:r w:rsidR="001A1F90">
        <w:t xml:space="preserve"> </w:t>
      </w:r>
      <w:r>
        <w:t>approach</w:t>
      </w:r>
      <w:r w:rsidR="001A1F90">
        <w:t xml:space="preserve"> </w:t>
      </w:r>
      <w:r>
        <w:t>to</w:t>
      </w:r>
      <w:r w:rsidR="001A1F90">
        <w:t xml:space="preserve"> </w:t>
      </w:r>
      <w:r>
        <w:t>consultation</w:t>
      </w:r>
      <w:r w:rsidR="001A1F90">
        <w:t xml:space="preserve"> </w:t>
      </w:r>
      <w:r>
        <w:t>works</w:t>
      </w:r>
      <w:r w:rsidR="001A1F90">
        <w:t xml:space="preserve"> </w:t>
      </w:r>
      <w:r>
        <w:t>well</w:t>
      </w:r>
      <w:r w:rsidR="001A1F90">
        <w:t xml:space="preserve"> </w:t>
      </w:r>
      <w:r>
        <w:t>in</w:t>
      </w:r>
      <w:r w:rsidR="001A1F90">
        <w:t xml:space="preserve"> </w:t>
      </w:r>
      <w:r>
        <w:t>situations</w:t>
      </w:r>
      <w:r w:rsidR="001A1F90">
        <w:t xml:space="preserve"> </w:t>
      </w:r>
      <w:r>
        <w:t>where</w:t>
      </w:r>
      <w:r w:rsidR="001A1F90">
        <w:t xml:space="preserve"> </w:t>
      </w:r>
      <w:r>
        <w:t>there</w:t>
      </w:r>
      <w:r w:rsidR="001A1F90">
        <w:t xml:space="preserve"> </w:t>
      </w:r>
      <w:r>
        <w:t>is</w:t>
      </w:r>
      <w:r w:rsidR="001A1F90">
        <w:t xml:space="preserve"> </w:t>
      </w:r>
      <w:r>
        <w:t>a</w:t>
      </w:r>
      <w:r w:rsidR="001A1F90">
        <w:t xml:space="preserve"> </w:t>
      </w:r>
      <w:r>
        <w:t>lack</w:t>
      </w:r>
      <w:r w:rsidR="001A1F90">
        <w:t xml:space="preserve"> </w:t>
      </w:r>
      <w:r>
        <w:t>of</w:t>
      </w:r>
      <w:r w:rsidR="001A1F90">
        <w:t xml:space="preserve"> </w:t>
      </w:r>
      <w:r>
        <w:t>established</w:t>
      </w:r>
      <w:r w:rsidR="001A1F90">
        <w:t xml:space="preserve"> </w:t>
      </w:r>
      <w:r>
        <w:t>evidence</w:t>
      </w:r>
      <w:r w:rsidR="001A1F90">
        <w:t xml:space="preserve"> </w:t>
      </w:r>
      <w:r>
        <w:t>on</w:t>
      </w:r>
      <w:r w:rsidR="001A1F90">
        <w:t xml:space="preserve"> </w:t>
      </w:r>
      <w:r>
        <w:t>a</w:t>
      </w:r>
      <w:r w:rsidR="001A1F90">
        <w:t xml:space="preserve"> </w:t>
      </w:r>
      <w:r>
        <w:t>particular</w:t>
      </w:r>
      <w:r w:rsidR="001A1F90">
        <w:t xml:space="preserve"> </w:t>
      </w:r>
      <w:r>
        <w:t>topic</w:t>
      </w:r>
      <w:r w:rsidR="001A1F90">
        <w:t xml:space="preserve"> </w:t>
      </w:r>
      <w:r>
        <w:t>(</w:t>
      </w:r>
      <w:r w:rsidR="00B23074">
        <w:t xml:space="preserve">see, </w:t>
      </w:r>
      <w:r w:rsidR="00F550F1">
        <w:t>for example</w:t>
      </w:r>
      <w:r>
        <w:t>,</w:t>
      </w:r>
      <w:r w:rsidR="001A1F90">
        <w:t xml:space="preserve"> </w:t>
      </w:r>
      <w:r>
        <w:t>Linstone</w:t>
      </w:r>
      <w:r w:rsidR="001A1F90">
        <w:t xml:space="preserve"> </w:t>
      </w:r>
      <w:r>
        <w:t>&amp;</w:t>
      </w:r>
      <w:r w:rsidR="001A1F90">
        <w:t xml:space="preserve"> </w:t>
      </w:r>
      <w:r>
        <w:t>Turoff</w:t>
      </w:r>
      <w:r w:rsidR="001A1F90">
        <w:t xml:space="preserve"> </w:t>
      </w:r>
      <w:r>
        <w:t>1975;</w:t>
      </w:r>
      <w:r w:rsidR="001A1F90">
        <w:t xml:space="preserve"> </w:t>
      </w:r>
      <w:r>
        <w:t>Slade</w:t>
      </w:r>
      <w:r w:rsidR="001A1F90">
        <w:t xml:space="preserve"> </w:t>
      </w:r>
      <w:r w:rsidRPr="00CA3986">
        <w:rPr>
          <w:rStyle w:val="Emphasis"/>
          <w:i w:val="0"/>
          <w:iCs w:val="0"/>
        </w:rPr>
        <w:t>et</w:t>
      </w:r>
      <w:r w:rsidR="001A1F90" w:rsidRPr="00CA3986">
        <w:rPr>
          <w:rStyle w:val="Emphasis"/>
          <w:i w:val="0"/>
          <w:iCs w:val="0"/>
        </w:rPr>
        <w:t xml:space="preserve"> </w:t>
      </w:r>
      <w:r w:rsidRPr="00CA3986">
        <w:rPr>
          <w:rStyle w:val="Emphasis"/>
          <w:i w:val="0"/>
          <w:iCs w:val="0"/>
        </w:rPr>
        <w:t>al</w:t>
      </w:r>
      <w:r w:rsidRPr="004B4157">
        <w:rPr>
          <w:rStyle w:val="Emphasis"/>
        </w:rPr>
        <w:t>.</w:t>
      </w:r>
      <w:r w:rsidR="001A1F90">
        <w:t xml:space="preserve"> </w:t>
      </w:r>
      <w:r>
        <w:t>2008)</w:t>
      </w:r>
      <w:r w:rsidR="001A1F90">
        <w:t xml:space="preserve"> </w:t>
      </w:r>
      <w:r>
        <w:t>and</w:t>
      </w:r>
      <w:r w:rsidR="001A1F90">
        <w:t xml:space="preserve"> </w:t>
      </w:r>
      <w:r>
        <w:t>where</w:t>
      </w:r>
      <w:r w:rsidR="001A1F90">
        <w:t xml:space="preserve"> </w:t>
      </w:r>
      <w:r>
        <w:t>bringing</w:t>
      </w:r>
      <w:r w:rsidR="001A1F90">
        <w:t xml:space="preserve"> </w:t>
      </w:r>
      <w:r>
        <w:t>together</w:t>
      </w:r>
      <w:r w:rsidR="001A1F90">
        <w:t xml:space="preserve"> </w:t>
      </w:r>
      <w:r>
        <w:t>the</w:t>
      </w:r>
      <w:r w:rsidR="001A1F90">
        <w:t xml:space="preserve"> </w:t>
      </w:r>
      <w:r>
        <w:t>necessary</w:t>
      </w:r>
      <w:r w:rsidR="001A1F90">
        <w:t xml:space="preserve"> </w:t>
      </w:r>
      <w:r>
        <w:t>breadth</w:t>
      </w:r>
      <w:r w:rsidR="001A1F90">
        <w:t xml:space="preserve"> </w:t>
      </w:r>
      <w:r>
        <w:t>of</w:t>
      </w:r>
      <w:r w:rsidR="001A1F90">
        <w:t xml:space="preserve"> </w:t>
      </w:r>
      <w:r>
        <w:t>expertise</w:t>
      </w:r>
      <w:r w:rsidR="001A1F90">
        <w:t xml:space="preserve"> </w:t>
      </w:r>
      <w:r>
        <w:t>and</w:t>
      </w:r>
      <w:r w:rsidR="001A1F90">
        <w:t xml:space="preserve"> </w:t>
      </w:r>
      <w:r>
        <w:t>opinion</w:t>
      </w:r>
      <w:r w:rsidR="001A1F90">
        <w:t xml:space="preserve"> </w:t>
      </w:r>
      <w:r>
        <w:t>required</w:t>
      </w:r>
      <w:r w:rsidR="001A1F90">
        <w:t xml:space="preserve"> </w:t>
      </w:r>
      <w:r>
        <w:t>to</w:t>
      </w:r>
      <w:r w:rsidR="001A1F90">
        <w:t xml:space="preserve"> </w:t>
      </w:r>
      <w:r>
        <w:t>develop</w:t>
      </w:r>
      <w:r w:rsidR="001A1F90">
        <w:t xml:space="preserve"> </w:t>
      </w:r>
      <w:r>
        <w:t>a</w:t>
      </w:r>
      <w:r w:rsidR="001A1F90">
        <w:t xml:space="preserve"> </w:t>
      </w:r>
      <w:r>
        <w:t>satisfactory</w:t>
      </w:r>
      <w:r w:rsidR="001A1F90">
        <w:t xml:space="preserve"> </w:t>
      </w:r>
      <w:r>
        <w:t>degree</w:t>
      </w:r>
      <w:r w:rsidR="001A1F90">
        <w:t xml:space="preserve"> </w:t>
      </w:r>
      <w:r>
        <w:t>of</w:t>
      </w:r>
      <w:r w:rsidR="001A1F90">
        <w:t xml:space="preserve"> </w:t>
      </w:r>
      <w:r>
        <w:t>consensus</w:t>
      </w:r>
      <w:r w:rsidR="001A1F90">
        <w:t xml:space="preserve"> </w:t>
      </w:r>
      <w:r>
        <w:t>is</w:t>
      </w:r>
      <w:r w:rsidR="001A1F90">
        <w:t xml:space="preserve"> </w:t>
      </w:r>
      <w:r>
        <w:t>impractical</w:t>
      </w:r>
      <w:r w:rsidR="001A1F90">
        <w:t xml:space="preserve"> </w:t>
      </w:r>
      <w:r>
        <w:t>due</w:t>
      </w:r>
      <w:r w:rsidR="001A1F90">
        <w:t xml:space="preserve"> </w:t>
      </w:r>
      <w:r>
        <w:t>to</w:t>
      </w:r>
      <w:r w:rsidR="001A1F90">
        <w:t xml:space="preserve"> </w:t>
      </w:r>
      <w:r>
        <w:t>cost,</w:t>
      </w:r>
      <w:r w:rsidR="001A1F90">
        <w:t xml:space="preserve"> </w:t>
      </w:r>
      <w:r>
        <w:t>time</w:t>
      </w:r>
      <w:r w:rsidR="001A1F90">
        <w:t xml:space="preserve"> </w:t>
      </w:r>
      <w:r>
        <w:t>or</w:t>
      </w:r>
      <w:r w:rsidR="001A1F90">
        <w:t xml:space="preserve"> </w:t>
      </w:r>
      <w:r>
        <w:t>geographical</w:t>
      </w:r>
      <w:r w:rsidR="001A1F90">
        <w:t xml:space="preserve"> </w:t>
      </w:r>
      <w:r>
        <w:t>limitations.</w:t>
      </w:r>
      <w:r w:rsidR="001A1F90">
        <w:t xml:space="preserve"> </w:t>
      </w:r>
      <w:r>
        <w:t>The</w:t>
      </w:r>
      <w:r w:rsidR="001A1F90">
        <w:t xml:space="preserve"> </w:t>
      </w:r>
      <w:r>
        <w:t>consultation</w:t>
      </w:r>
      <w:r w:rsidR="001A1F90">
        <w:t xml:space="preserve"> </w:t>
      </w:r>
      <w:r>
        <w:t>usually</w:t>
      </w:r>
      <w:r w:rsidR="001A1F90">
        <w:t xml:space="preserve"> </w:t>
      </w:r>
      <w:r>
        <w:t>involves</w:t>
      </w:r>
      <w:r w:rsidR="001A1F90">
        <w:t xml:space="preserve"> </w:t>
      </w:r>
      <w:r>
        <w:t>two</w:t>
      </w:r>
      <w:r w:rsidR="001A1F90">
        <w:t xml:space="preserve"> </w:t>
      </w:r>
      <w:r>
        <w:t>or</w:t>
      </w:r>
      <w:r w:rsidR="001A1F90">
        <w:t xml:space="preserve"> </w:t>
      </w:r>
      <w:r>
        <w:t>perhaps</w:t>
      </w:r>
      <w:r w:rsidR="001A1F90">
        <w:t xml:space="preserve"> </w:t>
      </w:r>
      <w:r>
        <w:t>three</w:t>
      </w:r>
      <w:r w:rsidR="001A1F90">
        <w:t xml:space="preserve"> </w:t>
      </w:r>
      <w:r>
        <w:t>rounds,</w:t>
      </w:r>
      <w:r w:rsidR="001A1F90">
        <w:t xml:space="preserve"> </w:t>
      </w:r>
      <w:r>
        <w:t>whereby</w:t>
      </w:r>
      <w:r w:rsidR="001A1F90">
        <w:t xml:space="preserve"> </w:t>
      </w:r>
      <w:r>
        <w:t>responses</w:t>
      </w:r>
      <w:r w:rsidR="001A1F90">
        <w:t xml:space="preserve"> </w:t>
      </w:r>
      <w:r>
        <w:t>received</w:t>
      </w:r>
      <w:r w:rsidR="001A1F90">
        <w:t xml:space="preserve"> </w:t>
      </w:r>
      <w:r>
        <w:t>from</w:t>
      </w:r>
      <w:r w:rsidR="001A1F90">
        <w:t xml:space="preserve"> </w:t>
      </w:r>
      <w:r>
        <w:t>participants</w:t>
      </w:r>
      <w:r w:rsidR="001A1F90">
        <w:t xml:space="preserve"> </w:t>
      </w:r>
      <w:r>
        <w:t>are</w:t>
      </w:r>
      <w:r w:rsidR="001A1F90">
        <w:t xml:space="preserve"> </w:t>
      </w:r>
      <w:r>
        <w:t>synthesi</w:t>
      </w:r>
      <w:r w:rsidR="00A758E4">
        <w:t>s</w:t>
      </w:r>
      <w:r>
        <w:t>ed</w:t>
      </w:r>
      <w:r w:rsidR="001A1F90">
        <w:t xml:space="preserve"> </w:t>
      </w:r>
      <w:r>
        <w:t>and</w:t>
      </w:r>
      <w:r w:rsidR="001A1F90">
        <w:t xml:space="preserve"> </w:t>
      </w:r>
      <w:r>
        <w:t>fed</w:t>
      </w:r>
      <w:r w:rsidR="001A1F90">
        <w:t xml:space="preserve"> </w:t>
      </w:r>
      <w:r>
        <w:t>back</w:t>
      </w:r>
      <w:r w:rsidR="001A1F90">
        <w:t xml:space="preserve"> </w:t>
      </w:r>
      <w:r>
        <w:t>for</w:t>
      </w:r>
      <w:r w:rsidR="001A1F90">
        <w:t xml:space="preserve"> </w:t>
      </w:r>
      <w:r>
        <w:t>further,</w:t>
      </w:r>
      <w:r w:rsidR="001A1F90">
        <w:t xml:space="preserve"> </w:t>
      </w:r>
      <w:r>
        <w:t>more</w:t>
      </w:r>
      <w:r w:rsidR="001A1F90">
        <w:t xml:space="preserve"> </w:t>
      </w:r>
      <w:r>
        <w:t>focused</w:t>
      </w:r>
      <w:r w:rsidR="001A1F90">
        <w:t xml:space="preserve"> </w:t>
      </w:r>
      <w:r>
        <w:t>questioning</w:t>
      </w:r>
      <w:r w:rsidR="001A1F90">
        <w:t xml:space="preserve"> </w:t>
      </w:r>
      <w:r>
        <w:t>or</w:t>
      </w:r>
      <w:r w:rsidR="001A1F90">
        <w:t xml:space="preserve"> </w:t>
      </w:r>
      <w:r>
        <w:t>clarification.</w:t>
      </w:r>
      <w:r w:rsidR="001A1F90">
        <w:t xml:space="preserve"> </w:t>
      </w:r>
      <w:r>
        <w:t>One</w:t>
      </w:r>
      <w:r w:rsidR="001A1F90">
        <w:t xml:space="preserve"> </w:t>
      </w:r>
      <w:r>
        <w:t>of</w:t>
      </w:r>
      <w:r w:rsidR="001A1F90">
        <w:t xml:space="preserve"> </w:t>
      </w:r>
      <w:r>
        <w:t>the</w:t>
      </w:r>
      <w:r w:rsidR="001A1F90">
        <w:t xml:space="preserve"> </w:t>
      </w:r>
      <w:r>
        <w:t>practical</w:t>
      </w:r>
      <w:r w:rsidR="001A1F90">
        <w:t xml:space="preserve"> </w:t>
      </w:r>
      <w:r>
        <w:t>aspects</w:t>
      </w:r>
      <w:r w:rsidR="001A1F90">
        <w:t xml:space="preserve"> </w:t>
      </w:r>
      <w:r>
        <w:t>of</w:t>
      </w:r>
      <w:r w:rsidR="001A1F90">
        <w:t xml:space="preserve"> </w:t>
      </w:r>
      <w:r>
        <w:t>the</w:t>
      </w:r>
      <w:r w:rsidR="001A1F90">
        <w:t xml:space="preserve"> </w:t>
      </w:r>
      <w:r>
        <w:t>method</w:t>
      </w:r>
      <w:r w:rsidR="001A1F90">
        <w:t xml:space="preserve"> </w:t>
      </w:r>
      <w:r>
        <w:t>is</w:t>
      </w:r>
      <w:r w:rsidR="001A1F90">
        <w:t xml:space="preserve"> </w:t>
      </w:r>
      <w:r>
        <w:t>consideration</w:t>
      </w:r>
      <w:r w:rsidR="001A1F90">
        <w:t xml:space="preserve"> </w:t>
      </w:r>
      <w:r>
        <w:t>of</w:t>
      </w:r>
      <w:r w:rsidR="001A1F90">
        <w:t xml:space="preserve"> </w:t>
      </w:r>
      <w:r>
        <w:t>the</w:t>
      </w:r>
      <w:r w:rsidR="001A1F90">
        <w:t xml:space="preserve"> </w:t>
      </w:r>
      <w:r>
        <w:t>sometimes</w:t>
      </w:r>
      <w:r w:rsidR="001A1F90">
        <w:t xml:space="preserve"> </w:t>
      </w:r>
      <w:r>
        <w:t>delicate</w:t>
      </w:r>
      <w:r w:rsidR="001A1F90">
        <w:t xml:space="preserve"> </w:t>
      </w:r>
      <w:r>
        <w:t>balance</w:t>
      </w:r>
      <w:r w:rsidR="001A1F90">
        <w:t xml:space="preserve"> </w:t>
      </w:r>
      <w:r>
        <w:t>of</w:t>
      </w:r>
      <w:r w:rsidR="001A1F90">
        <w:t xml:space="preserve"> </w:t>
      </w:r>
      <w:r>
        <w:t>burden</w:t>
      </w:r>
      <w:r w:rsidR="001A1F90">
        <w:t xml:space="preserve"> </w:t>
      </w:r>
      <w:r>
        <w:t>on</w:t>
      </w:r>
      <w:r w:rsidR="001A1F90">
        <w:t xml:space="preserve"> </w:t>
      </w:r>
      <w:r>
        <w:t>participants</w:t>
      </w:r>
      <w:r w:rsidR="001A1F90">
        <w:t xml:space="preserve"> </w:t>
      </w:r>
      <w:r>
        <w:t>(who</w:t>
      </w:r>
      <w:r w:rsidR="001A1F90">
        <w:t xml:space="preserve"> </w:t>
      </w:r>
      <w:r>
        <w:t>are</w:t>
      </w:r>
      <w:r w:rsidR="001A1F90">
        <w:t xml:space="preserve"> </w:t>
      </w:r>
      <w:r>
        <w:t>often</w:t>
      </w:r>
      <w:r w:rsidR="001A1F90">
        <w:t xml:space="preserve"> </w:t>
      </w:r>
      <w:r>
        <w:t>asked</w:t>
      </w:r>
      <w:r w:rsidR="001A1F90">
        <w:t xml:space="preserve"> </w:t>
      </w:r>
      <w:r>
        <w:t>to</w:t>
      </w:r>
      <w:r w:rsidR="001A1F90">
        <w:t xml:space="preserve"> </w:t>
      </w:r>
      <w:r>
        <w:t>volunteer</w:t>
      </w:r>
      <w:r w:rsidR="001A1F90">
        <w:t xml:space="preserve"> </w:t>
      </w:r>
      <w:r>
        <w:t>significant</w:t>
      </w:r>
      <w:r w:rsidR="001A1F90">
        <w:t xml:space="preserve"> </w:t>
      </w:r>
      <w:r>
        <w:t>time)</w:t>
      </w:r>
      <w:r w:rsidR="001A1F90">
        <w:t xml:space="preserve"> </w:t>
      </w:r>
      <w:r>
        <w:t>with</w:t>
      </w:r>
      <w:r w:rsidR="001A1F90">
        <w:t xml:space="preserve"> </w:t>
      </w:r>
      <w:r>
        <w:t>estimated</w:t>
      </w:r>
      <w:r w:rsidR="001A1F90">
        <w:t xml:space="preserve"> </w:t>
      </w:r>
      <w:r>
        <w:t>gains</w:t>
      </w:r>
      <w:r w:rsidR="001A1F90">
        <w:t xml:space="preserve"> </w:t>
      </w:r>
      <w:r>
        <w:t>associated</w:t>
      </w:r>
      <w:r w:rsidR="001A1F90">
        <w:t xml:space="preserve"> </w:t>
      </w:r>
      <w:r>
        <w:t>with</w:t>
      </w:r>
      <w:r w:rsidR="001A1F90">
        <w:t xml:space="preserve"> </w:t>
      </w:r>
      <w:r>
        <w:t>elongating</w:t>
      </w:r>
      <w:r w:rsidR="001A1F90">
        <w:t xml:space="preserve"> </w:t>
      </w:r>
      <w:r>
        <w:t>response</w:t>
      </w:r>
      <w:r w:rsidR="001A1F90">
        <w:t xml:space="preserve"> </w:t>
      </w:r>
      <w:r>
        <w:t>timeframes</w:t>
      </w:r>
      <w:r w:rsidR="001A1F90">
        <w:t xml:space="preserve"> </w:t>
      </w:r>
      <w:r>
        <w:t>to</w:t>
      </w:r>
      <w:r w:rsidR="001A1F90">
        <w:t xml:space="preserve"> </w:t>
      </w:r>
      <w:r>
        <w:t>seek</w:t>
      </w:r>
      <w:r w:rsidR="001A1F90">
        <w:t xml:space="preserve"> </w:t>
      </w:r>
      <w:r>
        <w:t>maximum</w:t>
      </w:r>
      <w:r w:rsidR="001A1F90">
        <w:t xml:space="preserve"> </w:t>
      </w:r>
      <w:r>
        <w:t>inclusion</w:t>
      </w:r>
      <w:r w:rsidR="001A1F90">
        <w:t xml:space="preserve"> </w:t>
      </w:r>
      <w:r>
        <w:t>and</w:t>
      </w:r>
      <w:r w:rsidR="001A1F90">
        <w:t xml:space="preserve"> </w:t>
      </w:r>
      <w:r>
        <w:t>therefore</w:t>
      </w:r>
      <w:r w:rsidR="001A1F90">
        <w:t xml:space="preserve"> </w:t>
      </w:r>
      <w:r>
        <w:t>breadth</w:t>
      </w:r>
      <w:r w:rsidR="001A1F90">
        <w:t xml:space="preserve"> </w:t>
      </w:r>
      <w:r>
        <w:t>of</w:t>
      </w:r>
      <w:r w:rsidR="001A1F90">
        <w:t xml:space="preserve"> </w:t>
      </w:r>
      <w:r>
        <w:t>participation.</w:t>
      </w:r>
    </w:p>
    <w:p w14:paraId="4AB461D8" w14:textId="79041348" w:rsidR="004946F1" w:rsidRDefault="004946F1" w:rsidP="00BD612C">
      <w:pPr>
        <w:pStyle w:val="DHHSbody"/>
      </w:pPr>
      <w:r>
        <w:t>The</w:t>
      </w:r>
      <w:r w:rsidR="001A1F90">
        <w:t xml:space="preserve"> </w:t>
      </w:r>
      <w:r>
        <w:t>proposed</w:t>
      </w:r>
      <w:r w:rsidR="001A1F90">
        <w:t xml:space="preserve"> </w:t>
      </w:r>
      <w:r>
        <w:t>sampling</w:t>
      </w:r>
      <w:r w:rsidR="001A1F90">
        <w:t xml:space="preserve"> </w:t>
      </w:r>
      <w:r>
        <w:t>frame</w:t>
      </w:r>
      <w:r w:rsidR="001A1F90">
        <w:t xml:space="preserve"> </w:t>
      </w:r>
      <w:r>
        <w:t>was</w:t>
      </w:r>
      <w:r w:rsidR="001A1F90">
        <w:t xml:space="preserve"> </w:t>
      </w:r>
      <w:r>
        <w:t>deliberately</w:t>
      </w:r>
      <w:r w:rsidR="001A1F90">
        <w:t xml:space="preserve"> </w:t>
      </w:r>
      <w:r>
        <w:t>broad</w:t>
      </w:r>
      <w:r w:rsidR="001A1F90">
        <w:t xml:space="preserve"> </w:t>
      </w:r>
      <w:r>
        <w:t>to</w:t>
      </w:r>
      <w:r w:rsidR="001A1F90">
        <w:t xml:space="preserve"> </w:t>
      </w:r>
      <w:r>
        <w:t>potentially</w:t>
      </w:r>
      <w:r w:rsidR="001A1F90">
        <w:t xml:space="preserve"> </w:t>
      </w:r>
      <w:r>
        <w:t>capture</w:t>
      </w:r>
      <w:r w:rsidR="001A1F90">
        <w:t xml:space="preserve"> </w:t>
      </w:r>
      <w:r>
        <w:t>the</w:t>
      </w:r>
      <w:r w:rsidR="001A1F90">
        <w:t xml:space="preserve"> </w:t>
      </w:r>
      <w:r>
        <w:t>clinical,</w:t>
      </w:r>
      <w:r w:rsidR="001A1F90">
        <w:t xml:space="preserve"> </w:t>
      </w:r>
      <w:r>
        <w:t>policy</w:t>
      </w:r>
      <w:r w:rsidR="001A1F90">
        <w:t xml:space="preserve"> </w:t>
      </w:r>
      <w:r>
        <w:t>and</w:t>
      </w:r>
      <w:r w:rsidR="001A1F90">
        <w:t xml:space="preserve"> </w:t>
      </w:r>
      <w:r>
        <w:t>legislative</w:t>
      </w:r>
      <w:r w:rsidR="001A1F90">
        <w:t xml:space="preserve"> </w:t>
      </w:r>
      <w:r>
        <w:t>nuances</w:t>
      </w:r>
      <w:r w:rsidR="001A1F90">
        <w:t xml:space="preserve"> </w:t>
      </w:r>
      <w:r>
        <w:t>of</w:t>
      </w:r>
      <w:r w:rsidR="001A1F90">
        <w:t xml:space="preserve"> </w:t>
      </w:r>
      <w:r>
        <w:t>different</w:t>
      </w:r>
      <w:r w:rsidR="001A1F90">
        <w:t xml:space="preserve"> </w:t>
      </w:r>
      <w:r>
        <w:t>jurisdictions</w:t>
      </w:r>
      <w:r w:rsidR="001A1F90">
        <w:t xml:space="preserve"> </w:t>
      </w:r>
      <w:r>
        <w:t>with</w:t>
      </w:r>
      <w:r w:rsidR="001A1F90">
        <w:t xml:space="preserve"> </w:t>
      </w:r>
      <w:r>
        <w:t>respect</w:t>
      </w:r>
      <w:r w:rsidR="001A1F90">
        <w:t xml:space="preserve"> </w:t>
      </w:r>
      <w:r>
        <w:t>to</w:t>
      </w:r>
      <w:r w:rsidR="001A1F90">
        <w:t xml:space="preserve"> </w:t>
      </w:r>
      <w:r>
        <w:t>the</w:t>
      </w:r>
      <w:r w:rsidR="001A1F90">
        <w:t xml:space="preserve"> </w:t>
      </w:r>
      <w:r>
        <w:t>topic.</w:t>
      </w:r>
      <w:r w:rsidR="001A1F90">
        <w:t xml:space="preserve"> </w:t>
      </w:r>
      <w:r>
        <w:t>As</w:t>
      </w:r>
      <w:r w:rsidR="001A1F90">
        <w:t xml:space="preserve"> </w:t>
      </w:r>
      <w:r>
        <w:t>such,</w:t>
      </w:r>
      <w:r w:rsidR="001A1F90">
        <w:t xml:space="preserve"> </w:t>
      </w:r>
      <w:r>
        <w:t>participants</w:t>
      </w:r>
      <w:r w:rsidR="001A1F90">
        <w:t xml:space="preserve"> </w:t>
      </w:r>
      <w:r>
        <w:t>that</w:t>
      </w:r>
      <w:r w:rsidR="001A1F90">
        <w:t xml:space="preserve"> </w:t>
      </w:r>
      <w:r>
        <w:t>were</w:t>
      </w:r>
      <w:r w:rsidR="001A1F90">
        <w:t xml:space="preserve"> </w:t>
      </w:r>
      <w:r>
        <w:t>canvassed</w:t>
      </w:r>
      <w:r w:rsidR="001A1F90">
        <w:t xml:space="preserve"> </w:t>
      </w:r>
      <w:r>
        <w:t>worked</w:t>
      </w:r>
      <w:r w:rsidR="001A1F90">
        <w:t xml:space="preserve"> </w:t>
      </w:r>
      <w:r>
        <w:t>in</w:t>
      </w:r>
      <w:r w:rsidR="001A1F90">
        <w:t xml:space="preserve"> </w:t>
      </w:r>
      <w:r>
        <w:t>the</w:t>
      </w:r>
      <w:r w:rsidR="001A1F90">
        <w:t xml:space="preserve"> </w:t>
      </w:r>
      <w:r w:rsidR="0063249C">
        <w:t>s</w:t>
      </w:r>
      <w:r>
        <w:t>tates</w:t>
      </w:r>
      <w:r w:rsidR="001A1F90">
        <w:t xml:space="preserve"> </w:t>
      </w:r>
      <w:r>
        <w:t>of</w:t>
      </w:r>
      <w:r w:rsidR="001A1F90">
        <w:t xml:space="preserve"> </w:t>
      </w:r>
      <w:r>
        <w:t>Victoria,</w:t>
      </w:r>
      <w:r w:rsidR="001A1F90">
        <w:t xml:space="preserve"> </w:t>
      </w:r>
      <w:r>
        <w:t>Queensland,</w:t>
      </w:r>
      <w:r w:rsidR="001A1F90">
        <w:t xml:space="preserve"> </w:t>
      </w:r>
      <w:r>
        <w:t>New</w:t>
      </w:r>
      <w:r w:rsidR="001A1F90">
        <w:t xml:space="preserve"> </w:t>
      </w:r>
      <w:r>
        <w:t>South</w:t>
      </w:r>
      <w:r w:rsidR="001A1F90">
        <w:t xml:space="preserve"> </w:t>
      </w:r>
      <w:r>
        <w:t>Wales,</w:t>
      </w:r>
      <w:r w:rsidR="001A1F90">
        <w:t xml:space="preserve"> </w:t>
      </w:r>
      <w:r>
        <w:t>South</w:t>
      </w:r>
      <w:r w:rsidR="001A1F90">
        <w:t xml:space="preserve"> </w:t>
      </w:r>
      <w:r>
        <w:t>Australia</w:t>
      </w:r>
      <w:r w:rsidR="001A1F90">
        <w:t xml:space="preserve"> </w:t>
      </w:r>
      <w:r w:rsidR="0063249C">
        <w:t xml:space="preserve">or </w:t>
      </w:r>
      <w:r>
        <w:t>Tasmania,</w:t>
      </w:r>
      <w:r w:rsidR="001A1F90">
        <w:t xml:space="preserve"> </w:t>
      </w:r>
      <w:r w:rsidR="0063249C">
        <w:t xml:space="preserve">or in </w:t>
      </w:r>
      <w:r>
        <w:t>New</w:t>
      </w:r>
      <w:r w:rsidR="001A1F90">
        <w:t xml:space="preserve"> </w:t>
      </w:r>
      <w:r>
        <w:t>Zealand.</w:t>
      </w:r>
      <w:r w:rsidR="001A1F90">
        <w:t xml:space="preserve"> </w:t>
      </w:r>
      <w:r>
        <w:t>Practitioners</w:t>
      </w:r>
      <w:r w:rsidR="001A1F90">
        <w:t xml:space="preserve"> </w:t>
      </w:r>
      <w:r>
        <w:t>and</w:t>
      </w:r>
      <w:r w:rsidR="001A1F90">
        <w:t xml:space="preserve"> </w:t>
      </w:r>
      <w:r>
        <w:t>prescribers</w:t>
      </w:r>
      <w:r w:rsidR="001A1F90">
        <w:t xml:space="preserve"> </w:t>
      </w:r>
      <w:r>
        <w:t>were</w:t>
      </w:r>
      <w:r w:rsidR="001A1F90">
        <w:t xml:space="preserve"> </w:t>
      </w:r>
      <w:r>
        <w:t>the</w:t>
      </w:r>
      <w:r w:rsidR="001A1F90">
        <w:t xml:space="preserve"> </w:t>
      </w:r>
      <w:r>
        <w:t>primary</w:t>
      </w:r>
      <w:r w:rsidR="001A1F90">
        <w:t xml:space="preserve"> </w:t>
      </w:r>
      <w:r>
        <w:t>target;</w:t>
      </w:r>
      <w:r w:rsidR="001A1F90">
        <w:t xml:space="preserve"> </w:t>
      </w:r>
      <w:r>
        <w:t>their</w:t>
      </w:r>
      <w:r w:rsidR="001A1F90">
        <w:t xml:space="preserve"> </w:t>
      </w:r>
      <w:r>
        <w:t>disciplines</w:t>
      </w:r>
      <w:r w:rsidR="001A1F90">
        <w:t xml:space="preserve"> </w:t>
      </w:r>
      <w:r>
        <w:t>covered</w:t>
      </w:r>
      <w:r w:rsidR="001A1F90">
        <w:t xml:space="preserve"> </w:t>
      </w:r>
      <w:r>
        <w:t>forensic</w:t>
      </w:r>
      <w:r w:rsidR="001A1F90">
        <w:t xml:space="preserve"> </w:t>
      </w:r>
      <w:r>
        <w:t>psychiatry,</w:t>
      </w:r>
      <w:r w:rsidR="001A1F90">
        <w:t xml:space="preserve"> </w:t>
      </w:r>
      <w:r>
        <w:t>nursing</w:t>
      </w:r>
      <w:r w:rsidR="001A1F90">
        <w:t xml:space="preserve"> </w:t>
      </w:r>
      <w:r>
        <w:t>and</w:t>
      </w:r>
      <w:r w:rsidR="001A1F90">
        <w:t xml:space="preserve"> </w:t>
      </w:r>
      <w:r>
        <w:t>psychology.</w:t>
      </w:r>
      <w:r w:rsidR="001A1F90">
        <w:t xml:space="preserve"> </w:t>
      </w:r>
      <w:r>
        <w:t>Individuals</w:t>
      </w:r>
      <w:r w:rsidR="001A1F90">
        <w:t xml:space="preserve"> </w:t>
      </w:r>
      <w:r>
        <w:t>in</w:t>
      </w:r>
      <w:r w:rsidR="001A1F90">
        <w:t xml:space="preserve"> </w:t>
      </w:r>
      <w:r>
        <w:t>key</w:t>
      </w:r>
      <w:r w:rsidR="001A1F90">
        <w:t xml:space="preserve"> </w:t>
      </w:r>
      <w:r>
        <w:t>policy</w:t>
      </w:r>
      <w:r w:rsidR="001A1F90">
        <w:t xml:space="preserve"> </w:t>
      </w:r>
      <w:r>
        <w:t>roles</w:t>
      </w:r>
      <w:r w:rsidR="001A1F90">
        <w:t xml:space="preserve"> </w:t>
      </w:r>
      <w:r>
        <w:t>were</w:t>
      </w:r>
      <w:r w:rsidR="001A1F90">
        <w:t xml:space="preserve"> </w:t>
      </w:r>
      <w:r>
        <w:t>also</w:t>
      </w:r>
      <w:r w:rsidR="001A1F90">
        <w:t xml:space="preserve"> </w:t>
      </w:r>
      <w:r>
        <w:t>invited</w:t>
      </w:r>
      <w:r w:rsidR="001A1F90">
        <w:t xml:space="preserve"> </w:t>
      </w:r>
      <w:r>
        <w:t>to</w:t>
      </w:r>
      <w:r w:rsidR="001A1F90">
        <w:t xml:space="preserve"> </w:t>
      </w:r>
      <w:r>
        <w:t>contribute.</w:t>
      </w:r>
      <w:r w:rsidR="001A1F90">
        <w:t xml:space="preserve"> </w:t>
      </w:r>
      <w:r>
        <w:t>Of</w:t>
      </w:r>
      <w:r w:rsidR="001A1F90">
        <w:t xml:space="preserve"> </w:t>
      </w:r>
      <w:r>
        <w:t>note,</w:t>
      </w:r>
      <w:r w:rsidR="001A1F90">
        <w:t xml:space="preserve"> </w:t>
      </w:r>
      <w:r>
        <w:t>all</w:t>
      </w:r>
      <w:r w:rsidR="001A1F90">
        <w:t xml:space="preserve"> </w:t>
      </w:r>
      <w:r>
        <w:t>24</w:t>
      </w:r>
      <w:r w:rsidR="001A1F90">
        <w:t xml:space="preserve"> </w:t>
      </w:r>
      <w:r>
        <w:t>potential</w:t>
      </w:r>
      <w:r w:rsidR="001A1F90">
        <w:t xml:space="preserve"> </w:t>
      </w:r>
      <w:r>
        <w:t>participants</w:t>
      </w:r>
      <w:r w:rsidR="001A1F90">
        <w:t xml:space="preserve"> </w:t>
      </w:r>
      <w:r>
        <w:t>had</w:t>
      </w:r>
      <w:r w:rsidR="001A1F90">
        <w:t xml:space="preserve"> </w:t>
      </w:r>
      <w:r>
        <w:t>either</w:t>
      </w:r>
      <w:r w:rsidR="001A1F90">
        <w:t xml:space="preserve"> </w:t>
      </w:r>
      <w:r>
        <w:t>voiced</w:t>
      </w:r>
      <w:r w:rsidR="001A1F90">
        <w:t xml:space="preserve"> </w:t>
      </w:r>
      <w:r>
        <w:t>a</w:t>
      </w:r>
      <w:r w:rsidR="001A1F90">
        <w:t xml:space="preserve"> </w:t>
      </w:r>
      <w:r>
        <w:t>specific</w:t>
      </w:r>
      <w:r w:rsidR="001A1F90">
        <w:t xml:space="preserve"> </w:t>
      </w:r>
      <w:r>
        <w:t>interest</w:t>
      </w:r>
      <w:r w:rsidR="001A1F90">
        <w:t xml:space="preserve"> </w:t>
      </w:r>
      <w:r>
        <w:t>in</w:t>
      </w:r>
      <w:r w:rsidR="001A1F90">
        <w:t xml:space="preserve"> </w:t>
      </w:r>
      <w:r>
        <w:t>having</w:t>
      </w:r>
      <w:r w:rsidR="001A1F90">
        <w:t xml:space="preserve"> </w:t>
      </w:r>
      <w:r>
        <w:t>discussions</w:t>
      </w:r>
      <w:r w:rsidR="001A1F90">
        <w:t xml:space="preserve"> </w:t>
      </w:r>
      <w:r>
        <w:t>on</w:t>
      </w:r>
      <w:r w:rsidR="001A1F90">
        <w:t xml:space="preserve"> </w:t>
      </w:r>
      <w:r>
        <w:t>the</w:t>
      </w:r>
      <w:r w:rsidR="001A1F90">
        <w:t xml:space="preserve"> </w:t>
      </w:r>
      <w:r>
        <w:t>topic</w:t>
      </w:r>
      <w:r w:rsidR="001A1F90">
        <w:t xml:space="preserve"> </w:t>
      </w:r>
      <w:r>
        <w:t>area</w:t>
      </w:r>
      <w:r w:rsidR="001A1F90">
        <w:t xml:space="preserve"> </w:t>
      </w:r>
      <w:r>
        <w:t>or</w:t>
      </w:r>
      <w:r w:rsidR="001A1F90">
        <w:t xml:space="preserve"> </w:t>
      </w:r>
      <w:r>
        <w:t>were</w:t>
      </w:r>
      <w:r w:rsidR="001A1F90">
        <w:t xml:space="preserve"> </w:t>
      </w:r>
      <w:r>
        <w:t>well</w:t>
      </w:r>
      <w:r w:rsidR="001A1F90">
        <w:t xml:space="preserve"> </w:t>
      </w:r>
      <w:r>
        <w:t>known</w:t>
      </w:r>
      <w:r w:rsidR="001A1F90">
        <w:t xml:space="preserve"> </w:t>
      </w:r>
      <w:r>
        <w:t>for</w:t>
      </w:r>
      <w:r w:rsidR="001A1F90">
        <w:t xml:space="preserve"> </w:t>
      </w:r>
      <w:r>
        <w:t>their</w:t>
      </w:r>
      <w:r w:rsidR="001A1F90">
        <w:t xml:space="preserve"> </w:t>
      </w:r>
      <w:r>
        <w:t>work</w:t>
      </w:r>
      <w:r w:rsidR="001A1F90">
        <w:t xml:space="preserve"> </w:t>
      </w:r>
      <w:r>
        <w:t>with</w:t>
      </w:r>
      <w:r w:rsidR="001A1F90">
        <w:t xml:space="preserve"> </w:t>
      </w:r>
      <w:r>
        <w:t>this</w:t>
      </w:r>
      <w:r w:rsidR="001A1F90">
        <w:t xml:space="preserve"> </w:t>
      </w:r>
      <w:r>
        <w:t>population</w:t>
      </w:r>
      <w:r w:rsidR="001A1F90">
        <w:t xml:space="preserve"> </w:t>
      </w:r>
      <w:r>
        <w:t>generally.</w:t>
      </w:r>
    </w:p>
    <w:p w14:paraId="051A71DD" w14:textId="2641979F" w:rsidR="004946F1" w:rsidRDefault="004946F1" w:rsidP="00BD612C">
      <w:pPr>
        <w:pStyle w:val="DHHSbody"/>
      </w:pPr>
      <w:r>
        <w:t>Potential</w:t>
      </w:r>
      <w:r w:rsidR="001A1F90">
        <w:t xml:space="preserve"> </w:t>
      </w:r>
      <w:r>
        <w:t>participants</w:t>
      </w:r>
      <w:r w:rsidR="001A1F90">
        <w:t xml:space="preserve"> </w:t>
      </w:r>
      <w:r>
        <w:t>were</w:t>
      </w:r>
      <w:r w:rsidR="001A1F90">
        <w:t xml:space="preserve"> </w:t>
      </w:r>
      <w:r>
        <w:t>invited</w:t>
      </w:r>
      <w:r w:rsidR="001A1F90">
        <w:t xml:space="preserve"> </w:t>
      </w:r>
      <w:r>
        <w:t>to</w:t>
      </w:r>
      <w:r w:rsidR="001A1F90">
        <w:t xml:space="preserve"> </w:t>
      </w:r>
      <w:r>
        <w:t>participate</w:t>
      </w:r>
      <w:r w:rsidR="001A1F90">
        <w:t xml:space="preserve"> </w:t>
      </w:r>
      <w:r>
        <w:t>in</w:t>
      </w:r>
      <w:r w:rsidR="001A1F90">
        <w:t xml:space="preserve"> </w:t>
      </w:r>
      <w:r>
        <w:t>the</w:t>
      </w:r>
      <w:r w:rsidR="001A1F90">
        <w:t xml:space="preserve"> </w:t>
      </w:r>
      <w:r>
        <w:t>consultation</w:t>
      </w:r>
      <w:r w:rsidR="001A1F90">
        <w:t xml:space="preserve"> </w:t>
      </w:r>
      <w:r>
        <w:t>process</w:t>
      </w:r>
      <w:r w:rsidR="001A1F90">
        <w:t xml:space="preserve"> </w:t>
      </w:r>
      <w:r>
        <w:t>by</w:t>
      </w:r>
      <w:r w:rsidR="001A1F90">
        <w:t xml:space="preserve"> </w:t>
      </w:r>
      <w:r>
        <w:t>email</w:t>
      </w:r>
      <w:r w:rsidR="001A1F90">
        <w:t xml:space="preserve"> </w:t>
      </w:r>
      <w:r>
        <w:t>by</w:t>
      </w:r>
      <w:r w:rsidR="001A1F90">
        <w:t xml:space="preserve"> </w:t>
      </w:r>
      <w:r>
        <w:t>the</w:t>
      </w:r>
      <w:r w:rsidR="001A1F90">
        <w:t xml:space="preserve"> </w:t>
      </w:r>
      <w:r>
        <w:t>authors,</w:t>
      </w:r>
      <w:r w:rsidR="001A1F90">
        <w:t xml:space="preserve"> </w:t>
      </w:r>
      <w:r>
        <w:t>using</w:t>
      </w:r>
      <w:r w:rsidR="001A1F90">
        <w:t xml:space="preserve"> </w:t>
      </w:r>
      <w:r>
        <w:t>an</w:t>
      </w:r>
      <w:r w:rsidR="001A1F90">
        <w:t xml:space="preserve"> </w:t>
      </w:r>
      <w:r>
        <w:t>email</w:t>
      </w:r>
      <w:r w:rsidR="001A1F90">
        <w:t xml:space="preserve"> </w:t>
      </w:r>
      <w:r>
        <w:t>contacts</w:t>
      </w:r>
      <w:r w:rsidR="001A1F90">
        <w:t xml:space="preserve"> </w:t>
      </w:r>
      <w:r>
        <w:t>list</w:t>
      </w:r>
      <w:r w:rsidR="001A1F90">
        <w:t xml:space="preserve"> </w:t>
      </w:r>
      <w:r>
        <w:t>provided</w:t>
      </w:r>
      <w:r w:rsidR="001A1F90">
        <w:t xml:space="preserve"> </w:t>
      </w:r>
      <w:r>
        <w:t>by</w:t>
      </w:r>
      <w:r w:rsidR="001A1F90">
        <w:t xml:space="preserve"> </w:t>
      </w:r>
      <w:r>
        <w:t>the</w:t>
      </w:r>
      <w:r w:rsidR="001A1F90">
        <w:t xml:space="preserve"> </w:t>
      </w:r>
      <w:r>
        <w:t>Senior</w:t>
      </w:r>
      <w:r w:rsidR="001A1F90">
        <w:t xml:space="preserve"> </w:t>
      </w:r>
      <w:r>
        <w:t>Practitioner</w:t>
      </w:r>
      <w:r w:rsidR="006554F9">
        <w:t xml:space="preserve"> – </w:t>
      </w:r>
      <w:r>
        <w:t>Disability,</w:t>
      </w:r>
      <w:r w:rsidR="001A1F90">
        <w:t xml:space="preserve"> </w:t>
      </w:r>
      <w:r>
        <w:t>Office</w:t>
      </w:r>
      <w:r w:rsidR="001A1F90">
        <w:t xml:space="preserve"> </w:t>
      </w:r>
      <w:r>
        <w:t>of</w:t>
      </w:r>
      <w:r w:rsidR="001A1F90">
        <w:t xml:space="preserve"> </w:t>
      </w:r>
      <w:r>
        <w:t>Professional</w:t>
      </w:r>
      <w:r w:rsidR="001A1F90">
        <w:t xml:space="preserve"> </w:t>
      </w:r>
      <w:r>
        <w:t>Practice.</w:t>
      </w:r>
      <w:r w:rsidR="001A1F90">
        <w:t xml:space="preserve"> </w:t>
      </w:r>
      <w:r>
        <w:t>Procedurally,</w:t>
      </w:r>
      <w:r w:rsidR="001A1F90">
        <w:t xml:space="preserve"> </w:t>
      </w:r>
      <w:r>
        <w:t>all</w:t>
      </w:r>
      <w:r w:rsidR="001A1F90">
        <w:t xml:space="preserve"> </w:t>
      </w:r>
      <w:r>
        <w:t>potential</w:t>
      </w:r>
      <w:r w:rsidR="001A1F90">
        <w:t xml:space="preserve"> </w:t>
      </w:r>
      <w:r>
        <w:t>participants</w:t>
      </w:r>
      <w:r w:rsidR="001A1F90">
        <w:t xml:space="preserve"> </w:t>
      </w:r>
      <w:r>
        <w:t>were</w:t>
      </w:r>
      <w:r w:rsidR="001A1F90">
        <w:t xml:space="preserve"> </w:t>
      </w:r>
      <w:r>
        <w:t>invited</w:t>
      </w:r>
      <w:r w:rsidR="001A1F90">
        <w:t xml:space="preserve"> </w:t>
      </w:r>
      <w:r>
        <w:t>to</w:t>
      </w:r>
      <w:r w:rsidR="001A1F90">
        <w:t xml:space="preserve"> </w:t>
      </w:r>
      <w:r>
        <w:t>participate</w:t>
      </w:r>
      <w:r w:rsidR="001A1F90">
        <w:t xml:space="preserve"> </w:t>
      </w:r>
      <w:r>
        <w:t>up</w:t>
      </w:r>
      <w:r w:rsidR="001A1F90">
        <w:t xml:space="preserve"> </w:t>
      </w:r>
      <w:r>
        <w:t>to</w:t>
      </w:r>
      <w:r w:rsidR="001A1F90">
        <w:t xml:space="preserve"> </w:t>
      </w:r>
      <w:r>
        <w:t>three</w:t>
      </w:r>
      <w:r w:rsidR="001A1F90">
        <w:t xml:space="preserve"> </w:t>
      </w:r>
      <w:r>
        <w:t>times</w:t>
      </w:r>
      <w:r w:rsidR="001A1F90">
        <w:t xml:space="preserve"> </w:t>
      </w:r>
      <w:r>
        <w:t>over</w:t>
      </w:r>
      <w:r w:rsidR="001A1F90">
        <w:t xml:space="preserve"> </w:t>
      </w:r>
      <w:r>
        <w:t>a</w:t>
      </w:r>
      <w:r w:rsidR="001A1F90">
        <w:t xml:space="preserve"> </w:t>
      </w:r>
      <w:r>
        <w:t>period</w:t>
      </w:r>
      <w:r w:rsidR="001A1F90">
        <w:t xml:space="preserve"> </w:t>
      </w:r>
      <w:r w:rsidR="0063249C">
        <w:t xml:space="preserve">that </w:t>
      </w:r>
      <w:r>
        <w:t>spanned</w:t>
      </w:r>
      <w:r w:rsidR="001A1F90">
        <w:t xml:space="preserve"> </w:t>
      </w:r>
      <w:r>
        <w:t>approximately</w:t>
      </w:r>
      <w:r w:rsidR="001A1F90">
        <w:t xml:space="preserve"> </w:t>
      </w:r>
      <w:r>
        <w:t>three</w:t>
      </w:r>
      <w:r w:rsidR="001A1F90">
        <w:t xml:space="preserve"> </w:t>
      </w:r>
      <w:r>
        <w:t>months.</w:t>
      </w:r>
      <w:r w:rsidR="001A1F90">
        <w:t xml:space="preserve"> </w:t>
      </w:r>
      <w:r w:rsidR="00BB7A44">
        <w:t>Due to busy working schedules and the voluntary nature of the request, a</w:t>
      </w:r>
      <w:r>
        <w:t>s</w:t>
      </w:r>
      <w:r w:rsidR="001A1F90">
        <w:t xml:space="preserve"> </w:t>
      </w:r>
      <w:r>
        <w:t>much</w:t>
      </w:r>
      <w:r w:rsidR="001A1F90">
        <w:t xml:space="preserve"> </w:t>
      </w:r>
      <w:r>
        <w:t>flexibility</w:t>
      </w:r>
      <w:r w:rsidR="001A1F90">
        <w:t xml:space="preserve"> </w:t>
      </w:r>
      <w:r>
        <w:t>as</w:t>
      </w:r>
      <w:r w:rsidR="001A1F90">
        <w:t xml:space="preserve"> </w:t>
      </w:r>
      <w:r>
        <w:t>possible</w:t>
      </w:r>
      <w:r w:rsidR="001A1F90">
        <w:t xml:space="preserve"> </w:t>
      </w:r>
      <w:r>
        <w:t>was</w:t>
      </w:r>
      <w:r w:rsidR="001A1F90">
        <w:t xml:space="preserve"> </w:t>
      </w:r>
      <w:r>
        <w:t>allowed</w:t>
      </w:r>
      <w:r w:rsidR="00BB7A44">
        <w:t xml:space="preserve">. This was </w:t>
      </w:r>
      <w:r>
        <w:t>to</w:t>
      </w:r>
      <w:r w:rsidR="001A1F90">
        <w:t xml:space="preserve"> </w:t>
      </w:r>
      <w:r>
        <w:t>encourage</w:t>
      </w:r>
      <w:r w:rsidR="001A1F90">
        <w:t xml:space="preserve"> </w:t>
      </w:r>
      <w:r>
        <w:t>participation</w:t>
      </w:r>
      <w:r w:rsidR="001A1F90">
        <w:t xml:space="preserve"> </w:t>
      </w:r>
      <w:r>
        <w:t>to</w:t>
      </w:r>
      <w:r w:rsidR="001A1F90">
        <w:t xml:space="preserve"> </w:t>
      </w:r>
      <w:r>
        <w:t>maximise</w:t>
      </w:r>
      <w:r w:rsidR="001A1F90">
        <w:t xml:space="preserve"> </w:t>
      </w:r>
      <w:r>
        <w:t>responses</w:t>
      </w:r>
      <w:r w:rsidR="001A1F90">
        <w:t xml:space="preserve"> </w:t>
      </w:r>
      <w:r>
        <w:t>and</w:t>
      </w:r>
      <w:r w:rsidR="001A1F90">
        <w:t xml:space="preserve"> </w:t>
      </w:r>
      <w:r>
        <w:t>potential</w:t>
      </w:r>
      <w:r w:rsidR="001A1F90">
        <w:t xml:space="preserve"> </w:t>
      </w:r>
      <w:r>
        <w:t>generalisability.</w:t>
      </w:r>
    </w:p>
    <w:p w14:paraId="628EEF51" w14:textId="613D329F" w:rsidR="004946F1" w:rsidRDefault="004946F1" w:rsidP="00BD612C">
      <w:pPr>
        <w:pStyle w:val="DHHSbody"/>
      </w:pPr>
      <w:r>
        <w:t>A</w:t>
      </w:r>
      <w:r w:rsidR="001A1F90">
        <w:t xml:space="preserve"> </w:t>
      </w:r>
      <w:r>
        <w:t>standard</w:t>
      </w:r>
      <w:r w:rsidR="001A1F90">
        <w:t xml:space="preserve"> </w:t>
      </w:r>
      <w:r>
        <w:t>invitation</w:t>
      </w:r>
      <w:r w:rsidR="001A1F90">
        <w:t xml:space="preserve"> </w:t>
      </w:r>
      <w:r>
        <w:t>to</w:t>
      </w:r>
      <w:r w:rsidR="001A1F90">
        <w:t xml:space="preserve"> </w:t>
      </w:r>
      <w:r>
        <w:t>participate</w:t>
      </w:r>
      <w:r w:rsidR="001A1F90">
        <w:t xml:space="preserve"> </w:t>
      </w:r>
      <w:r>
        <w:t>was</w:t>
      </w:r>
      <w:r w:rsidR="001A1F90">
        <w:t xml:space="preserve"> </w:t>
      </w:r>
      <w:r>
        <w:t>emailed</w:t>
      </w:r>
      <w:r w:rsidR="001A1F90">
        <w:t xml:space="preserve"> </w:t>
      </w:r>
      <w:r>
        <w:t>to</w:t>
      </w:r>
      <w:r w:rsidR="001A1F90">
        <w:t xml:space="preserve"> </w:t>
      </w:r>
      <w:r>
        <w:t>all</w:t>
      </w:r>
      <w:r w:rsidR="001A1F90">
        <w:t xml:space="preserve"> </w:t>
      </w:r>
      <w:r>
        <w:t>potential</w:t>
      </w:r>
      <w:r w:rsidR="001A1F90">
        <w:t xml:space="preserve"> </w:t>
      </w:r>
      <w:r>
        <w:t>participants.</w:t>
      </w:r>
      <w:r w:rsidR="001A1F90">
        <w:t xml:space="preserve"> </w:t>
      </w:r>
      <w:r>
        <w:t>Participants</w:t>
      </w:r>
      <w:r w:rsidR="001A1F90">
        <w:t xml:space="preserve"> </w:t>
      </w:r>
      <w:r>
        <w:t>were</w:t>
      </w:r>
      <w:r w:rsidR="001A1F90">
        <w:t xml:space="preserve"> </w:t>
      </w:r>
      <w:r>
        <w:t>asked</w:t>
      </w:r>
      <w:r w:rsidR="001A1F90">
        <w:t xml:space="preserve"> </w:t>
      </w:r>
      <w:r>
        <w:t>to</w:t>
      </w:r>
      <w:r w:rsidR="001A1F90">
        <w:t xml:space="preserve"> </w:t>
      </w:r>
      <w:r>
        <w:t>provide</w:t>
      </w:r>
      <w:r w:rsidR="001A1F90">
        <w:t xml:space="preserve"> </w:t>
      </w:r>
      <w:r>
        <w:t>responses</w:t>
      </w:r>
      <w:r w:rsidR="001A1F90">
        <w:t xml:space="preserve"> </w:t>
      </w:r>
      <w:r>
        <w:t>on</w:t>
      </w:r>
      <w:r w:rsidR="001A1F90">
        <w:t xml:space="preserve"> </w:t>
      </w:r>
      <w:r>
        <w:t>the</w:t>
      </w:r>
      <w:r w:rsidR="001A1F90">
        <w:t xml:space="preserve"> </w:t>
      </w:r>
      <w:r>
        <w:t>following</w:t>
      </w:r>
      <w:r w:rsidR="001A1F90">
        <w:t xml:space="preserve"> </w:t>
      </w:r>
      <w:r>
        <w:t>issues:</w:t>
      </w:r>
    </w:p>
    <w:p w14:paraId="207FF3EF" w14:textId="682269C2" w:rsidR="004946F1" w:rsidRDefault="00A758E4" w:rsidP="00BD612C">
      <w:pPr>
        <w:pStyle w:val="DHHSbullet1"/>
      </w:pPr>
      <w:r>
        <w:t>t</w:t>
      </w:r>
      <w:r w:rsidR="004946F1">
        <w:t>he</w:t>
      </w:r>
      <w:r w:rsidR="001A1F90">
        <w:t xml:space="preserve"> </w:t>
      </w:r>
      <w:r w:rsidR="004946F1">
        <w:t>legal</w:t>
      </w:r>
      <w:r w:rsidR="001A1F90">
        <w:t xml:space="preserve"> </w:t>
      </w:r>
      <w:r w:rsidR="004946F1">
        <w:t>framework</w:t>
      </w:r>
      <w:r w:rsidR="001A1F90">
        <w:t xml:space="preserve"> </w:t>
      </w:r>
      <w:r w:rsidR="004946F1">
        <w:t>in</w:t>
      </w:r>
      <w:r w:rsidR="001A1F90">
        <w:t xml:space="preserve"> </w:t>
      </w:r>
      <w:r w:rsidR="004946F1">
        <w:t>their</w:t>
      </w:r>
      <w:r w:rsidR="001A1F90">
        <w:t xml:space="preserve"> </w:t>
      </w:r>
      <w:r w:rsidR="004946F1">
        <w:t>jurisdiction</w:t>
      </w:r>
      <w:r w:rsidR="001A1F90">
        <w:t xml:space="preserve"> </w:t>
      </w:r>
      <w:r w:rsidR="00BB7A44">
        <w:t xml:space="preserve">for </w:t>
      </w:r>
      <w:r w:rsidR="004946F1">
        <w:t>prescri</w:t>
      </w:r>
      <w:r w:rsidR="00BB7A44">
        <w:t>bing</w:t>
      </w:r>
      <w:r w:rsidR="001A1F90">
        <w:t xml:space="preserve"> </w:t>
      </w:r>
      <w:r w:rsidR="004946F1">
        <w:t>anti-libidinal</w:t>
      </w:r>
      <w:r w:rsidR="001A1F90">
        <w:t xml:space="preserve"> </w:t>
      </w:r>
      <w:r w:rsidR="004946F1">
        <w:t>medication</w:t>
      </w:r>
    </w:p>
    <w:p w14:paraId="67BDD4D0" w14:textId="4132177A" w:rsidR="004946F1" w:rsidRDefault="00A758E4" w:rsidP="00BD612C">
      <w:pPr>
        <w:pStyle w:val="DHHSbullet1"/>
      </w:pPr>
      <w:r>
        <w:t>c</w:t>
      </w:r>
      <w:r w:rsidR="004946F1">
        <w:t>onsiderations</w:t>
      </w:r>
      <w:r w:rsidR="001A1F90">
        <w:t xml:space="preserve"> </w:t>
      </w:r>
      <w:r w:rsidR="004946F1">
        <w:t>and</w:t>
      </w:r>
      <w:r w:rsidR="001A1F90">
        <w:t xml:space="preserve"> </w:t>
      </w:r>
      <w:r w:rsidR="004946F1">
        <w:t>practicalities</w:t>
      </w:r>
      <w:r w:rsidR="001A1F90">
        <w:t xml:space="preserve"> </w:t>
      </w:r>
      <w:r w:rsidR="004946F1">
        <w:t>about</w:t>
      </w:r>
      <w:r w:rsidR="001A1F90">
        <w:t xml:space="preserve"> </w:t>
      </w:r>
      <w:r w:rsidR="004946F1">
        <w:t>how</w:t>
      </w:r>
      <w:r w:rsidR="001A1F90">
        <w:t xml:space="preserve"> </w:t>
      </w:r>
      <w:r w:rsidR="004946F1">
        <w:t>issues</w:t>
      </w:r>
      <w:r w:rsidR="001A1F90">
        <w:t xml:space="preserve"> </w:t>
      </w:r>
      <w:r w:rsidR="004946F1">
        <w:t>of</w:t>
      </w:r>
      <w:r w:rsidR="001A1F90">
        <w:t xml:space="preserve"> </w:t>
      </w:r>
      <w:r w:rsidR="004946F1">
        <w:t>capacity</w:t>
      </w:r>
      <w:r w:rsidR="001A1F90">
        <w:t xml:space="preserve"> </w:t>
      </w:r>
      <w:r w:rsidR="004946F1">
        <w:t>and</w:t>
      </w:r>
      <w:r w:rsidR="001A1F90">
        <w:t xml:space="preserve"> </w:t>
      </w:r>
      <w:r w:rsidR="004946F1">
        <w:t>consent</w:t>
      </w:r>
      <w:r w:rsidR="001A1F90">
        <w:t xml:space="preserve"> </w:t>
      </w:r>
      <w:r w:rsidR="004946F1">
        <w:t>are</w:t>
      </w:r>
      <w:r w:rsidR="001A1F90">
        <w:t xml:space="preserve"> </w:t>
      </w:r>
      <w:r w:rsidR="004946F1">
        <w:t>assessed</w:t>
      </w:r>
      <w:r w:rsidR="001A1F90">
        <w:t xml:space="preserve"> </w:t>
      </w:r>
      <w:r w:rsidR="004946F1">
        <w:t>with</w:t>
      </w:r>
      <w:r w:rsidR="001A1F90">
        <w:t xml:space="preserve"> </w:t>
      </w:r>
      <w:r w:rsidR="004946F1">
        <w:t>the</w:t>
      </w:r>
      <w:r w:rsidR="001A1F90">
        <w:t xml:space="preserve"> </w:t>
      </w:r>
      <w:r w:rsidR="004946F1">
        <w:t>target</w:t>
      </w:r>
      <w:r w:rsidR="001A1F90">
        <w:t xml:space="preserve"> </w:t>
      </w:r>
      <w:r w:rsidR="004946F1">
        <w:t>population</w:t>
      </w:r>
    </w:p>
    <w:p w14:paraId="789A2A38" w14:textId="4960239A" w:rsidR="004946F1" w:rsidRDefault="00A758E4" w:rsidP="00BD612C">
      <w:pPr>
        <w:pStyle w:val="DHHSbullet1"/>
      </w:pPr>
      <w:r>
        <w:t>d</w:t>
      </w:r>
      <w:r w:rsidR="004946F1">
        <w:t>etails</w:t>
      </w:r>
      <w:r w:rsidR="001A1F90">
        <w:t xml:space="preserve"> </w:t>
      </w:r>
      <w:r w:rsidR="004946F1">
        <w:t>about</w:t>
      </w:r>
      <w:r w:rsidR="001A1F90">
        <w:t xml:space="preserve"> </w:t>
      </w:r>
      <w:r w:rsidR="004946F1">
        <w:t>any</w:t>
      </w:r>
      <w:r w:rsidR="001A1F90">
        <w:t xml:space="preserve"> </w:t>
      </w:r>
      <w:r w:rsidR="004946F1">
        <w:t>locally</w:t>
      </w:r>
      <w:r w:rsidR="001A1F90">
        <w:t xml:space="preserve"> </w:t>
      </w:r>
      <w:r w:rsidR="004946F1">
        <w:t>developed</w:t>
      </w:r>
      <w:r w:rsidR="001A1F90">
        <w:t xml:space="preserve"> </w:t>
      </w:r>
      <w:r w:rsidR="004946F1">
        <w:t>prescribing</w:t>
      </w:r>
      <w:r w:rsidR="001A1F90">
        <w:t xml:space="preserve"> </w:t>
      </w:r>
      <w:r w:rsidR="004946F1">
        <w:t>policies</w:t>
      </w:r>
      <w:r w:rsidR="001A1F90">
        <w:t xml:space="preserve"> </w:t>
      </w:r>
      <w:r w:rsidR="004946F1">
        <w:t>or</w:t>
      </w:r>
      <w:r w:rsidR="001A1F90">
        <w:t xml:space="preserve"> </w:t>
      </w:r>
      <w:r w:rsidR="004946F1">
        <w:t>protocols</w:t>
      </w:r>
      <w:r w:rsidR="001A1F90">
        <w:t xml:space="preserve"> </w:t>
      </w:r>
      <w:r w:rsidR="004946F1">
        <w:t>and</w:t>
      </w:r>
      <w:r w:rsidR="001A1F90">
        <w:t xml:space="preserve"> </w:t>
      </w:r>
      <w:r w:rsidR="004946F1">
        <w:t>the</w:t>
      </w:r>
      <w:r w:rsidR="001A1F90">
        <w:t xml:space="preserve"> </w:t>
      </w:r>
      <w:r w:rsidR="004946F1">
        <w:t>use</w:t>
      </w:r>
      <w:r w:rsidR="001A1F90">
        <w:t xml:space="preserve"> </w:t>
      </w:r>
      <w:r w:rsidR="004946F1">
        <w:t>of</w:t>
      </w:r>
      <w:r w:rsidR="001A1F90">
        <w:t xml:space="preserve"> </w:t>
      </w:r>
      <w:r w:rsidR="004946F1">
        <w:t>adjunct</w:t>
      </w:r>
      <w:r w:rsidR="001A1F90">
        <w:t xml:space="preserve"> </w:t>
      </w:r>
      <w:r w:rsidR="004946F1">
        <w:t>therapies.</w:t>
      </w:r>
    </w:p>
    <w:p w14:paraId="4D528D72" w14:textId="448ACE5D" w:rsidR="004946F1" w:rsidRDefault="004946F1" w:rsidP="00B87022">
      <w:pPr>
        <w:pStyle w:val="DHHSbodyafterbullets"/>
      </w:pPr>
      <w:r>
        <w:t>Based</w:t>
      </w:r>
      <w:r w:rsidR="001A1F90">
        <w:t xml:space="preserve"> </w:t>
      </w:r>
      <w:r>
        <w:t>on</w:t>
      </w:r>
      <w:r w:rsidR="001A1F90">
        <w:t xml:space="preserve"> </w:t>
      </w:r>
      <w:r>
        <w:t>the</w:t>
      </w:r>
      <w:r w:rsidR="001A1F90">
        <w:t xml:space="preserve"> </w:t>
      </w:r>
      <w:r>
        <w:t>direct</w:t>
      </w:r>
      <w:r w:rsidR="001A1F90">
        <w:t xml:space="preserve"> </w:t>
      </w:r>
      <w:r>
        <w:t>relevance</w:t>
      </w:r>
      <w:r w:rsidR="001A1F90">
        <w:t xml:space="preserve"> </w:t>
      </w:r>
      <w:r>
        <w:t>of,</w:t>
      </w:r>
      <w:r w:rsidR="001A1F90">
        <w:t xml:space="preserve"> </w:t>
      </w:r>
      <w:r>
        <w:t>and</w:t>
      </w:r>
      <w:r w:rsidR="001A1F90">
        <w:t xml:space="preserve"> </w:t>
      </w:r>
      <w:r>
        <w:t>level</w:t>
      </w:r>
      <w:r w:rsidR="001A1F90">
        <w:t xml:space="preserve"> </w:t>
      </w:r>
      <w:r>
        <w:t>of</w:t>
      </w:r>
      <w:r w:rsidR="001A1F90">
        <w:t xml:space="preserve"> </w:t>
      </w:r>
      <w:r>
        <w:t>detail</w:t>
      </w:r>
      <w:r w:rsidR="001A1F90">
        <w:t xml:space="preserve"> </w:t>
      </w:r>
      <w:r>
        <w:t>available</w:t>
      </w:r>
      <w:r w:rsidR="001A1F90">
        <w:t xml:space="preserve"> </w:t>
      </w:r>
      <w:r>
        <w:t>in,</w:t>
      </w:r>
      <w:r w:rsidR="001A1F90">
        <w:t xml:space="preserve"> </w:t>
      </w:r>
      <w:r>
        <w:t>the</w:t>
      </w:r>
      <w:r w:rsidR="001A1F90">
        <w:t xml:space="preserve"> </w:t>
      </w:r>
      <w:r>
        <w:t>WFSBP</w:t>
      </w:r>
      <w:r w:rsidR="001A1F90">
        <w:t xml:space="preserve"> </w:t>
      </w:r>
      <w:r>
        <w:t>guidelines,</w:t>
      </w:r>
      <w:r w:rsidR="001A1F90">
        <w:t xml:space="preserve"> </w:t>
      </w:r>
      <w:r>
        <w:t>these</w:t>
      </w:r>
      <w:r w:rsidR="001A1F90">
        <w:t xml:space="preserve"> </w:t>
      </w:r>
      <w:r>
        <w:t>were</w:t>
      </w:r>
      <w:r w:rsidR="001A1F90">
        <w:t xml:space="preserve"> </w:t>
      </w:r>
      <w:r>
        <w:t>selected</w:t>
      </w:r>
      <w:r w:rsidR="001A1F90">
        <w:t xml:space="preserve"> </w:t>
      </w:r>
      <w:r>
        <w:t>as</w:t>
      </w:r>
      <w:r w:rsidR="001A1F90">
        <w:t xml:space="preserve"> </w:t>
      </w:r>
      <w:r>
        <w:t>the</w:t>
      </w:r>
      <w:r w:rsidR="001A1F90">
        <w:t xml:space="preserve"> </w:t>
      </w:r>
      <w:r>
        <w:t>most</w:t>
      </w:r>
      <w:r w:rsidR="001A1F90">
        <w:t xml:space="preserve"> </w:t>
      </w:r>
      <w:r>
        <w:t>viable</w:t>
      </w:r>
      <w:r w:rsidR="001A1F90">
        <w:t xml:space="preserve"> </w:t>
      </w:r>
      <w:r>
        <w:t>basis</w:t>
      </w:r>
      <w:r w:rsidR="001A1F90">
        <w:t xml:space="preserve"> </w:t>
      </w:r>
      <w:r>
        <w:t>for</w:t>
      </w:r>
      <w:r w:rsidR="001A1F90">
        <w:t xml:space="preserve"> </w:t>
      </w:r>
      <w:r>
        <w:t>treatment</w:t>
      </w:r>
      <w:r w:rsidR="001A1F90">
        <w:t xml:space="preserve"> </w:t>
      </w:r>
      <w:r>
        <w:t>guidelines</w:t>
      </w:r>
      <w:r w:rsidR="001A1F90">
        <w:t xml:space="preserve"> </w:t>
      </w:r>
      <w:r>
        <w:t>to</w:t>
      </w:r>
      <w:r w:rsidR="001A1F90">
        <w:t xml:space="preserve"> </w:t>
      </w:r>
      <w:r>
        <w:t>be</w:t>
      </w:r>
      <w:r w:rsidR="001A1F90">
        <w:t xml:space="preserve"> </w:t>
      </w:r>
      <w:r>
        <w:t>considered.</w:t>
      </w:r>
      <w:r w:rsidR="001A1F90">
        <w:t xml:space="preserve"> </w:t>
      </w:r>
      <w:r>
        <w:t>Therefore,</w:t>
      </w:r>
      <w:r w:rsidR="001A1F90">
        <w:t xml:space="preserve"> </w:t>
      </w:r>
      <w:r>
        <w:t>an</w:t>
      </w:r>
      <w:r w:rsidR="001A1F90">
        <w:t xml:space="preserve"> </w:t>
      </w:r>
      <w:r>
        <w:t>electronic</w:t>
      </w:r>
      <w:r w:rsidR="001A1F90">
        <w:t xml:space="preserve"> </w:t>
      </w:r>
      <w:r>
        <w:t>copy</w:t>
      </w:r>
      <w:r w:rsidR="001A1F90">
        <w:t xml:space="preserve"> </w:t>
      </w:r>
      <w:r>
        <w:t>of</w:t>
      </w:r>
      <w:r w:rsidR="001A1F90">
        <w:t xml:space="preserve"> </w:t>
      </w:r>
      <w:r>
        <w:t>these</w:t>
      </w:r>
      <w:r w:rsidR="001A1F90">
        <w:t xml:space="preserve"> </w:t>
      </w:r>
      <w:r>
        <w:t>guidelines</w:t>
      </w:r>
      <w:r w:rsidR="001A1F90">
        <w:t xml:space="preserve"> </w:t>
      </w:r>
      <w:r>
        <w:t>(from</w:t>
      </w:r>
      <w:r w:rsidR="001A1F90">
        <w:t xml:space="preserve"> </w:t>
      </w:r>
      <w:r>
        <w:t>Thibaut</w:t>
      </w:r>
      <w:r w:rsidR="001A1F90">
        <w:t xml:space="preserve"> </w:t>
      </w:r>
      <w:r w:rsidRPr="00CA3986">
        <w:rPr>
          <w:rStyle w:val="Emphasis"/>
          <w:i w:val="0"/>
          <w:iCs w:val="0"/>
        </w:rPr>
        <w:t>et</w:t>
      </w:r>
      <w:r w:rsidR="001A1F90" w:rsidRPr="00CA3986">
        <w:rPr>
          <w:rStyle w:val="Emphasis"/>
          <w:i w:val="0"/>
          <w:iCs w:val="0"/>
        </w:rPr>
        <w:t xml:space="preserve"> </w:t>
      </w:r>
      <w:r w:rsidRPr="00CA3986">
        <w:rPr>
          <w:rStyle w:val="Emphasis"/>
          <w:i w:val="0"/>
          <w:iCs w:val="0"/>
        </w:rPr>
        <w:t>al.</w:t>
      </w:r>
      <w:r w:rsidR="001A1F90">
        <w:t xml:space="preserve"> </w:t>
      </w:r>
      <w:r>
        <w:t>2010)</w:t>
      </w:r>
      <w:r w:rsidR="001A1F90">
        <w:t xml:space="preserve"> </w:t>
      </w:r>
      <w:r>
        <w:t>were</w:t>
      </w:r>
      <w:r w:rsidR="001A1F90">
        <w:t xml:space="preserve"> </w:t>
      </w:r>
      <w:r>
        <w:t>also</w:t>
      </w:r>
      <w:r w:rsidR="001A1F90">
        <w:t xml:space="preserve"> </w:t>
      </w:r>
      <w:r>
        <w:t>provided</w:t>
      </w:r>
      <w:r w:rsidR="001A1F90">
        <w:t xml:space="preserve"> </w:t>
      </w:r>
      <w:r>
        <w:t>for</w:t>
      </w:r>
      <w:r w:rsidR="001A1F90">
        <w:t xml:space="preserve"> </w:t>
      </w:r>
      <w:r>
        <w:t>the</w:t>
      </w:r>
      <w:r w:rsidR="001A1F90">
        <w:t xml:space="preserve"> </w:t>
      </w:r>
      <w:r>
        <w:t>participants</w:t>
      </w:r>
      <w:r w:rsidR="00BB7A44">
        <w:t>’</w:t>
      </w:r>
      <w:r w:rsidR="001A1F90">
        <w:t xml:space="preserve"> </w:t>
      </w:r>
      <w:r>
        <w:t>appraisal.</w:t>
      </w:r>
      <w:r w:rsidR="001A1F90">
        <w:t xml:space="preserve"> </w:t>
      </w:r>
      <w:r>
        <w:t>Participants</w:t>
      </w:r>
      <w:r w:rsidR="001A1F90">
        <w:t xml:space="preserve"> </w:t>
      </w:r>
      <w:r>
        <w:t>were</w:t>
      </w:r>
      <w:r w:rsidR="001A1F90">
        <w:t xml:space="preserve"> </w:t>
      </w:r>
      <w:r>
        <w:t>asked</w:t>
      </w:r>
      <w:r w:rsidR="001A1F90">
        <w:t xml:space="preserve"> </w:t>
      </w:r>
      <w:r>
        <w:t>to</w:t>
      </w:r>
      <w:r w:rsidR="001A1F90">
        <w:t xml:space="preserve"> </w:t>
      </w:r>
      <w:r>
        <w:t>consider</w:t>
      </w:r>
      <w:r w:rsidR="001A1F90">
        <w:t xml:space="preserve"> </w:t>
      </w:r>
      <w:r>
        <w:t>how</w:t>
      </w:r>
      <w:r w:rsidR="001A1F90">
        <w:t xml:space="preserve"> </w:t>
      </w:r>
      <w:r>
        <w:t>suitable</w:t>
      </w:r>
      <w:r w:rsidR="001A1F90">
        <w:t xml:space="preserve"> </w:t>
      </w:r>
      <w:r>
        <w:t>the</w:t>
      </w:r>
      <w:r w:rsidR="001A1F90">
        <w:t xml:space="preserve"> </w:t>
      </w:r>
      <w:r>
        <w:t>guidelines</w:t>
      </w:r>
      <w:r w:rsidR="001A1F90">
        <w:t xml:space="preserve"> </w:t>
      </w:r>
      <w:r>
        <w:t>would</w:t>
      </w:r>
      <w:r w:rsidR="001A1F90">
        <w:t xml:space="preserve"> </w:t>
      </w:r>
      <w:r>
        <w:t>be</w:t>
      </w:r>
      <w:r w:rsidR="001A1F90">
        <w:t xml:space="preserve"> </w:t>
      </w:r>
      <w:r>
        <w:t>in</w:t>
      </w:r>
      <w:r w:rsidR="001A1F90">
        <w:t xml:space="preserve"> </w:t>
      </w:r>
      <w:r>
        <w:t>their</w:t>
      </w:r>
      <w:r w:rsidR="001A1F90">
        <w:t xml:space="preserve"> </w:t>
      </w:r>
      <w:r>
        <w:t>jurisdiction</w:t>
      </w:r>
      <w:r w:rsidR="001A1F90">
        <w:t xml:space="preserve"> </w:t>
      </w:r>
      <w:r>
        <w:t>and</w:t>
      </w:r>
      <w:r w:rsidR="001A1F90">
        <w:t xml:space="preserve"> </w:t>
      </w:r>
      <w:r>
        <w:t>whether</w:t>
      </w:r>
      <w:r w:rsidR="001A1F90">
        <w:t xml:space="preserve"> </w:t>
      </w:r>
      <w:r>
        <w:t>any</w:t>
      </w:r>
      <w:r w:rsidR="001A1F90">
        <w:t xml:space="preserve"> </w:t>
      </w:r>
      <w:r>
        <w:t>modifications</w:t>
      </w:r>
      <w:r w:rsidR="001A1F90">
        <w:t xml:space="preserve"> </w:t>
      </w:r>
      <w:r>
        <w:t>or</w:t>
      </w:r>
      <w:r w:rsidR="001A1F90">
        <w:t xml:space="preserve"> </w:t>
      </w:r>
      <w:r>
        <w:t>other</w:t>
      </w:r>
      <w:r w:rsidR="001A1F90">
        <w:t xml:space="preserve"> </w:t>
      </w:r>
      <w:r>
        <w:t>re-jigging</w:t>
      </w:r>
      <w:r w:rsidR="001A1F90">
        <w:t xml:space="preserve"> </w:t>
      </w:r>
      <w:r>
        <w:t>would</w:t>
      </w:r>
      <w:r w:rsidR="001A1F90">
        <w:t xml:space="preserve"> </w:t>
      </w:r>
      <w:r>
        <w:t>be</w:t>
      </w:r>
      <w:r w:rsidR="001A1F90">
        <w:t xml:space="preserve"> </w:t>
      </w:r>
      <w:r>
        <w:t>required</w:t>
      </w:r>
      <w:r w:rsidR="001A1F90">
        <w:t xml:space="preserve"> </w:t>
      </w:r>
      <w:r>
        <w:t>to</w:t>
      </w:r>
      <w:r w:rsidR="001A1F90">
        <w:t xml:space="preserve"> </w:t>
      </w:r>
      <w:r>
        <w:t>make</w:t>
      </w:r>
      <w:r w:rsidR="001A1F90">
        <w:t xml:space="preserve"> </w:t>
      </w:r>
      <w:r>
        <w:t>them</w:t>
      </w:r>
      <w:r w:rsidR="001A1F90">
        <w:t xml:space="preserve"> </w:t>
      </w:r>
      <w:r>
        <w:t>suitable</w:t>
      </w:r>
      <w:r w:rsidR="001A1F90">
        <w:t xml:space="preserve"> </w:t>
      </w:r>
      <w:r>
        <w:t>to</w:t>
      </w:r>
      <w:r w:rsidR="001A1F90">
        <w:t xml:space="preserve"> </w:t>
      </w:r>
      <w:r>
        <w:t>be</w:t>
      </w:r>
      <w:r w:rsidR="001A1F90">
        <w:t xml:space="preserve"> </w:t>
      </w:r>
      <w:r>
        <w:t>applied</w:t>
      </w:r>
      <w:r w:rsidR="001A1F90">
        <w:t xml:space="preserve"> </w:t>
      </w:r>
      <w:r>
        <w:t>in</w:t>
      </w:r>
      <w:r w:rsidR="001A1F90">
        <w:t xml:space="preserve"> </w:t>
      </w:r>
      <w:r>
        <w:t>their</w:t>
      </w:r>
      <w:r w:rsidR="001A1F90">
        <w:t xml:space="preserve"> </w:t>
      </w:r>
      <w:r>
        <w:t>clinical/policy</w:t>
      </w:r>
      <w:r w:rsidR="001A1F90">
        <w:t xml:space="preserve"> </w:t>
      </w:r>
      <w:r>
        <w:t>context.</w:t>
      </w:r>
    </w:p>
    <w:p w14:paraId="730925DA" w14:textId="06F06386" w:rsidR="004946F1" w:rsidRDefault="004946F1" w:rsidP="00BD612C">
      <w:pPr>
        <w:pStyle w:val="DHHSbody"/>
      </w:pPr>
      <w:r>
        <w:t>Finally,</w:t>
      </w:r>
      <w:r w:rsidR="001A1F90">
        <w:t xml:space="preserve"> </w:t>
      </w:r>
      <w:r>
        <w:t>participants</w:t>
      </w:r>
      <w:r w:rsidR="001A1F90">
        <w:t xml:space="preserve"> </w:t>
      </w:r>
      <w:r>
        <w:t>were</w:t>
      </w:r>
      <w:r w:rsidR="001A1F90">
        <w:t xml:space="preserve"> </w:t>
      </w:r>
      <w:r>
        <w:t>also</w:t>
      </w:r>
      <w:r w:rsidR="001A1F90">
        <w:t xml:space="preserve"> </w:t>
      </w:r>
      <w:r>
        <w:t>asked</w:t>
      </w:r>
      <w:r w:rsidR="001A1F90">
        <w:t xml:space="preserve"> </w:t>
      </w:r>
      <w:r>
        <w:t>to</w:t>
      </w:r>
      <w:r w:rsidR="001A1F90">
        <w:t xml:space="preserve"> </w:t>
      </w:r>
      <w:r>
        <w:t>provide</w:t>
      </w:r>
      <w:r w:rsidR="001A1F90">
        <w:t xml:space="preserve"> </w:t>
      </w:r>
      <w:r>
        <w:t>case</w:t>
      </w:r>
      <w:r w:rsidR="001A1F90">
        <w:t xml:space="preserve"> </w:t>
      </w:r>
      <w:r>
        <w:t>examples</w:t>
      </w:r>
      <w:r w:rsidR="001A1F90">
        <w:t xml:space="preserve"> </w:t>
      </w:r>
      <w:r>
        <w:t>of</w:t>
      </w:r>
      <w:r w:rsidR="001A1F90">
        <w:t xml:space="preserve"> </w:t>
      </w:r>
      <w:r w:rsidR="000429EE">
        <w:t>patients</w:t>
      </w:r>
      <w:r>
        <w:t>/situations</w:t>
      </w:r>
      <w:r w:rsidR="001A1F90">
        <w:t xml:space="preserve"> </w:t>
      </w:r>
      <w:r>
        <w:t>they</w:t>
      </w:r>
      <w:r w:rsidR="001A1F90">
        <w:t xml:space="preserve"> </w:t>
      </w:r>
      <w:r>
        <w:t>had</w:t>
      </w:r>
      <w:r w:rsidR="001A1F90">
        <w:t xml:space="preserve"> </w:t>
      </w:r>
      <w:r>
        <w:t>encountered</w:t>
      </w:r>
      <w:r w:rsidR="001A1F90">
        <w:t xml:space="preserve"> </w:t>
      </w:r>
      <w:r>
        <w:t>when</w:t>
      </w:r>
      <w:r w:rsidR="001A1F90">
        <w:t xml:space="preserve"> </w:t>
      </w:r>
      <w:r>
        <w:t>working</w:t>
      </w:r>
      <w:r w:rsidR="001A1F90">
        <w:t xml:space="preserve"> </w:t>
      </w:r>
      <w:r>
        <w:t>at</w:t>
      </w:r>
      <w:r w:rsidR="001A1F90">
        <w:t xml:space="preserve"> </w:t>
      </w:r>
      <w:r>
        <w:t>this</w:t>
      </w:r>
      <w:r w:rsidR="001A1F90">
        <w:t xml:space="preserve"> </w:t>
      </w:r>
      <w:r>
        <w:t>interface</w:t>
      </w:r>
      <w:r w:rsidR="001A1F90">
        <w:t xml:space="preserve"> </w:t>
      </w:r>
      <w:r w:rsidR="00BB7A44">
        <w:t xml:space="preserve">that </w:t>
      </w:r>
      <w:r>
        <w:t>typified</w:t>
      </w:r>
      <w:r w:rsidR="001A1F90">
        <w:t xml:space="preserve"> </w:t>
      </w:r>
      <w:r>
        <w:t>the</w:t>
      </w:r>
      <w:r w:rsidR="001A1F90">
        <w:t xml:space="preserve"> </w:t>
      </w:r>
      <w:r>
        <w:t>core</w:t>
      </w:r>
      <w:r w:rsidR="001A1F90">
        <w:t xml:space="preserve"> </w:t>
      </w:r>
      <w:r>
        <w:t>issues</w:t>
      </w:r>
      <w:r w:rsidR="001A1F90">
        <w:t xml:space="preserve"> </w:t>
      </w:r>
      <w:r>
        <w:t>of</w:t>
      </w:r>
      <w:r w:rsidR="001A1F90">
        <w:t xml:space="preserve"> </w:t>
      </w:r>
      <w:r>
        <w:t>concern</w:t>
      </w:r>
      <w:r w:rsidR="001A1F90">
        <w:t xml:space="preserve"> </w:t>
      </w:r>
      <w:r>
        <w:t>they</w:t>
      </w:r>
      <w:r w:rsidR="001A1F90">
        <w:t xml:space="preserve"> </w:t>
      </w:r>
      <w:r>
        <w:t>faced</w:t>
      </w:r>
      <w:r w:rsidR="001A1F90">
        <w:t xml:space="preserve"> </w:t>
      </w:r>
      <w:r>
        <w:t>clinically</w:t>
      </w:r>
      <w:r w:rsidR="001A1F90">
        <w:t xml:space="preserve"> </w:t>
      </w:r>
      <w:r>
        <w:t>with</w:t>
      </w:r>
      <w:r w:rsidR="001A1F90">
        <w:t xml:space="preserve"> </w:t>
      </w:r>
      <w:r>
        <w:t>this</w:t>
      </w:r>
      <w:r w:rsidR="001A1F90">
        <w:t xml:space="preserve"> </w:t>
      </w:r>
      <w:r>
        <w:t>offender</w:t>
      </w:r>
      <w:r w:rsidR="001A1F90">
        <w:t xml:space="preserve"> </w:t>
      </w:r>
      <w:r>
        <w:t>group</w:t>
      </w:r>
      <w:r w:rsidR="001A1F90">
        <w:t xml:space="preserve"> </w:t>
      </w:r>
      <w:r>
        <w:t>and</w:t>
      </w:r>
      <w:r w:rsidR="001A1F90">
        <w:t xml:space="preserve"> </w:t>
      </w:r>
      <w:r>
        <w:t>treatment</w:t>
      </w:r>
      <w:r w:rsidR="001A1F90">
        <w:t xml:space="preserve"> </w:t>
      </w:r>
      <w:r>
        <w:t>options.</w:t>
      </w:r>
      <w:r w:rsidR="001A1F90">
        <w:t xml:space="preserve"> </w:t>
      </w:r>
      <w:r>
        <w:t>A</w:t>
      </w:r>
      <w:r w:rsidR="001A1F90">
        <w:t xml:space="preserve"> </w:t>
      </w:r>
      <w:r>
        <w:t>number</w:t>
      </w:r>
      <w:r w:rsidR="001A1F90">
        <w:t xml:space="preserve"> </w:t>
      </w:r>
      <w:r>
        <w:t>of</w:t>
      </w:r>
      <w:r w:rsidR="001A1F90">
        <w:t xml:space="preserve"> </w:t>
      </w:r>
      <w:r>
        <w:t>possible</w:t>
      </w:r>
      <w:r w:rsidR="001A1F90">
        <w:t xml:space="preserve"> </w:t>
      </w:r>
      <w:r>
        <w:t>scenarios</w:t>
      </w:r>
      <w:r w:rsidR="001A1F90">
        <w:t xml:space="preserve"> </w:t>
      </w:r>
      <w:r>
        <w:t>were</w:t>
      </w:r>
      <w:r w:rsidR="001A1F90">
        <w:t xml:space="preserve"> </w:t>
      </w:r>
      <w:r>
        <w:t>suggested:</w:t>
      </w:r>
    </w:p>
    <w:p w14:paraId="40FE1B6D" w14:textId="42A5066D" w:rsidR="004946F1" w:rsidRDefault="00A758E4" w:rsidP="00BD612C">
      <w:pPr>
        <w:pStyle w:val="DHHSbullet1"/>
      </w:pPr>
      <w:r>
        <w:t>w</w:t>
      </w:r>
      <w:r w:rsidR="004946F1">
        <w:t>here</w:t>
      </w:r>
      <w:r w:rsidR="001A1F90">
        <w:t xml:space="preserve"> </w:t>
      </w:r>
      <w:r w:rsidR="004946F1">
        <w:t>a</w:t>
      </w:r>
      <w:r w:rsidR="001A1F90">
        <w:t xml:space="preserve"> </w:t>
      </w:r>
      <w:r w:rsidR="004946F1">
        <w:t>person</w:t>
      </w:r>
      <w:r w:rsidR="001A1F90">
        <w:t xml:space="preserve"> </w:t>
      </w:r>
      <w:r w:rsidR="004946F1">
        <w:t>lacked</w:t>
      </w:r>
      <w:r w:rsidR="001A1F90">
        <w:t xml:space="preserve"> </w:t>
      </w:r>
      <w:r w:rsidR="004946F1">
        <w:t>the</w:t>
      </w:r>
      <w:r w:rsidR="001A1F90">
        <w:t xml:space="preserve"> </w:t>
      </w:r>
      <w:r w:rsidR="004946F1">
        <w:t>capacity</w:t>
      </w:r>
      <w:r w:rsidR="001A1F90">
        <w:t xml:space="preserve"> </w:t>
      </w:r>
      <w:r w:rsidR="004946F1">
        <w:t>of</w:t>
      </w:r>
      <w:r w:rsidR="001A1F90">
        <w:t xml:space="preserve"> </w:t>
      </w:r>
      <w:r w:rsidR="004946F1">
        <w:t>consent</w:t>
      </w:r>
    </w:p>
    <w:p w14:paraId="6F6EE88E" w14:textId="238B5E2E" w:rsidR="004946F1" w:rsidRDefault="00A758E4" w:rsidP="00BD612C">
      <w:pPr>
        <w:pStyle w:val="DHHSbullet1"/>
      </w:pPr>
      <w:r>
        <w:t>a</w:t>
      </w:r>
      <w:r w:rsidR="001A1F90">
        <w:t xml:space="preserve"> </w:t>
      </w:r>
      <w:r w:rsidR="004946F1">
        <w:t>person</w:t>
      </w:r>
      <w:r w:rsidR="001A1F90">
        <w:t xml:space="preserve"> </w:t>
      </w:r>
      <w:r w:rsidR="004946F1">
        <w:t>who</w:t>
      </w:r>
      <w:r w:rsidR="001A1F90">
        <w:t xml:space="preserve"> </w:t>
      </w:r>
      <w:r w:rsidR="004946F1">
        <w:t>was</w:t>
      </w:r>
      <w:r w:rsidR="001A1F90">
        <w:t xml:space="preserve"> </w:t>
      </w:r>
      <w:r w:rsidR="004946F1">
        <w:t>under</w:t>
      </w:r>
      <w:r w:rsidR="001A1F90">
        <w:t xml:space="preserve"> </w:t>
      </w:r>
      <w:r w:rsidR="004946F1">
        <w:t>the</w:t>
      </w:r>
      <w:r w:rsidR="001A1F90">
        <w:t xml:space="preserve"> </w:t>
      </w:r>
      <w:r w:rsidR="004946F1">
        <w:t>care</w:t>
      </w:r>
      <w:r w:rsidR="001A1F90">
        <w:t xml:space="preserve"> </w:t>
      </w:r>
      <w:r w:rsidR="004946F1">
        <w:t>of</w:t>
      </w:r>
      <w:r w:rsidR="001A1F90">
        <w:t xml:space="preserve"> </w:t>
      </w:r>
      <w:r w:rsidR="004946F1">
        <w:t>the</w:t>
      </w:r>
      <w:r w:rsidR="00BB7A44">
        <w:t>ir jurisdiction’s</w:t>
      </w:r>
      <w:r w:rsidR="001A1F90">
        <w:t xml:space="preserve"> </w:t>
      </w:r>
      <w:r w:rsidR="004946F1">
        <w:t>Mental</w:t>
      </w:r>
      <w:r w:rsidR="001A1F90">
        <w:t xml:space="preserve"> </w:t>
      </w:r>
      <w:r w:rsidR="004946F1">
        <w:t>Health</w:t>
      </w:r>
      <w:r w:rsidR="001A1F90">
        <w:t xml:space="preserve"> </w:t>
      </w:r>
      <w:r w:rsidR="004946F1">
        <w:t>Act</w:t>
      </w:r>
    </w:p>
    <w:p w14:paraId="0CDC8620" w14:textId="543CA857" w:rsidR="004946F1" w:rsidRDefault="00A758E4" w:rsidP="00BD612C">
      <w:pPr>
        <w:pStyle w:val="DHHSbullet1"/>
      </w:pPr>
      <w:r>
        <w:t>a</w:t>
      </w:r>
      <w:r w:rsidR="001A1F90">
        <w:t xml:space="preserve"> </w:t>
      </w:r>
      <w:r w:rsidR="004946F1">
        <w:t>person</w:t>
      </w:r>
      <w:r w:rsidR="001A1F90">
        <w:t xml:space="preserve"> </w:t>
      </w:r>
      <w:r w:rsidR="004946F1">
        <w:t>under</w:t>
      </w:r>
      <w:r w:rsidR="001A1F90">
        <w:t xml:space="preserve"> </w:t>
      </w:r>
      <w:r w:rsidR="004946F1">
        <w:t>the</w:t>
      </w:r>
      <w:r w:rsidR="001A1F90">
        <w:t xml:space="preserve"> </w:t>
      </w:r>
      <w:r w:rsidR="004946F1">
        <w:t>age</w:t>
      </w:r>
      <w:r w:rsidR="001A1F90">
        <w:t xml:space="preserve"> </w:t>
      </w:r>
      <w:r w:rsidR="004946F1">
        <w:t>of</w:t>
      </w:r>
      <w:r w:rsidR="001A1F90">
        <w:t xml:space="preserve"> </w:t>
      </w:r>
      <w:r w:rsidR="004946F1">
        <w:t>16</w:t>
      </w:r>
      <w:r w:rsidR="001A1F90">
        <w:t xml:space="preserve"> </w:t>
      </w:r>
      <w:r w:rsidR="004946F1">
        <w:t>whose</w:t>
      </w:r>
      <w:r w:rsidR="001A1F90">
        <w:t xml:space="preserve"> </w:t>
      </w:r>
      <w:r w:rsidR="004946F1">
        <w:t>parents</w:t>
      </w:r>
      <w:r w:rsidR="001A1F90">
        <w:t xml:space="preserve"> </w:t>
      </w:r>
      <w:r w:rsidR="004946F1">
        <w:t>objected</w:t>
      </w:r>
      <w:r w:rsidR="001A1F90">
        <w:t xml:space="preserve"> </w:t>
      </w:r>
      <w:r w:rsidR="004946F1">
        <w:t>to</w:t>
      </w:r>
      <w:r w:rsidR="001A1F90">
        <w:t xml:space="preserve"> </w:t>
      </w:r>
      <w:r w:rsidR="004946F1">
        <w:t>anti-libidinal</w:t>
      </w:r>
      <w:r w:rsidR="001A1F90">
        <w:t xml:space="preserve"> </w:t>
      </w:r>
      <w:r w:rsidR="004946F1">
        <w:t>medication</w:t>
      </w:r>
    </w:p>
    <w:p w14:paraId="03123AE4" w14:textId="2FAE8B2E" w:rsidR="004946F1" w:rsidRDefault="00A758E4" w:rsidP="00BD612C">
      <w:pPr>
        <w:pStyle w:val="DHHSbullet1"/>
      </w:pPr>
      <w:r>
        <w:t>a</w:t>
      </w:r>
      <w:r w:rsidR="004946F1">
        <w:t>ny</w:t>
      </w:r>
      <w:r w:rsidR="001A1F90">
        <w:t xml:space="preserve"> </w:t>
      </w:r>
      <w:r w:rsidR="004946F1">
        <w:t>situations</w:t>
      </w:r>
      <w:r w:rsidR="001A1F90">
        <w:t xml:space="preserve"> </w:t>
      </w:r>
      <w:r w:rsidR="004946F1">
        <w:t>where</w:t>
      </w:r>
      <w:r w:rsidR="001A1F90">
        <w:t xml:space="preserve"> </w:t>
      </w:r>
      <w:r w:rsidR="004946F1">
        <w:t>they</w:t>
      </w:r>
      <w:r w:rsidR="001A1F90">
        <w:t xml:space="preserve"> </w:t>
      </w:r>
      <w:r w:rsidR="004946F1">
        <w:t>had</w:t>
      </w:r>
      <w:r w:rsidR="001A1F90">
        <w:t xml:space="preserve"> </w:t>
      </w:r>
      <w:r w:rsidR="004946F1">
        <w:t>faced</w:t>
      </w:r>
      <w:r w:rsidR="001A1F90">
        <w:t xml:space="preserve"> </w:t>
      </w:r>
      <w:r w:rsidR="004946F1">
        <w:t>challenges</w:t>
      </w:r>
      <w:r w:rsidR="001A1F90">
        <w:t xml:space="preserve"> </w:t>
      </w:r>
      <w:r w:rsidR="004946F1">
        <w:t>with</w:t>
      </w:r>
      <w:r w:rsidR="001A1F90">
        <w:t xml:space="preserve"> </w:t>
      </w:r>
      <w:r w:rsidR="004946F1">
        <w:t>therapies</w:t>
      </w:r>
      <w:r w:rsidR="001A1F90">
        <w:t xml:space="preserve"> </w:t>
      </w:r>
      <w:r w:rsidR="004946F1">
        <w:t>(biological,</w:t>
      </w:r>
      <w:r w:rsidR="001A1F90">
        <w:t xml:space="preserve"> </w:t>
      </w:r>
      <w:r w:rsidR="004946F1">
        <w:t>psychological</w:t>
      </w:r>
      <w:r w:rsidR="001A1F90">
        <w:t xml:space="preserve"> </w:t>
      </w:r>
      <w:r w:rsidR="004946F1">
        <w:t>or</w:t>
      </w:r>
      <w:r w:rsidR="001A1F90">
        <w:t xml:space="preserve"> </w:t>
      </w:r>
      <w:r w:rsidR="004946F1">
        <w:t>otherwise).</w:t>
      </w:r>
    </w:p>
    <w:p w14:paraId="6D69F852" w14:textId="0E7D58F4" w:rsidR="004946F1" w:rsidRDefault="004946F1" w:rsidP="00B87022">
      <w:pPr>
        <w:pStyle w:val="DHHSbodyafterbullets"/>
      </w:pPr>
      <w:r>
        <w:t>Participant</w:t>
      </w:r>
      <w:r w:rsidR="001A1F90">
        <w:t xml:space="preserve"> </w:t>
      </w:r>
      <w:r>
        <w:t>responses</w:t>
      </w:r>
      <w:r w:rsidR="001A1F90">
        <w:t xml:space="preserve"> </w:t>
      </w:r>
      <w:r>
        <w:t>were</w:t>
      </w:r>
      <w:r w:rsidR="001A1F90">
        <w:t xml:space="preserve"> </w:t>
      </w:r>
      <w:r>
        <w:t>collated</w:t>
      </w:r>
      <w:r w:rsidR="001A1F90">
        <w:t xml:space="preserve"> </w:t>
      </w:r>
      <w:r>
        <w:t>over</w:t>
      </w:r>
      <w:r w:rsidR="001A1F90">
        <w:t xml:space="preserve"> </w:t>
      </w:r>
      <w:r>
        <w:t>a</w:t>
      </w:r>
      <w:r w:rsidR="001A1F90">
        <w:t xml:space="preserve"> </w:t>
      </w:r>
      <w:r>
        <w:t>period</w:t>
      </w:r>
      <w:r w:rsidR="001A1F90">
        <w:t xml:space="preserve"> </w:t>
      </w:r>
      <w:r>
        <w:t>of</w:t>
      </w:r>
      <w:r w:rsidR="001A1F90">
        <w:t xml:space="preserve"> </w:t>
      </w:r>
      <w:r>
        <w:t>months.</w:t>
      </w:r>
      <w:r w:rsidR="001A1F90">
        <w:t xml:space="preserve"> </w:t>
      </w:r>
      <w:r>
        <w:t>Responses</w:t>
      </w:r>
      <w:r w:rsidR="001A1F90">
        <w:t xml:space="preserve"> </w:t>
      </w:r>
      <w:r>
        <w:t>were</w:t>
      </w:r>
      <w:r w:rsidR="001A1F90">
        <w:t xml:space="preserve"> </w:t>
      </w:r>
      <w:r>
        <w:t>synthesi</w:t>
      </w:r>
      <w:r w:rsidR="00A758E4">
        <w:t>s</w:t>
      </w:r>
      <w:r>
        <w:t>ed</w:t>
      </w:r>
      <w:r w:rsidR="001A1F90">
        <w:t xml:space="preserve"> </w:t>
      </w:r>
      <w:r>
        <w:t>into</w:t>
      </w:r>
      <w:r w:rsidR="001A1F90">
        <w:t xml:space="preserve"> </w:t>
      </w:r>
      <w:r>
        <w:t>a</w:t>
      </w:r>
      <w:r w:rsidR="001A1F90">
        <w:t xml:space="preserve"> </w:t>
      </w:r>
      <w:r>
        <w:t>draft</w:t>
      </w:r>
      <w:r w:rsidR="001A1F90">
        <w:t xml:space="preserve"> </w:t>
      </w:r>
      <w:r>
        <w:t>report</w:t>
      </w:r>
      <w:r w:rsidR="001A1F90">
        <w:t xml:space="preserve"> </w:t>
      </w:r>
      <w:r>
        <w:t>then</w:t>
      </w:r>
      <w:r w:rsidR="001A1F90">
        <w:t xml:space="preserve"> </w:t>
      </w:r>
      <w:r>
        <w:t>returned</w:t>
      </w:r>
      <w:r w:rsidR="001A1F90">
        <w:t xml:space="preserve"> </w:t>
      </w:r>
      <w:r>
        <w:t>to</w:t>
      </w:r>
      <w:r w:rsidR="001A1F90">
        <w:t xml:space="preserve"> </w:t>
      </w:r>
      <w:r>
        <w:t>all</w:t>
      </w:r>
      <w:r w:rsidR="001A1F90">
        <w:t xml:space="preserve"> </w:t>
      </w:r>
      <w:r>
        <w:t>of</w:t>
      </w:r>
      <w:r w:rsidR="001A1F90">
        <w:t xml:space="preserve"> </w:t>
      </w:r>
      <w:r>
        <w:t>the</w:t>
      </w:r>
      <w:r w:rsidR="001A1F90">
        <w:t xml:space="preserve"> </w:t>
      </w:r>
      <w:r>
        <w:t>24</w:t>
      </w:r>
      <w:r w:rsidR="001A1F90">
        <w:t xml:space="preserve"> </w:t>
      </w:r>
      <w:r>
        <w:t>participants</w:t>
      </w:r>
      <w:r w:rsidR="001A1F90">
        <w:t xml:space="preserve"> </w:t>
      </w:r>
      <w:r>
        <w:t>who</w:t>
      </w:r>
      <w:r w:rsidR="001A1F90">
        <w:t xml:space="preserve"> </w:t>
      </w:r>
      <w:r>
        <w:t>had</w:t>
      </w:r>
      <w:r w:rsidR="001A1F90">
        <w:t xml:space="preserve"> </w:t>
      </w:r>
      <w:r>
        <w:t>originally</w:t>
      </w:r>
      <w:r w:rsidR="001A1F90">
        <w:t xml:space="preserve"> </w:t>
      </w:r>
      <w:r>
        <w:t>been</w:t>
      </w:r>
      <w:r w:rsidR="001A1F90">
        <w:t xml:space="preserve"> </w:t>
      </w:r>
      <w:r>
        <w:t>approached.</w:t>
      </w:r>
      <w:r w:rsidR="001A1F90">
        <w:t xml:space="preserve"> </w:t>
      </w:r>
      <w:r>
        <w:t>The</w:t>
      </w:r>
      <w:r w:rsidR="001A1F90">
        <w:t xml:space="preserve"> </w:t>
      </w:r>
      <w:r>
        <w:t>report</w:t>
      </w:r>
      <w:r w:rsidR="001A1F90">
        <w:t xml:space="preserve"> </w:t>
      </w:r>
      <w:r>
        <w:t>was</w:t>
      </w:r>
      <w:r w:rsidR="001A1F90">
        <w:t xml:space="preserve"> </w:t>
      </w:r>
      <w:r>
        <w:t>emailed</w:t>
      </w:r>
      <w:r w:rsidR="001A1F90">
        <w:t xml:space="preserve"> </w:t>
      </w:r>
      <w:r>
        <w:t>to</w:t>
      </w:r>
      <w:r w:rsidR="001A1F90">
        <w:t xml:space="preserve"> </w:t>
      </w:r>
      <w:r>
        <w:t>all</w:t>
      </w:r>
      <w:r w:rsidR="001A1F90">
        <w:t xml:space="preserve"> </w:t>
      </w:r>
      <w:r>
        <w:t>potential</w:t>
      </w:r>
      <w:r w:rsidR="001A1F90">
        <w:t xml:space="preserve"> </w:t>
      </w:r>
      <w:r>
        <w:t>participants,</w:t>
      </w:r>
      <w:r w:rsidR="001A1F90">
        <w:t xml:space="preserve"> </w:t>
      </w:r>
      <w:r>
        <w:t>regardless</w:t>
      </w:r>
      <w:r w:rsidR="001A1F90">
        <w:t xml:space="preserve"> </w:t>
      </w:r>
      <w:r>
        <w:t>of</w:t>
      </w:r>
      <w:r w:rsidR="001A1F90">
        <w:t xml:space="preserve"> </w:t>
      </w:r>
      <w:r>
        <w:t>their</w:t>
      </w:r>
      <w:r w:rsidR="001A1F90">
        <w:t xml:space="preserve"> </w:t>
      </w:r>
      <w:r>
        <w:t>participation</w:t>
      </w:r>
      <w:r w:rsidR="001A1F90">
        <w:t xml:space="preserve"> </w:t>
      </w:r>
      <w:r>
        <w:t>in</w:t>
      </w:r>
      <w:r w:rsidR="001A1F90">
        <w:t xml:space="preserve"> </w:t>
      </w:r>
      <w:r>
        <w:t>the</w:t>
      </w:r>
      <w:r w:rsidR="001A1F90">
        <w:t xml:space="preserve"> </w:t>
      </w:r>
      <w:r>
        <w:t>original</w:t>
      </w:r>
      <w:r w:rsidR="001A1F90">
        <w:t xml:space="preserve"> </w:t>
      </w:r>
      <w:r>
        <w:t>round</w:t>
      </w:r>
      <w:r w:rsidR="001A1F90">
        <w:t xml:space="preserve"> </w:t>
      </w:r>
      <w:r>
        <w:t>of</w:t>
      </w:r>
      <w:r w:rsidR="001A1F90">
        <w:t xml:space="preserve"> </w:t>
      </w:r>
      <w:r>
        <w:t>the</w:t>
      </w:r>
      <w:r w:rsidR="001A1F90">
        <w:t xml:space="preserve"> </w:t>
      </w:r>
      <w:r>
        <w:t>consultation.</w:t>
      </w:r>
      <w:r w:rsidR="001A1F90">
        <w:t xml:space="preserve"> </w:t>
      </w:r>
      <w:r>
        <w:t>This</w:t>
      </w:r>
      <w:r w:rsidR="001A1F90">
        <w:t xml:space="preserve"> </w:t>
      </w:r>
      <w:r>
        <w:t>enabled</w:t>
      </w:r>
      <w:r w:rsidR="001A1F90">
        <w:t xml:space="preserve"> </w:t>
      </w:r>
      <w:r>
        <w:t>those</w:t>
      </w:r>
      <w:r w:rsidR="001A1F90">
        <w:t xml:space="preserve"> </w:t>
      </w:r>
      <w:r>
        <w:t>unable</w:t>
      </w:r>
      <w:r w:rsidR="001A1F90">
        <w:t xml:space="preserve"> </w:t>
      </w:r>
      <w:r>
        <w:t>to</w:t>
      </w:r>
      <w:r w:rsidR="001A1F90">
        <w:t xml:space="preserve"> </w:t>
      </w:r>
      <w:r>
        <w:t>respond</w:t>
      </w:r>
      <w:r w:rsidR="001A1F90">
        <w:t xml:space="preserve"> </w:t>
      </w:r>
      <w:r>
        <w:t>initially</w:t>
      </w:r>
      <w:r w:rsidR="001A1F90">
        <w:t xml:space="preserve"> </w:t>
      </w:r>
      <w:r>
        <w:t>to</w:t>
      </w:r>
      <w:r w:rsidR="001A1F90">
        <w:t xml:space="preserve"> </w:t>
      </w:r>
      <w:r>
        <w:t>potentially</w:t>
      </w:r>
      <w:r w:rsidR="001A1F90">
        <w:t xml:space="preserve"> </w:t>
      </w:r>
      <w:r>
        <w:t>still</w:t>
      </w:r>
      <w:r w:rsidR="001A1F90">
        <w:t xml:space="preserve"> </w:t>
      </w:r>
      <w:r>
        <w:t>contribute</w:t>
      </w:r>
      <w:r w:rsidR="001A1F90">
        <w:t xml:space="preserve"> </w:t>
      </w:r>
      <w:r>
        <w:t>to</w:t>
      </w:r>
      <w:r w:rsidR="001A1F90">
        <w:t xml:space="preserve"> </w:t>
      </w:r>
      <w:r>
        <w:t>discussions.</w:t>
      </w:r>
      <w:r w:rsidR="001A1F90">
        <w:t xml:space="preserve"> </w:t>
      </w:r>
      <w:r>
        <w:t>Participants</w:t>
      </w:r>
      <w:r w:rsidR="001A1F90">
        <w:t xml:space="preserve"> </w:t>
      </w:r>
      <w:r>
        <w:t>were</w:t>
      </w:r>
      <w:r w:rsidR="001A1F90">
        <w:t xml:space="preserve"> </w:t>
      </w:r>
      <w:r>
        <w:t>asked</w:t>
      </w:r>
      <w:r w:rsidR="001A1F90">
        <w:t xml:space="preserve"> </w:t>
      </w:r>
      <w:r>
        <w:t>to</w:t>
      </w:r>
      <w:r w:rsidR="001A1F90">
        <w:t xml:space="preserve"> </w:t>
      </w:r>
      <w:r>
        <w:t>consider</w:t>
      </w:r>
      <w:r w:rsidR="001A1F90">
        <w:t xml:space="preserve"> </w:t>
      </w:r>
      <w:r>
        <w:t>the</w:t>
      </w:r>
      <w:r w:rsidR="001A1F90">
        <w:t xml:space="preserve"> </w:t>
      </w:r>
      <w:r>
        <w:t>recommendations</w:t>
      </w:r>
      <w:r w:rsidR="001A1F90">
        <w:t xml:space="preserve"> </w:t>
      </w:r>
      <w:r>
        <w:t>arising</w:t>
      </w:r>
      <w:r w:rsidR="001A1F90">
        <w:t xml:space="preserve"> </w:t>
      </w:r>
      <w:r>
        <w:t>from</w:t>
      </w:r>
      <w:r w:rsidR="001A1F90">
        <w:t xml:space="preserve"> </w:t>
      </w:r>
      <w:r>
        <w:t>the</w:t>
      </w:r>
      <w:r w:rsidR="001A1F90">
        <w:t xml:space="preserve"> </w:t>
      </w:r>
      <w:r>
        <w:t>first</w:t>
      </w:r>
      <w:r w:rsidR="001A1F90">
        <w:t xml:space="preserve"> </w:t>
      </w:r>
      <w:r>
        <w:t>round</w:t>
      </w:r>
      <w:r w:rsidR="001A1F90">
        <w:t xml:space="preserve"> </w:t>
      </w:r>
      <w:r>
        <w:t>of</w:t>
      </w:r>
      <w:r w:rsidR="001A1F90">
        <w:t xml:space="preserve"> </w:t>
      </w:r>
      <w:r>
        <w:t>the</w:t>
      </w:r>
      <w:r w:rsidR="001A1F90">
        <w:t xml:space="preserve"> </w:t>
      </w:r>
      <w:r>
        <w:t>consultation</w:t>
      </w:r>
      <w:r w:rsidR="001A1F90">
        <w:t xml:space="preserve"> </w:t>
      </w:r>
      <w:r>
        <w:t>and</w:t>
      </w:r>
      <w:r w:rsidR="001A1F90">
        <w:t xml:space="preserve"> </w:t>
      </w:r>
      <w:r>
        <w:t>provide</w:t>
      </w:r>
      <w:r w:rsidR="001A1F90">
        <w:t xml:space="preserve"> </w:t>
      </w:r>
      <w:r>
        <w:t>any</w:t>
      </w:r>
      <w:r w:rsidR="001A1F90">
        <w:t xml:space="preserve"> </w:t>
      </w:r>
      <w:r>
        <w:t>further</w:t>
      </w:r>
      <w:r w:rsidR="001A1F90">
        <w:t xml:space="preserve"> </w:t>
      </w:r>
      <w:r>
        <w:t>feedback</w:t>
      </w:r>
      <w:r w:rsidR="001A1F90">
        <w:t xml:space="preserve"> </w:t>
      </w:r>
      <w:r>
        <w:t>and</w:t>
      </w:r>
      <w:r w:rsidR="001A1F90">
        <w:t xml:space="preserve"> </w:t>
      </w:r>
      <w:r>
        <w:t>practical</w:t>
      </w:r>
      <w:r w:rsidR="001A1F90">
        <w:t xml:space="preserve"> </w:t>
      </w:r>
      <w:r>
        <w:t>guidance</w:t>
      </w:r>
      <w:r w:rsidR="001A1F90">
        <w:t xml:space="preserve"> </w:t>
      </w:r>
      <w:r>
        <w:t>regarding</w:t>
      </w:r>
      <w:r w:rsidR="001A1F90">
        <w:t xml:space="preserve"> </w:t>
      </w:r>
      <w:r>
        <w:t>their</w:t>
      </w:r>
      <w:r w:rsidR="001A1F90">
        <w:t xml:space="preserve"> </w:t>
      </w:r>
      <w:r>
        <w:t>utility.</w:t>
      </w:r>
      <w:r w:rsidR="001A1F90">
        <w:t xml:space="preserve"> </w:t>
      </w:r>
      <w:r>
        <w:t>A</w:t>
      </w:r>
      <w:r w:rsidR="001A1F90">
        <w:t xml:space="preserve"> </w:t>
      </w:r>
      <w:r>
        <w:t>strict</w:t>
      </w:r>
      <w:r w:rsidR="001A1F90">
        <w:t xml:space="preserve"> </w:t>
      </w:r>
      <w:r w:rsidR="00A758E4">
        <w:t>two-</w:t>
      </w:r>
      <w:r>
        <w:t>week</w:t>
      </w:r>
      <w:r w:rsidR="001A1F90">
        <w:t xml:space="preserve"> </w:t>
      </w:r>
      <w:r>
        <w:t>deadline</w:t>
      </w:r>
      <w:r w:rsidR="001A1F90">
        <w:t xml:space="preserve"> </w:t>
      </w:r>
      <w:r>
        <w:t>was</w:t>
      </w:r>
      <w:r w:rsidR="001A1F90">
        <w:t xml:space="preserve"> </w:t>
      </w:r>
      <w:r>
        <w:t>imposed</w:t>
      </w:r>
      <w:r w:rsidR="001A1F90">
        <w:t xml:space="preserve"> </w:t>
      </w:r>
      <w:r>
        <w:t>on</w:t>
      </w:r>
      <w:r w:rsidR="001A1F90">
        <w:t xml:space="preserve"> </w:t>
      </w:r>
      <w:r>
        <w:t>this</w:t>
      </w:r>
      <w:r w:rsidR="001A1F90">
        <w:t xml:space="preserve"> </w:t>
      </w:r>
      <w:r>
        <w:t>second</w:t>
      </w:r>
      <w:r w:rsidR="001A1F90">
        <w:t xml:space="preserve"> </w:t>
      </w:r>
      <w:r>
        <w:t>round</w:t>
      </w:r>
      <w:r w:rsidR="001A1F90">
        <w:t xml:space="preserve"> </w:t>
      </w:r>
      <w:r>
        <w:t>of</w:t>
      </w:r>
      <w:r w:rsidR="001A1F90">
        <w:t xml:space="preserve"> </w:t>
      </w:r>
      <w:r>
        <w:t>consultation.</w:t>
      </w:r>
      <w:r w:rsidR="001A1F90">
        <w:t xml:space="preserve"> </w:t>
      </w:r>
      <w:r>
        <w:t>Responses</w:t>
      </w:r>
      <w:r w:rsidR="001A1F90">
        <w:t xml:space="preserve"> </w:t>
      </w:r>
      <w:r>
        <w:t>were</w:t>
      </w:r>
      <w:r w:rsidR="001A1F90">
        <w:t xml:space="preserve"> </w:t>
      </w:r>
      <w:r>
        <w:t>collated</w:t>
      </w:r>
      <w:r w:rsidR="001A1F90">
        <w:t xml:space="preserve"> </w:t>
      </w:r>
      <w:r>
        <w:t>an</w:t>
      </w:r>
      <w:r w:rsidR="001A1F90">
        <w:t xml:space="preserve"> </w:t>
      </w:r>
      <w:r>
        <w:t>incorporated</w:t>
      </w:r>
      <w:r w:rsidR="001A1F90">
        <w:t xml:space="preserve"> </w:t>
      </w:r>
      <w:r>
        <w:t>in</w:t>
      </w:r>
      <w:r w:rsidR="001A1F90">
        <w:t xml:space="preserve"> </w:t>
      </w:r>
      <w:r>
        <w:t>the</w:t>
      </w:r>
      <w:r w:rsidR="001A1F90">
        <w:t xml:space="preserve"> </w:t>
      </w:r>
      <w:r>
        <w:t>final</w:t>
      </w:r>
      <w:r w:rsidR="001A1F90">
        <w:t xml:space="preserve"> </w:t>
      </w:r>
      <w:r>
        <w:t>report.</w:t>
      </w:r>
    </w:p>
    <w:p w14:paraId="5CD4CF18" w14:textId="77777777" w:rsidR="00B87022" w:rsidRPr="00B87022" w:rsidRDefault="00B87022" w:rsidP="00B87022">
      <w:pPr>
        <w:pStyle w:val="DHHSbody"/>
      </w:pPr>
      <w:r w:rsidRPr="00B87022">
        <w:br w:type="page"/>
      </w:r>
    </w:p>
    <w:p w14:paraId="1568442D" w14:textId="29BE0372" w:rsidR="004946F1" w:rsidRDefault="00301CA9" w:rsidP="009B0E14">
      <w:pPr>
        <w:pStyle w:val="Heading1"/>
      </w:pPr>
      <w:bookmarkStart w:id="11" w:name="_Toc20225599"/>
      <w:r>
        <w:t>3</w:t>
      </w:r>
      <w:r w:rsidR="004946F1">
        <w:t>.</w:t>
      </w:r>
      <w:r w:rsidR="001A1F90">
        <w:t xml:space="preserve"> </w:t>
      </w:r>
      <w:r w:rsidR="004946F1">
        <w:t>Results</w:t>
      </w:r>
      <w:bookmarkEnd w:id="11"/>
    </w:p>
    <w:p w14:paraId="5C0C296B" w14:textId="2F867916" w:rsidR="004946F1" w:rsidRDefault="004946F1" w:rsidP="009B0E14">
      <w:pPr>
        <w:pStyle w:val="Heading2"/>
      </w:pPr>
      <w:bookmarkStart w:id="12" w:name="_Toc20225600"/>
      <w:r>
        <w:t>Legislative</w:t>
      </w:r>
      <w:r w:rsidR="001A1F90">
        <w:t xml:space="preserve"> </w:t>
      </w:r>
      <w:r>
        <w:t>framework</w:t>
      </w:r>
      <w:r w:rsidR="001A1F90">
        <w:t xml:space="preserve"> </w:t>
      </w:r>
      <w:r>
        <w:t>and</w:t>
      </w:r>
      <w:r w:rsidR="001A1F90">
        <w:t xml:space="preserve"> </w:t>
      </w:r>
      <w:r>
        <w:t>commonality</w:t>
      </w:r>
      <w:r w:rsidR="001A1F90">
        <w:t xml:space="preserve"> </w:t>
      </w:r>
      <w:r>
        <w:t>of</w:t>
      </w:r>
      <w:r w:rsidR="001A1F90">
        <w:t xml:space="preserve"> </w:t>
      </w:r>
      <w:r>
        <w:t>use</w:t>
      </w:r>
      <w:bookmarkEnd w:id="12"/>
    </w:p>
    <w:p w14:paraId="599DDB1E" w14:textId="3B6D13C7" w:rsidR="004946F1" w:rsidRDefault="004946F1" w:rsidP="00BD612C">
      <w:pPr>
        <w:pStyle w:val="DHHSbody"/>
      </w:pPr>
      <w:r>
        <w:t>Instances</w:t>
      </w:r>
      <w:r w:rsidR="001A1F90">
        <w:t xml:space="preserve"> </w:t>
      </w:r>
      <w:r>
        <w:t>where</w:t>
      </w:r>
      <w:r w:rsidR="001A1F90">
        <w:t xml:space="preserve"> </w:t>
      </w:r>
      <w:r>
        <w:t>a</w:t>
      </w:r>
      <w:r w:rsidR="001A1F90">
        <w:t xml:space="preserve"> </w:t>
      </w:r>
      <w:r>
        <w:t>person</w:t>
      </w:r>
      <w:r w:rsidR="001A1F90">
        <w:t xml:space="preserve"> </w:t>
      </w:r>
      <w:r>
        <w:t>had</w:t>
      </w:r>
      <w:r w:rsidR="001A1F90">
        <w:t xml:space="preserve"> </w:t>
      </w:r>
      <w:r>
        <w:t>sexual</w:t>
      </w:r>
      <w:r w:rsidR="001A1F90">
        <w:t xml:space="preserve"> </w:t>
      </w:r>
      <w:r>
        <w:t>behaviour</w:t>
      </w:r>
      <w:r w:rsidR="001A1F90">
        <w:t xml:space="preserve"> </w:t>
      </w:r>
      <w:r w:rsidR="008F6E1A">
        <w:t xml:space="preserve">that </w:t>
      </w:r>
      <w:r>
        <w:t>interfered</w:t>
      </w:r>
      <w:r w:rsidR="001A1F90">
        <w:t xml:space="preserve"> </w:t>
      </w:r>
      <w:r>
        <w:t>with</w:t>
      </w:r>
      <w:r w:rsidR="001A1F90">
        <w:t xml:space="preserve"> </w:t>
      </w:r>
      <w:r>
        <w:t>their</w:t>
      </w:r>
      <w:r w:rsidR="001A1F90">
        <w:t xml:space="preserve"> </w:t>
      </w:r>
      <w:r>
        <w:t>ability</w:t>
      </w:r>
      <w:r w:rsidR="001A1F90">
        <w:t xml:space="preserve"> </w:t>
      </w:r>
      <w:r>
        <w:t>to</w:t>
      </w:r>
      <w:r w:rsidR="001A1F90">
        <w:t xml:space="preserve"> </w:t>
      </w:r>
      <w:r>
        <w:t>perform</w:t>
      </w:r>
      <w:r w:rsidR="001A1F90">
        <w:t xml:space="preserve"> </w:t>
      </w:r>
      <w:r>
        <w:t>their</w:t>
      </w:r>
      <w:r w:rsidR="001A1F90">
        <w:t xml:space="preserve"> </w:t>
      </w:r>
      <w:r>
        <w:t>usual</w:t>
      </w:r>
      <w:r w:rsidR="001A1F90">
        <w:t xml:space="preserve"> </w:t>
      </w:r>
      <w:r>
        <w:t>daily</w:t>
      </w:r>
      <w:r w:rsidR="001A1F90">
        <w:t xml:space="preserve"> </w:t>
      </w:r>
      <w:r>
        <w:t>activities</w:t>
      </w:r>
      <w:r w:rsidR="001A1F90">
        <w:t xml:space="preserve"> </w:t>
      </w:r>
      <w:r>
        <w:t>(to</w:t>
      </w:r>
      <w:r w:rsidR="001A1F90">
        <w:t xml:space="preserve"> </w:t>
      </w:r>
      <w:r>
        <w:t>the</w:t>
      </w:r>
      <w:r w:rsidR="001A1F90">
        <w:t xml:space="preserve"> </w:t>
      </w:r>
      <w:r>
        <w:t>level</w:t>
      </w:r>
      <w:r w:rsidR="001A1F90">
        <w:t xml:space="preserve"> </w:t>
      </w:r>
      <w:r>
        <w:t>recommended</w:t>
      </w:r>
      <w:r w:rsidR="001A1F90">
        <w:t xml:space="preserve"> </w:t>
      </w:r>
      <w:r>
        <w:t>where</w:t>
      </w:r>
      <w:r w:rsidR="001A1F90">
        <w:t xml:space="preserve"> </w:t>
      </w:r>
      <w:r>
        <w:t>anti-libidinal</w:t>
      </w:r>
      <w:r w:rsidR="001A1F90">
        <w:t xml:space="preserve"> </w:t>
      </w:r>
      <w:r>
        <w:t>medication</w:t>
      </w:r>
      <w:r w:rsidR="001A1F90">
        <w:t xml:space="preserve"> </w:t>
      </w:r>
      <w:r>
        <w:t>treatment</w:t>
      </w:r>
      <w:r w:rsidR="001A1F90">
        <w:t xml:space="preserve"> </w:t>
      </w:r>
      <w:r>
        <w:t>may</w:t>
      </w:r>
      <w:r w:rsidR="001A1F90">
        <w:t xml:space="preserve"> </w:t>
      </w:r>
      <w:r>
        <w:t>be</w:t>
      </w:r>
      <w:r w:rsidR="001A1F90">
        <w:t xml:space="preserve"> </w:t>
      </w:r>
      <w:r>
        <w:t>indicated)</w:t>
      </w:r>
      <w:r w:rsidR="001A1F90">
        <w:t xml:space="preserve"> </w:t>
      </w:r>
      <w:r>
        <w:t>were</w:t>
      </w:r>
      <w:r w:rsidR="001A1F90">
        <w:t xml:space="preserve"> </w:t>
      </w:r>
      <w:r>
        <w:t>reportedly</w:t>
      </w:r>
      <w:r w:rsidR="001A1F90">
        <w:t xml:space="preserve"> </w:t>
      </w:r>
      <w:r>
        <w:t>rare.</w:t>
      </w:r>
      <w:r w:rsidR="001A1F90">
        <w:t xml:space="preserve"> </w:t>
      </w:r>
      <w:r>
        <w:t>As</w:t>
      </w:r>
      <w:r w:rsidR="001A1F90">
        <w:t xml:space="preserve"> </w:t>
      </w:r>
      <w:r>
        <w:t>such,</w:t>
      </w:r>
      <w:r w:rsidR="001A1F90">
        <w:t xml:space="preserve"> </w:t>
      </w:r>
      <w:r>
        <w:t>anti-libidinal</w:t>
      </w:r>
      <w:r w:rsidR="001A1F90">
        <w:t xml:space="preserve"> </w:t>
      </w:r>
      <w:r>
        <w:t>medications</w:t>
      </w:r>
      <w:r w:rsidR="001A1F90">
        <w:t xml:space="preserve"> </w:t>
      </w:r>
      <w:r>
        <w:t>were</w:t>
      </w:r>
      <w:r w:rsidR="001A1F90">
        <w:t xml:space="preserve"> </w:t>
      </w:r>
      <w:r>
        <w:t>reported</w:t>
      </w:r>
      <w:r w:rsidR="001A1F90">
        <w:t xml:space="preserve"> </w:t>
      </w:r>
      <w:r>
        <w:t>to</w:t>
      </w:r>
      <w:r w:rsidR="001A1F90">
        <w:t xml:space="preserve"> </w:t>
      </w:r>
      <w:r>
        <w:t>be</w:t>
      </w:r>
      <w:r w:rsidR="001A1F90">
        <w:t xml:space="preserve"> </w:t>
      </w:r>
      <w:r>
        <w:t>used</w:t>
      </w:r>
      <w:r w:rsidR="001A1F90">
        <w:t xml:space="preserve"> </w:t>
      </w:r>
      <w:r>
        <w:t>uncommonly</w:t>
      </w:r>
      <w:r w:rsidR="001A1F90">
        <w:t xml:space="preserve"> </w:t>
      </w:r>
      <w:r>
        <w:t>with</w:t>
      </w:r>
      <w:r w:rsidR="001A1F90">
        <w:t xml:space="preserve"> </w:t>
      </w:r>
      <w:r>
        <w:t>the</w:t>
      </w:r>
      <w:r w:rsidR="001A1F90">
        <w:t xml:space="preserve"> </w:t>
      </w:r>
      <w:r>
        <w:t>client</w:t>
      </w:r>
      <w:r w:rsidR="001A1F90">
        <w:t xml:space="preserve"> </w:t>
      </w:r>
      <w:r>
        <w:t>group</w:t>
      </w:r>
      <w:r w:rsidR="001A1F90">
        <w:t xml:space="preserve"> </w:t>
      </w:r>
      <w:r>
        <w:t>across</w:t>
      </w:r>
      <w:r w:rsidR="001A1F90">
        <w:t xml:space="preserve"> </w:t>
      </w:r>
      <w:r>
        <w:t>the</w:t>
      </w:r>
      <w:r w:rsidR="001A1F90">
        <w:t xml:space="preserve"> </w:t>
      </w:r>
      <w:r>
        <w:t>different</w:t>
      </w:r>
      <w:r w:rsidR="001A1F90">
        <w:t xml:space="preserve"> </w:t>
      </w:r>
      <w:r>
        <w:t>jurisdictions,</w:t>
      </w:r>
      <w:r w:rsidR="001A1F90">
        <w:t xml:space="preserve"> </w:t>
      </w:r>
      <w:r>
        <w:t>although</w:t>
      </w:r>
      <w:r w:rsidR="001A1F90">
        <w:t xml:space="preserve"> </w:t>
      </w:r>
      <w:r>
        <w:t>some</w:t>
      </w:r>
      <w:r w:rsidR="001A1F90">
        <w:t xml:space="preserve"> </w:t>
      </w:r>
      <w:r>
        <w:t>noted</w:t>
      </w:r>
      <w:r w:rsidR="001A1F90">
        <w:t xml:space="preserve"> </w:t>
      </w:r>
      <w:r>
        <w:t>that</w:t>
      </w:r>
      <w:r w:rsidR="001A1F90">
        <w:t xml:space="preserve"> </w:t>
      </w:r>
      <w:r>
        <w:t>they</w:t>
      </w:r>
      <w:r w:rsidR="001A1F90">
        <w:t xml:space="preserve"> </w:t>
      </w:r>
      <w:r>
        <w:t>would</w:t>
      </w:r>
      <w:r w:rsidR="001A1F90">
        <w:t xml:space="preserve"> </w:t>
      </w:r>
      <w:r>
        <w:t>not</w:t>
      </w:r>
      <w:r w:rsidR="001A1F90">
        <w:t xml:space="preserve"> </w:t>
      </w:r>
      <w:r>
        <w:t>be</w:t>
      </w:r>
      <w:r w:rsidR="001A1F90">
        <w:t xml:space="preserve"> </w:t>
      </w:r>
      <w:r>
        <w:t>against</w:t>
      </w:r>
      <w:r w:rsidR="001A1F90">
        <w:t xml:space="preserve"> </w:t>
      </w:r>
      <w:r>
        <w:t>their</w:t>
      </w:r>
      <w:r w:rsidR="001A1F90">
        <w:t xml:space="preserve"> </w:t>
      </w:r>
      <w:r>
        <w:t>broader</w:t>
      </w:r>
      <w:r w:rsidR="001A1F90">
        <w:t xml:space="preserve"> </w:t>
      </w:r>
      <w:r>
        <w:t>usage</w:t>
      </w:r>
      <w:r w:rsidR="001A1F90">
        <w:t xml:space="preserve"> </w:t>
      </w:r>
      <w:r>
        <w:t>where</w:t>
      </w:r>
      <w:r w:rsidR="001A1F90">
        <w:t xml:space="preserve"> </w:t>
      </w:r>
      <w:r>
        <w:t>individual</w:t>
      </w:r>
      <w:r w:rsidR="001A1F90">
        <w:t xml:space="preserve"> </w:t>
      </w:r>
      <w:r>
        <w:t>case</w:t>
      </w:r>
      <w:r w:rsidR="001A1F90">
        <w:t xml:space="preserve"> </w:t>
      </w:r>
      <w:r>
        <w:t>presentations</w:t>
      </w:r>
      <w:r w:rsidR="001A1F90">
        <w:t xml:space="preserve"> </w:t>
      </w:r>
      <w:r>
        <w:t>indicated</w:t>
      </w:r>
      <w:r w:rsidR="001A1F90">
        <w:t xml:space="preserve"> </w:t>
      </w:r>
      <w:r>
        <w:t>their</w:t>
      </w:r>
      <w:r w:rsidR="001A1F90">
        <w:t xml:space="preserve"> </w:t>
      </w:r>
      <w:r>
        <w:t>potential</w:t>
      </w:r>
      <w:r w:rsidR="001A1F90">
        <w:t xml:space="preserve"> </w:t>
      </w:r>
      <w:r>
        <w:t>utility.</w:t>
      </w:r>
      <w:r w:rsidR="001A1F90">
        <w:t xml:space="preserve"> </w:t>
      </w:r>
      <w:r>
        <w:t>A</w:t>
      </w:r>
      <w:r w:rsidR="001A1F90">
        <w:t xml:space="preserve"> </w:t>
      </w:r>
      <w:r>
        <w:t>large</w:t>
      </w:r>
      <w:r w:rsidR="001A1F90">
        <w:t xml:space="preserve"> </w:t>
      </w:r>
      <w:r>
        <w:t>proportion</w:t>
      </w:r>
      <w:r w:rsidR="001A1F90">
        <w:t xml:space="preserve"> </w:t>
      </w:r>
      <w:r>
        <w:t>of</w:t>
      </w:r>
      <w:r w:rsidR="001A1F90">
        <w:t xml:space="preserve"> </w:t>
      </w:r>
      <w:r>
        <w:t>those</w:t>
      </w:r>
      <w:r w:rsidR="001A1F90">
        <w:t xml:space="preserve"> </w:t>
      </w:r>
      <w:r>
        <w:t>surveyed</w:t>
      </w:r>
      <w:r w:rsidR="001A1F90">
        <w:t xml:space="preserve"> </w:t>
      </w:r>
      <w:r>
        <w:t>generally</w:t>
      </w:r>
      <w:r w:rsidR="001A1F90">
        <w:t xml:space="preserve"> </w:t>
      </w:r>
      <w:r>
        <w:t>favoured</w:t>
      </w:r>
      <w:r w:rsidR="001A1F90">
        <w:t xml:space="preserve"> </w:t>
      </w:r>
      <w:r>
        <w:t>the</w:t>
      </w:r>
      <w:r w:rsidR="001A1F90">
        <w:t xml:space="preserve"> </w:t>
      </w:r>
      <w:r>
        <w:t>use</w:t>
      </w:r>
      <w:r w:rsidR="001A1F90">
        <w:t xml:space="preserve"> </w:t>
      </w:r>
      <w:r>
        <w:t>of</w:t>
      </w:r>
      <w:r w:rsidR="001A1F90">
        <w:t xml:space="preserve"> </w:t>
      </w:r>
      <w:r>
        <w:t>psychological</w:t>
      </w:r>
      <w:r w:rsidR="001A1F90">
        <w:t xml:space="preserve"> </w:t>
      </w:r>
      <w:r>
        <w:t>approaches</w:t>
      </w:r>
      <w:r w:rsidR="001A1F90">
        <w:t xml:space="preserve"> </w:t>
      </w:r>
      <w:r>
        <w:t>(mainly</w:t>
      </w:r>
      <w:r w:rsidR="001A1F90">
        <w:t xml:space="preserve"> </w:t>
      </w:r>
      <w:r>
        <w:t>cognitive</w:t>
      </w:r>
      <w:r w:rsidR="001A1F90">
        <w:t xml:space="preserve"> </w:t>
      </w:r>
      <w:r>
        <w:t>behavioural</w:t>
      </w:r>
      <w:r w:rsidR="001A1F90">
        <w:t xml:space="preserve"> </w:t>
      </w:r>
      <w:r>
        <w:t>approaches)</w:t>
      </w:r>
      <w:r w:rsidR="001A1F90">
        <w:t xml:space="preserve"> </w:t>
      </w:r>
      <w:r>
        <w:t>due,</w:t>
      </w:r>
      <w:r w:rsidR="001A1F90">
        <w:t xml:space="preserve"> </w:t>
      </w:r>
      <w:r>
        <w:t>on</w:t>
      </w:r>
      <w:r w:rsidR="001A1F90">
        <w:t xml:space="preserve"> </w:t>
      </w:r>
      <w:r>
        <w:t>the</w:t>
      </w:r>
      <w:r w:rsidR="001A1F90">
        <w:t xml:space="preserve"> </w:t>
      </w:r>
      <w:r>
        <w:t>whole,</w:t>
      </w:r>
      <w:r w:rsidR="001A1F90">
        <w:t xml:space="preserve"> </w:t>
      </w:r>
      <w:r>
        <w:t>to</w:t>
      </w:r>
      <w:r w:rsidR="001A1F90">
        <w:t xml:space="preserve"> </w:t>
      </w:r>
      <w:r>
        <w:t>the</w:t>
      </w:r>
      <w:r w:rsidR="001A1F90">
        <w:t xml:space="preserve"> </w:t>
      </w:r>
      <w:r>
        <w:t>reputed</w:t>
      </w:r>
      <w:r w:rsidR="001A1F90">
        <w:t xml:space="preserve"> </w:t>
      </w:r>
      <w:r>
        <w:t>evidence</w:t>
      </w:r>
      <w:r w:rsidR="001A1F90">
        <w:t xml:space="preserve"> </w:t>
      </w:r>
      <w:r>
        <w:t>base</w:t>
      </w:r>
      <w:r w:rsidR="001A1F90">
        <w:t xml:space="preserve"> </w:t>
      </w:r>
      <w:r>
        <w:t>supporting</w:t>
      </w:r>
      <w:r w:rsidR="001A1F90">
        <w:t xml:space="preserve"> </w:t>
      </w:r>
      <w:r>
        <w:t>the</w:t>
      </w:r>
      <w:r w:rsidR="001A1F90">
        <w:t xml:space="preserve"> </w:t>
      </w:r>
      <w:r>
        <w:t>application</w:t>
      </w:r>
      <w:r w:rsidR="001A1F90">
        <w:t xml:space="preserve"> </w:t>
      </w:r>
      <w:r>
        <w:t>and</w:t>
      </w:r>
      <w:r w:rsidR="001A1F90">
        <w:t xml:space="preserve"> </w:t>
      </w:r>
      <w:r>
        <w:t>suitability</w:t>
      </w:r>
      <w:r w:rsidR="001A1F90">
        <w:t xml:space="preserve"> </w:t>
      </w:r>
      <w:r>
        <w:t>of</w:t>
      </w:r>
      <w:r w:rsidR="001A1F90">
        <w:t xml:space="preserve"> </w:t>
      </w:r>
      <w:r>
        <w:t>these</w:t>
      </w:r>
      <w:r w:rsidR="001A1F90">
        <w:t xml:space="preserve"> </w:t>
      </w:r>
      <w:r>
        <w:t>psychotherapeutic</w:t>
      </w:r>
      <w:r w:rsidR="001A1F90">
        <w:t xml:space="preserve"> </w:t>
      </w:r>
      <w:r>
        <w:t>approaches.</w:t>
      </w:r>
    </w:p>
    <w:p w14:paraId="17EBE14C" w14:textId="72007FEA" w:rsidR="004946F1" w:rsidRDefault="004946F1" w:rsidP="00BD612C">
      <w:pPr>
        <w:pStyle w:val="DHHSbody"/>
      </w:pPr>
      <w:r>
        <w:t>When</w:t>
      </w:r>
      <w:r w:rsidR="001A1F90">
        <w:t xml:space="preserve"> </w:t>
      </w:r>
      <w:r>
        <w:t>considering</w:t>
      </w:r>
      <w:r w:rsidR="001A1F90">
        <w:t xml:space="preserve"> </w:t>
      </w:r>
      <w:r>
        <w:t>instances</w:t>
      </w:r>
      <w:r w:rsidR="001A1F90">
        <w:t xml:space="preserve"> </w:t>
      </w:r>
      <w:r>
        <w:t>where</w:t>
      </w:r>
      <w:r w:rsidR="001A1F90">
        <w:t xml:space="preserve"> </w:t>
      </w:r>
      <w:r>
        <w:t>anti-libidinal</w:t>
      </w:r>
      <w:r w:rsidR="001A1F90">
        <w:t xml:space="preserve"> </w:t>
      </w:r>
      <w:r>
        <w:t>medications</w:t>
      </w:r>
      <w:r w:rsidR="001A1F90">
        <w:t xml:space="preserve"> </w:t>
      </w:r>
      <w:r>
        <w:t>had</w:t>
      </w:r>
      <w:r w:rsidR="001A1F90">
        <w:t xml:space="preserve"> </w:t>
      </w:r>
      <w:r>
        <w:t>been</w:t>
      </w:r>
      <w:r w:rsidR="001A1F90">
        <w:t xml:space="preserve"> </w:t>
      </w:r>
      <w:r>
        <w:t>prescribed</w:t>
      </w:r>
      <w:r w:rsidR="001A1F90">
        <w:t xml:space="preserve"> </w:t>
      </w:r>
      <w:r>
        <w:t>in</w:t>
      </w:r>
      <w:r w:rsidR="001A1F90">
        <w:t xml:space="preserve"> </w:t>
      </w:r>
      <w:r>
        <w:t>the</w:t>
      </w:r>
      <w:r w:rsidR="001A1F90">
        <w:t xml:space="preserve"> </w:t>
      </w:r>
      <w:r>
        <w:t>different</w:t>
      </w:r>
      <w:r w:rsidR="001A1F90">
        <w:t xml:space="preserve"> </w:t>
      </w:r>
      <w:r>
        <w:t>jurisdictions,</w:t>
      </w:r>
      <w:r w:rsidR="001A1F90">
        <w:t xml:space="preserve"> </w:t>
      </w:r>
      <w:r>
        <w:t>most</w:t>
      </w:r>
      <w:r w:rsidR="001A1F90">
        <w:t xml:space="preserve"> </w:t>
      </w:r>
      <w:r>
        <w:t>of</w:t>
      </w:r>
      <w:r w:rsidR="001A1F90">
        <w:t xml:space="preserve"> </w:t>
      </w:r>
      <w:r>
        <w:t>the</w:t>
      </w:r>
      <w:r w:rsidR="001A1F90">
        <w:t xml:space="preserve"> </w:t>
      </w:r>
      <w:r>
        <w:t>participants</w:t>
      </w:r>
      <w:r w:rsidR="001A1F90">
        <w:t xml:space="preserve"> </w:t>
      </w:r>
      <w:r>
        <w:t>had</w:t>
      </w:r>
      <w:r w:rsidR="001A1F90">
        <w:t xml:space="preserve"> </w:t>
      </w:r>
      <w:r>
        <w:t>use</w:t>
      </w:r>
      <w:r w:rsidR="00A758E4">
        <w:t>d</w:t>
      </w:r>
      <w:r w:rsidR="001A1F90">
        <w:t xml:space="preserve"> </w:t>
      </w:r>
      <w:r w:rsidR="00A758E4">
        <w:t>c</w:t>
      </w:r>
      <w:r>
        <w:t>linical</w:t>
      </w:r>
      <w:r w:rsidR="001A1F90">
        <w:t xml:space="preserve"> </w:t>
      </w:r>
      <w:r w:rsidR="00A758E4">
        <w:t>g</w:t>
      </w:r>
      <w:r>
        <w:t>uidelines</w:t>
      </w:r>
      <w:r w:rsidR="001A1F90">
        <w:t xml:space="preserve"> </w:t>
      </w:r>
      <w:r>
        <w:t>that</w:t>
      </w:r>
      <w:r w:rsidR="001A1F90">
        <w:t xml:space="preserve"> </w:t>
      </w:r>
      <w:r>
        <w:t>had</w:t>
      </w:r>
      <w:r w:rsidR="001A1F90">
        <w:t xml:space="preserve"> </w:t>
      </w:r>
      <w:r>
        <w:t>been</w:t>
      </w:r>
      <w:r w:rsidR="001A1F90">
        <w:t xml:space="preserve"> </w:t>
      </w:r>
      <w:r>
        <w:t>developed</w:t>
      </w:r>
      <w:r w:rsidR="001A1F90">
        <w:t xml:space="preserve"> </w:t>
      </w:r>
      <w:r>
        <w:t>by</w:t>
      </w:r>
      <w:r w:rsidR="001A1F90">
        <w:t xml:space="preserve"> </w:t>
      </w:r>
      <w:r>
        <w:t>staff</w:t>
      </w:r>
      <w:r w:rsidR="001A1F90">
        <w:t xml:space="preserve"> </w:t>
      </w:r>
      <w:r>
        <w:t>at</w:t>
      </w:r>
      <w:r w:rsidR="001A1F90">
        <w:t xml:space="preserve"> </w:t>
      </w:r>
      <w:r>
        <w:t>Forensicare,</w:t>
      </w:r>
      <w:r w:rsidR="001A1F90">
        <w:t xml:space="preserve"> </w:t>
      </w:r>
      <w:r>
        <w:t>the</w:t>
      </w:r>
      <w:r w:rsidR="001A1F90">
        <w:t xml:space="preserve"> </w:t>
      </w:r>
      <w:r>
        <w:t>statewide</w:t>
      </w:r>
      <w:r w:rsidR="001A1F90">
        <w:t xml:space="preserve"> </w:t>
      </w:r>
      <w:r>
        <w:t>provider</w:t>
      </w:r>
      <w:r w:rsidR="001A1F90">
        <w:t xml:space="preserve"> </w:t>
      </w:r>
      <w:r>
        <w:t>of</w:t>
      </w:r>
      <w:r w:rsidR="001A1F90">
        <w:t xml:space="preserve"> </w:t>
      </w:r>
      <w:r>
        <w:t>forensic</w:t>
      </w:r>
      <w:r w:rsidR="001A1F90">
        <w:t xml:space="preserve"> </w:t>
      </w:r>
      <w:r>
        <w:t>mental</w:t>
      </w:r>
      <w:r w:rsidR="001A1F90">
        <w:t xml:space="preserve"> </w:t>
      </w:r>
      <w:r>
        <w:t>health</w:t>
      </w:r>
      <w:r w:rsidR="001A1F90">
        <w:t xml:space="preserve"> </w:t>
      </w:r>
      <w:r>
        <w:t>services</w:t>
      </w:r>
      <w:r w:rsidR="001A1F90">
        <w:t xml:space="preserve"> </w:t>
      </w:r>
      <w:r>
        <w:t>in</w:t>
      </w:r>
      <w:r w:rsidR="001A1F90">
        <w:t xml:space="preserve"> </w:t>
      </w:r>
      <w:r>
        <w:t>Victoria</w:t>
      </w:r>
      <w:r w:rsidR="001A1F90">
        <w:t xml:space="preserve"> </w:t>
      </w:r>
      <w:r>
        <w:t>(see</w:t>
      </w:r>
      <w:r w:rsidR="001A1F90">
        <w:t xml:space="preserve"> </w:t>
      </w:r>
      <w:r w:rsidR="008C006C">
        <w:t>the a</w:t>
      </w:r>
      <w:r>
        <w:t>ppendix).</w:t>
      </w:r>
      <w:r w:rsidR="001A1F90">
        <w:t xml:space="preserve"> </w:t>
      </w:r>
      <w:r>
        <w:t>These</w:t>
      </w:r>
      <w:r w:rsidR="001A1F90">
        <w:t xml:space="preserve"> </w:t>
      </w:r>
      <w:r w:rsidR="00A758E4">
        <w:t>c</w:t>
      </w:r>
      <w:r>
        <w:t>linical</w:t>
      </w:r>
      <w:r w:rsidR="001A1F90">
        <w:t xml:space="preserve"> </w:t>
      </w:r>
      <w:r w:rsidR="00A758E4">
        <w:t>g</w:t>
      </w:r>
      <w:r>
        <w:t>uidelines</w:t>
      </w:r>
      <w:r w:rsidR="001A1F90">
        <w:t xml:space="preserve"> </w:t>
      </w:r>
      <w:r>
        <w:t>are</w:t>
      </w:r>
      <w:r w:rsidR="001A1F90">
        <w:t xml:space="preserve"> </w:t>
      </w:r>
      <w:r>
        <w:t>very</w:t>
      </w:r>
      <w:r w:rsidR="001A1F90">
        <w:t xml:space="preserve"> </w:t>
      </w:r>
      <w:r>
        <w:t>much</w:t>
      </w:r>
      <w:r w:rsidR="001A1F90">
        <w:t xml:space="preserve"> </w:t>
      </w:r>
      <w:r>
        <w:t>based</w:t>
      </w:r>
      <w:r w:rsidR="001A1F90">
        <w:t xml:space="preserve"> </w:t>
      </w:r>
      <w:r>
        <w:t>on,</w:t>
      </w:r>
      <w:r w:rsidR="001A1F90">
        <w:t xml:space="preserve"> </w:t>
      </w:r>
      <w:r>
        <w:t>and</w:t>
      </w:r>
      <w:r w:rsidR="001A1F90">
        <w:t xml:space="preserve"> </w:t>
      </w:r>
      <w:r>
        <w:t>make</w:t>
      </w:r>
      <w:r w:rsidR="001A1F90">
        <w:t xml:space="preserve"> </w:t>
      </w:r>
      <w:r>
        <w:t>explicit</w:t>
      </w:r>
      <w:r w:rsidR="001A1F90">
        <w:t xml:space="preserve"> </w:t>
      </w:r>
      <w:r>
        <w:t>reference</w:t>
      </w:r>
      <w:r w:rsidR="001A1F90">
        <w:t xml:space="preserve"> </w:t>
      </w:r>
      <w:r>
        <w:t>to,</w:t>
      </w:r>
      <w:r w:rsidR="001A1F90">
        <w:t xml:space="preserve"> </w:t>
      </w:r>
      <w:r>
        <w:t>the</w:t>
      </w:r>
      <w:r w:rsidR="001A1F90">
        <w:t xml:space="preserve"> </w:t>
      </w:r>
      <w:r>
        <w:t>WFSBP</w:t>
      </w:r>
      <w:r w:rsidR="001A1F90">
        <w:t xml:space="preserve"> </w:t>
      </w:r>
      <w:r>
        <w:t>guidelines</w:t>
      </w:r>
      <w:r w:rsidR="001A1F90">
        <w:t xml:space="preserve"> </w:t>
      </w:r>
      <w:r>
        <w:t>circulated</w:t>
      </w:r>
      <w:r w:rsidR="001A1F90">
        <w:t xml:space="preserve"> </w:t>
      </w:r>
      <w:r>
        <w:t>to</w:t>
      </w:r>
      <w:r w:rsidR="001A1F90">
        <w:t xml:space="preserve"> </w:t>
      </w:r>
      <w:r>
        <w:t>potential</w:t>
      </w:r>
      <w:r w:rsidR="001A1F90">
        <w:t xml:space="preserve"> </w:t>
      </w:r>
      <w:r>
        <w:t>participants</w:t>
      </w:r>
      <w:r w:rsidR="001A1F90">
        <w:t xml:space="preserve"> </w:t>
      </w:r>
      <w:r>
        <w:t>in</w:t>
      </w:r>
      <w:r w:rsidR="001A1F90">
        <w:t xml:space="preserve"> </w:t>
      </w:r>
      <w:r>
        <w:t>this</w:t>
      </w:r>
      <w:r w:rsidR="001A1F90">
        <w:t xml:space="preserve"> </w:t>
      </w:r>
      <w:r>
        <w:t>consultation</w:t>
      </w:r>
      <w:r w:rsidR="001A1F90">
        <w:t xml:space="preserve"> </w:t>
      </w:r>
      <w:r>
        <w:t>process.</w:t>
      </w:r>
    </w:p>
    <w:p w14:paraId="4F2EDA74" w14:textId="6FA60A0F" w:rsidR="004946F1" w:rsidRDefault="004946F1" w:rsidP="00BD612C">
      <w:pPr>
        <w:pStyle w:val="DHHSbody"/>
      </w:pPr>
      <w:r>
        <w:t>Other</w:t>
      </w:r>
      <w:r w:rsidR="001A1F90">
        <w:t xml:space="preserve"> </w:t>
      </w:r>
      <w:r>
        <w:t>participants</w:t>
      </w:r>
      <w:r w:rsidR="001A1F90">
        <w:t xml:space="preserve"> </w:t>
      </w:r>
      <w:r>
        <w:t>reported</w:t>
      </w:r>
      <w:r w:rsidR="001A1F90">
        <w:t xml:space="preserve"> </w:t>
      </w:r>
      <w:r w:rsidR="008F6E1A">
        <w:t>being</w:t>
      </w:r>
      <w:r w:rsidR="001A1F90">
        <w:t xml:space="preserve"> </w:t>
      </w:r>
      <w:r>
        <w:t>were</w:t>
      </w:r>
      <w:r w:rsidR="001A1F90">
        <w:t xml:space="preserve"> </w:t>
      </w:r>
      <w:r>
        <w:t>generally</w:t>
      </w:r>
      <w:r w:rsidR="001A1F90">
        <w:t xml:space="preserve"> </w:t>
      </w:r>
      <w:r>
        <w:t>aware</w:t>
      </w:r>
      <w:r w:rsidR="001A1F90">
        <w:t xml:space="preserve"> </w:t>
      </w:r>
      <w:r>
        <w:t>of</w:t>
      </w:r>
      <w:r w:rsidR="001A1F90">
        <w:t xml:space="preserve"> </w:t>
      </w:r>
      <w:r>
        <w:t>the</w:t>
      </w:r>
      <w:r w:rsidR="001A1F90">
        <w:t xml:space="preserve"> </w:t>
      </w:r>
      <w:r>
        <w:t>WFSBP</w:t>
      </w:r>
      <w:r w:rsidR="001A1F90">
        <w:t xml:space="preserve"> </w:t>
      </w:r>
      <w:r w:rsidR="008F6E1A">
        <w:t>g</w:t>
      </w:r>
      <w:r>
        <w:t>uidelines</w:t>
      </w:r>
      <w:r w:rsidR="001A1F90">
        <w:t xml:space="preserve"> </w:t>
      </w:r>
      <w:r>
        <w:t>already</w:t>
      </w:r>
      <w:r w:rsidR="001A1F90">
        <w:t xml:space="preserve"> </w:t>
      </w:r>
      <w:r>
        <w:t>and</w:t>
      </w:r>
      <w:r w:rsidR="001A1F90">
        <w:t xml:space="preserve"> </w:t>
      </w:r>
      <w:r>
        <w:t>that</w:t>
      </w:r>
      <w:r w:rsidR="001A1F90">
        <w:t xml:space="preserve"> </w:t>
      </w:r>
      <w:r>
        <w:t>they</w:t>
      </w:r>
      <w:r w:rsidR="001A1F90">
        <w:t xml:space="preserve"> </w:t>
      </w:r>
      <w:r>
        <w:t>had</w:t>
      </w:r>
      <w:r w:rsidR="001A1F90">
        <w:t xml:space="preserve"> </w:t>
      </w:r>
      <w:r>
        <w:t>referred</w:t>
      </w:r>
      <w:r w:rsidR="001A1F90">
        <w:t xml:space="preserve"> </w:t>
      </w:r>
      <w:r>
        <w:t>to</w:t>
      </w:r>
      <w:r w:rsidR="001A1F90">
        <w:t xml:space="preserve"> </w:t>
      </w:r>
      <w:r>
        <w:t>them</w:t>
      </w:r>
      <w:r w:rsidR="001A1F90">
        <w:t xml:space="preserve"> </w:t>
      </w:r>
      <w:r>
        <w:t>in</w:t>
      </w:r>
      <w:r w:rsidR="001A1F90">
        <w:t xml:space="preserve"> </w:t>
      </w:r>
      <w:r>
        <w:t>their</w:t>
      </w:r>
      <w:r w:rsidR="001A1F90">
        <w:t xml:space="preserve"> </w:t>
      </w:r>
      <w:r>
        <w:t>own</w:t>
      </w:r>
      <w:r w:rsidR="001A1F90">
        <w:t xml:space="preserve"> </w:t>
      </w:r>
      <w:r>
        <w:t>clinical</w:t>
      </w:r>
      <w:r w:rsidR="001A1F90">
        <w:t xml:space="preserve"> </w:t>
      </w:r>
      <w:r>
        <w:t>decision</w:t>
      </w:r>
      <w:r w:rsidR="00A758E4">
        <w:t xml:space="preserve"> </w:t>
      </w:r>
      <w:r>
        <w:t>making</w:t>
      </w:r>
      <w:r w:rsidR="001A1F90">
        <w:t xml:space="preserve"> </w:t>
      </w:r>
      <w:r>
        <w:t>and</w:t>
      </w:r>
      <w:r w:rsidR="001A1F90">
        <w:t xml:space="preserve"> </w:t>
      </w:r>
      <w:r>
        <w:t>review</w:t>
      </w:r>
      <w:r w:rsidR="001A1F90">
        <w:t xml:space="preserve"> </w:t>
      </w:r>
      <w:r>
        <w:t>processes</w:t>
      </w:r>
      <w:r w:rsidR="001A1F90">
        <w:t xml:space="preserve"> </w:t>
      </w:r>
      <w:r>
        <w:t>when</w:t>
      </w:r>
      <w:r w:rsidR="001A1F90">
        <w:t xml:space="preserve"> </w:t>
      </w:r>
      <w:r>
        <w:t>individual</w:t>
      </w:r>
      <w:r w:rsidR="001A1F90">
        <w:t xml:space="preserve"> </w:t>
      </w:r>
      <w:r>
        <w:t>clinical</w:t>
      </w:r>
      <w:r w:rsidR="001A1F90">
        <w:t xml:space="preserve"> </w:t>
      </w:r>
      <w:r>
        <w:t>presentations</w:t>
      </w:r>
      <w:r w:rsidR="001A1F90">
        <w:t xml:space="preserve"> </w:t>
      </w:r>
      <w:r>
        <w:t>had</w:t>
      </w:r>
      <w:r w:rsidR="001A1F90">
        <w:t xml:space="preserve"> </w:t>
      </w:r>
      <w:r>
        <w:t>potentially</w:t>
      </w:r>
      <w:r w:rsidR="001A1F90">
        <w:t xml:space="preserve"> </w:t>
      </w:r>
      <w:r>
        <w:t>indicated</w:t>
      </w:r>
      <w:r w:rsidR="001A1F90">
        <w:t xml:space="preserve"> </w:t>
      </w:r>
      <w:r>
        <w:t>their</w:t>
      </w:r>
      <w:r w:rsidR="001A1F90">
        <w:t xml:space="preserve"> </w:t>
      </w:r>
      <w:r>
        <w:t>applicability</w:t>
      </w:r>
      <w:r w:rsidR="001A1F90">
        <w:t xml:space="preserve"> </w:t>
      </w:r>
      <w:r>
        <w:t>and</w:t>
      </w:r>
      <w:r w:rsidR="001A1F90">
        <w:t xml:space="preserve"> </w:t>
      </w:r>
      <w:r>
        <w:t>utility</w:t>
      </w:r>
      <w:r w:rsidR="001A1F90">
        <w:t xml:space="preserve"> </w:t>
      </w:r>
      <w:r>
        <w:t>as</w:t>
      </w:r>
      <w:r w:rsidR="001A1F90">
        <w:t xml:space="preserve"> </w:t>
      </w:r>
      <w:r>
        <w:t>treatment</w:t>
      </w:r>
      <w:r w:rsidR="001A1F90">
        <w:t xml:space="preserve"> </w:t>
      </w:r>
      <w:r>
        <w:t>options.</w:t>
      </w:r>
    </w:p>
    <w:p w14:paraId="537F76AC" w14:textId="2DBCB49A" w:rsidR="004946F1" w:rsidRDefault="004946F1" w:rsidP="009B0E14">
      <w:pPr>
        <w:pStyle w:val="Heading2"/>
      </w:pPr>
      <w:bookmarkStart w:id="13" w:name="_Toc20225601"/>
      <w:r>
        <w:t>Indications</w:t>
      </w:r>
      <w:r w:rsidR="001A1F90">
        <w:t xml:space="preserve"> </w:t>
      </w:r>
      <w:r>
        <w:t>for</w:t>
      </w:r>
      <w:r w:rsidR="001A1F90">
        <w:t xml:space="preserve"> </w:t>
      </w:r>
      <w:r>
        <w:t>use</w:t>
      </w:r>
      <w:r w:rsidR="001A1F90">
        <w:t xml:space="preserve"> </w:t>
      </w:r>
      <w:r>
        <w:t>of</w:t>
      </w:r>
      <w:r w:rsidR="001A1F90">
        <w:t xml:space="preserve"> </w:t>
      </w:r>
      <w:r>
        <w:t>anti-libidinal</w:t>
      </w:r>
      <w:r w:rsidR="001A1F90">
        <w:t xml:space="preserve"> </w:t>
      </w:r>
      <w:r>
        <w:t>treatments</w:t>
      </w:r>
      <w:bookmarkEnd w:id="13"/>
    </w:p>
    <w:p w14:paraId="66413143" w14:textId="38CE35F9" w:rsidR="004946F1" w:rsidRDefault="004946F1" w:rsidP="00CA3986">
      <w:pPr>
        <w:pStyle w:val="DHHSbodylargespace"/>
      </w:pPr>
      <w:r>
        <w:t>Where</w:t>
      </w:r>
      <w:r w:rsidR="001A1F90">
        <w:t xml:space="preserve"> </w:t>
      </w:r>
      <w:r>
        <w:t>there</w:t>
      </w:r>
      <w:r w:rsidR="001A1F90">
        <w:t xml:space="preserve"> </w:t>
      </w:r>
      <w:r>
        <w:t>were</w:t>
      </w:r>
      <w:r w:rsidR="001A1F90">
        <w:t xml:space="preserve"> </w:t>
      </w:r>
      <w:r>
        <w:t>indications</w:t>
      </w:r>
      <w:r w:rsidR="001A1F90">
        <w:t xml:space="preserve"> </w:t>
      </w:r>
      <w:r>
        <w:t>for</w:t>
      </w:r>
      <w:r w:rsidR="001A1F90">
        <w:t xml:space="preserve"> </w:t>
      </w:r>
      <w:r>
        <w:t>pharmacological</w:t>
      </w:r>
      <w:r w:rsidR="001A1F90">
        <w:t xml:space="preserve"> </w:t>
      </w:r>
      <w:r>
        <w:t>treatment</w:t>
      </w:r>
      <w:r w:rsidR="001A1F90">
        <w:t xml:space="preserve"> </w:t>
      </w:r>
      <w:r>
        <w:t>(see</w:t>
      </w:r>
      <w:r w:rsidR="001A1F90">
        <w:t xml:space="preserve"> </w:t>
      </w:r>
      <w:r>
        <w:t>respondent</w:t>
      </w:r>
      <w:r w:rsidR="008F6E1A">
        <w:t>-</w:t>
      </w:r>
      <w:r>
        <w:t>derived</w:t>
      </w:r>
      <w:r w:rsidR="001A1F90">
        <w:t xml:space="preserve"> </w:t>
      </w:r>
      <w:r>
        <w:t>criteria</w:t>
      </w:r>
      <w:r w:rsidR="001A1F90">
        <w:t xml:space="preserve"> </w:t>
      </w:r>
      <w:r>
        <w:t>in</w:t>
      </w:r>
      <w:r w:rsidR="001A1F90">
        <w:t xml:space="preserve"> </w:t>
      </w:r>
      <w:r>
        <w:t>the</w:t>
      </w:r>
      <w:r w:rsidR="001A1F90">
        <w:t xml:space="preserve"> </w:t>
      </w:r>
      <w:r>
        <w:t>box</w:t>
      </w:r>
      <w:r w:rsidR="001A1F90">
        <w:t xml:space="preserve"> </w:t>
      </w:r>
      <w:r>
        <w:t>below),</w:t>
      </w:r>
      <w:r w:rsidR="001A1F90">
        <w:t xml:space="preserve"> </w:t>
      </w:r>
      <w:r>
        <w:t>treatment</w:t>
      </w:r>
      <w:r w:rsidR="001A1F90">
        <w:t xml:space="preserve"> </w:t>
      </w:r>
      <w:r>
        <w:t>priorities</w:t>
      </w:r>
      <w:r w:rsidR="001A1F90">
        <w:t xml:space="preserve"> </w:t>
      </w:r>
      <w:r>
        <w:t>were</w:t>
      </w:r>
      <w:r w:rsidR="001A1F90">
        <w:t xml:space="preserve"> </w:t>
      </w:r>
      <w:r>
        <w:t>consistent</w:t>
      </w:r>
      <w:r w:rsidR="001A1F90">
        <w:t xml:space="preserve"> </w:t>
      </w:r>
      <w:r>
        <w:t>with</w:t>
      </w:r>
      <w:r w:rsidR="001A1F90">
        <w:t xml:space="preserve"> </w:t>
      </w:r>
      <w:r>
        <w:t>those</w:t>
      </w:r>
      <w:r w:rsidR="001A1F90">
        <w:t xml:space="preserve"> </w:t>
      </w:r>
      <w:r>
        <w:t>identified</w:t>
      </w:r>
      <w:r w:rsidR="001A1F90">
        <w:t xml:space="preserve"> </w:t>
      </w:r>
      <w:r>
        <w:t>in</w:t>
      </w:r>
      <w:r w:rsidR="001A1F90">
        <w:t xml:space="preserve"> </w:t>
      </w:r>
      <w:r>
        <w:t>the</w:t>
      </w:r>
      <w:r w:rsidR="001A1F90">
        <w:t xml:space="preserve"> </w:t>
      </w:r>
      <w:r>
        <w:t>WFSBP</w:t>
      </w:r>
      <w:r w:rsidR="001A1F90">
        <w:t xml:space="preserve"> </w:t>
      </w:r>
      <w:r w:rsidR="008C006C">
        <w:t>g</w:t>
      </w:r>
      <w:r>
        <w:t>uidelines.</w:t>
      </w:r>
      <w:r w:rsidR="001A1F90">
        <w:t xml:space="preserve"> </w:t>
      </w:r>
      <w:r>
        <w:t>Respondents</w:t>
      </w:r>
      <w:r w:rsidR="001A1F90">
        <w:t xml:space="preserve"> </w:t>
      </w:r>
      <w:r>
        <w:t>recommended</w:t>
      </w:r>
      <w:r w:rsidR="001A1F90">
        <w:t xml:space="preserve"> </w:t>
      </w:r>
      <w:r>
        <w:t>that</w:t>
      </w:r>
      <w:r w:rsidR="001A1F90">
        <w:t xml:space="preserve"> </w:t>
      </w:r>
      <w:r>
        <w:t>the</w:t>
      </w:r>
      <w:r w:rsidR="001A1F90">
        <w:t xml:space="preserve"> </w:t>
      </w:r>
      <w:r>
        <w:t>client</w:t>
      </w:r>
      <w:r w:rsidR="001A1F90">
        <w:t xml:space="preserve"> </w:t>
      </w:r>
      <w:r>
        <w:t>was</w:t>
      </w:r>
      <w:r w:rsidR="001A1F90">
        <w:t xml:space="preserve"> </w:t>
      </w:r>
      <w:r>
        <w:t>first</w:t>
      </w:r>
      <w:r w:rsidR="001A1F90">
        <w:t xml:space="preserve"> </w:t>
      </w:r>
      <w:r>
        <w:t>commenced</w:t>
      </w:r>
      <w:r w:rsidR="001A1F90">
        <w:t xml:space="preserve"> </w:t>
      </w:r>
      <w:r>
        <w:t>on</w:t>
      </w:r>
      <w:r w:rsidR="001A1F90">
        <w:t xml:space="preserve"> </w:t>
      </w:r>
      <w:r>
        <w:t>a</w:t>
      </w:r>
      <w:r w:rsidR="001A1F90">
        <w:t xml:space="preserve"> </w:t>
      </w:r>
      <w:r>
        <w:t>serotonergic</w:t>
      </w:r>
      <w:r w:rsidR="001A1F90">
        <w:t xml:space="preserve"> </w:t>
      </w:r>
      <w:r>
        <w:t>agent</w:t>
      </w:r>
      <w:r w:rsidR="001A1F90">
        <w:t xml:space="preserve"> </w:t>
      </w:r>
      <w:r>
        <w:t>(SSRI)</w:t>
      </w:r>
      <w:r w:rsidR="001A1F90">
        <w:t xml:space="preserve"> </w:t>
      </w:r>
      <w:r>
        <w:t>(</w:t>
      </w:r>
      <w:r w:rsidR="00F550F1">
        <w:t>for example</w:t>
      </w:r>
      <w:r>
        <w:t>,</w:t>
      </w:r>
      <w:r w:rsidR="001A1F90">
        <w:t xml:space="preserve"> </w:t>
      </w:r>
      <w:r>
        <w:t>sertraline)</w:t>
      </w:r>
      <w:r w:rsidR="001A1F90">
        <w:t xml:space="preserve"> </w:t>
      </w:r>
      <w:r>
        <w:t>at</w:t>
      </w:r>
      <w:r w:rsidR="001A1F90">
        <w:t xml:space="preserve"> </w:t>
      </w:r>
      <w:r>
        <w:t>antidepressant</w:t>
      </w:r>
      <w:r w:rsidR="008F6E1A">
        <w:t>-</w:t>
      </w:r>
      <w:r>
        <w:t>level</w:t>
      </w:r>
      <w:r w:rsidR="001A1F90">
        <w:t xml:space="preserve"> </w:t>
      </w:r>
      <w:r>
        <w:t>doses.</w:t>
      </w:r>
      <w:r w:rsidR="001A1F90">
        <w:t xml:space="preserve"> </w:t>
      </w:r>
      <w:r>
        <w:t>If</w:t>
      </w:r>
      <w:r w:rsidR="001A1F90">
        <w:t xml:space="preserve"> </w:t>
      </w:r>
      <w:r>
        <w:t>there</w:t>
      </w:r>
      <w:r w:rsidR="001A1F90">
        <w:t xml:space="preserve"> </w:t>
      </w:r>
      <w:r>
        <w:t>were</w:t>
      </w:r>
      <w:r w:rsidR="001A1F90">
        <w:t xml:space="preserve"> </w:t>
      </w:r>
      <w:r>
        <w:t>subsequently</w:t>
      </w:r>
      <w:r w:rsidR="001A1F90">
        <w:t xml:space="preserve"> </w:t>
      </w:r>
      <w:r>
        <w:t>contraindications</w:t>
      </w:r>
      <w:r w:rsidR="001A1F90">
        <w:t xml:space="preserve"> </w:t>
      </w:r>
      <w:r>
        <w:t>to</w:t>
      </w:r>
      <w:r w:rsidR="001A1F90">
        <w:t xml:space="preserve"> </w:t>
      </w:r>
      <w:r>
        <w:t>SSRIs</w:t>
      </w:r>
      <w:r w:rsidR="001A1F90">
        <w:t xml:space="preserve"> </w:t>
      </w:r>
      <w:r>
        <w:t>or</w:t>
      </w:r>
      <w:r w:rsidR="001A1F90">
        <w:t xml:space="preserve"> </w:t>
      </w:r>
      <w:r>
        <w:t>an</w:t>
      </w:r>
      <w:r w:rsidR="001A1F90">
        <w:t xml:space="preserve"> </w:t>
      </w:r>
      <w:r>
        <w:t>inadequate</w:t>
      </w:r>
      <w:r w:rsidR="001A1F90">
        <w:t xml:space="preserve"> </w:t>
      </w:r>
      <w:r>
        <w:t>response</w:t>
      </w:r>
      <w:r w:rsidR="001A1F90">
        <w:t xml:space="preserve"> </w:t>
      </w:r>
      <w:r>
        <w:t>then</w:t>
      </w:r>
      <w:r w:rsidR="001A1F90">
        <w:t xml:space="preserve"> </w:t>
      </w:r>
      <w:r>
        <w:t>a</w:t>
      </w:r>
      <w:r w:rsidR="001A1F90">
        <w:t xml:space="preserve"> </w:t>
      </w:r>
      <w:r>
        <w:t>hormonal</w:t>
      </w:r>
      <w:r w:rsidR="001A1F90">
        <w:t xml:space="preserve"> </w:t>
      </w:r>
      <w:r>
        <w:t>agent</w:t>
      </w:r>
      <w:r w:rsidR="008F6E1A">
        <w:t xml:space="preserve"> was recommended</w:t>
      </w:r>
      <w:r>
        <w:t>.</w:t>
      </w:r>
      <w:r w:rsidR="001A1F90">
        <w:t xml:space="preserve"> </w:t>
      </w:r>
      <w:r>
        <w:t>It</w:t>
      </w:r>
      <w:r w:rsidR="001A1F90">
        <w:t xml:space="preserve"> </w:t>
      </w:r>
      <w:r>
        <w:t>was</w:t>
      </w:r>
      <w:r w:rsidR="001A1F90">
        <w:t xml:space="preserve"> </w:t>
      </w:r>
      <w:r>
        <w:t>also</w:t>
      </w:r>
      <w:r w:rsidR="001A1F90">
        <w:t xml:space="preserve"> </w:t>
      </w:r>
      <w:r>
        <w:t>noted</w:t>
      </w:r>
      <w:r w:rsidR="001A1F90">
        <w:t xml:space="preserve"> </w:t>
      </w:r>
      <w:r>
        <w:t>that</w:t>
      </w:r>
      <w:r w:rsidR="001A1F90">
        <w:t xml:space="preserve"> </w:t>
      </w:r>
      <w:r>
        <w:t>SSRI</w:t>
      </w:r>
      <w:r w:rsidR="001A1F90">
        <w:t xml:space="preserve"> </w:t>
      </w:r>
      <w:r>
        <w:t>treatment</w:t>
      </w:r>
      <w:r w:rsidR="001A1F90">
        <w:t xml:space="preserve"> </w:t>
      </w:r>
      <w:r>
        <w:t>may</w:t>
      </w:r>
      <w:r w:rsidR="001A1F90">
        <w:t xml:space="preserve"> </w:t>
      </w:r>
      <w:r>
        <w:t>continue</w:t>
      </w:r>
      <w:r w:rsidR="001A1F90">
        <w:t xml:space="preserve"> </w:t>
      </w:r>
      <w:r>
        <w:t>in</w:t>
      </w:r>
      <w:r w:rsidR="001A1F90">
        <w:t xml:space="preserve"> </w:t>
      </w:r>
      <w:r>
        <w:t>addition,</w:t>
      </w:r>
      <w:r w:rsidR="001A1F90">
        <w:t xml:space="preserve"> </w:t>
      </w:r>
      <w:r>
        <w:t>if</w:t>
      </w:r>
      <w:r w:rsidR="001A1F90">
        <w:t xml:space="preserve"> </w:t>
      </w:r>
      <w:r>
        <w:t>the</w:t>
      </w:r>
      <w:r w:rsidR="001A1F90">
        <w:t xml:space="preserve"> </w:t>
      </w:r>
      <w:r>
        <w:t>client</w:t>
      </w:r>
      <w:r w:rsidR="001A1F90">
        <w:t xml:space="preserve"> </w:t>
      </w:r>
      <w:r>
        <w:t>presented</w:t>
      </w:r>
      <w:r w:rsidR="001A1F90">
        <w:t xml:space="preserve"> </w:t>
      </w:r>
      <w:r>
        <w:t>with</w:t>
      </w:r>
      <w:r w:rsidR="001A1F90">
        <w:t xml:space="preserve"> </w:t>
      </w:r>
      <w:r>
        <w:t>comorbid</w:t>
      </w:r>
      <w:r w:rsidR="001A1F90">
        <w:t xml:space="preserve"> </w:t>
      </w:r>
      <w:r>
        <w:t>depression.</w:t>
      </w:r>
      <w:r w:rsidR="001A1F90">
        <w:t xml:space="preserve"> </w:t>
      </w:r>
      <w:r>
        <w:t>The</w:t>
      </w:r>
      <w:r w:rsidR="001A1F90">
        <w:t xml:space="preserve"> </w:t>
      </w:r>
      <w:r>
        <w:t>choice</w:t>
      </w:r>
      <w:r w:rsidR="001A1F90">
        <w:t xml:space="preserve"> </w:t>
      </w:r>
      <w:r>
        <w:t>of</w:t>
      </w:r>
      <w:r w:rsidR="001A1F90">
        <w:t xml:space="preserve"> </w:t>
      </w:r>
      <w:r>
        <w:t>hormonal</w:t>
      </w:r>
      <w:r w:rsidR="001A1F90">
        <w:t xml:space="preserve"> </w:t>
      </w:r>
      <w:r>
        <w:t>agent,</w:t>
      </w:r>
      <w:r w:rsidR="001A1F90">
        <w:t xml:space="preserve"> </w:t>
      </w:r>
      <w:r w:rsidR="002B53B9">
        <w:t>c</w:t>
      </w:r>
      <w:r>
        <w:t>yproterone</w:t>
      </w:r>
      <w:r w:rsidR="001A1F90">
        <w:t xml:space="preserve"> </w:t>
      </w:r>
      <w:r w:rsidR="002B53B9">
        <w:t>a</w:t>
      </w:r>
      <w:r>
        <w:t>cetate</w:t>
      </w:r>
      <w:r w:rsidR="001A1F90">
        <w:t xml:space="preserve"> </w:t>
      </w:r>
      <w:r>
        <w:t>or</w:t>
      </w:r>
      <w:r w:rsidR="001A1F90">
        <w:t xml:space="preserve"> </w:t>
      </w:r>
      <w:r w:rsidR="002B53B9">
        <w:t>m</w:t>
      </w:r>
      <w:r>
        <w:t>edroxyprogesterone</w:t>
      </w:r>
      <w:r w:rsidR="001A1F90">
        <w:t xml:space="preserve"> </w:t>
      </w:r>
      <w:r w:rsidR="002B53B9">
        <w:t>a</w:t>
      </w:r>
      <w:r>
        <w:t>cetate</w:t>
      </w:r>
      <w:r w:rsidR="001A1F90">
        <w:t xml:space="preserve"> </w:t>
      </w:r>
      <w:r>
        <w:t>(MPA)</w:t>
      </w:r>
      <w:r w:rsidR="001A1F90">
        <w:t xml:space="preserve"> </w:t>
      </w:r>
      <w:r>
        <w:t>was</w:t>
      </w:r>
      <w:r w:rsidR="001A1F90">
        <w:t xml:space="preserve"> </w:t>
      </w:r>
      <w:r>
        <w:t>noted</w:t>
      </w:r>
      <w:r w:rsidR="001A1F90">
        <w:t xml:space="preserve"> </w:t>
      </w:r>
      <w:r>
        <w:t>essentially</w:t>
      </w:r>
      <w:r w:rsidR="001A1F90">
        <w:t xml:space="preserve"> </w:t>
      </w:r>
      <w:r>
        <w:t>to</w:t>
      </w:r>
      <w:r w:rsidR="001A1F90">
        <w:t xml:space="preserve"> </w:t>
      </w:r>
      <w:r>
        <w:t>depend</w:t>
      </w:r>
      <w:r w:rsidR="001A1F90">
        <w:t xml:space="preserve"> </w:t>
      </w:r>
      <w:r>
        <w:t>on</w:t>
      </w:r>
      <w:r w:rsidR="001A1F90">
        <w:t xml:space="preserve"> </w:t>
      </w:r>
      <w:r>
        <w:t>likely</w:t>
      </w:r>
      <w:r w:rsidR="001A1F90">
        <w:t xml:space="preserve"> </w:t>
      </w:r>
      <w:r>
        <w:t>compliance,</w:t>
      </w:r>
      <w:r w:rsidR="001A1F90">
        <w:t xml:space="preserve"> </w:t>
      </w:r>
      <w:r>
        <w:t>as</w:t>
      </w:r>
      <w:r w:rsidR="001A1F90">
        <w:t xml:space="preserve"> </w:t>
      </w:r>
      <w:r>
        <w:t>well</w:t>
      </w:r>
      <w:r w:rsidR="001A1F90">
        <w:t xml:space="preserve"> </w:t>
      </w:r>
      <w:r>
        <w:t>as</w:t>
      </w:r>
      <w:r w:rsidR="001A1F90">
        <w:t xml:space="preserve"> </w:t>
      </w:r>
      <w:r>
        <w:t>patient</w:t>
      </w:r>
      <w:r w:rsidR="001A1F90">
        <w:t xml:space="preserve"> </w:t>
      </w:r>
      <w:r>
        <w:t>preference.</w:t>
      </w:r>
    </w:p>
    <w:tbl>
      <w:tblPr>
        <w:tblStyle w:val="SPhighlighttable"/>
        <w:tblW w:w="9299" w:type="dxa"/>
        <w:tblLayout w:type="fixed"/>
        <w:tblLook w:val="0600" w:firstRow="0" w:lastRow="0" w:firstColumn="0" w:lastColumn="0" w:noHBand="1" w:noVBand="1"/>
      </w:tblPr>
      <w:tblGrid>
        <w:gridCol w:w="9299"/>
      </w:tblGrid>
      <w:tr w:rsidR="004946F1" w14:paraId="7BE68EBF" w14:textId="77777777" w:rsidTr="00CA3986">
        <w:tc>
          <w:tcPr>
            <w:tcW w:w="9356" w:type="dxa"/>
          </w:tcPr>
          <w:p w14:paraId="55785705" w14:textId="31FE8592" w:rsidR="008F6E1A" w:rsidRDefault="008F6E1A" w:rsidP="00CA3986">
            <w:pPr>
              <w:pStyle w:val="DHHStablecaption"/>
              <w:spacing w:before="0"/>
            </w:pPr>
            <w:r>
              <w:t>Indications for anti-libidinal treatment</w:t>
            </w:r>
          </w:p>
          <w:p w14:paraId="6E0BD105" w14:textId="60EBE9E1" w:rsidR="004946F1" w:rsidRPr="00F224CB" w:rsidRDefault="004946F1" w:rsidP="00BD612C">
            <w:pPr>
              <w:pStyle w:val="DHHSbullet1"/>
            </w:pPr>
            <w:r w:rsidRPr="00F224CB">
              <w:t>Compulsive</w:t>
            </w:r>
            <w:r w:rsidR="001A1F90">
              <w:t xml:space="preserve"> </w:t>
            </w:r>
            <w:r w:rsidRPr="00F224CB">
              <w:t>fantasies</w:t>
            </w:r>
            <w:r w:rsidR="001A1F90">
              <w:t xml:space="preserve"> </w:t>
            </w:r>
            <w:r w:rsidRPr="00F224CB">
              <w:t>with</w:t>
            </w:r>
            <w:r w:rsidR="001A1F90">
              <w:t xml:space="preserve"> </w:t>
            </w:r>
            <w:r w:rsidRPr="00F224CB">
              <w:t>a</w:t>
            </w:r>
            <w:r w:rsidR="001A1F90">
              <w:t xml:space="preserve"> </w:t>
            </w:r>
            <w:r w:rsidRPr="00F224CB">
              <w:t>proven</w:t>
            </w:r>
            <w:r w:rsidR="001A1F90">
              <w:t xml:space="preserve"> </w:t>
            </w:r>
            <w:r w:rsidRPr="00F224CB">
              <w:t>inability</w:t>
            </w:r>
            <w:r w:rsidR="001A1F90">
              <w:t xml:space="preserve"> </w:t>
            </w:r>
            <w:r w:rsidRPr="00F224CB">
              <w:t>to</w:t>
            </w:r>
            <w:r w:rsidR="001A1F90">
              <w:t xml:space="preserve"> </w:t>
            </w:r>
            <w:r w:rsidRPr="00F224CB">
              <w:t>control</w:t>
            </w:r>
            <w:r w:rsidR="001A1F90">
              <w:t xml:space="preserve"> </w:t>
            </w:r>
            <w:r w:rsidRPr="00F224CB">
              <w:t>their</w:t>
            </w:r>
            <w:r w:rsidR="001A1F90">
              <w:t xml:space="preserve"> </w:t>
            </w:r>
            <w:r w:rsidRPr="00F224CB">
              <w:t>sexual</w:t>
            </w:r>
            <w:r w:rsidR="001A1F90">
              <w:t xml:space="preserve"> </w:t>
            </w:r>
            <w:r w:rsidRPr="00F224CB">
              <w:t>arousal</w:t>
            </w:r>
          </w:p>
          <w:p w14:paraId="565EAC6B" w14:textId="75478A22" w:rsidR="004946F1" w:rsidRPr="00F224CB" w:rsidRDefault="004946F1" w:rsidP="00BD612C">
            <w:pPr>
              <w:pStyle w:val="DHHSbullet1"/>
            </w:pPr>
            <w:r w:rsidRPr="00F224CB">
              <w:t>Predatory,</w:t>
            </w:r>
            <w:r w:rsidR="001A1F90">
              <w:t xml:space="preserve"> </w:t>
            </w:r>
            <w:r w:rsidRPr="00F224CB">
              <w:t>violent</w:t>
            </w:r>
            <w:r w:rsidR="001A1F90">
              <w:t xml:space="preserve"> </w:t>
            </w:r>
            <w:r w:rsidRPr="00F224CB">
              <w:t>sexual</w:t>
            </w:r>
            <w:r w:rsidR="001A1F90">
              <w:t xml:space="preserve"> </w:t>
            </w:r>
            <w:r w:rsidRPr="00F224CB">
              <w:t>behaviours</w:t>
            </w:r>
          </w:p>
          <w:p w14:paraId="09096B9A" w14:textId="2AFDBE69" w:rsidR="004946F1" w:rsidRPr="00F224CB" w:rsidRDefault="004946F1" w:rsidP="00BD612C">
            <w:pPr>
              <w:pStyle w:val="DHHSbullet1"/>
            </w:pPr>
            <w:r w:rsidRPr="00F224CB">
              <w:t>Sexual</w:t>
            </w:r>
            <w:r w:rsidR="001A1F90">
              <w:t xml:space="preserve"> </w:t>
            </w:r>
            <w:r w:rsidRPr="00F224CB">
              <w:t>violence</w:t>
            </w:r>
            <w:r w:rsidR="001A1F90">
              <w:t xml:space="preserve"> </w:t>
            </w:r>
            <w:r w:rsidRPr="00F224CB">
              <w:t>under</w:t>
            </w:r>
            <w:r w:rsidR="001A1F90">
              <w:t xml:space="preserve"> </w:t>
            </w:r>
            <w:r w:rsidRPr="00F224CB">
              <w:t>institutional</w:t>
            </w:r>
            <w:r w:rsidR="001A1F90">
              <w:t xml:space="preserve"> </w:t>
            </w:r>
            <w:r w:rsidRPr="00F224CB">
              <w:t>conditions</w:t>
            </w:r>
          </w:p>
          <w:p w14:paraId="4971A78B" w14:textId="451A1F3C" w:rsidR="004946F1" w:rsidRPr="00F224CB" w:rsidRDefault="004946F1" w:rsidP="00BD612C">
            <w:pPr>
              <w:pStyle w:val="DHHSbullet1"/>
            </w:pPr>
            <w:r w:rsidRPr="00F224CB">
              <w:t>Previous</w:t>
            </w:r>
            <w:r w:rsidR="001A1F90">
              <w:t xml:space="preserve"> </w:t>
            </w:r>
            <w:r w:rsidRPr="00F224CB">
              <w:t>non-pharmacological</w:t>
            </w:r>
            <w:r w:rsidR="001A1F90">
              <w:t xml:space="preserve"> </w:t>
            </w:r>
            <w:r w:rsidRPr="00F224CB">
              <w:t>treatment</w:t>
            </w:r>
            <w:r w:rsidR="001A1F90">
              <w:t xml:space="preserve"> </w:t>
            </w:r>
            <w:r w:rsidRPr="00F224CB">
              <w:t>failures</w:t>
            </w:r>
          </w:p>
          <w:p w14:paraId="28356CF8" w14:textId="4D3BF1B6" w:rsidR="004946F1" w:rsidRPr="00F224CB" w:rsidRDefault="004946F1" w:rsidP="00BD612C">
            <w:pPr>
              <w:pStyle w:val="DHHSbullet1"/>
            </w:pPr>
            <w:r w:rsidRPr="00F224CB">
              <w:t>Patient</w:t>
            </w:r>
            <w:r w:rsidR="001A1F90">
              <w:t xml:space="preserve"> </w:t>
            </w:r>
            <w:r w:rsidRPr="00F224CB">
              <w:t>is</w:t>
            </w:r>
            <w:r w:rsidR="001A1F90">
              <w:t xml:space="preserve"> </w:t>
            </w:r>
            <w:r w:rsidRPr="00F224CB">
              <w:t>under</w:t>
            </w:r>
            <w:r w:rsidR="001A1F90">
              <w:t xml:space="preserve"> </w:t>
            </w:r>
            <w:r w:rsidRPr="00F224CB">
              <w:t>considerable</w:t>
            </w:r>
            <w:r w:rsidR="001A1F90">
              <w:t xml:space="preserve"> </w:t>
            </w:r>
            <w:r w:rsidRPr="00F224CB">
              <w:t>mental</w:t>
            </w:r>
            <w:r w:rsidR="001A1F90">
              <w:t xml:space="preserve"> </w:t>
            </w:r>
            <w:r w:rsidRPr="00F224CB">
              <w:t>distress</w:t>
            </w:r>
            <w:r w:rsidR="001A1F90">
              <w:t xml:space="preserve"> </w:t>
            </w:r>
            <w:r w:rsidRPr="00F224CB">
              <w:t>because</w:t>
            </w:r>
            <w:r w:rsidR="001A1F90">
              <w:t xml:space="preserve"> </w:t>
            </w:r>
            <w:r w:rsidRPr="00F224CB">
              <w:t>of</w:t>
            </w:r>
            <w:r w:rsidR="001A1F90">
              <w:t xml:space="preserve"> </w:t>
            </w:r>
            <w:r w:rsidRPr="00F224CB">
              <w:t>their</w:t>
            </w:r>
            <w:r w:rsidR="001A1F90">
              <w:t xml:space="preserve"> </w:t>
            </w:r>
            <w:r w:rsidRPr="00F224CB">
              <w:t>uncontrollable</w:t>
            </w:r>
            <w:r w:rsidR="001A1F90">
              <w:t xml:space="preserve"> </w:t>
            </w:r>
            <w:r w:rsidRPr="00F224CB">
              <w:t>drive</w:t>
            </w:r>
          </w:p>
          <w:p w14:paraId="24A22808" w14:textId="77BD2FE1" w:rsidR="004946F1" w:rsidRDefault="004946F1" w:rsidP="00BD612C">
            <w:pPr>
              <w:pStyle w:val="DHHSbullet1"/>
            </w:pPr>
            <w:r w:rsidRPr="00F224CB">
              <w:t>Patients</w:t>
            </w:r>
            <w:r w:rsidR="001A1F90">
              <w:t xml:space="preserve"> </w:t>
            </w:r>
            <w:r w:rsidRPr="00F224CB">
              <w:t>who</w:t>
            </w:r>
            <w:r w:rsidR="001A1F90">
              <w:t xml:space="preserve"> </w:t>
            </w:r>
            <w:r w:rsidRPr="00F224CB">
              <w:t>are</w:t>
            </w:r>
            <w:r w:rsidR="001A1F90">
              <w:t xml:space="preserve"> </w:t>
            </w:r>
            <w:r w:rsidRPr="00F224CB">
              <w:t>less</w:t>
            </w:r>
            <w:r w:rsidR="001A1F90">
              <w:t xml:space="preserve"> </w:t>
            </w:r>
            <w:r w:rsidRPr="00F224CB">
              <w:t>capable</w:t>
            </w:r>
            <w:r w:rsidR="001A1F90">
              <w:t xml:space="preserve"> </w:t>
            </w:r>
            <w:r w:rsidRPr="00F224CB">
              <w:t>of</w:t>
            </w:r>
            <w:r w:rsidR="001A1F90">
              <w:t xml:space="preserve"> </w:t>
            </w:r>
            <w:r w:rsidRPr="00F224CB">
              <w:t>utilising</w:t>
            </w:r>
            <w:r w:rsidR="001A1F90">
              <w:t xml:space="preserve"> </w:t>
            </w:r>
            <w:r w:rsidRPr="00F224CB">
              <w:t>cognitive</w:t>
            </w:r>
            <w:r w:rsidR="001A1F90">
              <w:t xml:space="preserve"> </w:t>
            </w:r>
            <w:r w:rsidRPr="00F224CB">
              <w:t>therapies</w:t>
            </w:r>
            <w:r w:rsidR="001A1F90">
              <w:t xml:space="preserve"> </w:t>
            </w:r>
            <w:r w:rsidRPr="00F224CB">
              <w:t>(major</w:t>
            </w:r>
            <w:r w:rsidR="001A1F90">
              <w:t xml:space="preserve"> </w:t>
            </w:r>
            <w:r w:rsidRPr="00F224CB">
              <w:t>mental</w:t>
            </w:r>
            <w:r w:rsidR="001A1F90">
              <w:t xml:space="preserve"> </w:t>
            </w:r>
            <w:r w:rsidRPr="00F224CB">
              <w:t>illness,</w:t>
            </w:r>
            <w:r w:rsidR="001A1F90">
              <w:t xml:space="preserve"> </w:t>
            </w:r>
            <w:r w:rsidRPr="00F224CB">
              <w:t>ABI)</w:t>
            </w:r>
          </w:p>
        </w:tc>
      </w:tr>
    </w:tbl>
    <w:p w14:paraId="193042BD" w14:textId="6278CF5D" w:rsidR="004946F1" w:rsidRDefault="004946F1" w:rsidP="009B0E14">
      <w:pPr>
        <w:pStyle w:val="Heading2"/>
      </w:pPr>
      <w:bookmarkStart w:id="14" w:name="_Toc20225602"/>
      <w:r>
        <w:t>Recommendations</w:t>
      </w:r>
      <w:r w:rsidR="001A1F90">
        <w:t xml:space="preserve"> </w:t>
      </w:r>
      <w:r>
        <w:t>regarding</w:t>
      </w:r>
      <w:r w:rsidR="001A1F90">
        <w:t xml:space="preserve"> </w:t>
      </w:r>
      <w:r>
        <w:t>the</w:t>
      </w:r>
      <w:r w:rsidR="001A1F90">
        <w:t xml:space="preserve"> </w:t>
      </w:r>
      <w:r>
        <w:t>existing</w:t>
      </w:r>
      <w:r w:rsidR="001A1F90">
        <w:t xml:space="preserve"> </w:t>
      </w:r>
      <w:r>
        <w:t>WFSBP</w:t>
      </w:r>
      <w:r w:rsidR="001A1F90">
        <w:t xml:space="preserve"> </w:t>
      </w:r>
      <w:r>
        <w:t>guidelines</w:t>
      </w:r>
      <w:bookmarkEnd w:id="14"/>
    </w:p>
    <w:p w14:paraId="6B7D0AD9" w14:textId="4DF949A4" w:rsidR="004946F1" w:rsidRDefault="004946F1" w:rsidP="00BD612C">
      <w:pPr>
        <w:pStyle w:val="DHHSbody"/>
      </w:pPr>
      <w:r>
        <w:t>When</w:t>
      </w:r>
      <w:r w:rsidR="001A1F90">
        <w:t xml:space="preserve"> </w:t>
      </w:r>
      <w:r>
        <w:t>the</w:t>
      </w:r>
      <w:r w:rsidR="001A1F90">
        <w:t xml:space="preserve"> </w:t>
      </w:r>
      <w:r>
        <w:t>participant’s</w:t>
      </w:r>
      <w:r w:rsidR="001A1F90">
        <w:t xml:space="preserve"> </w:t>
      </w:r>
      <w:r>
        <w:t>recommendations</w:t>
      </w:r>
      <w:r w:rsidR="001A1F90">
        <w:t xml:space="preserve"> </w:t>
      </w:r>
      <w:r>
        <w:t>were</w:t>
      </w:r>
      <w:r w:rsidR="001A1F90">
        <w:t xml:space="preserve"> </w:t>
      </w:r>
      <w:r>
        <w:t>mapped</w:t>
      </w:r>
      <w:r w:rsidR="001A1F90">
        <w:t xml:space="preserve"> </w:t>
      </w:r>
      <w:r>
        <w:t>with</w:t>
      </w:r>
      <w:r w:rsidR="001A1F90">
        <w:t xml:space="preserve"> </w:t>
      </w:r>
      <w:r>
        <w:t>the</w:t>
      </w:r>
      <w:r w:rsidR="001A1F90">
        <w:t xml:space="preserve"> </w:t>
      </w:r>
      <w:r>
        <w:t>WFSBP</w:t>
      </w:r>
      <w:r w:rsidR="001A1F90">
        <w:t xml:space="preserve"> </w:t>
      </w:r>
      <w:r w:rsidR="00A758E4">
        <w:t>g</w:t>
      </w:r>
      <w:r>
        <w:t>uidelines,</w:t>
      </w:r>
      <w:r w:rsidR="001A1F90">
        <w:t xml:space="preserve"> </w:t>
      </w:r>
      <w:r>
        <w:t>there</w:t>
      </w:r>
      <w:r w:rsidR="001A1F90">
        <w:t xml:space="preserve"> </w:t>
      </w:r>
      <w:r>
        <w:t>was</w:t>
      </w:r>
      <w:r w:rsidR="001A1F90">
        <w:t xml:space="preserve"> </w:t>
      </w:r>
      <w:r>
        <w:t>significant</w:t>
      </w:r>
      <w:r w:rsidR="001A1F90">
        <w:t xml:space="preserve"> </w:t>
      </w:r>
      <w:r>
        <w:t>overlap.</w:t>
      </w:r>
      <w:r w:rsidR="001A1F90">
        <w:t xml:space="preserve"> </w:t>
      </w:r>
      <w:r>
        <w:t>All</w:t>
      </w:r>
      <w:r w:rsidR="001A1F90">
        <w:t xml:space="preserve"> </w:t>
      </w:r>
      <w:r>
        <w:t>participants</w:t>
      </w:r>
      <w:r w:rsidR="001A1F90">
        <w:t xml:space="preserve"> </w:t>
      </w:r>
      <w:r>
        <w:t>considered</w:t>
      </w:r>
      <w:r w:rsidR="001A1F90">
        <w:t xml:space="preserve"> </w:t>
      </w:r>
      <w:r>
        <w:t>the</w:t>
      </w:r>
      <w:r w:rsidR="001A1F90">
        <w:t xml:space="preserve"> </w:t>
      </w:r>
      <w:r>
        <w:t>guidelines</w:t>
      </w:r>
      <w:r w:rsidR="001A1F90">
        <w:t xml:space="preserve"> </w:t>
      </w:r>
      <w:r>
        <w:t>helpful</w:t>
      </w:r>
      <w:r w:rsidR="001A1F90">
        <w:t xml:space="preserve"> </w:t>
      </w:r>
      <w:r>
        <w:t>and</w:t>
      </w:r>
      <w:r w:rsidR="001A1F90">
        <w:t xml:space="preserve"> </w:t>
      </w:r>
      <w:r>
        <w:t>informative</w:t>
      </w:r>
      <w:r w:rsidR="001A1F90">
        <w:t xml:space="preserve"> </w:t>
      </w:r>
      <w:r>
        <w:t>and</w:t>
      </w:r>
      <w:r w:rsidR="001A1F90">
        <w:t xml:space="preserve"> </w:t>
      </w:r>
      <w:r>
        <w:t>reported</w:t>
      </w:r>
      <w:r w:rsidR="001A1F90">
        <w:t xml:space="preserve"> </w:t>
      </w:r>
      <w:r>
        <w:t>a</w:t>
      </w:r>
      <w:r w:rsidR="001A1F90">
        <w:t xml:space="preserve"> </w:t>
      </w:r>
      <w:r>
        <w:t>need</w:t>
      </w:r>
      <w:r w:rsidR="001A1F90">
        <w:t xml:space="preserve"> </w:t>
      </w:r>
      <w:r>
        <w:t>for,</w:t>
      </w:r>
      <w:r w:rsidR="001A1F90">
        <w:t xml:space="preserve"> </w:t>
      </w:r>
      <w:r>
        <w:t>and</w:t>
      </w:r>
      <w:r w:rsidR="001A1F90">
        <w:t xml:space="preserve"> </w:t>
      </w:r>
      <w:r>
        <w:t>that</w:t>
      </w:r>
      <w:r w:rsidR="001A1F90">
        <w:t xml:space="preserve"> </w:t>
      </w:r>
      <w:r>
        <w:t>there</w:t>
      </w:r>
      <w:r w:rsidR="001A1F90">
        <w:t xml:space="preserve"> </w:t>
      </w:r>
      <w:r>
        <w:t>would</w:t>
      </w:r>
      <w:r w:rsidR="001A1F90">
        <w:t xml:space="preserve"> </w:t>
      </w:r>
      <w:r>
        <w:t>be</w:t>
      </w:r>
      <w:r w:rsidR="001A1F90">
        <w:t xml:space="preserve"> </w:t>
      </w:r>
      <w:r>
        <w:t>benefit</w:t>
      </w:r>
      <w:r w:rsidR="001A1F90">
        <w:t xml:space="preserve"> </w:t>
      </w:r>
      <w:r>
        <w:t>from,</w:t>
      </w:r>
      <w:r w:rsidR="001A1F90">
        <w:t xml:space="preserve"> </w:t>
      </w:r>
      <w:r>
        <w:t>adopting</w:t>
      </w:r>
      <w:r w:rsidR="001A1F90">
        <w:t xml:space="preserve"> </w:t>
      </w:r>
      <w:r>
        <w:t>such</w:t>
      </w:r>
      <w:r w:rsidR="001A1F90">
        <w:t xml:space="preserve"> </w:t>
      </w:r>
      <w:r>
        <w:t>an</w:t>
      </w:r>
      <w:r w:rsidR="001A1F90">
        <w:t xml:space="preserve"> </w:t>
      </w:r>
      <w:r>
        <w:t>approach</w:t>
      </w:r>
      <w:r w:rsidR="001A1F90">
        <w:t xml:space="preserve"> </w:t>
      </w:r>
      <w:r>
        <w:t>routinely.</w:t>
      </w:r>
    </w:p>
    <w:p w14:paraId="37161DE5" w14:textId="6A6F45B2" w:rsidR="004946F1" w:rsidRDefault="004946F1" w:rsidP="00BD612C">
      <w:pPr>
        <w:pStyle w:val="DHHSbody"/>
      </w:pPr>
      <w:r>
        <w:t>The</w:t>
      </w:r>
      <w:r w:rsidR="001A1F90">
        <w:t xml:space="preserve"> </w:t>
      </w:r>
      <w:r>
        <w:t>consensus</w:t>
      </w:r>
      <w:r w:rsidR="001A1F90">
        <w:t xml:space="preserve"> </w:t>
      </w:r>
      <w:r>
        <w:t>was</w:t>
      </w:r>
      <w:r w:rsidR="001A1F90">
        <w:t xml:space="preserve"> </w:t>
      </w:r>
      <w:r>
        <w:t>that</w:t>
      </w:r>
      <w:r w:rsidR="001A1F90">
        <w:t xml:space="preserve"> </w:t>
      </w:r>
      <w:r>
        <w:t>the</w:t>
      </w:r>
      <w:r w:rsidR="001A1F90">
        <w:t xml:space="preserve"> </w:t>
      </w:r>
      <w:r>
        <w:t>WFSBP</w:t>
      </w:r>
      <w:r w:rsidR="001A1F90">
        <w:t xml:space="preserve"> </w:t>
      </w:r>
      <w:r>
        <w:t>guidelines</w:t>
      </w:r>
      <w:r w:rsidR="001A1F90">
        <w:t xml:space="preserve"> </w:t>
      </w:r>
      <w:r>
        <w:t>as</w:t>
      </w:r>
      <w:r w:rsidR="001A1F90">
        <w:t xml:space="preserve"> </w:t>
      </w:r>
      <w:r>
        <w:t>they</w:t>
      </w:r>
      <w:r w:rsidR="001A1F90">
        <w:t xml:space="preserve"> </w:t>
      </w:r>
      <w:r>
        <w:t>stood</w:t>
      </w:r>
      <w:r w:rsidR="001A1F90">
        <w:t xml:space="preserve"> </w:t>
      </w:r>
      <w:r>
        <w:t>were</w:t>
      </w:r>
      <w:r w:rsidR="001A1F90">
        <w:t xml:space="preserve"> </w:t>
      </w:r>
      <w:r>
        <w:t>essentially</w:t>
      </w:r>
      <w:r w:rsidR="001A1F90">
        <w:t xml:space="preserve"> </w:t>
      </w:r>
      <w:r>
        <w:t>workable</w:t>
      </w:r>
      <w:r w:rsidR="001A1F90">
        <w:t xml:space="preserve"> </w:t>
      </w:r>
      <w:r>
        <w:t>in</w:t>
      </w:r>
      <w:r w:rsidR="001A1F90">
        <w:t xml:space="preserve"> </w:t>
      </w:r>
      <w:r>
        <w:t>the</w:t>
      </w:r>
      <w:r w:rsidR="001A1F90">
        <w:t xml:space="preserve"> </w:t>
      </w:r>
      <w:r>
        <w:t>different</w:t>
      </w:r>
      <w:r w:rsidR="001A1F90">
        <w:t xml:space="preserve"> </w:t>
      </w:r>
      <w:r>
        <w:t>jurisdictions;</w:t>
      </w:r>
      <w:r w:rsidR="001A1F90">
        <w:t xml:space="preserve"> </w:t>
      </w:r>
      <w:r>
        <w:t>and</w:t>
      </w:r>
      <w:r w:rsidR="001A1F90">
        <w:t xml:space="preserve"> </w:t>
      </w:r>
      <w:r>
        <w:t>indeed,</w:t>
      </w:r>
      <w:r w:rsidR="001A1F90">
        <w:t xml:space="preserve"> </w:t>
      </w:r>
      <w:r>
        <w:t>as</w:t>
      </w:r>
      <w:r w:rsidR="001A1F90">
        <w:t xml:space="preserve"> </w:t>
      </w:r>
      <w:r>
        <w:t>indicated</w:t>
      </w:r>
      <w:r w:rsidR="001A1F90">
        <w:t xml:space="preserve"> </w:t>
      </w:r>
      <w:r>
        <w:t>by</w:t>
      </w:r>
      <w:r w:rsidR="001A1F90">
        <w:t xml:space="preserve"> </w:t>
      </w:r>
      <w:r>
        <w:t>their</w:t>
      </w:r>
      <w:r w:rsidR="001A1F90">
        <w:t xml:space="preserve"> </w:t>
      </w:r>
      <w:r>
        <w:t>responses,</w:t>
      </w:r>
      <w:r w:rsidR="001A1F90">
        <w:t xml:space="preserve"> </w:t>
      </w:r>
      <w:r>
        <w:t>the</w:t>
      </w:r>
      <w:r w:rsidR="001A1F90">
        <w:t xml:space="preserve"> </w:t>
      </w:r>
      <w:r>
        <w:t>majority</w:t>
      </w:r>
      <w:r w:rsidR="001A1F90">
        <w:t xml:space="preserve"> </w:t>
      </w:r>
      <w:r>
        <w:t>of</w:t>
      </w:r>
      <w:r w:rsidR="001A1F90">
        <w:t xml:space="preserve"> </w:t>
      </w:r>
      <w:r>
        <w:t>those</w:t>
      </w:r>
      <w:r w:rsidR="001A1F90">
        <w:t xml:space="preserve"> </w:t>
      </w:r>
      <w:r>
        <w:t>who</w:t>
      </w:r>
      <w:r w:rsidR="001A1F90">
        <w:t xml:space="preserve"> </w:t>
      </w:r>
      <w:r>
        <w:t>responded</w:t>
      </w:r>
      <w:r w:rsidR="001A1F90">
        <w:t xml:space="preserve"> </w:t>
      </w:r>
      <w:r>
        <w:t>had</w:t>
      </w:r>
      <w:r w:rsidR="001A1F90">
        <w:t xml:space="preserve"> </w:t>
      </w:r>
      <w:r>
        <w:t>either</w:t>
      </w:r>
      <w:r w:rsidR="001A1F90">
        <w:t xml:space="preserve"> </w:t>
      </w:r>
      <w:r>
        <w:t>considered</w:t>
      </w:r>
      <w:r w:rsidR="001A1F90">
        <w:t xml:space="preserve"> </w:t>
      </w:r>
      <w:r>
        <w:t>or</w:t>
      </w:r>
      <w:r w:rsidR="001A1F90">
        <w:t xml:space="preserve"> </w:t>
      </w:r>
      <w:r>
        <w:t>used</w:t>
      </w:r>
      <w:r w:rsidR="001A1F90">
        <w:t xml:space="preserve"> </w:t>
      </w:r>
      <w:r>
        <w:t>the</w:t>
      </w:r>
      <w:r w:rsidR="001A1F90">
        <w:t xml:space="preserve"> </w:t>
      </w:r>
      <w:r>
        <w:t>guidelines</w:t>
      </w:r>
      <w:r w:rsidR="001A1F90">
        <w:t xml:space="preserve"> </w:t>
      </w:r>
      <w:r>
        <w:t>as</w:t>
      </w:r>
      <w:r w:rsidR="001A1F90">
        <w:t xml:space="preserve"> </w:t>
      </w:r>
      <w:r>
        <w:t>the</w:t>
      </w:r>
      <w:r w:rsidR="001A1F90">
        <w:t xml:space="preserve"> </w:t>
      </w:r>
      <w:r>
        <w:t>basis</w:t>
      </w:r>
      <w:r w:rsidR="001A1F90">
        <w:t xml:space="preserve"> </w:t>
      </w:r>
      <w:r>
        <w:t>for</w:t>
      </w:r>
      <w:r w:rsidR="001A1F90">
        <w:t xml:space="preserve"> </w:t>
      </w:r>
      <w:r>
        <w:t>their</w:t>
      </w:r>
      <w:r w:rsidR="001A1F90">
        <w:t xml:space="preserve"> </w:t>
      </w:r>
      <w:r>
        <w:t>practices</w:t>
      </w:r>
      <w:r w:rsidR="001A1F90">
        <w:t xml:space="preserve"> </w:t>
      </w:r>
      <w:r>
        <w:t>in</w:t>
      </w:r>
      <w:r w:rsidR="001A1F90">
        <w:t xml:space="preserve"> </w:t>
      </w:r>
      <w:r>
        <w:t>some</w:t>
      </w:r>
      <w:r w:rsidR="001A1F90">
        <w:t xml:space="preserve"> </w:t>
      </w:r>
      <w:r>
        <w:t>format</w:t>
      </w:r>
      <w:r w:rsidR="001A1F90">
        <w:t xml:space="preserve"> </w:t>
      </w:r>
      <w:r>
        <w:t>already.</w:t>
      </w:r>
      <w:r w:rsidR="001A1F90">
        <w:t xml:space="preserve"> </w:t>
      </w:r>
      <w:r>
        <w:t>According</w:t>
      </w:r>
      <w:r w:rsidR="001A1F90">
        <w:t xml:space="preserve"> </w:t>
      </w:r>
      <w:r>
        <w:t>to</w:t>
      </w:r>
      <w:r w:rsidR="001A1F90">
        <w:t xml:space="preserve"> </w:t>
      </w:r>
      <w:r>
        <w:t>the</w:t>
      </w:r>
      <w:r w:rsidR="001A1F90">
        <w:t xml:space="preserve"> </w:t>
      </w:r>
      <w:r>
        <w:t>respondents</w:t>
      </w:r>
      <w:r w:rsidR="001A1F90">
        <w:t xml:space="preserve"> </w:t>
      </w:r>
      <w:r>
        <w:t>the</w:t>
      </w:r>
      <w:r w:rsidR="001A1F90">
        <w:t xml:space="preserve"> </w:t>
      </w:r>
      <w:r>
        <w:t>main</w:t>
      </w:r>
      <w:r w:rsidR="001A1F90">
        <w:t xml:space="preserve"> </w:t>
      </w:r>
      <w:r>
        <w:t>challenge</w:t>
      </w:r>
      <w:r w:rsidR="001A1F90">
        <w:t xml:space="preserve"> </w:t>
      </w:r>
      <w:r>
        <w:t>faced</w:t>
      </w:r>
      <w:r w:rsidR="001A1F90">
        <w:t xml:space="preserve"> </w:t>
      </w:r>
      <w:r>
        <w:t>with</w:t>
      </w:r>
      <w:r w:rsidR="001A1F90">
        <w:t xml:space="preserve"> </w:t>
      </w:r>
      <w:r>
        <w:t>incorporating</w:t>
      </w:r>
      <w:r w:rsidR="001A1F90">
        <w:t xml:space="preserve"> </w:t>
      </w:r>
      <w:r>
        <w:t>the</w:t>
      </w:r>
      <w:r w:rsidR="001A1F90">
        <w:t xml:space="preserve"> </w:t>
      </w:r>
      <w:r>
        <w:t>guidelines</w:t>
      </w:r>
      <w:r w:rsidR="001A1F90">
        <w:t xml:space="preserve"> </w:t>
      </w:r>
      <w:r>
        <w:t>routinely</w:t>
      </w:r>
      <w:r w:rsidR="001A1F90">
        <w:t xml:space="preserve"> </w:t>
      </w:r>
      <w:r>
        <w:t>was</w:t>
      </w:r>
      <w:r w:rsidR="001A1F90">
        <w:t xml:space="preserve"> </w:t>
      </w:r>
      <w:r>
        <w:t>the</w:t>
      </w:r>
      <w:r w:rsidR="001A1F90">
        <w:t xml:space="preserve"> </w:t>
      </w:r>
      <w:r>
        <w:t>degree</w:t>
      </w:r>
      <w:r w:rsidR="001A1F90">
        <w:t xml:space="preserve"> </w:t>
      </w:r>
      <w:r>
        <w:t>to</w:t>
      </w:r>
      <w:r w:rsidR="001A1F90">
        <w:t xml:space="preserve"> </w:t>
      </w:r>
      <w:r>
        <w:t>which</w:t>
      </w:r>
      <w:r w:rsidR="001A1F90">
        <w:t xml:space="preserve"> </w:t>
      </w:r>
      <w:r>
        <w:t>the</w:t>
      </w:r>
      <w:r w:rsidR="001A1F90">
        <w:t xml:space="preserve"> </w:t>
      </w:r>
      <w:r>
        <w:t>guidelines</w:t>
      </w:r>
      <w:r w:rsidR="001A1F90">
        <w:t xml:space="preserve"> </w:t>
      </w:r>
      <w:r>
        <w:t>were</w:t>
      </w:r>
      <w:r w:rsidR="001A1F90">
        <w:t xml:space="preserve"> </w:t>
      </w:r>
      <w:r>
        <w:t>readily</w:t>
      </w:r>
      <w:r w:rsidR="001A1F90">
        <w:t xml:space="preserve"> </w:t>
      </w:r>
      <w:r>
        <w:t>translatable</w:t>
      </w:r>
      <w:r w:rsidR="001A1F90">
        <w:t xml:space="preserve"> </w:t>
      </w:r>
      <w:r>
        <w:t>to</w:t>
      </w:r>
      <w:r w:rsidR="001A1F90">
        <w:t xml:space="preserve"> </w:t>
      </w:r>
      <w:r>
        <w:t>the</w:t>
      </w:r>
      <w:r w:rsidR="001A1F90">
        <w:t xml:space="preserve"> </w:t>
      </w:r>
      <w:r>
        <w:t>various</w:t>
      </w:r>
      <w:r w:rsidR="001A1F90">
        <w:t xml:space="preserve"> </w:t>
      </w:r>
      <w:r>
        <w:t>legislative</w:t>
      </w:r>
      <w:r w:rsidR="001A1F90">
        <w:t xml:space="preserve"> </w:t>
      </w:r>
      <w:r>
        <w:t>frameworks</w:t>
      </w:r>
      <w:r w:rsidR="001A1F90">
        <w:t xml:space="preserve"> </w:t>
      </w:r>
      <w:r>
        <w:t>across</w:t>
      </w:r>
      <w:r w:rsidR="001A1F90">
        <w:t xml:space="preserve"> </w:t>
      </w:r>
      <w:r>
        <w:t>both</w:t>
      </w:r>
      <w:r w:rsidR="001A1F90">
        <w:t xml:space="preserve"> </w:t>
      </w:r>
      <w:r>
        <w:t>Australia</w:t>
      </w:r>
      <w:r w:rsidR="001A1F90">
        <w:t xml:space="preserve"> </w:t>
      </w:r>
      <w:r>
        <w:t>and</w:t>
      </w:r>
      <w:r w:rsidR="001A1F90">
        <w:t xml:space="preserve"> </w:t>
      </w:r>
      <w:r>
        <w:t>New</w:t>
      </w:r>
      <w:r w:rsidR="001A1F90">
        <w:t xml:space="preserve"> </w:t>
      </w:r>
      <w:r>
        <w:t>Zealand.</w:t>
      </w:r>
    </w:p>
    <w:p w14:paraId="6685A5CB" w14:textId="6E01047B" w:rsidR="004946F1" w:rsidRDefault="004946F1" w:rsidP="00BD612C">
      <w:pPr>
        <w:pStyle w:val="DHHSbody"/>
      </w:pPr>
      <w:r>
        <w:t>One</w:t>
      </w:r>
      <w:r w:rsidR="001A1F90">
        <w:t xml:space="preserve"> </w:t>
      </w:r>
      <w:r>
        <w:t>of</w:t>
      </w:r>
      <w:r w:rsidR="001A1F90">
        <w:t xml:space="preserve"> </w:t>
      </w:r>
      <w:r>
        <w:t>the</w:t>
      </w:r>
      <w:r w:rsidR="001A1F90">
        <w:t xml:space="preserve"> </w:t>
      </w:r>
      <w:r>
        <w:t>most</w:t>
      </w:r>
      <w:r w:rsidR="001A1F90">
        <w:t xml:space="preserve"> </w:t>
      </w:r>
      <w:r>
        <w:t>significant</w:t>
      </w:r>
      <w:r w:rsidR="001A1F90">
        <w:t xml:space="preserve"> </w:t>
      </w:r>
      <w:r>
        <w:t>barriers</w:t>
      </w:r>
      <w:r w:rsidR="001A1F90">
        <w:t xml:space="preserve"> </w:t>
      </w:r>
      <w:r>
        <w:t>to</w:t>
      </w:r>
      <w:r w:rsidR="001A1F90">
        <w:t xml:space="preserve"> </w:t>
      </w:r>
      <w:r>
        <w:t>implement</w:t>
      </w:r>
      <w:r w:rsidR="008F6E1A">
        <w:t>ing</w:t>
      </w:r>
      <w:r w:rsidR="001A1F90">
        <w:t xml:space="preserve"> </w:t>
      </w:r>
      <w:r>
        <w:t>the</w:t>
      </w:r>
      <w:r w:rsidR="001A1F90">
        <w:t xml:space="preserve"> </w:t>
      </w:r>
      <w:r>
        <w:t>guidelines</w:t>
      </w:r>
      <w:r w:rsidR="001A1F90">
        <w:t xml:space="preserve"> </w:t>
      </w:r>
      <w:r>
        <w:t>and</w:t>
      </w:r>
      <w:r w:rsidR="001A1F90">
        <w:t xml:space="preserve"> </w:t>
      </w:r>
      <w:r>
        <w:t>clinicians’</w:t>
      </w:r>
      <w:r w:rsidR="001A1F90">
        <w:t xml:space="preserve"> </w:t>
      </w:r>
      <w:r>
        <w:t>ability</w:t>
      </w:r>
      <w:r w:rsidR="001A1F90">
        <w:t xml:space="preserve"> </w:t>
      </w:r>
      <w:r>
        <w:t>to</w:t>
      </w:r>
      <w:r w:rsidR="001A1F90">
        <w:t xml:space="preserve"> </w:t>
      </w:r>
      <w:r>
        <w:t>adhere</w:t>
      </w:r>
      <w:r w:rsidR="001A1F90">
        <w:t xml:space="preserve"> </w:t>
      </w:r>
      <w:r>
        <w:t>to</w:t>
      </w:r>
      <w:r w:rsidR="001A1F90">
        <w:t xml:space="preserve"> </w:t>
      </w:r>
      <w:r>
        <w:t>them</w:t>
      </w:r>
      <w:r w:rsidR="001A1F90">
        <w:t xml:space="preserve"> </w:t>
      </w:r>
      <w:r>
        <w:t>consistently</w:t>
      </w:r>
      <w:r w:rsidR="001A1F90">
        <w:t xml:space="preserve"> </w:t>
      </w:r>
      <w:r>
        <w:t>related</w:t>
      </w:r>
      <w:r w:rsidR="001A1F90">
        <w:t xml:space="preserve"> </w:t>
      </w:r>
      <w:r>
        <w:t>to</w:t>
      </w:r>
      <w:r w:rsidR="001A1F90">
        <w:t xml:space="preserve"> </w:t>
      </w:r>
      <w:r>
        <w:t>the</w:t>
      </w:r>
      <w:r w:rsidR="001A1F90">
        <w:t xml:space="preserve"> </w:t>
      </w:r>
      <w:r>
        <w:t>broader</w:t>
      </w:r>
      <w:r w:rsidR="001A1F90">
        <w:t xml:space="preserve"> </w:t>
      </w:r>
      <w:r>
        <w:t>systemic</w:t>
      </w:r>
      <w:r w:rsidR="001A1F90">
        <w:t xml:space="preserve"> </w:t>
      </w:r>
      <w:r>
        <w:t>issue</w:t>
      </w:r>
      <w:r w:rsidR="001A1F90">
        <w:t xml:space="preserve"> </w:t>
      </w:r>
      <w:r>
        <w:t>of</w:t>
      </w:r>
      <w:r w:rsidR="001A1F90">
        <w:t xml:space="preserve"> </w:t>
      </w:r>
      <w:r>
        <w:t>service</w:t>
      </w:r>
      <w:r w:rsidR="001A1F90">
        <w:t xml:space="preserve"> </w:t>
      </w:r>
      <w:r>
        <w:t>provision.</w:t>
      </w:r>
      <w:r w:rsidR="001A1F90">
        <w:t xml:space="preserve"> </w:t>
      </w:r>
      <w:r>
        <w:t>The</w:t>
      </w:r>
      <w:r w:rsidR="001A1F90">
        <w:t xml:space="preserve"> </w:t>
      </w:r>
      <w:r>
        <w:t>current</w:t>
      </w:r>
      <w:r w:rsidR="001A1F90">
        <w:t xml:space="preserve"> </w:t>
      </w:r>
      <w:r>
        <w:t>landscape</w:t>
      </w:r>
      <w:r w:rsidR="001A1F90">
        <w:t xml:space="preserve"> </w:t>
      </w:r>
      <w:r>
        <w:t>across</w:t>
      </w:r>
      <w:r w:rsidR="001A1F90">
        <w:t xml:space="preserve"> </w:t>
      </w:r>
      <w:r>
        <w:t>the</w:t>
      </w:r>
      <w:r w:rsidR="001A1F90">
        <w:t xml:space="preserve"> </w:t>
      </w:r>
      <w:r>
        <w:t>different</w:t>
      </w:r>
      <w:r w:rsidR="001A1F90">
        <w:t xml:space="preserve"> </w:t>
      </w:r>
      <w:r>
        <w:t>jurisdictions</w:t>
      </w:r>
      <w:r w:rsidR="001A1F90">
        <w:t xml:space="preserve"> </w:t>
      </w:r>
      <w:r>
        <w:t>suggested</w:t>
      </w:r>
      <w:r w:rsidR="001A1F90">
        <w:t xml:space="preserve"> </w:t>
      </w:r>
      <w:r>
        <w:t>a</w:t>
      </w:r>
      <w:r w:rsidR="001A1F90">
        <w:t xml:space="preserve"> </w:t>
      </w:r>
      <w:r>
        <w:t>lack</w:t>
      </w:r>
      <w:r w:rsidR="001A1F90">
        <w:t xml:space="preserve"> </w:t>
      </w:r>
      <w:r>
        <w:t>of</w:t>
      </w:r>
      <w:r w:rsidR="001A1F90">
        <w:t xml:space="preserve"> </w:t>
      </w:r>
      <w:r>
        <w:t>suitably</w:t>
      </w:r>
      <w:r w:rsidR="001A1F90">
        <w:t xml:space="preserve"> </w:t>
      </w:r>
      <w:r>
        <w:t>skilled</w:t>
      </w:r>
      <w:r w:rsidR="001A1F90">
        <w:t xml:space="preserve"> </w:t>
      </w:r>
      <w:r>
        <w:t>and</w:t>
      </w:r>
      <w:r w:rsidR="001A1F90">
        <w:t xml:space="preserve"> </w:t>
      </w:r>
      <w:r>
        <w:t>resourced</w:t>
      </w:r>
      <w:r w:rsidR="001A1F90">
        <w:t xml:space="preserve"> </w:t>
      </w:r>
      <w:r>
        <w:t>services</w:t>
      </w:r>
      <w:r w:rsidR="001A1F90">
        <w:t xml:space="preserve"> </w:t>
      </w:r>
      <w:r>
        <w:t>(</w:t>
      </w:r>
      <w:r w:rsidR="00F550F1">
        <w:t>for example</w:t>
      </w:r>
      <w:r>
        <w:t>,</w:t>
      </w:r>
      <w:r w:rsidR="001A1F90">
        <w:t xml:space="preserve"> </w:t>
      </w:r>
      <w:r>
        <w:t>specialist</w:t>
      </w:r>
      <w:r w:rsidR="001A1F90">
        <w:t xml:space="preserve"> </w:t>
      </w:r>
      <w:r>
        <w:t>behavioural</w:t>
      </w:r>
      <w:r w:rsidR="001A1F90">
        <w:t xml:space="preserve"> </w:t>
      </w:r>
      <w:r>
        <w:t>services</w:t>
      </w:r>
      <w:r w:rsidR="001A1F90">
        <w:t xml:space="preserve"> </w:t>
      </w:r>
      <w:r>
        <w:t>in</w:t>
      </w:r>
      <w:r w:rsidR="001A1F90">
        <w:t xml:space="preserve"> </w:t>
      </w:r>
      <w:r>
        <w:t>Disability</w:t>
      </w:r>
      <w:r w:rsidR="001A1F90">
        <w:t xml:space="preserve"> </w:t>
      </w:r>
      <w:r>
        <w:t>Services)</w:t>
      </w:r>
      <w:r w:rsidR="001A1F90">
        <w:t xml:space="preserve"> </w:t>
      </w:r>
      <w:r>
        <w:t>in</w:t>
      </w:r>
      <w:r w:rsidR="001A1F90">
        <w:t xml:space="preserve"> </w:t>
      </w:r>
      <w:r>
        <w:t>place</w:t>
      </w:r>
      <w:r w:rsidR="001A1F90">
        <w:t xml:space="preserve"> </w:t>
      </w:r>
      <w:r>
        <w:t>to</w:t>
      </w:r>
      <w:r w:rsidR="001A1F90">
        <w:t xml:space="preserve"> </w:t>
      </w:r>
      <w:r>
        <w:t>be</w:t>
      </w:r>
      <w:r w:rsidR="001A1F90">
        <w:t xml:space="preserve"> </w:t>
      </w:r>
      <w:r>
        <w:t>able</w:t>
      </w:r>
      <w:r w:rsidR="001A1F90">
        <w:t xml:space="preserve"> </w:t>
      </w:r>
      <w:r>
        <w:t>to</w:t>
      </w:r>
      <w:r w:rsidR="001A1F90">
        <w:t xml:space="preserve"> </w:t>
      </w:r>
      <w:r>
        <w:t>offer,</w:t>
      </w:r>
      <w:r w:rsidR="001A1F90">
        <w:t xml:space="preserve"> </w:t>
      </w:r>
      <w:r>
        <w:t>yet</w:t>
      </w:r>
      <w:r w:rsidR="001A1F90">
        <w:t xml:space="preserve"> </w:t>
      </w:r>
      <w:r>
        <w:t>alone</w:t>
      </w:r>
      <w:r w:rsidR="001A1F90">
        <w:t xml:space="preserve"> </w:t>
      </w:r>
      <w:r>
        <w:t>deliver,</w:t>
      </w:r>
      <w:r w:rsidR="001A1F90">
        <w:t xml:space="preserve"> </w:t>
      </w:r>
      <w:r>
        <w:t>the</w:t>
      </w:r>
      <w:r w:rsidR="001A1F90">
        <w:t xml:space="preserve"> </w:t>
      </w:r>
      <w:r>
        <w:t>necessary</w:t>
      </w:r>
      <w:r w:rsidR="001A1F90">
        <w:t xml:space="preserve"> </w:t>
      </w:r>
      <w:r>
        <w:t>evidence</w:t>
      </w:r>
      <w:r w:rsidR="008F6E1A">
        <w:t>-</w:t>
      </w:r>
      <w:r>
        <w:t>based</w:t>
      </w:r>
      <w:r w:rsidR="001A1F90">
        <w:t xml:space="preserve"> </w:t>
      </w:r>
      <w:r>
        <w:t>psychotherapeutic</w:t>
      </w:r>
      <w:r w:rsidR="001A1F90">
        <w:t xml:space="preserve"> </w:t>
      </w:r>
      <w:r>
        <w:t>interventions</w:t>
      </w:r>
      <w:r w:rsidR="001A1F90">
        <w:t xml:space="preserve"> </w:t>
      </w:r>
      <w:r>
        <w:t>and</w:t>
      </w:r>
      <w:r w:rsidR="008F6E1A">
        <w:t>,</w:t>
      </w:r>
      <w:r w:rsidR="001A1F90">
        <w:t xml:space="preserve"> </w:t>
      </w:r>
      <w:r>
        <w:t>more</w:t>
      </w:r>
      <w:r w:rsidR="001A1F90">
        <w:t xml:space="preserve"> </w:t>
      </w:r>
      <w:r>
        <w:t>fundamentally,</w:t>
      </w:r>
      <w:r w:rsidR="001A1F90">
        <w:t xml:space="preserve"> </w:t>
      </w:r>
      <w:r>
        <w:t>providing</w:t>
      </w:r>
      <w:r w:rsidR="001A1F90">
        <w:t xml:space="preserve"> </w:t>
      </w:r>
      <w:r>
        <w:t>the</w:t>
      </w:r>
      <w:r w:rsidR="001A1F90">
        <w:t xml:space="preserve"> </w:t>
      </w:r>
      <w:r>
        <w:t>necessary</w:t>
      </w:r>
      <w:r w:rsidR="001A1F90">
        <w:t xml:space="preserve"> </w:t>
      </w:r>
      <w:r>
        <w:t>environmental</w:t>
      </w:r>
      <w:r w:rsidR="001A1F90">
        <w:t xml:space="preserve"> </w:t>
      </w:r>
      <w:r>
        <w:t>monitoring</w:t>
      </w:r>
      <w:r w:rsidR="001A1F90">
        <w:t xml:space="preserve"> </w:t>
      </w:r>
      <w:r>
        <w:t>and</w:t>
      </w:r>
      <w:r w:rsidR="001A1F90">
        <w:t xml:space="preserve"> </w:t>
      </w:r>
      <w:r>
        <w:t>support</w:t>
      </w:r>
      <w:r w:rsidR="001A1F90">
        <w:t xml:space="preserve"> </w:t>
      </w:r>
      <w:r>
        <w:t>in</w:t>
      </w:r>
      <w:r w:rsidR="001A1F90">
        <w:t xml:space="preserve"> </w:t>
      </w:r>
      <w:r>
        <w:t>the</w:t>
      </w:r>
      <w:r w:rsidR="001A1F90">
        <w:t xml:space="preserve"> </w:t>
      </w:r>
      <w:r>
        <w:t>least</w:t>
      </w:r>
      <w:r w:rsidR="001A1F90">
        <w:t xml:space="preserve"> </w:t>
      </w:r>
      <w:r>
        <w:t>restrictive</w:t>
      </w:r>
      <w:r w:rsidR="001A1F90">
        <w:t xml:space="preserve"> </w:t>
      </w:r>
      <w:r>
        <w:t>setting.</w:t>
      </w:r>
      <w:r w:rsidR="001A1F90">
        <w:t xml:space="preserve"> </w:t>
      </w:r>
      <w:r>
        <w:t>It</w:t>
      </w:r>
      <w:r w:rsidR="001A1F90">
        <w:t xml:space="preserve"> </w:t>
      </w:r>
      <w:r>
        <w:t>was</w:t>
      </w:r>
      <w:r w:rsidR="001A1F90">
        <w:t xml:space="preserve"> </w:t>
      </w:r>
      <w:r>
        <w:t>reported</w:t>
      </w:r>
      <w:r w:rsidR="001A1F90">
        <w:t xml:space="preserve"> </w:t>
      </w:r>
      <w:r>
        <w:t>that</w:t>
      </w:r>
      <w:r w:rsidR="001A1F90">
        <w:t xml:space="preserve"> </w:t>
      </w:r>
      <w:r>
        <w:t>the</w:t>
      </w:r>
      <w:r w:rsidR="001A1F90">
        <w:t xml:space="preserve"> </w:t>
      </w:r>
      <w:r>
        <w:t>negative</w:t>
      </w:r>
      <w:r w:rsidR="001A1F90">
        <w:t xml:space="preserve"> </w:t>
      </w:r>
      <w:r>
        <w:t>consequence</w:t>
      </w:r>
      <w:r w:rsidR="001A1F90">
        <w:t xml:space="preserve"> </w:t>
      </w:r>
      <w:r>
        <w:t>of</w:t>
      </w:r>
      <w:r w:rsidR="001A1F90">
        <w:t xml:space="preserve"> </w:t>
      </w:r>
      <w:r>
        <w:t>this</w:t>
      </w:r>
      <w:r w:rsidR="001A1F90">
        <w:t xml:space="preserve"> </w:t>
      </w:r>
      <w:r>
        <w:t>specialist</w:t>
      </w:r>
      <w:r w:rsidR="001A1F90">
        <w:t xml:space="preserve"> </w:t>
      </w:r>
      <w:r>
        <w:t>service</w:t>
      </w:r>
      <w:r w:rsidR="001A1F90">
        <w:t xml:space="preserve"> </w:t>
      </w:r>
      <w:r>
        <w:t>shortfall</w:t>
      </w:r>
      <w:r w:rsidR="001A1F90">
        <w:t xml:space="preserve"> </w:t>
      </w:r>
      <w:r>
        <w:t>was</w:t>
      </w:r>
      <w:r w:rsidR="001A1F90">
        <w:t xml:space="preserve"> </w:t>
      </w:r>
      <w:r>
        <w:t>that</w:t>
      </w:r>
      <w:r w:rsidR="001A1F90">
        <w:t xml:space="preserve"> </w:t>
      </w:r>
      <w:r>
        <w:t>available</w:t>
      </w:r>
      <w:r w:rsidR="001A1F90">
        <w:t xml:space="preserve"> </w:t>
      </w:r>
      <w:r>
        <w:t>services</w:t>
      </w:r>
      <w:r w:rsidR="001A1F90">
        <w:t xml:space="preserve"> </w:t>
      </w:r>
      <w:r>
        <w:t>often</w:t>
      </w:r>
      <w:r w:rsidR="001A1F90">
        <w:t xml:space="preserve"> </w:t>
      </w:r>
      <w:r>
        <w:t>resorted</w:t>
      </w:r>
      <w:r w:rsidR="001A1F90">
        <w:t xml:space="preserve"> </w:t>
      </w:r>
      <w:r>
        <w:t>to</w:t>
      </w:r>
      <w:r w:rsidR="001A1F90">
        <w:t xml:space="preserve"> </w:t>
      </w:r>
      <w:r>
        <w:t>using</w:t>
      </w:r>
      <w:r w:rsidR="001A1F90">
        <w:t xml:space="preserve"> </w:t>
      </w:r>
      <w:r>
        <w:t>more</w:t>
      </w:r>
      <w:r w:rsidR="001A1F90">
        <w:t xml:space="preserve"> </w:t>
      </w:r>
      <w:r>
        <w:t>coercive</w:t>
      </w:r>
      <w:r w:rsidR="001A1F90">
        <w:t xml:space="preserve"> </w:t>
      </w:r>
      <w:r>
        <w:t>practices.</w:t>
      </w:r>
      <w:r w:rsidR="001A1F90">
        <w:t xml:space="preserve"> </w:t>
      </w:r>
      <w:r>
        <w:t>For</w:t>
      </w:r>
      <w:r w:rsidR="001A1F90">
        <w:t xml:space="preserve"> </w:t>
      </w:r>
      <w:r>
        <w:t>example</w:t>
      </w:r>
      <w:r w:rsidR="008F6E1A">
        <w:t>,</w:t>
      </w:r>
      <w:r w:rsidR="001A1F90">
        <w:t xml:space="preserve"> </w:t>
      </w:r>
      <w:r>
        <w:t>this</w:t>
      </w:r>
      <w:r w:rsidR="001A1F90">
        <w:t xml:space="preserve"> </w:t>
      </w:r>
      <w:r>
        <w:t>included</w:t>
      </w:r>
      <w:r w:rsidR="001A1F90">
        <w:t xml:space="preserve"> </w:t>
      </w:r>
      <w:r>
        <w:t>resorting</w:t>
      </w:r>
      <w:r w:rsidR="001A1F90">
        <w:t xml:space="preserve"> </w:t>
      </w:r>
      <w:r>
        <w:t>to</w:t>
      </w:r>
      <w:r w:rsidR="001A1F90">
        <w:t xml:space="preserve"> </w:t>
      </w:r>
      <w:r>
        <w:t>the</w:t>
      </w:r>
      <w:r w:rsidR="001A1F90">
        <w:t xml:space="preserve"> </w:t>
      </w:r>
      <w:r>
        <w:t>use</w:t>
      </w:r>
      <w:r w:rsidR="001A1F90">
        <w:t xml:space="preserve"> </w:t>
      </w:r>
      <w:r>
        <w:t>of</w:t>
      </w:r>
      <w:r w:rsidR="001A1F90">
        <w:t xml:space="preserve"> </w:t>
      </w:r>
      <w:r>
        <w:t>more</w:t>
      </w:r>
      <w:r w:rsidR="001A1F90">
        <w:t xml:space="preserve"> </w:t>
      </w:r>
      <w:r>
        <w:t>restrictive</w:t>
      </w:r>
      <w:r w:rsidR="001A1F90">
        <w:t xml:space="preserve"> </w:t>
      </w:r>
      <w:r>
        <w:t>close</w:t>
      </w:r>
      <w:r w:rsidR="001A1F90">
        <w:t xml:space="preserve"> </w:t>
      </w:r>
      <w:r>
        <w:t>supervision</w:t>
      </w:r>
      <w:r w:rsidR="001A1F90">
        <w:t xml:space="preserve"> </w:t>
      </w:r>
      <w:r>
        <w:t>and</w:t>
      </w:r>
      <w:r w:rsidR="001A1F90">
        <w:t xml:space="preserve"> </w:t>
      </w:r>
      <w:r>
        <w:t>the</w:t>
      </w:r>
      <w:r w:rsidR="001A1F90">
        <w:t xml:space="preserve"> </w:t>
      </w:r>
      <w:r>
        <w:t>overuse</w:t>
      </w:r>
      <w:r w:rsidR="001A1F90">
        <w:t xml:space="preserve"> </w:t>
      </w:r>
      <w:r>
        <w:t>and</w:t>
      </w:r>
      <w:r w:rsidR="001A1F90">
        <w:t xml:space="preserve"> </w:t>
      </w:r>
      <w:r>
        <w:t>reliance</w:t>
      </w:r>
      <w:r w:rsidR="001A1F90">
        <w:t xml:space="preserve"> </w:t>
      </w:r>
      <w:r>
        <w:t>on</w:t>
      </w:r>
      <w:r w:rsidR="001A1F90">
        <w:t xml:space="preserve"> </w:t>
      </w:r>
      <w:r>
        <w:t>antipsychotic</w:t>
      </w:r>
      <w:r w:rsidR="00710B72">
        <w:t>s</w:t>
      </w:r>
      <w:r w:rsidR="001A1F90">
        <w:t xml:space="preserve"> </w:t>
      </w:r>
      <w:r>
        <w:t>as</w:t>
      </w:r>
      <w:r w:rsidR="001A1F90">
        <w:t xml:space="preserve"> </w:t>
      </w:r>
      <w:r>
        <w:t>a</w:t>
      </w:r>
      <w:r w:rsidR="001A1F90">
        <w:t xml:space="preserve"> </w:t>
      </w:r>
      <w:r>
        <w:t>means</w:t>
      </w:r>
      <w:r w:rsidR="001A1F90">
        <w:t xml:space="preserve"> </w:t>
      </w:r>
      <w:r>
        <w:t>of</w:t>
      </w:r>
      <w:r w:rsidR="001A1F90">
        <w:t xml:space="preserve"> </w:t>
      </w:r>
      <w:r>
        <w:t>behaviour</w:t>
      </w:r>
      <w:r w:rsidR="001A1F90">
        <w:t xml:space="preserve"> </w:t>
      </w:r>
      <w:r>
        <w:t>control.</w:t>
      </w:r>
    </w:p>
    <w:p w14:paraId="30364127" w14:textId="297A6297" w:rsidR="004946F1" w:rsidRDefault="004946F1" w:rsidP="00BD612C">
      <w:pPr>
        <w:pStyle w:val="DHHSbody"/>
      </w:pPr>
      <w:r>
        <w:t>The</w:t>
      </w:r>
      <w:r w:rsidR="001A1F90">
        <w:t xml:space="preserve"> </w:t>
      </w:r>
      <w:r>
        <w:t>WFSBP</w:t>
      </w:r>
      <w:r w:rsidR="001A1F90">
        <w:t xml:space="preserve"> </w:t>
      </w:r>
      <w:r>
        <w:t>guidelines,</w:t>
      </w:r>
      <w:r w:rsidR="001A1F90">
        <w:t xml:space="preserve"> </w:t>
      </w:r>
      <w:r>
        <w:t>while</w:t>
      </w:r>
      <w:r w:rsidR="001A1F90">
        <w:t xml:space="preserve"> </w:t>
      </w:r>
      <w:r>
        <w:t>broadly</w:t>
      </w:r>
      <w:r w:rsidR="001A1F90">
        <w:t xml:space="preserve"> </w:t>
      </w:r>
      <w:r>
        <w:t>applicable,</w:t>
      </w:r>
      <w:r w:rsidR="001A1F90">
        <w:t xml:space="preserve"> </w:t>
      </w:r>
      <w:r>
        <w:t>were</w:t>
      </w:r>
      <w:r w:rsidR="001A1F90">
        <w:t xml:space="preserve"> </w:t>
      </w:r>
      <w:r>
        <w:t>considered</w:t>
      </w:r>
      <w:r w:rsidR="001A1F90">
        <w:t xml:space="preserve"> </w:t>
      </w:r>
      <w:r>
        <w:t>to</w:t>
      </w:r>
      <w:r w:rsidR="001A1F90">
        <w:t xml:space="preserve"> </w:t>
      </w:r>
      <w:r>
        <w:t>require</w:t>
      </w:r>
      <w:r w:rsidR="001A1F90">
        <w:t xml:space="preserve"> </w:t>
      </w:r>
      <w:r>
        <w:t>an</w:t>
      </w:r>
      <w:r w:rsidR="001A1F90">
        <w:t xml:space="preserve"> </w:t>
      </w:r>
      <w:r>
        <w:t>addendum</w:t>
      </w:r>
      <w:r w:rsidR="001A1F90">
        <w:t xml:space="preserve"> </w:t>
      </w:r>
      <w:r>
        <w:t>to</w:t>
      </w:r>
      <w:r w:rsidR="001A1F90">
        <w:t xml:space="preserve"> </w:t>
      </w:r>
      <w:r>
        <w:t>cater</w:t>
      </w:r>
      <w:r w:rsidR="001A1F90">
        <w:t xml:space="preserve"> </w:t>
      </w:r>
      <w:r>
        <w:t>for</w:t>
      </w:r>
      <w:r w:rsidR="001A1F90">
        <w:t xml:space="preserve"> </w:t>
      </w:r>
      <w:r>
        <w:t>the</w:t>
      </w:r>
      <w:r w:rsidR="001A1F90">
        <w:t xml:space="preserve"> </w:t>
      </w:r>
      <w:r>
        <w:t>nuances</w:t>
      </w:r>
      <w:r w:rsidR="001A1F90">
        <w:t xml:space="preserve"> </w:t>
      </w:r>
      <w:r>
        <w:t>of</w:t>
      </w:r>
      <w:r w:rsidR="001A1F90">
        <w:t xml:space="preserve"> </w:t>
      </w:r>
      <w:r>
        <w:t>the</w:t>
      </w:r>
      <w:r w:rsidR="001A1F90">
        <w:t xml:space="preserve"> </w:t>
      </w:r>
      <w:r>
        <w:t>Australasian</w:t>
      </w:r>
      <w:r w:rsidR="001A1F90">
        <w:t xml:space="preserve"> </w:t>
      </w:r>
      <w:r>
        <w:t>context</w:t>
      </w:r>
      <w:r w:rsidR="001A1F90">
        <w:t xml:space="preserve"> </w:t>
      </w:r>
      <w:r>
        <w:t>and,</w:t>
      </w:r>
      <w:r w:rsidR="001A1F90">
        <w:t xml:space="preserve"> </w:t>
      </w:r>
      <w:r>
        <w:t>importantly,</w:t>
      </w:r>
      <w:r w:rsidR="001A1F90">
        <w:t xml:space="preserve"> </w:t>
      </w:r>
      <w:r>
        <w:t>the</w:t>
      </w:r>
      <w:r w:rsidR="001A1F90">
        <w:t xml:space="preserve"> </w:t>
      </w:r>
      <w:r>
        <w:t>variations</w:t>
      </w:r>
      <w:r w:rsidR="001A1F90">
        <w:t xml:space="preserve"> </w:t>
      </w:r>
      <w:r>
        <w:t>in</w:t>
      </w:r>
      <w:r w:rsidR="001A1F90">
        <w:t xml:space="preserve"> </w:t>
      </w:r>
      <w:r>
        <w:t>legislative</w:t>
      </w:r>
      <w:r w:rsidR="001A1F90">
        <w:t xml:space="preserve"> </w:t>
      </w:r>
      <w:r>
        <w:t>frameworks.</w:t>
      </w:r>
      <w:r w:rsidR="00710B72">
        <w:t xml:space="preserve"> The experts made f</w:t>
      </w:r>
      <w:r>
        <w:t>our</w:t>
      </w:r>
      <w:r w:rsidR="001A1F90">
        <w:t xml:space="preserve"> </w:t>
      </w:r>
      <w:r>
        <w:t>key</w:t>
      </w:r>
      <w:r w:rsidR="001A1F90">
        <w:t xml:space="preserve"> </w:t>
      </w:r>
      <w:r>
        <w:t>recommendations:</w:t>
      </w:r>
    </w:p>
    <w:p w14:paraId="2C6E37EE" w14:textId="5724FA8B" w:rsidR="004946F1" w:rsidRDefault="004946F1" w:rsidP="00B87022">
      <w:pPr>
        <w:pStyle w:val="DHHSnumberdigit"/>
        <w:numPr>
          <w:ilvl w:val="0"/>
          <w:numId w:val="39"/>
        </w:numPr>
      </w:pPr>
      <w:r>
        <w:t>Careful</w:t>
      </w:r>
      <w:r w:rsidR="001A1F90">
        <w:t xml:space="preserve"> </w:t>
      </w:r>
      <w:r>
        <w:t>consideration</w:t>
      </w:r>
      <w:r w:rsidR="001A1F90">
        <w:t xml:space="preserve"> </w:t>
      </w:r>
      <w:r>
        <w:t>of</w:t>
      </w:r>
      <w:r w:rsidR="001A1F90">
        <w:t xml:space="preserve"> </w:t>
      </w:r>
      <w:r>
        <w:t>the</w:t>
      </w:r>
      <w:r w:rsidR="001A1F90">
        <w:t xml:space="preserve"> </w:t>
      </w:r>
      <w:r>
        <w:t>specific</w:t>
      </w:r>
      <w:r w:rsidR="001A1F90">
        <w:t xml:space="preserve"> </w:t>
      </w:r>
      <w:r>
        <w:t>language</w:t>
      </w:r>
      <w:r w:rsidR="001A1F90">
        <w:t xml:space="preserve"> </w:t>
      </w:r>
      <w:r>
        <w:t>and</w:t>
      </w:r>
      <w:r w:rsidR="001A1F90">
        <w:t xml:space="preserve"> </w:t>
      </w:r>
      <w:r>
        <w:t>emphasis</w:t>
      </w:r>
      <w:r w:rsidR="001A1F90">
        <w:t xml:space="preserve"> </w:t>
      </w:r>
      <w:r>
        <w:t>used</w:t>
      </w:r>
      <w:r w:rsidR="001A1F90">
        <w:t xml:space="preserve"> </w:t>
      </w:r>
      <w:r>
        <w:t>throughout</w:t>
      </w:r>
      <w:r w:rsidR="001A1F90">
        <w:t xml:space="preserve"> </w:t>
      </w:r>
      <w:r>
        <w:t>the</w:t>
      </w:r>
      <w:r w:rsidR="001A1F90">
        <w:t xml:space="preserve"> </w:t>
      </w:r>
      <w:r w:rsidR="00A758E4">
        <w:t>g</w:t>
      </w:r>
      <w:r>
        <w:t>uidelines</w:t>
      </w:r>
      <w:r w:rsidR="001A1F90">
        <w:t xml:space="preserve"> </w:t>
      </w:r>
      <w:r>
        <w:t>is</w:t>
      </w:r>
      <w:r w:rsidR="001A1F90">
        <w:t xml:space="preserve"> </w:t>
      </w:r>
      <w:r>
        <w:t>required</w:t>
      </w:r>
      <w:r w:rsidR="001A1F90">
        <w:t xml:space="preserve"> </w:t>
      </w:r>
      <w:r>
        <w:t>so</w:t>
      </w:r>
      <w:r w:rsidR="001A1F90">
        <w:t xml:space="preserve"> </w:t>
      </w:r>
      <w:r>
        <w:t>that</w:t>
      </w:r>
      <w:r w:rsidR="001A1F90">
        <w:t xml:space="preserve"> </w:t>
      </w:r>
      <w:r>
        <w:t>they</w:t>
      </w:r>
      <w:r w:rsidR="001A1F90">
        <w:t xml:space="preserve"> </w:t>
      </w:r>
      <w:r>
        <w:t>have</w:t>
      </w:r>
      <w:r w:rsidR="001A1F90">
        <w:t xml:space="preserve"> </w:t>
      </w:r>
      <w:r>
        <w:t>direct</w:t>
      </w:r>
      <w:r w:rsidR="001A1F90">
        <w:t xml:space="preserve"> </w:t>
      </w:r>
      <w:r>
        <w:t>and</w:t>
      </w:r>
      <w:r w:rsidR="001A1F90">
        <w:t xml:space="preserve"> </w:t>
      </w:r>
      <w:r>
        <w:t>practical</w:t>
      </w:r>
      <w:r w:rsidR="001A1F90">
        <w:t xml:space="preserve"> </w:t>
      </w:r>
      <w:r>
        <w:t>application</w:t>
      </w:r>
      <w:r w:rsidR="001A1F90">
        <w:t xml:space="preserve"> </w:t>
      </w:r>
      <w:r>
        <w:t>across</w:t>
      </w:r>
      <w:r w:rsidR="001A1F90">
        <w:t xml:space="preserve"> </w:t>
      </w:r>
      <w:r>
        <w:t>the</w:t>
      </w:r>
      <w:r w:rsidR="001A1F90">
        <w:t xml:space="preserve"> </w:t>
      </w:r>
      <w:r>
        <w:t>different</w:t>
      </w:r>
      <w:r w:rsidR="001A1F90">
        <w:t xml:space="preserve"> </w:t>
      </w:r>
      <w:r>
        <w:t>Australasian</w:t>
      </w:r>
      <w:r w:rsidR="001A1F90">
        <w:t xml:space="preserve"> </w:t>
      </w:r>
      <w:r>
        <w:t>jurisdictions.</w:t>
      </w:r>
    </w:p>
    <w:p w14:paraId="1B64793C" w14:textId="017B7155" w:rsidR="004946F1" w:rsidRDefault="004946F1" w:rsidP="00BD612C">
      <w:pPr>
        <w:pStyle w:val="DHHSnumberdigit"/>
      </w:pPr>
      <w:r>
        <w:t>Consistency</w:t>
      </w:r>
      <w:r w:rsidR="001A1F90">
        <w:t xml:space="preserve"> </w:t>
      </w:r>
      <w:r>
        <w:t>is</w:t>
      </w:r>
      <w:r w:rsidR="001A1F90">
        <w:t xml:space="preserve"> </w:t>
      </w:r>
      <w:r>
        <w:t>key;</w:t>
      </w:r>
      <w:r w:rsidR="001A1F90">
        <w:t xml:space="preserve"> </w:t>
      </w:r>
      <w:r>
        <w:t>as</w:t>
      </w:r>
      <w:r w:rsidR="001A1F90">
        <w:t xml:space="preserve"> </w:t>
      </w:r>
      <w:r>
        <w:t>such,</w:t>
      </w:r>
      <w:r w:rsidR="001A1F90">
        <w:t xml:space="preserve"> </w:t>
      </w:r>
      <w:r>
        <w:t>the</w:t>
      </w:r>
      <w:r w:rsidR="001A1F90">
        <w:t xml:space="preserve"> </w:t>
      </w:r>
      <w:r>
        <w:t>terminology</w:t>
      </w:r>
      <w:r w:rsidR="001A1F90">
        <w:t xml:space="preserve"> </w:t>
      </w:r>
      <w:r>
        <w:t>that</w:t>
      </w:r>
      <w:r w:rsidR="001A1F90">
        <w:t xml:space="preserve"> </w:t>
      </w:r>
      <w:r>
        <w:t>is</w:t>
      </w:r>
      <w:r w:rsidR="001A1F90">
        <w:t xml:space="preserve"> </w:t>
      </w:r>
      <w:r>
        <w:t>adopted</w:t>
      </w:r>
      <w:r w:rsidR="001A1F90">
        <w:t xml:space="preserve"> </w:t>
      </w:r>
      <w:r>
        <w:t>has</w:t>
      </w:r>
      <w:r w:rsidR="001A1F90">
        <w:t xml:space="preserve"> </w:t>
      </w:r>
      <w:r>
        <w:t>to</w:t>
      </w:r>
      <w:r w:rsidR="001A1F90">
        <w:t xml:space="preserve"> </w:t>
      </w:r>
      <w:r>
        <w:t>be</w:t>
      </w:r>
      <w:r w:rsidR="001A1F90">
        <w:t xml:space="preserve"> </w:t>
      </w:r>
      <w:r>
        <w:t>consistent</w:t>
      </w:r>
      <w:r w:rsidR="001A1F90">
        <w:t xml:space="preserve"> </w:t>
      </w:r>
      <w:r>
        <w:t>with</w:t>
      </w:r>
      <w:r w:rsidR="001A1F90">
        <w:t xml:space="preserve"> </w:t>
      </w:r>
      <w:r>
        <w:t>the</w:t>
      </w:r>
      <w:r w:rsidR="001A1F90">
        <w:t xml:space="preserve"> </w:t>
      </w:r>
      <w:r>
        <w:t>legislation</w:t>
      </w:r>
      <w:r w:rsidR="001A1F90">
        <w:t xml:space="preserve"> </w:t>
      </w:r>
      <w:r>
        <w:t>and</w:t>
      </w:r>
      <w:r w:rsidR="001A1F90">
        <w:t xml:space="preserve"> </w:t>
      </w:r>
      <w:r>
        <w:t>therefore</w:t>
      </w:r>
      <w:r w:rsidR="001A1F90">
        <w:t xml:space="preserve"> </w:t>
      </w:r>
      <w:r>
        <w:t>predicated</w:t>
      </w:r>
      <w:r w:rsidR="001A1F90">
        <w:t xml:space="preserve"> </w:t>
      </w:r>
      <w:r>
        <w:t>around</w:t>
      </w:r>
      <w:r w:rsidR="001A1F90">
        <w:t xml:space="preserve"> </w:t>
      </w:r>
      <w:r>
        <w:t>reducing</w:t>
      </w:r>
      <w:r w:rsidR="001A1F90">
        <w:t xml:space="preserve"> </w:t>
      </w:r>
      <w:r>
        <w:t>and/or</w:t>
      </w:r>
      <w:r w:rsidR="001A1F90">
        <w:t xml:space="preserve"> </w:t>
      </w:r>
      <w:r>
        <w:t>managing</w:t>
      </w:r>
      <w:r w:rsidR="001A1F90">
        <w:t xml:space="preserve"> </w:t>
      </w:r>
      <w:r>
        <w:t>risk.</w:t>
      </w:r>
    </w:p>
    <w:p w14:paraId="788BA91E" w14:textId="55759F72" w:rsidR="004946F1" w:rsidRDefault="004946F1" w:rsidP="00BD612C">
      <w:pPr>
        <w:pStyle w:val="DHHSnumberdigit"/>
      </w:pPr>
      <w:r>
        <w:t>The</w:t>
      </w:r>
      <w:r w:rsidR="001A1F90">
        <w:t xml:space="preserve"> </w:t>
      </w:r>
      <w:r>
        <w:t>guidelines</w:t>
      </w:r>
      <w:r w:rsidR="001A1F90">
        <w:t xml:space="preserve"> </w:t>
      </w:r>
      <w:r>
        <w:t>require</w:t>
      </w:r>
      <w:r w:rsidR="001A1F90">
        <w:t xml:space="preserve"> </w:t>
      </w:r>
      <w:r>
        <w:t>more</w:t>
      </w:r>
      <w:r w:rsidR="001A1F90">
        <w:t xml:space="preserve"> </w:t>
      </w:r>
      <w:r>
        <w:t>specific</w:t>
      </w:r>
      <w:r w:rsidR="001A1F90">
        <w:t xml:space="preserve"> </w:t>
      </w:r>
      <w:r>
        <w:t>information</w:t>
      </w:r>
      <w:r w:rsidR="001A1F90">
        <w:t xml:space="preserve"> </w:t>
      </w:r>
      <w:r>
        <w:t>regarding</w:t>
      </w:r>
      <w:r w:rsidR="001A1F90">
        <w:t xml:space="preserve"> </w:t>
      </w:r>
      <w:r>
        <w:t>the</w:t>
      </w:r>
      <w:r w:rsidR="001A1F90">
        <w:t xml:space="preserve"> </w:t>
      </w:r>
      <w:r>
        <w:t>timing</w:t>
      </w:r>
      <w:r w:rsidR="001A1F90">
        <w:t xml:space="preserve"> </w:t>
      </w:r>
      <w:r>
        <w:t>and</w:t>
      </w:r>
      <w:r w:rsidR="001A1F90">
        <w:t xml:space="preserve"> </w:t>
      </w:r>
      <w:r>
        <w:t>frequency</w:t>
      </w:r>
      <w:r w:rsidR="001A1F90">
        <w:t xml:space="preserve"> </w:t>
      </w:r>
      <w:r>
        <w:t>of</w:t>
      </w:r>
      <w:r w:rsidR="001A1F90">
        <w:t xml:space="preserve"> </w:t>
      </w:r>
      <w:r>
        <w:t>clinical</w:t>
      </w:r>
      <w:r w:rsidR="001A1F90">
        <w:t xml:space="preserve"> </w:t>
      </w:r>
      <w:r>
        <w:t>reviews</w:t>
      </w:r>
      <w:r w:rsidR="001A1F90">
        <w:t xml:space="preserve"> </w:t>
      </w:r>
      <w:r>
        <w:t>regarding</w:t>
      </w:r>
      <w:r w:rsidR="001A1F90">
        <w:t xml:space="preserve"> </w:t>
      </w:r>
      <w:r>
        <w:t>(</w:t>
      </w:r>
      <w:r w:rsidR="003847E1">
        <w:t>1</w:t>
      </w:r>
      <w:r>
        <w:t>)</w:t>
      </w:r>
      <w:r w:rsidR="001A1F90">
        <w:t xml:space="preserve"> </w:t>
      </w:r>
      <w:r>
        <w:t>any</w:t>
      </w:r>
      <w:r w:rsidR="001A1F90">
        <w:t xml:space="preserve"> </w:t>
      </w:r>
      <w:r>
        <w:t>changes</w:t>
      </w:r>
      <w:r w:rsidR="001A1F90">
        <w:t xml:space="preserve"> </w:t>
      </w:r>
      <w:r>
        <w:t>in</w:t>
      </w:r>
      <w:r w:rsidR="001A1F90">
        <w:t xml:space="preserve"> </w:t>
      </w:r>
      <w:r>
        <w:t>sexual</w:t>
      </w:r>
      <w:r w:rsidR="001A1F90">
        <w:t xml:space="preserve"> </w:t>
      </w:r>
      <w:r>
        <w:t>behaviour</w:t>
      </w:r>
      <w:r w:rsidR="001A1F90">
        <w:t xml:space="preserve"> </w:t>
      </w:r>
      <w:r>
        <w:t>and</w:t>
      </w:r>
      <w:r w:rsidR="001A1F90">
        <w:t xml:space="preserve"> </w:t>
      </w:r>
      <w:r>
        <w:t>functioning;</w:t>
      </w:r>
      <w:r w:rsidR="001A1F90">
        <w:t xml:space="preserve"> </w:t>
      </w:r>
      <w:r>
        <w:t>(</w:t>
      </w:r>
      <w:r w:rsidR="003847E1">
        <w:t>2</w:t>
      </w:r>
      <w:r>
        <w:t>)</w:t>
      </w:r>
      <w:r w:rsidR="001A1F90">
        <w:t xml:space="preserve"> </w:t>
      </w:r>
      <w:r>
        <w:t>physical</w:t>
      </w:r>
      <w:r w:rsidR="001A1F90">
        <w:t xml:space="preserve"> </w:t>
      </w:r>
      <w:r>
        <w:t>contradictions;</w:t>
      </w:r>
      <w:r w:rsidR="001A1F90">
        <w:t xml:space="preserve"> </w:t>
      </w:r>
      <w:r>
        <w:t>and</w:t>
      </w:r>
      <w:r w:rsidR="001A1F90">
        <w:t xml:space="preserve"> </w:t>
      </w:r>
      <w:r>
        <w:t>(</w:t>
      </w:r>
      <w:r w:rsidR="003847E1">
        <w:t>3</w:t>
      </w:r>
      <w:r>
        <w:t>)</w:t>
      </w:r>
      <w:r w:rsidR="001A1F90">
        <w:t xml:space="preserve"> </w:t>
      </w:r>
      <w:r>
        <w:t>reaffirming</w:t>
      </w:r>
      <w:r w:rsidR="001A1F90">
        <w:t xml:space="preserve"> </w:t>
      </w:r>
      <w:r>
        <w:t>informed</w:t>
      </w:r>
      <w:r w:rsidR="001A1F90">
        <w:t xml:space="preserve"> </w:t>
      </w:r>
      <w:r>
        <w:t>consent</w:t>
      </w:r>
      <w:r w:rsidR="001A1F90">
        <w:t xml:space="preserve"> </w:t>
      </w:r>
      <w:r>
        <w:t>(note</w:t>
      </w:r>
      <w:r w:rsidR="001A1F90">
        <w:t xml:space="preserve"> </w:t>
      </w:r>
      <w:r>
        <w:t>other</w:t>
      </w:r>
      <w:r w:rsidR="001A1F90">
        <w:t xml:space="preserve"> </w:t>
      </w:r>
      <w:r>
        <w:t>recommendations</w:t>
      </w:r>
      <w:r w:rsidR="001A1F90">
        <w:t xml:space="preserve"> </w:t>
      </w:r>
      <w:r>
        <w:t>arising</w:t>
      </w:r>
      <w:r w:rsidR="001A1F90">
        <w:t xml:space="preserve"> </w:t>
      </w:r>
      <w:r>
        <w:t>in</w:t>
      </w:r>
      <w:r w:rsidR="001A1F90">
        <w:t xml:space="preserve"> </w:t>
      </w:r>
      <w:r>
        <w:t>this</w:t>
      </w:r>
      <w:r w:rsidR="001A1F90">
        <w:t xml:space="preserve"> </w:t>
      </w:r>
      <w:r>
        <w:t>report</w:t>
      </w:r>
      <w:r w:rsidR="001A1F90">
        <w:t xml:space="preserve"> </w:t>
      </w:r>
      <w:r>
        <w:t>for</w:t>
      </w:r>
      <w:r w:rsidR="001A1F90">
        <w:t xml:space="preserve"> </w:t>
      </w:r>
      <w:r>
        <w:t>further</w:t>
      </w:r>
      <w:r w:rsidR="001A1F90">
        <w:t xml:space="preserve"> </w:t>
      </w:r>
      <w:r>
        <w:t>detail</w:t>
      </w:r>
      <w:r w:rsidR="001A1F90">
        <w:t xml:space="preserve"> </w:t>
      </w:r>
      <w:r>
        <w:t>on</w:t>
      </w:r>
      <w:r w:rsidR="001A1F90">
        <w:t xml:space="preserve"> </w:t>
      </w:r>
      <w:r>
        <w:t>this</w:t>
      </w:r>
      <w:r w:rsidR="001A1F90">
        <w:t xml:space="preserve"> </w:t>
      </w:r>
      <w:r>
        <w:t>item).</w:t>
      </w:r>
      <w:r w:rsidR="001A1F90">
        <w:t xml:space="preserve"> </w:t>
      </w:r>
      <w:r>
        <w:t>Practices</w:t>
      </w:r>
      <w:r w:rsidR="001A1F90">
        <w:t xml:space="preserve"> </w:t>
      </w:r>
      <w:r>
        <w:t>reported</w:t>
      </w:r>
      <w:r w:rsidR="001A1F90">
        <w:t xml:space="preserve"> </w:t>
      </w:r>
      <w:r>
        <w:t>in</w:t>
      </w:r>
      <w:r w:rsidR="001A1F90">
        <w:t xml:space="preserve"> </w:t>
      </w:r>
      <w:r>
        <w:t>the</w:t>
      </w:r>
      <w:r w:rsidR="001A1F90">
        <w:t xml:space="preserve"> </w:t>
      </w:r>
      <w:r>
        <w:t>different</w:t>
      </w:r>
      <w:r w:rsidR="001A1F90">
        <w:t xml:space="preserve"> </w:t>
      </w:r>
      <w:r>
        <w:t>jurisdictions</w:t>
      </w:r>
      <w:r w:rsidR="001A1F90">
        <w:t xml:space="preserve"> </w:t>
      </w:r>
      <w:r>
        <w:t>form</w:t>
      </w:r>
      <w:r w:rsidR="001A1F90">
        <w:t xml:space="preserve"> </w:t>
      </w:r>
      <w:r>
        <w:t>the</w:t>
      </w:r>
      <w:r w:rsidR="001A1F90">
        <w:t xml:space="preserve"> </w:t>
      </w:r>
      <w:r>
        <w:t>basis</w:t>
      </w:r>
      <w:r w:rsidR="001A1F90">
        <w:t xml:space="preserve"> </w:t>
      </w:r>
      <w:r>
        <w:t>of</w:t>
      </w:r>
      <w:r w:rsidR="001A1F90">
        <w:t xml:space="preserve"> </w:t>
      </w:r>
      <w:r>
        <w:t>some</w:t>
      </w:r>
      <w:r w:rsidR="001A1F90">
        <w:t xml:space="preserve"> </w:t>
      </w:r>
      <w:r>
        <w:t>of</w:t>
      </w:r>
      <w:r w:rsidR="001A1F90">
        <w:t xml:space="preserve"> </w:t>
      </w:r>
      <w:r>
        <w:t>those</w:t>
      </w:r>
      <w:r w:rsidR="001A1F90">
        <w:t xml:space="preserve"> </w:t>
      </w:r>
      <w:r>
        <w:t>recommendations.</w:t>
      </w:r>
    </w:p>
    <w:p w14:paraId="20E3D830" w14:textId="67449EAF" w:rsidR="004946F1" w:rsidRDefault="004946F1" w:rsidP="00BD612C">
      <w:pPr>
        <w:pStyle w:val="DHHSnumberdigit"/>
      </w:pPr>
      <w:r>
        <w:t>While</w:t>
      </w:r>
      <w:r w:rsidR="001A1F90">
        <w:t xml:space="preserve"> </w:t>
      </w:r>
      <w:r>
        <w:t>the</w:t>
      </w:r>
      <w:r w:rsidR="001A1F90">
        <w:t xml:space="preserve"> </w:t>
      </w:r>
      <w:r>
        <w:t>guidelines</w:t>
      </w:r>
      <w:r w:rsidR="001A1F90">
        <w:t xml:space="preserve"> </w:t>
      </w:r>
      <w:r>
        <w:t>suggest</w:t>
      </w:r>
      <w:r w:rsidR="001A1F90">
        <w:t xml:space="preserve"> </w:t>
      </w:r>
      <w:r>
        <w:t>that</w:t>
      </w:r>
      <w:r w:rsidR="001A1F90">
        <w:t xml:space="preserve"> </w:t>
      </w:r>
      <w:r>
        <w:t>long-term</w:t>
      </w:r>
      <w:r w:rsidR="001A1F90">
        <w:t xml:space="preserve"> </w:t>
      </w:r>
      <w:r>
        <w:t>outcomes</w:t>
      </w:r>
      <w:r w:rsidR="001A1F90">
        <w:t xml:space="preserve"> </w:t>
      </w:r>
      <w:r>
        <w:t>after</w:t>
      </w:r>
      <w:r w:rsidR="001A1F90">
        <w:t xml:space="preserve"> </w:t>
      </w:r>
      <w:r>
        <w:t>cessation</w:t>
      </w:r>
      <w:r w:rsidR="001A1F90">
        <w:t xml:space="preserve"> </w:t>
      </w:r>
      <w:r>
        <w:t>of</w:t>
      </w:r>
      <w:r w:rsidR="001A1F90">
        <w:t xml:space="preserve"> </w:t>
      </w:r>
      <w:r>
        <w:t>psychotherapeutic</w:t>
      </w:r>
      <w:r w:rsidR="001A1F90">
        <w:t xml:space="preserve"> </w:t>
      </w:r>
      <w:r>
        <w:t>interventions</w:t>
      </w:r>
      <w:r w:rsidR="001A1F90">
        <w:t xml:space="preserve"> </w:t>
      </w:r>
      <w:r>
        <w:t>show</w:t>
      </w:r>
      <w:r w:rsidR="001A1F90">
        <w:t xml:space="preserve"> </w:t>
      </w:r>
      <w:r>
        <w:t>less</w:t>
      </w:r>
      <w:r w:rsidR="001A1F90">
        <w:t xml:space="preserve"> </w:t>
      </w:r>
      <w:r>
        <w:t>positive</w:t>
      </w:r>
      <w:r w:rsidR="001A1F90">
        <w:t xml:space="preserve"> </w:t>
      </w:r>
      <w:r>
        <w:t>outcomes,</w:t>
      </w:r>
      <w:r w:rsidR="001A1F90">
        <w:t xml:space="preserve"> </w:t>
      </w:r>
      <w:r>
        <w:t>it</w:t>
      </w:r>
      <w:r w:rsidR="001A1F90">
        <w:t xml:space="preserve"> </w:t>
      </w:r>
      <w:r>
        <w:t>was</w:t>
      </w:r>
      <w:r w:rsidR="001A1F90">
        <w:t xml:space="preserve"> </w:t>
      </w:r>
      <w:r>
        <w:t>noted</w:t>
      </w:r>
      <w:r w:rsidR="001A1F90">
        <w:t xml:space="preserve"> </w:t>
      </w:r>
      <w:r>
        <w:t>that</w:t>
      </w:r>
      <w:r w:rsidR="001A1F90">
        <w:t xml:space="preserve"> </w:t>
      </w:r>
      <w:r>
        <w:t>this</w:t>
      </w:r>
      <w:r w:rsidR="001A1F90">
        <w:t xml:space="preserve"> </w:t>
      </w:r>
      <w:r>
        <w:t>is</w:t>
      </w:r>
      <w:r w:rsidR="001A1F90">
        <w:t xml:space="preserve"> </w:t>
      </w:r>
      <w:r>
        <w:t>not</w:t>
      </w:r>
      <w:r w:rsidR="001A1F90">
        <w:t xml:space="preserve"> </w:t>
      </w:r>
      <w:r>
        <w:t>specific</w:t>
      </w:r>
      <w:r w:rsidR="001A1F90">
        <w:t xml:space="preserve"> </w:t>
      </w:r>
      <w:r>
        <w:t>to</w:t>
      </w:r>
      <w:r w:rsidR="001A1F90">
        <w:t xml:space="preserve"> </w:t>
      </w:r>
      <w:r>
        <w:t>this</w:t>
      </w:r>
      <w:r w:rsidR="001A1F90">
        <w:t xml:space="preserve"> </w:t>
      </w:r>
      <w:r>
        <w:t>clinical</w:t>
      </w:r>
      <w:r w:rsidR="001A1F90">
        <w:t xml:space="preserve"> </w:t>
      </w:r>
      <w:r>
        <w:t>population.</w:t>
      </w:r>
      <w:r w:rsidR="001A1F90">
        <w:t xml:space="preserve"> </w:t>
      </w:r>
      <w:r>
        <w:t>What</w:t>
      </w:r>
      <w:r w:rsidR="001A1F90">
        <w:t xml:space="preserve"> </w:t>
      </w:r>
      <w:r>
        <w:t>it</w:t>
      </w:r>
      <w:r w:rsidR="001A1F90">
        <w:t xml:space="preserve"> </w:t>
      </w:r>
      <w:r>
        <w:t>does</w:t>
      </w:r>
      <w:r w:rsidR="001A1F90">
        <w:t xml:space="preserve"> </w:t>
      </w:r>
      <w:r>
        <w:t>suggest,</w:t>
      </w:r>
      <w:r w:rsidR="001A1F90">
        <w:t xml:space="preserve"> </w:t>
      </w:r>
      <w:r>
        <w:t>however,</w:t>
      </w:r>
      <w:r w:rsidR="001A1F90">
        <w:t xml:space="preserve"> </w:t>
      </w:r>
      <w:r>
        <w:t>is</w:t>
      </w:r>
      <w:r w:rsidR="001A1F90">
        <w:t xml:space="preserve"> </w:t>
      </w:r>
      <w:r>
        <w:t>the</w:t>
      </w:r>
      <w:r w:rsidR="001A1F90">
        <w:t xml:space="preserve"> </w:t>
      </w:r>
      <w:r>
        <w:t>need</w:t>
      </w:r>
      <w:r w:rsidR="001A1F90">
        <w:t xml:space="preserve"> </w:t>
      </w:r>
      <w:r>
        <w:t>for</w:t>
      </w:r>
      <w:r w:rsidR="001A1F90">
        <w:t xml:space="preserve"> </w:t>
      </w:r>
      <w:r>
        <w:t>additional</w:t>
      </w:r>
      <w:r w:rsidR="001A1F90">
        <w:t xml:space="preserve"> </w:t>
      </w:r>
      <w:r>
        <w:t>‘booster’</w:t>
      </w:r>
      <w:r w:rsidR="001A1F90">
        <w:t xml:space="preserve"> </w:t>
      </w:r>
      <w:r>
        <w:t>sessions</w:t>
      </w:r>
      <w:r w:rsidR="001A1F90">
        <w:t xml:space="preserve"> </w:t>
      </w:r>
      <w:r>
        <w:t>to</w:t>
      </w:r>
      <w:r w:rsidR="001A1F90">
        <w:t xml:space="preserve"> </w:t>
      </w:r>
      <w:r>
        <w:t>help</w:t>
      </w:r>
      <w:r w:rsidR="001A1F90">
        <w:t xml:space="preserve"> </w:t>
      </w:r>
      <w:r>
        <w:t>maintain</w:t>
      </w:r>
      <w:r w:rsidR="001A1F90">
        <w:t xml:space="preserve"> </w:t>
      </w:r>
      <w:r>
        <w:t>psychotherapeutic</w:t>
      </w:r>
      <w:r w:rsidR="001A1F90">
        <w:t xml:space="preserve"> </w:t>
      </w:r>
      <w:r>
        <w:t>treatment</w:t>
      </w:r>
      <w:r w:rsidR="001A1F90">
        <w:t xml:space="preserve"> </w:t>
      </w:r>
      <w:r>
        <w:t>gains</w:t>
      </w:r>
      <w:r w:rsidR="001A1F90">
        <w:t xml:space="preserve"> </w:t>
      </w:r>
      <w:r>
        <w:t>over</w:t>
      </w:r>
      <w:r w:rsidR="001A1F90">
        <w:t xml:space="preserve"> </w:t>
      </w:r>
      <w:r>
        <w:t>time.</w:t>
      </w:r>
    </w:p>
    <w:p w14:paraId="5FE97FAE" w14:textId="1F472A59" w:rsidR="004946F1" w:rsidRDefault="004946F1" w:rsidP="009B0E14">
      <w:pPr>
        <w:pStyle w:val="Heading2"/>
      </w:pPr>
      <w:bookmarkStart w:id="15" w:name="_Toc20225603"/>
      <w:r>
        <w:t>The</w:t>
      </w:r>
      <w:r w:rsidR="001A1F90">
        <w:t xml:space="preserve"> </w:t>
      </w:r>
      <w:r>
        <w:t>issue</w:t>
      </w:r>
      <w:r w:rsidR="001A1F90">
        <w:t xml:space="preserve"> </w:t>
      </w:r>
      <w:r>
        <w:t>of</w:t>
      </w:r>
      <w:r w:rsidR="001A1F90">
        <w:t xml:space="preserve"> </w:t>
      </w:r>
      <w:r>
        <w:t>informed</w:t>
      </w:r>
      <w:r w:rsidR="001A1F90">
        <w:t xml:space="preserve"> </w:t>
      </w:r>
      <w:r>
        <w:t>consent</w:t>
      </w:r>
      <w:bookmarkEnd w:id="15"/>
    </w:p>
    <w:p w14:paraId="1BD412AD" w14:textId="09C340CE" w:rsidR="004946F1" w:rsidRDefault="004946F1" w:rsidP="00BD612C">
      <w:pPr>
        <w:pStyle w:val="DHHSbody"/>
      </w:pPr>
      <w:r>
        <w:t>Across</w:t>
      </w:r>
      <w:r w:rsidR="001A1F90">
        <w:t xml:space="preserve"> </w:t>
      </w:r>
      <w:r>
        <w:t>all</w:t>
      </w:r>
      <w:r w:rsidR="001A1F90">
        <w:t xml:space="preserve"> </w:t>
      </w:r>
      <w:r>
        <w:t>the</w:t>
      </w:r>
      <w:r w:rsidR="001A1F90">
        <w:t xml:space="preserve"> </w:t>
      </w:r>
      <w:r>
        <w:t>jurisdictions</w:t>
      </w:r>
      <w:r w:rsidR="001A1F90">
        <w:t xml:space="preserve"> </w:t>
      </w:r>
      <w:r>
        <w:t>from</w:t>
      </w:r>
      <w:r w:rsidR="001A1F90">
        <w:t xml:space="preserve"> </w:t>
      </w:r>
      <w:r>
        <w:t>where</w:t>
      </w:r>
      <w:r w:rsidR="001A1F90">
        <w:t xml:space="preserve"> </w:t>
      </w:r>
      <w:r>
        <w:t>participants</w:t>
      </w:r>
      <w:r w:rsidR="001A1F90">
        <w:t xml:space="preserve"> </w:t>
      </w:r>
      <w:r>
        <w:t>responded,</w:t>
      </w:r>
      <w:r w:rsidR="001A1F90">
        <w:t xml:space="preserve"> </w:t>
      </w:r>
      <w:r>
        <w:t>it</w:t>
      </w:r>
      <w:r w:rsidR="001A1F90">
        <w:t xml:space="preserve"> </w:t>
      </w:r>
      <w:r>
        <w:t>was</w:t>
      </w:r>
      <w:r w:rsidR="001A1F90">
        <w:t xml:space="preserve"> </w:t>
      </w:r>
      <w:r>
        <w:t>specifically</w:t>
      </w:r>
      <w:r w:rsidR="001A1F90">
        <w:t xml:space="preserve"> </w:t>
      </w:r>
      <w:r>
        <w:t>noted</w:t>
      </w:r>
      <w:r w:rsidR="001A1F90">
        <w:t xml:space="preserve"> </w:t>
      </w:r>
      <w:r>
        <w:t>that</w:t>
      </w:r>
      <w:r w:rsidR="001A1F90">
        <w:t xml:space="preserve"> </w:t>
      </w:r>
      <w:r>
        <w:t>it</w:t>
      </w:r>
      <w:r w:rsidR="001A1F90">
        <w:t xml:space="preserve"> </w:t>
      </w:r>
      <w:r>
        <w:t>was</w:t>
      </w:r>
      <w:r w:rsidR="001A1F90">
        <w:t xml:space="preserve"> </w:t>
      </w:r>
      <w:r>
        <w:t>the</w:t>
      </w:r>
      <w:r w:rsidR="001A1F90">
        <w:t xml:space="preserve"> </w:t>
      </w:r>
      <w:r>
        <w:t>responsibility</w:t>
      </w:r>
      <w:r w:rsidR="001A1F90">
        <w:t xml:space="preserve"> </w:t>
      </w:r>
      <w:r>
        <w:t>of</w:t>
      </w:r>
      <w:r w:rsidR="001A1F90">
        <w:t xml:space="preserve"> </w:t>
      </w:r>
      <w:r>
        <w:t>the</w:t>
      </w:r>
      <w:r w:rsidR="001A1F90">
        <w:t xml:space="preserve"> </w:t>
      </w:r>
      <w:r>
        <w:t>medical</w:t>
      </w:r>
      <w:r w:rsidR="001A1F90">
        <w:t xml:space="preserve"> </w:t>
      </w:r>
      <w:r>
        <w:t>practitioner</w:t>
      </w:r>
      <w:r w:rsidR="001A1F90">
        <w:t xml:space="preserve"> </w:t>
      </w:r>
      <w:r>
        <w:t>to</w:t>
      </w:r>
      <w:r w:rsidR="001A1F90">
        <w:t xml:space="preserve"> </w:t>
      </w:r>
      <w:r>
        <w:t>obtain</w:t>
      </w:r>
      <w:r w:rsidR="001A1F90">
        <w:t xml:space="preserve"> </w:t>
      </w:r>
      <w:r>
        <w:t>the</w:t>
      </w:r>
      <w:r w:rsidR="001A1F90">
        <w:t xml:space="preserve"> </w:t>
      </w:r>
      <w:r>
        <w:t>appropriate</w:t>
      </w:r>
      <w:r w:rsidR="001A1F90">
        <w:t xml:space="preserve"> </w:t>
      </w:r>
      <w:r>
        <w:t>consents</w:t>
      </w:r>
      <w:r w:rsidR="001A1F90">
        <w:t xml:space="preserve"> </w:t>
      </w:r>
      <w:r>
        <w:t>for</w:t>
      </w:r>
      <w:r w:rsidR="001A1F90">
        <w:t xml:space="preserve"> </w:t>
      </w:r>
      <w:r>
        <w:t>prescribed</w:t>
      </w:r>
      <w:r w:rsidR="001A1F90">
        <w:t xml:space="preserve"> </w:t>
      </w:r>
      <w:r>
        <w:t>medications.</w:t>
      </w:r>
      <w:r w:rsidR="001A1F90">
        <w:t xml:space="preserve"> </w:t>
      </w:r>
      <w:r>
        <w:t>However,</w:t>
      </w:r>
      <w:r w:rsidR="001A1F90">
        <w:t xml:space="preserve"> </w:t>
      </w:r>
      <w:r>
        <w:t>one</w:t>
      </w:r>
      <w:r w:rsidR="001A1F90">
        <w:t xml:space="preserve"> </w:t>
      </w:r>
      <w:r>
        <w:t>of</w:t>
      </w:r>
      <w:r w:rsidR="001A1F90">
        <w:t xml:space="preserve"> </w:t>
      </w:r>
      <w:r>
        <w:t>the</w:t>
      </w:r>
      <w:r w:rsidR="001A1F90">
        <w:t xml:space="preserve"> </w:t>
      </w:r>
      <w:r>
        <w:t>main</w:t>
      </w:r>
      <w:r w:rsidR="001A1F90">
        <w:t xml:space="preserve"> </w:t>
      </w:r>
      <w:r>
        <w:t>findings</w:t>
      </w:r>
      <w:r w:rsidR="001A1F90">
        <w:t xml:space="preserve"> </w:t>
      </w:r>
      <w:r>
        <w:t>arising</w:t>
      </w:r>
      <w:r w:rsidR="001A1F90">
        <w:t xml:space="preserve"> </w:t>
      </w:r>
      <w:r>
        <w:t>from</w:t>
      </w:r>
      <w:r w:rsidR="001A1F90">
        <w:t xml:space="preserve"> </w:t>
      </w:r>
      <w:r>
        <w:t>the</w:t>
      </w:r>
      <w:r w:rsidR="001A1F90">
        <w:t xml:space="preserve"> </w:t>
      </w:r>
      <w:r>
        <w:t>responses</w:t>
      </w:r>
      <w:r w:rsidR="001A1F90">
        <w:t xml:space="preserve"> </w:t>
      </w:r>
      <w:r>
        <w:t>was</w:t>
      </w:r>
      <w:r w:rsidR="001A1F90">
        <w:t xml:space="preserve"> </w:t>
      </w:r>
      <w:r>
        <w:t>their</w:t>
      </w:r>
      <w:r w:rsidR="001A1F90">
        <w:t xml:space="preserve"> </w:t>
      </w:r>
      <w:r>
        <w:t>continued</w:t>
      </w:r>
      <w:r w:rsidR="001A1F90">
        <w:t xml:space="preserve"> </w:t>
      </w:r>
      <w:r>
        <w:t>concern</w:t>
      </w:r>
      <w:r w:rsidR="001A1F90">
        <w:t xml:space="preserve"> </w:t>
      </w:r>
      <w:r>
        <w:t>about</w:t>
      </w:r>
      <w:r w:rsidR="001A1F90">
        <w:t xml:space="preserve"> </w:t>
      </w:r>
      <w:r>
        <w:t>the</w:t>
      </w:r>
      <w:r w:rsidR="001A1F90">
        <w:t xml:space="preserve"> </w:t>
      </w:r>
      <w:r>
        <w:t>process</w:t>
      </w:r>
      <w:r w:rsidR="001A1F90">
        <w:t xml:space="preserve"> </w:t>
      </w:r>
      <w:r>
        <w:t>and</w:t>
      </w:r>
      <w:r w:rsidR="001A1F90">
        <w:t xml:space="preserve"> </w:t>
      </w:r>
      <w:r>
        <w:t>rigour</w:t>
      </w:r>
      <w:r w:rsidR="001A1F90">
        <w:t xml:space="preserve"> </w:t>
      </w:r>
      <w:r>
        <w:t>adopted</w:t>
      </w:r>
      <w:r w:rsidR="001A1F90">
        <w:t xml:space="preserve"> </w:t>
      </w:r>
      <w:r>
        <w:t>when</w:t>
      </w:r>
      <w:r w:rsidR="001A1F90">
        <w:t xml:space="preserve"> </w:t>
      </w:r>
      <w:r>
        <w:t>seeking</w:t>
      </w:r>
      <w:r w:rsidR="001A1F90">
        <w:t xml:space="preserve"> </w:t>
      </w:r>
      <w:r>
        <w:t>consent.</w:t>
      </w:r>
      <w:r w:rsidR="001A1F90">
        <w:t xml:space="preserve"> </w:t>
      </w:r>
      <w:r>
        <w:t>Of</w:t>
      </w:r>
      <w:r w:rsidR="001A1F90">
        <w:t xml:space="preserve"> </w:t>
      </w:r>
      <w:r>
        <w:t>particular</w:t>
      </w:r>
      <w:r w:rsidR="001A1F90">
        <w:t xml:space="preserve"> </w:t>
      </w:r>
      <w:r>
        <w:t>note,</w:t>
      </w:r>
      <w:r w:rsidR="001A1F90">
        <w:t xml:space="preserve"> </w:t>
      </w:r>
      <w:r>
        <w:t>current</w:t>
      </w:r>
      <w:r w:rsidR="001A1F90">
        <w:t xml:space="preserve"> </w:t>
      </w:r>
      <w:r>
        <w:t>(and</w:t>
      </w:r>
      <w:r w:rsidR="001A1F90">
        <w:t xml:space="preserve"> </w:t>
      </w:r>
      <w:r>
        <w:t>recent)</w:t>
      </w:r>
      <w:r w:rsidR="001A1F90">
        <w:t xml:space="preserve"> </w:t>
      </w:r>
      <w:r>
        <w:t>practices</w:t>
      </w:r>
      <w:r w:rsidR="001A1F90">
        <w:t xml:space="preserve"> </w:t>
      </w:r>
      <w:r>
        <w:t>witnessed</w:t>
      </w:r>
      <w:r w:rsidR="001A1F90">
        <w:t xml:space="preserve"> </w:t>
      </w:r>
      <w:r>
        <w:t>by</w:t>
      </w:r>
      <w:r w:rsidR="001A1F90">
        <w:t xml:space="preserve"> </w:t>
      </w:r>
      <w:r>
        <w:t>respondents</w:t>
      </w:r>
      <w:r w:rsidR="001A1F90">
        <w:t xml:space="preserve"> </w:t>
      </w:r>
      <w:r>
        <w:t>suggested</w:t>
      </w:r>
      <w:r w:rsidR="001A1F90">
        <w:t xml:space="preserve"> </w:t>
      </w:r>
      <w:r>
        <w:t>that</w:t>
      </w:r>
      <w:r w:rsidR="001A1F90">
        <w:t xml:space="preserve"> </w:t>
      </w:r>
      <w:r>
        <w:t>best</w:t>
      </w:r>
      <w:r w:rsidR="001A1F90">
        <w:t xml:space="preserve"> </w:t>
      </w:r>
      <w:r>
        <w:t>practice</w:t>
      </w:r>
      <w:r w:rsidR="001A1F90">
        <w:t xml:space="preserve"> </w:t>
      </w:r>
      <w:r>
        <w:t>was</w:t>
      </w:r>
      <w:r w:rsidR="001A1F90">
        <w:t xml:space="preserve"> </w:t>
      </w:r>
      <w:r>
        <w:t>not</w:t>
      </w:r>
      <w:r w:rsidR="001A1F90">
        <w:t xml:space="preserve"> </w:t>
      </w:r>
      <w:r>
        <w:t>being</w:t>
      </w:r>
      <w:r w:rsidR="001A1F90">
        <w:t xml:space="preserve"> </w:t>
      </w:r>
      <w:r>
        <w:t>followed</w:t>
      </w:r>
      <w:r w:rsidR="001A1F90">
        <w:t xml:space="preserve"> </w:t>
      </w:r>
      <w:r>
        <w:t>and</w:t>
      </w:r>
      <w:r w:rsidR="001A1F90">
        <w:t xml:space="preserve"> </w:t>
      </w:r>
      <w:r>
        <w:t>that</w:t>
      </w:r>
      <w:r w:rsidR="001A1F90">
        <w:t xml:space="preserve"> </w:t>
      </w:r>
      <w:r w:rsidR="000429EE">
        <w:t xml:space="preserve">patients </w:t>
      </w:r>
      <w:r>
        <w:t>were</w:t>
      </w:r>
      <w:r w:rsidR="001A1F90">
        <w:t xml:space="preserve"> </w:t>
      </w:r>
      <w:r>
        <w:t>not</w:t>
      </w:r>
      <w:r w:rsidR="001A1F90">
        <w:t xml:space="preserve"> </w:t>
      </w:r>
      <w:r>
        <w:t>participating</w:t>
      </w:r>
      <w:r w:rsidR="001A1F90">
        <w:t xml:space="preserve"> </w:t>
      </w:r>
      <w:r>
        <w:t>fully</w:t>
      </w:r>
      <w:r w:rsidR="001A1F90">
        <w:t xml:space="preserve"> </w:t>
      </w:r>
      <w:r>
        <w:t>(if</w:t>
      </w:r>
      <w:r w:rsidR="001A1F90">
        <w:t xml:space="preserve"> </w:t>
      </w:r>
      <w:r>
        <w:t>at</w:t>
      </w:r>
      <w:r w:rsidR="001A1F90">
        <w:t xml:space="preserve"> </w:t>
      </w:r>
      <w:r>
        <w:t>all)</w:t>
      </w:r>
      <w:r w:rsidR="001A1F90">
        <w:t xml:space="preserve"> </w:t>
      </w:r>
      <w:r>
        <w:t>in</w:t>
      </w:r>
      <w:r w:rsidR="001A1F90">
        <w:t xml:space="preserve"> </w:t>
      </w:r>
      <w:r>
        <w:t>the</w:t>
      </w:r>
      <w:r w:rsidR="001A1F90">
        <w:t xml:space="preserve"> </w:t>
      </w:r>
      <w:r>
        <w:t>consent</w:t>
      </w:r>
      <w:r w:rsidR="001A1F90">
        <w:t xml:space="preserve"> </w:t>
      </w:r>
      <w:r>
        <w:t>process.</w:t>
      </w:r>
      <w:r w:rsidR="001A1F90">
        <w:t xml:space="preserve"> </w:t>
      </w:r>
      <w:r>
        <w:t>More</w:t>
      </w:r>
      <w:r w:rsidR="001A1F90">
        <w:t xml:space="preserve"> </w:t>
      </w:r>
      <w:r>
        <w:t>specifically,</w:t>
      </w:r>
      <w:r w:rsidR="001A1F90">
        <w:t xml:space="preserve"> </w:t>
      </w:r>
      <w:r>
        <w:t>several</w:t>
      </w:r>
      <w:r w:rsidR="001A1F90">
        <w:t xml:space="preserve"> </w:t>
      </w:r>
      <w:r>
        <w:t>respondents</w:t>
      </w:r>
      <w:r w:rsidR="001A1F90">
        <w:t xml:space="preserve"> </w:t>
      </w:r>
      <w:r>
        <w:t>reported</w:t>
      </w:r>
      <w:r w:rsidR="001A1F90">
        <w:t xml:space="preserve"> </w:t>
      </w:r>
      <w:r>
        <w:t>significant</w:t>
      </w:r>
      <w:r w:rsidR="001A1F90">
        <w:t xml:space="preserve"> </w:t>
      </w:r>
      <w:r>
        <w:t>concerns</w:t>
      </w:r>
      <w:r w:rsidR="001A1F90">
        <w:t xml:space="preserve"> </w:t>
      </w:r>
      <w:r>
        <w:t>that</w:t>
      </w:r>
      <w:r w:rsidR="001A1F90">
        <w:t xml:space="preserve"> </w:t>
      </w:r>
      <w:r>
        <w:t>some</w:t>
      </w:r>
      <w:r w:rsidR="001A1F90">
        <w:t xml:space="preserve"> </w:t>
      </w:r>
      <w:r>
        <w:t>prescribers</w:t>
      </w:r>
      <w:r w:rsidR="001A1F90">
        <w:t xml:space="preserve"> </w:t>
      </w:r>
      <w:r>
        <w:t>were</w:t>
      </w:r>
      <w:r w:rsidR="001A1F90">
        <w:t xml:space="preserve"> </w:t>
      </w:r>
      <w:r>
        <w:t>misinterpreting</w:t>
      </w:r>
      <w:r w:rsidR="001A1F90">
        <w:t xml:space="preserve"> </w:t>
      </w:r>
      <w:r>
        <w:t>compliance</w:t>
      </w:r>
      <w:r w:rsidR="001A1F90">
        <w:t xml:space="preserve"> </w:t>
      </w:r>
      <w:r>
        <w:t>with</w:t>
      </w:r>
      <w:r w:rsidR="001A1F90">
        <w:t xml:space="preserve"> </w:t>
      </w:r>
      <w:r>
        <w:t>the</w:t>
      </w:r>
      <w:r w:rsidR="001A1F90">
        <w:t xml:space="preserve"> </w:t>
      </w:r>
      <w:r>
        <w:t>medication</w:t>
      </w:r>
      <w:r w:rsidR="001A1F90">
        <w:t xml:space="preserve"> </w:t>
      </w:r>
      <w:r>
        <w:t>regime</w:t>
      </w:r>
      <w:r w:rsidR="003847E1">
        <w:t>n</w:t>
      </w:r>
      <w:r w:rsidR="001A1F90">
        <w:t xml:space="preserve"> </w:t>
      </w:r>
      <w:r>
        <w:t>for</w:t>
      </w:r>
      <w:r w:rsidR="001A1F90">
        <w:t xml:space="preserve"> </w:t>
      </w:r>
      <w:r>
        <w:t>consent.</w:t>
      </w:r>
    </w:p>
    <w:p w14:paraId="0D823A42" w14:textId="6194E766" w:rsidR="004946F1" w:rsidRDefault="004946F1" w:rsidP="00CA3986">
      <w:pPr>
        <w:pStyle w:val="DHHSbody"/>
      </w:pPr>
      <w:r>
        <w:t>As</w:t>
      </w:r>
      <w:r w:rsidR="001A1F90">
        <w:t xml:space="preserve"> </w:t>
      </w:r>
      <w:r>
        <w:t>such,</w:t>
      </w:r>
      <w:r w:rsidR="001A1F90">
        <w:t xml:space="preserve"> </w:t>
      </w:r>
      <w:r>
        <w:t>it</w:t>
      </w:r>
      <w:r w:rsidR="001A1F90">
        <w:t xml:space="preserve"> </w:t>
      </w:r>
      <w:r>
        <w:t>was</w:t>
      </w:r>
      <w:r w:rsidR="001A1F90">
        <w:t xml:space="preserve"> </w:t>
      </w:r>
      <w:r>
        <w:t>recommended</w:t>
      </w:r>
      <w:r w:rsidR="001A1F90">
        <w:t xml:space="preserve"> </w:t>
      </w:r>
      <w:r>
        <w:t>that</w:t>
      </w:r>
      <w:r w:rsidR="001A1F90">
        <w:t xml:space="preserve"> </w:t>
      </w:r>
      <w:r>
        <w:t>the</w:t>
      </w:r>
      <w:r w:rsidR="001A1F90">
        <w:t xml:space="preserve"> </w:t>
      </w:r>
      <w:r>
        <w:t>process</w:t>
      </w:r>
      <w:r w:rsidR="001A1F90">
        <w:t xml:space="preserve"> </w:t>
      </w:r>
      <w:r>
        <w:t>of</w:t>
      </w:r>
      <w:r w:rsidR="001A1F90">
        <w:t xml:space="preserve"> </w:t>
      </w:r>
      <w:r>
        <w:t>exploring</w:t>
      </w:r>
      <w:r w:rsidR="001A1F90">
        <w:t xml:space="preserve"> </w:t>
      </w:r>
      <w:r>
        <w:t>the</w:t>
      </w:r>
      <w:r w:rsidR="001A1F90">
        <w:t xml:space="preserve"> </w:t>
      </w:r>
      <w:r>
        <w:t>complex</w:t>
      </w:r>
      <w:r w:rsidR="001A1F90">
        <w:t xml:space="preserve"> </w:t>
      </w:r>
      <w:r>
        <w:t>issues</w:t>
      </w:r>
      <w:r w:rsidR="001A1F90">
        <w:t xml:space="preserve"> </w:t>
      </w:r>
      <w:r>
        <w:t>around</w:t>
      </w:r>
      <w:r w:rsidR="001A1F90">
        <w:t xml:space="preserve"> </w:t>
      </w:r>
      <w:r>
        <w:t>capacity</w:t>
      </w:r>
      <w:r w:rsidR="001A1F90">
        <w:t xml:space="preserve"> </w:t>
      </w:r>
      <w:r>
        <w:t>to</w:t>
      </w:r>
      <w:r w:rsidR="001A1F90">
        <w:t xml:space="preserve"> </w:t>
      </w:r>
      <w:r>
        <w:t>consent</w:t>
      </w:r>
      <w:r w:rsidR="001A1F90">
        <w:t xml:space="preserve"> </w:t>
      </w:r>
      <w:r>
        <w:t>and</w:t>
      </w:r>
      <w:r w:rsidR="001A1F90">
        <w:t xml:space="preserve"> </w:t>
      </w:r>
      <w:r>
        <w:t>seeking</w:t>
      </w:r>
      <w:r w:rsidR="001A1F90">
        <w:t xml:space="preserve"> </w:t>
      </w:r>
      <w:r>
        <w:t>informed</w:t>
      </w:r>
      <w:r w:rsidR="001A1F90">
        <w:t xml:space="preserve"> </w:t>
      </w:r>
      <w:r>
        <w:t>consent</w:t>
      </w:r>
      <w:r w:rsidR="001A1F90">
        <w:t xml:space="preserve"> </w:t>
      </w:r>
      <w:r>
        <w:t>will</w:t>
      </w:r>
      <w:r w:rsidR="001A1F90">
        <w:t xml:space="preserve"> </w:t>
      </w:r>
      <w:r>
        <w:t>inevitably</w:t>
      </w:r>
      <w:r w:rsidR="001A1F90">
        <w:t xml:space="preserve"> </w:t>
      </w:r>
      <w:r>
        <w:t>need</w:t>
      </w:r>
      <w:r w:rsidR="001A1F90">
        <w:t xml:space="preserve"> </w:t>
      </w:r>
      <w:r>
        <w:t>to</w:t>
      </w:r>
      <w:r w:rsidR="001A1F90">
        <w:t xml:space="preserve"> </w:t>
      </w:r>
      <w:r>
        <w:t>be</w:t>
      </w:r>
      <w:r w:rsidR="001A1F90">
        <w:t xml:space="preserve"> </w:t>
      </w:r>
      <w:r>
        <w:t>ensured</w:t>
      </w:r>
      <w:r w:rsidR="001A1F90">
        <w:t xml:space="preserve"> </w:t>
      </w:r>
      <w:r>
        <w:t>on</w:t>
      </w:r>
      <w:r w:rsidR="001A1F90">
        <w:t xml:space="preserve"> </w:t>
      </w:r>
      <w:r>
        <w:t>a</w:t>
      </w:r>
      <w:r w:rsidR="001A1F90">
        <w:t xml:space="preserve"> </w:t>
      </w:r>
      <w:r>
        <w:t>case</w:t>
      </w:r>
      <w:r w:rsidR="003847E1">
        <w:t>-</w:t>
      </w:r>
      <w:r>
        <w:t>by</w:t>
      </w:r>
      <w:r w:rsidR="003847E1">
        <w:t>-</w:t>
      </w:r>
      <w:r>
        <w:t>case</w:t>
      </w:r>
      <w:r w:rsidR="001A1F90">
        <w:t xml:space="preserve"> </w:t>
      </w:r>
      <w:r>
        <w:t>basis,</w:t>
      </w:r>
      <w:r w:rsidR="001A1F90">
        <w:t xml:space="preserve"> </w:t>
      </w:r>
      <w:r>
        <w:t>contingent</w:t>
      </w:r>
      <w:r w:rsidR="001A1F90">
        <w:t xml:space="preserve"> </w:t>
      </w:r>
      <w:r>
        <w:t>on</w:t>
      </w:r>
      <w:r w:rsidR="001A1F90">
        <w:t xml:space="preserve"> </w:t>
      </w:r>
      <w:r>
        <w:t>the</w:t>
      </w:r>
      <w:r w:rsidR="001A1F90">
        <w:t xml:space="preserve"> </w:t>
      </w:r>
      <w:r>
        <w:t>combinations</w:t>
      </w:r>
      <w:r w:rsidR="001A1F90">
        <w:t xml:space="preserve"> </w:t>
      </w:r>
      <w:r>
        <w:t>and</w:t>
      </w:r>
      <w:r w:rsidR="001A1F90">
        <w:t xml:space="preserve"> </w:t>
      </w:r>
      <w:r>
        <w:t>complexities</w:t>
      </w:r>
      <w:r w:rsidR="001A1F90">
        <w:t xml:space="preserve"> </w:t>
      </w:r>
      <w:r>
        <w:t>of</w:t>
      </w:r>
      <w:r w:rsidR="001A1F90">
        <w:t xml:space="preserve"> </w:t>
      </w:r>
      <w:r>
        <w:t>the</w:t>
      </w:r>
      <w:r w:rsidR="001A1F90">
        <w:t xml:space="preserve"> </w:t>
      </w:r>
      <w:r>
        <w:t>interventions</w:t>
      </w:r>
      <w:r w:rsidR="001A1F90">
        <w:t xml:space="preserve"> </w:t>
      </w:r>
      <w:r>
        <w:t>that</w:t>
      </w:r>
      <w:r w:rsidR="001A1F90">
        <w:t xml:space="preserve"> </w:t>
      </w:r>
      <w:r>
        <w:t>are</w:t>
      </w:r>
      <w:r w:rsidR="001A1F90">
        <w:t xml:space="preserve"> </w:t>
      </w:r>
      <w:r>
        <w:t>being</w:t>
      </w:r>
      <w:r w:rsidR="001A1F90">
        <w:t xml:space="preserve"> </w:t>
      </w:r>
      <w:r>
        <w:t>proposed</w:t>
      </w:r>
      <w:r w:rsidR="001A1F90">
        <w:t xml:space="preserve"> </w:t>
      </w:r>
      <w:r>
        <w:t>in</w:t>
      </w:r>
      <w:r w:rsidR="001A1F90">
        <w:t xml:space="preserve"> </w:t>
      </w:r>
      <w:r>
        <w:t>the</w:t>
      </w:r>
      <w:r w:rsidR="001A1F90">
        <w:t xml:space="preserve"> </w:t>
      </w:r>
      <w:r>
        <w:t>treatment</w:t>
      </w:r>
      <w:r w:rsidR="001A1F90">
        <w:t xml:space="preserve"> </w:t>
      </w:r>
      <w:r>
        <w:t>plan.</w:t>
      </w:r>
      <w:r w:rsidR="001A1F90">
        <w:t xml:space="preserve"> </w:t>
      </w:r>
      <w:r>
        <w:t>Current</w:t>
      </w:r>
      <w:r w:rsidR="001A1F90">
        <w:t xml:space="preserve"> </w:t>
      </w:r>
      <w:r>
        <w:t>practices</w:t>
      </w:r>
      <w:r w:rsidR="001A1F90">
        <w:t xml:space="preserve"> </w:t>
      </w:r>
      <w:r>
        <w:t>in</w:t>
      </w:r>
      <w:r w:rsidR="001A1F90">
        <w:t xml:space="preserve"> </w:t>
      </w:r>
      <w:r>
        <w:t>certain</w:t>
      </w:r>
      <w:r w:rsidR="001A1F90">
        <w:t xml:space="preserve"> </w:t>
      </w:r>
      <w:r>
        <w:t>jurisdictions</w:t>
      </w:r>
      <w:r w:rsidR="001A1F90">
        <w:t xml:space="preserve"> </w:t>
      </w:r>
      <w:r>
        <w:t>suggested</w:t>
      </w:r>
      <w:r w:rsidR="001A1F90">
        <w:t xml:space="preserve"> </w:t>
      </w:r>
      <w:r>
        <w:t>a</w:t>
      </w:r>
      <w:r w:rsidR="001A1F90">
        <w:t xml:space="preserve"> </w:t>
      </w:r>
      <w:r>
        <w:t>great</w:t>
      </w:r>
      <w:r w:rsidR="001A1F90">
        <w:t xml:space="preserve"> </w:t>
      </w:r>
      <w:r>
        <w:t>deal</w:t>
      </w:r>
      <w:r w:rsidR="001A1F90">
        <w:t xml:space="preserve"> </w:t>
      </w:r>
      <w:r>
        <w:t>of</w:t>
      </w:r>
      <w:r w:rsidR="001A1F90">
        <w:t xml:space="preserve"> </w:t>
      </w:r>
      <w:r>
        <w:t>variability</w:t>
      </w:r>
      <w:r w:rsidR="001A1F90">
        <w:t xml:space="preserve"> </w:t>
      </w:r>
      <w:r>
        <w:t>with</w:t>
      </w:r>
      <w:r w:rsidR="001A1F90">
        <w:t xml:space="preserve"> </w:t>
      </w:r>
      <w:r>
        <w:t>respect</w:t>
      </w:r>
      <w:r w:rsidR="001A1F90">
        <w:t xml:space="preserve"> </w:t>
      </w:r>
      <w:r>
        <w:t>to</w:t>
      </w:r>
      <w:r w:rsidR="001A1F90">
        <w:t xml:space="preserve"> </w:t>
      </w:r>
      <w:r>
        <w:t>whether</w:t>
      </w:r>
      <w:r w:rsidR="001A1F90">
        <w:t xml:space="preserve"> </w:t>
      </w:r>
      <w:r>
        <w:t>consent</w:t>
      </w:r>
      <w:r w:rsidR="001A1F90">
        <w:t xml:space="preserve"> </w:t>
      </w:r>
      <w:r>
        <w:t>was</w:t>
      </w:r>
      <w:r w:rsidR="001A1F90">
        <w:t xml:space="preserve"> </w:t>
      </w:r>
      <w:r>
        <w:t>sought</w:t>
      </w:r>
      <w:r w:rsidR="001A1F90">
        <w:t xml:space="preserve"> </w:t>
      </w:r>
      <w:r>
        <w:t>on</w:t>
      </w:r>
      <w:r w:rsidR="001A1F90">
        <w:t xml:space="preserve"> </w:t>
      </w:r>
      <w:r>
        <w:t>more</w:t>
      </w:r>
      <w:r w:rsidR="001A1F90">
        <w:t xml:space="preserve"> </w:t>
      </w:r>
      <w:r>
        <w:t>than</w:t>
      </w:r>
      <w:r w:rsidR="001A1F90">
        <w:t xml:space="preserve"> </w:t>
      </w:r>
      <w:r>
        <w:t>one</w:t>
      </w:r>
      <w:r w:rsidR="001A1F90">
        <w:t xml:space="preserve"> </w:t>
      </w:r>
      <w:r>
        <w:t>occasion.</w:t>
      </w:r>
      <w:r w:rsidR="001A1F90">
        <w:t xml:space="preserve"> </w:t>
      </w:r>
      <w:r>
        <w:t>The</w:t>
      </w:r>
      <w:r w:rsidR="001A1F90">
        <w:t xml:space="preserve"> </w:t>
      </w:r>
      <w:r>
        <w:t>consensus</w:t>
      </w:r>
      <w:r w:rsidR="001A1F90">
        <w:t xml:space="preserve"> </w:t>
      </w:r>
      <w:r>
        <w:t>from</w:t>
      </w:r>
      <w:r w:rsidR="001A1F90">
        <w:t xml:space="preserve"> </w:t>
      </w:r>
      <w:r>
        <w:t>the</w:t>
      </w:r>
      <w:r w:rsidR="001A1F90">
        <w:t xml:space="preserve"> </w:t>
      </w:r>
      <w:r>
        <w:t>respondents</w:t>
      </w:r>
      <w:r w:rsidR="001A1F90">
        <w:t xml:space="preserve"> </w:t>
      </w:r>
      <w:r>
        <w:t>here</w:t>
      </w:r>
      <w:r w:rsidR="001A1F90">
        <w:t xml:space="preserve"> </w:t>
      </w:r>
      <w:r>
        <w:t>was</w:t>
      </w:r>
      <w:r w:rsidR="001A1F90">
        <w:t xml:space="preserve"> </w:t>
      </w:r>
      <w:r>
        <w:t>that</w:t>
      </w:r>
      <w:r w:rsidR="001A1F90">
        <w:t xml:space="preserve"> </w:t>
      </w:r>
      <w:r>
        <w:t>consent</w:t>
      </w:r>
      <w:r w:rsidR="001A1F90">
        <w:t xml:space="preserve"> </w:t>
      </w:r>
      <w:r>
        <w:t>was</w:t>
      </w:r>
      <w:r w:rsidR="001A1F90">
        <w:t xml:space="preserve"> </w:t>
      </w:r>
      <w:r>
        <w:t>required</w:t>
      </w:r>
      <w:r w:rsidR="001A1F90">
        <w:t xml:space="preserve"> </w:t>
      </w:r>
      <w:r>
        <w:t>from</w:t>
      </w:r>
      <w:r w:rsidR="001A1F90">
        <w:t xml:space="preserve"> </w:t>
      </w:r>
      <w:r>
        <w:t>the</w:t>
      </w:r>
      <w:r w:rsidR="001A1F90">
        <w:t xml:space="preserve"> </w:t>
      </w:r>
      <w:r w:rsidR="000429EE">
        <w:t xml:space="preserve">patients </w:t>
      </w:r>
      <w:r>
        <w:t>and</w:t>
      </w:r>
      <w:r w:rsidR="001A1F90">
        <w:t xml:space="preserve"> </w:t>
      </w:r>
      <w:r>
        <w:t>that</w:t>
      </w:r>
      <w:r w:rsidR="001A1F90">
        <w:t xml:space="preserve"> </w:t>
      </w:r>
      <w:r>
        <w:t>it</w:t>
      </w:r>
      <w:r w:rsidR="001A1F90">
        <w:t xml:space="preserve"> </w:t>
      </w:r>
      <w:r>
        <w:t>needed</w:t>
      </w:r>
      <w:r w:rsidR="001A1F90">
        <w:t xml:space="preserve"> </w:t>
      </w:r>
      <w:r>
        <w:t>to</w:t>
      </w:r>
      <w:r w:rsidR="001A1F90">
        <w:t xml:space="preserve"> </w:t>
      </w:r>
      <w:r>
        <w:t>be</w:t>
      </w:r>
      <w:r w:rsidR="001A1F90">
        <w:t xml:space="preserve"> </w:t>
      </w:r>
      <w:r>
        <w:t>reaffirmed</w:t>
      </w:r>
      <w:r w:rsidR="001A1F90">
        <w:t xml:space="preserve"> </w:t>
      </w:r>
      <w:r>
        <w:t>at</w:t>
      </w:r>
      <w:r w:rsidR="001A1F90">
        <w:t xml:space="preserve"> </w:t>
      </w:r>
      <w:r>
        <w:t>every</w:t>
      </w:r>
      <w:r w:rsidR="001A1F90">
        <w:t xml:space="preserve"> </w:t>
      </w:r>
      <w:r>
        <w:t>review</w:t>
      </w:r>
      <w:r w:rsidR="001A1F90">
        <w:t xml:space="preserve"> </w:t>
      </w:r>
      <w:r>
        <w:t>meeting.</w:t>
      </w:r>
      <w:r w:rsidR="001A1F90">
        <w:t xml:space="preserve"> </w:t>
      </w:r>
      <w:r>
        <w:t>These</w:t>
      </w:r>
      <w:r w:rsidR="001A1F90">
        <w:t xml:space="preserve"> </w:t>
      </w:r>
      <w:r>
        <w:t>procedural</w:t>
      </w:r>
      <w:r w:rsidR="001A1F90">
        <w:t xml:space="preserve"> </w:t>
      </w:r>
      <w:r>
        <w:t>issues</w:t>
      </w:r>
      <w:r w:rsidR="001A1F90">
        <w:t xml:space="preserve"> </w:t>
      </w:r>
      <w:r>
        <w:t>are</w:t>
      </w:r>
      <w:r w:rsidR="001A1F90">
        <w:t xml:space="preserve"> </w:t>
      </w:r>
      <w:r>
        <w:t>particularly</w:t>
      </w:r>
      <w:r w:rsidR="001A1F90">
        <w:t xml:space="preserve"> </w:t>
      </w:r>
      <w:r>
        <w:t>important</w:t>
      </w:r>
      <w:r w:rsidR="001A1F90">
        <w:t xml:space="preserve"> </w:t>
      </w:r>
      <w:r>
        <w:t>when</w:t>
      </w:r>
      <w:r w:rsidR="001A1F90">
        <w:t xml:space="preserve"> </w:t>
      </w:r>
      <w:r>
        <w:t>considering</w:t>
      </w:r>
      <w:r w:rsidR="001A1F90">
        <w:t xml:space="preserve"> </w:t>
      </w:r>
      <w:r>
        <w:t>the</w:t>
      </w:r>
      <w:r w:rsidR="001A1F90">
        <w:t xml:space="preserve"> </w:t>
      </w:r>
      <w:r>
        <w:t>need</w:t>
      </w:r>
      <w:r w:rsidR="001A1F90">
        <w:t xml:space="preserve"> </w:t>
      </w:r>
      <w:r>
        <w:t>for</w:t>
      </w:r>
      <w:r w:rsidR="001A1F90">
        <w:t xml:space="preserve"> </w:t>
      </w:r>
      <w:r>
        <w:t>third</w:t>
      </w:r>
      <w:r w:rsidR="003847E1">
        <w:t>-</w:t>
      </w:r>
      <w:r>
        <w:t>party</w:t>
      </w:r>
      <w:r w:rsidR="001A1F90">
        <w:t xml:space="preserve"> </w:t>
      </w:r>
      <w:r>
        <w:t>consent,</w:t>
      </w:r>
      <w:r w:rsidR="001A1F90">
        <w:t xml:space="preserve"> </w:t>
      </w:r>
      <w:r>
        <w:t>for</w:t>
      </w:r>
      <w:r w:rsidR="001A1F90">
        <w:t xml:space="preserve"> </w:t>
      </w:r>
      <w:r>
        <w:t>example</w:t>
      </w:r>
      <w:r w:rsidR="003847E1">
        <w:t>,</w:t>
      </w:r>
      <w:r w:rsidR="001A1F90">
        <w:t xml:space="preserve"> </w:t>
      </w:r>
      <w:r>
        <w:t>the</w:t>
      </w:r>
      <w:r w:rsidR="001A1F90">
        <w:t xml:space="preserve"> </w:t>
      </w:r>
      <w:r>
        <w:t>situation</w:t>
      </w:r>
      <w:r w:rsidR="001A1F90">
        <w:t xml:space="preserve"> </w:t>
      </w:r>
      <w:r>
        <w:t>in</w:t>
      </w:r>
      <w:r w:rsidR="001A1F90">
        <w:t xml:space="preserve"> </w:t>
      </w:r>
      <w:r>
        <w:t>Queensland</w:t>
      </w:r>
      <w:r w:rsidR="001A1F90">
        <w:t xml:space="preserve"> </w:t>
      </w:r>
      <w:r>
        <w:t>where</w:t>
      </w:r>
      <w:r w:rsidR="001A1F90">
        <w:t xml:space="preserve"> </w:t>
      </w:r>
      <w:r>
        <w:t>the</w:t>
      </w:r>
      <w:r w:rsidR="001A1F90">
        <w:t xml:space="preserve"> </w:t>
      </w:r>
      <w:r>
        <w:t>Guardianship</w:t>
      </w:r>
      <w:r w:rsidR="001A1F90">
        <w:t xml:space="preserve"> </w:t>
      </w:r>
      <w:r>
        <w:t>Tribunal</w:t>
      </w:r>
      <w:r w:rsidR="001A1F90">
        <w:t xml:space="preserve"> </w:t>
      </w:r>
      <w:r>
        <w:t>is</w:t>
      </w:r>
      <w:r w:rsidR="001A1F90">
        <w:t xml:space="preserve"> </w:t>
      </w:r>
      <w:r>
        <w:t>involved.</w:t>
      </w:r>
    </w:p>
    <w:tbl>
      <w:tblPr>
        <w:tblStyle w:val="SPhighlighttable"/>
        <w:tblW w:w="9299" w:type="dxa"/>
        <w:tblLayout w:type="fixed"/>
        <w:tblLook w:val="0600" w:firstRow="0" w:lastRow="0" w:firstColumn="0" w:lastColumn="0" w:noHBand="1" w:noVBand="1"/>
      </w:tblPr>
      <w:tblGrid>
        <w:gridCol w:w="9299"/>
      </w:tblGrid>
      <w:tr w:rsidR="004946F1" w:rsidRPr="00F224CB" w14:paraId="582C3F86" w14:textId="77777777" w:rsidTr="00006D2F">
        <w:trPr>
          <w:trHeight w:val="60"/>
        </w:trPr>
        <w:tc>
          <w:tcPr>
            <w:tcW w:w="9498" w:type="dxa"/>
          </w:tcPr>
          <w:p w14:paraId="328B2974" w14:textId="501D4F21" w:rsidR="003847E1" w:rsidRDefault="003847E1" w:rsidP="00CA3986">
            <w:pPr>
              <w:pStyle w:val="DHHStablecaption"/>
              <w:spacing w:before="0"/>
            </w:pPr>
            <w:r>
              <w:t>Outline of the proposed consent process</w:t>
            </w:r>
          </w:p>
          <w:p w14:paraId="5801AAF3" w14:textId="002F52E1" w:rsidR="004946F1" w:rsidRPr="00F224CB" w:rsidRDefault="004946F1" w:rsidP="00BD612C">
            <w:pPr>
              <w:pStyle w:val="DHHSbullet1"/>
            </w:pPr>
            <w:r w:rsidRPr="00F224CB">
              <w:t>The</w:t>
            </w:r>
            <w:r w:rsidR="001A1F90">
              <w:t xml:space="preserve"> </w:t>
            </w:r>
            <w:r w:rsidRPr="00F224CB">
              <w:t>process</w:t>
            </w:r>
            <w:r w:rsidR="001A1F90">
              <w:t xml:space="preserve"> </w:t>
            </w:r>
            <w:r w:rsidRPr="00F224CB">
              <w:t>of</w:t>
            </w:r>
            <w:r w:rsidR="001A1F90">
              <w:t xml:space="preserve"> </w:t>
            </w:r>
            <w:r w:rsidRPr="00F224CB">
              <w:t>consent</w:t>
            </w:r>
            <w:r w:rsidR="001A1F90">
              <w:t xml:space="preserve"> </w:t>
            </w:r>
            <w:r w:rsidRPr="00F224CB">
              <w:t>has</w:t>
            </w:r>
            <w:r w:rsidR="001A1F90">
              <w:t xml:space="preserve"> </w:t>
            </w:r>
            <w:r w:rsidRPr="00F224CB">
              <w:t>to</w:t>
            </w:r>
            <w:r w:rsidR="001A1F90">
              <w:t xml:space="preserve"> </w:t>
            </w:r>
            <w:r w:rsidRPr="00F224CB">
              <w:t>be</w:t>
            </w:r>
            <w:r w:rsidR="001A1F90">
              <w:t xml:space="preserve"> </w:t>
            </w:r>
            <w:r w:rsidRPr="00F224CB">
              <w:t>thorough</w:t>
            </w:r>
            <w:r w:rsidR="001A1F90">
              <w:t xml:space="preserve"> </w:t>
            </w:r>
            <w:r w:rsidRPr="00F224CB">
              <w:t>and</w:t>
            </w:r>
            <w:r w:rsidR="001A1F90">
              <w:t xml:space="preserve"> </w:t>
            </w:r>
            <w:r w:rsidRPr="00F224CB">
              <w:t>transparent.</w:t>
            </w:r>
          </w:p>
          <w:p w14:paraId="5308163A" w14:textId="032CF545" w:rsidR="004946F1" w:rsidRPr="00F224CB" w:rsidRDefault="004946F1" w:rsidP="00BD612C">
            <w:pPr>
              <w:pStyle w:val="DHHSbullet1"/>
            </w:pPr>
            <w:r w:rsidRPr="00F224CB">
              <w:t>There</w:t>
            </w:r>
            <w:r w:rsidR="001A1F90">
              <w:t xml:space="preserve"> </w:t>
            </w:r>
            <w:r w:rsidRPr="00F224CB">
              <w:t>remains</w:t>
            </w:r>
            <w:r w:rsidR="001A1F90">
              <w:t xml:space="preserve"> </w:t>
            </w:r>
            <w:r w:rsidRPr="00F224CB">
              <w:t>a</w:t>
            </w:r>
            <w:r w:rsidR="001A1F90">
              <w:t xml:space="preserve"> </w:t>
            </w:r>
            <w:r w:rsidRPr="00F224CB">
              <w:t>need</w:t>
            </w:r>
            <w:r w:rsidR="001A1F90">
              <w:t xml:space="preserve"> </w:t>
            </w:r>
            <w:r w:rsidRPr="00F224CB">
              <w:t>for</w:t>
            </w:r>
            <w:r w:rsidR="001A1F90">
              <w:t xml:space="preserve"> </w:t>
            </w:r>
            <w:r w:rsidRPr="00F224CB">
              <w:t>simplified</w:t>
            </w:r>
            <w:r w:rsidR="001A1F90">
              <w:t xml:space="preserve"> </w:t>
            </w:r>
            <w:r w:rsidRPr="00F224CB">
              <w:t>approaches</w:t>
            </w:r>
            <w:r w:rsidR="001A1F90">
              <w:t xml:space="preserve"> </w:t>
            </w:r>
            <w:r w:rsidRPr="00F224CB">
              <w:t>to</w:t>
            </w:r>
            <w:r w:rsidR="001A1F90">
              <w:t xml:space="preserve"> </w:t>
            </w:r>
            <w:r w:rsidRPr="00F224CB">
              <w:t>consent.</w:t>
            </w:r>
          </w:p>
          <w:p w14:paraId="784982C3" w14:textId="4A1DB832" w:rsidR="004946F1" w:rsidRPr="00F224CB" w:rsidRDefault="004946F1" w:rsidP="00BD612C">
            <w:pPr>
              <w:pStyle w:val="DHHSbullet1"/>
            </w:pPr>
            <w:r w:rsidRPr="00F224CB">
              <w:t>It</w:t>
            </w:r>
            <w:r w:rsidR="001A1F90">
              <w:t xml:space="preserve"> </w:t>
            </w:r>
            <w:r w:rsidRPr="00F224CB">
              <w:t>is</w:t>
            </w:r>
            <w:r w:rsidR="001A1F90">
              <w:t xml:space="preserve"> </w:t>
            </w:r>
            <w:r w:rsidRPr="00F224CB">
              <w:t>recommended</w:t>
            </w:r>
            <w:r w:rsidR="001A1F90">
              <w:t xml:space="preserve"> </w:t>
            </w:r>
            <w:r w:rsidRPr="00F224CB">
              <w:t>to</w:t>
            </w:r>
            <w:r w:rsidR="001A1F90">
              <w:t xml:space="preserve"> </w:t>
            </w:r>
            <w:r w:rsidRPr="00F224CB">
              <w:t>use</w:t>
            </w:r>
            <w:r w:rsidR="001A1F90">
              <w:t xml:space="preserve"> </w:t>
            </w:r>
            <w:r w:rsidRPr="00F224CB">
              <w:t>pictures</w:t>
            </w:r>
            <w:r w:rsidR="001A1F90">
              <w:t xml:space="preserve"> </w:t>
            </w:r>
            <w:r w:rsidRPr="00F224CB">
              <w:t>and</w:t>
            </w:r>
            <w:r w:rsidR="001A1F90">
              <w:t xml:space="preserve"> </w:t>
            </w:r>
            <w:r w:rsidRPr="00F224CB">
              <w:t>words</w:t>
            </w:r>
            <w:r w:rsidR="001A1F90">
              <w:t xml:space="preserve"> </w:t>
            </w:r>
            <w:r w:rsidRPr="00F224CB">
              <w:t>presented</w:t>
            </w:r>
            <w:r w:rsidR="001A1F90">
              <w:t xml:space="preserve"> </w:t>
            </w:r>
            <w:r w:rsidRPr="00F224CB">
              <w:t>in</w:t>
            </w:r>
            <w:r w:rsidR="001A1F90">
              <w:t xml:space="preserve"> </w:t>
            </w:r>
            <w:r w:rsidRPr="00F224CB">
              <w:t>a</w:t>
            </w:r>
            <w:r w:rsidR="001A1F90">
              <w:t xml:space="preserve"> </w:t>
            </w:r>
            <w:r w:rsidRPr="00F224CB">
              <w:t>narrative</w:t>
            </w:r>
            <w:r w:rsidR="001A1F90">
              <w:t xml:space="preserve"> </w:t>
            </w:r>
            <w:r w:rsidRPr="00F224CB">
              <w:t>format.</w:t>
            </w:r>
          </w:p>
          <w:p w14:paraId="372A6EEC" w14:textId="3492BAD2" w:rsidR="004946F1" w:rsidRPr="00F224CB" w:rsidRDefault="004946F1" w:rsidP="00BD612C">
            <w:pPr>
              <w:pStyle w:val="DHHSbullet1"/>
            </w:pPr>
            <w:r w:rsidRPr="00F224CB">
              <w:t>Use</w:t>
            </w:r>
            <w:r w:rsidR="001A1F90">
              <w:t xml:space="preserve"> </w:t>
            </w:r>
            <w:r w:rsidRPr="00F224CB">
              <w:t>of</w:t>
            </w:r>
            <w:r w:rsidR="001A1F90">
              <w:t xml:space="preserve"> </w:t>
            </w:r>
            <w:r w:rsidRPr="00F224CB">
              <w:t>oral</w:t>
            </w:r>
            <w:r w:rsidR="001A1F90">
              <w:t xml:space="preserve"> </w:t>
            </w:r>
            <w:r w:rsidRPr="00F224CB">
              <w:t>checklist</w:t>
            </w:r>
            <w:r w:rsidR="001A1F90">
              <w:t xml:space="preserve"> </w:t>
            </w:r>
            <w:r w:rsidRPr="00F224CB">
              <w:t>and</w:t>
            </w:r>
            <w:r w:rsidR="001A1F90">
              <w:t xml:space="preserve"> </w:t>
            </w:r>
            <w:r w:rsidRPr="00F224CB">
              <w:t>score</w:t>
            </w:r>
            <w:r w:rsidR="001A1F90">
              <w:t xml:space="preserve"> </w:t>
            </w:r>
            <w:r w:rsidRPr="00F224CB">
              <w:t>sheet</w:t>
            </w:r>
            <w:r w:rsidR="001A1F90">
              <w:t xml:space="preserve"> </w:t>
            </w:r>
            <w:r w:rsidRPr="00F224CB">
              <w:t>(see</w:t>
            </w:r>
            <w:r w:rsidR="001A1F90">
              <w:t xml:space="preserve"> </w:t>
            </w:r>
            <w:r w:rsidRPr="00F224CB">
              <w:t>below</w:t>
            </w:r>
            <w:r w:rsidR="001A1F90">
              <w:t xml:space="preserve"> </w:t>
            </w:r>
            <w:r w:rsidRPr="00F224CB">
              <w:t>for</w:t>
            </w:r>
            <w:r w:rsidR="001A1F90">
              <w:t xml:space="preserve"> </w:t>
            </w:r>
            <w:r w:rsidR="003847E1">
              <w:t xml:space="preserve">an </w:t>
            </w:r>
            <w:r w:rsidRPr="00F224CB">
              <w:t>example).</w:t>
            </w:r>
          </w:p>
          <w:p w14:paraId="71EE25C7" w14:textId="23C35E78" w:rsidR="004946F1" w:rsidRPr="00F224CB" w:rsidRDefault="004946F1" w:rsidP="00BD612C">
            <w:pPr>
              <w:pStyle w:val="DHHSbullet1"/>
            </w:pPr>
            <w:r w:rsidRPr="00F224CB">
              <w:t>Consent</w:t>
            </w:r>
            <w:r w:rsidR="001A1F90">
              <w:t xml:space="preserve"> </w:t>
            </w:r>
            <w:r w:rsidRPr="00F224CB">
              <w:t>must</w:t>
            </w:r>
            <w:r w:rsidR="001A1F90">
              <w:t xml:space="preserve"> </w:t>
            </w:r>
            <w:r w:rsidRPr="00F224CB">
              <w:t>be</w:t>
            </w:r>
            <w:r w:rsidR="001A1F90">
              <w:t xml:space="preserve"> </w:t>
            </w:r>
            <w:r w:rsidRPr="00F224CB">
              <w:t>reaffirmed</w:t>
            </w:r>
            <w:r w:rsidR="001A1F90">
              <w:t xml:space="preserve"> </w:t>
            </w:r>
            <w:r w:rsidRPr="00F224CB">
              <w:t>at</w:t>
            </w:r>
            <w:r w:rsidR="001A1F90">
              <w:t xml:space="preserve"> </w:t>
            </w:r>
            <w:r w:rsidRPr="00F224CB">
              <w:t>every</w:t>
            </w:r>
            <w:r w:rsidR="001A1F90">
              <w:t xml:space="preserve"> </w:t>
            </w:r>
            <w:r w:rsidRPr="00F224CB">
              <w:t>review</w:t>
            </w:r>
            <w:r w:rsidR="001A1F90">
              <w:t xml:space="preserve"> </w:t>
            </w:r>
            <w:r w:rsidRPr="00F224CB">
              <w:t>meeting.</w:t>
            </w:r>
          </w:p>
        </w:tc>
      </w:tr>
    </w:tbl>
    <w:p w14:paraId="409D2220" w14:textId="623FAACA" w:rsidR="004946F1" w:rsidRDefault="004946F1" w:rsidP="009B0E14">
      <w:pPr>
        <w:pStyle w:val="Heading2"/>
      </w:pPr>
      <w:bookmarkStart w:id="16" w:name="_Toc20225604"/>
      <w:r>
        <w:t>Recommendations</w:t>
      </w:r>
      <w:r w:rsidR="001A1F90">
        <w:t xml:space="preserve"> </w:t>
      </w:r>
      <w:r>
        <w:t>arising</w:t>
      </w:r>
      <w:r w:rsidR="001A1F90">
        <w:t xml:space="preserve"> </w:t>
      </w:r>
      <w:r>
        <w:t>regarding</w:t>
      </w:r>
      <w:r w:rsidR="001A1F90">
        <w:t xml:space="preserve"> </w:t>
      </w:r>
      <w:r>
        <w:t>consenting</w:t>
      </w:r>
      <w:r w:rsidR="001A1F90">
        <w:t xml:space="preserve"> </w:t>
      </w:r>
      <w:r>
        <w:t>procedure</w:t>
      </w:r>
      <w:bookmarkEnd w:id="16"/>
    </w:p>
    <w:p w14:paraId="6732FE1D" w14:textId="0BB8B4DC" w:rsidR="004946F1" w:rsidRDefault="004946F1" w:rsidP="00BD612C">
      <w:pPr>
        <w:pStyle w:val="DHHSbody"/>
      </w:pPr>
      <w:r>
        <w:t>An</w:t>
      </w:r>
      <w:r w:rsidR="001A1F90">
        <w:t xml:space="preserve"> </w:t>
      </w:r>
      <w:r>
        <w:t>adaption</w:t>
      </w:r>
      <w:r w:rsidR="001A1F90">
        <w:t xml:space="preserve"> </w:t>
      </w:r>
      <w:r>
        <w:t>of</w:t>
      </w:r>
      <w:r w:rsidR="001A1F90">
        <w:t xml:space="preserve"> </w:t>
      </w:r>
      <w:r>
        <w:t>the</w:t>
      </w:r>
      <w:r w:rsidR="001A1F90">
        <w:t xml:space="preserve"> </w:t>
      </w:r>
      <w:r w:rsidR="00F84C1A">
        <w:t>o</w:t>
      </w:r>
      <w:r>
        <w:t>ral</w:t>
      </w:r>
      <w:r w:rsidR="001A1F90">
        <w:t xml:space="preserve"> </w:t>
      </w:r>
      <w:r w:rsidR="00F84C1A">
        <w:t>c</w:t>
      </w:r>
      <w:r>
        <w:t>hecklist</w:t>
      </w:r>
      <w:r w:rsidR="001A1F90">
        <w:t xml:space="preserve"> </w:t>
      </w:r>
      <w:r>
        <w:t>and</w:t>
      </w:r>
      <w:r w:rsidR="001A1F90">
        <w:t xml:space="preserve"> </w:t>
      </w:r>
      <w:r w:rsidR="00F84C1A">
        <w:t>s</w:t>
      </w:r>
      <w:r>
        <w:t>core</w:t>
      </w:r>
      <w:r w:rsidR="001A1F90">
        <w:t xml:space="preserve"> </w:t>
      </w:r>
      <w:r w:rsidR="00F84C1A">
        <w:t>s</w:t>
      </w:r>
      <w:r>
        <w:t>heet</w:t>
      </w:r>
      <w:r w:rsidR="001A1F90">
        <w:t xml:space="preserve"> </w:t>
      </w:r>
      <w:r>
        <w:t>(</w:t>
      </w:r>
      <w:r w:rsidR="003847E1">
        <w:t xml:space="preserve">see, </w:t>
      </w:r>
      <w:r w:rsidR="00F550F1">
        <w:t>for example</w:t>
      </w:r>
      <w:r>
        <w:t>,</w:t>
      </w:r>
      <w:r w:rsidR="001A1F90">
        <w:t xml:space="preserve"> </w:t>
      </w:r>
      <w:r>
        <w:t>Lambrick</w:t>
      </w:r>
      <w:r w:rsidR="001A1F90">
        <w:t xml:space="preserve"> </w:t>
      </w:r>
      <w:r>
        <w:t>&amp;</w:t>
      </w:r>
      <w:r w:rsidR="001A1F90">
        <w:t xml:space="preserve"> </w:t>
      </w:r>
      <w:r>
        <w:t>Glaser</w:t>
      </w:r>
      <w:r w:rsidR="001A1F90">
        <w:t xml:space="preserve"> </w:t>
      </w:r>
      <w:r>
        <w:t>2004)</w:t>
      </w:r>
      <w:r w:rsidR="001A1F90">
        <w:t xml:space="preserve"> </w:t>
      </w:r>
      <w:r>
        <w:t>should</w:t>
      </w:r>
      <w:r w:rsidR="001A1F90">
        <w:t xml:space="preserve"> </w:t>
      </w:r>
      <w:r>
        <w:t>be</w:t>
      </w:r>
      <w:r w:rsidR="001A1F90">
        <w:t xml:space="preserve"> </w:t>
      </w:r>
      <w:r>
        <w:t>incorporated</w:t>
      </w:r>
      <w:r w:rsidR="001A1F90">
        <w:t xml:space="preserve"> </w:t>
      </w:r>
      <w:r>
        <w:t>in</w:t>
      </w:r>
      <w:r w:rsidR="001A1F90">
        <w:t xml:space="preserve"> </w:t>
      </w:r>
      <w:r>
        <w:t>the</w:t>
      </w:r>
      <w:r w:rsidR="001A1F90">
        <w:t xml:space="preserve"> </w:t>
      </w:r>
      <w:r>
        <w:t>consenting</w:t>
      </w:r>
      <w:r w:rsidR="001A1F90">
        <w:t xml:space="preserve"> </w:t>
      </w:r>
      <w:r>
        <w:t>procedure</w:t>
      </w:r>
      <w:r w:rsidR="001A1F90">
        <w:t xml:space="preserve"> </w:t>
      </w:r>
      <w:r>
        <w:t>(see</w:t>
      </w:r>
      <w:r w:rsidR="001A1F90">
        <w:t xml:space="preserve"> </w:t>
      </w:r>
      <w:r>
        <w:t>box</w:t>
      </w:r>
      <w:r w:rsidR="001A1F90">
        <w:t xml:space="preserve"> </w:t>
      </w:r>
      <w:r>
        <w:t>for</w:t>
      </w:r>
      <w:r w:rsidR="001A1F90">
        <w:t xml:space="preserve"> </w:t>
      </w:r>
      <w:r>
        <w:t>an</w:t>
      </w:r>
      <w:r w:rsidR="001A1F90">
        <w:t xml:space="preserve"> </w:t>
      </w:r>
      <w:r>
        <w:t>example)</w:t>
      </w:r>
      <w:r w:rsidR="001A1F90">
        <w:t xml:space="preserve"> </w:t>
      </w:r>
      <w:r>
        <w:t>and</w:t>
      </w:r>
      <w:r w:rsidR="001A1F90">
        <w:t xml:space="preserve"> </w:t>
      </w:r>
      <w:r>
        <w:t>be</w:t>
      </w:r>
      <w:r w:rsidR="001A1F90">
        <w:t xml:space="preserve"> </w:t>
      </w:r>
      <w:r>
        <w:t>performed</w:t>
      </w:r>
      <w:r w:rsidR="001A1F90">
        <w:t xml:space="preserve"> </w:t>
      </w:r>
      <w:r>
        <w:t>by</w:t>
      </w:r>
      <w:r w:rsidR="001A1F90">
        <w:t xml:space="preserve"> </w:t>
      </w:r>
      <w:r>
        <w:t>prescribers.</w:t>
      </w:r>
      <w:r w:rsidR="001A1F90">
        <w:t xml:space="preserve"> </w:t>
      </w:r>
      <w:r>
        <w:t>Consistent</w:t>
      </w:r>
      <w:r w:rsidR="001A1F90">
        <w:t xml:space="preserve"> </w:t>
      </w:r>
      <w:r>
        <w:t>with</w:t>
      </w:r>
      <w:r w:rsidR="001A1F90">
        <w:t xml:space="preserve"> </w:t>
      </w:r>
      <w:r>
        <w:t>its</w:t>
      </w:r>
      <w:r w:rsidR="001A1F90">
        <w:t xml:space="preserve"> </w:t>
      </w:r>
      <w:r>
        <w:t>original</w:t>
      </w:r>
      <w:r w:rsidR="001A1F90">
        <w:t xml:space="preserve"> </w:t>
      </w:r>
      <w:r>
        <w:t>application,</w:t>
      </w:r>
      <w:r w:rsidR="001A1F90">
        <w:t xml:space="preserve"> </w:t>
      </w:r>
      <w:r>
        <w:t>if</w:t>
      </w:r>
      <w:r w:rsidR="001A1F90">
        <w:t xml:space="preserve"> </w:t>
      </w:r>
      <w:r>
        <w:t>any</w:t>
      </w:r>
      <w:r w:rsidR="001A1F90">
        <w:t xml:space="preserve"> </w:t>
      </w:r>
      <w:r>
        <w:t>of</w:t>
      </w:r>
      <w:r w:rsidR="001A1F90">
        <w:t xml:space="preserve"> </w:t>
      </w:r>
      <w:r>
        <w:t>the</w:t>
      </w:r>
      <w:r w:rsidR="001A1F90">
        <w:t xml:space="preserve"> </w:t>
      </w:r>
      <w:r>
        <w:t>responses</w:t>
      </w:r>
      <w:r w:rsidR="001A1F90">
        <w:t xml:space="preserve"> </w:t>
      </w:r>
      <w:r>
        <w:t>to</w:t>
      </w:r>
      <w:r w:rsidR="001A1F90">
        <w:t xml:space="preserve"> </w:t>
      </w:r>
      <w:r>
        <w:t>the</w:t>
      </w:r>
      <w:r w:rsidR="001A1F90">
        <w:t xml:space="preserve"> </w:t>
      </w:r>
      <w:r>
        <w:t>consent</w:t>
      </w:r>
      <w:r w:rsidR="001A1F90">
        <w:t xml:space="preserve"> </w:t>
      </w:r>
      <w:r>
        <w:t>probe</w:t>
      </w:r>
      <w:r w:rsidR="001A1F90">
        <w:t xml:space="preserve"> </w:t>
      </w:r>
      <w:r>
        <w:t>questions</w:t>
      </w:r>
      <w:r w:rsidR="001A1F90">
        <w:t xml:space="preserve"> </w:t>
      </w:r>
      <w:r>
        <w:t>are</w:t>
      </w:r>
      <w:r w:rsidR="001A1F90">
        <w:t xml:space="preserve"> </w:t>
      </w:r>
      <w:r>
        <w:t>judged</w:t>
      </w:r>
      <w:r w:rsidR="001A1F90">
        <w:t xml:space="preserve"> </w:t>
      </w:r>
      <w:r>
        <w:t>to</w:t>
      </w:r>
      <w:r w:rsidR="001A1F90">
        <w:t xml:space="preserve"> </w:t>
      </w:r>
      <w:r>
        <w:t>be</w:t>
      </w:r>
      <w:r w:rsidR="001A1F90">
        <w:t xml:space="preserve"> </w:t>
      </w:r>
      <w:r>
        <w:t>incorrect</w:t>
      </w:r>
      <w:r w:rsidR="001A1F90">
        <w:t xml:space="preserve"> </w:t>
      </w:r>
      <w:r>
        <w:t>then</w:t>
      </w:r>
      <w:r w:rsidR="001A1F90">
        <w:t xml:space="preserve"> </w:t>
      </w:r>
      <w:r>
        <w:t>the</w:t>
      </w:r>
      <w:r w:rsidR="001A1F90">
        <w:t xml:space="preserve"> </w:t>
      </w:r>
      <w:r>
        <w:t>person</w:t>
      </w:r>
      <w:r w:rsidR="001A1F90">
        <w:t xml:space="preserve"> </w:t>
      </w:r>
      <w:r>
        <w:t>cannot</w:t>
      </w:r>
      <w:r w:rsidR="001A1F90">
        <w:t xml:space="preserve"> </w:t>
      </w:r>
      <w:r>
        <w:t>be</w:t>
      </w:r>
      <w:r w:rsidR="001A1F90">
        <w:t xml:space="preserve"> </w:t>
      </w:r>
      <w:r>
        <w:t>said</w:t>
      </w:r>
      <w:r w:rsidR="001A1F90">
        <w:t xml:space="preserve"> </w:t>
      </w:r>
      <w:r>
        <w:t>to</w:t>
      </w:r>
      <w:r w:rsidR="001A1F90">
        <w:t xml:space="preserve"> </w:t>
      </w:r>
      <w:r>
        <w:t>be</w:t>
      </w:r>
      <w:r w:rsidR="001A1F90">
        <w:t xml:space="preserve"> </w:t>
      </w:r>
      <w:r>
        <w:t>providing</w:t>
      </w:r>
      <w:r w:rsidR="001A1F90">
        <w:t xml:space="preserve"> </w:t>
      </w:r>
      <w:r>
        <w:t>informed</w:t>
      </w:r>
      <w:r w:rsidR="001A1F90">
        <w:t xml:space="preserve"> </w:t>
      </w:r>
      <w:r>
        <w:t>consent.</w:t>
      </w:r>
    </w:p>
    <w:p w14:paraId="3D865C59" w14:textId="3172E451" w:rsidR="00370496" w:rsidRPr="00370496" w:rsidRDefault="004946F1" w:rsidP="00370496">
      <w:pPr>
        <w:pStyle w:val="DHHSbody"/>
      </w:pPr>
      <w:r>
        <w:t>It</w:t>
      </w:r>
      <w:r w:rsidR="001A1F90">
        <w:t xml:space="preserve"> </w:t>
      </w:r>
      <w:r>
        <w:t>is</w:t>
      </w:r>
      <w:r w:rsidR="001A1F90">
        <w:t xml:space="preserve"> </w:t>
      </w:r>
      <w:r>
        <w:t>recommended</w:t>
      </w:r>
      <w:r w:rsidR="001A1F90">
        <w:t xml:space="preserve"> </w:t>
      </w:r>
      <w:r>
        <w:t>that</w:t>
      </w:r>
      <w:r w:rsidR="001A1F90">
        <w:t xml:space="preserve"> </w:t>
      </w:r>
      <w:r>
        <w:t>this</w:t>
      </w:r>
      <w:r w:rsidR="001A1F90">
        <w:t xml:space="preserve"> </w:t>
      </w:r>
      <w:r>
        <w:t>consent</w:t>
      </w:r>
      <w:r w:rsidR="001A1F90">
        <w:t xml:space="preserve"> </w:t>
      </w:r>
      <w:r>
        <w:t>procedure</w:t>
      </w:r>
      <w:r w:rsidR="001A1F90">
        <w:t xml:space="preserve"> </w:t>
      </w:r>
      <w:r>
        <w:t>is</w:t>
      </w:r>
      <w:r w:rsidR="001A1F90">
        <w:t xml:space="preserve"> </w:t>
      </w:r>
      <w:r>
        <w:t>repeated</w:t>
      </w:r>
      <w:r w:rsidR="001A1F90">
        <w:t xml:space="preserve"> </w:t>
      </w:r>
      <w:r>
        <w:t>and</w:t>
      </w:r>
      <w:r w:rsidR="001A1F90">
        <w:t xml:space="preserve"> </w:t>
      </w:r>
      <w:r>
        <w:t>reaffirmed</w:t>
      </w:r>
      <w:r w:rsidR="001A1F90">
        <w:t xml:space="preserve"> </w:t>
      </w:r>
      <w:r>
        <w:t>at</w:t>
      </w:r>
      <w:r w:rsidR="001A1F90">
        <w:t xml:space="preserve"> </w:t>
      </w:r>
      <w:r>
        <w:t>every</w:t>
      </w:r>
      <w:r w:rsidR="001A1F90">
        <w:t xml:space="preserve"> </w:t>
      </w:r>
      <w:r>
        <w:t>review.</w:t>
      </w:r>
      <w:r w:rsidR="001A1F90">
        <w:t xml:space="preserve"> </w:t>
      </w:r>
      <w:r>
        <w:t>As</w:t>
      </w:r>
      <w:r w:rsidR="001A1F90">
        <w:t xml:space="preserve"> </w:t>
      </w:r>
      <w:r>
        <w:t>noted</w:t>
      </w:r>
      <w:r w:rsidR="001A1F90">
        <w:t xml:space="preserve"> </w:t>
      </w:r>
      <w:r>
        <w:t>by</w:t>
      </w:r>
      <w:r w:rsidR="001A1F90">
        <w:t xml:space="preserve"> </w:t>
      </w:r>
      <w:r>
        <w:t>some</w:t>
      </w:r>
      <w:r w:rsidR="001A1F90">
        <w:t xml:space="preserve"> </w:t>
      </w:r>
      <w:r>
        <w:t>respondents</w:t>
      </w:r>
      <w:r w:rsidR="001A1F90">
        <w:t xml:space="preserve"> </w:t>
      </w:r>
      <w:r>
        <w:t>here,</w:t>
      </w:r>
      <w:r w:rsidR="001A1F90">
        <w:t xml:space="preserve"> </w:t>
      </w:r>
      <w:r>
        <w:t>the</w:t>
      </w:r>
      <w:r w:rsidR="001A1F90">
        <w:t xml:space="preserve"> </w:t>
      </w:r>
      <w:r>
        <w:t>process</w:t>
      </w:r>
      <w:r w:rsidR="001A1F90">
        <w:t xml:space="preserve"> </w:t>
      </w:r>
      <w:r>
        <w:t>of</w:t>
      </w:r>
      <w:r w:rsidR="001A1F90">
        <w:t xml:space="preserve"> </w:t>
      </w:r>
      <w:r>
        <w:t>consent</w:t>
      </w:r>
      <w:r w:rsidR="001A1F90">
        <w:t xml:space="preserve"> </w:t>
      </w:r>
      <w:r>
        <w:t>should</w:t>
      </w:r>
      <w:r w:rsidR="001A1F90">
        <w:t xml:space="preserve"> </w:t>
      </w:r>
      <w:r>
        <w:t>be</w:t>
      </w:r>
      <w:r w:rsidR="001A1F90">
        <w:t xml:space="preserve"> </w:t>
      </w:r>
      <w:r>
        <w:t>seen</w:t>
      </w:r>
      <w:r w:rsidR="001A1F90">
        <w:t xml:space="preserve"> </w:t>
      </w:r>
      <w:r>
        <w:t>as</w:t>
      </w:r>
      <w:r w:rsidR="001A1F90">
        <w:t xml:space="preserve"> </w:t>
      </w:r>
      <w:r>
        <w:t>a</w:t>
      </w:r>
      <w:r w:rsidR="001A1F90">
        <w:t xml:space="preserve"> </w:t>
      </w:r>
      <w:r>
        <w:t>continuing</w:t>
      </w:r>
      <w:r w:rsidR="001A1F90">
        <w:t xml:space="preserve"> </w:t>
      </w:r>
      <w:r>
        <w:t>discussion</w:t>
      </w:r>
      <w:r w:rsidR="001A1F90">
        <w:t xml:space="preserve"> </w:t>
      </w:r>
      <w:r>
        <w:t>between</w:t>
      </w:r>
      <w:r w:rsidR="001A1F90">
        <w:t xml:space="preserve"> </w:t>
      </w:r>
      <w:r>
        <w:t>prescriber</w:t>
      </w:r>
      <w:r w:rsidR="001A1F90">
        <w:t xml:space="preserve"> </w:t>
      </w:r>
      <w:r>
        <w:t>and</w:t>
      </w:r>
      <w:r w:rsidR="001A1F90">
        <w:t xml:space="preserve"> </w:t>
      </w:r>
      <w:r>
        <w:t>patient</w:t>
      </w:r>
      <w:r w:rsidR="001A1F90">
        <w:t xml:space="preserve"> </w:t>
      </w:r>
      <w:r>
        <w:t>until</w:t>
      </w:r>
      <w:r w:rsidR="001A1F90">
        <w:t xml:space="preserve"> </w:t>
      </w:r>
      <w:r>
        <w:t>a</w:t>
      </w:r>
      <w:r w:rsidR="001A1F90">
        <w:t xml:space="preserve"> </w:t>
      </w:r>
      <w:r>
        <w:t>firm</w:t>
      </w:r>
      <w:r w:rsidR="001A1F90">
        <w:t xml:space="preserve"> </w:t>
      </w:r>
      <w:r>
        <w:t>decision</w:t>
      </w:r>
      <w:r w:rsidR="001A1F90">
        <w:t xml:space="preserve"> </w:t>
      </w:r>
      <w:r>
        <w:t>has</w:t>
      </w:r>
      <w:r w:rsidR="001A1F90">
        <w:t xml:space="preserve"> </w:t>
      </w:r>
      <w:r>
        <w:t>been</w:t>
      </w:r>
      <w:r w:rsidR="001A1F90">
        <w:t xml:space="preserve"> </w:t>
      </w:r>
      <w:r>
        <w:t>made</w:t>
      </w:r>
      <w:r w:rsidR="001A1F90">
        <w:t xml:space="preserve"> </w:t>
      </w:r>
      <w:r>
        <w:t>about</w:t>
      </w:r>
      <w:r w:rsidR="001A1F90">
        <w:t xml:space="preserve"> </w:t>
      </w:r>
      <w:r>
        <w:t>the</w:t>
      </w:r>
      <w:r w:rsidR="001A1F90">
        <w:t xml:space="preserve"> </w:t>
      </w:r>
      <w:r>
        <w:t>person’s</w:t>
      </w:r>
      <w:r w:rsidR="001A1F90">
        <w:t xml:space="preserve"> </w:t>
      </w:r>
      <w:r>
        <w:t>understanding</w:t>
      </w:r>
      <w:r w:rsidR="001A1F90">
        <w:t xml:space="preserve"> </w:t>
      </w:r>
      <w:r>
        <w:t>of</w:t>
      </w:r>
      <w:r w:rsidR="001A1F90">
        <w:t xml:space="preserve"> </w:t>
      </w:r>
      <w:r>
        <w:t>the</w:t>
      </w:r>
      <w:r w:rsidR="001A1F90">
        <w:t xml:space="preserve"> </w:t>
      </w:r>
      <w:r>
        <w:t>potential</w:t>
      </w:r>
      <w:r w:rsidR="001A1F90">
        <w:t xml:space="preserve"> </w:t>
      </w:r>
      <w:r>
        <w:t>risks</w:t>
      </w:r>
      <w:r w:rsidR="001A1F90">
        <w:t xml:space="preserve"> </w:t>
      </w:r>
      <w:r>
        <w:t>and</w:t>
      </w:r>
      <w:r w:rsidR="001A1F90">
        <w:t xml:space="preserve"> </w:t>
      </w:r>
      <w:r>
        <w:t>benefits</w:t>
      </w:r>
      <w:r w:rsidR="001A1F90">
        <w:t xml:space="preserve"> </w:t>
      </w:r>
      <w:r>
        <w:t>of</w:t>
      </w:r>
      <w:r w:rsidR="001A1F90">
        <w:t xml:space="preserve"> </w:t>
      </w:r>
      <w:r>
        <w:t>taking</w:t>
      </w:r>
      <w:r w:rsidR="001A1F90">
        <w:t xml:space="preserve"> </w:t>
      </w:r>
      <w:r>
        <w:t>these</w:t>
      </w:r>
      <w:r w:rsidR="001A1F90">
        <w:t xml:space="preserve"> </w:t>
      </w:r>
      <w:r>
        <w:t>medications.</w:t>
      </w:r>
    </w:p>
    <w:p w14:paraId="2F4F8A47" w14:textId="1C672F18" w:rsidR="004946F1" w:rsidRDefault="004946F1" w:rsidP="009B0E14">
      <w:pPr>
        <w:pStyle w:val="Heading2"/>
      </w:pPr>
      <w:bookmarkStart w:id="17" w:name="_Toc20225605"/>
      <w:r>
        <w:t>Outline</w:t>
      </w:r>
      <w:r w:rsidR="001A1F90">
        <w:t xml:space="preserve"> </w:t>
      </w:r>
      <w:r>
        <w:t>for</w:t>
      </w:r>
      <w:r w:rsidR="001A1F90">
        <w:t xml:space="preserve"> </w:t>
      </w:r>
      <w:r>
        <w:t>proposed</w:t>
      </w:r>
      <w:r w:rsidR="001A1F90">
        <w:t xml:space="preserve"> </w:t>
      </w:r>
      <w:r>
        <w:t>oral</w:t>
      </w:r>
      <w:r w:rsidR="001A1F90">
        <w:t xml:space="preserve"> </w:t>
      </w:r>
      <w:r>
        <w:t>checklist</w:t>
      </w:r>
      <w:r w:rsidR="001A1F90">
        <w:t xml:space="preserve"> </w:t>
      </w:r>
      <w:r>
        <w:t>and</w:t>
      </w:r>
      <w:r w:rsidR="001A1F90">
        <w:t xml:space="preserve"> </w:t>
      </w:r>
      <w:r>
        <w:t>associated</w:t>
      </w:r>
      <w:r w:rsidR="001A1F90">
        <w:t xml:space="preserve"> </w:t>
      </w:r>
      <w:r>
        <w:t>score</w:t>
      </w:r>
      <w:r w:rsidR="001A1F90">
        <w:t xml:space="preserve"> </w:t>
      </w:r>
      <w:r>
        <w:t>sheet</w:t>
      </w:r>
      <w:bookmarkEnd w:id="17"/>
    </w:p>
    <w:tbl>
      <w:tblPr>
        <w:tblStyle w:val="TableGrid"/>
        <w:tblW w:w="9299" w:type="dxa"/>
        <w:tblLayout w:type="fixed"/>
        <w:tblCellMar>
          <w:left w:w="57" w:type="dxa"/>
          <w:right w:w="57" w:type="dxa"/>
        </w:tblCellMar>
        <w:tblLook w:val="06A0" w:firstRow="1" w:lastRow="0" w:firstColumn="1" w:lastColumn="0" w:noHBand="1" w:noVBand="1"/>
      </w:tblPr>
      <w:tblGrid>
        <w:gridCol w:w="2785"/>
        <w:gridCol w:w="1852"/>
        <w:gridCol w:w="1962"/>
        <w:gridCol w:w="1350"/>
        <w:gridCol w:w="1350"/>
      </w:tblGrid>
      <w:tr w:rsidR="004946F1" w14:paraId="5F80ADE7" w14:textId="77777777" w:rsidTr="00315678">
        <w:trPr>
          <w:cnfStyle w:val="100000000000" w:firstRow="1" w:lastRow="0" w:firstColumn="0" w:lastColumn="0" w:oddVBand="0" w:evenVBand="0" w:oddHBand="0" w:evenHBand="0" w:firstRowFirstColumn="0" w:firstRowLastColumn="0" w:lastRowFirstColumn="0" w:lastRowLastColumn="0"/>
          <w:cantSplit/>
          <w:tblHeader/>
        </w:trPr>
        <w:tc>
          <w:tcPr>
            <w:tcW w:w="2785" w:type="dxa"/>
          </w:tcPr>
          <w:p w14:paraId="19788D47" w14:textId="10693437" w:rsidR="004946F1" w:rsidRDefault="004946F1" w:rsidP="00BD612C">
            <w:pPr>
              <w:pStyle w:val="DHHStablecolhead"/>
            </w:pPr>
            <w:r>
              <w:t>Sample</w:t>
            </w:r>
            <w:r w:rsidR="001A1F90">
              <w:t xml:space="preserve"> </w:t>
            </w:r>
            <w:r>
              <w:t>questions</w:t>
            </w:r>
          </w:p>
        </w:tc>
        <w:tc>
          <w:tcPr>
            <w:tcW w:w="1852" w:type="dxa"/>
          </w:tcPr>
          <w:p w14:paraId="40D09B35" w14:textId="0B1D3B02" w:rsidR="004946F1" w:rsidRDefault="004946F1" w:rsidP="00BD612C">
            <w:pPr>
              <w:pStyle w:val="DHHStablecolhead"/>
            </w:pPr>
            <w:r>
              <w:t>Participant’s</w:t>
            </w:r>
            <w:r w:rsidR="001A1F90">
              <w:t xml:space="preserve"> </w:t>
            </w:r>
            <w:r>
              <w:t>response</w:t>
            </w:r>
            <w:r w:rsidR="001A1F90">
              <w:t xml:space="preserve"> </w:t>
            </w:r>
            <w:r>
              <w:t>(please</w:t>
            </w:r>
            <w:r w:rsidR="001A1F90">
              <w:t xml:space="preserve"> </w:t>
            </w:r>
            <w:r>
              <w:t>record</w:t>
            </w:r>
            <w:r w:rsidR="001A1F90">
              <w:t xml:space="preserve"> </w:t>
            </w:r>
            <w:r>
              <w:t>verbatim)</w:t>
            </w:r>
          </w:p>
        </w:tc>
        <w:tc>
          <w:tcPr>
            <w:tcW w:w="1962" w:type="dxa"/>
          </w:tcPr>
          <w:p w14:paraId="1DDF25DC" w14:textId="2D7C4192" w:rsidR="004946F1" w:rsidRDefault="004946F1" w:rsidP="00BD612C">
            <w:pPr>
              <w:pStyle w:val="DHHStablecolhead"/>
            </w:pPr>
            <w:r>
              <w:t>Example</w:t>
            </w:r>
            <w:r w:rsidR="001A1F90">
              <w:t xml:space="preserve"> </w:t>
            </w:r>
            <w:r>
              <w:t>of</w:t>
            </w:r>
            <w:r w:rsidR="001A1F90">
              <w:t xml:space="preserve"> </w:t>
            </w:r>
            <w:r>
              <w:t>a</w:t>
            </w:r>
            <w:r w:rsidR="001A1F90">
              <w:t xml:space="preserve"> </w:t>
            </w:r>
            <w:r>
              <w:t>correct</w:t>
            </w:r>
            <w:r w:rsidR="001A1F90">
              <w:t xml:space="preserve"> </w:t>
            </w:r>
            <w:r>
              <w:t>answer</w:t>
            </w:r>
            <w:r w:rsidR="001A1F90">
              <w:t xml:space="preserve"> </w:t>
            </w:r>
            <w:r>
              <w:t>(list</w:t>
            </w:r>
            <w:r w:rsidR="001A1F90">
              <w:t xml:space="preserve"> </w:t>
            </w:r>
            <w:r>
              <w:t>here)</w:t>
            </w:r>
          </w:p>
        </w:tc>
        <w:tc>
          <w:tcPr>
            <w:tcW w:w="1350" w:type="dxa"/>
          </w:tcPr>
          <w:p w14:paraId="14BC2817" w14:textId="33136A37" w:rsidR="004946F1" w:rsidRPr="00B87022" w:rsidRDefault="004946F1" w:rsidP="00BD612C">
            <w:pPr>
              <w:pStyle w:val="DHHStablecolhead"/>
              <w:rPr>
                <w:highlight w:val="yellow"/>
              </w:rPr>
            </w:pPr>
            <w:r w:rsidRPr="00513824">
              <w:t>Judgment</w:t>
            </w:r>
            <w:r w:rsidR="001A1F90" w:rsidRPr="00513824">
              <w:t xml:space="preserve"> </w:t>
            </w:r>
            <w:r w:rsidRPr="00513824">
              <w:t>of</w:t>
            </w:r>
            <w:r w:rsidR="001A1F90" w:rsidRPr="00513824">
              <w:t xml:space="preserve"> </w:t>
            </w:r>
            <w:r w:rsidRPr="00513824">
              <w:t>participant’s</w:t>
            </w:r>
            <w:r w:rsidR="001A1F90" w:rsidRPr="00513824">
              <w:t xml:space="preserve"> </w:t>
            </w:r>
            <w:r w:rsidRPr="00513824">
              <w:t>response</w:t>
            </w:r>
            <w:r w:rsidR="001A1F90" w:rsidRPr="00513824">
              <w:t xml:space="preserve"> </w:t>
            </w:r>
            <w:r w:rsidRPr="00513824">
              <w:t>as</w:t>
            </w:r>
            <w:r w:rsidR="001A1F90" w:rsidRPr="00513824">
              <w:t xml:space="preserve"> </w:t>
            </w:r>
            <w:r w:rsidRPr="00513824">
              <w:t>correct</w:t>
            </w:r>
            <w:r w:rsidR="001A1F90" w:rsidRPr="00513824">
              <w:t xml:space="preserve"> </w:t>
            </w:r>
            <w:r w:rsidRPr="00513824">
              <w:br/>
              <w:t>(tick</w:t>
            </w:r>
            <w:r w:rsidR="001A1F90" w:rsidRPr="00513824">
              <w:t xml:space="preserve"> </w:t>
            </w:r>
            <w:r w:rsidRPr="00513824">
              <w:t>box)</w:t>
            </w:r>
          </w:p>
        </w:tc>
        <w:tc>
          <w:tcPr>
            <w:tcW w:w="1350" w:type="dxa"/>
          </w:tcPr>
          <w:p w14:paraId="115AB28E" w14:textId="2D10EE01" w:rsidR="004946F1" w:rsidRDefault="004946F1" w:rsidP="00BD612C">
            <w:pPr>
              <w:pStyle w:val="DHHStablecolhead"/>
            </w:pPr>
            <w:r>
              <w:t>Judgment</w:t>
            </w:r>
            <w:r w:rsidR="001A1F90">
              <w:t xml:space="preserve"> </w:t>
            </w:r>
            <w:r>
              <w:t>of</w:t>
            </w:r>
            <w:r w:rsidR="001A1F90">
              <w:t xml:space="preserve"> </w:t>
            </w:r>
            <w:r>
              <w:t>participant’s</w:t>
            </w:r>
            <w:r w:rsidR="001A1F90">
              <w:t xml:space="preserve"> </w:t>
            </w:r>
            <w:r>
              <w:t>response</w:t>
            </w:r>
            <w:r w:rsidR="001A1F90">
              <w:t xml:space="preserve"> </w:t>
            </w:r>
            <w:r>
              <w:t>as</w:t>
            </w:r>
            <w:r w:rsidR="001A1F90">
              <w:t xml:space="preserve"> </w:t>
            </w:r>
            <w:r>
              <w:t>incorrect</w:t>
            </w:r>
            <w:r>
              <w:br/>
              <w:t>(tick</w:t>
            </w:r>
            <w:r w:rsidR="001A1F90">
              <w:t xml:space="preserve"> </w:t>
            </w:r>
            <w:r>
              <w:t>box)</w:t>
            </w:r>
          </w:p>
        </w:tc>
      </w:tr>
      <w:tr w:rsidR="004946F1" w14:paraId="4260B909" w14:textId="77777777" w:rsidTr="00315678">
        <w:trPr>
          <w:cantSplit/>
        </w:trPr>
        <w:tc>
          <w:tcPr>
            <w:tcW w:w="2785" w:type="dxa"/>
          </w:tcPr>
          <w:p w14:paraId="669C5939" w14:textId="77AB45AA" w:rsidR="004946F1" w:rsidRDefault="004946F1" w:rsidP="00BD612C">
            <w:pPr>
              <w:pStyle w:val="DHHStabletext"/>
            </w:pPr>
            <w:r>
              <w:t>1.</w:t>
            </w:r>
            <w:r w:rsidR="001A1F90">
              <w:t xml:space="preserve"> </w:t>
            </w:r>
            <w:r>
              <w:t>Do</w:t>
            </w:r>
            <w:r w:rsidR="001A1F90">
              <w:t xml:space="preserve"> </w:t>
            </w:r>
            <w:r>
              <w:t>you</w:t>
            </w:r>
            <w:r w:rsidR="001A1F90">
              <w:t xml:space="preserve"> </w:t>
            </w:r>
            <w:r>
              <w:t>acknowledge</w:t>
            </w:r>
            <w:r w:rsidR="001A1F90">
              <w:t xml:space="preserve"> </w:t>
            </w:r>
            <w:r>
              <w:t>that</w:t>
            </w:r>
            <w:r w:rsidR="001A1F90">
              <w:t xml:space="preserve"> </w:t>
            </w:r>
            <w:r>
              <w:t>you</w:t>
            </w:r>
            <w:r w:rsidR="001A1F90">
              <w:t xml:space="preserve"> </w:t>
            </w:r>
            <w:r>
              <w:t>have</w:t>
            </w:r>
            <w:r w:rsidR="001A1F90">
              <w:t xml:space="preserve"> </w:t>
            </w:r>
            <w:r>
              <w:t>problems</w:t>
            </w:r>
            <w:r w:rsidR="001A1F90">
              <w:t xml:space="preserve"> </w:t>
            </w:r>
            <w:r>
              <w:t>with</w:t>
            </w:r>
            <w:r w:rsidR="001A1F90">
              <w:t xml:space="preserve"> </w:t>
            </w:r>
            <w:r>
              <w:t>illegal</w:t>
            </w:r>
            <w:r w:rsidR="001A1F90">
              <w:t xml:space="preserve"> </w:t>
            </w:r>
            <w:r>
              <w:t>sexual</w:t>
            </w:r>
            <w:r w:rsidR="001A1F90">
              <w:t xml:space="preserve"> </w:t>
            </w:r>
            <w:r>
              <w:t>behaviour?</w:t>
            </w:r>
            <w:r w:rsidR="001A1F90">
              <w:t xml:space="preserve"> </w:t>
            </w:r>
            <w:r>
              <w:t>Can</w:t>
            </w:r>
            <w:r w:rsidR="001A1F90">
              <w:t xml:space="preserve"> </w:t>
            </w:r>
            <w:r>
              <w:t>you</w:t>
            </w:r>
            <w:r w:rsidR="001A1F90">
              <w:t xml:space="preserve"> </w:t>
            </w:r>
            <w:r>
              <w:t>give</w:t>
            </w:r>
            <w:r w:rsidR="001A1F90">
              <w:t xml:space="preserve"> </w:t>
            </w:r>
            <w:r>
              <w:t>me</w:t>
            </w:r>
            <w:r w:rsidR="001A1F90">
              <w:t xml:space="preserve"> </w:t>
            </w:r>
            <w:r>
              <w:t>an</w:t>
            </w:r>
            <w:r w:rsidR="001A1F90">
              <w:t xml:space="preserve"> </w:t>
            </w:r>
            <w:r>
              <w:t>example?</w:t>
            </w:r>
          </w:p>
        </w:tc>
        <w:tc>
          <w:tcPr>
            <w:tcW w:w="1852" w:type="dxa"/>
          </w:tcPr>
          <w:p w14:paraId="1717C58A" w14:textId="4D0A8B6D" w:rsidR="00CA3986" w:rsidRPr="00CA3986" w:rsidRDefault="00CA3986" w:rsidP="00CA3986">
            <w:pPr>
              <w:rPr>
                <w:rFonts w:ascii="DaxOT-Regular" w:hAnsi="DaxOT-Regular"/>
                <w:lang w:val="en-US"/>
              </w:rPr>
            </w:pPr>
          </w:p>
        </w:tc>
        <w:tc>
          <w:tcPr>
            <w:tcW w:w="1962" w:type="dxa"/>
          </w:tcPr>
          <w:p w14:paraId="0601ECD8" w14:textId="480FC58A" w:rsidR="004946F1" w:rsidRDefault="00301CA9" w:rsidP="00BD612C">
            <w:pPr>
              <w:pStyle w:val="DHHStabletext"/>
            </w:pPr>
            <w:r>
              <w:t>‘</w:t>
            </w:r>
            <w:r w:rsidR="004946F1">
              <w:t>Yes…</w:t>
            </w:r>
            <w:r>
              <w:t>’</w:t>
            </w:r>
          </w:p>
        </w:tc>
        <w:tc>
          <w:tcPr>
            <w:tcW w:w="1350" w:type="dxa"/>
          </w:tcPr>
          <w:p w14:paraId="12E7C64E" w14:textId="7A54C25F" w:rsidR="004946F1" w:rsidRPr="00B87022" w:rsidRDefault="004946F1" w:rsidP="00B22AC9">
            <w:pPr>
              <w:pStyle w:val="DHHStabletext"/>
              <w:jc w:val="center"/>
              <w:rPr>
                <w:highlight w:val="yellow"/>
              </w:rPr>
            </w:pPr>
          </w:p>
        </w:tc>
        <w:tc>
          <w:tcPr>
            <w:tcW w:w="1350" w:type="dxa"/>
          </w:tcPr>
          <w:p w14:paraId="60AF5BC7" w14:textId="20B1C028" w:rsidR="004946F1" w:rsidRDefault="004946F1" w:rsidP="00B22AC9">
            <w:pPr>
              <w:pStyle w:val="DHHStabletext"/>
              <w:jc w:val="center"/>
            </w:pPr>
          </w:p>
        </w:tc>
      </w:tr>
      <w:tr w:rsidR="00513824" w14:paraId="19B5EA3E" w14:textId="77777777" w:rsidTr="00315678">
        <w:trPr>
          <w:cantSplit/>
        </w:trPr>
        <w:tc>
          <w:tcPr>
            <w:tcW w:w="2785" w:type="dxa"/>
          </w:tcPr>
          <w:p w14:paraId="13A75CA6" w14:textId="480E3F00" w:rsidR="00513824" w:rsidRDefault="00513824" w:rsidP="00513824">
            <w:pPr>
              <w:pStyle w:val="DHHStabletext"/>
            </w:pPr>
            <w:r>
              <w:t xml:space="preserve">2. Do you know what side effects you might have from taking this medication? </w:t>
            </w:r>
          </w:p>
        </w:tc>
        <w:tc>
          <w:tcPr>
            <w:tcW w:w="1852" w:type="dxa"/>
          </w:tcPr>
          <w:p w14:paraId="1699FFA2" w14:textId="1BEAFC6B" w:rsidR="00CA3986" w:rsidRPr="00CA3986" w:rsidRDefault="00CA3986" w:rsidP="00CA3986">
            <w:pPr>
              <w:rPr>
                <w:rFonts w:ascii="DaxOT-Regular" w:hAnsi="DaxOT-Regular"/>
                <w:lang w:val="en-US"/>
              </w:rPr>
            </w:pPr>
          </w:p>
        </w:tc>
        <w:tc>
          <w:tcPr>
            <w:tcW w:w="1962" w:type="dxa"/>
          </w:tcPr>
          <w:p w14:paraId="34EDA888" w14:textId="22964D24" w:rsidR="00513824" w:rsidRDefault="00301CA9" w:rsidP="00513824">
            <w:pPr>
              <w:pStyle w:val="DHHStabletext"/>
            </w:pPr>
            <w:r>
              <w:t>‘</w:t>
            </w:r>
            <w:r w:rsidR="00513824">
              <w:t>It will reduce my sex drive</w:t>
            </w:r>
            <w:r>
              <w:t>’</w:t>
            </w:r>
          </w:p>
          <w:p w14:paraId="2CF0AD97" w14:textId="369B32A8" w:rsidR="00513824" w:rsidRDefault="00301CA9" w:rsidP="00513824">
            <w:pPr>
              <w:pStyle w:val="DHHStabletext"/>
            </w:pPr>
            <w:r>
              <w:t>‘</w:t>
            </w:r>
            <w:r w:rsidR="00513824">
              <w:t>I might gain weight/ experience low mood</w:t>
            </w:r>
            <w:r w:rsidR="00006D2F">
              <w:t xml:space="preserve"> </w:t>
            </w:r>
            <w:r w:rsidR="00513824">
              <w:t>/</w:t>
            </w:r>
            <w:r w:rsidR="00006D2F">
              <w:t xml:space="preserve"> </w:t>
            </w:r>
            <w:r w:rsidR="00513824">
              <w:t>feel sleepy</w:t>
            </w:r>
            <w:r w:rsidR="00006D2F">
              <w:t xml:space="preserve"> </w:t>
            </w:r>
            <w:r w:rsidR="00513824">
              <w:t>/</w:t>
            </w:r>
            <w:r w:rsidR="00006D2F">
              <w:t xml:space="preserve"> </w:t>
            </w:r>
            <w:r w:rsidR="00513824">
              <w:t>experience dizziness, headaches or rashes</w:t>
            </w:r>
            <w:r>
              <w:t>’</w:t>
            </w:r>
            <w:r w:rsidR="00513824">
              <w:t xml:space="preserve"> </w:t>
            </w:r>
          </w:p>
        </w:tc>
        <w:tc>
          <w:tcPr>
            <w:tcW w:w="1350" w:type="dxa"/>
          </w:tcPr>
          <w:p w14:paraId="28403520" w14:textId="61761BA6" w:rsidR="00513824" w:rsidRDefault="00513824" w:rsidP="00B22AC9">
            <w:pPr>
              <w:pStyle w:val="DHHStabletext"/>
              <w:jc w:val="center"/>
            </w:pPr>
          </w:p>
        </w:tc>
        <w:tc>
          <w:tcPr>
            <w:tcW w:w="1350" w:type="dxa"/>
          </w:tcPr>
          <w:p w14:paraId="4242DA1A" w14:textId="5E258BEE" w:rsidR="00513824" w:rsidRDefault="00513824" w:rsidP="00B22AC9">
            <w:pPr>
              <w:pStyle w:val="DHHStabletext"/>
              <w:jc w:val="center"/>
            </w:pPr>
          </w:p>
        </w:tc>
      </w:tr>
      <w:tr w:rsidR="00513824" w14:paraId="5B3DAA0F" w14:textId="77777777" w:rsidTr="00315678">
        <w:trPr>
          <w:cantSplit/>
        </w:trPr>
        <w:tc>
          <w:tcPr>
            <w:tcW w:w="2785" w:type="dxa"/>
          </w:tcPr>
          <w:p w14:paraId="72E81B58" w14:textId="47530B2D" w:rsidR="00513824" w:rsidRDefault="00513824" w:rsidP="00513824">
            <w:pPr>
              <w:pStyle w:val="DHHStabletext"/>
            </w:pPr>
            <w:r>
              <w:t xml:space="preserve">3. Do you understand that blood test monitoring is required in order to adjust the dose properly? </w:t>
            </w:r>
          </w:p>
        </w:tc>
        <w:tc>
          <w:tcPr>
            <w:tcW w:w="1852" w:type="dxa"/>
          </w:tcPr>
          <w:p w14:paraId="4D6E0278" w14:textId="16E20AF6" w:rsidR="00CA3986" w:rsidRPr="00CA3986" w:rsidRDefault="00CA3986" w:rsidP="00CA3986">
            <w:pPr>
              <w:rPr>
                <w:rFonts w:ascii="DaxOT-Regular" w:hAnsi="DaxOT-Regular"/>
                <w:lang w:val="en-US"/>
              </w:rPr>
            </w:pPr>
          </w:p>
        </w:tc>
        <w:tc>
          <w:tcPr>
            <w:tcW w:w="1962" w:type="dxa"/>
          </w:tcPr>
          <w:p w14:paraId="1061870B" w14:textId="5F646425" w:rsidR="00513824" w:rsidRDefault="00301CA9" w:rsidP="00513824">
            <w:pPr>
              <w:pStyle w:val="DHHStabletext"/>
            </w:pPr>
            <w:r>
              <w:t>‘</w:t>
            </w:r>
            <w:r w:rsidR="00513824">
              <w:t>Yes</w:t>
            </w:r>
            <w:r>
              <w:t>’</w:t>
            </w:r>
          </w:p>
        </w:tc>
        <w:tc>
          <w:tcPr>
            <w:tcW w:w="1350" w:type="dxa"/>
          </w:tcPr>
          <w:p w14:paraId="0886757C" w14:textId="0B0FA89E" w:rsidR="00513824" w:rsidRDefault="00513824" w:rsidP="00B22AC9">
            <w:pPr>
              <w:pStyle w:val="DHHStabletext"/>
              <w:jc w:val="center"/>
            </w:pPr>
          </w:p>
        </w:tc>
        <w:tc>
          <w:tcPr>
            <w:tcW w:w="1350" w:type="dxa"/>
          </w:tcPr>
          <w:p w14:paraId="2955CA46" w14:textId="72C46BCB" w:rsidR="00513824" w:rsidRDefault="00513824" w:rsidP="00B22AC9">
            <w:pPr>
              <w:pStyle w:val="DHHStabletext"/>
              <w:jc w:val="center"/>
            </w:pPr>
          </w:p>
        </w:tc>
      </w:tr>
      <w:tr w:rsidR="00513824" w14:paraId="5EC6D0B4" w14:textId="77777777" w:rsidTr="00315678">
        <w:trPr>
          <w:cantSplit/>
        </w:trPr>
        <w:tc>
          <w:tcPr>
            <w:tcW w:w="2785" w:type="dxa"/>
          </w:tcPr>
          <w:p w14:paraId="67B1D7FD" w14:textId="6A3FCBB8" w:rsidR="00513824" w:rsidRDefault="00513824" w:rsidP="00513824">
            <w:pPr>
              <w:pStyle w:val="DHHStabletext"/>
            </w:pPr>
            <w:r>
              <w:t xml:space="preserve">4. Do you understand that this drug is not a contraceptive in males? </w:t>
            </w:r>
          </w:p>
        </w:tc>
        <w:tc>
          <w:tcPr>
            <w:tcW w:w="1852" w:type="dxa"/>
          </w:tcPr>
          <w:p w14:paraId="2CB7FD3F" w14:textId="6F429737" w:rsidR="00CA3986" w:rsidRPr="00CA3986" w:rsidRDefault="00CA3986" w:rsidP="00CA3986">
            <w:pPr>
              <w:rPr>
                <w:rFonts w:ascii="DaxOT-Regular" w:hAnsi="DaxOT-Regular"/>
                <w:lang w:val="en-US"/>
              </w:rPr>
            </w:pPr>
          </w:p>
        </w:tc>
        <w:tc>
          <w:tcPr>
            <w:tcW w:w="1962" w:type="dxa"/>
          </w:tcPr>
          <w:p w14:paraId="297B28CA" w14:textId="50951556" w:rsidR="00513824" w:rsidRDefault="00301CA9" w:rsidP="00513824">
            <w:pPr>
              <w:pStyle w:val="DHHStabletext"/>
            </w:pPr>
            <w:r>
              <w:t>‘</w:t>
            </w:r>
            <w:r w:rsidR="00513824">
              <w:t>Yes</w:t>
            </w:r>
            <w:r>
              <w:t>’</w:t>
            </w:r>
          </w:p>
        </w:tc>
        <w:tc>
          <w:tcPr>
            <w:tcW w:w="1350" w:type="dxa"/>
          </w:tcPr>
          <w:p w14:paraId="74D88B1F" w14:textId="77355FD3" w:rsidR="00513824" w:rsidRDefault="00513824" w:rsidP="00B22AC9">
            <w:pPr>
              <w:pStyle w:val="DHHStabletext"/>
              <w:jc w:val="center"/>
            </w:pPr>
          </w:p>
        </w:tc>
        <w:tc>
          <w:tcPr>
            <w:tcW w:w="1350" w:type="dxa"/>
          </w:tcPr>
          <w:p w14:paraId="325E17E1" w14:textId="74684600" w:rsidR="00513824" w:rsidRDefault="00513824" w:rsidP="00B22AC9">
            <w:pPr>
              <w:pStyle w:val="DHHStabletext"/>
              <w:jc w:val="center"/>
            </w:pPr>
          </w:p>
        </w:tc>
      </w:tr>
      <w:tr w:rsidR="00513824" w14:paraId="0C35293E" w14:textId="77777777" w:rsidTr="00315678">
        <w:trPr>
          <w:cantSplit/>
        </w:trPr>
        <w:tc>
          <w:tcPr>
            <w:tcW w:w="2785" w:type="dxa"/>
          </w:tcPr>
          <w:p w14:paraId="0C416B8D" w14:textId="669197C0" w:rsidR="00513824" w:rsidRDefault="00513824" w:rsidP="00513824">
            <w:pPr>
              <w:pStyle w:val="DHHStabletext"/>
            </w:pPr>
            <w:r>
              <w:t>5. Have you discussed the risks and benefits of treatment with [insert anti-libidinal name], the possible alternative treatments and the risk of no treatment at all?</w:t>
            </w:r>
          </w:p>
        </w:tc>
        <w:tc>
          <w:tcPr>
            <w:tcW w:w="1852" w:type="dxa"/>
          </w:tcPr>
          <w:p w14:paraId="44C7B1C0" w14:textId="04E2AF9C" w:rsidR="00CA3986" w:rsidRPr="00CA3986" w:rsidRDefault="00CA3986" w:rsidP="00CA3986">
            <w:pPr>
              <w:rPr>
                <w:rFonts w:ascii="DaxOT-Regular" w:hAnsi="DaxOT-Regular"/>
                <w:lang w:val="en-US"/>
              </w:rPr>
            </w:pPr>
          </w:p>
        </w:tc>
        <w:tc>
          <w:tcPr>
            <w:tcW w:w="1962" w:type="dxa"/>
          </w:tcPr>
          <w:p w14:paraId="3BFAEF10" w14:textId="49533747" w:rsidR="00513824" w:rsidRDefault="00301CA9" w:rsidP="00513824">
            <w:pPr>
              <w:pStyle w:val="DHHStabletext"/>
            </w:pPr>
            <w:r>
              <w:t>‘</w:t>
            </w:r>
            <w:r w:rsidR="00513824">
              <w:t>Yes</w:t>
            </w:r>
            <w:r>
              <w:t>’</w:t>
            </w:r>
          </w:p>
        </w:tc>
        <w:tc>
          <w:tcPr>
            <w:tcW w:w="1350" w:type="dxa"/>
          </w:tcPr>
          <w:p w14:paraId="24B20A43" w14:textId="3CADB3B7" w:rsidR="00513824" w:rsidRDefault="00513824" w:rsidP="00B22AC9">
            <w:pPr>
              <w:pStyle w:val="DHHStabletext"/>
              <w:jc w:val="center"/>
            </w:pPr>
          </w:p>
        </w:tc>
        <w:tc>
          <w:tcPr>
            <w:tcW w:w="1350" w:type="dxa"/>
          </w:tcPr>
          <w:p w14:paraId="5D4070D3" w14:textId="5F52668F" w:rsidR="00513824" w:rsidRDefault="00513824" w:rsidP="00B22AC9">
            <w:pPr>
              <w:pStyle w:val="DHHStabletext"/>
              <w:jc w:val="center"/>
            </w:pPr>
          </w:p>
        </w:tc>
      </w:tr>
      <w:tr w:rsidR="00513824" w14:paraId="517C2E4C" w14:textId="77777777" w:rsidTr="00315678">
        <w:trPr>
          <w:cantSplit/>
        </w:trPr>
        <w:tc>
          <w:tcPr>
            <w:tcW w:w="2785" w:type="dxa"/>
          </w:tcPr>
          <w:p w14:paraId="6E7BFA26" w14:textId="0B188D90" w:rsidR="00513824" w:rsidRDefault="00513824" w:rsidP="00513824">
            <w:pPr>
              <w:pStyle w:val="DHHStabletext"/>
            </w:pPr>
            <w:r>
              <w:t>6. Do you understand that you may stop treatment at any time?</w:t>
            </w:r>
          </w:p>
        </w:tc>
        <w:tc>
          <w:tcPr>
            <w:tcW w:w="1852" w:type="dxa"/>
          </w:tcPr>
          <w:p w14:paraId="253880B6" w14:textId="77777777" w:rsidR="00513824" w:rsidRDefault="00513824" w:rsidP="00513824">
            <w:pPr>
              <w:rPr>
                <w:rFonts w:ascii="DaxOT-Regular" w:hAnsi="DaxOT-Regular"/>
                <w:lang w:val="en-US"/>
              </w:rPr>
            </w:pPr>
          </w:p>
        </w:tc>
        <w:tc>
          <w:tcPr>
            <w:tcW w:w="1962" w:type="dxa"/>
          </w:tcPr>
          <w:p w14:paraId="03AE982B" w14:textId="7C82ACA0" w:rsidR="00513824" w:rsidRDefault="00301CA9" w:rsidP="00513824">
            <w:pPr>
              <w:pStyle w:val="DHHStabletext"/>
            </w:pPr>
            <w:r>
              <w:t>‘</w:t>
            </w:r>
            <w:r w:rsidR="00513824">
              <w:t>Yes</w:t>
            </w:r>
            <w:r>
              <w:t>’</w:t>
            </w:r>
          </w:p>
        </w:tc>
        <w:tc>
          <w:tcPr>
            <w:tcW w:w="1350" w:type="dxa"/>
          </w:tcPr>
          <w:p w14:paraId="5C105920" w14:textId="7B9C77D2" w:rsidR="00513824" w:rsidRDefault="00513824" w:rsidP="00B22AC9">
            <w:pPr>
              <w:pStyle w:val="DHHStabletext"/>
              <w:jc w:val="center"/>
            </w:pPr>
          </w:p>
        </w:tc>
        <w:tc>
          <w:tcPr>
            <w:tcW w:w="1350" w:type="dxa"/>
          </w:tcPr>
          <w:p w14:paraId="7A38009B" w14:textId="55AA26B9" w:rsidR="00513824" w:rsidRDefault="00513824" w:rsidP="00B22AC9">
            <w:pPr>
              <w:pStyle w:val="DHHStabletext"/>
              <w:jc w:val="center"/>
            </w:pPr>
          </w:p>
        </w:tc>
      </w:tr>
      <w:tr w:rsidR="00513824" w14:paraId="7C57D5DC" w14:textId="77777777" w:rsidTr="00315678">
        <w:trPr>
          <w:cantSplit/>
        </w:trPr>
        <w:tc>
          <w:tcPr>
            <w:tcW w:w="2785" w:type="dxa"/>
          </w:tcPr>
          <w:p w14:paraId="2408FA58" w14:textId="25634D6B" w:rsidR="00513824" w:rsidRDefault="00513824" w:rsidP="00513824">
            <w:pPr>
              <w:pStyle w:val="DHHStabletext"/>
            </w:pPr>
            <w:r>
              <w:t>Additional questions here …</w:t>
            </w:r>
          </w:p>
        </w:tc>
        <w:tc>
          <w:tcPr>
            <w:tcW w:w="1852" w:type="dxa"/>
          </w:tcPr>
          <w:p w14:paraId="0778C88E" w14:textId="77777777" w:rsidR="00513824" w:rsidRDefault="00513824" w:rsidP="00513824">
            <w:pPr>
              <w:rPr>
                <w:rFonts w:ascii="DaxOT-Regular" w:hAnsi="DaxOT-Regular"/>
                <w:lang w:val="en-US"/>
              </w:rPr>
            </w:pPr>
          </w:p>
        </w:tc>
        <w:tc>
          <w:tcPr>
            <w:tcW w:w="1962" w:type="dxa"/>
          </w:tcPr>
          <w:p w14:paraId="3FB2A71C" w14:textId="77777777" w:rsidR="00513824" w:rsidRDefault="00513824" w:rsidP="00513824">
            <w:pPr>
              <w:rPr>
                <w:rFonts w:ascii="DaxOT-Regular" w:hAnsi="DaxOT-Regular"/>
                <w:lang w:val="en-US"/>
              </w:rPr>
            </w:pPr>
          </w:p>
        </w:tc>
        <w:tc>
          <w:tcPr>
            <w:tcW w:w="1350" w:type="dxa"/>
          </w:tcPr>
          <w:p w14:paraId="43C1A780" w14:textId="6ED45A34" w:rsidR="00513824" w:rsidRDefault="00513824" w:rsidP="00B22AC9">
            <w:pPr>
              <w:pStyle w:val="DHHStabletext"/>
              <w:jc w:val="center"/>
            </w:pPr>
          </w:p>
        </w:tc>
        <w:tc>
          <w:tcPr>
            <w:tcW w:w="1350" w:type="dxa"/>
          </w:tcPr>
          <w:p w14:paraId="7743BA87" w14:textId="63957E37" w:rsidR="00513824" w:rsidRDefault="00513824" w:rsidP="00B22AC9">
            <w:pPr>
              <w:pStyle w:val="DHHStabletext"/>
              <w:jc w:val="center"/>
            </w:pPr>
          </w:p>
        </w:tc>
      </w:tr>
    </w:tbl>
    <w:p w14:paraId="7A777D48" w14:textId="77777777" w:rsidR="00370496" w:rsidRDefault="00370496" w:rsidP="0016163D">
      <w:pPr>
        <w:pStyle w:val="DHHSbody"/>
      </w:pPr>
    </w:p>
    <w:tbl>
      <w:tblPr>
        <w:tblStyle w:val="TableGrid"/>
        <w:tblW w:w="5524" w:type="dxa"/>
        <w:tblLayout w:type="fixed"/>
        <w:tblLook w:val="0680" w:firstRow="0" w:lastRow="0" w:firstColumn="1" w:lastColumn="0" w:noHBand="1" w:noVBand="1"/>
      </w:tblPr>
      <w:tblGrid>
        <w:gridCol w:w="3681"/>
        <w:gridCol w:w="1843"/>
      </w:tblGrid>
      <w:tr w:rsidR="004946F1" w14:paraId="530230CD" w14:textId="77777777" w:rsidTr="00BD4AA6">
        <w:trPr>
          <w:cantSplit/>
        </w:trPr>
        <w:tc>
          <w:tcPr>
            <w:tcW w:w="3681" w:type="dxa"/>
          </w:tcPr>
          <w:p w14:paraId="50B44CD6" w14:textId="67B4803A" w:rsidR="004946F1" w:rsidRDefault="004946F1" w:rsidP="00BD612C">
            <w:pPr>
              <w:pStyle w:val="DHHStablecolhead"/>
            </w:pPr>
            <w:r>
              <w:t>Total</w:t>
            </w:r>
            <w:r w:rsidR="001A1F90">
              <w:t xml:space="preserve"> </w:t>
            </w:r>
            <w:r>
              <w:t>responses</w:t>
            </w:r>
            <w:r w:rsidR="001A1F90">
              <w:t xml:space="preserve"> </w:t>
            </w:r>
            <w:r>
              <w:t>judged</w:t>
            </w:r>
            <w:r w:rsidR="001A1F90">
              <w:t xml:space="preserve"> </w:t>
            </w:r>
            <w:r>
              <w:t>incorrect</w:t>
            </w:r>
          </w:p>
        </w:tc>
        <w:tc>
          <w:tcPr>
            <w:tcW w:w="1843" w:type="dxa"/>
          </w:tcPr>
          <w:p w14:paraId="2FF48795" w14:textId="1A059E17" w:rsidR="004946F1" w:rsidRDefault="00006D2F" w:rsidP="00006D2F">
            <w:pPr>
              <w:pStyle w:val="DHHStabletext"/>
              <w:rPr>
                <w:lang w:val="en-US"/>
              </w:rPr>
            </w:pPr>
            <w:r w:rsidRPr="00006D2F">
              <w:rPr>
                <w:color w:val="FFFFFF" w:themeColor="background1"/>
                <w:lang w:val="en-US"/>
              </w:rPr>
              <w:t>[insert number]</w:t>
            </w:r>
          </w:p>
        </w:tc>
      </w:tr>
    </w:tbl>
    <w:p w14:paraId="57749340" w14:textId="78835618" w:rsidR="001C121A" w:rsidRDefault="001C121A" w:rsidP="00CA3986">
      <w:pPr>
        <w:pStyle w:val="DHHSbodyaftertablefigure"/>
      </w:pPr>
      <w:r w:rsidRPr="001C121A">
        <w:t>If any responses are judged to be incorrect, informed consent is not indicated</w:t>
      </w:r>
      <w:r w:rsidR="00B22AC9">
        <w:t>.</w:t>
      </w:r>
    </w:p>
    <w:p w14:paraId="62AFB5FC" w14:textId="09E578C4" w:rsidR="001C121A" w:rsidRPr="001C121A" w:rsidRDefault="001C121A" w:rsidP="0016163D">
      <w:pPr>
        <w:pStyle w:val="DHHStablecaption"/>
      </w:pPr>
      <w:r w:rsidRPr="001C121A">
        <w:t>Witnessed (prescriber)</w:t>
      </w:r>
    </w:p>
    <w:tbl>
      <w:tblPr>
        <w:tblStyle w:val="TableGrid"/>
        <w:tblW w:w="9299" w:type="dxa"/>
        <w:tblLayout w:type="fixed"/>
        <w:tblLook w:val="0680" w:firstRow="0" w:lastRow="0" w:firstColumn="1" w:lastColumn="0" w:noHBand="1" w:noVBand="1"/>
      </w:tblPr>
      <w:tblGrid>
        <w:gridCol w:w="1413"/>
        <w:gridCol w:w="7886"/>
      </w:tblGrid>
      <w:tr w:rsidR="001C121A" w14:paraId="61403014" w14:textId="77777777" w:rsidTr="00BD4AA6">
        <w:trPr>
          <w:cantSplit/>
        </w:trPr>
        <w:tc>
          <w:tcPr>
            <w:tcW w:w="1413" w:type="dxa"/>
          </w:tcPr>
          <w:p w14:paraId="64E25A5C" w14:textId="77777777" w:rsidR="001C121A" w:rsidRDefault="001C121A" w:rsidP="00B22AC9">
            <w:pPr>
              <w:pStyle w:val="DHHStabletext"/>
            </w:pPr>
            <w:r>
              <w:t>Name:</w:t>
            </w:r>
          </w:p>
        </w:tc>
        <w:tc>
          <w:tcPr>
            <w:tcW w:w="7886" w:type="dxa"/>
          </w:tcPr>
          <w:p w14:paraId="5AB15CC1" w14:textId="666378D7" w:rsidR="001C121A" w:rsidRPr="00006D2F" w:rsidRDefault="00006D2F" w:rsidP="00B22AC9">
            <w:pPr>
              <w:pStyle w:val="DHHStabletext"/>
              <w:rPr>
                <w:color w:val="FFFFFF" w:themeColor="background1"/>
              </w:rPr>
            </w:pPr>
            <w:r w:rsidRPr="00006D2F">
              <w:rPr>
                <w:color w:val="FFFFFF" w:themeColor="background1"/>
              </w:rPr>
              <w:t>[insert name]</w:t>
            </w:r>
          </w:p>
        </w:tc>
      </w:tr>
      <w:tr w:rsidR="00006D2F" w14:paraId="6054DB3C" w14:textId="77777777" w:rsidTr="00BD4AA6">
        <w:trPr>
          <w:cantSplit/>
        </w:trPr>
        <w:tc>
          <w:tcPr>
            <w:tcW w:w="1413" w:type="dxa"/>
          </w:tcPr>
          <w:p w14:paraId="7681528B" w14:textId="77777777" w:rsidR="00006D2F" w:rsidRDefault="00006D2F" w:rsidP="00B22AC9">
            <w:pPr>
              <w:pStyle w:val="DHHStabletext"/>
            </w:pPr>
            <w:r>
              <w:t>Signature:</w:t>
            </w:r>
          </w:p>
        </w:tc>
        <w:tc>
          <w:tcPr>
            <w:tcW w:w="7886" w:type="dxa"/>
          </w:tcPr>
          <w:p w14:paraId="4CA13AAD" w14:textId="158447A7" w:rsidR="00006D2F" w:rsidRPr="00006D2F" w:rsidRDefault="00006D2F" w:rsidP="00B22AC9">
            <w:pPr>
              <w:pStyle w:val="DHHStabletext"/>
              <w:rPr>
                <w:color w:val="FFFFFF" w:themeColor="background1"/>
              </w:rPr>
            </w:pPr>
            <w:r w:rsidRPr="00006D2F">
              <w:rPr>
                <w:color w:val="FFFFFF" w:themeColor="background1"/>
              </w:rPr>
              <w:t>[insert signature]</w:t>
            </w:r>
          </w:p>
        </w:tc>
      </w:tr>
      <w:tr w:rsidR="00006D2F" w14:paraId="1DDB6ED3" w14:textId="77777777" w:rsidTr="00BD4AA6">
        <w:trPr>
          <w:cantSplit/>
        </w:trPr>
        <w:tc>
          <w:tcPr>
            <w:tcW w:w="1413" w:type="dxa"/>
          </w:tcPr>
          <w:p w14:paraId="3E80756F" w14:textId="23E3A7F8" w:rsidR="00006D2F" w:rsidRDefault="00006D2F" w:rsidP="00B22AC9">
            <w:pPr>
              <w:pStyle w:val="DHHStabletext"/>
            </w:pPr>
            <w:r>
              <w:t>Date:</w:t>
            </w:r>
          </w:p>
        </w:tc>
        <w:tc>
          <w:tcPr>
            <w:tcW w:w="7886" w:type="dxa"/>
          </w:tcPr>
          <w:p w14:paraId="59188CB9" w14:textId="7AADEACC" w:rsidR="00006D2F" w:rsidRPr="00006D2F" w:rsidRDefault="00006D2F" w:rsidP="00B22AC9">
            <w:pPr>
              <w:pStyle w:val="DHHStabletext"/>
              <w:rPr>
                <w:color w:val="FFFFFF" w:themeColor="background1"/>
              </w:rPr>
            </w:pPr>
            <w:r w:rsidRPr="00006D2F">
              <w:rPr>
                <w:color w:val="FFFFFF" w:themeColor="background1"/>
              </w:rPr>
              <w:t>[insert date]</w:t>
            </w:r>
          </w:p>
        </w:tc>
      </w:tr>
    </w:tbl>
    <w:p w14:paraId="7B542056" w14:textId="74BB3B30" w:rsidR="001C121A" w:rsidRPr="001C121A" w:rsidRDefault="001C121A" w:rsidP="0016163D">
      <w:pPr>
        <w:pStyle w:val="DHHStablecaption"/>
      </w:pPr>
      <w:r w:rsidRPr="001C121A">
        <w:t>Signed (patient)</w:t>
      </w:r>
    </w:p>
    <w:tbl>
      <w:tblPr>
        <w:tblStyle w:val="TableGrid"/>
        <w:tblW w:w="9299" w:type="dxa"/>
        <w:tblLayout w:type="fixed"/>
        <w:tblLook w:val="0680" w:firstRow="0" w:lastRow="0" w:firstColumn="1" w:lastColumn="0" w:noHBand="1" w:noVBand="1"/>
      </w:tblPr>
      <w:tblGrid>
        <w:gridCol w:w="1413"/>
        <w:gridCol w:w="7886"/>
      </w:tblGrid>
      <w:tr w:rsidR="001C121A" w14:paraId="7C3E9A04" w14:textId="77777777" w:rsidTr="00BD4AA6">
        <w:trPr>
          <w:cantSplit/>
        </w:trPr>
        <w:tc>
          <w:tcPr>
            <w:tcW w:w="1413" w:type="dxa"/>
          </w:tcPr>
          <w:p w14:paraId="28F5B852" w14:textId="5C12381A" w:rsidR="001C121A" w:rsidRDefault="001C121A" w:rsidP="00B22AC9">
            <w:pPr>
              <w:pStyle w:val="DHHStabletext"/>
            </w:pPr>
            <w:r>
              <w:t>Name:</w:t>
            </w:r>
          </w:p>
        </w:tc>
        <w:tc>
          <w:tcPr>
            <w:tcW w:w="7886" w:type="dxa"/>
          </w:tcPr>
          <w:p w14:paraId="782345ED" w14:textId="111FC4FF" w:rsidR="001C121A" w:rsidRPr="00006D2F" w:rsidRDefault="00006D2F" w:rsidP="00B22AC9">
            <w:pPr>
              <w:pStyle w:val="DHHStabletext"/>
              <w:rPr>
                <w:color w:val="FFFFFF" w:themeColor="background1"/>
              </w:rPr>
            </w:pPr>
            <w:r w:rsidRPr="00006D2F">
              <w:rPr>
                <w:color w:val="FFFFFF" w:themeColor="background1"/>
              </w:rPr>
              <w:t>[insert name]</w:t>
            </w:r>
          </w:p>
        </w:tc>
      </w:tr>
      <w:tr w:rsidR="00006D2F" w14:paraId="4CA3C78B" w14:textId="77777777" w:rsidTr="00BD4AA6">
        <w:trPr>
          <w:cantSplit/>
        </w:trPr>
        <w:tc>
          <w:tcPr>
            <w:tcW w:w="1413" w:type="dxa"/>
          </w:tcPr>
          <w:p w14:paraId="4C66A38E" w14:textId="5FE6750E" w:rsidR="00006D2F" w:rsidRDefault="00006D2F" w:rsidP="00B22AC9">
            <w:pPr>
              <w:pStyle w:val="DHHStabletext"/>
            </w:pPr>
            <w:r>
              <w:t>Signature:</w:t>
            </w:r>
          </w:p>
        </w:tc>
        <w:tc>
          <w:tcPr>
            <w:tcW w:w="7886" w:type="dxa"/>
          </w:tcPr>
          <w:p w14:paraId="240E1E0E" w14:textId="0EBD9136" w:rsidR="00006D2F" w:rsidRPr="00006D2F" w:rsidRDefault="00006D2F" w:rsidP="00B22AC9">
            <w:pPr>
              <w:pStyle w:val="DHHStabletext"/>
              <w:rPr>
                <w:color w:val="FFFFFF" w:themeColor="background1"/>
              </w:rPr>
            </w:pPr>
            <w:r w:rsidRPr="00006D2F">
              <w:rPr>
                <w:color w:val="FFFFFF" w:themeColor="background1"/>
              </w:rPr>
              <w:t>[insert signature]</w:t>
            </w:r>
          </w:p>
        </w:tc>
      </w:tr>
      <w:tr w:rsidR="00006D2F" w14:paraId="5B23481C" w14:textId="77777777" w:rsidTr="00BD4AA6">
        <w:trPr>
          <w:cantSplit/>
        </w:trPr>
        <w:tc>
          <w:tcPr>
            <w:tcW w:w="1413" w:type="dxa"/>
          </w:tcPr>
          <w:p w14:paraId="5403CA65" w14:textId="0BF47002" w:rsidR="00006D2F" w:rsidRDefault="00006D2F" w:rsidP="00B22AC9">
            <w:pPr>
              <w:pStyle w:val="DHHStabletext"/>
            </w:pPr>
            <w:r>
              <w:t>Date:</w:t>
            </w:r>
          </w:p>
        </w:tc>
        <w:tc>
          <w:tcPr>
            <w:tcW w:w="7886" w:type="dxa"/>
          </w:tcPr>
          <w:p w14:paraId="20D30994" w14:textId="1B15A580" w:rsidR="00006D2F" w:rsidRPr="00006D2F" w:rsidRDefault="00006D2F" w:rsidP="00B22AC9">
            <w:pPr>
              <w:pStyle w:val="DHHStabletext"/>
              <w:rPr>
                <w:color w:val="FFFFFF" w:themeColor="background1"/>
              </w:rPr>
            </w:pPr>
            <w:r w:rsidRPr="00006D2F">
              <w:rPr>
                <w:color w:val="FFFFFF" w:themeColor="background1"/>
              </w:rPr>
              <w:t>[insert date]</w:t>
            </w:r>
          </w:p>
        </w:tc>
      </w:tr>
    </w:tbl>
    <w:p w14:paraId="6BCBD446" w14:textId="77777777" w:rsidR="003847E1" w:rsidRPr="00CA3986" w:rsidRDefault="003847E1" w:rsidP="00CA3986">
      <w:pPr>
        <w:pStyle w:val="DHHSbody"/>
      </w:pPr>
      <w:r w:rsidRPr="00CA3986">
        <w:br w:type="page"/>
      </w:r>
    </w:p>
    <w:p w14:paraId="7736D500" w14:textId="51774541" w:rsidR="004946F1" w:rsidRDefault="00301CA9" w:rsidP="009B0E14">
      <w:pPr>
        <w:pStyle w:val="Heading1"/>
      </w:pPr>
      <w:bookmarkStart w:id="18" w:name="_Toc20225606"/>
      <w:r>
        <w:t>4</w:t>
      </w:r>
      <w:r w:rsidR="004946F1">
        <w:t>.</w:t>
      </w:r>
      <w:r w:rsidR="001A1F90">
        <w:t xml:space="preserve"> </w:t>
      </w:r>
      <w:r w:rsidR="004946F1">
        <w:t>Case</w:t>
      </w:r>
      <w:r w:rsidR="001A1F90">
        <w:t xml:space="preserve"> </w:t>
      </w:r>
      <w:r w:rsidR="004946F1">
        <w:t>examples</w:t>
      </w:r>
      <w:bookmarkEnd w:id="18"/>
    </w:p>
    <w:p w14:paraId="0D964CFA" w14:textId="3B7764E2" w:rsidR="004946F1" w:rsidRDefault="004946F1" w:rsidP="00BD612C">
      <w:pPr>
        <w:pStyle w:val="DHHSbody"/>
      </w:pPr>
      <w:r>
        <w:t>The</w:t>
      </w:r>
      <w:r w:rsidR="001A1F90">
        <w:t xml:space="preserve"> </w:t>
      </w:r>
      <w:r>
        <w:t>following</w:t>
      </w:r>
      <w:r w:rsidR="001A1F90">
        <w:t xml:space="preserve"> </w:t>
      </w:r>
      <w:r>
        <w:t>case</w:t>
      </w:r>
      <w:r w:rsidR="001A1F90">
        <w:t xml:space="preserve"> </w:t>
      </w:r>
      <w:r>
        <w:t>examples</w:t>
      </w:r>
      <w:r w:rsidR="001A1F90">
        <w:t xml:space="preserve"> </w:t>
      </w:r>
      <w:r>
        <w:t>seek</w:t>
      </w:r>
      <w:r w:rsidR="001A1F90">
        <w:t xml:space="preserve"> </w:t>
      </w:r>
      <w:r>
        <w:t>to</w:t>
      </w:r>
      <w:r w:rsidR="001A1F90">
        <w:t xml:space="preserve"> </w:t>
      </w:r>
      <w:r>
        <w:t>exemplify</w:t>
      </w:r>
      <w:r w:rsidR="001A1F90">
        <w:t xml:space="preserve"> </w:t>
      </w:r>
      <w:r>
        <w:t>some</w:t>
      </w:r>
      <w:r w:rsidR="001A1F90">
        <w:t xml:space="preserve"> </w:t>
      </w:r>
      <w:r>
        <w:t>of</w:t>
      </w:r>
      <w:r w:rsidR="001A1F90">
        <w:t xml:space="preserve"> </w:t>
      </w:r>
      <w:r>
        <w:t>the</w:t>
      </w:r>
      <w:r w:rsidR="001A1F90">
        <w:t xml:space="preserve"> </w:t>
      </w:r>
      <w:r>
        <w:t>practical</w:t>
      </w:r>
      <w:r w:rsidR="001A1F90">
        <w:t xml:space="preserve"> </w:t>
      </w:r>
      <w:r>
        <w:t>complexities</w:t>
      </w:r>
      <w:r w:rsidR="001A1F90">
        <w:t xml:space="preserve"> </w:t>
      </w:r>
      <w:r>
        <w:t>of</w:t>
      </w:r>
      <w:r w:rsidR="001A1F90">
        <w:t xml:space="preserve"> </w:t>
      </w:r>
      <w:r>
        <w:t>working</w:t>
      </w:r>
      <w:r w:rsidR="001A1F90">
        <w:t xml:space="preserve"> </w:t>
      </w:r>
      <w:r>
        <w:t>at</w:t>
      </w:r>
      <w:r w:rsidR="001A1F90">
        <w:t xml:space="preserve"> </w:t>
      </w:r>
      <w:r>
        <w:t>this</w:t>
      </w:r>
      <w:r w:rsidR="001A1F90">
        <w:t xml:space="preserve"> </w:t>
      </w:r>
      <w:r>
        <w:t>interface;</w:t>
      </w:r>
      <w:r w:rsidR="001A1F90">
        <w:t xml:space="preserve"> </w:t>
      </w:r>
      <w:r>
        <w:t>examples</w:t>
      </w:r>
      <w:r w:rsidR="001A1F90">
        <w:t xml:space="preserve"> </w:t>
      </w:r>
      <w:r>
        <w:t>are</w:t>
      </w:r>
      <w:r w:rsidR="001A1F90">
        <w:t xml:space="preserve"> </w:t>
      </w:r>
      <w:r>
        <w:t>provided</w:t>
      </w:r>
      <w:r w:rsidR="001A1F90">
        <w:t xml:space="preserve"> </w:t>
      </w:r>
      <w:r>
        <w:t>from</w:t>
      </w:r>
      <w:r w:rsidR="001A1F90">
        <w:t xml:space="preserve"> </w:t>
      </w:r>
      <w:r>
        <w:t>three</w:t>
      </w:r>
      <w:r w:rsidR="001A1F90">
        <w:t xml:space="preserve"> </w:t>
      </w:r>
      <w:r>
        <w:t>participating</w:t>
      </w:r>
      <w:r w:rsidR="001A1F90">
        <w:t xml:space="preserve"> </w:t>
      </w:r>
      <w:r>
        <w:t>jurisdictions</w:t>
      </w:r>
      <w:r w:rsidR="001A1F90">
        <w:t xml:space="preserve"> </w:t>
      </w:r>
      <w:r>
        <w:t>–</w:t>
      </w:r>
      <w:r w:rsidR="001A1F90">
        <w:t xml:space="preserve"> </w:t>
      </w:r>
      <w:r>
        <w:t>Victoria,</w:t>
      </w:r>
      <w:r w:rsidR="001A1F90">
        <w:t xml:space="preserve"> </w:t>
      </w:r>
      <w:r>
        <w:t>Queensland</w:t>
      </w:r>
      <w:r w:rsidR="001A1F90">
        <w:t xml:space="preserve"> </w:t>
      </w:r>
      <w:r>
        <w:t>and</w:t>
      </w:r>
      <w:r w:rsidR="001A1F90">
        <w:t xml:space="preserve"> </w:t>
      </w:r>
      <w:r>
        <w:t>New</w:t>
      </w:r>
      <w:r w:rsidR="001A1F90">
        <w:t xml:space="preserve"> </w:t>
      </w:r>
      <w:r>
        <w:t>Zealand.</w:t>
      </w:r>
      <w:r w:rsidR="001A1F90">
        <w:t xml:space="preserve"> </w:t>
      </w:r>
      <w:r>
        <w:t>The</w:t>
      </w:r>
      <w:r w:rsidR="001A1F90">
        <w:t xml:space="preserve"> </w:t>
      </w:r>
      <w:r>
        <w:t>examples</w:t>
      </w:r>
      <w:r w:rsidR="001A1F90">
        <w:t xml:space="preserve"> </w:t>
      </w:r>
      <w:r>
        <w:t>highlight</w:t>
      </w:r>
      <w:r w:rsidR="001A1F90">
        <w:t xml:space="preserve"> </w:t>
      </w:r>
      <w:r>
        <w:t>instances</w:t>
      </w:r>
      <w:r w:rsidR="001A1F90">
        <w:t xml:space="preserve"> </w:t>
      </w:r>
      <w:r>
        <w:t>where</w:t>
      </w:r>
      <w:r w:rsidR="001A1F90">
        <w:t xml:space="preserve"> </w:t>
      </w:r>
      <w:r>
        <w:t>anti-libidinal</w:t>
      </w:r>
      <w:r w:rsidR="001A1F90">
        <w:t xml:space="preserve"> </w:t>
      </w:r>
      <w:r>
        <w:t>medications</w:t>
      </w:r>
      <w:r w:rsidR="001A1F90">
        <w:t xml:space="preserve"> </w:t>
      </w:r>
      <w:r>
        <w:t>have</w:t>
      </w:r>
      <w:r w:rsidR="001A1F90">
        <w:t xml:space="preserve"> </w:t>
      </w:r>
      <w:r>
        <w:t>been</w:t>
      </w:r>
      <w:r w:rsidR="001A1F90">
        <w:t xml:space="preserve"> </w:t>
      </w:r>
      <w:r>
        <w:t>prescribed</w:t>
      </w:r>
      <w:r w:rsidR="001A1F90">
        <w:t xml:space="preserve"> </w:t>
      </w:r>
      <w:r>
        <w:t>to</w:t>
      </w:r>
      <w:r w:rsidR="001A1F90">
        <w:t xml:space="preserve"> </w:t>
      </w:r>
      <w:r w:rsidR="000429EE">
        <w:t xml:space="preserve">patients </w:t>
      </w:r>
      <w:r>
        <w:t>presenting</w:t>
      </w:r>
      <w:r w:rsidR="001A1F90">
        <w:t xml:space="preserve"> </w:t>
      </w:r>
      <w:r>
        <w:t>with</w:t>
      </w:r>
      <w:r w:rsidR="001A1F90">
        <w:t xml:space="preserve"> </w:t>
      </w:r>
      <w:r>
        <w:t>a</w:t>
      </w:r>
      <w:r w:rsidR="001A1F90">
        <w:t xml:space="preserve"> </w:t>
      </w:r>
      <w:r>
        <w:t>range</w:t>
      </w:r>
      <w:r w:rsidR="001A1F90">
        <w:t xml:space="preserve"> </w:t>
      </w:r>
      <w:r>
        <w:t>of</w:t>
      </w:r>
      <w:r w:rsidR="001A1F90">
        <w:t xml:space="preserve"> </w:t>
      </w:r>
      <w:r>
        <w:t>risks</w:t>
      </w:r>
      <w:r w:rsidR="001A1F90">
        <w:t xml:space="preserve"> </w:t>
      </w:r>
      <w:r>
        <w:t>and</w:t>
      </w:r>
      <w:r w:rsidR="001A1F90">
        <w:t xml:space="preserve"> </w:t>
      </w:r>
      <w:r w:rsidR="00C84854">
        <w:t>inappropriate</w:t>
      </w:r>
      <w:r w:rsidR="001A1F90">
        <w:t xml:space="preserve"> </w:t>
      </w:r>
      <w:r>
        <w:t>sexual</w:t>
      </w:r>
      <w:r w:rsidR="001A1F90">
        <w:t xml:space="preserve"> </w:t>
      </w:r>
      <w:r>
        <w:t>behaviours</w:t>
      </w:r>
      <w:r w:rsidR="001A1F90">
        <w:t xml:space="preserve"> </w:t>
      </w:r>
      <w:r>
        <w:t>and</w:t>
      </w:r>
      <w:r w:rsidR="001A1F90">
        <w:t xml:space="preserve"> </w:t>
      </w:r>
      <w:r>
        <w:t>highlight</w:t>
      </w:r>
      <w:r w:rsidR="001A1F90">
        <w:t xml:space="preserve"> </w:t>
      </w:r>
      <w:r>
        <w:t>some</w:t>
      </w:r>
      <w:r w:rsidR="001A1F90">
        <w:t xml:space="preserve"> </w:t>
      </w:r>
      <w:r>
        <w:t>positive</w:t>
      </w:r>
      <w:r w:rsidR="001A1F90">
        <w:t xml:space="preserve"> </w:t>
      </w:r>
      <w:r>
        <w:t>and</w:t>
      </w:r>
      <w:r w:rsidR="001A1F90">
        <w:t xml:space="preserve"> </w:t>
      </w:r>
      <w:r>
        <w:t>negative</w:t>
      </w:r>
      <w:r w:rsidR="001A1F90">
        <w:t xml:space="preserve"> </w:t>
      </w:r>
      <w:r>
        <w:t>outcomes</w:t>
      </w:r>
      <w:r w:rsidR="001A1F90">
        <w:t xml:space="preserve"> </w:t>
      </w:r>
      <w:r>
        <w:t>associated</w:t>
      </w:r>
      <w:r w:rsidR="001A1F90">
        <w:t xml:space="preserve"> </w:t>
      </w:r>
      <w:r>
        <w:t>with</w:t>
      </w:r>
      <w:r w:rsidR="001A1F90">
        <w:t xml:space="preserve"> </w:t>
      </w:r>
      <w:r>
        <w:t>the</w:t>
      </w:r>
      <w:r w:rsidR="001A1F90">
        <w:t xml:space="preserve"> </w:t>
      </w:r>
      <w:r>
        <w:t>pharmacological</w:t>
      </w:r>
      <w:r w:rsidR="001A1F90">
        <w:t xml:space="preserve"> </w:t>
      </w:r>
      <w:r>
        <w:t>treatment</w:t>
      </w:r>
      <w:r w:rsidR="001A1F90">
        <w:t xml:space="preserve"> </w:t>
      </w:r>
      <w:r>
        <w:t>strategy.</w:t>
      </w:r>
      <w:r w:rsidR="001A1F90">
        <w:t xml:space="preserve"> </w:t>
      </w:r>
      <w:r>
        <w:t>Of</w:t>
      </w:r>
      <w:r w:rsidR="001A1F90">
        <w:t xml:space="preserve"> </w:t>
      </w:r>
      <w:r>
        <w:t>note,</w:t>
      </w:r>
      <w:r w:rsidR="001A1F90">
        <w:t xml:space="preserve"> </w:t>
      </w:r>
      <w:r>
        <w:t>the</w:t>
      </w:r>
      <w:r w:rsidR="001A1F90">
        <w:t xml:space="preserve"> </w:t>
      </w:r>
      <w:r>
        <w:t>respondents</w:t>
      </w:r>
      <w:r w:rsidR="001A1F90">
        <w:t xml:space="preserve"> </w:t>
      </w:r>
      <w:r>
        <w:t>chose</w:t>
      </w:r>
      <w:r w:rsidR="001A1F90">
        <w:t xml:space="preserve"> </w:t>
      </w:r>
      <w:r>
        <w:t>to</w:t>
      </w:r>
      <w:r w:rsidR="001A1F90">
        <w:t xml:space="preserve"> </w:t>
      </w:r>
      <w:r>
        <w:t>present</w:t>
      </w:r>
      <w:r w:rsidR="001A1F90">
        <w:t xml:space="preserve"> </w:t>
      </w:r>
      <w:r>
        <w:t>case</w:t>
      </w:r>
      <w:r w:rsidR="001A1F90">
        <w:t xml:space="preserve"> </w:t>
      </w:r>
      <w:r>
        <w:t>examples</w:t>
      </w:r>
      <w:r w:rsidR="001A1F90">
        <w:t xml:space="preserve"> </w:t>
      </w:r>
      <w:r>
        <w:t>where</w:t>
      </w:r>
      <w:r w:rsidR="001A1F90">
        <w:t xml:space="preserve"> </w:t>
      </w:r>
      <w:r>
        <w:t>there</w:t>
      </w:r>
      <w:r w:rsidR="001A1F90">
        <w:t xml:space="preserve"> </w:t>
      </w:r>
      <w:r>
        <w:t>had</w:t>
      </w:r>
      <w:r w:rsidR="001A1F90">
        <w:t xml:space="preserve"> </w:t>
      </w:r>
      <w:r>
        <w:t>been</w:t>
      </w:r>
      <w:r w:rsidR="001A1F90">
        <w:t xml:space="preserve"> </w:t>
      </w:r>
      <w:r>
        <w:t>positive</w:t>
      </w:r>
      <w:r w:rsidR="001A1F90">
        <w:t xml:space="preserve"> </w:t>
      </w:r>
      <w:r>
        <w:t>benefit</w:t>
      </w:r>
      <w:r w:rsidR="001A1F90">
        <w:t xml:space="preserve"> </w:t>
      </w:r>
      <w:r>
        <w:t>from</w:t>
      </w:r>
      <w:r w:rsidR="001A1F90">
        <w:t xml:space="preserve"> </w:t>
      </w:r>
      <w:r>
        <w:t>their</w:t>
      </w:r>
      <w:r w:rsidR="001A1F90">
        <w:t xml:space="preserve"> </w:t>
      </w:r>
      <w:r>
        <w:t>prescription,</w:t>
      </w:r>
      <w:r w:rsidR="001A1F90">
        <w:t xml:space="preserve"> </w:t>
      </w:r>
      <w:r>
        <w:t>instances</w:t>
      </w:r>
      <w:r w:rsidR="001A1F90">
        <w:t xml:space="preserve"> </w:t>
      </w:r>
      <w:r>
        <w:t>where</w:t>
      </w:r>
      <w:r w:rsidR="001A1F90">
        <w:t xml:space="preserve"> </w:t>
      </w:r>
      <w:r>
        <w:t>treatment</w:t>
      </w:r>
      <w:r w:rsidR="001A1F90">
        <w:t xml:space="preserve"> </w:t>
      </w:r>
      <w:r>
        <w:t>had</w:t>
      </w:r>
      <w:r w:rsidR="001A1F90">
        <w:t xml:space="preserve"> </w:t>
      </w:r>
      <w:r>
        <w:t>been</w:t>
      </w:r>
      <w:r w:rsidR="001A1F90">
        <w:t xml:space="preserve"> </w:t>
      </w:r>
      <w:r>
        <w:t>tried</w:t>
      </w:r>
      <w:r w:rsidR="001A1F90">
        <w:t xml:space="preserve"> </w:t>
      </w:r>
      <w:r>
        <w:t>but</w:t>
      </w:r>
      <w:r w:rsidR="001A1F90">
        <w:t xml:space="preserve"> </w:t>
      </w:r>
      <w:r>
        <w:t>stopped</w:t>
      </w:r>
      <w:r w:rsidR="001A1F90">
        <w:t xml:space="preserve"> </w:t>
      </w:r>
      <w:r>
        <w:t>due</w:t>
      </w:r>
      <w:r w:rsidR="001A1F90">
        <w:t xml:space="preserve"> </w:t>
      </w:r>
      <w:r>
        <w:t>to</w:t>
      </w:r>
      <w:r w:rsidR="001A1F90">
        <w:t xml:space="preserve"> </w:t>
      </w:r>
      <w:r>
        <w:t>unpleasant/secondary</w:t>
      </w:r>
      <w:r w:rsidR="001A1F90">
        <w:t xml:space="preserve"> </w:t>
      </w:r>
      <w:r>
        <w:t>side</w:t>
      </w:r>
      <w:r w:rsidR="000429EE">
        <w:t xml:space="preserve"> </w:t>
      </w:r>
      <w:r>
        <w:t>effects,</w:t>
      </w:r>
      <w:r w:rsidR="001A1F90">
        <w:t xml:space="preserve"> </w:t>
      </w:r>
      <w:r>
        <w:t>and</w:t>
      </w:r>
      <w:r w:rsidR="001A1F90">
        <w:t xml:space="preserve"> </w:t>
      </w:r>
      <w:r>
        <w:t>some</w:t>
      </w:r>
      <w:r w:rsidR="001A1F90">
        <w:t xml:space="preserve"> </w:t>
      </w:r>
      <w:r>
        <w:t>of</w:t>
      </w:r>
      <w:r w:rsidR="001A1F90">
        <w:t xml:space="preserve"> </w:t>
      </w:r>
      <w:r>
        <w:t>the</w:t>
      </w:r>
      <w:r w:rsidR="001A1F90">
        <w:t xml:space="preserve"> </w:t>
      </w:r>
      <w:r>
        <w:t>longer</w:t>
      </w:r>
      <w:r w:rsidR="00E4680F">
        <w:t xml:space="preserve"> </w:t>
      </w:r>
      <w:r>
        <w:t>term</w:t>
      </w:r>
      <w:r w:rsidR="001A1F90">
        <w:t xml:space="preserve"> </w:t>
      </w:r>
      <w:r>
        <w:t>consequences</w:t>
      </w:r>
      <w:r w:rsidR="001A1F90">
        <w:t xml:space="preserve"> </w:t>
      </w:r>
      <w:r>
        <w:t>associated</w:t>
      </w:r>
      <w:r w:rsidR="001A1F90">
        <w:t xml:space="preserve"> </w:t>
      </w:r>
      <w:r>
        <w:t>with</w:t>
      </w:r>
      <w:r w:rsidR="001A1F90">
        <w:t xml:space="preserve"> </w:t>
      </w:r>
      <w:r>
        <w:t>inadequate</w:t>
      </w:r>
      <w:r w:rsidR="001A1F90">
        <w:t xml:space="preserve"> </w:t>
      </w:r>
      <w:r>
        <w:t>monitoring</w:t>
      </w:r>
      <w:r w:rsidR="001A1F90">
        <w:t xml:space="preserve"> </w:t>
      </w:r>
      <w:r>
        <w:t>of</w:t>
      </w:r>
      <w:r w:rsidR="001A1F90">
        <w:t xml:space="preserve"> </w:t>
      </w:r>
      <w:r>
        <w:t>the</w:t>
      </w:r>
      <w:r w:rsidR="001A1F90">
        <w:t xml:space="preserve"> </w:t>
      </w:r>
      <w:r>
        <w:t>prescription</w:t>
      </w:r>
      <w:r w:rsidR="001A1F90">
        <w:t xml:space="preserve"> </w:t>
      </w:r>
      <w:r>
        <w:t>of</w:t>
      </w:r>
      <w:r w:rsidR="001A1F90">
        <w:t xml:space="preserve"> </w:t>
      </w:r>
      <w:r>
        <w:t>anti-libidinal</w:t>
      </w:r>
      <w:r w:rsidR="001A1F90">
        <w:t xml:space="preserve"> </w:t>
      </w:r>
      <w:r>
        <w:t>medications</w:t>
      </w:r>
      <w:r w:rsidR="001A1F90">
        <w:t xml:space="preserve"> </w:t>
      </w:r>
      <w:r>
        <w:t>on</w:t>
      </w:r>
      <w:r w:rsidR="001A1F90">
        <w:t xml:space="preserve"> </w:t>
      </w:r>
      <w:r>
        <w:t>the</w:t>
      </w:r>
      <w:r w:rsidR="001A1F90">
        <w:t xml:space="preserve"> </w:t>
      </w:r>
      <w:r>
        <w:t>health</w:t>
      </w:r>
      <w:r w:rsidR="001A1F90">
        <w:t xml:space="preserve"> </w:t>
      </w:r>
      <w:r>
        <w:t>of</w:t>
      </w:r>
      <w:r w:rsidR="001A1F90">
        <w:t xml:space="preserve"> </w:t>
      </w:r>
      <w:r>
        <w:t>the</w:t>
      </w:r>
      <w:r w:rsidR="001A1F90">
        <w:t xml:space="preserve"> </w:t>
      </w:r>
      <w:r w:rsidR="000429EE">
        <w:t xml:space="preserve">patients </w:t>
      </w:r>
      <w:r>
        <w:t>involved.</w:t>
      </w:r>
    </w:p>
    <w:p w14:paraId="5A13BC8E" w14:textId="5938CD00" w:rsidR="004946F1" w:rsidRDefault="004946F1" w:rsidP="00BD612C">
      <w:pPr>
        <w:pStyle w:val="DHHSbody"/>
      </w:pPr>
      <w:r w:rsidRPr="004B4157">
        <w:rPr>
          <w:rStyle w:val="Strong"/>
        </w:rPr>
        <w:t>Case</w:t>
      </w:r>
      <w:r w:rsidR="001A1F90">
        <w:rPr>
          <w:rStyle w:val="Strong"/>
        </w:rPr>
        <w:t xml:space="preserve"> </w:t>
      </w:r>
      <w:r w:rsidRPr="004B4157">
        <w:rPr>
          <w:rStyle w:val="Strong"/>
        </w:rPr>
        <w:t>examples</w:t>
      </w:r>
      <w:r w:rsidR="001A1F90">
        <w:rPr>
          <w:rStyle w:val="Strong"/>
        </w:rPr>
        <w:t xml:space="preserve"> </w:t>
      </w:r>
      <w:r w:rsidRPr="004B4157">
        <w:rPr>
          <w:rStyle w:val="Strong"/>
        </w:rPr>
        <w:t>1</w:t>
      </w:r>
      <w:r w:rsidR="001A1F90">
        <w:rPr>
          <w:rStyle w:val="Strong"/>
        </w:rPr>
        <w:t xml:space="preserve"> </w:t>
      </w:r>
      <w:r w:rsidRPr="004B4157">
        <w:rPr>
          <w:rStyle w:val="Strong"/>
        </w:rPr>
        <w:t>and</w:t>
      </w:r>
      <w:r w:rsidR="001A1F90">
        <w:rPr>
          <w:rStyle w:val="Strong"/>
        </w:rPr>
        <w:t xml:space="preserve"> </w:t>
      </w:r>
      <w:r w:rsidRPr="004B4157">
        <w:rPr>
          <w:rStyle w:val="Strong"/>
        </w:rPr>
        <w:t>2</w:t>
      </w:r>
      <w:r w:rsidR="001A1F90">
        <w:t xml:space="preserve"> </w:t>
      </w:r>
      <w:r>
        <w:t>highlight</w:t>
      </w:r>
      <w:r w:rsidR="001A1F90">
        <w:t xml:space="preserve"> </w:t>
      </w:r>
      <w:r>
        <w:t>examples</w:t>
      </w:r>
      <w:r w:rsidR="001A1F90">
        <w:t xml:space="preserve"> </w:t>
      </w:r>
      <w:r>
        <w:t>where</w:t>
      </w:r>
      <w:r w:rsidR="001A1F90">
        <w:t xml:space="preserve"> </w:t>
      </w:r>
      <w:r w:rsidR="00DF2A58">
        <w:t xml:space="preserve">patients </w:t>
      </w:r>
      <w:r>
        <w:t>had</w:t>
      </w:r>
      <w:r w:rsidR="001A1F90">
        <w:t xml:space="preserve"> </w:t>
      </w:r>
      <w:r>
        <w:t>some</w:t>
      </w:r>
      <w:r w:rsidR="001A1F90">
        <w:t xml:space="preserve"> </w:t>
      </w:r>
      <w:r>
        <w:t>reported</w:t>
      </w:r>
      <w:r w:rsidR="001A1F90">
        <w:t xml:space="preserve"> </w:t>
      </w:r>
      <w:r>
        <w:t>history</w:t>
      </w:r>
      <w:r w:rsidR="001A1F90">
        <w:t xml:space="preserve"> </w:t>
      </w:r>
      <w:r>
        <w:t>of</w:t>
      </w:r>
      <w:r w:rsidR="001A1F90">
        <w:t xml:space="preserve"> </w:t>
      </w:r>
      <w:r>
        <w:t>sexual</w:t>
      </w:r>
      <w:r w:rsidR="001A1F90">
        <w:t xml:space="preserve"> </w:t>
      </w:r>
      <w:r>
        <w:t>offending</w:t>
      </w:r>
      <w:r w:rsidR="001A1F90">
        <w:t xml:space="preserve"> </w:t>
      </w:r>
      <w:r>
        <w:t>previously</w:t>
      </w:r>
      <w:r w:rsidR="001A1F90">
        <w:t xml:space="preserve"> </w:t>
      </w:r>
      <w:r>
        <w:t>but</w:t>
      </w:r>
      <w:r w:rsidR="001A1F90">
        <w:t xml:space="preserve"> </w:t>
      </w:r>
      <w:r>
        <w:t>where</w:t>
      </w:r>
      <w:r w:rsidR="001A1F90">
        <w:t xml:space="preserve"> </w:t>
      </w:r>
      <w:r>
        <w:t>no</w:t>
      </w:r>
      <w:r w:rsidR="001A1F90">
        <w:t xml:space="preserve"> </w:t>
      </w:r>
      <w:r>
        <w:t>charges</w:t>
      </w:r>
      <w:r w:rsidR="001A1F90">
        <w:t xml:space="preserve"> </w:t>
      </w:r>
      <w:r>
        <w:t>had</w:t>
      </w:r>
      <w:r w:rsidR="001A1F90">
        <w:t xml:space="preserve"> </w:t>
      </w:r>
      <w:r>
        <w:t>been</w:t>
      </w:r>
      <w:r w:rsidR="001A1F90">
        <w:t xml:space="preserve"> </w:t>
      </w:r>
      <w:r>
        <w:t>brought.</w:t>
      </w:r>
      <w:r w:rsidR="001A1F90">
        <w:t xml:space="preserve"> </w:t>
      </w:r>
      <w:r>
        <w:t>In</w:t>
      </w:r>
      <w:r w:rsidR="001A1F90">
        <w:t xml:space="preserve"> </w:t>
      </w:r>
      <w:r>
        <w:t>both</w:t>
      </w:r>
      <w:r w:rsidR="001A1F90">
        <w:t xml:space="preserve"> </w:t>
      </w:r>
      <w:r>
        <w:t>cases</w:t>
      </w:r>
      <w:r w:rsidR="001A1F90">
        <w:t xml:space="preserve"> </w:t>
      </w:r>
      <w:r>
        <w:t>the</w:t>
      </w:r>
      <w:r w:rsidR="001A1F90">
        <w:t xml:space="preserve"> </w:t>
      </w:r>
      <w:r w:rsidR="00DF2A58">
        <w:t xml:space="preserve">people </w:t>
      </w:r>
      <w:r>
        <w:t>had</w:t>
      </w:r>
      <w:r w:rsidR="001A1F90">
        <w:t xml:space="preserve"> </w:t>
      </w:r>
      <w:r>
        <w:t>been</w:t>
      </w:r>
      <w:r w:rsidR="001A1F90">
        <w:t xml:space="preserve"> </w:t>
      </w:r>
      <w:r>
        <w:t>prescribed</w:t>
      </w:r>
      <w:r w:rsidR="001A1F90">
        <w:t xml:space="preserve"> </w:t>
      </w:r>
      <w:r>
        <w:t>anti-libidinal</w:t>
      </w:r>
      <w:r w:rsidR="001A1F90">
        <w:t xml:space="preserve"> </w:t>
      </w:r>
      <w:r>
        <w:t>medications</w:t>
      </w:r>
      <w:r w:rsidR="001A1F90">
        <w:t xml:space="preserve"> </w:t>
      </w:r>
      <w:r>
        <w:t>over</w:t>
      </w:r>
      <w:r w:rsidR="001A1F90">
        <w:t xml:space="preserve"> </w:t>
      </w:r>
      <w:r>
        <w:t>a</w:t>
      </w:r>
      <w:r w:rsidR="001A1F90">
        <w:t xml:space="preserve"> </w:t>
      </w:r>
      <w:r>
        <w:t>long</w:t>
      </w:r>
      <w:r w:rsidR="001A1F90">
        <w:t xml:space="preserve"> </w:t>
      </w:r>
      <w:r>
        <w:t>period</w:t>
      </w:r>
      <w:r w:rsidR="001A1F90">
        <w:t xml:space="preserve"> </w:t>
      </w:r>
      <w:r>
        <w:t>with</w:t>
      </w:r>
      <w:r w:rsidR="001A1F90">
        <w:t xml:space="preserve"> </w:t>
      </w:r>
      <w:r>
        <w:t>questionable</w:t>
      </w:r>
      <w:r w:rsidR="001A1F90">
        <w:t xml:space="preserve"> </w:t>
      </w:r>
      <w:r>
        <w:t>consent</w:t>
      </w:r>
      <w:r w:rsidR="001A1F90">
        <w:t xml:space="preserve"> </w:t>
      </w:r>
      <w:r>
        <w:t>procedures</w:t>
      </w:r>
      <w:r w:rsidR="001A1F90">
        <w:t xml:space="preserve"> </w:t>
      </w:r>
      <w:r>
        <w:t>in</w:t>
      </w:r>
      <w:r w:rsidR="001A1F90">
        <w:t xml:space="preserve"> </w:t>
      </w:r>
      <w:r>
        <w:t>place</w:t>
      </w:r>
      <w:r w:rsidR="001A1F90">
        <w:t xml:space="preserve"> </w:t>
      </w:r>
      <w:r>
        <w:t>and</w:t>
      </w:r>
      <w:r w:rsidR="001A1F90">
        <w:t xml:space="preserve"> </w:t>
      </w:r>
      <w:r>
        <w:t>no</w:t>
      </w:r>
      <w:r w:rsidR="001A1F90">
        <w:t xml:space="preserve"> </w:t>
      </w:r>
      <w:r>
        <w:t>detail</w:t>
      </w:r>
      <w:r w:rsidR="001A1F90">
        <w:t xml:space="preserve"> </w:t>
      </w:r>
      <w:r>
        <w:t>about</w:t>
      </w:r>
      <w:r w:rsidR="001A1F90">
        <w:t xml:space="preserve"> </w:t>
      </w:r>
      <w:r>
        <w:t>baseline</w:t>
      </w:r>
      <w:r w:rsidR="001A1F90">
        <w:t xml:space="preserve"> </w:t>
      </w:r>
      <w:r>
        <w:t>monitoring</w:t>
      </w:r>
      <w:r w:rsidR="001A1F90">
        <w:t xml:space="preserve"> </w:t>
      </w:r>
      <w:r>
        <w:t>of</w:t>
      </w:r>
      <w:r w:rsidR="001A1F90">
        <w:t xml:space="preserve"> </w:t>
      </w:r>
      <w:r>
        <w:t>health</w:t>
      </w:r>
      <w:r w:rsidR="001A1F90">
        <w:t xml:space="preserve"> </w:t>
      </w:r>
      <w:r>
        <w:t>and</w:t>
      </w:r>
      <w:r w:rsidR="001A1F90">
        <w:t xml:space="preserve"> </w:t>
      </w:r>
      <w:r>
        <w:t>related</w:t>
      </w:r>
      <w:r w:rsidR="001A1F90">
        <w:t xml:space="preserve"> </w:t>
      </w:r>
      <w:r>
        <w:t>conditions.</w:t>
      </w:r>
      <w:r w:rsidR="001A1F90">
        <w:t xml:space="preserve"> </w:t>
      </w:r>
      <w:r>
        <w:t>Both</w:t>
      </w:r>
      <w:r w:rsidR="001A1F90">
        <w:t xml:space="preserve"> </w:t>
      </w:r>
      <w:r w:rsidR="00DF2A58">
        <w:t xml:space="preserve">patients </w:t>
      </w:r>
      <w:r>
        <w:t>have</w:t>
      </w:r>
      <w:r w:rsidR="001A1F90">
        <w:t xml:space="preserve"> </w:t>
      </w:r>
      <w:r>
        <w:t>experienced</w:t>
      </w:r>
      <w:r w:rsidR="001A1F90">
        <w:t xml:space="preserve"> </w:t>
      </w:r>
      <w:r>
        <w:t>deleterious</w:t>
      </w:r>
      <w:r w:rsidR="001A1F90">
        <w:t xml:space="preserve"> </w:t>
      </w:r>
      <w:r>
        <w:t>effects</w:t>
      </w:r>
      <w:r w:rsidR="001A1F90">
        <w:t xml:space="preserve"> </w:t>
      </w:r>
      <w:r>
        <w:t>on</w:t>
      </w:r>
      <w:r w:rsidR="001A1F90">
        <w:t xml:space="preserve"> </w:t>
      </w:r>
      <w:r>
        <w:t>their</w:t>
      </w:r>
      <w:r w:rsidR="001A1F90">
        <w:t xml:space="preserve"> </w:t>
      </w:r>
      <w:r>
        <w:t>quality</w:t>
      </w:r>
      <w:r w:rsidR="001A1F90">
        <w:t xml:space="preserve"> </w:t>
      </w:r>
      <w:r>
        <w:t>of</w:t>
      </w:r>
      <w:r w:rsidR="001A1F90">
        <w:t xml:space="preserve"> </w:t>
      </w:r>
      <w:r>
        <w:t>life</w:t>
      </w:r>
      <w:r w:rsidR="001A1F90">
        <w:t xml:space="preserve"> </w:t>
      </w:r>
      <w:r>
        <w:t>(either</w:t>
      </w:r>
      <w:r w:rsidR="001A1F90">
        <w:t xml:space="preserve"> </w:t>
      </w:r>
      <w:r>
        <w:t>through</w:t>
      </w:r>
      <w:r w:rsidR="001A1F90">
        <w:t xml:space="preserve"> </w:t>
      </w:r>
      <w:r>
        <w:t>contraindications</w:t>
      </w:r>
      <w:r w:rsidR="001A1F90">
        <w:t xml:space="preserve"> </w:t>
      </w:r>
      <w:r>
        <w:t>with</w:t>
      </w:r>
      <w:r w:rsidR="001A1F90">
        <w:t xml:space="preserve"> </w:t>
      </w:r>
      <w:r>
        <w:t>other</w:t>
      </w:r>
      <w:r w:rsidR="001A1F90">
        <w:t xml:space="preserve"> </w:t>
      </w:r>
      <w:r>
        <w:t>medications</w:t>
      </w:r>
      <w:r w:rsidR="001A1F90">
        <w:t xml:space="preserve"> </w:t>
      </w:r>
      <w:r>
        <w:t>or,</w:t>
      </w:r>
      <w:r w:rsidR="001A1F90">
        <w:t xml:space="preserve"> </w:t>
      </w:r>
      <w:r>
        <w:t>more</w:t>
      </w:r>
      <w:r w:rsidR="001A1F90">
        <w:t xml:space="preserve"> </w:t>
      </w:r>
      <w:r>
        <w:t>problematically,</w:t>
      </w:r>
      <w:r w:rsidR="001A1F90">
        <w:t xml:space="preserve"> </w:t>
      </w:r>
      <w:r>
        <w:t>contrary</w:t>
      </w:r>
      <w:r w:rsidR="001A1F90">
        <w:t xml:space="preserve"> </w:t>
      </w:r>
      <w:r>
        <w:t>to</w:t>
      </w:r>
      <w:r w:rsidR="001A1F90">
        <w:t xml:space="preserve"> </w:t>
      </w:r>
      <w:r>
        <w:t>their</w:t>
      </w:r>
      <w:r w:rsidR="001A1F90">
        <w:t xml:space="preserve"> </w:t>
      </w:r>
      <w:r>
        <w:t>prescribed</w:t>
      </w:r>
      <w:r w:rsidR="001A1F90">
        <w:t xml:space="preserve"> </w:t>
      </w:r>
      <w:r>
        <w:t>use</w:t>
      </w:r>
      <w:r w:rsidR="001A1F90">
        <w:t xml:space="preserve"> </w:t>
      </w:r>
      <w:r>
        <w:t>under</w:t>
      </w:r>
      <w:r w:rsidR="001A1F90">
        <w:t xml:space="preserve"> </w:t>
      </w:r>
      <w:r>
        <w:t>WFSBP</w:t>
      </w:r>
      <w:r w:rsidR="001A1F90">
        <w:t xml:space="preserve"> </w:t>
      </w:r>
      <w:r w:rsidR="00E4680F">
        <w:t>g</w:t>
      </w:r>
      <w:r>
        <w:t>uidelines</w:t>
      </w:r>
      <w:r w:rsidR="001A1F90">
        <w:t xml:space="preserve"> </w:t>
      </w:r>
      <w:r>
        <w:t>with</w:t>
      </w:r>
      <w:r w:rsidR="001A1F90">
        <w:t xml:space="preserve"> </w:t>
      </w:r>
      <w:r>
        <w:t>existing</w:t>
      </w:r>
      <w:r w:rsidR="001A1F90">
        <w:t xml:space="preserve"> </w:t>
      </w:r>
      <w:r>
        <w:t>health</w:t>
      </w:r>
      <w:r w:rsidR="001A1F90">
        <w:t xml:space="preserve"> </w:t>
      </w:r>
      <w:r>
        <w:t>conditions)</w:t>
      </w:r>
      <w:r w:rsidR="001A1F90">
        <w:t xml:space="preserve"> </w:t>
      </w:r>
      <w:r>
        <w:t>from</w:t>
      </w:r>
      <w:r w:rsidR="001A1F90">
        <w:t xml:space="preserve"> </w:t>
      </w:r>
      <w:r>
        <w:t>taking</w:t>
      </w:r>
      <w:r w:rsidR="001A1F90">
        <w:t xml:space="preserve"> </w:t>
      </w:r>
      <w:r>
        <w:t>the</w:t>
      </w:r>
      <w:r w:rsidR="001A1F90">
        <w:t xml:space="preserve"> </w:t>
      </w:r>
      <w:r>
        <w:t>medications</w:t>
      </w:r>
      <w:r w:rsidR="001A1F90">
        <w:t xml:space="preserve"> </w:t>
      </w:r>
      <w:r>
        <w:t>but</w:t>
      </w:r>
      <w:r w:rsidR="001A1F90">
        <w:t xml:space="preserve"> </w:t>
      </w:r>
      <w:r>
        <w:t>have</w:t>
      </w:r>
      <w:r w:rsidR="001A1F90">
        <w:t xml:space="preserve"> </w:t>
      </w:r>
      <w:r>
        <w:t>remained</w:t>
      </w:r>
      <w:r w:rsidR="001A1F90">
        <w:t xml:space="preserve"> </w:t>
      </w:r>
      <w:r>
        <w:t>on</w:t>
      </w:r>
      <w:r w:rsidR="001A1F90">
        <w:t xml:space="preserve"> </w:t>
      </w:r>
      <w:r>
        <w:t>the</w:t>
      </w:r>
      <w:r w:rsidR="001A1F90">
        <w:t xml:space="preserve"> </w:t>
      </w:r>
      <w:r>
        <w:t>anti-libidinal</w:t>
      </w:r>
      <w:r w:rsidR="001A1F90">
        <w:t xml:space="preserve"> </w:t>
      </w:r>
      <w:r>
        <w:t>treatment</w:t>
      </w:r>
      <w:r w:rsidR="001A1F90">
        <w:t xml:space="preserve"> </w:t>
      </w:r>
      <w:r>
        <w:t>regime</w:t>
      </w:r>
      <w:r w:rsidR="00DF2A58">
        <w:t>n</w:t>
      </w:r>
      <w:r>
        <w:t>.</w:t>
      </w:r>
      <w:r w:rsidR="001A1F90">
        <w:t xml:space="preserve"> </w:t>
      </w:r>
      <w:r w:rsidRPr="004B4157">
        <w:rPr>
          <w:rStyle w:val="Strong"/>
        </w:rPr>
        <w:t>Case</w:t>
      </w:r>
      <w:r w:rsidR="001A1F90">
        <w:rPr>
          <w:rStyle w:val="Strong"/>
        </w:rPr>
        <w:t xml:space="preserve"> </w:t>
      </w:r>
      <w:r w:rsidRPr="004B4157">
        <w:rPr>
          <w:rStyle w:val="Strong"/>
        </w:rPr>
        <w:t>example</w:t>
      </w:r>
      <w:r w:rsidR="001A1F90">
        <w:rPr>
          <w:rStyle w:val="Strong"/>
        </w:rPr>
        <w:t xml:space="preserve"> </w:t>
      </w:r>
      <w:r w:rsidRPr="004B4157">
        <w:rPr>
          <w:rStyle w:val="Strong"/>
        </w:rPr>
        <w:t>3</w:t>
      </w:r>
      <w:r w:rsidR="001A1F90">
        <w:t xml:space="preserve"> </w:t>
      </w:r>
      <w:r>
        <w:t>considers</w:t>
      </w:r>
      <w:r w:rsidR="001A1F90">
        <w:t xml:space="preserve"> </w:t>
      </w:r>
      <w:r w:rsidR="00DF2A58">
        <w:t>someone</w:t>
      </w:r>
      <w:r w:rsidR="001A1F90">
        <w:t xml:space="preserve"> </w:t>
      </w:r>
      <w:r>
        <w:t>who</w:t>
      </w:r>
      <w:r w:rsidR="001A1F90">
        <w:t xml:space="preserve"> </w:t>
      </w:r>
      <w:r>
        <w:t>is</w:t>
      </w:r>
      <w:r w:rsidR="001A1F90">
        <w:t xml:space="preserve"> </w:t>
      </w:r>
      <w:r>
        <w:t>described</w:t>
      </w:r>
      <w:r w:rsidR="001A1F90">
        <w:t xml:space="preserve"> </w:t>
      </w:r>
      <w:r>
        <w:t>in</w:t>
      </w:r>
      <w:r w:rsidR="001A1F90">
        <w:t xml:space="preserve"> </w:t>
      </w:r>
      <w:r>
        <w:t>terms</w:t>
      </w:r>
      <w:r w:rsidR="001A1F90">
        <w:t xml:space="preserve"> </w:t>
      </w:r>
      <w:r>
        <w:t>consistent</w:t>
      </w:r>
      <w:r w:rsidR="001A1F90">
        <w:t xml:space="preserve"> </w:t>
      </w:r>
      <w:r>
        <w:t>with</w:t>
      </w:r>
      <w:r w:rsidR="001A1F90">
        <w:t xml:space="preserve"> </w:t>
      </w:r>
      <w:r>
        <w:t>the</w:t>
      </w:r>
      <w:r w:rsidR="001A1F90">
        <w:t xml:space="preserve"> </w:t>
      </w:r>
      <w:r>
        <w:t>target</w:t>
      </w:r>
      <w:r w:rsidR="001A1F90">
        <w:t xml:space="preserve"> </w:t>
      </w:r>
      <w:r>
        <w:t>group</w:t>
      </w:r>
      <w:r w:rsidR="001A1F90">
        <w:t xml:space="preserve"> </w:t>
      </w:r>
      <w:r>
        <w:t>(significant</w:t>
      </w:r>
      <w:r w:rsidR="001A1F90">
        <w:t xml:space="preserve"> </w:t>
      </w:r>
      <w:r>
        <w:t>ongoing</w:t>
      </w:r>
      <w:r w:rsidR="001A1F90">
        <w:t xml:space="preserve"> </w:t>
      </w:r>
      <w:r>
        <w:t>risk);</w:t>
      </w:r>
      <w:r w:rsidR="001A1F90">
        <w:t xml:space="preserve"> </w:t>
      </w:r>
      <w:r>
        <w:t>the</w:t>
      </w:r>
      <w:r w:rsidR="001A1F90">
        <w:t xml:space="preserve"> </w:t>
      </w:r>
      <w:r>
        <w:t>example</w:t>
      </w:r>
      <w:r w:rsidR="001A1F90">
        <w:t xml:space="preserve"> </w:t>
      </w:r>
      <w:r>
        <w:t>raises</w:t>
      </w:r>
      <w:r w:rsidR="001A1F90">
        <w:t xml:space="preserve"> </w:t>
      </w:r>
      <w:r>
        <w:t>important</w:t>
      </w:r>
      <w:r w:rsidR="001A1F90">
        <w:t xml:space="preserve"> </w:t>
      </w:r>
      <w:r>
        <w:t>considerations</w:t>
      </w:r>
      <w:r w:rsidR="001A1F90">
        <w:t xml:space="preserve"> </w:t>
      </w:r>
      <w:r>
        <w:t>about</w:t>
      </w:r>
      <w:r w:rsidR="001A1F90">
        <w:t xml:space="preserve"> </w:t>
      </w:r>
      <w:r>
        <w:t>the</w:t>
      </w:r>
      <w:r w:rsidR="001A1F90">
        <w:t xml:space="preserve"> </w:t>
      </w:r>
      <w:r>
        <w:t>veracity</w:t>
      </w:r>
      <w:r w:rsidR="001A1F90">
        <w:t xml:space="preserve"> </w:t>
      </w:r>
      <w:r>
        <w:t>of</w:t>
      </w:r>
      <w:r w:rsidR="001A1F90">
        <w:t xml:space="preserve"> </w:t>
      </w:r>
      <w:r>
        <w:t>the</w:t>
      </w:r>
      <w:r w:rsidR="001A1F90">
        <w:t xml:space="preserve"> </w:t>
      </w:r>
      <w:r>
        <w:t>consenting</w:t>
      </w:r>
      <w:r w:rsidR="001A1F90">
        <w:t xml:space="preserve"> </w:t>
      </w:r>
      <w:r>
        <w:t>procedures</w:t>
      </w:r>
      <w:r w:rsidR="001A1F90">
        <w:t xml:space="preserve"> </w:t>
      </w:r>
      <w:r>
        <w:t>undertaken</w:t>
      </w:r>
      <w:r w:rsidR="001A1F90">
        <w:t xml:space="preserve"> </w:t>
      </w:r>
      <w:r>
        <w:t>and</w:t>
      </w:r>
      <w:r w:rsidR="001A1F90">
        <w:t xml:space="preserve"> </w:t>
      </w:r>
      <w:r>
        <w:t>also</w:t>
      </w:r>
      <w:r w:rsidR="001A1F90">
        <w:t xml:space="preserve"> </w:t>
      </w:r>
      <w:r>
        <w:t>that</w:t>
      </w:r>
      <w:r w:rsidR="001A1F90">
        <w:t xml:space="preserve"> </w:t>
      </w:r>
      <w:r>
        <w:t>the</w:t>
      </w:r>
      <w:r w:rsidR="001A1F90">
        <w:t xml:space="preserve"> </w:t>
      </w:r>
      <w:r>
        <w:t>anti-libidinal</w:t>
      </w:r>
      <w:r w:rsidR="001A1F90">
        <w:t xml:space="preserve"> </w:t>
      </w:r>
      <w:r>
        <w:t>medication</w:t>
      </w:r>
      <w:r w:rsidR="001A1F90">
        <w:t xml:space="preserve"> </w:t>
      </w:r>
      <w:r>
        <w:t>treatment</w:t>
      </w:r>
      <w:r w:rsidR="001A1F90">
        <w:t xml:space="preserve"> </w:t>
      </w:r>
      <w:r>
        <w:t>regime</w:t>
      </w:r>
      <w:r w:rsidR="00DF2A58">
        <w:t>n</w:t>
      </w:r>
      <w:r w:rsidR="001A1F90">
        <w:t xml:space="preserve"> </w:t>
      </w:r>
      <w:r>
        <w:t>was</w:t>
      </w:r>
      <w:r w:rsidR="001A1F90">
        <w:t xml:space="preserve"> </w:t>
      </w:r>
      <w:r>
        <w:t>stopped</w:t>
      </w:r>
      <w:r w:rsidR="001A1F90">
        <w:t xml:space="preserve"> </w:t>
      </w:r>
      <w:r>
        <w:t>due</w:t>
      </w:r>
      <w:r w:rsidR="001A1F90">
        <w:t xml:space="preserve"> </w:t>
      </w:r>
      <w:r>
        <w:t>to</w:t>
      </w:r>
      <w:r w:rsidR="001A1F90">
        <w:t xml:space="preserve"> </w:t>
      </w:r>
      <w:r>
        <w:t>unpleasant</w:t>
      </w:r>
      <w:r w:rsidR="001A1F90">
        <w:t xml:space="preserve"> </w:t>
      </w:r>
      <w:r>
        <w:t>side</w:t>
      </w:r>
      <w:r w:rsidR="001A1F90">
        <w:t xml:space="preserve"> </w:t>
      </w:r>
      <w:r>
        <w:t>effects</w:t>
      </w:r>
      <w:r w:rsidR="001A1F90">
        <w:t xml:space="preserve"> </w:t>
      </w:r>
      <w:r>
        <w:t>(in</w:t>
      </w:r>
      <w:r w:rsidR="001A1F90">
        <w:t xml:space="preserve"> </w:t>
      </w:r>
      <w:r>
        <w:t>this</w:t>
      </w:r>
      <w:r w:rsidR="001A1F90">
        <w:t xml:space="preserve"> </w:t>
      </w:r>
      <w:r>
        <w:t>case</w:t>
      </w:r>
      <w:r w:rsidR="001A1F90">
        <w:t xml:space="preserve"> </w:t>
      </w:r>
      <w:r>
        <w:t>depression).</w:t>
      </w:r>
      <w:r w:rsidR="001A1F90">
        <w:t xml:space="preserve"> </w:t>
      </w:r>
      <w:r w:rsidRPr="004B4157">
        <w:rPr>
          <w:rStyle w:val="Strong"/>
        </w:rPr>
        <w:t>Case</w:t>
      </w:r>
      <w:r w:rsidR="001A1F90">
        <w:rPr>
          <w:rStyle w:val="Strong"/>
        </w:rPr>
        <w:t xml:space="preserve"> </w:t>
      </w:r>
      <w:r w:rsidRPr="004B4157">
        <w:rPr>
          <w:rStyle w:val="Strong"/>
        </w:rPr>
        <w:t>example</w:t>
      </w:r>
      <w:r w:rsidR="001A1F90">
        <w:rPr>
          <w:rStyle w:val="Strong"/>
        </w:rPr>
        <w:t xml:space="preserve"> </w:t>
      </w:r>
      <w:r w:rsidRPr="004B4157">
        <w:rPr>
          <w:rStyle w:val="Strong"/>
        </w:rPr>
        <w:t>4</w:t>
      </w:r>
      <w:r w:rsidR="001A1F90">
        <w:t xml:space="preserve"> </w:t>
      </w:r>
      <w:r>
        <w:t>considers</w:t>
      </w:r>
      <w:r w:rsidR="001A1F90">
        <w:t xml:space="preserve"> </w:t>
      </w:r>
      <w:r>
        <w:t>a</w:t>
      </w:r>
      <w:r w:rsidR="001A1F90">
        <w:t xml:space="preserve"> </w:t>
      </w:r>
      <w:r w:rsidR="00DF2A58">
        <w:t xml:space="preserve">person </w:t>
      </w:r>
      <w:r>
        <w:t>for</w:t>
      </w:r>
      <w:r w:rsidR="001A1F90">
        <w:t xml:space="preserve"> </w:t>
      </w:r>
      <w:r>
        <w:t>whom</w:t>
      </w:r>
      <w:r w:rsidR="001A1F90">
        <w:t xml:space="preserve"> </w:t>
      </w:r>
      <w:r>
        <w:t>the</w:t>
      </w:r>
      <w:r w:rsidR="001A1F90">
        <w:t xml:space="preserve"> </w:t>
      </w:r>
      <w:r>
        <w:t>recommended</w:t>
      </w:r>
      <w:r w:rsidR="001A1F90">
        <w:t xml:space="preserve"> </w:t>
      </w:r>
      <w:r>
        <w:t>staged</w:t>
      </w:r>
      <w:r w:rsidR="001A1F90">
        <w:t xml:space="preserve"> </w:t>
      </w:r>
      <w:r>
        <w:t>progression</w:t>
      </w:r>
      <w:r w:rsidR="001A1F90">
        <w:t xml:space="preserve"> </w:t>
      </w:r>
      <w:r>
        <w:t>of</w:t>
      </w:r>
      <w:r w:rsidR="001A1F90">
        <w:t xml:space="preserve"> </w:t>
      </w:r>
      <w:r>
        <w:t>interventions</w:t>
      </w:r>
      <w:r w:rsidR="001A1F90">
        <w:t xml:space="preserve"> </w:t>
      </w:r>
      <w:r>
        <w:t>(from</w:t>
      </w:r>
      <w:r w:rsidR="001A1F90">
        <w:t xml:space="preserve"> </w:t>
      </w:r>
      <w:r>
        <w:t>the</w:t>
      </w:r>
      <w:r w:rsidR="001A1F90">
        <w:t xml:space="preserve"> </w:t>
      </w:r>
      <w:r>
        <w:t>WFSBP</w:t>
      </w:r>
      <w:r w:rsidR="001A1F90">
        <w:t xml:space="preserve"> </w:t>
      </w:r>
      <w:r w:rsidR="00E4680F">
        <w:t>g</w:t>
      </w:r>
      <w:r>
        <w:t>uidelines)</w:t>
      </w:r>
      <w:r w:rsidR="001A1F90">
        <w:t xml:space="preserve"> </w:t>
      </w:r>
      <w:r>
        <w:t>has</w:t>
      </w:r>
      <w:r w:rsidR="001A1F90">
        <w:t xml:space="preserve"> </w:t>
      </w:r>
      <w:r>
        <w:t>been</w:t>
      </w:r>
      <w:r w:rsidR="001A1F90">
        <w:t xml:space="preserve"> </w:t>
      </w:r>
      <w:r>
        <w:t>followed</w:t>
      </w:r>
      <w:r w:rsidR="001A1F90">
        <w:t xml:space="preserve"> </w:t>
      </w:r>
      <w:r>
        <w:t>due</w:t>
      </w:r>
      <w:r w:rsidR="001A1F90">
        <w:t xml:space="preserve"> </w:t>
      </w:r>
      <w:r>
        <w:t>to</w:t>
      </w:r>
      <w:r w:rsidR="001A1F90">
        <w:t xml:space="preserve"> </w:t>
      </w:r>
      <w:r>
        <w:t>a</w:t>
      </w:r>
      <w:r w:rsidR="001A1F90">
        <w:t xml:space="preserve"> </w:t>
      </w:r>
      <w:r>
        <w:t>lack</w:t>
      </w:r>
      <w:r w:rsidR="001A1F90">
        <w:t xml:space="preserve"> </w:t>
      </w:r>
      <w:r>
        <w:t>of</w:t>
      </w:r>
      <w:r w:rsidR="001A1F90">
        <w:t xml:space="preserve"> </w:t>
      </w:r>
      <w:r>
        <w:t>reduction</w:t>
      </w:r>
      <w:r w:rsidR="001A1F90">
        <w:t xml:space="preserve"> </w:t>
      </w:r>
      <w:r>
        <w:t>of</w:t>
      </w:r>
      <w:r w:rsidR="001A1F90">
        <w:t xml:space="preserve"> </w:t>
      </w:r>
      <w:r>
        <w:t>sexually</w:t>
      </w:r>
      <w:r w:rsidR="001A1F90">
        <w:t xml:space="preserve"> </w:t>
      </w:r>
      <w:r w:rsidR="00C84854">
        <w:t>inappropriate</w:t>
      </w:r>
      <w:r w:rsidR="001A1F90">
        <w:t xml:space="preserve"> </w:t>
      </w:r>
      <w:r>
        <w:t>behaviours</w:t>
      </w:r>
      <w:r w:rsidR="001A1F90">
        <w:t xml:space="preserve"> </w:t>
      </w:r>
      <w:r>
        <w:t>(and</w:t>
      </w:r>
      <w:r w:rsidR="001A1F90">
        <w:t xml:space="preserve"> </w:t>
      </w:r>
      <w:r>
        <w:t>escalation</w:t>
      </w:r>
      <w:r w:rsidR="001A1F90">
        <w:t xml:space="preserve"> </w:t>
      </w:r>
      <w:r>
        <w:t>of</w:t>
      </w:r>
      <w:r w:rsidR="001A1F90">
        <w:t xml:space="preserve"> </w:t>
      </w:r>
      <w:r>
        <w:t>some)</w:t>
      </w:r>
      <w:r w:rsidR="001A1F90">
        <w:t xml:space="preserve"> </w:t>
      </w:r>
      <w:r>
        <w:t>and</w:t>
      </w:r>
      <w:r w:rsidR="001A1F90">
        <w:t xml:space="preserve"> </w:t>
      </w:r>
      <w:r>
        <w:t>the</w:t>
      </w:r>
      <w:r w:rsidR="001A1F90">
        <w:t xml:space="preserve"> </w:t>
      </w:r>
      <w:r>
        <w:t>ongoing</w:t>
      </w:r>
      <w:r w:rsidR="001A1F90">
        <w:t xml:space="preserve"> </w:t>
      </w:r>
      <w:r>
        <w:t>consultations</w:t>
      </w:r>
      <w:r w:rsidR="001A1F90">
        <w:t xml:space="preserve"> </w:t>
      </w:r>
      <w:r>
        <w:t>deemed</w:t>
      </w:r>
      <w:r w:rsidR="001A1F90">
        <w:t xml:space="preserve"> </w:t>
      </w:r>
      <w:r>
        <w:t>necessary</w:t>
      </w:r>
      <w:r w:rsidR="001A1F90">
        <w:t xml:space="preserve"> </w:t>
      </w:r>
      <w:r>
        <w:t>to</w:t>
      </w:r>
      <w:r w:rsidR="001A1F90">
        <w:t xml:space="preserve"> </w:t>
      </w:r>
      <w:r>
        <w:t>consider</w:t>
      </w:r>
      <w:r w:rsidR="001A1F90">
        <w:t xml:space="preserve"> </w:t>
      </w:r>
      <w:r>
        <w:t>informed</w:t>
      </w:r>
      <w:r w:rsidR="001A1F90">
        <w:t xml:space="preserve"> </w:t>
      </w:r>
      <w:r>
        <w:t>consent.</w:t>
      </w:r>
      <w:r w:rsidR="001A1F90">
        <w:t xml:space="preserve"> </w:t>
      </w:r>
      <w:r w:rsidRPr="004B4157">
        <w:rPr>
          <w:rStyle w:val="Strong"/>
        </w:rPr>
        <w:t>Case</w:t>
      </w:r>
      <w:r w:rsidR="001A1F90">
        <w:rPr>
          <w:rStyle w:val="Strong"/>
        </w:rPr>
        <w:t xml:space="preserve"> </w:t>
      </w:r>
      <w:r w:rsidRPr="004B4157">
        <w:rPr>
          <w:rStyle w:val="Strong"/>
        </w:rPr>
        <w:t>example</w:t>
      </w:r>
      <w:r w:rsidR="001A1F90">
        <w:rPr>
          <w:rStyle w:val="Strong"/>
        </w:rPr>
        <w:t xml:space="preserve"> </w:t>
      </w:r>
      <w:r w:rsidRPr="004B4157">
        <w:rPr>
          <w:rStyle w:val="Strong"/>
        </w:rPr>
        <w:t>5</w:t>
      </w:r>
      <w:r w:rsidR="001A1F90">
        <w:t xml:space="preserve"> </w:t>
      </w:r>
      <w:r>
        <w:t>depicts</w:t>
      </w:r>
      <w:r w:rsidR="001A1F90">
        <w:t xml:space="preserve"> </w:t>
      </w:r>
      <w:r>
        <w:t>a</w:t>
      </w:r>
      <w:r w:rsidR="001A1F90">
        <w:t xml:space="preserve"> </w:t>
      </w:r>
      <w:r>
        <w:t>long-term</w:t>
      </w:r>
      <w:r w:rsidR="001A1F90">
        <w:t xml:space="preserve"> </w:t>
      </w:r>
      <w:r>
        <w:t>user</w:t>
      </w:r>
      <w:r w:rsidR="001A1F90">
        <w:t xml:space="preserve"> </w:t>
      </w:r>
      <w:r>
        <w:t>of</w:t>
      </w:r>
      <w:r w:rsidR="001A1F90">
        <w:t xml:space="preserve"> </w:t>
      </w:r>
      <w:r>
        <w:t>anti-libidinal</w:t>
      </w:r>
      <w:r w:rsidR="001A1F90">
        <w:t xml:space="preserve"> </w:t>
      </w:r>
      <w:r>
        <w:t>medication</w:t>
      </w:r>
      <w:r w:rsidR="001A1F90">
        <w:t xml:space="preserve"> </w:t>
      </w:r>
      <w:r>
        <w:t>and</w:t>
      </w:r>
      <w:r w:rsidR="001A1F90">
        <w:t xml:space="preserve"> </w:t>
      </w:r>
      <w:r>
        <w:t>the</w:t>
      </w:r>
      <w:r w:rsidR="001A1F90">
        <w:t xml:space="preserve"> </w:t>
      </w:r>
      <w:r>
        <w:t>benefits</w:t>
      </w:r>
      <w:r w:rsidR="001A1F90">
        <w:t xml:space="preserve"> </w:t>
      </w:r>
      <w:r>
        <w:t>associated</w:t>
      </w:r>
      <w:r w:rsidR="001A1F90">
        <w:t xml:space="preserve"> </w:t>
      </w:r>
      <w:r>
        <w:t>with</w:t>
      </w:r>
      <w:r w:rsidR="001A1F90">
        <w:t xml:space="preserve"> </w:t>
      </w:r>
      <w:r>
        <w:t>initiating</w:t>
      </w:r>
      <w:r w:rsidR="001A1F90">
        <w:t xml:space="preserve"> </w:t>
      </w:r>
      <w:r>
        <w:t>a</w:t>
      </w:r>
      <w:r w:rsidR="001A1F90">
        <w:t xml:space="preserve"> </w:t>
      </w:r>
      <w:r>
        <w:t>regular</w:t>
      </w:r>
      <w:r w:rsidR="001A1F90">
        <w:t xml:space="preserve"> </w:t>
      </w:r>
      <w:r>
        <w:t>monitoring</w:t>
      </w:r>
      <w:r w:rsidR="001A1F90">
        <w:t xml:space="preserve"> </w:t>
      </w:r>
      <w:r>
        <w:t>structure</w:t>
      </w:r>
      <w:r w:rsidR="00DF2A58">
        <w:t>,</w:t>
      </w:r>
      <w:r w:rsidR="001A1F90">
        <w:t xml:space="preserve"> </w:t>
      </w:r>
      <w:r>
        <w:t>which</w:t>
      </w:r>
      <w:r w:rsidR="001A1F90">
        <w:t xml:space="preserve"> </w:t>
      </w:r>
      <w:r>
        <w:t>have</w:t>
      </w:r>
      <w:r w:rsidR="001A1F90">
        <w:t xml:space="preserve"> </w:t>
      </w:r>
      <w:r>
        <w:t>led</w:t>
      </w:r>
      <w:r w:rsidR="001A1F90">
        <w:t xml:space="preserve"> </w:t>
      </w:r>
      <w:r>
        <w:t>to</w:t>
      </w:r>
      <w:r w:rsidR="001A1F90">
        <w:t xml:space="preserve"> </w:t>
      </w:r>
      <w:r>
        <w:t>a</w:t>
      </w:r>
      <w:r w:rsidR="001A1F90">
        <w:t xml:space="preserve"> </w:t>
      </w:r>
      <w:r>
        <w:t>reduction</w:t>
      </w:r>
      <w:r w:rsidR="001A1F90">
        <w:t xml:space="preserve"> </w:t>
      </w:r>
      <w:r>
        <w:t>in</w:t>
      </w:r>
      <w:r w:rsidR="001A1F90">
        <w:t xml:space="preserve"> </w:t>
      </w:r>
      <w:r>
        <w:t>dosage</w:t>
      </w:r>
      <w:r w:rsidR="001A1F90">
        <w:t xml:space="preserve"> </w:t>
      </w:r>
      <w:r>
        <w:t>and</w:t>
      </w:r>
      <w:r w:rsidR="001A1F90">
        <w:t xml:space="preserve"> </w:t>
      </w:r>
      <w:r>
        <w:t>improvements</w:t>
      </w:r>
      <w:r w:rsidR="001A1F90">
        <w:t xml:space="preserve"> </w:t>
      </w:r>
      <w:r>
        <w:t>evidenced</w:t>
      </w:r>
      <w:r w:rsidR="001A1F90">
        <w:t xml:space="preserve"> </w:t>
      </w:r>
      <w:r>
        <w:t>through</w:t>
      </w:r>
      <w:r w:rsidR="001A1F90">
        <w:t xml:space="preserve"> </w:t>
      </w:r>
      <w:r>
        <w:t>combining</w:t>
      </w:r>
      <w:r w:rsidR="001A1F90">
        <w:t xml:space="preserve"> </w:t>
      </w:r>
      <w:r>
        <w:t>this</w:t>
      </w:r>
      <w:r w:rsidR="001A1F90">
        <w:t xml:space="preserve"> </w:t>
      </w:r>
      <w:r>
        <w:t>with</w:t>
      </w:r>
      <w:r w:rsidR="001A1F90">
        <w:t xml:space="preserve"> </w:t>
      </w:r>
      <w:r>
        <w:t>psychotherapeutic</w:t>
      </w:r>
      <w:r w:rsidR="001A1F90">
        <w:t xml:space="preserve"> </w:t>
      </w:r>
      <w:r>
        <w:t>interventions.</w:t>
      </w:r>
      <w:r w:rsidR="001A1F90">
        <w:t xml:space="preserve"> </w:t>
      </w:r>
      <w:r>
        <w:t>Evidence</w:t>
      </w:r>
      <w:r w:rsidR="001A1F90">
        <w:t xml:space="preserve"> </w:t>
      </w:r>
      <w:r>
        <w:t>of</w:t>
      </w:r>
      <w:r w:rsidR="001A1F90">
        <w:t xml:space="preserve"> </w:t>
      </w:r>
      <w:r>
        <w:t>the</w:t>
      </w:r>
      <w:r w:rsidR="001A1F90">
        <w:t xml:space="preserve"> </w:t>
      </w:r>
      <w:r>
        <w:t>long-term</w:t>
      </w:r>
      <w:r w:rsidR="001A1F90">
        <w:t xml:space="preserve"> </w:t>
      </w:r>
      <w:r>
        <w:t>negative</w:t>
      </w:r>
      <w:r w:rsidR="001A1F90">
        <w:t xml:space="preserve"> </w:t>
      </w:r>
      <w:r>
        <w:t>health</w:t>
      </w:r>
      <w:r w:rsidR="001A1F90">
        <w:t xml:space="preserve"> </w:t>
      </w:r>
      <w:r>
        <w:t>consequences</w:t>
      </w:r>
      <w:r w:rsidR="001A1F90">
        <w:t xml:space="preserve"> </w:t>
      </w:r>
      <w:r>
        <w:t>is</w:t>
      </w:r>
      <w:r w:rsidR="001A1F90">
        <w:t xml:space="preserve"> </w:t>
      </w:r>
      <w:r>
        <w:t>also</w:t>
      </w:r>
      <w:r w:rsidR="001A1F90">
        <w:t xml:space="preserve"> </w:t>
      </w:r>
      <w:r>
        <w:t>noted;</w:t>
      </w:r>
      <w:r w:rsidR="001A1F90">
        <w:t xml:space="preserve"> </w:t>
      </w:r>
      <w:r>
        <w:t>however</w:t>
      </w:r>
      <w:r w:rsidR="00DF2A58">
        <w:t>,</w:t>
      </w:r>
      <w:r w:rsidR="001A1F90">
        <w:t xml:space="preserve"> </w:t>
      </w:r>
      <w:r>
        <w:t>it</w:t>
      </w:r>
      <w:r w:rsidR="001A1F90">
        <w:t xml:space="preserve"> </w:t>
      </w:r>
      <w:r>
        <w:t>is</w:t>
      </w:r>
      <w:r w:rsidR="001A1F90">
        <w:t xml:space="preserve"> </w:t>
      </w:r>
      <w:r>
        <w:t>not</w:t>
      </w:r>
      <w:r w:rsidR="001A1F90">
        <w:t xml:space="preserve"> </w:t>
      </w:r>
      <w:r>
        <w:t>clear</w:t>
      </w:r>
      <w:r w:rsidR="001A1F90">
        <w:t xml:space="preserve"> </w:t>
      </w:r>
      <w:r>
        <w:t>whether</w:t>
      </w:r>
      <w:r w:rsidR="001A1F90">
        <w:t xml:space="preserve"> </w:t>
      </w:r>
      <w:r>
        <w:t>this</w:t>
      </w:r>
      <w:r w:rsidR="001A1F90">
        <w:t xml:space="preserve"> </w:t>
      </w:r>
      <w:r>
        <w:t>is</w:t>
      </w:r>
      <w:r w:rsidR="001A1F90">
        <w:t xml:space="preserve"> </w:t>
      </w:r>
      <w:r>
        <w:t>associated</w:t>
      </w:r>
      <w:r w:rsidR="001A1F90">
        <w:t xml:space="preserve"> </w:t>
      </w:r>
      <w:r>
        <w:t>with</w:t>
      </w:r>
      <w:r w:rsidR="001A1F90">
        <w:t xml:space="preserve"> </w:t>
      </w:r>
      <w:r>
        <w:t>a</w:t>
      </w:r>
      <w:r w:rsidR="001A1F90">
        <w:t xml:space="preserve"> </w:t>
      </w:r>
      <w:r>
        <w:t>lack</w:t>
      </w:r>
      <w:r w:rsidR="001A1F90">
        <w:t xml:space="preserve"> </w:t>
      </w:r>
      <w:r>
        <w:t>of</w:t>
      </w:r>
      <w:r w:rsidR="001A1F90">
        <w:t xml:space="preserve"> </w:t>
      </w:r>
      <w:r>
        <w:t>close</w:t>
      </w:r>
      <w:r w:rsidR="001A1F90">
        <w:t xml:space="preserve"> </w:t>
      </w:r>
      <w:r>
        <w:t>monitoring</w:t>
      </w:r>
      <w:r w:rsidR="001A1F90">
        <w:t xml:space="preserve"> </w:t>
      </w:r>
      <w:r>
        <w:t>early</w:t>
      </w:r>
      <w:r w:rsidR="001A1F90">
        <w:t xml:space="preserve"> </w:t>
      </w:r>
      <w:r>
        <w:t>in</w:t>
      </w:r>
      <w:r w:rsidR="001A1F90">
        <w:t xml:space="preserve"> </w:t>
      </w:r>
      <w:r>
        <w:t>treatment</w:t>
      </w:r>
      <w:r w:rsidR="001A1F90">
        <w:t xml:space="preserve"> </w:t>
      </w:r>
      <w:r>
        <w:t>or</w:t>
      </w:r>
      <w:r w:rsidR="001A1F90">
        <w:t xml:space="preserve"> </w:t>
      </w:r>
      <w:r>
        <w:t>the</w:t>
      </w:r>
      <w:r w:rsidR="001A1F90">
        <w:t xml:space="preserve"> </w:t>
      </w:r>
      <w:r>
        <w:t>long-term</w:t>
      </w:r>
      <w:r w:rsidR="001A1F90">
        <w:t xml:space="preserve"> </w:t>
      </w:r>
      <w:r>
        <w:t>prescription</w:t>
      </w:r>
      <w:r w:rsidR="001A1F90">
        <w:t xml:space="preserve"> </w:t>
      </w:r>
      <w:r>
        <w:t>of</w:t>
      </w:r>
      <w:r w:rsidR="001A1F90">
        <w:t xml:space="preserve"> </w:t>
      </w:r>
      <w:r>
        <w:t>the</w:t>
      </w:r>
      <w:r w:rsidR="001A1F90">
        <w:t xml:space="preserve"> </w:t>
      </w:r>
      <w:r>
        <w:t>medications.</w:t>
      </w:r>
      <w:r w:rsidR="001A1F90">
        <w:t xml:space="preserve"> </w:t>
      </w:r>
      <w:r>
        <w:t>Also,</w:t>
      </w:r>
      <w:r w:rsidR="001A1F90">
        <w:t xml:space="preserve"> </w:t>
      </w:r>
      <w:r>
        <w:t>of</w:t>
      </w:r>
      <w:r w:rsidR="001A1F90">
        <w:t xml:space="preserve"> </w:t>
      </w:r>
      <w:r>
        <w:t>note,</w:t>
      </w:r>
      <w:r w:rsidR="001A1F90">
        <w:t xml:space="preserve"> </w:t>
      </w:r>
      <w:r>
        <w:t>a</w:t>
      </w:r>
      <w:r w:rsidR="001A1F90">
        <w:t xml:space="preserve"> </w:t>
      </w:r>
      <w:r>
        <w:t>suggestion</w:t>
      </w:r>
      <w:r w:rsidR="001A1F90">
        <w:t xml:space="preserve"> </w:t>
      </w:r>
      <w:r>
        <w:t>that</w:t>
      </w:r>
      <w:r w:rsidR="001A1F90">
        <w:t xml:space="preserve"> </w:t>
      </w:r>
      <w:r>
        <w:t>a</w:t>
      </w:r>
      <w:r w:rsidR="001A1F90">
        <w:t xml:space="preserve"> </w:t>
      </w:r>
      <w:r>
        <w:t>more</w:t>
      </w:r>
      <w:r w:rsidR="001A1F90">
        <w:t xml:space="preserve"> </w:t>
      </w:r>
      <w:r>
        <w:t>nuanced</w:t>
      </w:r>
      <w:r w:rsidR="001A1F90">
        <w:t xml:space="preserve"> </w:t>
      </w:r>
      <w:r>
        <w:t>approach</w:t>
      </w:r>
      <w:r w:rsidR="001A1F90">
        <w:t xml:space="preserve"> </w:t>
      </w:r>
      <w:r>
        <w:t>to</w:t>
      </w:r>
      <w:r w:rsidR="001A1F90">
        <w:t xml:space="preserve"> </w:t>
      </w:r>
      <w:r>
        <w:t>determining</w:t>
      </w:r>
      <w:r w:rsidR="001A1F90">
        <w:t xml:space="preserve"> </w:t>
      </w:r>
      <w:r>
        <w:t>consent</w:t>
      </w:r>
      <w:r w:rsidR="001A1F90">
        <w:t xml:space="preserve"> </w:t>
      </w:r>
      <w:r>
        <w:t>identifies</w:t>
      </w:r>
      <w:r w:rsidR="001A1F90">
        <w:t xml:space="preserve"> </w:t>
      </w:r>
      <w:r>
        <w:t>ongoing</w:t>
      </w:r>
      <w:r w:rsidR="001A1F90">
        <w:t xml:space="preserve"> </w:t>
      </w:r>
      <w:r>
        <w:t>concerns</w:t>
      </w:r>
      <w:r w:rsidR="001A1F90">
        <w:t xml:space="preserve"> </w:t>
      </w:r>
      <w:r>
        <w:t>about</w:t>
      </w:r>
      <w:r w:rsidR="001A1F90">
        <w:t xml:space="preserve"> </w:t>
      </w:r>
      <w:r>
        <w:t>whether</w:t>
      </w:r>
      <w:r w:rsidR="001A1F90">
        <w:t xml:space="preserve"> </w:t>
      </w:r>
      <w:r>
        <w:t>consent</w:t>
      </w:r>
      <w:r w:rsidR="001A1F90">
        <w:t xml:space="preserve"> </w:t>
      </w:r>
      <w:r>
        <w:t>is</w:t>
      </w:r>
      <w:r w:rsidR="001A1F90">
        <w:t xml:space="preserve"> </w:t>
      </w:r>
      <w:r>
        <w:t>actually</w:t>
      </w:r>
      <w:r w:rsidR="001A1F90">
        <w:t xml:space="preserve"> </w:t>
      </w:r>
      <w:r>
        <w:t>informed</w:t>
      </w:r>
      <w:r w:rsidR="001A1F90">
        <w:t xml:space="preserve"> </w:t>
      </w:r>
      <w:r>
        <w:t>consent.</w:t>
      </w:r>
      <w:r w:rsidR="001A1F90">
        <w:t xml:space="preserve"> </w:t>
      </w:r>
      <w:r>
        <w:t>Last,</w:t>
      </w:r>
      <w:r w:rsidR="001A1F90">
        <w:t xml:space="preserve"> </w:t>
      </w:r>
      <w:r w:rsidR="00B87022">
        <w:rPr>
          <w:rStyle w:val="Strong"/>
        </w:rPr>
        <w:t>C</w:t>
      </w:r>
      <w:r w:rsidRPr="004B4157">
        <w:rPr>
          <w:rStyle w:val="Strong"/>
        </w:rPr>
        <w:t>ase</w:t>
      </w:r>
      <w:r w:rsidR="001A1F90">
        <w:rPr>
          <w:rStyle w:val="Strong"/>
        </w:rPr>
        <w:t xml:space="preserve"> </w:t>
      </w:r>
      <w:r w:rsidRPr="004B4157">
        <w:rPr>
          <w:rStyle w:val="Strong"/>
        </w:rPr>
        <w:t>example</w:t>
      </w:r>
      <w:r w:rsidR="001A1F90">
        <w:rPr>
          <w:rStyle w:val="Strong"/>
        </w:rPr>
        <w:t xml:space="preserve"> </w:t>
      </w:r>
      <w:r w:rsidRPr="004B4157">
        <w:rPr>
          <w:rStyle w:val="Strong"/>
        </w:rPr>
        <w:t>6</w:t>
      </w:r>
      <w:r w:rsidR="001A1F90">
        <w:t xml:space="preserve"> </w:t>
      </w:r>
      <w:r>
        <w:t>demonstrates</w:t>
      </w:r>
      <w:r w:rsidR="001A1F90">
        <w:t xml:space="preserve"> </w:t>
      </w:r>
      <w:r>
        <w:t>a</w:t>
      </w:r>
      <w:r w:rsidR="001A1F90">
        <w:t xml:space="preserve"> </w:t>
      </w:r>
      <w:r>
        <w:t>conflict</w:t>
      </w:r>
      <w:r w:rsidR="001A1F90">
        <w:t xml:space="preserve"> </w:t>
      </w:r>
      <w:r>
        <w:t>between</w:t>
      </w:r>
      <w:r w:rsidR="001A1F90">
        <w:t xml:space="preserve"> </w:t>
      </w:r>
      <w:r>
        <w:t>an</w:t>
      </w:r>
      <w:r w:rsidR="001A1F90">
        <w:t xml:space="preserve"> </w:t>
      </w:r>
      <w:r>
        <w:t>expert</w:t>
      </w:r>
      <w:r w:rsidR="001A1F90">
        <w:t xml:space="preserve"> </w:t>
      </w:r>
      <w:r>
        <w:t>opinion,</w:t>
      </w:r>
      <w:r w:rsidR="001A1F90">
        <w:t xml:space="preserve"> </w:t>
      </w:r>
      <w:r>
        <w:t>guided</w:t>
      </w:r>
      <w:r w:rsidR="001A1F90">
        <w:t xml:space="preserve"> </w:t>
      </w:r>
      <w:r>
        <w:t>by</w:t>
      </w:r>
      <w:r w:rsidR="001A1F90">
        <w:t xml:space="preserve"> </w:t>
      </w:r>
      <w:r>
        <w:t>explicit</w:t>
      </w:r>
      <w:r w:rsidR="001A1F90">
        <w:t xml:space="preserve"> </w:t>
      </w:r>
      <w:r>
        <w:t>referral</w:t>
      </w:r>
      <w:r w:rsidR="001A1F90">
        <w:t xml:space="preserve"> </w:t>
      </w:r>
      <w:r>
        <w:t>to</w:t>
      </w:r>
      <w:r w:rsidR="001A1F90">
        <w:t xml:space="preserve"> </w:t>
      </w:r>
      <w:r>
        <w:t>the</w:t>
      </w:r>
      <w:r w:rsidR="001A1F90">
        <w:t xml:space="preserve"> </w:t>
      </w:r>
      <w:r>
        <w:t>WFSBP</w:t>
      </w:r>
      <w:r w:rsidR="001A1F90">
        <w:t xml:space="preserve"> </w:t>
      </w:r>
      <w:r w:rsidR="00E4680F">
        <w:t>g</w:t>
      </w:r>
      <w:r>
        <w:t>uidelines</w:t>
      </w:r>
      <w:r w:rsidR="001A1F90">
        <w:t xml:space="preserve"> </w:t>
      </w:r>
      <w:r>
        <w:t>and</w:t>
      </w:r>
      <w:r w:rsidR="001A1F90">
        <w:t xml:space="preserve"> </w:t>
      </w:r>
      <w:r>
        <w:t>those</w:t>
      </w:r>
      <w:r w:rsidR="001A1F90">
        <w:t xml:space="preserve"> </w:t>
      </w:r>
      <w:r>
        <w:t>of</w:t>
      </w:r>
      <w:r w:rsidR="001A1F90">
        <w:t xml:space="preserve"> </w:t>
      </w:r>
      <w:r>
        <w:t>other</w:t>
      </w:r>
      <w:r w:rsidR="001A1F90">
        <w:t xml:space="preserve"> </w:t>
      </w:r>
      <w:r>
        <w:t>decision</w:t>
      </w:r>
      <w:r w:rsidR="00DF2A58">
        <w:t>-</w:t>
      </w:r>
      <w:r>
        <w:t>makers</w:t>
      </w:r>
      <w:r w:rsidR="001A1F90">
        <w:t xml:space="preserve"> </w:t>
      </w:r>
      <w:r>
        <w:t>and</w:t>
      </w:r>
      <w:r w:rsidR="001A1F90">
        <w:t xml:space="preserve"> </w:t>
      </w:r>
      <w:r>
        <w:t>the</w:t>
      </w:r>
      <w:r w:rsidR="001A1F90">
        <w:t xml:space="preserve"> </w:t>
      </w:r>
      <w:r>
        <w:t>knock-on</w:t>
      </w:r>
      <w:r w:rsidR="001A1F90">
        <w:t xml:space="preserve"> </w:t>
      </w:r>
      <w:r>
        <w:t>detrimental</w:t>
      </w:r>
      <w:r w:rsidR="001A1F90">
        <w:t xml:space="preserve"> </w:t>
      </w:r>
      <w:r>
        <w:t>effects</w:t>
      </w:r>
      <w:r w:rsidR="001A1F90">
        <w:t xml:space="preserve"> </w:t>
      </w:r>
      <w:r>
        <w:t>on</w:t>
      </w:r>
      <w:r w:rsidR="001A1F90">
        <w:t xml:space="preserve"> </w:t>
      </w:r>
      <w:r>
        <w:t>the</w:t>
      </w:r>
      <w:r w:rsidR="001A1F90">
        <w:t xml:space="preserve"> </w:t>
      </w:r>
      <w:r>
        <w:t>individual</w:t>
      </w:r>
      <w:r w:rsidR="001A1F90">
        <w:t xml:space="preserve"> </w:t>
      </w:r>
      <w:r>
        <w:t>and</w:t>
      </w:r>
      <w:r w:rsidR="001A1F90">
        <w:t xml:space="preserve"> </w:t>
      </w:r>
      <w:r>
        <w:t>the</w:t>
      </w:r>
      <w:r w:rsidR="001A1F90">
        <w:t xml:space="preserve"> </w:t>
      </w:r>
      <w:r>
        <w:t>risk</w:t>
      </w:r>
      <w:r w:rsidR="001A1F90">
        <w:t xml:space="preserve"> </w:t>
      </w:r>
      <w:r>
        <w:t>management</w:t>
      </w:r>
      <w:r w:rsidR="001A1F90">
        <w:t xml:space="preserve"> </w:t>
      </w:r>
      <w:r>
        <w:t>of</w:t>
      </w:r>
      <w:r w:rsidR="001A1F90">
        <w:t xml:space="preserve"> </w:t>
      </w:r>
      <w:r>
        <w:t>that</w:t>
      </w:r>
      <w:r w:rsidR="001A1F90">
        <w:t xml:space="preserve"> </w:t>
      </w:r>
      <w:r>
        <w:t>person.</w:t>
      </w:r>
      <w:r w:rsidR="001A1F90">
        <w:t xml:space="preserve"> </w:t>
      </w:r>
      <w:r>
        <w:t>There</w:t>
      </w:r>
      <w:r w:rsidR="001A1F90">
        <w:t xml:space="preserve"> </w:t>
      </w:r>
      <w:r>
        <w:t>were</w:t>
      </w:r>
      <w:r w:rsidR="001A1F90">
        <w:t xml:space="preserve"> </w:t>
      </w:r>
      <w:r>
        <w:t>tangible</w:t>
      </w:r>
      <w:r w:rsidR="001A1F90">
        <w:t xml:space="preserve"> </w:t>
      </w:r>
      <w:r>
        <w:t>benefits</w:t>
      </w:r>
      <w:r w:rsidR="001A1F90">
        <w:t xml:space="preserve"> </w:t>
      </w:r>
      <w:r>
        <w:t>associated</w:t>
      </w:r>
      <w:r w:rsidR="001A1F90">
        <w:t xml:space="preserve"> </w:t>
      </w:r>
      <w:r>
        <w:t>with</w:t>
      </w:r>
      <w:r w:rsidR="001A1F90">
        <w:t xml:space="preserve"> </w:t>
      </w:r>
      <w:r>
        <w:t>anti-libidinal</w:t>
      </w:r>
      <w:r w:rsidR="001A1F90">
        <w:t xml:space="preserve"> </w:t>
      </w:r>
      <w:r>
        <w:t>medications</w:t>
      </w:r>
      <w:r w:rsidR="001A1F90">
        <w:t xml:space="preserve"> </w:t>
      </w:r>
      <w:r>
        <w:t>in</w:t>
      </w:r>
      <w:r w:rsidR="001A1F90">
        <w:t xml:space="preserve"> </w:t>
      </w:r>
      <w:r>
        <w:t>this</w:t>
      </w:r>
      <w:r w:rsidR="001A1F90">
        <w:t xml:space="preserve"> </w:t>
      </w:r>
      <w:r>
        <w:t>case,</w:t>
      </w:r>
      <w:r w:rsidR="001A1F90">
        <w:t xml:space="preserve"> </w:t>
      </w:r>
      <w:r>
        <w:t>as</w:t>
      </w:r>
      <w:r w:rsidR="001A1F90">
        <w:t xml:space="preserve"> </w:t>
      </w:r>
      <w:r>
        <w:t>part</w:t>
      </w:r>
      <w:r w:rsidR="001A1F90">
        <w:t xml:space="preserve"> </w:t>
      </w:r>
      <w:r>
        <w:t>of</w:t>
      </w:r>
      <w:r w:rsidR="001A1F90">
        <w:t xml:space="preserve"> </w:t>
      </w:r>
      <w:r>
        <w:t>a</w:t>
      </w:r>
      <w:r w:rsidR="001A1F90">
        <w:t xml:space="preserve"> </w:t>
      </w:r>
      <w:r>
        <w:t>treatment</w:t>
      </w:r>
      <w:r w:rsidR="001A1F90">
        <w:t xml:space="preserve"> </w:t>
      </w:r>
      <w:r>
        <w:t>plan.</w:t>
      </w:r>
      <w:r w:rsidR="001A1F90">
        <w:t xml:space="preserve"> </w:t>
      </w:r>
      <w:r>
        <w:t>An</w:t>
      </w:r>
      <w:r w:rsidR="001A1F90">
        <w:t xml:space="preserve"> </w:t>
      </w:r>
      <w:r>
        <w:t>additional</w:t>
      </w:r>
      <w:r w:rsidR="001A1F90">
        <w:t xml:space="preserve"> </w:t>
      </w:r>
      <w:r>
        <w:t>challenge</w:t>
      </w:r>
      <w:r w:rsidR="001A1F90">
        <w:t xml:space="preserve"> </w:t>
      </w:r>
      <w:r>
        <w:t>included</w:t>
      </w:r>
      <w:r w:rsidR="001A1F90">
        <w:t xml:space="preserve"> </w:t>
      </w:r>
      <w:r>
        <w:t>here</w:t>
      </w:r>
      <w:r w:rsidR="001A1F90">
        <w:t xml:space="preserve"> </w:t>
      </w:r>
      <w:r>
        <w:t>relates</w:t>
      </w:r>
      <w:r w:rsidR="001A1F90">
        <w:t xml:space="preserve"> </w:t>
      </w:r>
      <w:r>
        <w:t>to</w:t>
      </w:r>
      <w:r w:rsidR="001A1F90">
        <w:t xml:space="preserve"> </w:t>
      </w:r>
      <w:r>
        <w:t>challenges</w:t>
      </w:r>
      <w:r w:rsidR="001A1F90">
        <w:t xml:space="preserve"> </w:t>
      </w:r>
      <w:r>
        <w:t>raised</w:t>
      </w:r>
      <w:r w:rsidR="001A1F90">
        <w:t xml:space="preserve"> </w:t>
      </w:r>
      <w:r>
        <w:t>under</w:t>
      </w:r>
      <w:r w:rsidR="001A1F90">
        <w:t xml:space="preserve"> </w:t>
      </w:r>
      <w:r w:rsidR="00DF2A58">
        <w:t xml:space="preserve">a </w:t>
      </w:r>
      <w:r>
        <w:t>certain</w:t>
      </w:r>
      <w:r w:rsidR="001A1F90">
        <w:t xml:space="preserve"> </w:t>
      </w:r>
      <w:r>
        <w:t>legislative</w:t>
      </w:r>
      <w:r w:rsidR="001A1F90">
        <w:t xml:space="preserve"> </w:t>
      </w:r>
      <w:r>
        <w:t>framework</w:t>
      </w:r>
      <w:r w:rsidR="001A1F90">
        <w:t xml:space="preserve"> </w:t>
      </w:r>
      <w:r>
        <w:t>(in</w:t>
      </w:r>
      <w:r w:rsidR="001A1F90">
        <w:t xml:space="preserve"> </w:t>
      </w:r>
      <w:r>
        <w:t>this</w:t>
      </w:r>
      <w:r w:rsidR="001A1F90">
        <w:t xml:space="preserve"> </w:t>
      </w:r>
      <w:r>
        <w:t>case</w:t>
      </w:r>
      <w:r w:rsidR="001A1F90">
        <w:t xml:space="preserve"> </w:t>
      </w:r>
      <w:r>
        <w:t>where</w:t>
      </w:r>
      <w:r w:rsidR="001A1F90">
        <w:t xml:space="preserve"> </w:t>
      </w:r>
      <w:r>
        <w:t>the</w:t>
      </w:r>
      <w:r w:rsidR="001A1F90">
        <w:t xml:space="preserve"> </w:t>
      </w:r>
      <w:r>
        <w:t>Adult</w:t>
      </w:r>
      <w:r w:rsidR="001A1F90">
        <w:t xml:space="preserve"> </w:t>
      </w:r>
      <w:r>
        <w:t>Guardian</w:t>
      </w:r>
      <w:r w:rsidR="001A1F90">
        <w:t xml:space="preserve"> </w:t>
      </w:r>
      <w:r>
        <w:t>is</w:t>
      </w:r>
      <w:r w:rsidR="001A1F90">
        <w:t xml:space="preserve"> </w:t>
      </w:r>
      <w:r>
        <w:t>involved)</w:t>
      </w:r>
      <w:r w:rsidR="001A1F90">
        <w:t xml:space="preserve"> </w:t>
      </w:r>
      <w:r>
        <w:t>and</w:t>
      </w:r>
      <w:r w:rsidR="001A1F90">
        <w:t xml:space="preserve"> </w:t>
      </w:r>
      <w:r>
        <w:t>differences</w:t>
      </w:r>
      <w:r w:rsidR="001A1F90">
        <w:t xml:space="preserve"> </w:t>
      </w:r>
      <w:r>
        <w:t>of</w:t>
      </w:r>
      <w:r w:rsidR="001A1F90">
        <w:t xml:space="preserve"> </w:t>
      </w:r>
      <w:r>
        <w:t>opinion</w:t>
      </w:r>
      <w:r w:rsidR="001A1F90">
        <w:t xml:space="preserve"> </w:t>
      </w:r>
      <w:r>
        <w:t>this</w:t>
      </w:r>
      <w:r w:rsidR="001A1F90">
        <w:t xml:space="preserve"> </w:t>
      </w:r>
      <w:r>
        <w:t>can</w:t>
      </w:r>
      <w:r w:rsidR="001A1F90">
        <w:t xml:space="preserve"> </w:t>
      </w:r>
      <w:r>
        <w:t>lead</w:t>
      </w:r>
      <w:r w:rsidR="001A1F90">
        <w:t xml:space="preserve"> </w:t>
      </w:r>
      <w:r>
        <w:t>to.</w:t>
      </w:r>
    </w:p>
    <w:p w14:paraId="42357418" w14:textId="01E2C6C5" w:rsidR="004946F1" w:rsidRDefault="004946F1" w:rsidP="009B0E14">
      <w:pPr>
        <w:pStyle w:val="Heading2"/>
      </w:pPr>
      <w:bookmarkStart w:id="19" w:name="_Toc20225607"/>
      <w:r>
        <w:t>Case</w:t>
      </w:r>
      <w:r w:rsidR="001A1F90">
        <w:t xml:space="preserve"> </w:t>
      </w:r>
      <w:r>
        <w:t>1</w:t>
      </w:r>
      <w:r w:rsidR="00301CA9">
        <w:t>:</w:t>
      </w:r>
      <w:r w:rsidR="001A1F90">
        <w:t xml:space="preserve"> </w:t>
      </w:r>
      <w:r>
        <w:t>Vic</w:t>
      </w:r>
      <w:r w:rsidR="001A1F90">
        <w:t>toria</w:t>
      </w:r>
      <w:bookmarkEnd w:id="19"/>
    </w:p>
    <w:p w14:paraId="17B394C3" w14:textId="333257DF" w:rsidR="004946F1" w:rsidRDefault="004946F1" w:rsidP="00BD612C">
      <w:pPr>
        <w:pStyle w:val="DHHSbody"/>
      </w:pPr>
      <w:r>
        <w:t>A</w:t>
      </w:r>
      <w:r w:rsidR="001A1F90">
        <w:t xml:space="preserve"> </w:t>
      </w:r>
      <w:r>
        <w:t>blind</w:t>
      </w:r>
      <w:r w:rsidR="001A1F90">
        <w:t xml:space="preserve"> </w:t>
      </w:r>
      <w:r>
        <w:t>49-year-old</w:t>
      </w:r>
      <w:r w:rsidR="001A1F90">
        <w:t xml:space="preserve"> </w:t>
      </w:r>
      <w:r>
        <w:t>male</w:t>
      </w:r>
      <w:r w:rsidR="00070699">
        <w:t xml:space="preserve"> was</w:t>
      </w:r>
      <w:r w:rsidR="001A1F90">
        <w:t xml:space="preserve"> </w:t>
      </w:r>
      <w:r>
        <w:t>previously</w:t>
      </w:r>
      <w:r w:rsidR="001A1F90">
        <w:t xml:space="preserve"> </w:t>
      </w:r>
      <w:r>
        <w:t>alleged</w:t>
      </w:r>
      <w:r w:rsidR="001A1F90">
        <w:t xml:space="preserve"> </w:t>
      </w:r>
      <w:r>
        <w:t>to</w:t>
      </w:r>
      <w:r w:rsidR="001A1F90">
        <w:t xml:space="preserve"> </w:t>
      </w:r>
      <w:r>
        <w:t>have</w:t>
      </w:r>
      <w:r w:rsidR="001A1F90">
        <w:t xml:space="preserve"> </w:t>
      </w:r>
      <w:r>
        <w:t>inappropriately</w:t>
      </w:r>
      <w:r w:rsidR="001A1F90">
        <w:t xml:space="preserve"> </w:t>
      </w:r>
      <w:r>
        <w:t>sexually</w:t>
      </w:r>
      <w:r w:rsidR="001A1F90">
        <w:t xml:space="preserve"> </w:t>
      </w:r>
      <w:r>
        <w:t>touched</w:t>
      </w:r>
      <w:r w:rsidR="001A1F90">
        <w:t xml:space="preserve"> </w:t>
      </w:r>
      <w:r>
        <w:t>and</w:t>
      </w:r>
      <w:r w:rsidR="001A1F90">
        <w:t xml:space="preserve"> </w:t>
      </w:r>
      <w:r>
        <w:t>masturbated</w:t>
      </w:r>
      <w:r w:rsidR="001A1F90">
        <w:t xml:space="preserve"> </w:t>
      </w:r>
      <w:r>
        <w:t>in</w:t>
      </w:r>
      <w:r w:rsidR="001A1F90">
        <w:t xml:space="preserve"> </w:t>
      </w:r>
      <w:r>
        <w:t>front</w:t>
      </w:r>
      <w:r w:rsidR="001A1F90">
        <w:t xml:space="preserve"> </w:t>
      </w:r>
      <w:r>
        <w:t>of</w:t>
      </w:r>
      <w:r w:rsidR="001A1F90">
        <w:t xml:space="preserve"> </w:t>
      </w:r>
      <w:r>
        <w:t>his</w:t>
      </w:r>
      <w:r w:rsidR="001A1F90">
        <w:t xml:space="preserve"> </w:t>
      </w:r>
      <w:r>
        <w:t>young</w:t>
      </w:r>
      <w:r w:rsidR="001A1F90">
        <w:t xml:space="preserve"> </w:t>
      </w:r>
      <w:r>
        <w:t>female</w:t>
      </w:r>
      <w:r w:rsidR="001A1F90">
        <w:t xml:space="preserve"> </w:t>
      </w:r>
      <w:r>
        <w:t>half-sister,</w:t>
      </w:r>
      <w:r w:rsidR="001A1F90">
        <w:t xml:space="preserve"> </w:t>
      </w:r>
      <w:r>
        <w:t>though</w:t>
      </w:r>
      <w:r w:rsidR="001A1F90">
        <w:t xml:space="preserve"> </w:t>
      </w:r>
      <w:r>
        <w:t>there</w:t>
      </w:r>
      <w:r w:rsidR="001A1F90">
        <w:t xml:space="preserve"> </w:t>
      </w:r>
      <w:r>
        <w:t>were</w:t>
      </w:r>
      <w:r w:rsidR="001A1F90">
        <w:t xml:space="preserve"> </w:t>
      </w:r>
      <w:r>
        <w:t>no</w:t>
      </w:r>
      <w:r w:rsidR="001A1F90">
        <w:t xml:space="preserve"> </w:t>
      </w:r>
      <w:r>
        <w:t>charges</w:t>
      </w:r>
      <w:r w:rsidR="001A1F90">
        <w:t xml:space="preserve"> </w:t>
      </w:r>
      <w:r>
        <w:t>or</w:t>
      </w:r>
      <w:r w:rsidR="001A1F90">
        <w:t xml:space="preserve"> </w:t>
      </w:r>
      <w:r>
        <w:t>other</w:t>
      </w:r>
      <w:r w:rsidR="001A1F90">
        <w:t xml:space="preserve"> </w:t>
      </w:r>
      <w:r>
        <w:t>follow-up.</w:t>
      </w:r>
      <w:r w:rsidR="001A1F90">
        <w:t xml:space="preserve"> </w:t>
      </w:r>
      <w:r>
        <w:t>He</w:t>
      </w:r>
      <w:r w:rsidR="001A1F90">
        <w:t xml:space="preserve"> </w:t>
      </w:r>
      <w:r>
        <w:t>had</w:t>
      </w:r>
      <w:r w:rsidR="001A1F90">
        <w:t xml:space="preserve"> </w:t>
      </w:r>
      <w:r>
        <w:t>psychotherapeutic</w:t>
      </w:r>
      <w:r w:rsidR="001A1F90">
        <w:t xml:space="preserve"> </w:t>
      </w:r>
      <w:r>
        <w:t>involvement</w:t>
      </w:r>
      <w:r w:rsidR="001A1F90">
        <w:t xml:space="preserve"> </w:t>
      </w:r>
      <w:r>
        <w:t>in</w:t>
      </w:r>
      <w:r w:rsidR="001A1F90">
        <w:t xml:space="preserve"> </w:t>
      </w:r>
      <w:r>
        <w:t>2005,</w:t>
      </w:r>
      <w:r w:rsidR="001A1F90">
        <w:t xml:space="preserve"> </w:t>
      </w:r>
      <w:r>
        <w:t>with</w:t>
      </w:r>
      <w:r w:rsidR="001A1F90">
        <w:t xml:space="preserve"> </w:t>
      </w:r>
      <w:r>
        <w:t>only</w:t>
      </w:r>
      <w:r w:rsidR="001A1F90">
        <w:t xml:space="preserve"> </w:t>
      </w:r>
      <w:r>
        <w:t>limited</w:t>
      </w:r>
      <w:r w:rsidR="001A1F90">
        <w:t xml:space="preserve"> </w:t>
      </w:r>
      <w:r>
        <w:t>success</w:t>
      </w:r>
      <w:r w:rsidR="001A1F90">
        <w:t xml:space="preserve"> </w:t>
      </w:r>
      <w:r>
        <w:t>due</w:t>
      </w:r>
      <w:r w:rsidR="001A1F90">
        <w:t xml:space="preserve"> </w:t>
      </w:r>
      <w:r>
        <w:t>to</w:t>
      </w:r>
      <w:r w:rsidR="001A1F90">
        <w:t xml:space="preserve"> </w:t>
      </w:r>
      <w:r>
        <w:t>rigidity</w:t>
      </w:r>
      <w:r w:rsidR="001A1F90">
        <w:t xml:space="preserve"> </w:t>
      </w:r>
      <w:r>
        <w:t>and</w:t>
      </w:r>
      <w:r w:rsidR="001A1F90">
        <w:t xml:space="preserve"> </w:t>
      </w:r>
      <w:r>
        <w:t>concrete</w:t>
      </w:r>
      <w:r w:rsidR="001A1F90">
        <w:t xml:space="preserve"> </w:t>
      </w:r>
      <w:r>
        <w:t>thinking</w:t>
      </w:r>
      <w:r w:rsidR="001A1F90">
        <w:t xml:space="preserve"> </w:t>
      </w:r>
      <w:r>
        <w:t>around</w:t>
      </w:r>
      <w:r w:rsidR="001A1F90">
        <w:t xml:space="preserve"> </w:t>
      </w:r>
      <w:r>
        <w:t>a</w:t>
      </w:r>
      <w:r w:rsidR="001A1F90">
        <w:t xml:space="preserve"> </w:t>
      </w:r>
      <w:r>
        <w:t>paraphilic</w:t>
      </w:r>
      <w:r w:rsidR="001A1F90">
        <w:t xml:space="preserve"> </w:t>
      </w:r>
      <w:r>
        <w:t>sense</w:t>
      </w:r>
      <w:r w:rsidR="001A1F90">
        <w:t xml:space="preserve"> </w:t>
      </w:r>
      <w:r>
        <w:t>of</w:t>
      </w:r>
      <w:r w:rsidR="001A1F90">
        <w:t xml:space="preserve"> </w:t>
      </w:r>
      <w:r>
        <w:t>entitlement</w:t>
      </w:r>
      <w:r w:rsidR="001A1F90">
        <w:t xml:space="preserve"> </w:t>
      </w:r>
      <w:r>
        <w:t>and</w:t>
      </w:r>
      <w:r w:rsidR="001A1F90">
        <w:t xml:space="preserve"> </w:t>
      </w:r>
      <w:r>
        <w:t>rigid</w:t>
      </w:r>
      <w:r w:rsidR="001A1F90">
        <w:t xml:space="preserve"> </w:t>
      </w:r>
      <w:r>
        <w:t>cognitive</w:t>
      </w:r>
      <w:r w:rsidR="001A1F90">
        <w:t xml:space="preserve"> </w:t>
      </w:r>
      <w:r>
        <w:t>distortions</w:t>
      </w:r>
      <w:r w:rsidR="001A1F90">
        <w:t xml:space="preserve"> </w:t>
      </w:r>
      <w:r>
        <w:t>and</w:t>
      </w:r>
      <w:r w:rsidR="001A1F90">
        <w:t xml:space="preserve"> </w:t>
      </w:r>
      <w:r>
        <w:t>so</w:t>
      </w:r>
      <w:r w:rsidR="001A1F90">
        <w:t xml:space="preserve"> </w:t>
      </w:r>
      <w:r>
        <w:t>was</w:t>
      </w:r>
      <w:r w:rsidR="001A1F90">
        <w:t xml:space="preserve"> </w:t>
      </w:r>
      <w:r>
        <w:t>immediately</w:t>
      </w:r>
      <w:r w:rsidR="001A1F90">
        <w:t xml:space="preserve"> </w:t>
      </w:r>
      <w:r>
        <w:t>commenced</w:t>
      </w:r>
      <w:r w:rsidR="001A1F90">
        <w:t xml:space="preserve"> </w:t>
      </w:r>
      <w:r>
        <w:t>on</w:t>
      </w:r>
      <w:r w:rsidR="001A1F90">
        <w:t xml:space="preserve"> </w:t>
      </w:r>
      <w:r>
        <w:t>anti-androgen</w:t>
      </w:r>
      <w:r w:rsidR="001A1F90">
        <w:t xml:space="preserve"> </w:t>
      </w:r>
      <w:r>
        <w:t>therapy.</w:t>
      </w:r>
      <w:r w:rsidR="001A1F90">
        <w:t xml:space="preserve"> </w:t>
      </w:r>
      <w:r>
        <w:t>He</w:t>
      </w:r>
      <w:r w:rsidR="001A1F90">
        <w:t xml:space="preserve"> </w:t>
      </w:r>
      <w:r>
        <w:t>has</w:t>
      </w:r>
      <w:r w:rsidR="001A1F90">
        <w:t xml:space="preserve"> </w:t>
      </w:r>
      <w:r>
        <w:t>been</w:t>
      </w:r>
      <w:r w:rsidR="001A1F90">
        <w:t xml:space="preserve"> </w:t>
      </w:r>
      <w:r>
        <w:t>on</w:t>
      </w:r>
      <w:r w:rsidR="001A1F90">
        <w:t xml:space="preserve"> </w:t>
      </w:r>
      <w:r>
        <w:t>this</w:t>
      </w:r>
      <w:r w:rsidR="001A1F90">
        <w:t xml:space="preserve"> </w:t>
      </w:r>
      <w:r>
        <w:t>ever</w:t>
      </w:r>
      <w:r w:rsidR="001A1F90">
        <w:t xml:space="preserve"> </w:t>
      </w:r>
      <w:r>
        <w:t>since,</w:t>
      </w:r>
      <w:r w:rsidR="001A1F90">
        <w:t xml:space="preserve"> </w:t>
      </w:r>
      <w:r>
        <w:t>with</w:t>
      </w:r>
      <w:r w:rsidR="001A1F90">
        <w:t xml:space="preserve"> </w:t>
      </w:r>
      <w:r>
        <w:t>no</w:t>
      </w:r>
      <w:r w:rsidR="001A1F90">
        <w:t xml:space="preserve"> </w:t>
      </w:r>
      <w:r>
        <w:t>baseline</w:t>
      </w:r>
      <w:r w:rsidR="001A1F90">
        <w:t xml:space="preserve"> </w:t>
      </w:r>
      <w:r>
        <w:t>medical</w:t>
      </w:r>
      <w:r w:rsidR="001A1F90">
        <w:t xml:space="preserve"> </w:t>
      </w:r>
      <w:r>
        <w:t>health</w:t>
      </w:r>
      <w:r w:rsidR="001A1F90">
        <w:t xml:space="preserve"> </w:t>
      </w:r>
      <w:r>
        <w:t>monitoring</w:t>
      </w:r>
      <w:r w:rsidR="00070699">
        <w:t>,</w:t>
      </w:r>
      <w:r w:rsidR="001A1F90">
        <w:t xml:space="preserve"> </w:t>
      </w:r>
      <w:r>
        <w:t>and</w:t>
      </w:r>
      <w:r w:rsidR="001A1F90">
        <w:t xml:space="preserve"> </w:t>
      </w:r>
      <w:r>
        <w:t>the</w:t>
      </w:r>
      <w:r w:rsidR="001A1F90">
        <w:t xml:space="preserve"> </w:t>
      </w:r>
      <w:r>
        <w:t>private</w:t>
      </w:r>
      <w:r w:rsidR="001A1F90">
        <w:t xml:space="preserve"> </w:t>
      </w:r>
      <w:r>
        <w:t>psychiatrist</w:t>
      </w:r>
      <w:r w:rsidR="001A1F90">
        <w:t xml:space="preserve"> </w:t>
      </w:r>
      <w:r w:rsidR="006034A2">
        <w:t>wrote to inform him</w:t>
      </w:r>
      <w:r w:rsidR="001A1F90">
        <w:t xml:space="preserve"> </w:t>
      </w:r>
      <w:r>
        <w:t>that</w:t>
      </w:r>
      <w:r w:rsidR="001A1F90">
        <w:t xml:space="preserve"> </w:t>
      </w:r>
      <w:r>
        <w:t>he</w:t>
      </w:r>
      <w:r w:rsidR="001A1F90">
        <w:t xml:space="preserve"> </w:t>
      </w:r>
      <w:r>
        <w:t>will</w:t>
      </w:r>
      <w:r w:rsidR="001A1F90">
        <w:t xml:space="preserve"> </w:t>
      </w:r>
      <w:r>
        <w:t>have</w:t>
      </w:r>
      <w:r w:rsidR="001A1F90">
        <w:t xml:space="preserve"> </w:t>
      </w:r>
      <w:r>
        <w:t>to</w:t>
      </w:r>
      <w:r w:rsidR="001A1F90">
        <w:t xml:space="preserve"> </w:t>
      </w:r>
      <w:r>
        <w:t>be</w:t>
      </w:r>
      <w:r w:rsidR="001A1F90">
        <w:t xml:space="preserve"> </w:t>
      </w:r>
      <w:r>
        <w:t>on</w:t>
      </w:r>
      <w:r w:rsidR="001A1F90">
        <w:t xml:space="preserve"> </w:t>
      </w:r>
      <w:r>
        <w:t>anti-androgens</w:t>
      </w:r>
      <w:r w:rsidR="001A1F90">
        <w:t xml:space="preserve"> </w:t>
      </w:r>
      <w:r>
        <w:t>for</w:t>
      </w:r>
      <w:r w:rsidR="001A1F90">
        <w:t xml:space="preserve"> </w:t>
      </w:r>
      <w:r>
        <w:t>the</w:t>
      </w:r>
      <w:r w:rsidR="001A1F90">
        <w:t xml:space="preserve"> </w:t>
      </w:r>
      <w:r>
        <w:t>rest</w:t>
      </w:r>
      <w:r w:rsidR="001A1F90">
        <w:t xml:space="preserve"> </w:t>
      </w:r>
      <w:r>
        <w:t>of</w:t>
      </w:r>
      <w:r w:rsidR="001A1F90">
        <w:t xml:space="preserve"> </w:t>
      </w:r>
      <w:r>
        <w:t>his</w:t>
      </w:r>
      <w:r w:rsidR="001A1F90">
        <w:t xml:space="preserve"> </w:t>
      </w:r>
      <w:r>
        <w:t>life.</w:t>
      </w:r>
    </w:p>
    <w:p w14:paraId="5F5EC0B9" w14:textId="67E14A26" w:rsidR="004946F1" w:rsidRDefault="004946F1" w:rsidP="00BD612C">
      <w:pPr>
        <w:pStyle w:val="DHHSbody"/>
      </w:pPr>
      <w:r>
        <w:t>There</w:t>
      </w:r>
      <w:r w:rsidR="001A1F90">
        <w:t xml:space="preserve"> </w:t>
      </w:r>
      <w:r>
        <w:t>are</w:t>
      </w:r>
      <w:r w:rsidR="001A1F90">
        <w:t xml:space="preserve"> </w:t>
      </w:r>
      <w:r>
        <w:t>many</w:t>
      </w:r>
      <w:r w:rsidR="001A1F90">
        <w:t xml:space="preserve"> </w:t>
      </w:r>
      <w:r>
        <w:t>protective</w:t>
      </w:r>
      <w:r w:rsidR="001A1F90">
        <w:t xml:space="preserve"> </w:t>
      </w:r>
      <w:r>
        <w:t>factors</w:t>
      </w:r>
      <w:r w:rsidR="001A1F90">
        <w:t xml:space="preserve"> </w:t>
      </w:r>
      <w:r>
        <w:t>(</w:t>
      </w:r>
      <w:r w:rsidR="006034A2">
        <w:t xml:space="preserve">patient-related </w:t>
      </w:r>
      <w:r>
        <w:t>and</w:t>
      </w:r>
      <w:r w:rsidR="001A1F90">
        <w:t xml:space="preserve"> </w:t>
      </w:r>
      <w:r>
        <w:t>environmental)</w:t>
      </w:r>
      <w:r w:rsidR="001A1F90">
        <w:t xml:space="preserve"> </w:t>
      </w:r>
      <w:r>
        <w:t>that</w:t>
      </w:r>
      <w:r w:rsidR="001A1F90">
        <w:t xml:space="preserve"> </w:t>
      </w:r>
      <w:r>
        <w:t>have</w:t>
      </w:r>
      <w:r w:rsidR="001A1F90">
        <w:t xml:space="preserve"> </w:t>
      </w:r>
      <w:r>
        <w:t>been</w:t>
      </w:r>
      <w:r w:rsidR="001A1F90">
        <w:t xml:space="preserve"> </w:t>
      </w:r>
      <w:r>
        <w:t>effectively</w:t>
      </w:r>
      <w:r w:rsidR="001A1F90">
        <w:t xml:space="preserve"> </w:t>
      </w:r>
      <w:r>
        <w:t>managing</w:t>
      </w:r>
      <w:r w:rsidR="001A1F90">
        <w:t xml:space="preserve"> </w:t>
      </w:r>
      <w:r>
        <w:t>any</w:t>
      </w:r>
      <w:r w:rsidR="001A1F90">
        <w:t xml:space="preserve"> </w:t>
      </w:r>
      <w:r>
        <w:t>risk</w:t>
      </w:r>
      <w:r w:rsidR="001A1F90">
        <w:t xml:space="preserve"> </w:t>
      </w:r>
      <w:r>
        <w:t>associated</w:t>
      </w:r>
      <w:r w:rsidR="001A1F90">
        <w:t xml:space="preserve"> </w:t>
      </w:r>
      <w:r>
        <w:t>with</w:t>
      </w:r>
      <w:r w:rsidR="001A1F90">
        <w:t xml:space="preserve"> </w:t>
      </w:r>
      <w:r>
        <w:t>this</w:t>
      </w:r>
      <w:r w:rsidR="001A1F90">
        <w:t xml:space="preserve"> </w:t>
      </w:r>
      <w:r>
        <w:t>man,</w:t>
      </w:r>
      <w:r w:rsidR="001A1F90">
        <w:t xml:space="preserve"> </w:t>
      </w:r>
      <w:r>
        <w:t>including</w:t>
      </w:r>
      <w:r w:rsidR="001A1F90">
        <w:t xml:space="preserve"> </w:t>
      </w:r>
      <w:r>
        <w:t>his</w:t>
      </w:r>
      <w:r w:rsidR="001A1F90">
        <w:t xml:space="preserve"> </w:t>
      </w:r>
      <w:r>
        <w:t>complete</w:t>
      </w:r>
      <w:r w:rsidR="001A1F90">
        <w:t xml:space="preserve"> </w:t>
      </w:r>
      <w:r>
        <w:t>blindness,</w:t>
      </w:r>
      <w:r w:rsidR="001A1F90">
        <w:t xml:space="preserve"> </w:t>
      </w:r>
      <w:r>
        <w:t>subsequent</w:t>
      </w:r>
      <w:r w:rsidR="001A1F90">
        <w:t xml:space="preserve"> </w:t>
      </w:r>
      <w:r>
        <w:t>reliance</w:t>
      </w:r>
      <w:r w:rsidR="001A1F90">
        <w:t xml:space="preserve"> </w:t>
      </w:r>
      <w:r>
        <w:t>on</w:t>
      </w:r>
      <w:r w:rsidR="001A1F90">
        <w:t xml:space="preserve"> </w:t>
      </w:r>
      <w:r>
        <w:t>staff</w:t>
      </w:r>
      <w:r w:rsidR="001A1F90">
        <w:t xml:space="preserve"> </w:t>
      </w:r>
      <w:r>
        <w:t>support</w:t>
      </w:r>
      <w:r w:rsidR="001A1F90">
        <w:t xml:space="preserve"> </w:t>
      </w:r>
      <w:r>
        <w:t>for</w:t>
      </w:r>
      <w:r w:rsidR="001A1F90">
        <w:t xml:space="preserve"> </w:t>
      </w:r>
      <w:r>
        <w:t>nearly</w:t>
      </w:r>
      <w:r w:rsidR="001A1F90">
        <w:t xml:space="preserve"> </w:t>
      </w:r>
      <w:r>
        <w:t>all</w:t>
      </w:r>
      <w:r w:rsidR="001A1F90">
        <w:t xml:space="preserve"> </w:t>
      </w:r>
      <w:r>
        <w:t>community</w:t>
      </w:r>
      <w:r w:rsidR="001A1F90">
        <w:t xml:space="preserve"> </w:t>
      </w:r>
      <w:r>
        <w:t>access</w:t>
      </w:r>
      <w:r w:rsidR="001A1F90">
        <w:t xml:space="preserve"> </w:t>
      </w:r>
      <w:r>
        <w:t>activities</w:t>
      </w:r>
      <w:r w:rsidR="001A1F90">
        <w:t xml:space="preserve"> </w:t>
      </w:r>
      <w:r>
        <w:t>and</w:t>
      </w:r>
      <w:r w:rsidR="001A1F90">
        <w:t xml:space="preserve"> </w:t>
      </w:r>
      <w:r>
        <w:t>his</w:t>
      </w:r>
      <w:r w:rsidR="001A1F90">
        <w:t xml:space="preserve"> </w:t>
      </w:r>
      <w:r>
        <w:t>age.</w:t>
      </w:r>
      <w:r w:rsidR="001A1F90">
        <w:t xml:space="preserve"> </w:t>
      </w:r>
      <w:r>
        <w:t>He</w:t>
      </w:r>
      <w:r w:rsidR="001A1F90">
        <w:t xml:space="preserve"> </w:t>
      </w:r>
      <w:r>
        <w:t>is</w:t>
      </w:r>
      <w:r w:rsidR="001A1F90">
        <w:t xml:space="preserve"> </w:t>
      </w:r>
      <w:r>
        <w:t>also</w:t>
      </w:r>
      <w:r w:rsidR="001A1F90">
        <w:t xml:space="preserve"> </w:t>
      </w:r>
      <w:r>
        <w:t>prescribed</w:t>
      </w:r>
      <w:r w:rsidR="001A1F90">
        <w:t xml:space="preserve"> </w:t>
      </w:r>
      <w:r>
        <w:t>an</w:t>
      </w:r>
      <w:r w:rsidR="001A1F90">
        <w:t xml:space="preserve"> </w:t>
      </w:r>
      <w:r>
        <w:t>SSRI</w:t>
      </w:r>
      <w:r w:rsidR="001A1F90">
        <w:t xml:space="preserve"> </w:t>
      </w:r>
      <w:r>
        <w:t>in</w:t>
      </w:r>
      <w:r w:rsidR="001A1F90">
        <w:t xml:space="preserve"> </w:t>
      </w:r>
      <w:r>
        <w:t>addition</w:t>
      </w:r>
      <w:r w:rsidR="001A1F90">
        <w:t xml:space="preserve"> </w:t>
      </w:r>
      <w:r>
        <w:t>to</w:t>
      </w:r>
      <w:r w:rsidR="001A1F90">
        <w:t xml:space="preserve"> </w:t>
      </w:r>
      <w:r>
        <w:t>the</w:t>
      </w:r>
      <w:r w:rsidR="001A1F90">
        <w:t xml:space="preserve"> </w:t>
      </w:r>
      <w:r>
        <w:t>anti-androgen</w:t>
      </w:r>
      <w:r w:rsidR="001A1F90">
        <w:t xml:space="preserve"> </w:t>
      </w:r>
      <w:r>
        <w:t>for</w:t>
      </w:r>
      <w:r w:rsidR="001A1F90">
        <w:t xml:space="preserve"> </w:t>
      </w:r>
      <w:r>
        <w:t>manag</w:t>
      </w:r>
      <w:r w:rsidR="006034A2">
        <w:t>ing</w:t>
      </w:r>
      <w:r w:rsidR="001A1F90">
        <w:t xml:space="preserve"> </w:t>
      </w:r>
      <w:r>
        <w:t>arousal,</w:t>
      </w:r>
      <w:r w:rsidR="001A1F90">
        <w:t xml:space="preserve"> </w:t>
      </w:r>
      <w:r>
        <w:t>without</w:t>
      </w:r>
      <w:r w:rsidR="001A1F90">
        <w:t xml:space="preserve"> </w:t>
      </w:r>
      <w:r>
        <w:t>appropriate</w:t>
      </w:r>
      <w:r w:rsidR="001A1F90">
        <w:t xml:space="preserve"> </w:t>
      </w:r>
      <w:r>
        <w:t>medical</w:t>
      </w:r>
      <w:r w:rsidR="001A1F90">
        <w:t xml:space="preserve"> </w:t>
      </w:r>
      <w:r>
        <w:t>health</w:t>
      </w:r>
      <w:r w:rsidR="001A1F90">
        <w:t xml:space="preserve"> </w:t>
      </w:r>
      <w:r>
        <w:t>review.</w:t>
      </w:r>
      <w:r w:rsidR="001A1F90">
        <w:t xml:space="preserve"> </w:t>
      </w:r>
      <w:r>
        <w:t>The</w:t>
      </w:r>
      <w:r w:rsidR="001A1F90">
        <w:t xml:space="preserve"> </w:t>
      </w:r>
      <w:r>
        <w:t>client</w:t>
      </w:r>
      <w:r w:rsidR="001A1F90">
        <w:t xml:space="preserve"> </w:t>
      </w:r>
      <w:r>
        <w:t>reports</w:t>
      </w:r>
      <w:r w:rsidR="001A1F90">
        <w:t xml:space="preserve"> </w:t>
      </w:r>
      <w:r>
        <w:t>that</w:t>
      </w:r>
      <w:r w:rsidR="001A1F90">
        <w:t xml:space="preserve"> </w:t>
      </w:r>
      <w:r>
        <w:t>for</w:t>
      </w:r>
      <w:r w:rsidR="001A1F90">
        <w:t xml:space="preserve"> </w:t>
      </w:r>
      <w:r>
        <w:t>a</w:t>
      </w:r>
      <w:r w:rsidR="001A1F90">
        <w:t xml:space="preserve"> </w:t>
      </w:r>
      <w:r>
        <w:t>number</w:t>
      </w:r>
      <w:r w:rsidR="001A1F90">
        <w:t xml:space="preserve"> </w:t>
      </w:r>
      <w:r>
        <w:t>of</w:t>
      </w:r>
      <w:r w:rsidR="001A1F90">
        <w:t xml:space="preserve"> </w:t>
      </w:r>
      <w:r>
        <w:t>years</w:t>
      </w:r>
      <w:r w:rsidR="001A1F90">
        <w:t xml:space="preserve"> </w:t>
      </w:r>
      <w:r>
        <w:t>he</w:t>
      </w:r>
      <w:r w:rsidR="001A1F90">
        <w:t xml:space="preserve"> </w:t>
      </w:r>
      <w:r>
        <w:t>has</w:t>
      </w:r>
      <w:r w:rsidR="001A1F90">
        <w:t xml:space="preserve"> </w:t>
      </w:r>
      <w:r>
        <w:t>had</w:t>
      </w:r>
      <w:r w:rsidR="001A1F90">
        <w:t xml:space="preserve"> </w:t>
      </w:r>
      <w:r>
        <w:t>significant</w:t>
      </w:r>
      <w:r w:rsidR="001A1F90">
        <w:t xml:space="preserve"> </w:t>
      </w:r>
      <w:r>
        <w:t>issues</w:t>
      </w:r>
      <w:r w:rsidR="001A1F90">
        <w:t xml:space="preserve"> </w:t>
      </w:r>
      <w:r>
        <w:t>with</w:t>
      </w:r>
      <w:r w:rsidR="001A1F90">
        <w:t xml:space="preserve"> </w:t>
      </w:r>
      <w:r>
        <w:t>difficulties</w:t>
      </w:r>
      <w:r w:rsidR="001A1F90">
        <w:t xml:space="preserve"> </w:t>
      </w:r>
      <w:r>
        <w:t>masturbating</w:t>
      </w:r>
      <w:r w:rsidR="001A1F90">
        <w:t xml:space="preserve"> </w:t>
      </w:r>
      <w:r>
        <w:t>to</w:t>
      </w:r>
      <w:r w:rsidR="001A1F90">
        <w:t xml:space="preserve"> </w:t>
      </w:r>
      <w:r>
        <w:t>ejaculation</w:t>
      </w:r>
      <w:r w:rsidR="001A1F90">
        <w:t xml:space="preserve"> </w:t>
      </w:r>
      <w:r>
        <w:t>and</w:t>
      </w:r>
      <w:r w:rsidR="001A1F90">
        <w:t xml:space="preserve"> </w:t>
      </w:r>
      <w:r>
        <w:t>increased</w:t>
      </w:r>
      <w:r w:rsidR="001A1F90">
        <w:t xml:space="preserve"> </w:t>
      </w:r>
      <w:r>
        <w:t>frustration</w:t>
      </w:r>
      <w:r w:rsidR="001A1F90">
        <w:t xml:space="preserve"> </w:t>
      </w:r>
      <w:r>
        <w:t>and</w:t>
      </w:r>
      <w:r w:rsidR="001A1F90">
        <w:t xml:space="preserve"> </w:t>
      </w:r>
      <w:r>
        <w:t>anxiety</w:t>
      </w:r>
      <w:r w:rsidR="001A1F90">
        <w:t xml:space="preserve"> </w:t>
      </w:r>
      <w:r>
        <w:t>in</w:t>
      </w:r>
      <w:r w:rsidR="001A1F90">
        <w:t xml:space="preserve"> </w:t>
      </w:r>
      <w:r>
        <w:t>relation</w:t>
      </w:r>
      <w:r w:rsidR="001A1F90">
        <w:t xml:space="preserve"> </w:t>
      </w:r>
      <w:r>
        <w:t>to</w:t>
      </w:r>
      <w:r w:rsidR="001A1F90">
        <w:t xml:space="preserve"> </w:t>
      </w:r>
      <w:r>
        <w:t>this.</w:t>
      </w:r>
      <w:r w:rsidR="001A1F90">
        <w:t xml:space="preserve"> </w:t>
      </w:r>
      <w:r>
        <w:t>He</w:t>
      </w:r>
      <w:r w:rsidR="001A1F90">
        <w:t xml:space="preserve"> </w:t>
      </w:r>
      <w:r>
        <w:t>may</w:t>
      </w:r>
      <w:r w:rsidR="001A1F90">
        <w:t xml:space="preserve"> </w:t>
      </w:r>
      <w:r>
        <w:t>have</w:t>
      </w:r>
      <w:r w:rsidR="001A1F90">
        <w:t xml:space="preserve"> </w:t>
      </w:r>
      <w:r>
        <w:t>significant</w:t>
      </w:r>
      <w:r w:rsidR="001A1F90">
        <w:t xml:space="preserve"> </w:t>
      </w:r>
      <w:r>
        <w:t>difficulties</w:t>
      </w:r>
      <w:r w:rsidR="001A1F90">
        <w:t xml:space="preserve"> </w:t>
      </w:r>
      <w:r>
        <w:t>with</w:t>
      </w:r>
      <w:r w:rsidR="001A1F90">
        <w:t xml:space="preserve"> </w:t>
      </w:r>
      <w:r>
        <w:t>generalised</w:t>
      </w:r>
      <w:r w:rsidR="001A1F90">
        <w:t xml:space="preserve"> </w:t>
      </w:r>
      <w:r>
        <w:t>anxiety,</w:t>
      </w:r>
      <w:r w:rsidR="006034A2">
        <w:t xml:space="preserve"> and</w:t>
      </w:r>
      <w:r w:rsidR="001A1F90">
        <w:t xml:space="preserve"> </w:t>
      </w:r>
      <w:r>
        <w:t>this</w:t>
      </w:r>
      <w:r w:rsidR="001A1F90">
        <w:t xml:space="preserve"> </w:t>
      </w:r>
      <w:r>
        <w:t>requires</w:t>
      </w:r>
      <w:r w:rsidR="001A1F90">
        <w:t xml:space="preserve"> </w:t>
      </w:r>
      <w:r>
        <w:t>further</w:t>
      </w:r>
      <w:r w:rsidR="001A1F90">
        <w:t xml:space="preserve"> </w:t>
      </w:r>
      <w:r>
        <w:t>assessment.</w:t>
      </w:r>
    </w:p>
    <w:p w14:paraId="511468C6" w14:textId="4D172CF2" w:rsidR="004946F1" w:rsidRDefault="004946F1" w:rsidP="009B0E14">
      <w:pPr>
        <w:pStyle w:val="Heading2"/>
      </w:pPr>
      <w:bookmarkStart w:id="20" w:name="_Toc20225608"/>
      <w:r>
        <w:t>Case</w:t>
      </w:r>
      <w:r w:rsidR="001A1F90">
        <w:t xml:space="preserve"> </w:t>
      </w:r>
      <w:r>
        <w:t>2</w:t>
      </w:r>
      <w:r w:rsidR="00301CA9">
        <w:t>:</w:t>
      </w:r>
      <w:r w:rsidR="001A1F90">
        <w:t xml:space="preserve"> </w:t>
      </w:r>
      <w:r>
        <w:t>Vic</w:t>
      </w:r>
      <w:r w:rsidR="001A1F90">
        <w:t>toria</w:t>
      </w:r>
      <w:bookmarkEnd w:id="20"/>
    </w:p>
    <w:p w14:paraId="17045F88" w14:textId="586918BF" w:rsidR="004946F1" w:rsidRDefault="004946F1" w:rsidP="00BD612C">
      <w:pPr>
        <w:pStyle w:val="DHHSbody"/>
      </w:pPr>
      <w:r>
        <w:t>A</w:t>
      </w:r>
      <w:r w:rsidR="001A1F90">
        <w:t xml:space="preserve"> </w:t>
      </w:r>
      <w:r>
        <w:t>62-year-old</w:t>
      </w:r>
      <w:r w:rsidR="001A1F90">
        <w:t xml:space="preserve"> </w:t>
      </w:r>
      <w:r>
        <w:t>male</w:t>
      </w:r>
      <w:r w:rsidR="001A1F90">
        <w:t xml:space="preserve"> </w:t>
      </w:r>
      <w:r>
        <w:t>with</w:t>
      </w:r>
      <w:r w:rsidR="001A1F90">
        <w:t xml:space="preserve"> </w:t>
      </w:r>
      <w:r>
        <w:t>a</w:t>
      </w:r>
      <w:r w:rsidR="001A1F90">
        <w:t xml:space="preserve"> </w:t>
      </w:r>
      <w:r>
        <w:t>diagnosis</w:t>
      </w:r>
      <w:r w:rsidR="001A1F90">
        <w:t xml:space="preserve"> </w:t>
      </w:r>
      <w:r>
        <w:t>of</w:t>
      </w:r>
      <w:r w:rsidR="001A1F90">
        <w:t xml:space="preserve"> </w:t>
      </w:r>
      <w:r w:rsidR="006034A2">
        <w:t>s</w:t>
      </w:r>
      <w:r>
        <w:t>chizophrenia</w:t>
      </w:r>
      <w:r w:rsidR="001A1F90">
        <w:t xml:space="preserve"> </w:t>
      </w:r>
      <w:r>
        <w:t>and</w:t>
      </w:r>
      <w:r w:rsidR="001A1F90">
        <w:t xml:space="preserve"> </w:t>
      </w:r>
      <w:r>
        <w:t>with</w:t>
      </w:r>
      <w:r w:rsidR="001A1F90">
        <w:t xml:space="preserve"> </w:t>
      </w:r>
      <w:r>
        <w:t>a</w:t>
      </w:r>
      <w:r w:rsidR="001A1F90">
        <w:t xml:space="preserve"> </w:t>
      </w:r>
      <w:r>
        <w:t>history</w:t>
      </w:r>
      <w:r w:rsidR="001A1F90">
        <w:t xml:space="preserve"> </w:t>
      </w:r>
      <w:r>
        <w:t>of</w:t>
      </w:r>
      <w:r w:rsidR="001A1F90">
        <w:t xml:space="preserve"> </w:t>
      </w:r>
      <w:r>
        <w:t>sexualised</w:t>
      </w:r>
      <w:r w:rsidR="001A1F90">
        <w:t xml:space="preserve"> </w:t>
      </w:r>
      <w:r>
        <w:t>behaviour</w:t>
      </w:r>
      <w:r w:rsidR="001A1F90">
        <w:t xml:space="preserve"> </w:t>
      </w:r>
      <w:r>
        <w:t>towards</w:t>
      </w:r>
      <w:r w:rsidR="001A1F90">
        <w:t xml:space="preserve"> </w:t>
      </w:r>
      <w:r>
        <w:t>children</w:t>
      </w:r>
      <w:r w:rsidR="001A1F90">
        <w:t xml:space="preserve"> </w:t>
      </w:r>
      <w:r>
        <w:t>(no</w:t>
      </w:r>
      <w:r w:rsidR="001A1F90">
        <w:t xml:space="preserve"> </w:t>
      </w:r>
      <w:r>
        <w:t>charges)</w:t>
      </w:r>
      <w:r w:rsidR="001A1F90">
        <w:t xml:space="preserve"> </w:t>
      </w:r>
      <w:r>
        <w:t>was</w:t>
      </w:r>
      <w:r w:rsidR="001A1F90">
        <w:t xml:space="preserve"> </w:t>
      </w:r>
      <w:r>
        <w:t>placed</w:t>
      </w:r>
      <w:r w:rsidR="001A1F90">
        <w:t xml:space="preserve"> </w:t>
      </w:r>
      <w:r>
        <w:t>on</w:t>
      </w:r>
      <w:r w:rsidR="001A1F90">
        <w:t xml:space="preserve"> </w:t>
      </w:r>
      <w:r>
        <w:t>anti-androgens</w:t>
      </w:r>
      <w:r w:rsidR="001A1F90">
        <w:t xml:space="preserve"> </w:t>
      </w:r>
      <w:r>
        <w:t>in</w:t>
      </w:r>
      <w:r w:rsidR="001A1F90">
        <w:t xml:space="preserve"> </w:t>
      </w:r>
      <w:r>
        <w:t>1993</w:t>
      </w:r>
      <w:r w:rsidR="001A1F90">
        <w:t xml:space="preserve"> </w:t>
      </w:r>
      <w:r>
        <w:t>without</w:t>
      </w:r>
      <w:r w:rsidR="001A1F90">
        <w:t xml:space="preserve"> </w:t>
      </w:r>
      <w:r>
        <w:t>baseline</w:t>
      </w:r>
      <w:r w:rsidR="001A1F90">
        <w:t xml:space="preserve"> </w:t>
      </w:r>
      <w:r>
        <w:t>monitoring</w:t>
      </w:r>
      <w:r w:rsidR="006034A2">
        <w:t>.</w:t>
      </w:r>
      <w:r w:rsidR="001A1F90">
        <w:t xml:space="preserve"> </w:t>
      </w:r>
      <w:r w:rsidR="006034A2">
        <w:t xml:space="preserve">His </w:t>
      </w:r>
      <w:r>
        <w:t>capacity</w:t>
      </w:r>
      <w:r w:rsidR="001A1F90">
        <w:t xml:space="preserve"> </w:t>
      </w:r>
      <w:r>
        <w:t>to</w:t>
      </w:r>
      <w:r w:rsidR="001A1F90">
        <w:t xml:space="preserve"> </w:t>
      </w:r>
      <w:r>
        <w:t>consent</w:t>
      </w:r>
      <w:r w:rsidR="001A1F90">
        <w:t xml:space="preserve"> </w:t>
      </w:r>
      <w:r w:rsidR="006034A2">
        <w:t>w</w:t>
      </w:r>
      <w:r>
        <w:t>as</w:t>
      </w:r>
      <w:r w:rsidR="006034A2">
        <w:t xml:space="preserve"> questionable because</w:t>
      </w:r>
      <w:r w:rsidR="001A1F90">
        <w:t xml:space="preserve"> </w:t>
      </w:r>
      <w:r>
        <w:t>he</w:t>
      </w:r>
      <w:r w:rsidR="001A1F90">
        <w:t xml:space="preserve"> </w:t>
      </w:r>
      <w:r>
        <w:t>has</w:t>
      </w:r>
      <w:r w:rsidR="001A1F90">
        <w:t xml:space="preserve"> </w:t>
      </w:r>
      <w:r>
        <w:t>a</w:t>
      </w:r>
      <w:r w:rsidR="001A1F90">
        <w:t xml:space="preserve"> </w:t>
      </w:r>
      <w:r>
        <w:t>moderate</w:t>
      </w:r>
      <w:r w:rsidR="001A1F90">
        <w:t xml:space="preserve"> </w:t>
      </w:r>
      <w:r>
        <w:t>intellectual</w:t>
      </w:r>
      <w:r w:rsidR="001A1F90">
        <w:t xml:space="preserve"> </w:t>
      </w:r>
      <w:r>
        <w:t>disability.</w:t>
      </w:r>
      <w:r w:rsidR="001A1F90">
        <w:t xml:space="preserve"> </w:t>
      </w:r>
      <w:r>
        <w:t>He</w:t>
      </w:r>
      <w:r w:rsidR="001A1F90">
        <w:t xml:space="preserve"> </w:t>
      </w:r>
      <w:r>
        <w:t>currently</w:t>
      </w:r>
      <w:r w:rsidR="001A1F90">
        <w:t xml:space="preserve"> </w:t>
      </w:r>
      <w:r>
        <w:t>has</w:t>
      </w:r>
      <w:r w:rsidR="001A1F90">
        <w:t xml:space="preserve"> </w:t>
      </w:r>
      <w:r>
        <w:t>inoperable</w:t>
      </w:r>
      <w:r w:rsidR="001A1F90">
        <w:t xml:space="preserve"> </w:t>
      </w:r>
      <w:r>
        <w:t>brain</w:t>
      </w:r>
      <w:r w:rsidR="001A1F90">
        <w:t xml:space="preserve"> </w:t>
      </w:r>
      <w:r>
        <w:t>tumours</w:t>
      </w:r>
      <w:r w:rsidR="001A1F90">
        <w:t xml:space="preserve"> </w:t>
      </w:r>
      <w:r>
        <w:t>and</w:t>
      </w:r>
      <w:r w:rsidR="001A1F90">
        <w:t xml:space="preserve"> </w:t>
      </w:r>
      <w:r>
        <w:t>other</w:t>
      </w:r>
      <w:r w:rsidR="001A1F90">
        <w:t xml:space="preserve"> </w:t>
      </w:r>
      <w:r>
        <w:t>complex</w:t>
      </w:r>
      <w:r w:rsidR="001A1F90">
        <w:t xml:space="preserve"> </w:t>
      </w:r>
      <w:r>
        <w:t>health</w:t>
      </w:r>
      <w:r w:rsidR="001A1F90">
        <w:t xml:space="preserve"> </w:t>
      </w:r>
      <w:r>
        <w:t>issues.</w:t>
      </w:r>
    </w:p>
    <w:p w14:paraId="1DD19197" w14:textId="575BE154" w:rsidR="004946F1" w:rsidRDefault="004946F1" w:rsidP="00BD612C">
      <w:pPr>
        <w:pStyle w:val="DHHSbody"/>
      </w:pPr>
      <w:r>
        <w:t>The</w:t>
      </w:r>
      <w:r w:rsidR="001A1F90">
        <w:t xml:space="preserve"> </w:t>
      </w:r>
      <w:r>
        <w:t>private</w:t>
      </w:r>
      <w:r w:rsidR="001A1F90">
        <w:t xml:space="preserve"> </w:t>
      </w:r>
      <w:r>
        <w:t>psychiatrist</w:t>
      </w:r>
      <w:r w:rsidR="001A1F90">
        <w:t xml:space="preserve"> </w:t>
      </w:r>
      <w:r>
        <w:t>continues</w:t>
      </w:r>
      <w:r w:rsidR="001A1F90">
        <w:t xml:space="preserve"> </w:t>
      </w:r>
      <w:r>
        <w:t>to</w:t>
      </w:r>
      <w:r w:rsidR="001A1F90">
        <w:t xml:space="preserve"> </w:t>
      </w:r>
      <w:r>
        <w:t>prescribe</w:t>
      </w:r>
      <w:r w:rsidR="001A1F90">
        <w:t xml:space="preserve"> </w:t>
      </w:r>
      <w:r>
        <w:t>anti-androgens</w:t>
      </w:r>
      <w:r w:rsidR="001A1F90">
        <w:t xml:space="preserve"> </w:t>
      </w:r>
      <w:r>
        <w:t>despite</w:t>
      </w:r>
      <w:r w:rsidR="001A1F90">
        <w:t xml:space="preserve"> </w:t>
      </w:r>
      <w:r>
        <w:t>the</w:t>
      </w:r>
      <w:r w:rsidR="001A1F90">
        <w:t xml:space="preserve"> </w:t>
      </w:r>
      <w:r>
        <w:t>WFSBP</w:t>
      </w:r>
      <w:r w:rsidR="001A1F90">
        <w:t xml:space="preserve"> </w:t>
      </w:r>
      <w:r>
        <w:t>guidelines</w:t>
      </w:r>
      <w:r w:rsidR="001A1F90">
        <w:t xml:space="preserve"> </w:t>
      </w:r>
      <w:r>
        <w:t>stating</w:t>
      </w:r>
      <w:r w:rsidR="001A1F90">
        <w:t xml:space="preserve"> </w:t>
      </w:r>
      <w:r>
        <w:t>that</w:t>
      </w:r>
      <w:r w:rsidR="001A1F90">
        <w:t xml:space="preserve"> </w:t>
      </w:r>
      <w:r>
        <w:t>anti-androgens</w:t>
      </w:r>
      <w:r w:rsidR="001A1F90">
        <w:t xml:space="preserve"> </w:t>
      </w:r>
      <w:r>
        <w:t>should</w:t>
      </w:r>
      <w:r w:rsidR="001A1F90">
        <w:t xml:space="preserve"> </w:t>
      </w:r>
      <w:r>
        <w:t>not</w:t>
      </w:r>
      <w:r w:rsidR="001A1F90">
        <w:t xml:space="preserve"> </w:t>
      </w:r>
      <w:r>
        <w:t>be</w:t>
      </w:r>
      <w:r w:rsidR="001A1F90">
        <w:t xml:space="preserve"> </w:t>
      </w:r>
      <w:r>
        <w:t>prescribed</w:t>
      </w:r>
      <w:r w:rsidR="001A1F90">
        <w:t xml:space="preserve"> </w:t>
      </w:r>
      <w:r>
        <w:t>in</w:t>
      </w:r>
      <w:r w:rsidR="001A1F90">
        <w:t xml:space="preserve"> </w:t>
      </w:r>
      <w:r>
        <w:t>cases</w:t>
      </w:r>
      <w:r w:rsidR="001A1F90">
        <w:t xml:space="preserve"> </w:t>
      </w:r>
      <w:r>
        <w:t>of</w:t>
      </w:r>
      <w:r w:rsidR="001A1F90">
        <w:t xml:space="preserve"> </w:t>
      </w:r>
      <w:r>
        <w:t>carcinoma</w:t>
      </w:r>
      <w:r w:rsidR="001A1F90">
        <w:t xml:space="preserve"> </w:t>
      </w:r>
      <w:r>
        <w:t>(except</w:t>
      </w:r>
      <w:r w:rsidR="001A1F90">
        <w:t xml:space="preserve"> </w:t>
      </w:r>
      <w:r>
        <w:t>prostate</w:t>
      </w:r>
      <w:r w:rsidR="001A1F90">
        <w:t xml:space="preserve"> </w:t>
      </w:r>
      <w:r>
        <w:t>carcinoma,</w:t>
      </w:r>
      <w:r w:rsidR="001A1F90">
        <w:t xml:space="preserve"> </w:t>
      </w:r>
      <w:r>
        <w:t>which</w:t>
      </w:r>
      <w:r w:rsidR="001A1F90">
        <w:t xml:space="preserve"> </w:t>
      </w:r>
      <w:r>
        <w:t>he</w:t>
      </w:r>
      <w:r w:rsidR="001A1F90">
        <w:t xml:space="preserve"> </w:t>
      </w:r>
      <w:r>
        <w:t>does</w:t>
      </w:r>
      <w:r w:rsidR="001A1F90">
        <w:t xml:space="preserve"> </w:t>
      </w:r>
      <w:r>
        <w:t>not</w:t>
      </w:r>
      <w:r w:rsidR="001A1F90">
        <w:t xml:space="preserve"> </w:t>
      </w:r>
      <w:r>
        <w:t>have).</w:t>
      </w:r>
      <w:r w:rsidR="001A1F90">
        <w:t xml:space="preserve"> </w:t>
      </w:r>
      <w:r>
        <w:t>Again,</w:t>
      </w:r>
      <w:r w:rsidR="001A1F90">
        <w:t xml:space="preserve"> </w:t>
      </w:r>
      <w:r>
        <w:t>given</w:t>
      </w:r>
      <w:r w:rsidR="001A1F90">
        <w:t xml:space="preserve"> </w:t>
      </w:r>
      <w:r>
        <w:t>his</w:t>
      </w:r>
      <w:r w:rsidR="001A1F90">
        <w:t xml:space="preserve"> </w:t>
      </w:r>
      <w:r>
        <w:t>age</w:t>
      </w:r>
      <w:r w:rsidR="001A1F90">
        <w:t xml:space="preserve"> </w:t>
      </w:r>
      <w:r>
        <w:t>and</w:t>
      </w:r>
      <w:r w:rsidR="001A1F90">
        <w:t xml:space="preserve"> </w:t>
      </w:r>
      <w:r>
        <w:t>support</w:t>
      </w:r>
      <w:r w:rsidR="001A1F90">
        <w:t xml:space="preserve"> </w:t>
      </w:r>
      <w:r>
        <w:t>needs</w:t>
      </w:r>
      <w:r w:rsidR="006034A2">
        <w:t>,</w:t>
      </w:r>
      <w:r w:rsidR="001A1F90">
        <w:t xml:space="preserve"> </w:t>
      </w:r>
      <w:r>
        <w:t>the</w:t>
      </w:r>
      <w:r w:rsidR="001A1F90">
        <w:t xml:space="preserve"> </w:t>
      </w:r>
      <w:r>
        <w:t>ongoing</w:t>
      </w:r>
      <w:r w:rsidR="001A1F90">
        <w:t xml:space="preserve"> </w:t>
      </w:r>
      <w:r>
        <w:t>use</w:t>
      </w:r>
      <w:r w:rsidR="001A1F90">
        <w:t xml:space="preserve"> </w:t>
      </w:r>
      <w:r>
        <w:t>of</w:t>
      </w:r>
      <w:r w:rsidR="001A1F90">
        <w:t xml:space="preserve"> </w:t>
      </w:r>
      <w:r>
        <w:t>anti-androgens</w:t>
      </w:r>
      <w:r w:rsidR="001A1F90">
        <w:t xml:space="preserve"> </w:t>
      </w:r>
      <w:r>
        <w:t>needs</w:t>
      </w:r>
      <w:r w:rsidR="001A1F90">
        <w:t xml:space="preserve"> </w:t>
      </w:r>
      <w:r>
        <w:t>to</w:t>
      </w:r>
      <w:r w:rsidR="001A1F90">
        <w:t xml:space="preserve"> </w:t>
      </w:r>
      <w:r>
        <w:t>be</w:t>
      </w:r>
      <w:r w:rsidR="001A1F90">
        <w:t xml:space="preserve"> </w:t>
      </w:r>
      <w:r>
        <w:t>questioned,</w:t>
      </w:r>
      <w:r w:rsidR="001A1F90">
        <w:t xml:space="preserve"> </w:t>
      </w:r>
      <w:r>
        <w:t>including</w:t>
      </w:r>
      <w:r w:rsidR="001A1F90">
        <w:t xml:space="preserve"> </w:t>
      </w:r>
      <w:r>
        <w:t>its</w:t>
      </w:r>
      <w:r w:rsidR="001A1F90">
        <w:t xml:space="preserve"> </w:t>
      </w:r>
      <w:r>
        <w:t>exacerbations</w:t>
      </w:r>
      <w:r w:rsidR="001A1F90">
        <w:t xml:space="preserve"> </w:t>
      </w:r>
      <w:r>
        <w:t>of</w:t>
      </w:r>
      <w:r w:rsidR="001A1F90">
        <w:t xml:space="preserve"> </w:t>
      </w:r>
      <w:r>
        <w:t>the</w:t>
      </w:r>
      <w:r w:rsidR="001A1F90">
        <w:t xml:space="preserve"> </w:t>
      </w:r>
      <w:r>
        <w:t>existing</w:t>
      </w:r>
      <w:r w:rsidR="001A1F90">
        <w:t xml:space="preserve"> </w:t>
      </w:r>
      <w:r>
        <w:t>carcinoma</w:t>
      </w:r>
      <w:r w:rsidR="001A1F90">
        <w:t xml:space="preserve"> </w:t>
      </w:r>
      <w:r>
        <w:t>and</w:t>
      </w:r>
      <w:r w:rsidR="001A1F90">
        <w:t xml:space="preserve"> </w:t>
      </w:r>
      <w:r>
        <w:t>other</w:t>
      </w:r>
      <w:r w:rsidR="001A1F90">
        <w:t xml:space="preserve"> </w:t>
      </w:r>
      <w:r>
        <w:t>side</w:t>
      </w:r>
      <w:r w:rsidR="001A1F90">
        <w:t xml:space="preserve"> </w:t>
      </w:r>
      <w:r>
        <w:t>effects</w:t>
      </w:r>
      <w:r w:rsidR="001A1F90">
        <w:t xml:space="preserve"> </w:t>
      </w:r>
      <w:r>
        <w:t>(specifically</w:t>
      </w:r>
      <w:r w:rsidR="001A1F90">
        <w:t xml:space="preserve"> </w:t>
      </w:r>
      <w:r>
        <w:t>in</w:t>
      </w:r>
      <w:r w:rsidR="001A1F90">
        <w:t xml:space="preserve"> </w:t>
      </w:r>
      <w:r>
        <w:t>relation</w:t>
      </w:r>
      <w:r w:rsidR="001A1F90">
        <w:t xml:space="preserve"> </w:t>
      </w:r>
      <w:r>
        <w:t>to</w:t>
      </w:r>
      <w:r w:rsidR="001A1F90">
        <w:t xml:space="preserve"> </w:t>
      </w:r>
      <w:r>
        <w:t>bone</w:t>
      </w:r>
      <w:r w:rsidR="001A1F90">
        <w:t xml:space="preserve"> </w:t>
      </w:r>
      <w:r>
        <w:t>density)</w:t>
      </w:r>
      <w:r w:rsidR="001A1F90">
        <w:t xml:space="preserve"> </w:t>
      </w:r>
      <w:r>
        <w:t>that</w:t>
      </w:r>
      <w:r w:rsidR="001A1F90">
        <w:t xml:space="preserve"> </w:t>
      </w:r>
      <w:r>
        <w:t>may</w:t>
      </w:r>
      <w:r w:rsidR="001A1F90">
        <w:t xml:space="preserve"> </w:t>
      </w:r>
      <w:r>
        <w:t>further</w:t>
      </w:r>
      <w:r w:rsidR="001A1F90">
        <w:t xml:space="preserve"> </w:t>
      </w:r>
      <w:r w:rsidR="006034A2">
        <w:t>affect</w:t>
      </w:r>
      <w:r w:rsidR="001A1F90">
        <w:t xml:space="preserve"> </w:t>
      </w:r>
      <w:r>
        <w:t>his</w:t>
      </w:r>
      <w:r w:rsidR="001A1F90">
        <w:t xml:space="preserve"> </w:t>
      </w:r>
      <w:r>
        <w:t>quality</w:t>
      </w:r>
      <w:r w:rsidR="001A1F90">
        <w:t xml:space="preserve"> </w:t>
      </w:r>
      <w:r>
        <w:t>of</w:t>
      </w:r>
      <w:r w:rsidR="001A1F90">
        <w:t xml:space="preserve"> </w:t>
      </w:r>
      <w:r>
        <w:t>life</w:t>
      </w:r>
      <w:r w:rsidR="001A1F90">
        <w:t xml:space="preserve"> </w:t>
      </w:r>
      <w:r>
        <w:t>in</w:t>
      </w:r>
      <w:r w:rsidR="001A1F90">
        <w:t xml:space="preserve"> </w:t>
      </w:r>
      <w:r>
        <w:t>the</w:t>
      </w:r>
      <w:r w:rsidR="001A1F90">
        <w:t xml:space="preserve"> </w:t>
      </w:r>
      <w:r>
        <w:t>context</w:t>
      </w:r>
      <w:r w:rsidR="001A1F90">
        <w:t xml:space="preserve"> </w:t>
      </w:r>
      <w:r>
        <w:t>of</w:t>
      </w:r>
      <w:r w:rsidR="001A1F90">
        <w:t xml:space="preserve"> </w:t>
      </w:r>
      <w:r>
        <w:t>terminal</w:t>
      </w:r>
      <w:r w:rsidR="001A1F90">
        <w:t xml:space="preserve"> </w:t>
      </w:r>
      <w:r>
        <w:t>illness,</w:t>
      </w:r>
      <w:r w:rsidR="001A1F90">
        <w:t xml:space="preserve"> </w:t>
      </w:r>
      <w:r>
        <w:t>disability</w:t>
      </w:r>
      <w:r w:rsidR="001A1F90">
        <w:t xml:space="preserve"> </w:t>
      </w:r>
      <w:r>
        <w:t>and</w:t>
      </w:r>
      <w:r w:rsidR="001A1F90">
        <w:t xml:space="preserve"> </w:t>
      </w:r>
      <w:r>
        <w:t>age</w:t>
      </w:r>
      <w:r w:rsidR="006034A2">
        <w:t>-</w:t>
      </w:r>
      <w:r>
        <w:t>related</w:t>
      </w:r>
      <w:r w:rsidR="001A1F90">
        <w:t xml:space="preserve"> </w:t>
      </w:r>
      <w:r>
        <w:t>factors.</w:t>
      </w:r>
    </w:p>
    <w:p w14:paraId="0BCB15A4" w14:textId="042A99E4" w:rsidR="004946F1" w:rsidRDefault="004946F1" w:rsidP="009B0E14">
      <w:pPr>
        <w:pStyle w:val="Heading2"/>
      </w:pPr>
      <w:bookmarkStart w:id="21" w:name="_Toc20225609"/>
      <w:r>
        <w:t>Case</w:t>
      </w:r>
      <w:r w:rsidR="001A1F90">
        <w:t xml:space="preserve"> </w:t>
      </w:r>
      <w:r>
        <w:t>3</w:t>
      </w:r>
      <w:r w:rsidR="00301CA9">
        <w:t>:</w:t>
      </w:r>
      <w:r w:rsidR="001A1F90">
        <w:t xml:space="preserve"> New Zealand</w:t>
      </w:r>
      <w:bookmarkEnd w:id="21"/>
    </w:p>
    <w:p w14:paraId="0909E882" w14:textId="4A302F0C" w:rsidR="004946F1" w:rsidRDefault="004946F1" w:rsidP="00BD612C">
      <w:pPr>
        <w:pStyle w:val="DHHSbody"/>
        <w:rPr>
          <w:spacing w:val="-4"/>
        </w:rPr>
      </w:pPr>
      <w:r>
        <w:t>A</w:t>
      </w:r>
      <w:r w:rsidR="001A1F90">
        <w:t xml:space="preserve"> </w:t>
      </w:r>
      <w:r>
        <w:t>30</w:t>
      </w:r>
      <w:r w:rsidR="00E42507">
        <w:t>-</w:t>
      </w:r>
      <w:r>
        <w:t>year</w:t>
      </w:r>
      <w:r w:rsidR="00E42507">
        <w:t>-</w:t>
      </w:r>
      <w:r>
        <w:t>old</w:t>
      </w:r>
      <w:r w:rsidR="001A1F90">
        <w:t xml:space="preserve"> </w:t>
      </w:r>
      <w:r>
        <w:t>male</w:t>
      </w:r>
      <w:r w:rsidR="001A1F90">
        <w:t xml:space="preserve"> </w:t>
      </w:r>
      <w:r>
        <w:t>with</w:t>
      </w:r>
      <w:r w:rsidR="001A1F90">
        <w:t xml:space="preserve"> </w:t>
      </w:r>
      <w:r>
        <w:t>an</w:t>
      </w:r>
      <w:r w:rsidR="001A1F90">
        <w:t xml:space="preserve"> </w:t>
      </w:r>
      <w:r>
        <w:t>established</w:t>
      </w:r>
      <w:r w:rsidR="001A1F90">
        <w:t xml:space="preserve"> </w:t>
      </w:r>
      <w:r>
        <w:t>mild</w:t>
      </w:r>
      <w:r w:rsidR="001A1F90">
        <w:t xml:space="preserve"> </w:t>
      </w:r>
      <w:r>
        <w:t>intellectual</w:t>
      </w:r>
      <w:r w:rsidR="001A1F90">
        <w:t xml:space="preserve"> </w:t>
      </w:r>
      <w:r>
        <w:t>disability</w:t>
      </w:r>
      <w:r w:rsidR="001A1F90">
        <w:t xml:space="preserve"> </w:t>
      </w:r>
      <w:r>
        <w:t>was</w:t>
      </w:r>
      <w:r w:rsidR="001A1F90">
        <w:t xml:space="preserve"> </w:t>
      </w:r>
      <w:r>
        <w:t>being</w:t>
      </w:r>
      <w:r w:rsidR="001A1F90">
        <w:t xml:space="preserve"> </w:t>
      </w:r>
      <w:r>
        <w:t>held</w:t>
      </w:r>
      <w:r w:rsidR="001A1F90">
        <w:t xml:space="preserve"> </w:t>
      </w:r>
      <w:r>
        <w:t>under</w:t>
      </w:r>
      <w:r w:rsidR="001A1F90">
        <w:t xml:space="preserve"> </w:t>
      </w:r>
      <w:r>
        <w:t>the</w:t>
      </w:r>
      <w:r w:rsidR="001A1F90">
        <w:t xml:space="preserve"> </w:t>
      </w:r>
      <w:r w:rsidRPr="004B4157">
        <w:rPr>
          <w:rStyle w:val="Emphasis"/>
        </w:rPr>
        <w:t>Mental</w:t>
      </w:r>
      <w:r w:rsidR="001A1F90">
        <w:rPr>
          <w:rStyle w:val="Emphasis"/>
        </w:rPr>
        <w:t xml:space="preserve"> </w:t>
      </w:r>
      <w:r w:rsidRPr="004B4157">
        <w:rPr>
          <w:rStyle w:val="Emphasis"/>
        </w:rPr>
        <w:t>Health</w:t>
      </w:r>
      <w:r w:rsidR="001A1F90">
        <w:rPr>
          <w:rStyle w:val="Emphasis"/>
        </w:rPr>
        <w:t xml:space="preserve"> </w:t>
      </w:r>
      <w:r w:rsidRPr="004B4157">
        <w:rPr>
          <w:rStyle w:val="Emphasis"/>
        </w:rPr>
        <w:t>Act</w:t>
      </w:r>
      <w:r w:rsidR="001A1F90">
        <w:rPr>
          <w:rStyle w:val="Emphasis"/>
        </w:rPr>
        <w:t xml:space="preserve"> </w:t>
      </w:r>
      <w:r w:rsidRPr="004B4157">
        <w:rPr>
          <w:rStyle w:val="Emphasis"/>
        </w:rPr>
        <w:t>1992</w:t>
      </w:r>
      <w:r w:rsidR="001A1F90">
        <w:t xml:space="preserve"> </w:t>
      </w:r>
      <w:r>
        <w:t>following</w:t>
      </w:r>
      <w:r w:rsidR="001A1F90">
        <w:t xml:space="preserve"> </w:t>
      </w:r>
      <w:r>
        <w:t>a</w:t>
      </w:r>
      <w:r w:rsidR="001A1F90">
        <w:t xml:space="preserve"> </w:t>
      </w:r>
      <w:r>
        <w:t>conviction</w:t>
      </w:r>
      <w:r w:rsidR="001A1F90">
        <w:t xml:space="preserve"> </w:t>
      </w:r>
      <w:r>
        <w:t>for</w:t>
      </w:r>
      <w:r w:rsidR="001A1F90">
        <w:t xml:space="preserve"> </w:t>
      </w:r>
      <w:r>
        <w:t>a</w:t>
      </w:r>
      <w:r w:rsidR="001A1F90">
        <w:t xml:space="preserve"> </w:t>
      </w:r>
      <w:r>
        <w:t>burglary</w:t>
      </w:r>
      <w:r w:rsidR="001A1F90">
        <w:t xml:space="preserve"> </w:t>
      </w:r>
      <w:r>
        <w:t>with</w:t>
      </w:r>
      <w:r w:rsidR="001A1F90">
        <w:t xml:space="preserve"> </w:t>
      </w:r>
      <w:r>
        <w:t>a</w:t>
      </w:r>
      <w:r w:rsidR="001A1F90">
        <w:t xml:space="preserve"> </w:t>
      </w:r>
      <w:r>
        <w:t>high</w:t>
      </w:r>
      <w:r w:rsidR="001A1F90">
        <w:t xml:space="preserve"> </w:t>
      </w:r>
      <w:r>
        <w:t>level</w:t>
      </w:r>
      <w:r w:rsidR="001A1F90">
        <w:t xml:space="preserve"> </w:t>
      </w:r>
      <w:r>
        <w:t>of</w:t>
      </w:r>
      <w:r w:rsidR="001A1F90">
        <w:t xml:space="preserve"> </w:t>
      </w:r>
      <w:r>
        <w:t>sexual</w:t>
      </w:r>
      <w:r w:rsidR="001A1F90">
        <w:t xml:space="preserve"> </w:t>
      </w:r>
      <w:r>
        <w:t>motivation.</w:t>
      </w:r>
      <w:r w:rsidR="001A1F90">
        <w:t xml:space="preserve"> </w:t>
      </w:r>
      <w:r>
        <w:t>His</w:t>
      </w:r>
      <w:r w:rsidR="001A1F90">
        <w:t xml:space="preserve"> </w:t>
      </w:r>
      <w:r>
        <w:t>offending</w:t>
      </w:r>
      <w:r w:rsidR="001A1F90">
        <w:t xml:space="preserve"> </w:t>
      </w:r>
      <w:r>
        <w:t>predated</w:t>
      </w:r>
      <w:r w:rsidR="001A1F90">
        <w:t xml:space="preserve"> </w:t>
      </w:r>
      <w:r>
        <w:t>the</w:t>
      </w:r>
      <w:r w:rsidR="001A1F90">
        <w:t xml:space="preserve"> </w:t>
      </w:r>
      <w:r>
        <w:t>introduction</w:t>
      </w:r>
      <w:r w:rsidR="001A1F90">
        <w:t xml:space="preserve"> </w:t>
      </w:r>
      <w:r>
        <w:t>of</w:t>
      </w:r>
      <w:r w:rsidR="001A1F90">
        <w:t xml:space="preserve"> </w:t>
      </w:r>
      <w:r>
        <w:t>the</w:t>
      </w:r>
      <w:r w:rsidR="001A1F90">
        <w:t xml:space="preserve"> </w:t>
      </w:r>
      <w:r w:rsidRPr="004B4157">
        <w:rPr>
          <w:rStyle w:val="Emphasis"/>
        </w:rPr>
        <w:t>Intellectual</w:t>
      </w:r>
      <w:r w:rsidR="001A1F90">
        <w:rPr>
          <w:rStyle w:val="Emphasis"/>
        </w:rPr>
        <w:t xml:space="preserve"> </w:t>
      </w:r>
      <w:r w:rsidRPr="004B4157">
        <w:rPr>
          <w:rStyle w:val="Emphasis"/>
        </w:rPr>
        <w:t>Disability</w:t>
      </w:r>
      <w:r w:rsidR="001A1F90">
        <w:rPr>
          <w:rStyle w:val="Emphasis"/>
        </w:rPr>
        <w:t xml:space="preserve"> </w:t>
      </w:r>
      <w:r w:rsidRPr="004B4157">
        <w:rPr>
          <w:rStyle w:val="Emphasis"/>
        </w:rPr>
        <w:t>(Compulsory</w:t>
      </w:r>
      <w:r w:rsidR="001A1F90">
        <w:rPr>
          <w:rStyle w:val="Emphasis"/>
        </w:rPr>
        <w:t xml:space="preserve"> </w:t>
      </w:r>
      <w:r w:rsidRPr="004B4157">
        <w:rPr>
          <w:rStyle w:val="Emphasis"/>
        </w:rPr>
        <w:t>Care</w:t>
      </w:r>
      <w:r w:rsidR="001A1F90">
        <w:rPr>
          <w:rStyle w:val="Emphasis"/>
        </w:rPr>
        <w:t xml:space="preserve"> </w:t>
      </w:r>
      <w:r w:rsidRPr="004B4157">
        <w:rPr>
          <w:rStyle w:val="Emphasis"/>
        </w:rPr>
        <w:t>and</w:t>
      </w:r>
      <w:r w:rsidR="001A1F90">
        <w:rPr>
          <w:rStyle w:val="Emphasis"/>
        </w:rPr>
        <w:t xml:space="preserve"> </w:t>
      </w:r>
      <w:r w:rsidRPr="004B4157">
        <w:rPr>
          <w:rStyle w:val="Emphasis"/>
        </w:rPr>
        <w:t>Rehabilitation)</w:t>
      </w:r>
      <w:r w:rsidR="001A1F90">
        <w:rPr>
          <w:rStyle w:val="Emphasis"/>
        </w:rPr>
        <w:t xml:space="preserve"> </w:t>
      </w:r>
      <w:r w:rsidRPr="004B4157">
        <w:rPr>
          <w:rStyle w:val="Emphasis"/>
        </w:rPr>
        <w:t>Act</w:t>
      </w:r>
      <w:r w:rsidR="001A1F90">
        <w:rPr>
          <w:rStyle w:val="Emphasis"/>
        </w:rPr>
        <w:t xml:space="preserve"> </w:t>
      </w:r>
      <w:r w:rsidRPr="004B4157">
        <w:rPr>
          <w:rStyle w:val="Emphasis"/>
        </w:rPr>
        <w:t>2003</w:t>
      </w:r>
      <w:r w:rsidR="001A1F90">
        <w:rPr>
          <w:spacing w:val="-2"/>
        </w:rPr>
        <w:t xml:space="preserve"> </w:t>
      </w:r>
      <w:r>
        <w:rPr>
          <w:spacing w:val="-2"/>
        </w:rPr>
        <w:t>in</w:t>
      </w:r>
      <w:r w:rsidR="001A1F90">
        <w:rPr>
          <w:spacing w:val="-2"/>
        </w:rPr>
        <w:t xml:space="preserve"> </w:t>
      </w:r>
      <w:r>
        <w:rPr>
          <w:spacing w:val="-2"/>
        </w:rPr>
        <w:t>New</w:t>
      </w:r>
      <w:r w:rsidR="001A1F90">
        <w:rPr>
          <w:spacing w:val="-2"/>
        </w:rPr>
        <w:t xml:space="preserve"> </w:t>
      </w:r>
      <w:r>
        <w:rPr>
          <w:spacing w:val="-2"/>
        </w:rPr>
        <w:t>Zealand.</w:t>
      </w:r>
      <w:r w:rsidR="001A1F90">
        <w:rPr>
          <w:spacing w:val="-2"/>
        </w:rPr>
        <w:t xml:space="preserve"> </w:t>
      </w:r>
      <w:r>
        <w:rPr>
          <w:spacing w:val="-2"/>
        </w:rPr>
        <w:t>He</w:t>
      </w:r>
      <w:r w:rsidR="001A1F90">
        <w:rPr>
          <w:spacing w:val="-2"/>
        </w:rPr>
        <w:t xml:space="preserve"> </w:t>
      </w:r>
      <w:r>
        <w:rPr>
          <w:spacing w:val="-2"/>
        </w:rPr>
        <w:t>has</w:t>
      </w:r>
      <w:r w:rsidR="001A1F90">
        <w:rPr>
          <w:spacing w:val="-2"/>
        </w:rPr>
        <w:t xml:space="preserve"> </w:t>
      </w:r>
      <w:r>
        <w:rPr>
          <w:spacing w:val="-2"/>
        </w:rPr>
        <w:t>a</w:t>
      </w:r>
      <w:r w:rsidR="001A1F90">
        <w:rPr>
          <w:spacing w:val="-2"/>
        </w:rPr>
        <w:t xml:space="preserve"> </w:t>
      </w:r>
      <w:r>
        <w:rPr>
          <w:spacing w:val="-2"/>
        </w:rPr>
        <w:t>history</w:t>
      </w:r>
      <w:r w:rsidR="001A1F90">
        <w:rPr>
          <w:spacing w:val="-2"/>
        </w:rPr>
        <w:t xml:space="preserve"> </w:t>
      </w:r>
      <w:r>
        <w:rPr>
          <w:spacing w:val="-2"/>
        </w:rPr>
        <w:t>of</w:t>
      </w:r>
      <w:r w:rsidR="001A1F90">
        <w:rPr>
          <w:spacing w:val="-2"/>
        </w:rPr>
        <w:t xml:space="preserve"> </w:t>
      </w:r>
      <w:r>
        <w:rPr>
          <w:spacing w:val="-2"/>
        </w:rPr>
        <w:t>a</w:t>
      </w:r>
      <w:r w:rsidR="001A1F90">
        <w:rPr>
          <w:spacing w:val="-2"/>
        </w:rPr>
        <w:t xml:space="preserve"> </w:t>
      </w:r>
      <w:r>
        <w:rPr>
          <w:spacing w:val="-4"/>
        </w:rPr>
        <w:t>sexual</w:t>
      </w:r>
      <w:r w:rsidR="001A1F90">
        <w:rPr>
          <w:spacing w:val="-4"/>
        </w:rPr>
        <w:t xml:space="preserve"> </w:t>
      </w:r>
      <w:r>
        <w:rPr>
          <w:spacing w:val="-4"/>
        </w:rPr>
        <w:t>homicide</w:t>
      </w:r>
      <w:r w:rsidR="001A1F90">
        <w:rPr>
          <w:spacing w:val="-4"/>
        </w:rPr>
        <w:t xml:space="preserve"> </w:t>
      </w:r>
      <w:r>
        <w:rPr>
          <w:spacing w:val="-4"/>
        </w:rPr>
        <w:t>and</w:t>
      </w:r>
      <w:r w:rsidR="001A1F90">
        <w:rPr>
          <w:spacing w:val="-4"/>
        </w:rPr>
        <w:t xml:space="preserve"> </w:t>
      </w:r>
      <w:r>
        <w:rPr>
          <w:spacing w:val="-4"/>
        </w:rPr>
        <w:t>a</w:t>
      </w:r>
      <w:r w:rsidR="001A1F90">
        <w:rPr>
          <w:spacing w:val="-4"/>
        </w:rPr>
        <w:t xml:space="preserve"> </w:t>
      </w:r>
      <w:r>
        <w:rPr>
          <w:spacing w:val="-4"/>
        </w:rPr>
        <w:t>long</w:t>
      </w:r>
      <w:r w:rsidR="001A1F90">
        <w:rPr>
          <w:spacing w:val="-4"/>
        </w:rPr>
        <w:t xml:space="preserve"> </w:t>
      </w:r>
      <w:r>
        <w:rPr>
          <w:spacing w:val="-4"/>
        </w:rPr>
        <w:t>history</w:t>
      </w:r>
      <w:r w:rsidR="001A1F90">
        <w:rPr>
          <w:spacing w:val="-4"/>
        </w:rPr>
        <w:t xml:space="preserve"> </w:t>
      </w:r>
      <w:r>
        <w:rPr>
          <w:spacing w:val="-4"/>
        </w:rPr>
        <w:t>of</w:t>
      </w:r>
      <w:r w:rsidR="001A1F90">
        <w:rPr>
          <w:spacing w:val="-4"/>
        </w:rPr>
        <w:t xml:space="preserve"> </w:t>
      </w:r>
      <w:r>
        <w:rPr>
          <w:spacing w:val="-4"/>
        </w:rPr>
        <w:t>sexualised</w:t>
      </w:r>
      <w:r w:rsidR="001A1F90">
        <w:rPr>
          <w:spacing w:val="-4"/>
        </w:rPr>
        <w:t xml:space="preserve"> </w:t>
      </w:r>
      <w:r>
        <w:t>behaviour</w:t>
      </w:r>
      <w:r w:rsidR="001A1F90">
        <w:t xml:space="preserve"> </w:t>
      </w:r>
      <w:r>
        <w:t>including</w:t>
      </w:r>
      <w:r w:rsidR="001A1F90">
        <w:t xml:space="preserve"> </w:t>
      </w:r>
      <w:r>
        <w:t>public</w:t>
      </w:r>
      <w:r w:rsidR="001A1F90">
        <w:t xml:space="preserve"> </w:t>
      </w:r>
      <w:r>
        <w:t>masturbation,</w:t>
      </w:r>
      <w:r w:rsidR="001A1F90">
        <w:t xml:space="preserve"> </w:t>
      </w:r>
      <w:r>
        <w:t>self-harm</w:t>
      </w:r>
      <w:r w:rsidR="001A1F90">
        <w:t xml:space="preserve"> </w:t>
      </w:r>
      <w:r>
        <w:t>to</w:t>
      </w:r>
      <w:r w:rsidR="001A1F90">
        <w:t xml:space="preserve"> </w:t>
      </w:r>
      <w:r>
        <w:t>his</w:t>
      </w:r>
      <w:r w:rsidR="001A1F90">
        <w:t xml:space="preserve"> </w:t>
      </w:r>
      <w:r>
        <w:t>genitals</w:t>
      </w:r>
      <w:r w:rsidR="001A1F90">
        <w:t xml:space="preserve"> </w:t>
      </w:r>
      <w:r>
        <w:t>and</w:t>
      </w:r>
      <w:r w:rsidR="001A1F90">
        <w:t xml:space="preserve"> </w:t>
      </w:r>
      <w:r>
        <w:t>sexually</w:t>
      </w:r>
      <w:r w:rsidR="001A1F90">
        <w:t xml:space="preserve"> </w:t>
      </w:r>
      <w:r w:rsidR="00C84854">
        <w:t>inappropriate</w:t>
      </w:r>
      <w:r w:rsidR="001A1F90">
        <w:t xml:space="preserve"> </w:t>
      </w:r>
      <w:r>
        <w:t>interests</w:t>
      </w:r>
      <w:r w:rsidR="001A1F90">
        <w:t xml:space="preserve"> </w:t>
      </w:r>
      <w:r>
        <w:t>including</w:t>
      </w:r>
      <w:r w:rsidR="001A1F90">
        <w:t xml:space="preserve"> </w:t>
      </w:r>
      <w:r>
        <w:t>power</w:t>
      </w:r>
      <w:r w:rsidR="001A1F90">
        <w:t xml:space="preserve"> </w:t>
      </w:r>
      <w:r>
        <w:t>tools,</w:t>
      </w:r>
      <w:r w:rsidR="001A1F90">
        <w:t xml:space="preserve"> </w:t>
      </w:r>
      <w:r>
        <w:t>public</w:t>
      </w:r>
      <w:r w:rsidR="001A1F90">
        <w:t xml:space="preserve"> </w:t>
      </w:r>
      <w:r>
        <w:rPr>
          <w:spacing w:val="-4"/>
        </w:rPr>
        <w:t>masturbation</w:t>
      </w:r>
      <w:r w:rsidR="001A1F90">
        <w:rPr>
          <w:spacing w:val="-4"/>
        </w:rPr>
        <w:t xml:space="preserve"> </w:t>
      </w:r>
      <w:r>
        <w:rPr>
          <w:spacing w:val="-4"/>
        </w:rPr>
        <w:t>and</w:t>
      </w:r>
      <w:r w:rsidR="001A1F90">
        <w:rPr>
          <w:spacing w:val="-4"/>
        </w:rPr>
        <w:t xml:space="preserve"> </w:t>
      </w:r>
      <w:r>
        <w:rPr>
          <w:spacing w:val="-4"/>
        </w:rPr>
        <w:t>fantasies</w:t>
      </w:r>
      <w:r w:rsidR="001A1F90">
        <w:rPr>
          <w:spacing w:val="-4"/>
        </w:rPr>
        <w:t xml:space="preserve"> </w:t>
      </w:r>
      <w:r>
        <w:rPr>
          <w:spacing w:val="-4"/>
        </w:rPr>
        <w:t>of</w:t>
      </w:r>
      <w:r w:rsidR="001A1F90">
        <w:rPr>
          <w:spacing w:val="-4"/>
        </w:rPr>
        <w:t xml:space="preserve"> </w:t>
      </w:r>
      <w:r>
        <w:rPr>
          <w:spacing w:val="-4"/>
        </w:rPr>
        <w:t>rape</w:t>
      </w:r>
      <w:r w:rsidR="001A1F90">
        <w:rPr>
          <w:spacing w:val="-4"/>
        </w:rPr>
        <w:t xml:space="preserve"> </w:t>
      </w:r>
      <w:r>
        <w:rPr>
          <w:spacing w:val="-4"/>
        </w:rPr>
        <w:t>and</w:t>
      </w:r>
      <w:r w:rsidR="001A1F90">
        <w:rPr>
          <w:spacing w:val="-4"/>
        </w:rPr>
        <w:t xml:space="preserve"> </w:t>
      </w:r>
      <w:r>
        <w:rPr>
          <w:spacing w:val="-4"/>
        </w:rPr>
        <w:t>murder.</w:t>
      </w:r>
    </w:p>
    <w:p w14:paraId="5C2971FB" w14:textId="025B8B21" w:rsidR="004946F1" w:rsidRDefault="004946F1" w:rsidP="00BD612C">
      <w:pPr>
        <w:pStyle w:val="DHHSbody"/>
      </w:pPr>
      <w:r>
        <w:t>In</w:t>
      </w:r>
      <w:r w:rsidR="001A1F90">
        <w:t xml:space="preserve"> </w:t>
      </w:r>
      <w:r>
        <w:t>the</w:t>
      </w:r>
      <w:r w:rsidR="001A1F90">
        <w:t xml:space="preserve"> </w:t>
      </w:r>
      <w:r>
        <w:t>months</w:t>
      </w:r>
      <w:r w:rsidR="001A1F90">
        <w:t xml:space="preserve"> </w:t>
      </w:r>
      <w:r>
        <w:t>leading</w:t>
      </w:r>
      <w:r w:rsidR="001A1F90">
        <w:t xml:space="preserve"> </w:t>
      </w:r>
      <w:r>
        <w:t>up</w:t>
      </w:r>
      <w:r w:rsidR="001A1F90">
        <w:t xml:space="preserve"> </w:t>
      </w:r>
      <w:r>
        <w:t>to</w:t>
      </w:r>
      <w:r w:rsidR="001A1F90">
        <w:t xml:space="preserve"> </w:t>
      </w:r>
      <w:r>
        <w:t>the</w:t>
      </w:r>
      <w:r w:rsidR="001A1F90">
        <w:t xml:space="preserve"> </w:t>
      </w:r>
      <w:r>
        <w:t>use</w:t>
      </w:r>
      <w:r w:rsidR="001A1F90">
        <w:t xml:space="preserve"> </w:t>
      </w:r>
      <w:r>
        <w:t>of</w:t>
      </w:r>
      <w:r w:rsidR="001A1F90">
        <w:t xml:space="preserve"> </w:t>
      </w:r>
      <w:r>
        <w:t>anti-androgen</w:t>
      </w:r>
      <w:r w:rsidR="001A1F90">
        <w:t xml:space="preserve"> </w:t>
      </w:r>
      <w:r>
        <w:t>medication,</w:t>
      </w:r>
      <w:r w:rsidR="001A1F90">
        <w:t xml:space="preserve"> </w:t>
      </w:r>
      <w:r>
        <w:t>he</w:t>
      </w:r>
      <w:r w:rsidR="001A1F90">
        <w:t xml:space="preserve"> </w:t>
      </w:r>
      <w:r>
        <w:t>had</w:t>
      </w:r>
      <w:r w:rsidR="001A1F90">
        <w:t xml:space="preserve"> </w:t>
      </w:r>
      <w:r>
        <w:t>been</w:t>
      </w:r>
      <w:r w:rsidR="001A1F90">
        <w:t xml:space="preserve"> </w:t>
      </w:r>
      <w:r>
        <w:t>masturbating</w:t>
      </w:r>
      <w:r w:rsidR="001A1F90">
        <w:t xml:space="preserve"> </w:t>
      </w:r>
      <w:r>
        <w:t>about</w:t>
      </w:r>
      <w:r w:rsidR="001A1F90">
        <w:t xml:space="preserve"> </w:t>
      </w:r>
      <w:r w:rsidR="002F0E5E">
        <w:t>five</w:t>
      </w:r>
      <w:r w:rsidR="001A1F90">
        <w:t xml:space="preserve"> </w:t>
      </w:r>
      <w:r>
        <w:t>times</w:t>
      </w:r>
      <w:r w:rsidR="001A1F90">
        <w:t xml:space="preserve"> </w:t>
      </w:r>
      <w:r>
        <w:t>a</w:t>
      </w:r>
      <w:r w:rsidR="001A1F90">
        <w:t xml:space="preserve"> </w:t>
      </w:r>
      <w:r>
        <w:t>day</w:t>
      </w:r>
      <w:r w:rsidR="001A1F90">
        <w:t xml:space="preserve"> </w:t>
      </w:r>
      <w:r>
        <w:t>and</w:t>
      </w:r>
      <w:r w:rsidR="001A1F90">
        <w:t xml:space="preserve"> </w:t>
      </w:r>
      <w:r>
        <w:t>displaying</w:t>
      </w:r>
      <w:r w:rsidR="001A1F90">
        <w:t xml:space="preserve"> </w:t>
      </w:r>
      <w:r>
        <w:t>persistent</w:t>
      </w:r>
      <w:r w:rsidR="001A1F90">
        <w:t xml:space="preserve"> </w:t>
      </w:r>
      <w:r>
        <w:t>sexually</w:t>
      </w:r>
      <w:r w:rsidR="001A1F90">
        <w:t xml:space="preserve"> </w:t>
      </w:r>
      <w:r>
        <w:t>inappropriate</w:t>
      </w:r>
      <w:r w:rsidR="001A1F90">
        <w:t xml:space="preserve"> </w:t>
      </w:r>
      <w:r>
        <w:t>behaviour</w:t>
      </w:r>
      <w:r w:rsidR="001A1F90">
        <w:t xml:space="preserve"> </w:t>
      </w:r>
      <w:r>
        <w:t>on</w:t>
      </w:r>
      <w:r w:rsidR="001A1F90">
        <w:t xml:space="preserve"> </w:t>
      </w:r>
      <w:r>
        <w:t>the</w:t>
      </w:r>
      <w:r w:rsidR="001A1F90">
        <w:t xml:space="preserve"> </w:t>
      </w:r>
      <w:r>
        <w:t>inpatient</w:t>
      </w:r>
      <w:r w:rsidR="001A1F90">
        <w:t xml:space="preserve"> </w:t>
      </w:r>
      <w:r>
        <w:t>unit.</w:t>
      </w:r>
      <w:r w:rsidR="001A1F90">
        <w:t xml:space="preserve"> </w:t>
      </w:r>
      <w:r>
        <w:t>This</w:t>
      </w:r>
      <w:r w:rsidR="001A1F90">
        <w:t xml:space="preserve"> </w:t>
      </w:r>
      <w:r>
        <w:t>including</w:t>
      </w:r>
      <w:r w:rsidR="001A1F90">
        <w:t xml:space="preserve"> </w:t>
      </w:r>
      <w:r>
        <w:t>exposing</w:t>
      </w:r>
      <w:r w:rsidR="001A1F90">
        <w:t xml:space="preserve"> </w:t>
      </w:r>
      <w:r>
        <w:t>himself,</w:t>
      </w:r>
      <w:r w:rsidR="001A1F90">
        <w:t xml:space="preserve"> </w:t>
      </w:r>
      <w:r>
        <w:t>public</w:t>
      </w:r>
      <w:r w:rsidR="001A1F90">
        <w:t xml:space="preserve"> </w:t>
      </w:r>
      <w:r>
        <w:t>masturbation,</w:t>
      </w:r>
      <w:r w:rsidR="001A1F90">
        <w:t xml:space="preserve"> </w:t>
      </w:r>
      <w:r>
        <w:t>touching</w:t>
      </w:r>
      <w:r w:rsidR="001A1F90">
        <w:t xml:space="preserve"> </w:t>
      </w:r>
      <w:r>
        <w:t>of</w:t>
      </w:r>
      <w:r w:rsidR="001A1F90">
        <w:t xml:space="preserve"> </w:t>
      </w:r>
      <w:r>
        <w:t>female</w:t>
      </w:r>
      <w:r w:rsidR="001A1F90">
        <w:t xml:space="preserve"> </w:t>
      </w:r>
      <w:r>
        <w:t>staff</w:t>
      </w:r>
      <w:r w:rsidR="001A1F90">
        <w:t xml:space="preserve"> </w:t>
      </w:r>
      <w:r>
        <w:t>and</w:t>
      </w:r>
      <w:r w:rsidR="001A1F90">
        <w:t xml:space="preserve"> </w:t>
      </w:r>
      <w:r>
        <w:t>patients</w:t>
      </w:r>
      <w:r w:rsidR="001A1F90">
        <w:t xml:space="preserve"> </w:t>
      </w:r>
      <w:r>
        <w:t>and</w:t>
      </w:r>
      <w:r w:rsidR="001A1F90">
        <w:t xml:space="preserve"> </w:t>
      </w:r>
      <w:r>
        <w:t>sexually</w:t>
      </w:r>
      <w:r w:rsidR="001A1F90">
        <w:t xml:space="preserve"> </w:t>
      </w:r>
      <w:r>
        <w:t>inappropriate</w:t>
      </w:r>
      <w:r w:rsidR="001A1F90">
        <w:t xml:space="preserve"> </w:t>
      </w:r>
      <w:r>
        <w:t>remarks.</w:t>
      </w:r>
      <w:r w:rsidR="001A1F90">
        <w:t xml:space="preserve"> </w:t>
      </w:r>
      <w:r>
        <w:t>Given</w:t>
      </w:r>
      <w:r w:rsidR="001A1F90">
        <w:t xml:space="preserve"> </w:t>
      </w:r>
      <w:r>
        <w:t>his</w:t>
      </w:r>
      <w:r w:rsidR="001A1F90">
        <w:t xml:space="preserve"> </w:t>
      </w:r>
      <w:r>
        <w:t>history</w:t>
      </w:r>
      <w:r w:rsidR="001A1F90">
        <w:t xml:space="preserve"> </w:t>
      </w:r>
      <w:r>
        <w:t>of</w:t>
      </w:r>
      <w:r w:rsidR="001A1F90">
        <w:t xml:space="preserve"> </w:t>
      </w:r>
      <w:r>
        <w:t>significant</w:t>
      </w:r>
      <w:r w:rsidR="001A1F90">
        <w:t xml:space="preserve"> </w:t>
      </w:r>
      <w:r>
        <w:t>sexual</w:t>
      </w:r>
      <w:r w:rsidR="001A1F90">
        <w:t xml:space="preserve"> </w:t>
      </w:r>
      <w:r>
        <w:t>offending</w:t>
      </w:r>
      <w:r w:rsidR="001A1F90">
        <w:t xml:space="preserve"> </w:t>
      </w:r>
      <w:r>
        <w:t>and</w:t>
      </w:r>
      <w:r w:rsidR="001A1F90">
        <w:t xml:space="preserve"> </w:t>
      </w:r>
      <w:r>
        <w:t>persisting</w:t>
      </w:r>
      <w:r w:rsidR="001A1F90">
        <w:t xml:space="preserve"> </w:t>
      </w:r>
      <w:r>
        <w:t>evidence</w:t>
      </w:r>
      <w:r w:rsidR="001A1F90">
        <w:t xml:space="preserve"> </w:t>
      </w:r>
      <w:r>
        <w:t>of</w:t>
      </w:r>
      <w:r w:rsidR="001A1F90">
        <w:t xml:space="preserve"> </w:t>
      </w:r>
      <w:r>
        <w:t>a</w:t>
      </w:r>
      <w:r w:rsidR="001A1F90">
        <w:t xml:space="preserve"> </w:t>
      </w:r>
      <w:r>
        <w:t>high</w:t>
      </w:r>
      <w:r w:rsidR="001A1F90">
        <w:t xml:space="preserve"> </w:t>
      </w:r>
      <w:r>
        <w:t>level</w:t>
      </w:r>
      <w:r w:rsidR="001A1F90">
        <w:t xml:space="preserve"> </w:t>
      </w:r>
      <w:r>
        <w:t>of</w:t>
      </w:r>
      <w:r w:rsidR="001A1F90">
        <w:t xml:space="preserve"> </w:t>
      </w:r>
      <w:r>
        <w:t>libido</w:t>
      </w:r>
      <w:r w:rsidR="001A1F90">
        <w:t xml:space="preserve"> </w:t>
      </w:r>
      <w:r>
        <w:t>coupled</w:t>
      </w:r>
      <w:r w:rsidR="001A1F90">
        <w:t xml:space="preserve"> </w:t>
      </w:r>
      <w:r>
        <w:t>with</w:t>
      </w:r>
      <w:r w:rsidR="001A1F90">
        <w:t xml:space="preserve"> </w:t>
      </w:r>
      <w:r>
        <w:t>sexually</w:t>
      </w:r>
      <w:r w:rsidR="001A1F90">
        <w:t xml:space="preserve"> </w:t>
      </w:r>
      <w:r w:rsidR="00C84854">
        <w:t>inappropriate</w:t>
      </w:r>
      <w:r w:rsidR="001A1F90">
        <w:t xml:space="preserve"> </w:t>
      </w:r>
      <w:r>
        <w:t>fantasies,</w:t>
      </w:r>
      <w:r w:rsidR="001A1F90">
        <w:t xml:space="preserve"> </w:t>
      </w:r>
      <w:r>
        <w:t>his</w:t>
      </w:r>
      <w:r w:rsidR="001A1F90">
        <w:t xml:space="preserve"> </w:t>
      </w:r>
      <w:r>
        <w:t>treating</w:t>
      </w:r>
      <w:r w:rsidR="001A1F90">
        <w:t xml:space="preserve"> </w:t>
      </w:r>
      <w:r>
        <w:t>psychiatrist</w:t>
      </w:r>
      <w:r w:rsidR="001A1F90">
        <w:t xml:space="preserve"> </w:t>
      </w:r>
      <w:r>
        <w:t>requested</w:t>
      </w:r>
      <w:r w:rsidR="001A1F90">
        <w:t xml:space="preserve"> </w:t>
      </w:r>
      <w:r>
        <w:t>a</w:t>
      </w:r>
      <w:r w:rsidR="001A1F90">
        <w:t xml:space="preserve"> </w:t>
      </w:r>
      <w:r>
        <w:t>second</w:t>
      </w:r>
      <w:r w:rsidR="001A1F90">
        <w:t xml:space="preserve"> </w:t>
      </w:r>
      <w:r>
        <w:t>opinion</w:t>
      </w:r>
      <w:r w:rsidR="001A1F90">
        <w:t xml:space="preserve"> </w:t>
      </w:r>
      <w:r>
        <w:t>under</w:t>
      </w:r>
      <w:r w:rsidR="001A1F90">
        <w:t xml:space="preserve"> </w:t>
      </w:r>
      <w:r w:rsidR="002B53B9">
        <w:t xml:space="preserve">s. </w:t>
      </w:r>
      <w:r>
        <w:t>59</w:t>
      </w:r>
      <w:r w:rsidR="001A1F90">
        <w:t xml:space="preserve"> </w:t>
      </w:r>
      <w:r>
        <w:t>of</w:t>
      </w:r>
      <w:r w:rsidR="001A1F90">
        <w:t xml:space="preserve"> </w:t>
      </w:r>
      <w:r>
        <w:t>the</w:t>
      </w:r>
      <w:r w:rsidR="001A1F90">
        <w:t xml:space="preserve"> </w:t>
      </w:r>
      <w:r>
        <w:t>Mental</w:t>
      </w:r>
      <w:r w:rsidR="001A1F90">
        <w:t xml:space="preserve"> </w:t>
      </w:r>
      <w:r>
        <w:t>Health</w:t>
      </w:r>
      <w:r w:rsidR="001A1F90">
        <w:t xml:space="preserve"> </w:t>
      </w:r>
      <w:r>
        <w:t>Act</w:t>
      </w:r>
      <w:r w:rsidR="001A1F90">
        <w:t xml:space="preserve"> </w:t>
      </w:r>
      <w:r>
        <w:t>for</w:t>
      </w:r>
      <w:r w:rsidR="001A1F90">
        <w:t xml:space="preserve"> </w:t>
      </w:r>
      <w:r>
        <w:t>the</w:t>
      </w:r>
      <w:r w:rsidR="001A1F90">
        <w:t xml:space="preserve"> </w:t>
      </w:r>
      <w:r>
        <w:t>use</w:t>
      </w:r>
      <w:r w:rsidR="001A1F90">
        <w:t xml:space="preserve"> </w:t>
      </w:r>
      <w:r>
        <w:t>of</w:t>
      </w:r>
      <w:r w:rsidR="001A1F90">
        <w:t xml:space="preserve"> </w:t>
      </w:r>
      <w:r>
        <w:t>cyproterone</w:t>
      </w:r>
      <w:r w:rsidR="001A1F90">
        <w:t xml:space="preserve"> </w:t>
      </w:r>
      <w:r>
        <w:t>acetate.</w:t>
      </w:r>
      <w:r w:rsidR="001A1F90">
        <w:t xml:space="preserve"> </w:t>
      </w:r>
      <w:r>
        <w:t>The</w:t>
      </w:r>
      <w:r w:rsidR="001A1F90">
        <w:t xml:space="preserve"> </w:t>
      </w:r>
      <w:r>
        <w:t>assessing</w:t>
      </w:r>
      <w:r w:rsidR="001A1F90">
        <w:t xml:space="preserve"> </w:t>
      </w:r>
      <w:r>
        <w:t>psychiatrist</w:t>
      </w:r>
      <w:r w:rsidR="001A1F90">
        <w:t xml:space="preserve"> </w:t>
      </w:r>
      <w:r>
        <w:t>providing</w:t>
      </w:r>
      <w:r w:rsidR="001A1F90">
        <w:t xml:space="preserve"> </w:t>
      </w:r>
      <w:r>
        <w:t>the</w:t>
      </w:r>
      <w:r w:rsidR="001A1F90">
        <w:t xml:space="preserve"> </w:t>
      </w:r>
      <w:r>
        <w:t>second</w:t>
      </w:r>
      <w:r w:rsidR="001A1F90">
        <w:t xml:space="preserve"> </w:t>
      </w:r>
      <w:r>
        <w:t>opinion</w:t>
      </w:r>
      <w:r w:rsidR="001A1F90">
        <w:t xml:space="preserve"> </w:t>
      </w:r>
      <w:r>
        <w:t>noted</w:t>
      </w:r>
      <w:r w:rsidR="001A1F90">
        <w:t xml:space="preserve"> </w:t>
      </w:r>
      <w:r w:rsidR="002F0E5E">
        <w:t xml:space="preserve">the patient’s </w:t>
      </w:r>
      <w:r>
        <w:t>high</w:t>
      </w:r>
      <w:r w:rsidR="001A1F90">
        <w:t xml:space="preserve"> </w:t>
      </w:r>
      <w:r>
        <w:t>level</w:t>
      </w:r>
      <w:r w:rsidR="001A1F90">
        <w:t xml:space="preserve"> </w:t>
      </w:r>
      <w:r>
        <w:t>of</w:t>
      </w:r>
      <w:r w:rsidR="001A1F90">
        <w:t xml:space="preserve"> </w:t>
      </w:r>
      <w:r>
        <w:t>sexual</w:t>
      </w:r>
      <w:r w:rsidR="001A1F90">
        <w:t xml:space="preserve"> </w:t>
      </w:r>
      <w:r>
        <w:t>arousal</w:t>
      </w:r>
      <w:r w:rsidR="001A1F90">
        <w:t xml:space="preserve"> </w:t>
      </w:r>
      <w:r>
        <w:t>and</w:t>
      </w:r>
      <w:r w:rsidR="001A1F90">
        <w:t xml:space="preserve"> </w:t>
      </w:r>
      <w:r>
        <w:t>active</w:t>
      </w:r>
      <w:r w:rsidR="001A1F90">
        <w:t xml:space="preserve"> </w:t>
      </w:r>
      <w:r>
        <w:t>fantasies.</w:t>
      </w:r>
    </w:p>
    <w:p w14:paraId="3D069136" w14:textId="1399E4BF" w:rsidR="004946F1" w:rsidRDefault="004946F1" w:rsidP="00BD612C">
      <w:pPr>
        <w:pStyle w:val="DHHSbody"/>
      </w:pPr>
      <w:r>
        <w:t>He</w:t>
      </w:r>
      <w:r w:rsidR="001A1F90">
        <w:t xml:space="preserve"> </w:t>
      </w:r>
      <w:r>
        <w:t>had</w:t>
      </w:r>
      <w:r w:rsidR="001A1F90">
        <w:t xml:space="preserve"> </w:t>
      </w:r>
      <w:r>
        <w:t>been</w:t>
      </w:r>
      <w:r w:rsidR="001A1F90">
        <w:t xml:space="preserve"> </w:t>
      </w:r>
      <w:r>
        <w:t>placed</w:t>
      </w:r>
      <w:r w:rsidR="001A1F90">
        <w:t xml:space="preserve"> </w:t>
      </w:r>
      <w:r>
        <w:t>under</w:t>
      </w:r>
      <w:r w:rsidR="001A1F90">
        <w:t xml:space="preserve"> </w:t>
      </w:r>
      <w:r>
        <w:t>the</w:t>
      </w:r>
      <w:r w:rsidR="001A1F90">
        <w:t xml:space="preserve"> </w:t>
      </w:r>
      <w:r>
        <w:t>Mental</w:t>
      </w:r>
      <w:r w:rsidR="001A1F90">
        <w:t xml:space="preserve"> </w:t>
      </w:r>
      <w:r>
        <w:t>Health</w:t>
      </w:r>
      <w:r w:rsidR="001A1F90">
        <w:t xml:space="preserve"> </w:t>
      </w:r>
      <w:r>
        <w:t>Act</w:t>
      </w:r>
      <w:r w:rsidR="001A1F90">
        <w:t xml:space="preserve"> </w:t>
      </w:r>
      <w:r>
        <w:t>on</w:t>
      </w:r>
      <w:r w:rsidR="001A1F90">
        <w:t xml:space="preserve"> </w:t>
      </w:r>
      <w:r>
        <w:t>the</w:t>
      </w:r>
      <w:r w:rsidR="001A1F90">
        <w:t xml:space="preserve"> </w:t>
      </w:r>
      <w:r>
        <w:t>basis</w:t>
      </w:r>
      <w:r w:rsidR="001A1F90">
        <w:t xml:space="preserve"> </w:t>
      </w:r>
      <w:r>
        <w:t>of</w:t>
      </w:r>
      <w:r w:rsidR="001A1F90">
        <w:t xml:space="preserve"> </w:t>
      </w:r>
      <w:r>
        <w:t>having</w:t>
      </w:r>
      <w:r w:rsidR="001A1F90">
        <w:t xml:space="preserve"> </w:t>
      </w:r>
      <w:r>
        <w:t>disorders</w:t>
      </w:r>
      <w:r w:rsidR="001A1F90">
        <w:t xml:space="preserve"> </w:t>
      </w:r>
      <w:r>
        <w:t>of</w:t>
      </w:r>
      <w:r w:rsidR="001A1F90">
        <w:t xml:space="preserve"> </w:t>
      </w:r>
      <w:r>
        <w:t>cognition</w:t>
      </w:r>
      <w:r w:rsidR="001A1F90">
        <w:t xml:space="preserve"> </w:t>
      </w:r>
      <w:r>
        <w:t>and</w:t>
      </w:r>
      <w:r w:rsidR="001A1F90">
        <w:t xml:space="preserve"> </w:t>
      </w:r>
      <w:r>
        <w:t>volition</w:t>
      </w:r>
      <w:r w:rsidR="001A1F90">
        <w:t xml:space="preserve"> </w:t>
      </w:r>
      <w:r>
        <w:t>related</w:t>
      </w:r>
      <w:r w:rsidR="001A1F90">
        <w:t xml:space="preserve"> </w:t>
      </w:r>
      <w:r>
        <w:t>to</w:t>
      </w:r>
      <w:r w:rsidR="001A1F90">
        <w:t xml:space="preserve"> </w:t>
      </w:r>
      <w:r>
        <w:t>his</w:t>
      </w:r>
      <w:r w:rsidR="001A1F90">
        <w:t xml:space="preserve"> </w:t>
      </w:r>
      <w:r>
        <w:t>sexual</w:t>
      </w:r>
      <w:r w:rsidR="001A1F90">
        <w:t xml:space="preserve"> </w:t>
      </w:r>
      <w:r>
        <w:t>deviancy</w:t>
      </w:r>
      <w:r w:rsidR="001A1F90">
        <w:t xml:space="preserve"> </w:t>
      </w:r>
      <w:r>
        <w:t>and</w:t>
      </w:r>
      <w:r w:rsidR="001A1F90">
        <w:t xml:space="preserve"> </w:t>
      </w:r>
      <w:r>
        <w:t>sexual</w:t>
      </w:r>
      <w:r w:rsidR="001A1F90">
        <w:t xml:space="preserve"> </w:t>
      </w:r>
      <w:r>
        <w:t>offending</w:t>
      </w:r>
      <w:r w:rsidR="001A1F90">
        <w:t xml:space="preserve"> </w:t>
      </w:r>
      <w:r>
        <w:t>as</w:t>
      </w:r>
      <w:r w:rsidR="001A1F90">
        <w:t xml:space="preserve"> </w:t>
      </w:r>
      <w:r>
        <w:t>well</w:t>
      </w:r>
      <w:r w:rsidR="001A1F90">
        <w:t xml:space="preserve"> </w:t>
      </w:r>
      <w:r>
        <w:t>as</w:t>
      </w:r>
      <w:r w:rsidR="001A1F90">
        <w:t xml:space="preserve"> </w:t>
      </w:r>
      <w:r>
        <w:t>other</w:t>
      </w:r>
      <w:r w:rsidR="001A1F90">
        <w:t xml:space="preserve"> </w:t>
      </w:r>
      <w:r>
        <w:t>difficulties.</w:t>
      </w:r>
      <w:r w:rsidR="001A1F90">
        <w:t xml:space="preserve"> </w:t>
      </w:r>
      <w:r>
        <w:t>Accordingly</w:t>
      </w:r>
      <w:r w:rsidR="001A1F90">
        <w:t xml:space="preserve"> </w:t>
      </w:r>
      <w:r>
        <w:t>the</w:t>
      </w:r>
      <w:r w:rsidR="001A1F90">
        <w:t xml:space="preserve"> </w:t>
      </w:r>
      <w:r>
        <w:t>psychiatrist</w:t>
      </w:r>
      <w:r w:rsidR="001A1F90">
        <w:t xml:space="preserve"> </w:t>
      </w:r>
      <w:r>
        <w:t>providing</w:t>
      </w:r>
      <w:r w:rsidR="001A1F90">
        <w:t xml:space="preserve"> </w:t>
      </w:r>
      <w:r>
        <w:t>the</w:t>
      </w:r>
      <w:r w:rsidR="001A1F90">
        <w:t xml:space="preserve"> </w:t>
      </w:r>
      <w:r>
        <w:t>second</w:t>
      </w:r>
      <w:r w:rsidR="001A1F90">
        <w:t xml:space="preserve"> </w:t>
      </w:r>
      <w:r>
        <w:t>opinion</w:t>
      </w:r>
      <w:r w:rsidR="001A1F90">
        <w:t xml:space="preserve"> </w:t>
      </w:r>
      <w:r>
        <w:t>considered</w:t>
      </w:r>
      <w:r w:rsidR="001A1F90">
        <w:t xml:space="preserve"> </w:t>
      </w:r>
      <w:r>
        <w:t>that</w:t>
      </w:r>
      <w:r w:rsidR="001A1F90">
        <w:t xml:space="preserve"> </w:t>
      </w:r>
      <w:r>
        <w:t>the</w:t>
      </w:r>
      <w:r w:rsidR="001A1F90">
        <w:t xml:space="preserve"> </w:t>
      </w:r>
      <w:r>
        <w:t>treatment</w:t>
      </w:r>
      <w:r w:rsidR="001A1F90">
        <w:t xml:space="preserve"> </w:t>
      </w:r>
      <w:r>
        <w:t>with</w:t>
      </w:r>
      <w:r w:rsidR="001A1F90">
        <w:t xml:space="preserve"> </w:t>
      </w:r>
      <w:r>
        <w:t>anti-libidinal</w:t>
      </w:r>
      <w:r w:rsidR="001A1F90">
        <w:t xml:space="preserve"> </w:t>
      </w:r>
      <w:r>
        <w:t>medication</w:t>
      </w:r>
      <w:r w:rsidR="001A1F90">
        <w:t xml:space="preserve"> </w:t>
      </w:r>
      <w:r>
        <w:t>was</w:t>
      </w:r>
      <w:r w:rsidR="001A1F90">
        <w:t xml:space="preserve"> </w:t>
      </w:r>
      <w:r>
        <w:t>within</w:t>
      </w:r>
      <w:r w:rsidR="001A1F90">
        <w:t xml:space="preserve"> </w:t>
      </w:r>
      <w:r>
        <w:t>the</w:t>
      </w:r>
      <w:r w:rsidR="001A1F90">
        <w:t xml:space="preserve"> </w:t>
      </w:r>
      <w:r>
        <w:t>ambit</w:t>
      </w:r>
      <w:r w:rsidR="001A1F90">
        <w:t xml:space="preserve"> </w:t>
      </w:r>
      <w:r>
        <w:t>of</w:t>
      </w:r>
      <w:r w:rsidR="001A1F90">
        <w:t xml:space="preserve"> </w:t>
      </w:r>
      <w:r>
        <w:t>the</w:t>
      </w:r>
      <w:r w:rsidR="001A1F90">
        <w:t xml:space="preserve"> </w:t>
      </w:r>
      <w:r>
        <w:t>Mental</w:t>
      </w:r>
      <w:r w:rsidR="001A1F90">
        <w:t xml:space="preserve"> </w:t>
      </w:r>
      <w:r>
        <w:t>Health</w:t>
      </w:r>
      <w:r w:rsidR="001A1F90">
        <w:t xml:space="preserve"> </w:t>
      </w:r>
      <w:r>
        <w:t>Act.</w:t>
      </w:r>
      <w:r w:rsidR="001A1F90">
        <w:t xml:space="preserve"> </w:t>
      </w:r>
      <w:r>
        <w:t>He</w:t>
      </w:r>
      <w:r w:rsidR="001A1F90">
        <w:t xml:space="preserve"> </w:t>
      </w:r>
      <w:r>
        <w:t>also</w:t>
      </w:r>
      <w:r w:rsidR="001A1F90">
        <w:t xml:space="preserve"> </w:t>
      </w:r>
      <w:r>
        <w:t>found</w:t>
      </w:r>
      <w:r w:rsidR="001A1F90">
        <w:t xml:space="preserve"> </w:t>
      </w:r>
      <w:r>
        <w:t>that</w:t>
      </w:r>
      <w:r w:rsidR="001A1F90">
        <w:t xml:space="preserve"> </w:t>
      </w:r>
      <w:r>
        <w:t>the</w:t>
      </w:r>
      <w:r w:rsidR="001A1F90">
        <w:t xml:space="preserve"> </w:t>
      </w:r>
      <w:r>
        <w:t>patient</w:t>
      </w:r>
      <w:r w:rsidR="001A1F90">
        <w:t xml:space="preserve"> </w:t>
      </w:r>
      <w:r>
        <w:t>consented</w:t>
      </w:r>
      <w:r w:rsidR="001A1F90">
        <w:t xml:space="preserve"> </w:t>
      </w:r>
      <w:r>
        <w:t>to</w:t>
      </w:r>
      <w:r w:rsidR="001A1F90">
        <w:t xml:space="preserve"> </w:t>
      </w:r>
      <w:r>
        <w:t>the</w:t>
      </w:r>
      <w:r w:rsidR="001A1F90">
        <w:t xml:space="preserve"> </w:t>
      </w:r>
      <w:r>
        <w:t>use</w:t>
      </w:r>
      <w:r w:rsidR="001A1F90">
        <w:t xml:space="preserve"> </w:t>
      </w:r>
      <w:r>
        <w:t>of</w:t>
      </w:r>
      <w:r w:rsidR="001A1F90">
        <w:t xml:space="preserve"> </w:t>
      </w:r>
      <w:r>
        <w:t>anti-libidinals,</w:t>
      </w:r>
      <w:r w:rsidR="001A1F90">
        <w:t xml:space="preserve"> </w:t>
      </w:r>
      <w:r>
        <w:t>although</w:t>
      </w:r>
      <w:r w:rsidR="001A1F90">
        <w:t xml:space="preserve"> </w:t>
      </w:r>
      <w:r>
        <w:t>he</w:t>
      </w:r>
      <w:r w:rsidR="001A1F90">
        <w:t xml:space="preserve"> </w:t>
      </w:r>
      <w:r>
        <w:t>didn</w:t>
      </w:r>
      <w:r w:rsidR="002F0E5E">
        <w:t>’</w:t>
      </w:r>
      <w:r>
        <w:t>t</w:t>
      </w:r>
      <w:r w:rsidR="001A1F90">
        <w:t xml:space="preserve"> </w:t>
      </w:r>
      <w:r>
        <w:t>explore</w:t>
      </w:r>
      <w:r w:rsidR="001A1F90">
        <w:t xml:space="preserve"> </w:t>
      </w:r>
      <w:r>
        <w:t>his</w:t>
      </w:r>
      <w:r w:rsidR="001A1F90">
        <w:t xml:space="preserve"> </w:t>
      </w:r>
      <w:r>
        <w:t>capacity</w:t>
      </w:r>
      <w:r w:rsidR="001A1F90">
        <w:t xml:space="preserve"> </w:t>
      </w:r>
      <w:r w:rsidR="002F0E5E">
        <w:t xml:space="preserve">further </w:t>
      </w:r>
      <w:r>
        <w:t>other</w:t>
      </w:r>
      <w:r w:rsidR="001A1F90">
        <w:t xml:space="preserve"> </w:t>
      </w:r>
      <w:r>
        <w:t>than</w:t>
      </w:r>
      <w:r w:rsidR="001A1F90">
        <w:t xml:space="preserve"> </w:t>
      </w:r>
      <w:r>
        <w:t>noting</w:t>
      </w:r>
      <w:r w:rsidR="001A1F90">
        <w:t xml:space="preserve"> </w:t>
      </w:r>
      <w:r w:rsidR="002F0E5E">
        <w:t xml:space="preserve">that </w:t>
      </w:r>
      <w:r>
        <w:t>he</w:t>
      </w:r>
      <w:r w:rsidR="001A1F90">
        <w:t xml:space="preserve"> </w:t>
      </w:r>
      <w:r>
        <w:t>had</w:t>
      </w:r>
      <w:r w:rsidR="001A1F90">
        <w:t xml:space="preserve"> </w:t>
      </w:r>
      <w:r>
        <w:t>some</w:t>
      </w:r>
      <w:r w:rsidR="001A1F90">
        <w:t xml:space="preserve"> </w:t>
      </w:r>
      <w:r>
        <w:t>insight</w:t>
      </w:r>
      <w:r w:rsidR="001A1F90">
        <w:t xml:space="preserve"> </w:t>
      </w:r>
      <w:r>
        <w:t>and</w:t>
      </w:r>
      <w:r w:rsidR="001A1F90">
        <w:t xml:space="preserve"> </w:t>
      </w:r>
      <w:r>
        <w:t>understanding</w:t>
      </w:r>
      <w:r w:rsidR="001A1F90">
        <w:t xml:space="preserve"> </w:t>
      </w:r>
      <w:r>
        <w:t>of</w:t>
      </w:r>
      <w:r w:rsidR="001A1F90">
        <w:t xml:space="preserve"> </w:t>
      </w:r>
      <w:r>
        <w:t>the</w:t>
      </w:r>
      <w:r w:rsidR="001A1F90">
        <w:t xml:space="preserve"> </w:t>
      </w:r>
      <w:r>
        <w:t>purpose</w:t>
      </w:r>
      <w:r w:rsidR="001A1F90">
        <w:t xml:space="preserve"> </w:t>
      </w:r>
      <w:r>
        <w:t>of</w:t>
      </w:r>
      <w:r w:rsidR="001A1F90">
        <w:t xml:space="preserve"> </w:t>
      </w:r>
      <w:r>
        <w:t>the</w:t>
      </w:r>
      <w:r w:rsidR="001A1F90">
        <w:t xml:space="preserve"> </w:t>
      </w:r>
      <w:r>
        <w:t>medication.</w:t>
      </w:r>
      <w:r w:rsidR="001A1F90">
        <w:t xml:space="preserve"> </w:t>
      </w:r>
      <w:r>
        <w:t>He</w:t>
      </w:r>
      <w:r w:rsidR="001A1F90">
        <w:t xml:space="preserve"> </w:t>
      </w:r>
      <w:r>
        <w:t>was</w:t>
      </w:r>
      <w:r w:rsidR="001A1F90">
        <w:t xml:space="preserve"> </w:t>
      </w:r>
      <w:r>
        <w:t>commenced</w:t>
      </w:r>
      <w:r w:rsidR="001A1F90">
        <w:t xml:space="preserve"> </w:t>
      </w:r>
      <w:r>
        <w:t>on</w:t>
      </w:r>
      <w:r w:rsidR="001A1F90">
        <w:t xml:space="preserve"> </w:t>
      </w:r>
      <w:r w:rsidR="002B53B9">
        <w:t>c</w:t>
      </w:r>
      <w:r>
        <w:t>yproterone</w:t>
      </w:r>
      <w:r w:rsidR="001A1F90">
        <w:t xml:space="preserve"> </w:t>
      </w:r>
      <w:r w:rsidR="002B53B9">
        <w:t>a</w:t>
      </w:r>
      <w:r>
        <w:t>cetate</w:t>
      </w:r>
      <w:r w:rsidR="002F0E5E">
        <w:t>,</w:t>
      </w:r>
      <w:r w:rsidR="001A1F90">
        <w:t xml:space="preserve"> </w:t>
      </w:r>
      <w:r>
        <w:t>but</w:t>
      </w:r>
      <w:r w:rsidR="001A1F90">
        <w:t xml:space="preserve"> </w:t>
      </w:r>
      <w:r>
        <w:t>the</w:t>
      </w:r>
      <w:r w:rsidR="001A1F90">
        <w:t xml:space="preserve"> </w:t>
      </w:r>
      <w:r>
        <w:t>medication</w:t>
      </w:r>
      <w:r w:rsidR="001A1F90">
        <w:t xml:space="preserve"> </w:t>
      </w:r>
      <w:r>
        <w:t>was</w:t>
      </w:r>
      <w:r w:rsidR="001A1F90">
        <w:t xml:space="preserve"> </w:t>
      </w:r>
      <w:r>
        <w:t>stopped</w:t>
      </w:r>
      <w:r w:rsidR="001A1F90">
        <w:t xml:space="preserve"> </w:t>
      </w:r>
      <w:r w:rsidR="002F0E5E">
        <w:t>three</w:t>
      </w:r>
      <w:r w:rsidR="001A1F90">
        <w:t xml:space="preserve"> </w:t>
      </w:r>
      <w:r>
        <w:t>months</w:t>
      </w:r>
      <w:r w:rsidR="001A1F90">
        <w:t xml:space="preserve"> </w:t>
      </w:r>
      <w:r>
        <w:t>later</w:t>
      </w:r>
      <w:r w:rsidR="001A1F90">
        <w:t xml:space="preserve"> </w:t>
      </w:r>
      <w:r>
        <w:t>because</w:t>
      </w:r>
      <w:r w:rsidR="001A1F90">
        <w:t xml:space="preserve"> </w:t>
      </w:r>
      <w:r>
        <w:t>of</w:t>
      </w:r>
      <w:r w:rsidR="001A1F90">
        <w:t xml:space="preserve"> </w:t>
      </w:r>
      <w:r>
        <w:t>secondary</w:t>
      </w:r>
      <w:r w:rsidR="001A1F90">
        <w:t xml:space="preserve"> </w:t>
      </w:r>
      <w:r>
        <w:t>depression.</w:t>
      </w:r>
    </w:p>
    <w:p w14:paraId="3FFD9517" w14:textId="39B8501F" w:rsidR="004946F1" w:rsidRDefault="004946F1" w:rsidP="009B0E14">
      <w:pPr>
        <w:pStyle w:val="Heading2"/>
      </w:pPr>
      <w:bookmarkStart w:id="22" w:name="_Toc20225610"/>
      <w:r>
        <w:t>Case</w:t>
      </w:r>
      <w:r w:rsidR="001A1F90">
        <w:t xml:space="preserve"> </w:t>
      </w:r>
      <w:r>
        <w:t>4</w:t>
      </w:r>
      <w:r w:rsidR="00301CA9">
        <w:t>:</w:t>
      </w:r>
      <w:r w:rsidR="001A1F90">
        <w:t xml:space="preserve"> New Zealand</w:t>
      </w:r>
      <w:bookmarkEnd w:id="22"/>
    </w:p>
    <w:p w14:paraId="7E4D7057" w14:textId="3C07057B" w:rsidR="004946F1" w:rsidRDefault="002F0E5E" w:rsidP="00BD612C">
      <w:pPr>
        <w:pStyle w:val="DHHSbody"/>
      </w:pPr>
      <w:r>
        <w:t>In 2005 a</w:t>
      </w:r>
      <w:r w:rsidR="001A1F90">
        <w:t xml:space="preserve"> </w:t>
      </w:r>
      <w:r w:rsidR="004946F1">
        <w:t>53</w:t>
      </w:r>
      <w:r w:rsidR="002B53B9">
        <w:t>-</w:t>
      </w:r>
      <w:r w:rsidR="004946F1">
        <w:t>year</w:t>
      </w:r>
      <w:r w:rsidR="002B53B9">
        <w:t>-</w:t>
      </w:r>
      <w:r w:rsidR="004946F1">
        <w:t>old</w:t>
      </w:r>
      <w:r w:rsidR="001A1F90">
        <w:t xml:space="preserve"> </w:t>
      </w:r>
      <w:r w:rsidR="004946F1">
        <w:t>man</w:t>
      </w:r>
      <w:r w:rsidR="001A1F90">
        <w:t xml:space="preserve"> </w:t>
      </w:r>
      <w:r>
        <w:t xml:space="preserve">was </w:t>
      </w:r>
      <w:r w:rsidR="004946F1">
        <w:t>convicted</w:t>
      </w:r>
      <w:r w:rsidR="001A1F90">
        <w:t xml:space="preserve"> </w:t>
      </w:r>
      <w:r w:rsidR="004946F1">
        <w:t>of</w:t>
      </w:r>
      <w:r w:rsidR="001A1F90">
        <w:t xml:space="preserve"> </w:t>
      </w:r>
      <w:r>
        <w:t xml:space="preserve">raping </w:t>
      </w:r>
      <w:r w:rsidR="004946F1">
        <w:t>an</w:t>
      </w:r>
      <w:r w:rsidR="001A1F90">
        <w:t xml:space="preserve"> </w:t>
      </w:r>
      <w:r w:rsidR="004946F1">
        <w:t>acquaintance.</w:t>
      </w:r>
      <w:r w:rsidR="001A1F90">
        <w:t xml:space="preserve"> </w:t>
      </w:r>
      <w:r w:rsidR="004946F1">
        <w:t>He</w:t>
      </w:r>
      <w:r w:rsidR="001A1F90">
        <w:t xml:space="preserve"> </w:t>
      </w:r>
      <w:r w:rsidR="004946F1">
        <w:t>had</w:t>
      </w:r>
      <w:r w:rsidR="001A1F90">
        <w:t xml:space="preserve"> </w:t>
      </w:r>
      <w:r w:rsidR="004946F1">
        <w:t>been</w:t>
      </w:r>
      <w:r w:rsidR="001A1F90">
        <w:t xml:space="preserve"> </w:t>
      </w:r>
      <w:r w:rsidR="004946F1">
        <w:t>tested</w:t>
      </w:r>
      <w:r w:rsidR="001A1F90">
        <w:t xml:space="preserve"> </w:t>
      </w:r>
      <w:r w:rsidR="004946F1">
        <w:t>and</w:t>
      </w:r>
      <w:r w:rsidR="001A1F90">
        <w:t xml:space="preserve"> </w:t>
      </w:r>
      <w:r w:rsidR="004946F1">
        <w:t>confirmed</w:t>
      </w:r>
      <w:r w:rsidR="001A1F90">
        <w:t xml:space="preserve"> </w:t>
      </w:r>
      <w:r w:rsidR="004946F1">
        <w:t>to</w:t>
      </w:r>
      <w:r w:rsidR="001A1F90">
        <w:t xml:space="preserve"> </w:t>
      </w:r>
      <w:r w:rsidR="004946F1">
        <w:t>have</w:t>
      </w:r>
      <w:r w:rsidR="001A1F90">
        <w:t xml:space="preserve"> </w:t>
      </w:r>
      <w:r w:rsidR="004946F1">
        <w:t>a</w:t>
      </w:r>
      <w:r w:rsidR="001A1F90">
        <w:t xml:space="preserve"> </w:t>
      </w:r>
      <w:r w:rsidR="004946F1">
        <w:t>mild</w:t>
      </w:r>
      <w:r w:rsidR="001A1F90">
        <w:t xml:space="preserve"> </w:t>
      </w:r>
      <w:r w:rsidR="004946F1">
        <w:t>intellectual</w:t>
      </w:r>
      <w:r w:rsidR="001A1F90">
        <w:t xml:space="preserve"> </w:t>
      </w:r>
      <w:r w:rsidR="004946F1">
        <w:t>disability</w:t>
      </w:r>
      <w:r w:rsidR="001A1F90">
        <w:t xml:space="preserve"> </w:t>
      </w:r>
      <w:r w:rsidR="004946F1">
        <w:t>and</w:t>
      </w:r>
      <w:r w:rsidR="001A1F90">
        <w:t xml:space="preserve"> </w:t>
      </w:r>
      <w:r w:rsidR="004946F1">
        <w:t>assessed</w:t>
      </w:r>
      <w:r w:rsidR="001A1F90">
        <w:t xml:space="preserve"> </w:t>
      </w:r>
      <w:r w:rsidR="004946F1">
        <w:t>by</w:t>
      </w:r>
      <w:r w:rsidR="001A1F90">
        <w:t xml:space="preserve"> </w:t>
      </w:r>
      <w:r w:rsidR="004946F1">
        <w:t>a</w:t>
      </w:r>
      <w:r w:rsidR="001A1F90">
        <w:t xml:space="preserve"> </w:t>
      </w:r>
      <w:r w:rsidR="004946F1">
        <w:t>forensic</w:t>
      </w:r>
      <w:r w:rsidR="001A1F90">
        <w:t xml:space="preserve"> </w:t>
      </w:r>
      <w:r w:rsidR="004946F1">
        <w:t>psychiatrist</w:t>
      </w:r>
      <w:r w:rsidR="001A1F90">
        <w:t xml:space="preserve"> </w:t>
      </w:r>
      <w:r w:rsidR="004946F1">
        <w:t>who</w:t>
      </w:r>
      <w:r w:rsidR="001A1F90">
        <w:t xml:space="preserve"> </w:t>
      </w:r>
      <w:r w:rsidR="004946F1">
        <w:t>found</w:t>
      </w:r>
      <w:r w:rsidR="001A1F90">
        <w:t xml:space="preserve"> </w:t>
      </w:r>
      <w:r w:rsidR="004946F1">
        <w:t>that</w:t>
      </w:r>
      <w:r w:rsidR="001A1F90">
        <w:t xml:space="preserve"> </w:t>
      </w:r>
      <w:r w:rsidR="004946F1">
        <w:t>he</w:t>
      </w:r>
      <w:r w:rsidR="001A1F90">
        <w:t xml:space="preserve"> </w:t>
      </w:r>
      <w:r w:rsidR="004946F1">
        <w:t>was</w:t>
      </w:r>
      <w:r w:rsidR="001A1F90">
        <w:t xml:space="preserve"> </w:t>
      </w:r>
      <w:r w:rsidR="004946F1">
        <w:t>unfit</w:t>
      </w:r>
      <w:r w:rsidR="001A1F90">
        <w:t xml:space="preserve"> </w:t>
      </w:r>
      <w:r w:rsidR="004946F1">
        <w:t>to</w:t>
      </w:r>
      <w:r w:rsidR="001A1F90">
        <w:t xml:space="preserve"> </w:t>
      </w:r>
      <w:r w:rsidR="004946F1">
        <w:t>be</w:t>
      </w:r>
      <w:r w:rsidR="001A1F90">
        <w:t xml:space="preserve"> </w:t>
      </w:r>
      <w:r w:rsidR="004946F1">
        <w:t>tried.</w:t>
      </w:r>
      <w:r w:rsidR="001A1F90">
        <w:t xml:space="preserve"> </w:t>
      </w:r>
      <w:r w:rsidR="004946F1">
        <w:t>He</w:t>
      </w:r>
      <w:r w:rsidR="001A1F90">
        <w:t xml:space="preserve"> </w:t>
      </w:r>
      <w:r w:rsidR="004946F1">
        <w:t>had</w:t>
      </w:r>
      <w:r w:rsidR="001A1F90">
        <w:t xml:space="preserve"> </w:t>
      </w:r>
      <w:r w:rsidR="004946F1">
        <w:t>had</w:t>
      </w:r>
      <w:r w:rsidR="001A1F90">
        <w:t xml:space="preserve"> </w:t>
      </w:r>
      <w:r w:rsidR="004946F1">
        <w:t>a</w:t>
      </w:r>
      <w:r w:rsidR="001A1F90">
        <w:t xml:space="preserve"> </w:t>
      </w:r>
      <w:r w:rsidR="004946F1">
        <w:t>disturbed</w:t>
      </w:r>
      <w:r w:rsidR="001A1F90">
        <w:t xml:space="preserve"> </w:t>
      </w:r>
      <w:r w:rsidR="004946F1">
        <w:t>childhood</w:t>
      </w:r>
      <w:r w:rsidR="001A1F90">
        <w:t xml:space="preserve"> </w:t>
      </w:r>
      <w:r w:rsidR="004946F1">
        <w:t>and</w:t>
      </w:r>
      <w:r w:rsidR="001A1F90">
        <w:t xml:space="preserve"> </w:t>
      </w:r>
      <w:r w:rsidR="004946F1">
        <w:t>had</w:t>
      </w:r>
      <w:r w:rsidR="001A1F90">
        <w:t xml:space="preserve"> </w:t>
      </w:r>
      <w:r w:rsidR="004946F1">
        <w:t>been</w:t>
      </w:r>
      <w:r w:rsidR="001A1F90">
        <w:t xml:space="preserve"> </w:t>
      </w:r>
      <w:r w:rsidR="004946F1">
        <w:t>the</w:t>
      </w:r>
      <w:r w:rsidR="001A1F90">
        <w:t xml:space="preserve"> </w:t>
      </w:r>
      <w:r w:rsidR="004946F1">
        <w:t>victim</w:t>
      </w:r>
      <w:r w:rsidR="001A1F90">
        <w:t xml:space="preserve"> </w:t>
      </w:r>
      <w:r w:rsidR="004946F1">
        <w:t>of</w:t>
      </w:r>
      <w:r w:rsidR="001A1F90">
        <w:t xml:space="preserve"> </w:t>
      </w:r>
      <w:r w:rsidR="004946F1">
        <w:t>serious</w:t>
      </w:r>
      <w:r w:rsidR="001A1F90">
        <w:t xml:space="preserve"> </w:t>
      </w:r>
      <w:r w:rsidR="004946F1">
        <w:t>institutional</w:t>
      </w:r>
      <w:r w:rsidR="001A1F90">
        <w:t xml:space="preserve"> </w:t>
      </w:r>
      <w:r w:rsidR="004946F1">
        <w:t>sexual</w:t>
      </w:r>
      <w:r w:rsidR="001A1F90">
        <w:t xml:space="preserve"> </w:t>
      </w:r>
      <w:r w:rsidR="004946F1">
        <w:t>abuse.</w:t>
      </w:r>
      <w:r w:rsidR="001A1F90">
        <w:t xml:space="preserve"> </w:t>
      </w:r>
      <w:r w:rsidR="004946F1">
        <w:t>He</w:t>
      </w:r>
      <w:r w:rsidR="001A1F90">
        <w:t xml:space="preserve"> </w:t>
      </w:r>
      <w:r w:rsidR="004946F1">
        <w:t>had</w:t>
      </w:r>
      <w:r w:rsidR="001A1F90">
        <w:t xml:space="preserve"> </w:t>
      </w:r>
      <w:r w:rsidR="004946F1">
        <w:t>been</w:t>
      </w:r>
      <w:r w:rsidR="001A1F90">
        <w:t xml:space="preserve"> </w:t>
      </w:r>
      <w:r w:rsidR="004946F1">
        <w:t>hospitalised</w:t>
      </w:r>
      <w:r w:rsidR="001A1F90">
        <w:t xml:space="preserve"> </w:t>
      </w:r>
      <w:r w:rsidR="004946F1">
        <w:t>in</w:t>
      </w:r>
      <w:r w:rsidR="001A1F90">
        <w:t xml:space="preserve"> </w:t>
      </w:r>
      <w:r w:rsidR="004946F1">
        <w:t>a</w:t>
      </w:r>
      <w:r w:rsidR="001A1F90">
        <w:t xml:space="preserve"> </w:t>
      </w:r>
      <w:r w:rsidR="004946F1">
        <w:t>psychiatric</w:t>
      </w:r>
      <w:r w:rsidR="001A1F90">
        <w:t xml:space="preserve"> </w:t>
      </w:r>
      <w:r w:rsidR="004946F1">
        <w:t>hospital</w:t>
      </w:r>
      <w:r w:rsidR="001A1F90">
        <w:t xml:space="preserve"> </w:t>
      </w:r>
      <w:r w:rsidR="004946F1">
        <w:t>for</w:t>
      </w:r>
      <w:r w:rsidR="001A1F90">
        <w:t xml:space="preserve"> </w:t>
      </w:r>
      <w:r w:rsidR="004946F1">
        <w:t>20</w:t>
      </w:r>
      <w:r w:rsidR="001A1F90">
        <w:t xml:space="preserve"> </w:t>
      </w:r>
      <w:r w:rsidR="004946F1">
        <w:t>years.</w:t>
      </w:r>
      <w:r w:rsidR="001A1F90">
        <w:t xml:space="preserve"> </w:t>
      </w:r>
      <w:r w:rsidR="004946F1">
        <w:t>He</w:t>
      </w:r>
      <w:r w:rsidR="001A1F90">
        <w:t xml:space="preserve"> </w:t>
      </w:r>
      <w:r w:rsidR="004946F1">
        <w:t>suffers</w:t>
      </w:r>
      <w:r w:rsidR="001A1F90">
        <w:t xml:space="preserve"> </w:t>
      </w:r>
      <w:r w:rsidR="004946F1">
        <w:t>from</w:t>
      </w:r>
      <w:r w:rsidR="001A1F90">
        <w:t xml:space="preserve"> </w:t>
      </w:r>
      <w:r w:rsidR="004946F1">
        <w:t>epilepsy.</w:t>
      </w:r>
      <w:r w:rsidR="001A1F90">
        <w:t xml:space="preserve"> </w:t>
      </w:r>
      <w:r w:rsidR="004946F1">
        <w:t>From</w:t>
      </w:r>
      <w:r w:rsidR="001A1F90">
        <w:t xml:space="preserve"> </w:t>
      </w:r>
      <w:r w:rsidR="004946F1">
        <w:t>the</w:t>
      </w:r>
      <w:r w:rsidR="001A1F90">
        <w:t xml:space="preserve"> </w:t>
      </w:r>
      <w:r w:rsidR="004946F1">
        <w:t>time</w:t>
      </w:r>
      <w:r w:rsidR="001A1F90">
        <w:t xml:space="preserve"> </w:t>
      </w:r>
      <w:r w:rsidR="004946F1">
        <w:t>of</w:t>
      </w:r>
      <w:r w:rsidR="001A1F90">
        <w:t xml:space="preserve"> </w:t>
      </w:r>
      <w:r w:rsidR="004946F1">
        <w:t>his</w:t>
      </w:r>
      <w:r w:rsidR="001A1F90">
        <w:t xml:space="preserve"> </w:t>
      </w:r>
      <w:r w:rsidR="004946F1">
        <w:t>release</w:t>
      </w:r>
      <w:r w:rsidR="001A1F90">
        <w:t xml:space="preserve"> </w:t>
      </w:r>
      <w:r w:rsidR="004946F1">
        <w:t>from</w:t>
      </w:r>
      <w:r w:rsidR="001A1F90">
        <w:t xml:space="preserve"> </w:t>
      </w:r>
      <w:r w:rsidR="004946F1">
        <w:t>hospital</w:t>
      </w:r>
      <w:r w:rsidR="001A1F90">
        <w:t xml:space="preserve"> </w:t>
      </w:r>
      <w:r w:rsidR="004946F1">
        <w:t>in</w:t>
      </w:r>
      <w:r w:rsidR="001A1F90">
        <w:t xml:space="preserve"> </w:t>
      </w:r>
      <w:r w:rsidR="004946F1">
        <w:t>the</w:t>
      </w:r>
      <w:r w:rsidR="001A1F90">
        <w:t xml:space="preserve"> </w:t>
      </w:r>
      <w:r w:rsidR="004946F1">
        <w:t>early</w:t>
      </w:r>
      <w:r w:rsidR="001A1F90">
        <w:t xml:space="preserve"> </w:t>
      </w:r>
      <w:r w:rsidR="004946F1">
        <w:t>1990s</w:t>
      </w:r>
      <w:r w:rsidR="001A1F90">
        <w:t xml:space="preserve"> </w:t>
      </w:r>
      <w:r w:rsidR="004946F1">
        <w:t>there</w:t>
      </w:r>
      <w:r w:rsidR="001A1F90">
        <w:t xml:space="preserve"> </w:t>
      </w:r>
      <w:r w:rsidR="004946F1">
        <w:t>was</w:t>
      </w:r>
      <w:r w:rsidR="001A1F90">
        <w:t xml:space="preserve"> </w:t>
      </w:r>
      <w:r w:rsidR="004946F1">
        <w:t>a</w:t>
      </w:r>
      <w:r w:rsidR="001A1F90">
        <w:t xml:space="preserve"> </w:t>
      </w:r>
      <w:r w:rsidR="004946F1">
        <w:t>high</w:t>
      </w:r>
      <w:r w:rsidR="001A1F90">
        <w:t xml:space="preserve"> </w:t>
      </w:r>
      <w:r w:rsidR="004946F1">
        <w:t>level</w:t>
      </w:r>
      <w:r w:rsidR="001A1F90">
        <w:t xml:space="preserve"> </w:t>
      </w:r>
      <w:r w:rsidR="004946F1">
        <w:t>of</w:t>
      </w:r>
      <w:r w:rsidR="001A1F90">
        <w:t xml:space="preserve"> </w:t>
      </w:r>
      <w:r w:rsidR="004946F1">
        <w:t>concern</w:t>
      </w:r>
      <w:r w:rsidR="001A1F90">
        <w:t xml:space="preserve"> </w:t>
      </w:r>
      <w:r w:rsidR="004946F1">
        <w:t>about</w:t>
      </w:r>
      <w:r w:rsidR="001A1F90">
        <w:t xml:space="preserve"> </w:t>
      </w:r>
      <w:r w:rsidR="004946F1">
        <w:t>his</w:t>
      </w:r>
      <w:r w:rsidR="001A1F90">
        <w:t xml:space="preserve"> </w:t>
      </w:r>
      <w:r w:rsidR="004946F1">
        <w:t>sexual</w:t>
      </w:r>
      <w:r w:rsidR="001A1F90">
        <w:t xml:space="preserve"> </w:t>
      </w:r>
      <w:r w:rsidR="004946F1">
        <w:t>behaviour</w:t>
      </w:r>
      <w:r>
        <w:t>,</w:t>
      </w:r>
      <w:r w:rsidR="001A1F90">
        <w:t xml:space="preserve"> </w:t>
      </w:r>
      <w:r w:rsidR="004946F1">
        <w:t>particularly</w:t>
      </w:r>
      <w:r w:rsidR="001A1F90">
        <w:t xml:space="preserve"> </w:t>
      </w:r>
      <w:r w:rsidR="004946F1">
        <w:t>his</w:t>
      </w:r>
      <w:r w:rsidR="001A1F90">
        <w:t xml:space="preserve"> </w:t>
      </w:r>
      <w:r w:rsidR="004946F1">
        <w:t>use</w:t>
      </w:r>
      <w:r w:rsidR="001A1F90">
        <w:t xml:space="preserve"> </w:t>
      </w:r>
      <w:r w:rsidR="004946F1">
        <w:t>of</w:t>
      </w:r>
      <w:r w:rsidR="001A1F90">
        <w:t xml:space="preserve"> </w:t>
      </w:r>
      <w:r w:rsidR="004946F1">
        <w:t>pornography</w:t>
      </w:r>
      <w:r w:rsidR="001A1F90">
        <w:t xml:space="preserve"> </w:t>
      </w:r>
      <w:r w:rsidR="004946F1">
        <w:t>and</w:t>
      </w:r>
      <w:r w:rsidR="001A1F90">
        <w:t xml:space="preserve"> </w:t>
      </w:r>
      <w:r w:rsidR="004946F1">
        <w:t>frequent</w:t>
      </w:r>
      <w:r w:rsidR="001A1F90">
        <w:t xml:space="preserve"> </w:t>
      </w:r>
      <w:r w:rsidR="004946F1">
        <w:t>sexual</w:t>
      </w:r>
      <w:r w:rsidR="001A1F90">
        <w:t xml:space="preserve"> </w:t>
      </w:r>
      <w:r w:rsidR="004946F1">
        <w:t>overtures</w:t>
      </w:r>
      <w:r w:rsidR="001A1F90">
        <w:t xml:space="preserve"> </w:t>
      </w:r>
      <w:r w:rsidR="004946F1">
        <w:t>to</w:t>
      </w:r>
      <w:r w:rsidR="001A1F90">
        <w:t xml:space="preserve"> </w:t>
      </w:r>
      <w:r w:rsidR="004946F1">
        <w:t>women.</w:t>
      </w:r>
      <w:r w:rsidR="001A1F90">
        <w:t xml:space="preserve"> </w:t>
      </w:r>
      <w:r w:rsidR="004946F1">
        <w:t>Despite</w:t>
      </w:r>
      <w:r w:rsidR="001A1F90">
        <w:t xml:space="preserve"> </w:t>
      </w:r>
      <w:r w:rsidR="004946F1">
        <w:t>this</w:t>
      </w:r>
      <w:r w:rsidR="001A1F90">
        <w:t xml:space="preserve"> </w:t>
      </w:r>
      <w:r w:rsidR="004946F1">
        <w:t>he</w:t>
      </w:r>
      <w:r w:rsidR="001A1F90">
        <w:t xml:space="preserve"> </w:t>
      </w:r>
      <w:r w:rsidR="004946F1">
        <w:t>was</w:t>
      </w:r>
      <w:r w:rsidR="001A1F90">
        <w:t xml:space="preserve"> </w:t>
      </w:r>
      <w:r w:rsidR="004946F1">
        <w:t>living</w:t>
      </w:r>
      <w:r w:rsidR="001A1F90">
        <w:t xml:space="preserve"> </w:t>
      </w:r>
      <w:r w:rsidR="004946F1">
        <w:t>independently</w:t>
      </w:r>
      <w:r w:rsidR="001A1F90">
        <w:t xml:space="preserve"> </w:t>
      </w:r>
      <w:r w:rsidR="004946F1">
        <w:t>with</w:t>
      </w:r>
      <w:r w:rsidR="001A1F90">
        <w:t xml:space="preserve"> </w:t>
      </w:r>
      <w:r w:rsidR="004946F1">
        <w:t>support</w:t>
      </w:r>
      <w:r w:rsidR="001A1F90">
        <w:t xml:space="preserve"> </w:t>
      </w:r>
      <w:r w:rsidR="004946F1">
        <w:t>in</w:t>
      </w:r>
      <w:r w:rsidR="001A1F90">
        <w:t xml:space="preserve"> </w:t>
      </w:r>
      <w:r w:rsidR="004946F1">
        <w:t>the</w:t>
      </w:r>
      <w:r w:rsidR="001A1F90">
        <w:t xml:space="preserve"> </w:t>
      </w:r>
      <w:r w:rsidR="004946F1">
        <w:t>community.</w:t>
      </w:r>
    </w:p>
    <w:p w14:paraId="7BDBA367" w14:textId="63259AFC" w:rsidR="004946F1" w:rsidRDefault="004946F1" w:rsidP="00BD612C">
      <w:pPr>
        <w:pStyle w:val="DHHSbody"/>
      </w:pPr>
      <w:r>
        <w:t>Following</w:t>
      </w:r>
      <w:r w:rsidR="001A1F90">
        <w:t xml:space="preserve"> </w:t>
      </w:r>
      <w:r>
        <w:t>his</w:t>
      </w:r>
      <w:r w:rsidR="001A1F90">
        <w:t xml:space="preserve"> </w:t>
      </w:r>
      <w:r>
        <w:t>conviction</w:t>
      </w:r>
      <w:r w:rsidR="001A1F90">
        <w:t xml:space="preserve"> </w:t>
      </w:r>
      <w:r>
        <w:t>he</w:t>
      </w:r>
      <w:r w:rsidR="001A1F90">
        <w:t xml:space="preserve"> </w:t>
      </w:r>
      <w:r>
        <w:t>was</w:t>
      </w:r>
      <w:r w:rsidR="001A1F90">
        <w:t xml:space="preserve"> </w:t>
      </w:r>
      <w:r>
        <w:t>placed</w:t>
      </w:r>
      <w:r w:rsidR="001A1F90">
        <w:t xml:space="preserve"> </w:t>
      </w:r>
      <w:r>
        <w:t>under</w:t>
      </w:r>
      <w:r w:rsidR="001A1F90">
        <w:t xml:space="preserve"> </w:t>
      </w:r>
      <w:r>
        <w:t>the</w:t>
      </w:r>
      <w:r w:rsidR="001A1F90">
        <w:rPr>
          <w:rStyle w:val="Emphasis"/>
        </w:rPr>
        <w:t xml:space="preserve"> </w:t>
      </w:r>
      <w:r w:rsidR="002F0E5E" w:rsidRPr="00CA3986">
        <w:rPr>
          <w:rStyle w:val="Emphasis"/>
          <w:i w:val="0"/>
          <w:iCs w:val="0"/>
        </w:rPr>
        <w:t>Intellectual Disability (Compulsory Care and Rehabilitation)</w:t>
      </w:r>
      <w:r w:rsidR="002F0E5E" w:rsidRPr="00CA3986" w:rsidDel="002F0E5E">
        <w:rPr>
          <w:rStyle w:val="Emphasis"/>
          <w:i w:val="0"/>
          <w:iCs w:val="0"/>
        </w:rPr>
        <w:t xml:space="preserve"> </w:t>
      </w:r>
      <w:r w:rsidRPr="00CA3986">
        <w:rPr>
          <w:rStyle w:val="Emphasis"/>
          <w:i w:val="0"/>
          <w:iCs w:val="0"/>
        </w:rPr>
        <w:t>Act</w:t>
      </w:r>
      <w:r w:rsidR="001A1F90">
        <w:rPr>
          <w:rStyle w:val="Emphasis"/>
        </w:rPr>
        <w:t xml:space="preserve"> </w:t>
      </w:r>
      <w:r>
        <w:t>on</w:t>
      </w:r>
      <w:r w:rsidR="001A1F90">
        <w:t xml:space="preserve"> </w:t>
      </w:r>
      <w:r>
        <w:t>a</w:t>
      </w:r>
      <w:r w:rsidR="001A1F90">
        <w:t xml:space="preserve"> </w:t>
      </w:r>
      <w:r>
        <w:t>hybrid</w:t>
      </w:r>
      <w:r w:rsidR="001A1F90">
        <w:t xml:space="preserve"> </w:t>
      </w:r>
      <w:r>
        <w:t>order</w:t>
      </w:r>
      <w:r w:rsidR="001A1F90">
        <w:t xml:space="preserve"> </w:t>
      </w:r>
      <w:r>
        <w:t>with</w:t>
      </w:r>
      <w:r w:rsidR="001A1F90">
        <w:t xml:space="preserve"> </w:t>
      </w:r>
      <w:r>
        <w:t>a</w:t>
      </w:r>
      <w:r w:rsidR="001A1F90">
        <w:t xml:space="preserve"> </w:t>
      </w:r>
      <w:r>
        <w:t>sentence</w:t>
      </w:r>
      <w:r w:rsidR="001A1F90">
        <w:t xml:space="preserve"> </w:t>
      </w:r>
      <w:r>
        <w:t>and</w:t>
      </w:r>
      <w:r w:rsidR="001A1F90">
        <w:t xml:space="preserve"> </w:t>
      </w:r>
      <w:r>
        <w:t>commenced</w:t>
      </w:r>
      <w:r w:rsidR="001A1F90">
        <w:t xml:space="preserve"> </w:t>
      </w:r>
      <w:r>
        <w:t>on</w:t>
      </w:r>
      <w:r w:rsidR="001A1F90">
        <w:t xml:space="preserve"> </w:t>
      </w:r>
      <w:r>
        <w:t>a</w:t>
      </w:r>
      <w:r w:rsidR="001A1F90">
        <w:t xml:space="preserve"> </w:t>
      </w:r>
      <w:r>
        <w:t>program</w:t>
      </w:r>
      <w:r w:rsidR="001A1F90">
        <w:t xml:space="preserve"> </w:t>
      </w:r>
      <w:r>
        <w:t>of</w:t>
      </w:r>
      <w:r w:rsidR="001A1F90">
        <w:t xml:space="preserve"> </w:t>
      </w:r>
      <w:r>
        <w:t>rehabilitation</w:t>
      </w:r>
      <w:r w:rsidR="001A1F90">
        <w:t xml:space="preserve"> </w:t>
      </w:r>
      <w:r>
        <w:t>within</w:t>
      </w:r>
      <w:r w:rsidR="001A1F90">
        <w:t xml:space="preserve"> </w:t>
      </w:r>
      <w:r>
        <w:t>the</w:t>
      </w:r>
      <w:r w:rsidR="001A1F90">
        <w:t xml:space="preserve"> </w:t>
      </w:r>
      <w:r>
        <w:t>secure</w:t>
      </w:r>
      <w:r w:rsidR="001A1F90">
        <w:t xml:space="preserve"> </w:t>
      </w:r>
      <w:r>
        <w:t>Intellectual</w:t>
      </w:r>
      <w:r w:rsidR="001A1F90">
        <w:t xml:space="preserve"> </w:t>
      </w:r>
      <w:r>
        <w:t>Disability</w:t>
      </w:r>
      <w:r w:rsidR="001A1F90">
        <w:t xml:space="preserve"> </w:t>
      </w:r>
      <w:r>
        <w:t>Service.</w:t>
      </w:r>
      <w:r w:rsidR="001A1F90">
        <w:t xml:space="preserve"> </w:t>
      </w:r>
      <w:r>
        <w:t>This</w:t>
      </w:r>
      <w:r w:rsidR="001A1F90">
        <w:t xml:space="preserve"> </w:t>
      </w:r>
      <w:r>
        <w:t>included</w:t>
      </w:r>
      <w:r w:rsidR="001A1F90">
        <w:t xml:space="preserve"> </w:t>
      </w:r>
      <w:r>
        <w:t>group</w:t>
      </w:r>
      <w:r w:rsidR="001A1F90">
        <w:t xml:space="preserve"> </w:t>
      </w:r>
      <w:r>
        <w:t>and</w:t>
      </w:r>
      <w:r w:rsidR="001A1F90">
        <w:t xml:space="preserve"> </w:t>
      </w:r>
      <w:r>
        <w:t>individual</w:t>
      </w:r>
      <w:r w:rsidR="001A1F90">
        <w:t xml:space="preserve"> </w:t>
      </w:r>
      <w:r>
        <w:t>work</w:t>
      </w:r>
      <w:r w:rsidR="001A1F90">
        <w:t xml:space="preserve"> </w:t>
      </w:r>
      <w:r>
        <w:t>in</w:t>
      </w:r>
      <w:r w:rsidR="001A1F90">
        <w:t xml:space="preserve"> </w:t>
      </w:r>
      <w:r>
        <w:t>a</w:t>
      </w:r>
      <w:r w:rsidR="001A1F90">
        <w:t xml:space="preserve"> </w:t>
      </w:r>
      <w:r>
        <w:t>sexual</w:t>
      </w:r>
      <w:r w:rsidR="001A1F90">
        <w:t xml:space="preserve"> </w:t>
      </w:r>
      <w:r>
        <w:t>offender</w:t>
      </w:r>
      <w:r w:rsidR="001A1F90">
        <w:t xml:space="preserve"> </w:t>
      </w:r>
      <w:r>
        <w:t>treatment</w:t>
      </w:r>
      <w:r w:rsidR="001A1F90">
        <w:t xml:space="preserve"> </w:t>
      </w:r>
      <w:r>
        <w:t>program</w:t>
      </w:r>
      <w:r w:rsidR="001A1F90">
        <w:t xml:space="preserve"> </w:t>
      </w:r>
      <w:r>
        <w:t>specifically</w:t>
      </w:r>
      <w:r w:rsidR="001A1F90">
        <w:t xml:space="preserve"> </w:t>
      </w:r>
      <w:r>
        <w:t>designed</w:t>
      </w:r>
      <w:r w:rsidR="001A1F90">
        <w:t xml:space="preserve"> </w:t>
      </w:r>
      <w:r>
        <w:t>for</w:t>
      </w:r>
      <w:r w:rsidR="001A1F90">
        <w:t xml:space="preserve"> </w:t>
      </w:r>
      <w:r>
        <w:t>people</w:t>
      </w:r>
      <w:r w:rsidR="001A1F90">
        <w:t xml:space="preserve"> </w:t>
      </w:r>
      <w:r>
        <w:t>with</w:t>
      </w:r>
      <w:r w:rsidR="001A1F90">
        <w:t xml:space="preserve"> </w:t>
      </w:r>
      <w:r>
        <w:t>intellectual</w:t>
      </w:r>
      <w:r w:rsidR="001A1F90">
        <w:t xml:space="preserve"> </w:t>
      </w:r>
      <w:r>
        <w:t>disability.</w:t>
      </w:r>
      <w:r w:rsidR="001A1F90">
        <w:t xml:space="preserve"> </w:t>
      </w:r>
      <w:r>
        <w:t>At</w:t>
      </w:r>
      <w:r w:rsidR="001A1F90">
        <w:t xml:space="preserve"> </w:t>
      </w:r>
      <w:r>
        <w:t>times</w:t>
      </w:r>
      <w:r w:rsidR="001A1F90">
        <w:t xml:space="preserve"> </w:t>
      </w:r>
      <w:r>
        <w:t>he</w:t>
      </w:r>
      <w:r w:rsidR="001A1F90">
        <w:t xml:space="preserve"> </w:t>
      </w:r>
      <w:r>
        <w:t>seemed</w:t>
      </w:r>
      <w:r w:rsidR="001A1F90">
        <w:t xml:space="preserve"> </w:t>
      </w:r>
      <w:r>
        <w:t>to</w:t>
      </w:r>
      <w:r w:rsidR="001A1F90">
        <w:t xml:space="preserve"> </w:t>
      </w:r>
      <w:r>
        <w:t>make</w:t>
      </w:r>
      <w:r w:rsidR="001A1F90">
        <w:t xml:space="preserve"> </w:t>
      </w:r>
      <w:r>
        <w:t>progress</w:t>
      </w:r>
      <w:r w:rsidR="002F0E5E">
        <w:t>;</w:t>
      </w:r>
      <w:r w:rsidR="001A1F90">
        <w:t xml:space="preserve"> </w:t>
      </w:r>
      <w:r>
        <w:t>however</w:t>
      </w:r>
      <w:r w:rsidR="002F0E5E">
        <w:t>,</w:t>
      </w:r>
      <w:r w:rsidR="001A1F90">
        <w:t xml:space="preserve"> </w:t>
      </w:r>
      <w:r>
        <w:t>recurrently</w:t>
      </w:r>
      <w:r w:rsidR="001A1F90">
        <w:t xml:space="preserve"> </w:t>
      </w:r>
      <w:r>
        <w:t>he</w:t>
      </w:r>
      <w:r w:rsidR="001A1F90">
        <w:t xml:space="preserve"> </w:t>
      </w:r>
      <w:r>
        <w:t>would</w:t>
      </w:r>
      <w:r w:rsidR="001A1F90">
        <w:t xml:space="preserve"> </w:t>
      </w:r>
      <w:r>
        <w:t>show</w:t>
      </w:r>
      <w:r w:rsidR="001A1F90">
        <w:t xml:space="preserve"> </w:t>
      </w:r>
      <w:r>
        <w:t>signs</w:t>
      </w:r>
      <w:r w:rsidR="001A1F90">
        <w:t xml:space="preserve"> </w:t>
      </w:r>
      <w:r>
        <w:t>of</w:t>
      </w:r>
      <w:r w:rsidR="001A1F90">
        <w:t xml:space="preserve"> </w:t>
      </w:r>
      <w:r>
        <w:t>relapse,</w:t>
      </w:r>
      <w:r w:rsidR="001A1F90">
        <w:t xml:space="preserve"> </w:t>
      </w:r>
      <w:r>
        <w:t>manifested</w:t>
      </w:r>
      <w:r w:rsidR="001A1F90">
        <w:t xml:space="preserve"> </w:t>
      </w:r>
      <w:r>
        <w:t>particularly</w:t>
      </w:r>
      <w:r w:rsidR="001A1F90">
        <w:t xml:space="preserve"> </w:t>
      </w:r>
      <w:r>
        <w:t>by</w:t>
      </w:r>
      <w:r w:rsidR="001A1F90">
        <w:t xml:space="preserve"> </w:t>
      </w:r>
      <w:r>
        <w:t>oppositional</w:t>
      </w:r>
      <w:r w:rsidR="001A1F90">
        <w:t xml:space="preserve"> </w:t>
      </w:r>
      <w:r>
        <w:t>and</w:t>
      </w:r>
      <w:r w:rsidR="001A1F90">
        <w:t xml:space="preserve"> </w:t>
      </w:r>
      <w:r>
        <w:t>angry</w:t>
      </w:r>
      <w:r w:rsidR="001A1F90">
        <w:t xml:space="preserve"> </w:t>
      </w:r>
      <w:r>
        <w:t>behaviour.</w:t>
      </w:r>
      <w:r w:rsidR="001A1F90">
        <w:t xml:space="preserve"> </w:t>
      </w:r>
      <w:r>
        <w:t>Although</w:t>
      </w:r>
      <w:r w:rsidR="001A1F90">
        <w:t xml:space="preserve"> </w:t>
      </w:r>
      <w:r>
        <w:t>he</w:t>
      </w:r>
      <w:r w:rsidR="001A1F90">
        <w:t xml:space="preserve"> </w:t>
      </w:r>
      <w:r>
        <w:t>denied</w:t>
      </w:r>
      <w:r w:rsidR="001A1F90">
        <w:t xml:space="preserve"> </w:t>
      </w:r>
      <w:r>
        <w:t>ongoing</w:t>
      </w:r>
      <w:r w:rsidR="001A1F90">
        <w:t xml:space="preserve"> </w:t>
      </w:r>
      <w:r>
        <w:t>sexual</w:t>
      </w:r>
      <w:r w:rsidR="001A1F90">
        <w:t xml:space="preserve"> </w:t>
      </w:r>
      <w:r>
        <w:t>urges</w:t>
      </w:r>
      <w:r w:rsidR="002F0E5E">
        <w:t>,</w:t>
      </w:r>
      <w:r w:rsidR="001A1F90">
        <w:t xml:space="preserve"> </w:t>
      </w:r>
      <w:r>
        <w:t>he</w:t>
      </w:r>
      <w:r w:rsidR="001A1F90">
        <w:t xml:space="preserve"> </w:t>
      </w:r>
      <w:r>
        <w:t>reported</w:t>
      </w:r>
      <w:r w:rsidR="001A1F90">
        <w:t xml:space="preserve"> </w:t>
      </w:r>
      <w:r>
        <w:t>frequently</w:t>
      </w:r>
      <w:r w:rsidR="001A1F90">
        <w:t xml:space="preserve"> </w:t>
      </w:r>
      <w:r>
        <w:t>that</w:t>
      </w:r>
      <w:r w:rsidR="001A1F90">
        <w:t xml:space="preserve"> </w:t>
      </w:r>
      <w:r>
        <w:t>he</w:t>
      </w:r>
      <w:r w:rsidR="001A1F90">
        <w:t xml:space="preserve"> </w:t>
      </w:r>
      <w:r>
        <w:t>was</w:t>
      </w:r>
      <w:r w:rsidR="001A1F90">
        <w:t xml:space="preserve"> </w:t>
      </w:r>
      <w:r>
        <w:t>innocent</w:t>
      </w:r>
      <w:r w:rsidR="001A1F90">
        <w:t xml:space="preserve"> </w:t>
      </w:r>
      <w:r>
        <w:t>of</w:t>
      </w:r>
      <w:r w:rsidR="001A1F90">
        <w:t xml:space="preserve"> </w:t>
      </w:r>
      <w:r>
        <w:t>the</w:t>
      </w:r>
      <w:r w:rsidR="001A1F90">
        <w:t xml:space="preserve"> </w:t>
      </w:r>
      <w:r>
        <w:t>index</w:t>
      </w:r>
      <w:r w:rsidR="001A1F90">
        <w:t xml:space="preserve"> </w:t>
      </w:r>
      <w:r>
        <w:t>offence,</w:t>
      </w:r>
      <w:r w:rsidR="001A1F90">
        <w:t xml:space="preserve"> </w:t>
      </w:r>
      <w:r>
        <w:t>displayed</w:t>
      </w:r>
      <w:r w:rsidR="001A1F90">
        <w:t xml:space="preserve"> </w:t>
      </w:r>
      <w:r>
        <w:t>no</w:t>
      </w:r>
      <w:r w:rsidR="001A1F90">
        <w:t xml:space="preserve"> </w:t>
      </w:r>
      <w:r>
        <w:t>victim</w:t>
      </w:r>
      <w:r w:rsidR="001A1F90">
        <w:t xml:space="preserve"> </w:t>
      </w:r>
      <w:r>
        <w:t>empathy</w:t>
      </w:r>
      <w:r w:rsidR="001A1F90">
        <w:t xml:space="preserve"> </w:t>
      </w:r>
      <w:r>
        <w:t>and</w:t>
      </w:r>
      <w:r w:rsidR="001A1F90">
        <w:t xml:space="preserve"> </w:t>
      </w:r>
      <w:r>
        <w:t>continued</w:t>
      </w:r>
      <w:r w:rsidR="001A1F90">
        <w:t xml:space="preserve"> </w:t>
      </w:r>
      <w:r>
        <w:t>to</w:t>
      </w:r>
      <w:r w:rsidR="001A1F90">
        <w:t xml:space="preserve"> </w:t>
      </w:r>
      <w:r>
        <w:t>manifest</w:t>
      </w:r>
      <w:r w:rsidR="001A1F90">
        <w:t xml:space="preserve"> </w:t>
      </w:r>
      <w:r>
        <w:t>sexualised</w:t>
      </w:r>
      <w:r w:rsidR="001A1F90">
        <w:t xml:space="preserve"> </w:t>
      </w:r>
      <w:r>
        <w:t>behaviours.</w:t>
      </w:r>
      <w:r w:rsidR="001A1F90">
        <w:t xml:space="preserve"> </w:t>
      </w:r>
      <w:r>
        <w:t>These</w:t>
      </w:r>
      <w:r w:rsidR="001A1F90">
        <w:t xml:space="preserve"> </w:t>
      </w:r>
      <w:r>
        <w:t>included</w:t>
      </w:r>
      <w:r w:rsidR="001A1F90">
        <w:t xml:space="preserve"> </w:t>
      </w:r>
      <w:r>
        <w:t>occasional</w:t>
      </w:r>
      <w:r w:rsidR="001A1F90">
        <w:t xml:space="preserve"> </w:t>
      </w:r>
      <w:r>
        <w:t>displays</w:t>
      </w:r>
      <w:r w:rsidR="001A1F90">
        <w:t xml:space="preserve"> </w:t>
      </w:r>
      <w:r>
        <w:t>of</w:t>
      </w:r>
      <w:r w:rsidR="001A1F90">
        <w:t xml:space="preserve"> </w:t>
      </w:r>
      <w:r>
        <w:t>his</w:t>
      </w:r>
      <w:r w:rsidR="001A1F90">
        <w:t xml:space="preserve"> </w:t>
      </w:r>
      <w:r>
        <w:t>genitals,</w:t>
      </w:r>
      <w:r w:rsidR="001A1F90">
        <w:t xml:space="preserve"> </w:t>
      </w:r>
      <w:r>
        <w:t>masturbating</w:t>
      </w:r>
      <w:r w:rsidR="001A1F90">
        <w:t xml:space="preserve"> </w:t>
      </w:r>
      <w:r>
        <w:t>in</w:t>
      </w:r>
      <w:r w:rsidR="001A1F90">
        <w:t xml:space="preserve"> </w:t>
      </w:r>
      <w:r>
        <w:t>places</w:t>
      </w:r>
      <w:r w:rsidR="001A1F90">
        <w:t xml:space="preserve"> </w:t>
      </w:r>
      <w:r>
        <w:t>he</w:t>
      </w:r>
      <w:r w:rsidR="001A1F90">
        <w:t xml:space="preserve"> </w:t>
      </w:r>
      <w:r>
        <w:t>may</w:t>
      </w:r>
      <w:r w:rsidR="001A1F90">
        <w:t xml:space="preserve"> </w:t>
      </w:r>
      <w:r>
        <w:t>be</w:t>
      </w:r>
      <w:r w:rsidR="001A1F90">
        <w:t xml:space="preserve"> </w:t>
      </w:r>
      <w:r>
        <w:t>readily</w:t>
      </w:r>
      <w:r w:rsidR="001A1F90">
        <w:t xml:space="preserve"> </w:t>
      </w:r>
      <w:r>
        <w:t>be</w:t>
      </w:r>
      <w:r w:rsidR="001A1F90">
        <w:t xml:space="preserve"> </w:t>
      </w:r>
      <w:r>
        <w:t>seen</w:t>
      </w:r>
      <w:r w:rsidR="001A1F90">
        <w:t xml:space="preserve"> </w:t>
      </w:r>
      <w:r>
        <w:t>and</w:t>
      </w:r>
      <w:r w:rsidR="001A1F90">
        <w:t xml:space="preserve"> </w:t>
      </w:r>
      <w:r>
        <w:t>he</w:t>
      </w:r>
      <w:r w:rsidR="001A1F90">
        <w:t xml:space="preserve"> </w:t>
      </w:r>
      <w:r>
        <w:t>began</w:t>
      </w:r>
      <w:r w:rsidR="001A1F90">
        <w:t xml:space="preserve"> </w:t>
      </w:r>
      <w:r>
        <w:t>collecting</w:t>
      </w:r>
      <w:r w:rsidR="001A1F90">
        <w:t xml:space="preserve"> </w:t>
      </w:r>
      <w:r>
        <w:t>sex</w:t>
      </w:r>
      <w:r w:rsidR="001A1F90">
        <w:t xml:space="preserve"> </w:t>
      </w:r>
      <w:r>
        <w:t>line</w:t>
      </w:r>
      <w:r w:rsidR="001A1F90">
        <w:t xml:space="preserve"> </w:t>
      </w:r>
      <w:r>
        <w:t>phone</w:t>
      </w:r>
      <w:r w:rsidR="001A1F90">
        <w:t xml:space="preserve"> </w:t>
      </w:r>
      <w:r>
        <w:t>numbers</w:t>
      </w:r>
      <w:r w:rsidR="001A1F90">
        <w:t xml:space="preserve"> </w:t>
      </w:r>
      <w:r>
        <w:t>and</w:t>
      </w:r>
      <w:r w:rsidR="001A1F90">
        <w:t xml:space="preserve"> </w:t>
      </w:r>
      <w:r>
        <w:t>numbers</w:t>
      </w:r>
      <w:r w:rsidR="001A1F90">
        <w:t xml:space="preserve"> </w:t>
      </w:r>
      <w:r>
        <w:t>of</w:t>
      </w:r>
      <w:r w:rsidR="001A1F90">
        <w:t xml:space="preserve"> </w:t>
      </w:r>
      <w:r>
        <w:t>escorts</w:t>
      </w:r>
      <w:r w:rsidR="001A1F90">
        <w:t xml:space="preserve"> </w:t>
      </w:r>
      <w:r>
        <w:t>from</w:t>
      </w:r>
      <w:r w:rsidR="001A1F90">
        <w:t xml:space="preserve"> </w:t>
      </w:r>
      <w:r>
        <w:t>personal</w:t>
      </w:r>
      <w:r w:rsidR="001A1F90">
        <w:t xml:space="preserve"> </w:t>
      </w:r>
      <w:r>
        <w:t>columns</w:t>
      </w:r>
      <w:r w:rsidR="001A1F90">
        <w:t xml:space="preserve"> </w:t>
      </w:r>
      <w:r>
        <w:t>to</w:t>
      </w:r>
      <w:r w:rsidR="001A1F90">
        <w:t xml:space="preserve"> </w:t>
      </w:r>
      <w:r>
        <w:t>satisfy</w:t>
      </w:r>
      <w:r w:rsidR="001A1F90">
        <w:t xml:space="preserve"> </w:t>
      </w:r>
      <w:r>
        <w:t>his</w:t>
      </w:r>
      <w:r w:rsidR="001A1F90">
        <w:t xml:space="preserve"> </w:t>
      </w:r>
      <w:r>
        <w:t>sexual</w:t>
      </w:r>
      <w:r w:rsidR="001A1F90">
        <w:t xml:space="preserve"> </w:t>
      </w:r>
      <w:r>
        <w:t>behaviour.</w:t>
      </w:r>
    </w:p>
    <w:p w14:paraId="3418928A" w14:textId="4712773D" w:rsidR="004946F1" w:rsidRDefault="004946F1" w:rsidP="00BD612C">
      <w:pPr>
        <w:pStyle w:val="DHHSbody"/>
      </w:pPr>
      <w:r>
        <w:t>Attempts</w:t>
      </w:r>
      <w:r w:rsidR="001A1F90">
        <w:t xml:space="preserve"> </w:t>
      </w:r>
      <w:r>
        <w:t>were</w:t>
      </w:r>
      <w:r w:rsidR="001A1F90">
        <w:t xml:space="preserve"> </w:t>
      </w:r>
      <w:r>
        <w:t>made</w:t>
      </w:r>
      <w:r w:rsidR="001A1F90">
        <w:t xml:space="preserve"> </w:t>
      </w:r>
      <w:r>
        <w:t>to</w:t>
      </w:r>
      <w:r w:rsidR="001A1F90">
        <w:t xml:space="preserve"> </w:t>
      </w:r>
      <w:r>
        <w:t>engage</w:t>
      </w:r>
      <w:r w:rsidR="001A1F90">
        <w:t xml:space="preserve"> </w:t>
      </w:r>
      <w:r>
        <w:t>him</w:t>
      </w:r>
      <w:r w:rsidR="001A1F90">
        <w:t xml:space="preserve"> </w:t>
      </w:r>
      <w:r>
        <w:t>in</w:t>
      </w:r>
      <w:r w:rsidR="001A1F90">
        <w:t xml:space="preserve"> </w:t>
      </w:r>
      <w:r>
        <w:t>individual</w:t>
      </w:r>
      <w:r w:rsidR="001A1F90">
        <w:t xml:space="preserve"> </w:t>
      </w:r>
      <w:r>
        <w:t>psychological</w:t>
      </w:r>
      <w:r w:rsidR="001A1F90">
        <w:t xml:space="preserve"> </w:t>
      </w:r>
      <w:r>
        <w:t>therapy.</w:t>
      </w:r>
      <w:r w:rsidR="001A1F90">
        <w:t xml:space="preserve"> </w:t>
      </w:r>
      <w:r>
        <w:t>He</w:t>
      </w:r>
      <w:r w:rsidR="001A1F90">
        <w:t xml:space="preserve"> </w:t>
      </w:r>
      <w:r>
        <w:t>heavily</w:t>
      </w:r>
      <w:r w:rsidR="001A1F90">
        <w:t xml:space="preserve"> </w:t>
      </w:r>
      <w:r>
        <w:t>sexualised</w:t>
      </w:r>
      <w:r w:rsidR="001A1F90">
        <w:t xml:space="preserve"> </w:t>
      </w:r>
      <w:r>
        <w:t>his</w:t>
      </w:r>
      <w:r w:rsidR="001A1F90">
        <w:t xml:space="preserve"> </w:t>
      </w:r>
      <w:r>
        <w:t>relationship</w:t>
      </w:r>
      <w:r w:rsidR="001A1F90">
        <w:t xml:space="preserve"> </w:t>
      </w:r>
      <w:r>
        <w:t>with</w:t>
      </w:r>
      <w:r w:rsidR="001A1F90">
        <w:t xml:space="preserve"> </w:t>
      </w:r>
      <w:r>
        <w:t>the</w:t>
      </w:r>
      <w:r w:rsidR="001A1F90">
        <w:t xml:space="preserve"> </w:t>
      </w:r>
      <w:r>
        <w:t>female</w:t>
      </w:r>
      <w:r w:rsidR="001A1F90">
        <w:t xml:space="preserve"> </w:t>
      </w:r>
      <w:r>
        <w:t>psychologist</w:t>
      </w:r>
      <w:r w:rsidR="001A1F90">
        <w:t xml:space="preserve"> </w:t>
      </w:r>
      <w:r>
        <w:t>with</w:t>
      </w:r>
      <w:r w:rsidR="001A1F90">
        <w:t xml:space="preserve"> </w:t>
      </w:r>
      <w:r>
        <w:t>active</w:t>
      </w:r>
      <w:r w:rsidR="001A1F90">
        <w:t xml:space="preserve"> </w:t>
      </w:r>
      <w:r>
        <w:t>fantasies</w:t>
      </w:r>
      <w:r w:rsidR="001A1F90">
        <w:t xml:space="preserve"> </w:t>
      </w:r>
      <w:r>
        <w:t>of</w:t>
      </w:r>
      <w:r w:rsidR="001A1F90">
        <w:t xml:space="preserve"> </w:t>
      </w:r>
      <w:r>
        <w:t>sex</w:t>
      </w:r>
      <w:r w:rsidR="001A1F90">
        <w:t xml:space="preserve"> </w:t>
      </w:r>
      <w:r>
        <w:t>with</w:t>
      </w:r>
      <w:r w:rsidR="001A1F90">
        <w:t xml:space="preserve"> </w:t>
      </w:r>
      <w:r>
        <w:t>her</w:t>
      </w:r>
      <w:r w:rsidR="001A1F90">
        <w:t xml:space="preserve"> </w:t>
      </w:r>
      <w:r>
        <w:t>and</w:t>
      </w:r>
      <w:r w:rsidR="001A1F90">
        <w:t xml:space="preserve"> </w:t>
      </w:r>
      <w:r>
        <w:t>others.</w:t>
      </w:r>
      <w:r w:rsidR="001A1F90">
        <w:t xml:space="preserve"> </w:t>
      </w:r>
      <w:r>
        <w:t>Continued</w:t>
      </w:r>
      <w:r w:rsidR="001A1F90">
        <w:t xml:space="preserve"> </w:t>
      </w:r>
      <w:r>
        <w:t>concern</w:t>
      </w:r>
      <w:r w:rsidR="001A1F90">
        <w:t xml:space="preserve"> </w:t>
      </w:r>
      <w:r>
        <w:t>about</w:t>
      </w:r>
      <w:r w:rsidR="001A1F90">
        <w:t xml:space="preserve"> </w:t>
      </w:r>
      <w:r>
        <w:t>his</w:t>
      </w:r>
      <w:r w:rsidR="001A1F90">
        <w:t xml:space="preserve"> </w:t>
      </w:r>
      <w:r>
        <w:t>ongoing</w:t>
      </w:r>
      <w:r w:rsidR="001A1F90">
        <w:t xml:space="preserve"> </w:t>
      </w:r>
      <w:r>
        <w:t>risk</w:t>
      </w:r>
      <w:r w:rsidR="001A1F90">
        <w:t xml:space="preserve"> </w:t>
      </w:r>
      <w:r>
        <w:t>of</w:t>
      </w:r>
      <w:r w:rsidR="001A1F90">
        <w:t xml:space="preserve"> </w:t>
      </w:r>
      <w:r>
        <w:t>sexual</w:t>
      </w:r>
      <w:r w:rsidR="001A1F90">
        <w:t xml:space="preserve"> </w:t>
      </w:r>
      <w:r>
        <w:t>offending</w:t>
      </w:r>
      <w:r w:rsidR="001A1F90">
        <w:t xml:space="preserve"> </w:t>
      </w:r>
      <w:r>
        <w:t>was</w:t>
      </w:r>
      <w:r w:rsidR="001A1F90">
        <w:t xml:space="preserve"> </w:t>
      </w:r>
      <w:r>
        <w:t>expressed</w:t>
      </w:r>
      <w:r w:rsidR="001A1F90">
        <w:t xml:space="preserve"> </w:t>
      </w:r>
      <w:r>
        <w:t>by</w:t>
      </w:r>
      <w:r w:rsidR="001A1F90">
        <w:t xml:space="preserve"> </w:t>
      </w:r>
      <w:r>
        <w:t>those</w:t>
      </w:r>
      <w:r w:rsidR="001A1F90">
        <w:t xml:space="preserve"> </w:t>
      </w:r>
      <w:r>
        <w:t>engaged</w:t>
      </w:r>
      <w:r w:rsidR="001A1F90">
        <w:t xml:space="preserve"> </w:t>
      </w:r>
      <w:r>
        <w:t>in</w:t>
      </w:r>
      <w:r w:rsidR="001A1F90">
        <w:t xml:space="preserve"> </w:t>
      </w:r>
      <w:r>
        <w:t>his</w:t>
      </w:r>
      <w:r w:rsidR="001A1F90">
        <w:t xml:space="preserve"> </w:t>
      </w:r>
      <w:r>
        <w:t>treatment</w:t>
      </w:r>
      <w:r w:rsidR="001A1F90">
        <w:t xml:space="preserve"> </w:t>
      </w:r>
      <w:r>
        <w:t>in</w:t>
      </w:r>
      <w:r w:rsidR="001A1F90">
        <w:t xml:space="preserve"> </w:t>
      </w:r>
      <w:r>
        <w:t>the</w:t>
      </w:r>
      <w:r w:rsidR="001A1F90">
        <w:t xml:space="preserve"> </w:t>
      </w:r>
      <w:r>
        <w:t>sexual</w:t>
      </w:r>
      <w:r w:rsidR="001A1F90">
        <w:t xml:space="preserve"> </w:t>
      </w:r>
      <w:r>
        <w:t>offender</w:t>
      </w:r>
      <w:r w:rsidR="001A1F90">
        <w:t xml:space="preserve"> </w:t>
      </w:r>
      <w:r>
        <w:t>treatment</w:t>
      </w:r>
      <w:r w:rsidR="001A1F90">
        <w:t xml:space="preserve"> </w:t>
      </w:r>
      <w:r>
        <w:t>program.</w:t>
      </w:r>
      <w:r w:rsidR="001A1F90">
        <w:t xml:space="preserve"> </w:t>
      </w:r>
      <w:r>
        <w:t>Given</w:t>
      </w:r>
      <w:r w:rsidR="001A1F90">
        <w:t xml:space="preserve"> </w:t>
      </w:r>
      <w:r>
        <w:t>the</w:t>
      </w:r>
      <w:r w:rsidR="001A1F90">
        <w:t xml:space="preserve"> </w:t>
      </w:r>
      <w:r>
        <w:t>seriousness</w:t>
      </w:r>
      <w:r w:rsidR="001A1F90">
        <w:t xml:space="preserve"> </w:t>
      </w:r>
      <w:r>
        <w:t>of</w:t>
      </w:r>
      <w:r w:rsidR="001A1F90">
        <w:t xml:space="preserve"> </w:t>
      </w:r>
      <w:r>
        <w:t>his</w:t>
      </w:r>
      <w:r w:rsidR="001A1F90">
        <w:t xml:space="preserve"> </w:t>
      </w:r>
      <w:r>
        <w:t>index</w:t>
      </w:r>
      <w:r w:rsidR="001A1F90">
        <w:t xml:space="preserve"> </w:t>
      </w:r>
      <w:r>
        <w:t>offending,</w:t>
      </w:r>
      <w:r w:rsidR="001A1F90">
        <w:t xml:space="preserve"> </w:t>
      </w:r>
      <w:r>
        <w:t>and</w:t>
      </w:r>
      <w:r w:rsidR="001A1F90">
        <w:t xml:space="preserve"> </w:t>
      </w:r>
      <w:r>
        <w:t>the</w:t>
      </w:r>
      <w:r w:rsidR="001A1F90">
        <w:t xml:space="preserve"> </w:t>
      </w:r>
      <w:r>
        <w:t>evidence</w:t>
      </w:r>
      <w:r w:rsidR="001A1F90">
        <w:t xml:space="preserve"> </w:t>
      </w:r>
      <w:r>
        <w:t>of</w:t>
      </w:r>
      <w:r w:rsidR="001A1F90">
        <w:t xml:space="preserve"> </w:t>
      </w:r>
      <w:r>
        <w:t>persisting</w:t>
      </w:r>
      <w:r w:rsidR="001A1F90">
        <w:t xml:space="preserve"> </w:t>
      </w:r>
      <w:r>
        <w:t>high</w:t>
      </w:r>
      <w:r w:rsidR="001A1F90">
        <w:t xml:space="preserve"> </w:t>
      </w:r>
      <w:r>
        <w:t>risk</w:t>
      </w:r>
      <w:r w:rsidR="001A1F90">
        <w:t xml:space="preserve"> </w:t>
      </w:r>
      <w:r>
        <w:t>of</w:t>
      </w:r>
      <w:r w:rsidR="001A1F90">
        <w:t xml:space="preserve"> </w:t>
      </w:r>
      <w:r>
        <w:t>further</w:t>
      </w:r>
      <w:r w:rsidR="001A1F90">
        <w:t xml:space="preserve"> </w:t>
      </w:r>
      <w:r>
        <w:t>similar</w:t>
      </w:r>
      <w:r w:rsidR="001A1F90">
        <w:t xml:space="preserve"> </w:t>
      </w:r>
      <w:r>
        <w:t>offending</w:t>
      </w:r>
      <w:r w:rsidR="00C0084E">
        <w:t>,</w:t>
      </w:r>
      <w:r w:rsidR="001A1F90">
        <w:t xml:space="preserve"> </w:t>
      </w:r>
      <w:r>
        <w:t>he</w:t>
      </w:r>
      <w:r w:rsidR="001A1F90">
        <w:t xml:space="preserve"> </w:t>
      </w:r>
      <w:r>
        <w:t>was</w:t>
      </w:r>
      <w:r w:rsidR="001A1F90">
        <w:t xml:space="preserve"> </w:t>
      </w:r>
      <w:r>
        <w:t>judged</w:t>
      </w:r>
      <w:r w:rsidR="001A1F90">
        <w:t xml:space="preserve"> </w:t>
      </w:r>
      <w:r>
        <w:t>to</w:t>
      </w:r>
      <w:r w:rsidR="001A1F90">
        <w:t xml:space="preserve"> </w:t>
      </w:r>
      <w:r>
        <w:t>be</w:t>
      </w:r>
      <w:r w:rsidR="001A1F90">
        <w:t xml:space="preserve"> </w:t>
      </w:r>
      <w:r>
        <w:t>a</w:t>
      </w:r>
      <w:r w:rsidR="001A1F90">
        <w:t xml:space="preserve"> </w:t>
      </w:r>
      <w:r>
        <w:t>suitable</w:t>
      </w:r>
      <w:r w:rsidR="001A1F90">
        <w:t xml:space="preserve"> </w:t>
      </w:r>
      <w:r>
        <w:t>candidate</w:t>
      </w:r>
      <w:r w:rsidR="001A1F90">
        <w:t xml:space="preserve"> </w:t>
      </w:r>
      <w:r>
        <w:t>for</w:t>
      </w:r>
      <w:r w:rsidR="001A1F90">
        <w:t xml:space="preserve"> </w:t>
      </w:r>
      <w:r w:rsidR="002B53B9">
        <w:t>c</w:t>
      </w:r>
      <w:r>
        <w:t>yproterone</w:t>
      </w:r>
      <w:r w:rsidR="001A1F90">
        <w:t xml:space="preserve"> </w:t>
      </w:r>
      <w:r w:rsidR="002B53B9">
        <w:t>a</w:t>
      </w:r>
      <w:r>
        <w:t>cetate.</w:t>
      </w:r>
      <w:r w:rsidR="001A1F90">
        <w:t xml:space="preserve"> </w:t>
      </w:r>
      <w:r>
        <w:t>At</w:t>
      </w:r>
      <w:r w:rsidR="001A1F90">
        <w:t xml:space="preserve"> </w:t>
      </w:r>
      <w:r>
        <w:t>this</w:t>
      </w:r>
      <w:r w:rsidR="001A1F90">
        <w:t xml:space="preserve"> </w:t>
      </w:r>
      <w:r>
        <w:t>point</w:t>
      </w:r>
      <w:r w:rsidR="001A1F90">
        <w:t xml:space="preserve"> </w:t>
      </w:r>
      <w:r>
        <w:t>discussion</w:t>
      </w:r>
      <w:r w:rsidR="001A1F90">
        <w:t xml:space="preserve"> </w:t>
      </w:r>
      <w:r>
        <w:t>occurred</w:t>
      </w:r>
      <w:r w:rsidR="001A1F90">
        <w:t xml:space="preserve"> </w:t>
      </w:r>
      <w:r>
        <w:t>with</w:t>
      </w:r>
      <w:r w:rsidR="001A1F90">
        <w:t xml:space="preserve"> </w:t>
      </w:r>
      <w:r>
        <w:t>his</w:t>
      </w:r>
      <w:r w:rsidR="001A1F90">
        <w:t xml:space="preserve"> </w:t>
      </w:r>
      <w:r>
        <w:t>parents</w:t>
      </w:r>
      <w:r w:rsidR="00C0084E">
        <w:t>,</w:t>
      </w:r>
      <w:r w:rsidR="001A1F90">
        <w:t xml:space="preserve"> </w:t>
      </w:r>
      <w:r>
        <w:t>who</w:t>
      </w:r>
      <w:r w:rsidR="001A1F90">
        <w:t xml:space="preserve"> </w:t>
      </w:r>
      <w:r>
        <w:t>support</w:t>
      </w:r>
      <w:r w:rsidR="00C0084E">
        <w:t>ed</w:t>
      </w:r>
      <w:r w:rsidR="001A1F90">
        <w:t xml:space="preserve"> </w:t>
      </w:r>
      <w:r w:rsidR="00C0084E">
        <w:t xml:space="preserve">him </w:t>
      </w:r>
      <w:r>
        <w:t>us</w:t>
      </w:r>
      <w:r w:rsidR="00C0084E">
        <w:t>ing</w:t>
      </w:r>
      <w:r w:rsidR="001A1F90">
        <w:t xml:space="preserve"> </w:t>
      </w:r>
      <w:r>
        <w:t>this</w:t>
      </w:r>
      <w:r w:rsidR="001A1F90">
        <w:t xml:space="preserve"> </w:t>
      </w:r>
      <w:r>
        <w:t>medication,</w:t>
      </w:r>
      <w:r w:rsidR="001A1F90">
        <w:t xml:space="preserve"> </w:t>
      </w:r>
      <w:r>
        <w:t>rather</w:t>
      </w:r>
      <w:r w:rsidR="001A1F90">
        <w:t xml:space="preserve"> </w:t>
      </w:r>
      <w:r>
        <w:t>than</w:t>
      </w:r>
      <w:r w:rsidR="001A1F90">
        <w:t xml:space="preserve"> </w:t>
      </w:r>
      <w:r>
        <w:t>attempt</w:t>
      </w:r>
      <w:r w:rsidR="00BA327A">
        <w:t>ing</w:t>
      </w:r>
      <w:r w:rsidR="001A1F90">
        <w:t xml:space="preserve"> </w:t>
      </w:r>
      <w:r>
        <w:t>to</w:t>
      </w:r>
      <w:r w:rsidR="001A1F90">
        <w:t xml:space="preserve"> </w:t>
      </w:r>
      <w:r>
        <w:t>seek</w:t>
      </w:r>
      <w:r w:rsidR="001A1F90">
        <w:t xml:space="preserve"> </w:t>
      </w:r>
      <w:r>
        <w:t>a</w:t>
      </w:r>
      <w:r w:rsidR="001A1F90">
        <w:t xml:space="preserve"> </w:t>
      </w:r>
      <w:r>
        <w:t>second</w:t>
      </w:r>
      <w:r w:rsidR="001A1F90">
        <w:t xml:space="preserve"> </w:t>
      </w:r>
      <w:r>
        <w:t>opinion</w:t>
      </w:r>
      <w:r w:rsidR="001A1F90">
        <w:t xml:space="preserve"> </w:t>
      </w:r>
      <w:r>
        <w:t>under</w:t>
      </w:r>
      <w:r w:rsidR="001A1F90">
        <w:t xml:space="preserve"> </w:t>
      </w:r>
      <w:r>
        <w:t>the</w:t>
      </w:r>
      <w:r w:rsidR="001A1F90">
        <w:t xml:space="preserve"> </w:t>
      </w:r>
      <w:r>
        <w:t>Act.</w:t>
      </w:r>
      <w:r w:rsidR="001A1F90">
        <w:t xml:space="preserve"> </w:t>
      </w:r>
      <w:r>
        <w:t>Although</w:t>
      </w:r>
      <w:r w:rsidR="001A1F90">
        <w:t xml:space="preserve"> </w:t>
      </w:r>
      <w:r>
        <w:t>he</w:t>
      </w:r>
      <w:r w:rsidR="001A1F90">
        <w:t xml:space="preserve"> </w:t>
      </w:r>
      <w:r>
        <w:t>is</w:t>
      </w:r>
      <w:r w:rsidR="001A1F90">
        <w:t xml:space="preserve"> </w:t>
      </w:r>
      <w:r>
        <w:t>intellectually</w:t>
      </w:r>
      <w:r w:rsidR="001A1F90">
        <w:t xml:space="preserve"> </w:t>
      </w:r>
      <w:r>
        <w:t>disabled</w:t>
      </w:r>
      <w:r w:rsidR="001A1F90">
        <w:t xml:space="preserve"> </w:t>
      </w:r>
      <w:r w:rsidR="00C0084E">
        <w:t xml:space="preserve">he </w:t>
      </w:r>
      <w:r>
        <w:t>has</w:t>
      </w:r>
      <w:r w:rsidR="001A1F90">
        <w:t xml:space="preserve"> </w:t>
      </w:r>
      <w:r>
        <w:t>reasonable</w:t>
      </w:r>
      <w:r w:rsidR="001A1F90">
        <w:t xml:space="preserve"> </w:t>
      </w:r>
      <w:r>
        <w:t>language</w:t>
      </w:r>
      <w:r w:rsidR="001A1F90">
        <w:t xml:space="preserve"> </w:t>
      </w:r>
      <w:r>
        <w:t>skills</w:t>
      </w:r>
      <w:r w:rsidR="001A1F90">
        <w:t xml:space="preserve"> </w:t>
      </w:r>
      <w:r>
        <w:t>and</w:t>
      </w:r>
      <w:r w:rsidR="001A1F90">
        <w:t xml:space="preserve"> </w:t>
      </w:r>
      <w:r>
        <w:t>a</w:t>
      </w:r>
      <w:r w:rsidR="001A1F90">
        <w:t xml:space="preserve"> </w:t>
      </w:r>
      <w:r>
        <w:t>sufficient</w:t>
      </w:r>
      <w:r w:rsidR="001A1F90">
        <w:t xml:space="preserve"> </w:t>
      </w:r>
      <w:r>
        <w:t>level</w:t>
      </w:r>
      <w:r w:rsidR="001A1F90">
        <w:t xml:space="preserve"> </w:t>
      </w:r>
      <w:r>
        <w:t>of</w:t>
      </w:r>
      <w:r w:rsidR="001A1F90">
        <w:t xml:space="preserve"> </w:t>
      </w:r>
      <w:r>
        <w:t>cognitive</w:t>
      </w:r>
      <w:r w:rsidR="001A1F90">
        <w:t xml:space="preserve"> </w:t>
      </w:r>
      <w:r>
        <w:t>functioning</w:t>
      </w:r>
      <w:r w:rsidR="001A1F90">
        <w:t xml:space="preserve"> </w:t>
      </w:r>
      <w:r>
        <w:t>to</w:t>
      </w:r>
      <w:r w:rsidR="001A1F90">
        <w:t xml:space="preserve"> </w:t>
      </w:r>
      <w:r>
        <w:t>grasp</w:t>
      </w:r>
      <w:r w:rsidR="001A1F90">
        <w:t xml:space="preserve"> </w:t>
      </w:r>
      <w:r>
        <w:t>the</w:t>
      </w:r>
      <w:r w:rsidR="001A1F90">
        <w:t xml:space="preserve"> </w:t>
      </w:r>
      <w:r>
        <w:t>implications</w:t>
      </w:r>
      <w:r w:rsidR="001A1F90">
        <w:t xml:space="preserve"> </w:t>
      </w:r>
      <w:r>
        <w:t>and</w:t>
      </w:r>
      <w:r w:rsidR="001A1F90">
        <w:t xml:space="preserve"> </w:t>
      </w:r>
      <w:r>
        <w:t>the</w:t>
      </w:r>
      <w:r w:rsidR="001A1F90">
        <w:t xml:space="preserve"> </w:t>
      </w:r>
      <w:r>
        <w:t>basics</w:t>
      </w:r>
      <w:r w:rsidR="001A1F90">
        <w:t xml:space="preserve"> </w:t>
      </w:r>
      <w:r>
        <w:t>of</w:t>
      </w:r>
      <w:r w:rsidR="001A1F90">
        <w:t xml:space="preserve"> </w:t>
      </w:r>
      <w:r>
        <w:t>the</w:t>
      </w:r>
      <w:r w:rsidR="001A1F90">
        <w:t xml:space="preserve"> </w:t>
      </w:r>
      <w:r>
        <w:t>reasons</w:t>
      </w:r>
      <w:r w:rsidR="001A1F90">
        <w:t xml:space="preserve"> </w:t>
      </w:r>
      <w:r>
        <w:t>for</w:t>
      </w:r>
      <w:r w:rsidR="001A1F90">
        <w:t xml:space="preserve"> </w:t>
      </w:r>
      <w:r>
        <w:t>us</w:t>
      </w:r>
      <w:r w:rsidR="00C0084E">
        <w:t>ing</w:t>
      </w:r>
      <w:r w:rsidR="001A1F90">
        <w:t xml:space="preserve"> </w:t>
      </w:r>
      <w:r>
        <w:t>anti-libidinals</w:t>
      </w:r>
      <w:r w:rsidR="00C0084E">
        <w:t>,</w:t>
      </w:r>
      <w:r w:rsidR="001A1F90">
        <w:t xml:space="preserve"> </w:t>
      </w:r>
      <w:r>
        <w:t>and</w:t>
      </w:r>
      <w:r w:rsidR="001A1F90">
        <w:t xml:space="preserve"> </w:t>
      </w:r>
      <w:r w:rsidR="00C0084E">
        <w:t xml:space="preserve">their </w:t>
      </w:r>
      <w:r>
        <w:t>potential</w:t>
      </w:r>
      <w:r w:rsidR="001A1F90">
        <w:t xml:space="preserve"> </w:t>
      </w:r>
      <w:r>
        <w:t>side</w:t>
      </w:r>
      <w:r w:rsidR="001A1F90">
        <w:t xml:space="preserve"> </w:t>
      </w:r>
      <w:r>
        <w:t>effects.</w:t>
      </w:r>
      <w:r w:rsidR="001A1F90">
        <w:t xml:space="preserve"> </w:t>
      </w:r>
      <w:r>
        <w:t>He</w:t>
      </w:r>
      <w:r w:rsidR="001A1F90">
        <w:t xml:space="preserve"> </w:t>
      </w:r>
      <w:r>
        <w:t>is</w:t>
      </w:r>
      <w:r w:rsidR="001A1F90">
        <w:t xml:space="preserve"> </w:t>
      </w:r>
      <w:r w:rsidR="00C0084E">
        <w:t xml:space="preserve">therefore considered </w:t>
      </w:r>
      <w:r>
        <w:t>capable</w:t>
      </w:r>
      <w:r w:rsidR="001A1F90">
        <w:t xml:space="preserve"> </w:t>
      </w:r>
      <w:r>
        <w:t>of</w:t>
      </w:r>
      <w:r w:rsidR="001A1F90">
        <w:t xml:space="preserve"> </w:t>
      </w:r>
      <w:r>
        <w:t>consenting.</w:t>
      </w:r>
      <w:r w:rsidR="001A1F90">
        <w:t xml:space="preserve"> </w:t>
      </w:r>
      <w:r w:rsidR="00C0084E">
        <w:t>T</w:t>
      </w:r>
      <w:r>
        <w:t>he</w:t>
      </w:r>
      <w:r w:rsidR="001A1F90">
        <w:t xml:space="preserve"> </w:t>
      </w:r>
      <w:r>
        <w:t>process</w:t>
      </w:r>
      <w:r w:rsidR="001A1F90">
        <w:t xml:space="preserve"> </w:t>
      </w:r>
      <w:r>
        <w:t>of</w:t>
      </w:r>
      <w:r w:rsidR="001A1F90">
        <w:t xml:space="preserve"> </w:t>
      </w:r>
      <w:r>
        <w:t>obtaining</w:t>
      </w:r>
      <w:r w:rsidR="001A1F90">
        <w:t xml:space="preserve"> </w:t>
      </w:r>
      <w:r>
        <w:t>consent</w:t>
      </w:r>
      <w:r w:rsidR="001A1F90">
        <w:t xml:space="preserve"> </w:t>
      </w:r>
      <w:r>
        <w:t>continues.</w:t>
      </w:r>
    </w:p>
    <w:p w14:paraId="2DBA962B" w14:textId="700130AF" w:rsidR="004946F1" w:rsidRDefault="004946F1" w:rsidP="009B0E14">
      <w:pPr>
        <w:pStyle w:val="Heading2"/>
      </w:pPr>
      <w:bookmarkStart w:id="23" w:name="_Toc20225611"/>
      <w:r>
        <w:t>Case</w:t>
      </w:r>
      <w:r w:rsidR="001A1F90">
        <w:t xml:space="preserve"> </w:t>
      </w:r>
      <w:r>
        <w:t>5</w:t>
      </w:r>
      <w:r w:rsidR="00301CA9">
        <w:t>:</w:t>
      </w:r>
      <w:r w:rsidR="001A1F90">
        <w:t xml:space="preserve"> Victoria</w:t>
      </w:r>
      <w:bookmarkEnd w:id="23"/>
    </w:p>
    <w:p w14:paraId="6A1FC7E2" w14:textId="1EF35092" w:rsidR="004946F1" w:rsidRDefault="004946F1" w:rsidP="00BD612C">
      <w:pPr>
        <w:pStyle w:val="DHHSbody"/>
      </w:pPr>
      <w:r>
        <w:t>A</w:t>
      </w:r>
      <w:r w:rsidR="001A1F90">
        <w:t xml:space="preserve"> </w:t>
      </w:r>
      <w:r>
        <w:t>49</w:t>
      </w:r>
      <w:r w:rsidR="00301CA9">
        <w:t>-</w:t>
      </w:r>
      <w:r>
        <w:t>year</w:t>
      </w:r>
      <w:r w:rsidR="00301CA9">
        <w:t>-</w:t>
      </w:r>
      <w:r>
        <w:t>old</w:t>
      </w:r>
      <w:r w:rsidR="001A1F90">
        <w:t xml:space="preserve"> </w:t>
      </w:r>
      <w:r>
        <w:t>male</w:t>
      </w:r>
      <w:r w:rsidR="001A1F90">
        <w:t xml:space="preserve"> </w:t>
      </w:r>
      <w:r>
        <w:t>with</w:t>
      </w:r>
      <w:r w:rsidR="001A1F90">
        <w:t xml:space="preserve"> </w:t>
      </w:r>
      <w:r>
        <w:t>a</w:t>
      </w:r>
      <w:r w:rsidR="001A1F90">
        <w:t xml:space="preserve"> </w:t>
      </w:r>
      <w:r>
        <w:t>mild</w:t>
      </w:r>
      <w:r w:rsidR="001A1F90">
        <w:t xml:space="preserve"> </w:t>
      </w:r>
      <w:r>
        <w:t>intellectual</w:t>
      </w:r>
      <w:r w:rsidR="001A1F90">
        <w:t xml:space="preserve"> </w:t>
      </w:r>
      <w:r>
        <w:t>disability</w:t>
      </w:r>
      <w:r w:rsidR="001A1F90">
        <w:t xml:space="preserve"> </w:t>
      </w:r>
      <w:r>
        <w:t>and</w:t>
      </w:r>
      <w:r w:rsidR="001A1F90">
        <w:t xml:space="preserve"> </w:t>
      </w:r>
      <w:r>
        <w:t>an</w:t>
      </w:r>
      <w:r w:rsidR="001A1F90">
        <w:t xml:space="preserve"> </w:t>
      </w:r>
      <w:r>
        <w:t>extensive</w:t>
      </w:r>
      <w:r w:rsidR="001A1F90">
        <w:t xml:space="preserve"> </w:t>
      </w:r>
      <w:r>
        <w:t>history</w:t>
      </w:r>
      <w:r w:rsidR="001A1F90">
        <w:t xml:space="preserve"> </w:t>
      </w:r>
      <w:r>
        <w:t>of</w:t>
      </w:r>
      <w:r w:rsidR="001A1F90">
        <w:t xml:space="preserve"> </w:t>
      </w:r>
      <w:r>
        <w:t>institutional</w:t>
      </w:r>
      <w:r w:rsidR="001A1F90">
        <w:t xml:space="preserve"> </w:t>
      </w:r>
      <w:r>
        <w:t>placement</w:t>
      </w:r>
      <w:r w:rsidR="001A1F90">
        <w:t xml:space="preserve"> </w:t>
      </w:r>
      <w:r>
        <w:t>since</w:t>
      </w:r>
      <w:r w:rsidR="001A1F90">
        <w:t xml:space="preserve"> </w:t>
      </w:r>
      <w:r>
        <w:t>the</w:t>
      </w:r>
      <w:r w:rsidR="001A1F90">
        <w:t xml:space="preserve"> </w:t>
      </w:r>
      <w:r>
        <w:t>age</w:t>
      </w:r>
      <w:r w:rsidR="001A1F90">
        <w:t xml:space="preserve"> </w:t>
      </w:r>
      <w:r>
        <w:t>of</w:t>
      </w:r>
      <w:r w:rsidR="001A1F90">
        <w:t xml:space="preserve"> </w:t>
      </w:r>
      <w:r w:rsidR="00BA327A">
        <w:t>seven</w:t>
      </w:r>
      <w:r w:rsidR="001A1F90">
        <w:t xml:space="preserve"> </w:t>
      </w:r>
      <w:r>
        <w:t>was</w:t>
      </w:r>
      <w:r w:rsidR="001A1F90">
        <w:t xml:space="preserve"> </w:t>
      </w:r>
      <w:r>
        <w:t>a</w:t>
      </w:r>
      <w:r w:rsidR="001A1F90">
        <w:t xml:space="preserve"> </w:t>
      </w:r>
      <w:r>
        <w:t>victim</w:t>
      </w:r>
      <w:r w:rsidR="001A1F90">
        <w:t xml:space="preserve"> </w:t>
      </w:r>
      <w:r>
        <w:t>of</w:t>
      </w:r>
      <w:r w:rsidR="001A1F90">
        <w:t xml:space="preserve"> </w:t>
      </w:r>
      <w:r>
        <w:t>sexual</w:t>
      </w:r>
      <w:r w:rsidR="001A1F90">
        <w:t xml:space="preserve"> </w:t>
      </w:r>
      <w:r>
        <w:t>abuse</w:t>
      </w:r>
      <w:r w:rsidR="001A1F90">
        <w:t xml:space="preserve"> </w:t>
      </w:r>
      <w:r>
        <w:t>from</w:t>
      </w:r>
      <w:r w:rsidR="001A1F90">
        <w:t xml:space="preserve"> </w:t>
      </w:r>
      <w:r>
        <w:rPr>
          <w:spacing w:val="-2"/>
        </w:rPr>
        <w:t>a</w:t>
      </w:r>
      <w:r w:rsidR="001A1F90">
        <w:rPr>
          <w:spacing w:val="-2"/>
        </w:rPr>
        <w:t xml:space="preserve"> </w:t>
      </w:r>
      <w:r>
        <w:rPr>
          <w:spacing w:val="-2"/>
        </w:rPr>
        <w:t>staff</w:t>
      </w:r>
      <w:r w:rsidR="001A1F90">
        <w:rPr>
          <w:spacing w:val="-2"/>
        </w:rPr>
        <w:t xml:space="preserve"> </w:t>
      </w:r>
      <w:r>
        <w:rPr>
          <w:spacing w:val="-2"/>
        </w:rPr>
        <w:t>member</w:t>
      </w:r>
      <w:r w:rsidR="001A1F90">
        <w:rPr>
          <w:spacing w:val="-2"/>
        </w:rPr>
        <w:t xml:space="preserve"> </w:t>
      </w:r>
      <w:r>
        <w:rPr>
          <w:spacing w:val="-2"/>
        </w:rPr>
        <w:t>and</w:t>
      </w:r>
      <w:r w:rsidR="001A1F90">
        <w:rPr>
          <w:spacing w:val="-2"/>
        </w:rPr>
        <w:t xml:space="preserve"> </w:t>
      </w:r>
      <w:r>
        <w:rPr>
          <w:spacing w:val="-2"/>
        </w:rPr>
        <w:t>residents</w:t>
      </w:r>
      <w:r w:rsidR="001A1F90">
        <w:rPr>
          <w:spacing w:val="-2"/>
        </w:rPr>
        <w:t xml:space="preserve"> </w:t>
      </w:r>
      <w:r>
        <w:rPr>
          <w:spacing w:val="-2"/>
        </w:rPr>
        <w:t>at</w:t>
      </w:r>
      <w:r w:rsidR="001A1F90">
        <w:rPr>
          <w:spacing w:val="-2"/>
        </w:rPr>
        <w:t xml:space="preserve"> </w:t>
      </w:r>
      <w:r>
        <w:rPr>
          <w:spacing w:val="-2"/>
        </w:rPr>
        <w:t>the</w:t>
      </w:r>
      <w:r w:rsidR="001A1F90">
        <w:rPr>
          <w:spacing w:val="-2"/>
        </w:rPr>
        <w:t xml:space="preserve"> </w:t>
      </w:r>
      <w:r>
        <w:rPr>
          <w:spacing w:val="-2"/>
        </w:rPr>
        <w:t>institution.</w:t>
      </w:r>
      <w:r w:rsidR="001A1F90">
        <w:rPr>
          <w:spacing w:val="-2"/>
        </w:rPr>
        <w:t xml:space="preserve"> </w:t>
      </w:r>
      <w:r>
        <w:t>He</w:t>
      </w:r>
      <w:r w:rsidR="001A1F90">
        <w:t xml:space="preserve"> </w:t>
      </w:r>
      <w:r>
        <w:t>lived</w:t>
      </w:r>
      <w:r w:rsidR="001A1F90">
        <w:t xml:space="preserve"> </w:t>
      </w:r>
      <w:r>
        <w:t>independently</w:t>
      </w:r>
      <w:r w:rsidR="001A1F90">
        <w:t xml:space="preserve"> </w:t>
      </w:r>
      <w:r>
        <w:t>between</w:t>
      </w:r>
      <w:r w:rsidR="001A1F90">
        <w:t xml:space="preserve"> </w:t>
      </w:r>
      <w:r>
        <w:t>1982</w:t>
      </w:r>
      <w:r w:rsidR="001A1F90">
        <w:t xml:space="preserve"> </w:t>
      </w:r>
      <w:r>
        <w:t>and</w:t>
      </w:r>
      <w:r w:rsidR="001A1F90">
        <w:t xml:space="preserve"> </w:t>
      </w:r>
      <w:r>
        <w:t>1998</w:t>
      </w:r>
      <w:r w:rsidR="00BA327A">
        <w:t>,</w:t>
      </w:r>
      <w:r w:rsidR="001A1F90">
        <w:t xml:space="preserve"> </w:t>
      </w:r>
      <w:r>
        <w:t>and</w:t>
      </w:r>
      <w:r w:rsidR="001A1F90">
        <w:t xml:space="preserve"> </w:t>
      </w:r>
      <w:r>
        <w:t>during</w:t>
      </w:r>
      <w:r w:rsidR="001A1F90">
        <w:t xml:space="preserve"> </w:t>
      </w:r>
      <w:r>
        <w:t>this</w:t>
      </w:r>
      <w:r w:rsidR="001A1F90">
        <w:t xml:space="preserve"> </w:t>
      </w:r>
      <w:r>
        <w:t>period</w:t>
      </w:r>
      <w:r w:rsidR="001A1F90">
        <w:t xml:space="preserve"> </w:t>
      </w:r>
      <w:r>
        <w:t>committed</w:t>
      </w:r>
      <w:r w:rsidR="001A1F90">
        <w:t xml:space="preserve"> </w:t>
      </w:r>
      <w:r>
        <w:t>a</w:t>
      </w:r>
      <w:r w:rsidR="001A1F90">
        <w:t xml:space="preserve"> </w:t>
      </w:r>
      <w:r>
        <w:t>number</w:t>
      </w:r>
      <w:r w:rsidR="001A1F90">
        <w:t xml:space="preserve"> </w:t>
      </w:r>
      <w:r>
        <w:t>of</w:t>
      </w:r>
      <w:r w:rsidR="001A1F90">
        <w:t xml:space="preserve"> </w:t>
      </w:r>
      <w:r>
        <w:t>sexual</w:t>
      </w:r>
      <w:r w:rsidR="001A1F90">
        <w:t xml:space="preserve"> </w:t>
      </w:r>
      <w:r>
        <w:t>offences</w:t>
      </w:r>
      <w:r w:rsidR="001A1F90">
        <w:t xml:space="preserve"> </w:t>
      </w:r>
      <w:r>
        <w:t>including</w:t>
      </w:r>
      <w:r w:rsidR="001A1F90">
        <w:t xml:space="preserve"> </w:t>
      </w:r>
      <w:r>
        <w:t>offences</w:t>
      </w:r>
      <w:r w:rsidR="001A1F90">
        <w:rPr>
          <w:spacing w:val="-2"/>
        </w:rPr>
        <w:t xml:space="preserve"> </w:t>
      </w:r>
      <w:r>
        <w:t>against</w:t>
      </w:r>
      <w:r w:rsidR="001A1F90">
        <w:t xml:space="preserve"> </w:t>
      </w:r>
      <w:r>
        <w:t>a</w:t>
      </w:r>
      <w:r w:rsidR="001A1F90">
        <w:t xml:space="preserve"> </w:t>
      </w:r>
      <w:r>
        <w:t>person</w:t>
      </w:r>
      <w:r w:rsidR="001A1F90">
        <w:t xml:space="preserve"> </w:t>
      </w:r>
      <w:r>
        <w:t>under</w:t>
      </w:r>
      <w:r w:rsidR="001A1F90">
        <w:t xml:space="preserve"> </w:t>
      </w:r>
      <w:r>
        <w:t>10</w:t>
      </w:r>
      <w:r w:rsidR="001A1F90">
        <w:t xml:space="preserve"> </w:t>
      </w:r>
      <w:r>
        <w:t>years</w:t>
      </w:r>
      <w:r w:rsidR="001A1F90">
        <w:t xml:space="preserve"> </w:t>
      </w:r>
      <w:r>
        <w:t>of</w:t>
      </w:r>
      <w:r w:rsidR="001A1F90">
        <w:t xml:space="preserve"> </w:t>
      </w:r>
      <w:r>
        <w:t>age,</w:t>
      </w:r>
      <w:r w:rsidR="001A1F90">
        <w:t xml:space="preserve"> </w:t>
      </w:r>
      <w:r>
        <w:t>multiple</w:t>
      </w:r>
      <w:r w:rsidR="001A1F90">
        <w:t xml:space="preserve"> </w:t>
      </w:r>
      <w:r>
        <w:t>accounts</w:t>
      </w:r>
      <w:r w:rsidR="001A1F90">
        <w:t xml:space="preserve"> </w:t>
      </w:r>
      <w:r>
        <w:t>of</w:t>
      </w:r>
      <w:r w:rsidR="001A1F90">
        <w:t xml:space="preserve"> </w:t>
      </w:r>
      <w:r>
        <w:t>indecent</w:t>
      </w:r>
      <w:r w:rsidR="001A1F90">
        <w:t xml:space="preserve"> </w:t>
      </w:r>
      <w:r>
        <w:t>assault</w:t>
      </w:r>
      <w:r w:rsidR="001A1F90">
        <w:t xml:space="preserve"> </w:t>
      </w:r>
      <w:r>
        <w:t>and</w:t>
      </w:r>
      <w:r w:rsidR="001A1F90">
        <w:t xml:space="preserve"> </w:t>
      </w:r>
      <w:r>
        <w:t>soliciting</w:t>
      </w:r>
      <w:r w:rsidR="001A1F90">
        <w:t xml:space="preserve"> </w:t>
      </w:r>
      <w:r>
        <w:t>for</w:t>
      </w:r>
      <w:r w:rsidR="001A1F90">
        <w:t xml:space="preserve"> </w:t>
      </w:r>
      <w:r>
        <w:t>sexual</w:t>
      </w:r>
      <w:r w:rsidR="001A1F90">
        <w:t xml:space="preserve"> </w:t>
      </w:r>
      <w:r>
        <w:t>purposes.</w:t>
      </w:r>
      <w:r w:rsidR="001A1F90">
        <w:t xml:space="preserve"> </w:t>
      </w:r>
      <w:r>
        <w:t>He</w:t>
      </w:r>
      <w:r w:rsidR="001A1F90">
        <w:t xml:space="preserve"> </w:t>
      </w:r>
      <w:r>
        <w:t>was</w:t>
      </w:r>
      <w:r w:rsidR="001A1F90">
        <w:t xml:space="preserve"> </w:t>
      </w:r>
      <w:r>
        <w:t>placed</w:t>
      </w:r>
      <w:r w:rsidR="001A1F90">
        <w:t xml:space="preserve"> </w:t>
      </w:r>
      <w:r>
        <w:t>in</w:t>
      </w:r>
      <w:r w:rsidR="001A1F90">
        <w:t xml:space="preserve"> </w:t>
      </w:r>
      <w:r>
        <w:t>an</w:t>
      </w:r>
      <w:r w:rsidR="001A1F90">
        <w:t xml:space="preserve"> </w:t>
      </w:r>
      <w:r>
        <w:t>intensive</w:t>
      </w:r>
      <w:r w:rsidR="001A1F90">
        <w:t xml:space="preserve"> </w:t>
      </w:r>
      <w:r>
        <w:t>residential</w:t>
      </w:r>
      <w:r w:rsidR="001A1F90">
        <w:t xml:space="preserve"> </w:t>
      </w:r>
      <w:r>
        <w:t>treatment</w:t>
      </w:r>
      <w:r w:rsidR="001A1F90">
        <w:t xml:space="preserve"> </w:t>
      </w:r>
      <w:r>
        <w:t>program</w:t>
      </w:r>
      <w:r w:rsidR="001A1F90">
        <w:t xml:space="preserve"> </w:t>
      </w:r>
      <w:r>
        <w:t>from</w:t>
      </w:r>
      <w:r w:rsidR="001A1F90">
        <w:t xml:space="preserve"> </w:t>
      </w:r>
      <w:r>
        <w:t>1998</w:t>
      </w:r>
      <w:r w:rsidR="001A1F90">
        <w:t xml:space="preserve"> </w:t>
      </w:r>
      <w:r>
        <w:t>to</w:t>
      </w:r>
      <w:r w:rsidR="001A1F90">
        <w:t xml:space="preserve"> </w:t>
      </w:r>
      <w:r>
        <w:t>2007.</w:t>
      </w:r>
      <w:r w:rsidR="001A1F90">
        <w:t xml:space="preserve"> </w:t>
      </w:r>
      <w:r>
        <w:t>He</w:t>
      </w:r>
      <w:r w:rsidR="001A1F90">
        <w:t xml:space="preserve"> </w:t>
      </w:r>
      <w:r>
        <w:t>was</w:t>
      </w:r>
      <w:r w:rsidR="001A1F90">
        <w:t xml:space="preserve"> </w:t>
      </w:r>
      <w:r>
        <w:t>prescribed</w:t>
      </w:r>
      <w:r w:rsidR="001A1F90">
        <w:t xml:space="preserve"> </w:t>
      </w:r>
      <w:r>
        <w:t>anti-libidinal</w:t>
      </w:r>
      <w:r w:rsidR="001A1F90">
        <w:t xml:space="preserve"> </w:t>
      </w:r>
      <w:r>
        <w:t>medication</w:t>
      </w:r>
      <w:r w:rsidR="001A1F90">
        <w:t xml:space="preserve"> </w:t>
      </w:r>
      <w:r>
        <w:t>prior</w:t>
      </w:r>
      <w:r w:rsidR="001A1F90">
        <w:t xml:space="preserve"> </w:t>
      </w:r>
      <w:r>
        <w:t>to</w:t>
      </w:r>
      <w:r w:rsidR="001A1F90">
        <w:t xml:space="preserve"> </w:t>
      </w:r>
      <w:r>
        <w:t>1998,</w:t>
      </w:r>
      <w:r w:rsidR="001A1F90">
        <w:t xml:space="preserve"> </w:t>
      </w:r>
      <w:r>
        <w:t>perhaps</w:t>
      </w:r>
      <w:r w:rsidR="001A1F90">
        <w:t xml:space="preserve"> </w:t>
      </w:r>
      <w:r>
        <w:t>as</w:t>
      </w:r>
      <w:r w:rsidR="001A1F90">
        <w:t xml:space="preserve"> </w:t>
      </w:r>
      <w:r>
        <w:t>far</w:t>
      </w:r>
      <w:r w:rsidR="001A1F90">
        <w:t xml:space="preserve"> </w:t>
      </w:r>
      <w:r>
        <w:t>back</w:t>
      </w:r>
      <w:r w:rsidR="001A1F90">
        <w:t xml:space="preserve"> </w:t>
      </w:r>
      <w:r>
        <w:t>as</w:t>
      </w:r>
      <w:r w:rsidR="001A1F90">
        <w:t xml:space="preserve"> </w:t>
      </w:r>
      <w:r>
        <w:t>1988.</w:t>
      </w:r>
      <w:r w:rsidR="001A1F90">
        <w:t xml:space="preserve"> </w:t>
      </w:r>
      <w:r>
        <w:t>There</w:t>
      </w:r>
      <w:r w:rsidR="001A1F90">
        <w:t xml:space="preserve"> </w:t>
      </w:r>
      <w:r>
        <w:t>was</w:t>
      </w:r>
      <w:r w:rsidR="001A1F90">
        <w:t xml:space="preserve"> </w:t>
      </w:r>
      <w:r>
        <w:t>no</w:t>
      </w:r>
      <w:r w:rsidR="001A1F90">
        <w:t xml:space="preserve"> </w:t>
      </w:r>
      <w:r>
        <w:t>evidence</w:t>
      </w:r>
      <w:r w:rsidR="001A1F90">
        <w:t xml:space="preserve"> </w:t>
      </w:r>
      <w:r>
        <w:t>of</w:t>
      </w:r>
      <w:r w:rsidR="001A1F90">
        <w:t xml:space="preserve"> </w:t>
      </w:r>
      <w:r>
        <w:t>baseline</w:t>
      </w:r>
      <w:r w:rsidR="001A1F90">
        <w:t xml:space="preserve"> </w:t>
      </w:r>
      <w:r>
        <w:t>testing</w:t>
      </w:r>
      <w:r w:rsidR="001A1F90">
        <w:t xml:space="preserve"> </w:t>
      </w:r>
      <w:r>
        <w:t>or</w:t>
      </w:r>
      <w:r w:rsidR="001A1F90">
        <w:t xml:space="preserve"> </w:t>
      </w:r>
      <w:r>
        <w:t>monitoring</w:t>
      </w:r>
      <w:r w:rsidR="001A1F90">
        <w:t xml:space="preserve"> </w:t>
      </w:r>
      <w:r>
        <w:t>until</w:t>
      </w:r>
      <w:r w:rsidR="001A1F90">
        <w:t xml:space="preserve"> </w:t>
      </w:r>
      <w:r>
        <w:t>2008,</w:t>
      </w:r>
      <w:r w:rsidR="001A1F90">
        <w:t xml:space="preserve"> </w:t>
      </w:r>
      <w:r>
        <w:t>although</w:t>
      </w:r>
      <w:r w:rsidR="001A1F90">
        <w:t xml:space="preserve"> </w:t>
      </w:r>
      <w:r>
        <w:t>there</w:t>
      </w:r>
      <w:r w:rsidR="001A1F90">
        <w:t xml:space="preserve"> </w:t>
      </w:r>
      <w:r>
        <w:t>was</w:t>
      </w:r>
      <w:r w:rsidR="001A1F90">
        <w:t xml:space="preserve"> </w:t>
      </w:r>
      <w:r>
        <w:t>regular</w:t>
      </w:r>
      <w:r w:rsidR="001A1F90">
        <w:t xml:space="preserve"> </w:t>
      </w:r>
      <w:r>
        <w:t>screening</w:t>
      </w:r>
      <w:r w:rsidR="001A1F90">
        <w:t xml:space="preserve"> </w:t>
      </w:r>
      <w:r>
        <w:t>for</w:t>
      </w:r>
      <w:r w:rsidR="001A1F90">
        <w:t xml:space="preserve"> </w:t>
      </w:r>
      <w:r>
        <w:t>testosterone</w:t>
      </w:r>
      <w:r w:rsidR="001A1F90">
        <w:t xml:space="preserve"> </w:t>
      </w:r>
      <w:r>
        <w:t>levels.</w:t>
      </w:r>
    </w:p>
    <w:p w14:paraId="60442841" w14:textId="7419CF18" w:rsidR="004946F1" w:rsidRDefault="004946F1" w:rsidP="00BD612C">
      <w:pPr>
        <w:pStyle w:val="DHHSbody"/>
      </w:pPr>
      <w:r>
        <w:t>In</w:t>
      </w:r>
      <w:r w:rsidR="001A1F90">
        <w:t xml:space="preserve"> </w:t>
      </w:r>
      <w:r>
        <w:t>2007</w:t>
      </w:r>
      <w:r w:rsidR="001A1F90">
        <w:t xml:space="preserve"> </w:t>
      </w:r>
      <w:r>
        <w:t>he</w:t>
      </w:r>
      <w:r w:rsidR="001A1F90">
        <w:t xml:space="preserve"> </w:t>
      </w:r>
      <w:r>
        <w:t>transitioned</w:t>
      </w:r>
      <w:r w:rsidR="001A1F90">
        <w:t xml:space="preserve"> </w:t>
      </w:r>
      <w:r>
        <w:t>to</w:t>
      </w:r>
      <w:r w:rsidR="001A1F90">
        <w:t xml:space="preserve"> </w:t>
      </w:r>
      <w:r>
        <w:t>a</w:t>
      </w:r>
      <w:r w:rsidR="001A1F90">
        <w:t xml:space="preserve"> </w:t>
      </w:r>
      <w:r>
        <w:t>less</w:t>
      </w:r>
      <w:r w:rsidR="001A1F90">
        <w:t xml:space="preserve"> </w:t>
      </w:r>
      <w:r>
        <w:t>intensive</w:t>
      </w:r>
      <w:r w:rsidR="001A1F90">
        <w:t xml:space="preserve"> </w:t>
      </w:r>
      <w:r>
        <w:t>community</w:t>
      </w:r>
      <w:r w:rsidR="00BA327A">
        <w:t>-</w:t>
      </w:r>
      <w:r>
        <w:t>based</w:t>
      </w:r>
      <w:r w:rsidR="001A1F90">
        <w:t xml:space="preserve"> </w:t>
      </w:r>
      <w:r>
        <w:t>group</w:t>
      </w:r>
      <w:r w:rsidR="001A1F90">
        <w:t xml:space="preserve"> </w:t>
      </w:r>
      <w:r>
        <w:t>home</w:t>
      </w:r>
      <w:r w:rsidR="001A1F90">
        <w:t xml:space="preserve"> </w:t>
      </w:r>
      <w:r>
        <w:t>where</w:t>
      </w:r>
      <w:r w:rsidR="001A1F90">
        <w:t xml:space="preserve"> </w:t>
      </w:r>
      <w:r>
        <w:t>his</w:t>
      </w:r>
      <w:r w:rsidR="001A1F90">
        <w:t xml:space="preserve"> </w:t>
      </w:r>
      <w:r>
        <w:t>treatment</w:t>
      </w:r>
      <w:r w:rsidR="001A1F90">
        <w:t xml:space="preserve"> </w:t>
      </w:r>
      <w:r>
        <w:t>program</w:t>
      </w:r>
      <w:r w:rsidR="001A1F90">
        <w:t xml:space="preserve"> </w:t>
      </w:r>
      <w:r>
        <w:t>was</w:t>
      </w:r>
      <w:r w:rsidR="001A1F90">
        <w:t xml:space="preserve"> </w:t>
      </w:r>
      <w:r>
        <w:t>maintained.</w:t>
      </w:r>
      <w:r w:rsidR="001A1F90">
        <w:t xml:space="preserve"> </w:t>
      </w:r>
      <w:r>
        <w:t>In</w:t>
      </w:r>
      <w:r w:rsidR="001A1F90">
        <w:t xml:space="preserve"> </w:t>
      </w:r>
      <w:r>
        <w:t>2008</w:t>
      </w:r>
      <w:r w:rsidR="001A1F90">
        <w:t xml:space="preserve"> </w:t>
      </w:r>
      <w:r>
        <w:t>he</w:t>
      </w:r>
      <w:r w:rsidR="001A1F90">
        <w:t xml:space="preserve"> </w:t>
      </w:r>
      <w:r w:rsidR="00BA327A">
        <w:t xml:space="preserve">suffered </w:t>
      </w:r>
      <w:r>
        <w:t>a</w:t>
      </w:r>
      <w:r w:rsidR="001A1F90">
        <w:t xml:space="preserve"> </w:t>
      </w:r>
      <w:r>
        <w:t>fracture</w:t>
      </w:r>
      <w:r w:rsidR="001A1F90">
        <w:t xml:space="preserve"> </w:t>
      </w:r>
      <w:r>
        <w:t>of</w:t>
      </w:r>
      <w:r w:rsidR="001A1F90">
        <w:t xml:space="preserve"> </w:t>
      </w:r>
      <w:r>
        <w:t>his</w:t>
      </w:r>
      <w:r w:rsidR="001A1F90">
        <w:t xml:space="preserve"> </w:t>
      </w:r>
      <w:r>
        <w:t>left</w:t>
      </w:r>
      <w:r w:rsidR="001A1F90">
        <w:t xml:space="preserve"> </w:t>
      </w:r>
      <w:r>
        <w:t>hip</w:t>
      </w:r>
      <w:r w:rsidR="001A1F90">
        <w:t xml:space="preserve"> </w:t>
      </w:r>
      <w:r>
        <w:t>and</w:t>
      </w:r>
      <w:r w:rsidR="001A1F90">
        <w:t xml:space="preserve"> </w:t>
      </w:r>
      <w:r>
        <w:t>from</w:t>
      </w:r>
      <w:r w:rsidR="001A1F90">
        <w:t xml:space="preserve"> </w:t>
      </w:r>
      <w:r>
        <w:t>that</w:t>
      </w:r>
      <w:r w:rsidR="001A1F90">
        <w:t xml:space="preserve"> </w:t>
      </w:r>
      <w:r>
        <w:t>time</w:t>
      </w:r>
      <w:r w:rsidR="001A1F90">
        <w:t xml:space="preserve"> </w:t>
      </w:r>
      <w:r w:rsidR="00BA327A">
        <w:t xml:space="preserve">began </w:t>
      </w:r>
      <w:r>
        <w:t>treatment</w:t>
      </w:r>
      <w:r w:rsidR="001A1F90">
        <w:t xml:space="preserve"> </w:t>
      </w:r>
      <w:r>
        <w:t>for</w:t>
      </w:r>
      <w:r w:rsidR="001A1F90">
        <w:t xml:space="preserve"> </w:t>
      </w:r>
      <w:r>
        <w:t>poor</w:t>
      </w:r>
      <w:r w:rsidR="001A1F90">
        <w:t xml:space="preserve"> </w:t>
      </w:r>
      <w:r>
        <w:t>bone</w:t>
      </w:r>
      <w:r w:rsidR="001A1F90">
        <w:t xml:space="preserve"> </w:t>
      </w:r>
      <w:r>
        <w:t>densitometry.</w:t>
      </w:r>
      <w:r w:rsidR="001A1F90">
        <w:t xml:space="preserve"> </w:t>
      </w:r>
      <w:r>
        <w:t>During</w:t>
      </w:r>
      <w:r w:rsidR="001A1F90">
        <w:t xml:space="preserve"> </w:t>
      </w:r>
      <w:r>
        <w:t>this</w:t>
      </w:r>
      <w:r w:rsidR="001A1F90">
        <w:t xml:space="preserve"> </w:t>
      </w:r>
      <w:r>
        <w:t>period</w:t>
      </w:r>
      <w:r w:rsidR="001A1F90">
        <w:t xml:space="preserve"> </w:t>
      </w:r>
      <w:r>
        <w:t>he</w:t>
      </w:r>
      <w:r w:rsidR="001A1F90">
        <w:t xml:space="preserve"> </w:t>
      </w:r>
      <w:r>
        <w:t>continued</w:t>
      </w:r>
      <w:r w:rsidR="001A1F90">
        <w:t xml:space="preserve"> </w:t>
      </w:r>
      <w:r>
        <w:t>to</w:t>
      </w:r>
      <w:r w:rsidR="001A1F90">
        <w:t xml:space="preserve"> </w:t>
      </w:r>
      <w:r>
        <w:t>be</w:t>
      </w:r>
      <w:r w:rsidR="001A1F90">
        <w:t xml:space="preserve"> </w:t>
      </w:r>
      <w:r>
        <w:t>treated</w:t>
      </w:r>
      <w:r w:rsidR="001A1F90">
        <w:t xml:space="preserve"> </w:t>
      </w:r>
      <w:r>
        <w:t>for</w:t>
      </w:r>
      <w:r w:rsidR="001A1F90">
        <w:t xml:space="preserve"> </w:t>
      </w:r>
      <w:r>
        <w:t>paedophilia</w:t>
      </w:r>
      <w:r w:rsidR="001A1F90">
        <w:t xml:space="preserve"> </w:t>
      </w:r>
      <w:r>
        <w:t>(sexually</w:t>
      </w:r>
      <w:r w:rsidR="001A1F90">
        <w:t xml:space="preserve"> </w:t>
      </w:r>
      <w:r>
        <w:t>attracted</w:t>
      </w:r>
      <w:r w:rsidR="001A1F90">
        <w:t xml:space="preserve"> </w:t>
      </w:r>
      <w:r>
        <w:t>to</w:t>
      </w:r>
      <w:r w:rsidR="001A1F90">
        <w:t xml:space="preserve"> </w:t>
      </w:r>
      <w:r>
        <w:t>males,</w:t>
      </w:r>
      <w:r w:rsidR="001A1F90">
        <w:t xml:space="preserve"> </w:t>
      </w:r>
      <w:r>
        <w:t>nonexclusive</w:t>
      </w:r>
      <w:r w:rsidR="001A1F90">
        <w:t xml:space="preserve"> </w:t>
      </w:r>
      <w:r>
        <w:t>type),</w:t>
      </w:r>
      <w:r w:rsidR="001A1F90">
        <w:t xml:space="preserve"> </w:t>
      </w:r>
      <w:r>
        <w:t>being</w:t>
      </w:r>
      <w:r w:rsidR="001A1F90">
        <w:t xml:space="preserve"> </w:t>
      </w:r>
      <w:r>
        <w:t>on</w:t>
      </w:r>
      <w:r w:rsidR="001A1F90">
        <w:t xml:space="preserve"> </w:t>
      </w:r>
      <w:r>
        <w:t>450</w:t>
      </w:r>
      <w:r w:rsidR="00301CA9">
        <w:t xml:space="preserve"> </w:t>
      </w:r>
      <w:r>
        <w:t>mg</w:t>
      </w:r>
      <w:r w:rsidR="001A1F90">
        <w:t xml:space="preserve"> </w:t>
      </w:r>
      <w:r>
        <w:t>Depo</w:t>
      </w:r>
      <w:r w:rsidR="001A1F90">
        <w:t xml:space="preserve"> </w:t>
      </w:r>
      <w:r>
        <w:t>Provera</w:t>
      </w:r>
      <w:r w:rsidR="001A1F90">
        <w:t xml:space="preserve"> </w:t>
      </w:r>
      <w:r>
        <w:t>IM</w:t>
      </w:r>
      <w:r w:rsidR="001A1F90">
        <w:t xml:space="preserve"> </w:t>
      </w:r>
      <w:r>
        <w:t>on</w:t>
      </w:r>
      <w:r w:rsidR="001A1F90">
        <w:t xml:space="preserve"> </w:t>
      </w:r>
      <w:r>
        <w:t>a</w:t>
      </w:r>
      <w:r w:rsidR="001A1F90">
        <w:t xml:space="preserve"> </w:t>
      </w:r>
      <w:r>
        <w:t>fortnightly</w:t>
      </w:r>
      <w:r w:rsidR="001A1F90">
        <w:t xml:space="preserve"> </w:t>
      </w:r>
      <w:r>
        <w:t>basis.</w:t>
      </w:r>
      <w:r w:rsidR="001A1F90">
        <w:t xml:space="preserve"> </w:t>
      </w:r>
      <w:r>
        <w:t>He</w:t>
      </w:r>
      <w:r w:rsidR="001A1F90">
        <w:t xml:space="preserve"> </w:t>
      </w:r>
      <w:r>
        <w:t>commenced</w:t>
      </w:r>
      <w:r w:rsidR="001A1F90">
        <w:t xml:space="preserve"> </w:t>
      </w:r>
      <w:r>
        <w:t>reductions</w:t>
      </w:r>
      <w:r w:rsidR="001A1F90">
        <w:t xml:space="preserve"> </w:t>
      </w:r>
      <w:r>
        <w:t>of</w:t>
      </w:r>
      <w:r w:rsidR="001A1F90">
        <w:t xml:space="preserve"> </w:t>
      </w:r>
      <w:r>
        <w:t>Depo</w:t>
      </w:r>
      <w:r w:rsidR="001A1F90">
        <w:t xml:space="preserve"> </w:t>
      </w:r>
      <w:r>
        <w:t>Provera</w:t>
      </w:r>
      <w:r w:rsidR="001A1F90">
        <w:t xml:space="preserve"> </w:t>
      </w:r>
      <w:r>
        <w:t>from</w:t>
      </w:r>
      <w:r w:rsidR="001A1F90">
        <w:t xml:space="preserve"> </w:t>
      </w:r>
      <w:r>
        <w:t>2009</w:t>
      </w:r>
      <w:r w:rsidR="001A1F90">
        <w:t xml:space="preserve"> </w:t>
      </w:r>
      <w:r>
        <w:t>and</w:t>
      </w:r>
      <w:r w:rsidR="001A1F90">
        <w:t xml:space="preserve"> </w:t>
      </w:r>
      <w:r>
        <w:t>has</w:t>
      </w:r>
      <w:r w:rsidR="001A1F90">
        <w:t xml:space="preserve"> </w:t>
      </w:r>
      <w:r>
        <w:t>been</w:t>
      </w:r>
      <w:r w:rsidR="001A1F90">
        <w:t xml:space="preserve"> </w:t>
      </w:r>
      <w:r>
        <w:t>reduced</w:t>
      </w:r>
      <w:r w:rsidR="001A1F90">
        <w:t xml:space="preserve"> </w:t>
      </w:r>
      <w:r>
        <w:t>to</w:t>
      </w:r>
      <w:r w:rsidR="001A1F90">
        <w:t xml:space="preserve"> </w:t>
      </w:r>
      <w:r>
        <w:t>100</w:t>
      </w:r>
      <w:r w:rsidR="00301CA9">
        <w:t xml:space="preserve"> </w:t>
      </w:r>
      <w:r>
        <w:t>mg.</w:t>
      </w:r>
      <w:r w:rsidR="001A1F90">
        <w:t xml:space="preserve"> </w:t>
      </w:r>
      <w:r>
        <w:t>He</w:t>
      </w:r>
      <w:r w:rsidR="001A1F90">
        <w:t xml:space="preserve"> </w:t>
      </w:r>
      <w:r>
        <w:t>continues</w:t>
      </w:r>
      <w:r w:rsidR="001A1F90">
        <w:t xml:space="preserve"> </w:t>
      </w:r>
      <w:r>
        <w:t>to</w:t>
      </w:r>
      <w:r w:rsidR="001A1F90">
        <w:t xml:space="preserve"> </w:t>
      </w:r>
      <w:r w:rsidR="00BA327A">
        <w:t xml:space="preserve">live </w:t>
      </w:r>
      <w:r>
        <w:t>in</w:t>
      </w:r>
      <w:r w:rsidR="001A1F90">
        <w:t xml:space="preserve"> </w:t>
      </w:r>
      <w:r>
        <w:t>the</w:t>
      </w:r>
      <w:r w:rsidR="001A1F90">
        <w:t xml:space="preserve"> </w:t>
      </w:r>
      <w:r>
        <w:t>group</w:t>
      </w:r>
      <w:r w:rsidR="001A1F90">
        <w:t xml:space="preserve"> </w:t>
      </w:r>
      <w:r>
        <w:t>home</w:t>
      </w:r>
      <w:r w:rsidR="001A1F90">
        <w:t xml:space="preserve"> </w:t>
      </w:r>
      <w:r>
        <w:t>and</w:t>
      </w:r>
      <w:r w:rsidR="001A1F90">
        <w:t xml:space="preserve"> </w:t>
      </w:r>
      <w:r>
        <w:t>continues</w:t>
      </w:r>
      <w:r w:rsidR="001A1F90">
        <w:t xml:space="preserve"> </w:t>
      </w:r>
      <w:r>
        <w:t>to</w:t>
      </w:r>
      <w:r w:rsidR="001A1F90">
        <w:t xml:space="preserve"> </w:t>
      </w:r>
      <w:r>
        <w:t>participate</w:t>
      </w:r>
      <w:r w:rsidR="001A1F90">
        <w:t xml:space="preserve"> </w:t>
      </w:r>
      <w:r>
        <w:t>in</w:t>
      </w:r>
      <w:r w:rsidR="001A1F90">
        <w:t xml:space="preserve"> </w:t>
      </w:r>
      <w:r>
        <w:t>his</w:t>
      </w:r>
      <w:r w:rsidR="001A1F90">
        <w:t xml:space="preserve"> </w:t>
      </w:r>
      <w:r>
        <w:t>treatment</w:t>
      </w:r>
      <w:r w:rsidR="001A1F90">
        <w:t xml:space="preserve"> </w:t>
      </w:r>
      <w:r>
        <w:t>maintenance</w:t>
      </w:r>
      <w:r w:rsidR="001A1F90">
        <w:t xml:space="preserve"> </w:t>
      </w:r>
      <w:r>
        <w:t>program.</w:t>
      </w:r>
    </w:p>
    <w:p w14:paraId="31C928D2" w14:textId="0C7F3E43" w:rsidR="004946F1" w:rsidRDefault="004946F1" w:rsidP="00BD612C">
      <w:pPr>
        <w:pStyle w:val="DHHSbody"/>
      </w:pPr>
      <w:r>
        <w:t>This</w:t>
      </w:r>
      <w:r w:rsidR="001A1F90">
        <w:t xml:space="preserve"> </w:t>
      </w:r>
      <w:r>
        <w:t>case</w:t>
      </w:r>
      <w:r w:rsidR="001A1F90">
        <w:t xml:space="preserve"> </w:t>
      </w:r>
      <w:r>
        <w:t>has</w:t>
      </w:r>
      <w:r w:rsidR="001A1F90">
        <w:t xml:space="preserve"> </w:t>
      </w:r>
      <w:r>
        <w:t>had</w:t>
      </w:r>
      <w:r w:rsidR="001A1F90">
        <w:t xml:space="preserve"> </w:t>
      </w:r>
      <w:r>
        <w:t>a</w:t>
      </w:r>
      <w:r w:rsidR="001A1F90">
        <w:t xml:space="preserve"> </w:t>
      </w:r>
      <w:r>
        <w:t>successful</w:t>
      </w:r>
      <w:r w:rsidR="001A1F90">
        <w:t xml:space="preserve"> </w:t>
      </w:r>
      <w:r>
        <w:t>outcome</w:t>
      </w:r>
      <w:r w:rsidR="001A1F90">
        <w:t xml:space="preserve"> </w:t>
      </w:r>
      <w:r>
        <w:t>in</w:t>
      </w:r>
      <w:r w:rsidR="001A1F90">
        <w:t xml:space="preserve"> </w:t>
      </w:r>
      <w:r>
        <w:t>the</w:t>
      </w:r>
      <w:r w:rsidR="001A1F90">
        <w:t xml:space="preserve"> </w:t>
      </w:r>
      <w:r>
        <w:t>sense</w:t>
      </w:r>
      <w:r w:rsidR="001A1F90">
        <w:t xml:space="preserve"> </w:t>
      </w:r>
      <w:r>
        <w:t>that</w:t>
      </w:r>
      <w:r w:rsidR="001A1F90">
        <w:t xml:space="preserve"> </w:t>
      </w:r>
      <w:r>
        <w:t>he</w:t>
      </w:r>
      <w:r w:rsidR="001A1F90">
        <w:t xml:space="preserve"> </w:t>
      </w:r>
      <w:r>
        <w:t>moved</w:t>
      </w:r>
      <w:r w:rsidR="001A1F90">
        <w:t xml:space="preserve"> </w:t>
      </w:r>
      <w:r>
        <w:t>to</w:t>
      </w:r>
      <w:r w:rsidR="001A1F90">
        <w:t xml:space="preserve"> </w:t>
      </w:r>
      <w:r>
        <w:t>a</w:t>
      </w:r>
      <w:r w:rsidR="001A1F90">
        <w:t xml:space="preserve"> </w:t>
      </w:r>
      <w:r>
        <w:t>far</w:t>
      </w:r>
      <w:r w:rsidR="001A1F90">
        <w:t xml:space="preserve"> </w:t>
      </w:r>
      <w:r>
        <w:t>less</w:t>
      </w:r>
      <w:r w:rsidR="001A1F90">
        <w:t xml:space="preserve"> </w:t>
      </w:r>
      <w:r>
        <w:t>restrictive</w:t>
      </w:r>
      <w:r w:rsidR="001A1F90">
        <w:t xml:space="preserve"> </w:t>
      </w:r>
      <w:r>
        <w:t>environment</w:t>
      </w:r>
      <w:r w:rsidR="001A1F90">
        <w:t xml:space="preserve"> </w:t>
      </w:r>
      <w:r>
        <w:t>and</w:t>
      </w:r>
      <w:r w:rsidR="001A1F90">
        <w:t xml:space="preserve"> </w:t>
      </w:r>
      <w:r>
        <w:t>maintained</w:t>
      </w:r>
      <w:r w:rsidR="001A1F90">
        <w:t xml:space="preserve"> </w:t>
      </w:r>
      <w:r>
        <w:t>this</w:t>
      </w:r>
      <w:r w:rsidR="001A1F90">
        <w:t xml:space="preserve"> </w:t>
      </w:r>
      <w:r>
        <w:t>community-based</w:t>
      </w:r>
      <w:r w:rsidR="001A1F90">
        <w:t xml:space="preserve"> </w:t>
      </w:r>
      <w:r>
        <w:t>placement.</w:t>
      </w:r>
      <w:r w:rsidR="001A1F90">
        <w:t xml:space="preserve"> </w:t>
      </w:r>
      <w:r>
        <w:t>He</w:t>
      </w:r>
      <w:r w:rsidR="001A1F90">
        <w:t xml:space="preserve"> </w:t>
      </w:r>
      <w:r>
        <w:t>engages</w:t>
      </w:r>
      <w:r w:rsidR="001A1F90">
        <w:t xml:space="preserve"> </w:t>
      </w:r>
      <w:r>
        <w:t>in</w:t>
      </w:r>
      <w:r w:rsidR="001A1F90">
        <w:t xml:space="preserve"> </w:t>
      </w:r>
      <w:r>
        <w:t>meaningful</w:t>
      </w:r>
      <w:r w:rsidR="001A1F90">
        <w:t xml:space="preserve"> </w:t>
      </w:r>
      <w:r>
        <w:t>daytime</w:t>
      </w:r>
      <w:r w:rsidR="001A1F90">
        <w:t xml:space="preserve"> </w:t>
      </w:r>
      <w:r>
        <w:t>activities,</w:t>
      </w:r>
      <w:r w:rsidR="001A1F90">
        <w:t xml:space="preserve"> </w:t>
      </w:r>
      <w:r>
        <w:t>undertakes</w:t>
      </w:r>
      <w:r w:rsidR="001A1F90">
        <w:t xml:space="preserve"> </w:t>
      </w:r>
      <w:r>
        <w:t>periods</w:t>
      </w:r>
      <w:r w:rsidR="001A1F90">
        <w:t xml:space="preserve"> </w:t>
      </w:r>
      <w:r>
        <w:t>of</w:t>
      </w:r>
      <w:r w:rsidR="001A1F90">
        <w:t xml:space="preserve"> </w:t>
      </w:r>
      <w:r>
        <w:t>unsupervised</w:t>
      </w:r>
      <w:r w:rsidR="001A1F90">
        <w:t xml:space="preserve"> </w:t>
      </w:r>
      <w:r>
        <w:t>community</w:t>
      </w:r>
      <w:r w:rsidR="001A1F90">
        <w:t xml:space="preserve"> </w:t>
      </w:r>
      <w:r>
        <w:t>access</w:t>
      </w:r>
      <w:r w:rsidR="001A1F90">
        <w:t xml:space="preserve"> </w:t>
      </w:r>
      <w:r>
        <w:t>and</w:t>
      </w:r>
      <w:r w:rsidR="001A1F90">
        <w:t xml:space="preserve"> </w:t>
      </w:r>
      <w:r>
        <w:t>regularly</w:t>
      </w:r>
      <w:r w:rsidR="001A1F90">
        <w:t xml:space="preserve"> </w:t>
      </w:r>
      <w:r>
        <w:t>stays</w:t>
      </w:r>
      <w:r w:rsidR="001A1F90">
        <w:t xml:space="preserve"> </w:t>
      </w:r>
      <w:r>
        <w:t>with</w:t>
      </w:r>
      <w:r w:rsidR="001A1F90">
        <w:t xml:space="preserve"> </w:t>
      </w:r>
      <w:r>
        <w:t>family</w:t>
      </w:r>
      <w:r w:rsidR="001A1F90">
        <w:t xml:space="preserve"> </w:t>
      </w:r>
      <w:r>
        <w:t>members.</w:t>
      </w:r>
      <w:r w:rsidR="001A1F90">
        <w:t xml:space="preserve"> </w:t>
      </w:r>
      <w:r>
        <w:t>He</w:t>
      </w:r>
      <w:r w:rsidR="001A1F90">
        <w:t xml:space="preserve"> </w:t>
      </w:r>
      <w:r>
        <w:t>underwent</w:t>
      </w:r>
      <w:r w:rsidR="001A1F90">
        <w:t xml:space="preserve"> </w:t>
      </w:r>
      <w:r>
        <w:t>an</w:t>
      </w:r>
      <w:r w:rsidR="001A1F90">
        <w:t xml:space="preserve"> </w:t>
      </w:r>
      <w:r>
        <w:t>intensive</w:t>
      </w:r>
      <w:r w:rsidR="001A1F90">
        <w:t xml:space="preserve"> </w:t>
      </w:r>
      <w:r>
        <w:t>modified</w:t>
      </w:r>
      <w:r w:rsidR="001A1F90">
        <w:t xml:space="preserve"> </w:t>
      </w:r>
      <w:r>
        <w:t>CBT-based</w:t>
      </w:r>
      <w:r w:rsidR="001A1F90">
        <w:t xml:space="preserve"> </w:t>
      </w:r>
      <w:r>
        <w:t>sex</w:t>
      </w:r>
      <w:r w:rsidR="001A1F90">
        <w:t xml:space="preserve"> </w:t>
      </w:r>
      <w:r>
        <w:t>offender</w:t>
      </w:r>
      <w:r w:rsidR="001A1F90">
        <w:t xml:space="preserve"> </w:t>
      </w:r>
      <w:r>
        <w:t>treatment</w:t>
      </w:r>
      <w:r w:rsidR="001A1F90">
        <w:t xml:space="preserve"> </w:t>
      </w:r>
      <w:r>
        <w:t>program</w:t>
      </w:r>
      <w:r w:rsidR="001A1F90">
        <w:t xml:space="preserve"> </w:t>
      </w:r>
      <w:r>
        <w:t>over</w:t>
      </w:r>
      <w:r w:rsidR="001A1F90">
        <w:t xml:space="preserve"> </w:t>
      </w:r>
      <w:r>
        <w:t>a</w:t>
      </w:r>
      <w:r w:rsidR="001A1F90">
        <w:t xml:space="preserve"> </w:t>
      </w:r>
      <w:r>
        <w:t>period</w:t>
      </w:r>
      <w:r w:rsidR="001A1F90">
        <w:t xml:space="preserve"> </w:t>
      </w:r>
      <w:r>
        <w:t>of</w:t>
      </w:r>
      <w:r w:rsidR="001A1F90">
        <w:t xml:space="preserve"> </w:t>
      </w:r>
      <w:r>
        <w:t>approximately</w:t>
      </w:r>
      <w:r w:rsidR="001A1F90">
        <w:t xml:space="preserve"> </w:t>
      </w:r>
      <w:r>
        <w:t>five</w:t>
      </w:r>
      <w:r w:rsidR="00BA327A">
        <w:t xml:space="preserve"> </w:t>
      </w:r>
      <w:r>
        <w:t>years</w:t>
      </w:r>
      <w:r w:rsidR="00BA327A">
        <w:t>,</w:t>
      </w:r>
      <w:r w:rsidR="001A1F90">
        <w:t xml:space="preserve"> </w:t>
      </w:r>
      <w:r>
        <w:t>and</w:t>
      </w:r>
      <w:r w:rsidR="001A1F90">
        <w:t xml:space="preserve"> </w:t>
      </w:r>
      <w:r>
        <w:t>the</w:t>
      </w:r>
      <w:r w:rsidR="001A1F90">
        <w:t xml:space="preserve"> </w:t>
      </w:r>
      <w:r>
        <w:t>subsequent</w:t>
      </w:r>
      <w:r w:rsidR="001A1F90">
        <w:t xml:space="preserve"> </w:t>
      </w:r>
      <w:r>
        <w:t>relapse</w:t>
      </w:r>
      <w:r w:rsidR="001A1F90">
        <w:t xml:space="preserve"> </w:t>
      </w:r>
      <w:r>
        <w:t>prevention</w:t>
      </w:r>
      <w:r w:rsidR="001A1F90">
        <w:t xml:space="preserve"> </w:t>
      </w:r>
      <w:r>
        <w:t>plan</w:t>
      </w:r>
      <w:r w:rsidR="001A1F90">
        <w:t xml:space="preserve"> </w:t>
      </w:r>
      <w:r>
        <w:t>continues</w:t>
      </w:r>
      <w:r w:rsidR="001A1F90">
        <w:t xml:space="preserve"> </w:t>
      </w:r>
      <w:r>
        <w:t>to</w:t>
      </w:r>
      <w:r w:rsidR="001A1F90">
        <w:t xml:space="preserve"> </w:t>
      </w:r>
      <w:r>
        <w:t>be</w:t>
      </w:r>
      <w:r w:rsidR="001A1F90">
        <w:t xml:space="preserve"> </w:t>
      </w:r>
      <w:r>
        <w:t>maintained.</w:t>
      </w:r>
      <w:r w:rsidR="001A1F90">
        <w:t xml:space="preserve"> </w:t>
      </w:r>
      <w:r>
        <w:t>While</w:t>
      </w:r>
      <w:r w:rsidR="001A1F90">
        <w:t xml:space="preserve"> </w:t>
      </w:r>
      <w:r>
        <w:t>the</w:t>
      </w:r>
      <w:r w:rsidR="001A1F90">
        <w:t xml:space="preserve"> </w:t>
      </w:r>
      <w:r>
        <w:t>long-term</w:t>
      </w:r>
      <w:r w:rsidR="001A1F90">
        <w:t xml:space="preserve"> </w:t>
      </w:r>
      <w:r>
        <w:t>prescription</w:t>
      </w:r>
      <w:r w:rsidR="001A1F90">
        <w:t xml:space="preserve"> </w:t>
      </w:r>
      <w:r>
        <w:t>of</w:t>
      </w:r>
      <w:r w:rsidR="001A1F90">
        <w:t xml:space="preserve"> </w:t>
      </w:r>
      <w:r>
        <w:t>anti-libidinal</w:t>
      </w:r>
      <w:r w:rsidR="001A1F90">
        <w:t xml:space="preserve"> </w:t>
      </w:r>
      <w:r>
        <w:t>medication</w:t>
      </w:r>
      <w:r w:rsidR="001A1F90">
        <w:t xml:space="preserve"> </w:t>
      </w:r>
      <w:r>
        <w:t>in</w:t>
      </w:r>
      <w:r w:rsidR="001A1F90">
        <w:t xml:space="preserve"> </w:t>
      </w:r>
      <w:r>
        <w:t>conjunction</w:t>
      </w:r>
      <w:r w:rsidR="001A1F90">
        <w:t xml:space="preserve"> </w:t>
      </w:r>
      <w:r>
        <w:t>with</w:t>
      </w:r>
      <w:r w:rsidR="001A1F90">
        <w:t xml:space="preserve"> </w:t>
      </w:r>
      <w:r>
        <w:t>psychological</w:t>
      </w:r>
      <w:r w:rsidR="001A1F90">
        <w:t xml:space="preserve"> </w:t>
      </w:r>
      <w:r>
        <w:t>treatment</w:t>
      </w:r>
      <w:r w:rsidR="001A1F90">
        <w:t xml:space="preserve"> </w:t>
      </w:r>
      <w:r>
        <w:t>has</w:t>
      </w:r>
      <w:r w:rsidR="001A1F90">
        <w:t xml:space="preserve"> </w:t>
      </w:r>
      <w:r>
        <w:t>been</w:t>
      </w:r>
      <w:r w:rsidR="001A1F90">
        <w:t xml:space="preserve"> </w:t>
      </w:r>
      <w:r>
        <w:t>of</w:t>
      </w:r>
      <w:r w:rsidR="001A1F90">
        <w:t xml:space="preserve"> </w:t>
      </w:r>
      <w:r>
        <w:t>significant</w:t>
      </w:r>
      <w:r w:rsidR="001A1F90">
        <w:t xml:space="preserve"> </w:t>
      </w:r>
      <w:r>
        <w:t>positive</w:t>
      </w:r>
      <w:r w:rsidR="001A1F90">
        <w:t xml:space="preserve"> </w:t>
      </w:r>
      <w:r>
        <w:t>benefit,</w:t>
      </w:r>
      <w:r w:rsidR="001A1F90">
        <w:t xml:space="preserve"> </w:t>
      </w:r>
      <w:r>
        <w:t>the</w:t>
      </w:r>
      <w:r w:rsidR="001A1F90">
        <w:t xml:space="preserve"> </w:t>
      </w:r>
      <w:r>
        <w:t>longer</w:t>
      </w:r>
      <w:r w:rsidR="00BA327A">
        <w:t xml:space="preserve"> </w:t>
      </w:r>
      <w:r>
        <w:t>term</w:t>
      </w:r>
      <w:r w:rsidR="001A1F90">
        <w:t xml:space="preserve"> </w:t>
      </w:r>
      <w:r>
        <w:t>health</w:t>
      </w:r>
      <w:r w:rsidR="001A1F90">
        <w:t xml:space="preserve"> </w:t>
      </w:r>
      <w:r>
        <w:t>outcomes</w:t>
      </w:r>
      <w:r w:rsidR="001A1F90">
        <w:t xml:space="preserve"> </w:t>
      </w:r>
      <w:r>
        <w:t>and</w:t>
      </w:r>
      <w:r w:rsidR="001A1F90">
        <w:t xml:space="preserve"> </w:t>
      </w:r>
      <w:r>
        <w:t>lack</w:t>
      </w:r>
      <w:r w:rsidR="001A1F90">
        <w:t xml:space="preserve"> </w:t>
      </w:r>
      <w:r>
        <w:t>of</w:t>
      </w:r>
      <w:r w:rsidR="001A1F90">
        <w:t xml:space="preserve"> </w:t>
      </w:r>
      <w:r>
        <w:t>monitoring</w:t>
      </w:r>
      <w:r w:rsidR="001A1F90">
        <w:t xml:space="preserve"> </w:t>
      </w:r>
      <w:r>
        <w:t>of</w:t>
      </w:r>
      <w:r w:rsidR="001A1F90">
        <w:t xml:space="preserve"> </w:t>
      </w:r>
      <w:r>
        <w:t>his</w:t>
      </w:r>
      <w:r w:rsidR="001A1F90">
        <w:t xml:space="preserve"> </w:t>
      </w:r>
      <w:r>
        <w:t>health</w:t>
      </w:r>
      <w:r w:rsidR="001A1F90">
        <w:t xml:space="preserve"> </w:t>
      </w:r>
      <w:r>
        <w:t>status</w:t>
      </w:r>
      <w:r w:rsidR="001A1F90">
        <w:t xml:space="preserve"> </w:t>
      </w:r>
      <w:r>
        <w:t>in</w:t>
      </w:r>
      <w:r w:rsidR="001A1F90">
        <w:t xml:space="preserve"> </w:t>
      </w:r>
      <w:r>
        <w:t>earlier</w:t>
      </w:r>
      <w:r w:rsidR="001A1F90">
        <w:t xml:space="preserve"> </w:t>
      </w:r>
      <w:r>
        <w:t>years</w:t>
      </w:r>
      <w:r w:rsidR="001A1F90">
        <w:t xml:space="preserve"> </w:t>
      </w:r>
      <w:r>
        <w:t>has</w:t>
      </w:r>
      <w:r w:rsidR="001A1F90">
        <w:t xml:space="preserve"> </w:t>
      </w:r>
      <w:r>
        <w:t>contributed</w:t>
      </w:r>
      <w:r w:rsidR="001A1F90">
        <w:t xml:space="preserve"> </w:t>
      </w:r>
      <w:r>
        <w:t>to</w:t>
      </w:r>
      <w:r w:rsidR="001A1F90">
        <w:t xml:space="preserve"> </w:t>
      </w:r>
      <w:r>
        <w:t>significant</w:t>
      </w:r>
      <w:r w:rsidR="001A1F90">
        <w:t xml:space="preserve"> </w:t>
      </w:r>
      <w:r>
        <w:t>negative</w:t>
      </w:r>
      <w:r w:rsidR="001A1F90">
        <w:t xml:space="preserve"> </w:t>
      </w:r>
      <w:r>
        <w:t>outcomes</w:t>
      </w:r>
      <w:r w:rsidR="001A1F90">
        <w:t xml:space="preserve"> </w:t>
      </w:r>
      <w:r>
        <w:t>for</w:t>
      </w:r>
      <w:r w:rsidR="001A1F90">
        <w:t xml:space="preserve"> </w:t>
      </w:r>
      <w:r>
        <w:t>him.</w:t>
      </w:r>
      <w:r w:rsidR="001A1F90">
        <w:t xml:space="preserve"> </w:t>
      </w:r>
      <w:r>
        <w:t>Over</w:t>
      </w:r>
      <w:r w:rsidR="001A1F90">
        <w:t xml:space="preserve"> </w:t>
      </w:r>
      <w:r>
        <w:t>recent</w:t>
      </w:r>
      <w:r w:rsidR="001A1F90">
        <w:t xml:space="preserve"> </w:t>
      </w:r>
      <w:r>
        <w:t>years</w:t>
      </w:r>
      <w:r w:rsidR="001A1F90">
        <w:t xml:space="preserve"> </w:t>
      </w:r>
      <w:r>
        <w:t>there</w:t>
      </w:r>
      <w:r w:rsidR="001A1F90">
        <w:t xml:space="preserve"> </w:t>
      </w:r>
      <w:r>
        <w:t>have</w:t>
      </w:r>
      <w:r w:rsidR="001A1F90">
        <w:t xml:space="preserve"> </w:t>
      </w:r>
      <w:r>
        <w:t>been</w:t>
      </w:r>
      <w:r w:rsidR="001A1F90">
        <w:t xml:space="preserve"> </w:t>
      </w:r>
      <w:r>
        <w:t>regular</w:t>
      </w:r>
      <w:r w:rsidR="001A1F90">
        <w:t xml:space="preserve"> </w:t>
      </w:r>
      <w:r>
        <w:t>informed</w:t>
      </w:r>
      <w:r w:rsidR="001A1F90">
        <w:t xml:space="preserve"> </w:t>
      </w:r>
      <w:r>
        <w:t>consent</w:t>
      </w:r>
      <w:r w:rsidR="001A1F90">
        <w:t xml:space="preserve"> </w:t>
      </w:r>
      <w:r>
        <w:t>processes</w:t>
      </w:r>
      <w:r w:rsidR="001A1F90">
        <w:t xml:space="preserve"> </w:t>
      </w:r>
      <w:r>
        <w:t>undertaken</w:t>
      </w:r>
      <w:r w:rsidR="001A1F90">
        <w:t xml:space="preserve"> </w:t>
      </w:r>
      <w:r>
        <w:t>with</w:t>
      </w:r>
      <w:r w:rsidR="001A1F90">
        <w:t xml:space="preserve"> </w:t>
      </w:r>
      <w:r>
        <w:t>him;</w:t>
      </w:r>
      <w:r w:rsidR="001A1F90">
        <w:t xml:space="preserve"> </w:t>
      </w:r>
      <w:r>
        <w:t>however,</w:t>
      </w:r>
      <w:r w:rsidR="001A1F90">
        <w:t xml:space="preserve"> </w:t>
      </w:r>
      <w:r>
        <w:t>he</w:t>
      </w:r>
      <w:r w:rsidR="001A1F90">
        <w:t xml:space="preserve"> </w:t>
      </w:r>
      <w:r>
        <w:t>did</w:t>
      </w:r>
      <w:r w:rsidR="001A1F90">
        <w:t xml:space="preserve"> </w:t>
      </w:r>
      <w:r>
        <w:t>not</w:t>
      </w:r>
      <w:r w:rsidR="001A1F90">
        <w:t xml:space="preserve"> </w:t>
      </w:r>
      <w:r>
        <w:t>pass</w:t>
      </w:r>
      <w:r w:rsidR="001A1F90">
        <w:t xml:space="preserve"> </w:t>
      </w:r>
      <w:r>
        <w:t>an</w:t>
      </w:r>
      <w:r w:rsidR="001A1F90">
        <w:t xml:space="preserve"> </w:t>
      </w:r>
      <w:r>
        <w:t>appropriate</w:t>
      </w:r>
      <w:r w:rsidR="001A1F90">
        <w:t xml:space="preserve"> </w:t>
      </w:r>
      <w:r>
        <w:t>informed</w:t>
      </w:r>
      <w:r w:rsidR="001A1F90">
        <w:t xml:space="preserve"> </w:t>
      </w:r>
      <w:r>
        <w:t>consent</w:t>
      </w:r>
      <w:r w:rsidR="001A1F90">
        <w:t xml:space="preserve"> </w:t>
      </w:r>
      <w:r>
        <w:t>oral</w:t>
      </w:r>
      <w:r w:rsidR="001A1F90">
        <w:t xml:space="preserve"> </w:t>
      </w:r>
      <w:r>
        <w:t>checklist</w:t>
      </w:r>
      <w:r w:rsidR="001A1F90">
        <w:t xml:space="preserve"> </w:t>
      </w:r>
      <w:r>
        <w:t>process</w:t>
      </w:r>
      <w:r w:rsidR="001A1F90">
        <w:t xml:space="preserve"> </w:t>
      </w:r>
      <w:r>
        <w:t>for</w:t>
      </w:r>
      <w:r w:rsidR="001A1F90">
        <w:t xml:space="preserve"> </w:t>
      </w:r>
      <w:r>
        <w:t>a</w:t>
      </w:r>
      <w:r w:rsidR="001A1F90">
        <w:t xml:space="preserve"> </w:t>
      </w:r>
      <w:r>
        <w:t>research</w:t>
      </w:r>
      <w:r w:rsidR="001A1F90">
        <w:t xml:space="preserve"> </w:t>
      </w:r>
      <w:r>
        <w:t>study.</w:t>
      </w:r>
    </w:p>
    <w:p w14:paraId="0D2FC6A6" w14:textId="56BFC85D" w:rsidR="004946F1" w:rsidRDefault="004946F1" w:rsidP="009B0E14">
      <w:pPr>
        <w:pStyle w:val="Heading2"/>
      </w:pPr>
      <w:bookmarkStart w:id="24" w:name="_Toc20225612"/>
      <w:r>
        <w:t>Case</w:t>
      </w:r>
      <w:r w:rsidR="001A1F90">
        <w:t xml:space="preserve"> </w:t>
      </w:r>
      <w:r>
        <w:t>6</w:t>
      </w:r>
      <w:r w:rsidR="00301CA9">
        <w:t>:</w:t>
      </w:r>
      <w:r w:rsidR="001A1F90">
        <w:t xml:space="preserve"> Queensland</w:t>
      </w:r>
      <w:bookmarkEnd w:id="24"/>
    </w:p>
    <w:p w14:paraId="7CE49748" w14:textId="5EC3BAD8" w:rsidR="004946F1" w:rsidRDefault="004946F1" w:rsidP="00BD612C">
      <w:pPr>
        <w:pStyle w:val="DHHSbody"/>
      </w:pPr>
      <w:r>
        <w:t>John</w:t>
      </w:r>
      <w:r w:rsidR="001A1F90">
        <w:t xml:space="preserve"> </w:t>
      </w:r>
      <w:r w:rsidR="00A339DD">
        <w:t xml:space="preserve">is </w:t>
      </w:r>
      <w:r>
        <w:t>a</w:t>
      </w:r>
      <w:r w:rsidR="001A1F90">
        <w:t xml:space="preserve"> </w:t>
      </w:r>
      <w:r>
        <w:t>30</w:t>
      </w:r>
      <w:r w:rsidR="002B53B9">
        <w:t>-</w:t>
      </w:r>
      <w:r>
        <w:t>year</w:t>
      </w:r>
      <w:r w:rsidR="002B53B9">
        <w:t>-</w:t>
      </w:r>
      <w:r>
        <w:t>old,</w:t>
      </w:r>
      <w:r w:rsidR="001A1F90">
        <w:t xml:space="preserve"> </w:t>
      </w:r>
      <w:r>
        <w:t>single</w:t>
      </w:r>
      <w:r w:rsidR="001A1F90">
        <w:t xml:space="preserve"> </w:t>
      </w:r>
      <w:r>
        <w:t>Aboriginal</w:t>
      </w:r>
      <w:r w:rsidR="001A1F90">
        <w:t xml:space="preserve"> </w:t>
      </w:r>
      <w:r>
        <w:t>man</w:t>
      </w:r>
      <w:r w:rsidR="001A1F90">
        <w:t xml:space="preserve"> </w:t>
      </w:r>
      <w:r>
        <w:t>with</w:t>
      </w:r>
      <w:r w:rsidR="001A1F90">
        <w:t xml:space="preserve"> </w:t>
      </w:r>
      <w:r>
        <w:t>mild</w:t>
      </w:r>
      <w:r w:rsidR="001A1F90">
        <w:t xml:space="preserve"> </w:t>
      </w:r>
      <w:r>
        <w:t>intellectual</w:t>
      </w:r>
      <w:r w:rsidR="001A1F90">
        <w:t xml:space="preserve"> </w:t>
      </w:r>
      <w:r>
        <w:t>impairment.</w:t>
      </w:r>
      <w:r w:rsidR="001A1F90">
        <w:t xml:space="preserve"> </w:t>
      </w:r>
      <w:r>
        <w:t>He</w:t>
      </w:r>
      <w:r w:rsidR="001A1F90">
        <w:t xml:space="preserve"> </w:t>
      </w:r>
      <w:r>
        <w:t>was</w:t>
      </w:r>
      <w:r w:rsidR="001A1F90">
        <w:t xml:space="preserve"> </w:t>
      </w:r>
      <w:r>
        <w:t>referred</w:t>
      </w:r>
      <w:r w:rsidR="001A1F90">
        <w:t xml:space="preserve"> </w:t>
      </w:r>
      <w:r>
        <w:t>for</w:t>
      </w:r>
      <w:r w:rsidR="001A1F90">
        <w:t xml:space="preserve"> </w:t>
      </w:r>
      <w:r>
        <w:t>a</w:t>
      </w:r>
      <w:r w:rsidR="001A1F90">
        <w:t xml:space="preserve"> </w:t>
      </w:r>
      <w:r>
        <w:t>forensic</w:t>
      </w:r>
      <w:r w:rsidR="001A1F90">
        <w:t xml:space="preserve"> </w:t>
      </w:r>
      <w:r>
        <w:t>opinion</w:t>
      </w:r>
      <w:r w:rsidR="001A1F90">
        <w:t xml:space="preserve"> </w:t>
      </w:r>
      <w:r>
        <w:t>in</w:t>
      </w:r>
      <w:r w:rsidR="001A1F90">
        <w:t xml:space="preserve"> </w:t>
      </w:r>
      <w:r>
        <w:t>May</w:t>
      </w:r>
      <w:r w:rsidR="001A1F90">
        <w:t xml:space="preserve"> </w:t>
      </w:r>
      <w:r>
        <w:t>2009.</w:t>
      </w:r>
      <w:r w:rsidR="001A1F90">
        <w:t xml:space="preserve"> </w:t>
      </w:r>
      <w:r>
        <w:t>He</w:t>
      </w:r>
      <w:r w:rsidR="001A1F90">
        <w:t xml:space="preserve"> </w:t>
      </w:r>
      <w:r>
        <w:t>had</w:t>
      </w:r>
      <w:r w:rsidR="001A1F90">
        <w:t xml:space="preserve"> </w:t>
      </w:r>
      <w:r>
        <w:t>been</w:t>
      </w:r>
      <w:r w:rsidR="001A1F90">
        <w:t xml:space="preserve"> </w:t>
      </w:r>
      <w:r>
        <w:t>on</w:t>
      </w:r>
      <w:r w:rsidR="001A1F90">
        <w:t xml:space="preserve"> </w:t>
      </w:r>
      <w:r>
        <w:t>a</w:t>
      </w:r>
      <w:r w:rsidR="001A1F90">
        <w:t xml:space="preserve"> </w:t>
      </w:r>
      <w:r w:rsidR="00461D3E">
        <w:t>f</w:t>
      </w:r>
      <w:r>
        <w:t>orensic</w:t>
      </w:r>
      <w:r w:rsidR="001A1F90">
        <w:t xml:space="preserve"> </w:t>
      </w:r>
      <w:r w:rsidR="00461D3E">
        <w:t>o</w:t>
      </w:r>
      <w:r>
        <w:t>rder</w:t>
      </w:r>
      <w:r w:rsidR="001A1F90">
        <w:t xml:space="preserve"> </w:t>
      </w:r>
      <w:r>
        <w:t>under</w:t>
      </w:r>
      <w:r w:rsidR="001A1F90">
        <w:t xml:space="preserve"> </w:t>
      </w:r>
      <w:r>
        <w:t>the</w:t>
      </w:r>
      <w:r w:rsidR="001A1F90">
        <w:t xml:space="preserve"> </w:t>
      </w:r>
      <w:r w:rsidRPr="004B4157">
        <w:rPr>
          <w:rStyle w:val="Emphasis"/>
        </w:rPr>
        <w:t>Mental</w:t>
      </w:r>
      <w:r w:rsidR="001A1F90">
        <w:rPr>
          <w:rStyle w:val="Emphasis"/>
        </w:rPr>
        <w:t xml:space="preserve"> </w:t>
      </w:r>
      <w:r w:rsidRPr="004B4157">
        <w:rPr>
          <w:rStyle w:val="Emphasis"/>
        </w:rPr>
        <w:t>Health</w:t>
      </w:r>
      <w:r w:rsidR="001A1F90">
        <w:rPr>
          <w:rStyle w:val="Emphasis"/>
        </w:rPr>
        <w:t xml:space="preserve"> </w:t>
      </w:r>
      <w:r w:rsidRPr="004B4157">
        <w:rPr>
          <w:rStyle w:val="Emphasis"/>
        </w:rPr>
        <w:t>Act</w:t>
      </w:r>
      <w:r w:rsidR="001A1F90">
        <w:rPr>
          <w:rStyle w:val="Emphasis"/>
        </w:rPr>
        <w:t xml:space="preserve"> </w:t>
      </w:r>
      <w:r w:rsidRPr="004B4157">
        <w:rPr>
          <w:rStyle w:val="Emphasis"/>
        </w:rPr>
        <w:t>2000</w:t>
      </w:r>
      <w:r w:rsidR="001A1F90">
        <w:t xml:space="preserve"> </w:t>
      </w:r>
      <w:r w:rsidR="00461D3E">
        <w:t>(</w:t>
      </w:r>
      <w:r w:rsidR="00461D3E" w:rsidRPr="00CA3986">
        <w:rPr>
          <w:rStyle w:val="Emphasis"/>
          <w:i w:val="0"/>
          <w:iCs w:val="0"/>
        </w:rPr>
        <w:t>Qld</w:t>
      </w:r>
      <w:r w:rsidR="00461D3E">
        <w:rPr>
          <w:rStyle w:val="Emphasis"/>
          <w:i w:val="0"/>
          <w:iCs w:val="0"/>
        </w:rPr>
        <w:t>)</w:t>
      </w:r>
      <w:r w:rsidR="00461D3E">
        <w:rPr>
          <w:rStyle w:val="Emphasis"/>
        </w:rPr>
        <w:t xml:space="preserve"> </w:t>
      </w:r>
      <w:r>
        <w:t>since</w:t>
      </w:r>
      <w:r w:rsidR="001A1F90">
        <w:t xml:space="preserve"> </w:t>
      </w:r>
      <w:r>
        <w:t>April</w:t>
      </w:r>
      <w:r w:rsidR="001A1F90">
        <w:t xml:space="preserve"> </w:t>
      </w:r>
      <w:r>
        <w:t>that</w:t>
      </w:r>
      <w:r w:rsidR="001A1F90">
        <w:t xml:space="preserve"> </w:t>
      </w:r>
      <w:r>
        <w:t>year,</w:t>
      </w:r>
      <w:r w:rsidR="001A1F90">
        <w:t xml:space="preserve"> </w:t>
      </w:r>
      <w:r>
        <w:t>on</w:t>
      </w:r>
      <w:r w:rsidR="001A1F90">
        <w:t xml:space="preserve"> </w:t>
      </w:r>
      <w:r>
        <w:t>the</w:t>
      </w:r>
      <w:r w:rsidR="001A1F90">
        <w:t xml:space="preserve"> </w:t>
      </w:r>
      <w:r>
        <w:t>grounds</w:t>
      </w:r>
      <w:r w:rsidR="001A1F90">
        <w:t xml:space="preserve"> </w:t>
      </w:r>
      <w:r>
        <w:t>of</w:t>
      </w:r>
      <w:r w:rsidR="001A1F90">
        <w:t xml:space="preserve"> </w:t>
      </w:r>
      <w:r>
        <w:t>unfitness</w:t>
      </w:r>
      <w:r w:rsidR="001A1F90">
        <w:t xml:space="preserve"> </w:t>
      </w:r>
      <w:r>
        <w:t>to</w:t>
      </w:r>
      <w:r w:rsidR="001A1F90">
        <w:t xml:space="preserve"> </w:t>
      </w:r>
      <w:r>
        <w:t>plead</w:t>
      </w:r>
      <w:r w:rsidR="001A1F90">
        <w:t xml:space="preserve"> </w:t>
      </w:r>
      <w:r>
        <w:t>on</w:t>
      </w:r>
      <w:r w:rsidR="001A1F90">
        <w:t xml:space="preserve"> </w:t>
      </w:r>
      <w:r>
        <w:t>a</w:t>
      </w:r>
      <w:r w:rsidR="001A1F90">
        <w:t xml:space="preserve"> </w:t>
      </w:r>
      <w:r>
        <w:t>2005</w:t>
      </w:r>
      <w:r w:rsidR="001A1F90">
        <w:t xml:space="preserve"> </w:t>
      </w:r>
      <w:r>
        <w:t>charge</w:t>
      </w:r>
      <w:r w:rsidR="001A1F90">
        <w:t xml:space="preserve"> </w:t>
      </w:r>
      <w:r>
        <w:t>of</w:t>
      </w:r>
      <w:r w:rsidR="001A1F90">
        <w:t xml:space="preserve"> </w:t>
      </w:r>
      <w:r>
        <w:t>indecent</w:t>
      </w:r>
      <w:r w:rsidR="001A1F90">
        <w:t xml:space="preserve"> </w:t>
      </w:r>
      <w:r>
        <w:t>dealing</w:t>
      </w:r>
      <w:r w:rsidR="001A1F90">
        <w:t xml:space="preserve"> </w:t>
      </w:r>
      <w:r>
        <w:t>with</w:t>
      </w:r>
      <w:r w:rsidR="001A1F90">
        <w:t xml:space="preserve"> </w:t>
      </w:r>
      <w:r>
        <w:t>an</w:t>
      </w:r>
      <w:r w:rsidR="001A1F90">
        <w:t xml:space="preserve"> </w:t>
      </w:r>
      <w:r>
        <w:t>11</w:t>
      </w:r>
      <w:r w:rsidR="00E42507">
        <w:t>-</w:t>
      </w:r>
      <w:r>
        <w:t>year</w:t>
      </w:r>
      <w:r w:rsidR="00E42507">
        <w:t>-</w:t>
      </w:r>
      <w:r>
        <w:t>old</w:t>
      </w:r>
      <w:r w:rsidR="001A1F90">
        <w:t xml:space="preserve"> </w:t>
      </w:r>
      <w:r>
        <w:t>boy.</w:t>
      </w:r>
      <w:r w:rsidR="001A1F90">
        <w:t xml:space="preserve"> </w:t>
      </w:r>
      <w:r>
        <w:t>This</w:t>
      </w:r>
      <w:r w:rsidR="001A1F90">
        <w:t xml:space="preserve"> </w:t>
      </w:r>
      <w:r>
        <w:t>involved</w:t>
      </w:r>
      <w:r w:rsidR="001A1F90">
        <w:t xml:space="preserve"> </w:t>
      </w:r>
      <w:r>
        <w:t>squeezing</w:t>
      </w:r>
      <w:r w:rsidR="001A1F90">
        <w:t xml:space="preserve"> </w:t>
      </w:r>
      <w:r>
        <w:t>the</w:t>
      </w:r>
      <w:r w:rsidR="001A1F90">
        <w:t xml:space="preserve"> </w:t>
      </w:r>
      <w:r>
        <w:t>covered</w:t>
      </w:r>
      <w:r w:rsidR="001A1F90">
        <w:t xml:space="preserve"> </w:t>
      </w:r>
      <w:r>
        <w:t>genitals</w:t>
      </w:r>
      <w:r w:rsidR="001A1F90">
        <w:t xml:space="preserve"> </w:t>
      </w:r>
      <w:r>
        <w:t>of</w:t>
      </w:r>
      <w:r w:rsidR="001A1F90">
        <w:t xml:space="preserve"> </w:t>
      </w:r>
      <w:r>
        <w:t>the</w:t>
      </w:r>
      <w:r w:rsidR="001A1F90">
        <w:t xml:space="preserve"> </w:t>
      </w:r>
      <w:r>
        <w:t>son</w:t>
      </w:r>
      <w:r w:rsidR="001A1F90">
        <w:t xml:space="preserve"> </w:t>
      </w:r>
      <w:r>
        <w:t>of</w:t>
      </w:r>
      <w:r w:rsidR="001A1F90">
        <w:t xml:space="preserve"> </w:t>
      </w:r>
      <w:r>
        <w:t>his</w:t>
      </w:r>
      <w:r w:rsidR="001A1F90">
        <w:t xml:space="preserve"> </w:t>
      </w:r>
      <w:r>
        <w:t>carer</w:t>
      </w:r>
      <w:r w:rsidR="001A1F90">
        <w:t xml:space="preserve"> </w:t>
      </w:r>
      <w:r>
        <w:t>while</w:t>
      </w:r>
      <w:r w:rsidR="001A1F90">
        <w:t xml:space="preserve"> </w:t>
      </w:r>
      <w:r>
        <w:t>on</w:t>
      </w:r>
      <w:r w:rsidR="001A1F90">
        <w:t xml:space="preserve"> </w:t>
      </w:r>
      <w:r>
        <w:t>an</w:t>
      </w:r>
      <w:r w:rsidR="001A1F90">
        <w:t xml:space="preserve"> </w:t>
      </w:r>
      <w:r>
        <w:t>outing</w:t>
      </w:r>
      <w:r w:rsidR="001A1F90">
        <w:t xml:space="preserve"> </w:t>
      </w:r>
      <w:r>
        <w:t>at</w:t>
      </w:r>
      <w:r w:rsidR="001A1F90">
        <w:t xml:space="preserve"> </w:t>
      </w:r>
      <w:r>
        <w:t>the</w:t>
      </w:r>
      <w:r w:rsidR="001A1F90">
        <w:t xml:space="preserve"> </w:t>
      </w:r>
      <w:r>
        <w:t>beach.</w:t>
      </w:r>
    </w:p>
    <w:p w14:paraId="688CA236" w14:textId="627AD74C" w:rsidR="004946F1" w:rsidRDefault="004946F1" w:rsidP="00BD612C">
      <w:pPr>
        <w:pStyle w:val="DHHSbody"/>
      </w:pPr>
      <w:r>
        <w:t>John</w:t>
      </w:r>
      <w:r w:rsidR="001A1F90">
        <w:t xml:space="preserve"> </w:t>
      </w:r>
      <w:r>
        <w:t>had</w:t>
      </w:r>
      <w:r w:rsidR="001A1F90">
        <w:t xml:space="preserve"> </w:t>
      </w:r>
      <w:r>
        <w:t>a</w:t>
      </w:r>
      <w:r w:rsidR="001A1F90">
        <w:t xml:space="preserve"> </w:t>
      </w:r>
      <w:r>
        <w:t>prior</w:t>
      </w:r>
      <w:r w:rsidR="001A1F90">
        <w:t xml:space="preserve"> </w:t>
      </w:r>
      <w:r>
        <w:t>history</w:t>
      </w:r>
      <w:r w:rsidR="001A1F90">
        <w:t xml:space="preserve"> </w:t>
      </w:r>
      <w:r>
        <w:t>of</w:t>
      </w:r>
      <w:r w:rsidR="001A1F90">
        <w:t xml:space="preserve"> </w:t>
      </w:r>
      <w:r>
        <w:t>sexual</w:t>
      </w:r>
      <w:r w:rsidR="001A1F90">
        <w:t xml:space="preserve"> </w:t>
      </w:r>
      <w:r>
        <w:t>assaults.</w:t>
      </w:r>
      <w:r w:rsidR="001A1F90">
        <w:t xml:space="preserve"> </w:t>
      </w:r>
      <w:r>
        <w:t>His</w:t>
      </w:r>
      <w:r w:rsidR="001A1F90">
        <w:t xml:space="preserve"> </w:t>
      </w:r>
      <w:r>
        <w:t>first</w:t>
      </w:r>
      <w:r w:rsidR="001A1F90">
        <w:t xml:space="preserve"> </w:t>
      </w:r>
      <w:r>
        <w:t>sexual</w:t>
      </w:r>
      <w:r w:rsidR="001A1F90">
        <w:t xml:space="preserve"> </w:t>
      </w:r>
      <w:r>
        <w:t>offence</w:t>
      </w:r>
      <w:r w:rsidR="001A1F90">
        <w:t xml:space="preserve"> </w:t>
      </w:r>
      <w:r w:rsidR="00A339DD">
        <w:t xml:space="preserve">was an </w:t>
      </w:r>
      <w:r>
        <w:t>aggravated</w:t>
      </w:r>
      <w:r w:rsidR="001A1F90">
        <w:t xml:space="preserve"> </w:t>
      </w:r>
      <w:r>
        <w:t>assault</w:t>
      </w:r>
      <w:r w:rsidR="001A1F90">
        <w:t xml:space="preserve"> </w:t>
      </w:r>
      <w:r>
        <w:t>of</w:t>
      </w:r>
      <w:r w:rsidR="001A1F90">
        <w:t xml:space="preserve"> </w:t>
      </w:r>
      <w:r>
        <w:t>a</w:t>
      </w:r>
      <w:r w:rsidR="001A1F90">
        <w:t xml:space="preserve"> </w:t>
      </w:r>
      <w:r>
        <w:t>sexual</w:t>
      </w:r>
      <w:r w:rsidR="001A1F90">
        <w:t xml:space="preserve"> </w:t>
      </w:r>
      <w:r>
        <w:t>nature</w:t>
      </w:r>
      <w:r w:rsidR="001A1F90">
        <w:t xml:space="preserve"> </w:t>
      </w:r>
      <w:r>
        <w:t>involv</w:t>
      </w:r>
      <w:r w:rsidR="00A339DD">
        <w:t>ing</w:t>
      </w:r>
      <w:r w:rsidR="001A1F90">
        <w:t xml:space="preserve"> </w:t>
      </w:r>
      <w:r>
        <w:t>pressing</w:t>
      </w:r>
      <w:r w:rsidR="001A1F90">
        <w:t xml:space="preserve"> </w:t>
      </w:r>
      <w:r>
        <w:t>his</w:t>
      </w:r>
      <w:r w:rsidR="001A1F90">
        <w:t xml:space="preserve"> </w:t>
      </w:r>
      <w:r>
        <w:t>erect</w:t>
      </w:r>
      <w:r w:rsidR="001A1F90">
        <w:t xml:space="preserve"> </w:t>
      </w:r>
      <w:r>
        <w:t>penis</w:t>
      </w:r>
      <w:r w:rsidR="001A1F90">
        <w:t xml:space="preserve"> </w:t>
      </w:r>
      <w:r>
        <w:t>against</w:t>
      </w:r>
      <w:r w:rsidR="001A1F90">
        <w:t xml:space="preserve"> </w:t>
      </w:r>
      <w:r>
        <w:t>the</w:t>
      </w:r>
      <w:r w:rsidR="001A1F90">
        <w:t xml:space="preserve"> </w:t>
      </w:r>
      <w:r>
        <w:t>unclothed</w:t>
      </w:r>
      <w:r w:rsidR="001A1F90">
        <w:t xml:space="preserve"> </w:t>
      </w:r>
      <w:r>
        <w:t>groin</w:t>
      </w:r>
      <w:r w:rsidR="001A1F90">
        <w:t xml:space="preserve"> </w:t>
      </w:r>
      <w:r>
        <w:t>of</w:t>
      </w:r>
      <w:r w:rsidR="001A1F90">
        <w:t xml:space="preserve"> </w:t>
      </w:r>
      <w:r>
        <w:t>a</w:t>
      </w:r>
      <w:r w:rsidR="001A1F90">
        <w:t xml:space="preserve"> </w:t>
      </w:r>
      <w:r>
        <w:t>10</w:t>
      </w:r>
      <w:r w:rsidR="002B53B9">
        <w:t>-</w:t>
      </w:r>
      <w:r>
        <w:t>year</w:t>
      </w:r>
      <w:r w:rsidR="002B53B9">
        <w:t>-</w:t>
      </w:r>
      <w:r>
        <w:t>old</w:t>
      </w:r>
      <w:r w:rsidR="001A1F90">
        <w:t xml:space="preserve"> </w:t>
      </w:r>
      <w:r>
        <w:t>boy</w:t>
      </w:r>
      <w:r w:rsidR="001A1F90">
        <w:t xml:space="preserve"> </w:t>
      </w:r>
      <w:r>
        <w:t>in</w:t>
      </w:r>
      <w:r w:rsidR="001A1F90">
        <w:t xml:space="preserve"> </w:t>
      </w:r>
      <w:r>
        <w:t>a</w:t>
      </w:r>
      <w:r w:rsidR="001A1F90">
        <w:t xml:space="preserve"> </w:t>
      </w:r>
      <w:r>
        <w:t>toilet</w:t>
      </w:r>
      <w:r w:rsidR="001A1F90">
        <w:t xml:space="preserve"> </w:t>
      </w:r>
      <w:r>
        <w:t>cubicle.</w:t>
      </w:r>
      <w:r w:rsidR="001A1F90">
        <w:t xml:space="preserve"> </w:t>
      </w:r>
      <w:r>
        <w:t>He</w:t>
      </w:r>
      <w:r w:rsidR="001A1F90">
        <w:t xml:space="preserve"> </w:t>
      </w:r>
      <w:r>
        <w:t>also</w:t>
      </w:r>
      <w:r w:rsidR="001A1F90">
        <w:t xml:space="preserve"> </w:t>
      </w:r>
      <w:r>
        <w:t>had</w:t>
      </w:r>
      <w:r w:rsidR="001A1F90">
        <w:t xml:space="preserve"> </w:t>
      </w:r>
      <w:r>
        <w:t>convictions</w:t>
      </w:r>
      <w:r w:rsidR="001A1F90">
        <w:t xml:space="preserve"> </w:t>
      </w:r>
      <w:r>
        <w:t>for</w:t>
      </w:r>
      <w:r w:rsidR="001A1F90">
        <w:t xml:space="preserve"> </w:t>
      </w:r>
      <w:r>
        <w:t>non-sexual</w:t>
      </w:r>
      <w:r w:rsidR="001A1F90">
        <w:t xml:space="preserve"> </w:t>
      </w:r>
      <w:r>
        <w:t>offences</w:t>
      </w:r>
      <w:r w:rsidR="001A1F90">
        <w:t xml:space="preserve"> </w:t>
      </w:r>
      <w:r>
        <w:t>(wilful</w:t>
      </w:r>
      <w:r w:rsidR="001A1F90">
        <w:t xml:space="preserve"> </w:t>
      </w:r>
      <w:r>
        <w:t>damage,</w:t>
      </w:r>
      <w:r w:rsidR="001A1F90">
        <w:t xml:space="preserve"> </w:t>
      </w:r>
      <w:r>
        <w:t>stealing</w:t>
      </w:r>
      <w:r w:rsidR="001A1F90">
        <w:t xml:space="preserve"> </w:t>
      </w:r>
      <w:r>
        <w:t>and</w:t>
      </w:r>
      <w:r w:rsidR="001A1F90">
        <w:t xml:space="preserve"> </w:t>
      </w:r>
      <w:r>
        <w:t>unlawful</w:t>
      </w:r>
      <w:r w:rsidR="001A1F90">
        <w:t xml:space="preserve"> </w:t>
      </w:r>
      <w:r>
        <w:t>use</w:t>
      </w:r>
      <w:r w:rsidR="001A1F90">
        <w:t xml:space="preserve"> </w:t>
      </w:r>
      <w:r>
        <w:t>of</w:t>
      </w:r>
      <w:r w:rsidR="001A1F90">
        <w:t xml:space="preserve"> </w:t>
      </w:r>
      <w:r>
        <w:t>a</w:t>
      </w:r>
      <w:r w:rsidR="001A1F90">
        <w:t xml:space="preserve"> </w:t>
      </w:r>
      <w:r>
        <w:t>motor</w:t>
      </w:r>
      <w:r w:rsidR="001A1F90">
        <w:t xml:space="preserve"> </w:t>
      </w:r>
      <w:r>
        <w:t>vehicle).</w:t>
      </w:r>
      <w:r w:rsidR="001A1F90">
        <w:t xml:space="preserve"> </w:t>
      </w:r>
      <w:r>
        <w:t>As</w:t>
      </w:r>
      <w:r w:rsidR="001A1F90">
        <w:t xml:space="preserve"> </w:t>
      </w:r>
      <w:r>
        <w:t>a</w:t>
      </w:r>
      <w:r w:rsidR="001A1F90">
        <w:t xml:space="preserve"> </w:t>
      </w:r>
      <w:r>
        <w:t>consequence</w:t>
      </w:r>
      <w:r w:rsidR="001A1F90">
        <w:t xml:space="preserve"> </w:t>
      </w:r>
      <w:r>
        <w:t>of</w:t>
      </w:r>
      <w:r w:rsidR="001A1F90">
        <w:t xml:space="preserve"> </w:t>
      </w:r>
      <w:r>
        <w:t>his</w:t>
      </w:r>
      <w:r w:rsidR="001A1F90">
        <w:t xml:space="preserve"> </w:t>
      </w:r>
      <w:r>
        <w:t>intellectual</w:t>
      </w:r>
      <w:r w:rsidR="001A1F90">
        <w:t xml:space="preserve"> </w:t>
      </w:r>
      <w:r>
        <w:t>disability</w:t>
      </w:r>
      <w:r w:rsidR="001A1F90">
        <w:t xml:space="preserve"> </w:t>
      </w:r>
      <w:r>
        <w:t>he</w:t>
      </w:r>
      <w:r w:rsidR="001A1F90">
        <w:t xml:space="preserve"> </w:t>
      </w:r>
      <w:r>
        <w:t>had</w:t>
      </w:r>
      <w:r w:rsidR="001A1F90">
        <w:t xml:space="preserve"> </w:t>
      </w:r>
      <w:r>
        <w:t>a</w:t>
      </w:r>
      <w:r w:rsidR="001A1F90">
        <w:t xml:space="preserve"> </w:t>
      </w:r>
      <w:r>
        <w:t>low</w:t>
      </w:r>
      <w:r w:rsidR="001A1F90">
        <w:t xml:space="preserve"> </w:t>
      </w:r>
      <w:r>
        <w:t>frustration</w:t>
      </w:r>
      <w:r w:rsidR="001A1F90">
        <w:t xml:space="preserve"> </w:t>
      </w:r>
      <w:r>
        <w:t>tolerance</w:t>
      </w:r>
      <w:r w:rsidR="001A1F90">
        <w:t xml:space="preserve"> </w:t>
      </w:r>
      <w:r>
        <w:t>and</w:t>
      </w:r>
      <w:r w:rsidR="001A1F90">
        <w:t xml:space="preserve"> </w:t>
      </w:r>
      <w:r>
        <w:t>a</w:t>
      </w:r>
      <w:r w:rsidR="001A1F90">
        <w:t xml:space="preserve"> </w:t>
      </w:r>
      <w:r>
        <w:t>propensity</w:t>
      </w:r>
      <w:r w:rsidR="001A1F90">
        <w:t xml:space="preserve"> </w:t>
      </w:r>
      <w:r>
        <w:t>for</w:t>
      </w:r>
      <w:r w:rsidR="001A1F90">
        <w:t xml:space="preserve"> </w:t>
      </w:r>
      <w:r>
        <w:t>aggressive</w:t>
      </w:r>
      <w:r w:rsidR="001A1F90">
        <w:t xml:space="preserve"> </w:t>
      </w:r>
      <w:r>
        <w:t>acting</w:t>
      </w:r>
      <w:r w:rsidR="001A1F90">
        <w:t xml:space="preserve"> </w:t>
      </w:r>
      <w:r>
        <w:t>out.</w:t>
      </w:r>
    </w:p>
    <w:p w14:paraId="7637D199" w14:textId="635075EB" w:rsidR="004946F1" w:rsidRDefault="004946F1" w:rsidP="00BD612C">
      <w:pPr>
        <w:pStyle w:val="DHHSbody"/>
      </w:pPr>
      <w:r>
        <w:t>John</w:t>
      </w:r>
      <w:r w:rsidR="001A1F90">
        <w:t xml:space="preserve"> </w:t>
      </w:r>
      <w:r>
        <w:t>was</w:t>
      </w:r>
      <w:r w:rsidR="001A1F90">
        <w:t xml:space="preserve"> </w:t>
      </w:r>
      <w:r w:rsidR="00301CA9">
        <w:t>‘</w:t>
      </w:r>
      <w:r>
        <w:t>watched</w:t>
      </w:r>
      <w:r w:rsidR="001A1F90">
        <w:t xml:space="preserve"> </w:t>
      </w:r>
      <w:r>
        <w:t>all</w:t>
      </w:r>
      <w:r w:rsidR="001A1F90">
        <w:t xml:space="preserve"> </w:t>
      </w:r>
      <w:r>
        <w:t>the</w:t>
      </w:r>
      <w:r w:rsidR="001A1F90">
        <w:t xml:space="preserve"> </w:t>
      </w:r>
      <w:r>
        <w:t>time</w:t>
      </w:r>
      <w:r w:rsidR="00301CA9">
        <w:t>’</w:t>
      </w:r>
      <w:r w:rsidR="001A1F90">
        <w:t xml:space="preserve"> </w:t>
      </w:r>
      <w:r>
        <w:t>on</w:t>
      </w:r>
      <w:r w:rsidR="001A1F90">
        <w:t xml:space="preserve"> </w:t>
      </w:r>
      <w:r>
        <w:t>a</w:t>
      </w:r>
      <w:r w:rsidR="001A1F90">
        <w:t xml:space="preserve"> </w:t>
      </w:r>
      <w:r>
        <w:t>rural</w:t>
      </w:r>
      <w:r w:rsidR="001A1F90">
        <w:t xml:space="preserve"> </w:t>
      </w:r>
      <w:r>
        <w:t>property.</w:t>
      </w:r>
      <w:r w:rsidR="001A1F90">
        <w:t xml:space="preserve"> </w:t>
      </w:r>
      <w:r>
        <w:t>Past</w:t>
      </w:r>
      <w:r w:rsidR="001A1F90">
        <w:t xml:space="preserve"> </w:t>
      </w:r>
      <w:r>
        <w:t>carers</w:t>
      </w:r>
      <w:r w:rsidR="001A1F90">
        <w:t xml:space="preserve"> </w:t>
      </w:r>
      <w:r>
        <w:t>had</w:t>
      </w:r>
      <w:r w:rsidR="001A1F90">
        <w:t xml:space="preserve"> </w:t>
      </w:r>
      <w:r>
        <w:t>voiced</w:t>
      </w:r>
      <w:r w:rsidR="001A1F90">
        <w:t xml:space="preserve"> </w:t>
      </w:r>
      <w:r>
        <w:t>their</w:t>
      </w:r>
      <w:r w:rsidR="001A1F90">
        <w:t xml:space="preserve"> </w:t>
      </w:r>
      <w:r>
        <w:t>concerns</w:t>
      </w:r>
      <w:r w:rsidR="001A1F90">
        <w:t xml:space="preserve"> </w:t>
      </w:r>
      <w:r>
        <w:t>about</w:t>
      </w:r>
      <w:r w:rsidR="001A1F90">
        <w:t xml:space="preserve"> </w:t>
      </w:r>
      <w:r>
        <w:t>his</w:t>
      </w:r>
      <w:r w:rsidR="001A1F90">
        <w:t xml:space="preserve"> </w:t>
      </w:r>
      <w:r>
        <w:t>sexual</w:t>
      </w:r>
      <w:r w:rsidR="001A1F90">
        <w:t xml:space="preserve"> </w:t>
      </w:r>
      <w:r>
        <w:t>behaviours;</w:t>
      </w:r>
      <w:r w:rsidR="001A1F90">
        <w:t xml:space="preserve"> </w:t>
      </w:r>
      <w:r>
        <w:t>one</w:t>
      </w:r>
      <w:r w:rsidR="001A1F90">
        <w:t xml:space="preserve"> </w:t>
      </w:r>
      <w:r>
        <w:t>reported</w:t>
      </w:r>
      <w:r w:rsidR="001A1F90">
        <w:t xml:space="preserve"> </w:t>
      </w:r>
      <w:r>
        <w:t>that</w:t>
      </w:r>
      <w:r w:rsidR="001A1F90">
        <w:t xml:space="preserve"> </w:t>
      </w:r>
      <w:r>
        <w:t>during</w:t>
      </w:r>
      <w:r w:rsidR="001A1F90">
        <w:t xml:space="preserve"> </w:t>
      </w:r>
      <w:r>
        <w:t>outings</w:t>
      </w:r>
      <w:r w:rsidR="001A1F90">
        <w:t xml:space="preserve"> </w:t>
      </w:r>
      <w:r>
        <w:t>she</w:t>
      </w:r>
      <w:r w:rsidR="001A1F90">
        <w:t xml:space="preserve"> </w:t>
      </w:r>
      <w:r>
        <w:t>noticed</w:t>
      </w:r>
      <w:r w:rsidR="001A1F90">
        <w:t xml:space="preserve"> </w:t>
      </w:r>
      <w:r>
        <w:t>John</w:t>
      </w:r>
      <w:r w:rsidR="001A1F90">
        <w:t xml:space="preserve"> </w:t>
      </w:r>
      <w:r>
        <w:t>peering</w:t>
      </w:r>
      <w:r w:rsidR="001A1F90">
        <w:t xml:space="preserve"> </w:t>
      </w:r>
      <w:r>
        <w:t>at</w:t>
      </w:r>
      <w:r w:rsidR="001A1F90">
        <w:t xml:space="preserve"> </w:t>
      </w:r>
      <w:r>
        <w:t>male</w:t>
      </w:r>
      <w:r w:rsidR="001A1F90">
        <w:t xml:space="preserve"> </w:t>
      </w:r>
      <w:r>
        <w:t>children.</w:t>
      </w:r>
      <w:r w:rsidR="001A1F90">
        <w:t xml:space="preserve"> </w:t>
      </w:r>
      <w:r>
        <w:t>She</w:t>
      </w:r>
      <w:r w:rsidR="001A1F90">
        <w:t xml:space="preserve"> </w:t>
      </w:r>
      <w:r>
        <w:t>referred</w:t>
      </w:r>
      <w:r w:rsidR="001A1F90">
        <w:t xml:space="preserve"> </w:t>
      </w:r>
      <w:r>
        <w:t>to</w:t>
      </w:r>
      <w:r w:rsidR="001A1F90">
        <w:t xml:space="preserve"> </w:t>
      </w:r>
      <w:r>
        <w:t>a</w:t>
      </w:r>
      <w:r w:rsidR="001A1F90">
        <w:t xml:space="preserve"> </w:t>
      </w:r>
      <w:r>
        <w:t>number</w:t>
      </w:r>
      <w:r w:rsidR="001A1F90">
        <w:t xml:space="preserve"> </w:t>
      </w:r>
      <w:r>
        <w:t>of</w:t>
      </w:r>
      <w:r w:rsidR="001A1F90">
        <w:t xml:space="preserve"> </w:t>
      </w:r>
      <w:r>
        <w:t>incidents</w:t>
      </w:r>
      <w:r w:rsidR="001A1F90">
        <w:t xml:space="preserve"> </w:t>
      </w:r>
      <w:r>
        <w:t>such</w:t>
      </w:r>
      <w:r w:rsidR="001A1F90">
        <w:t xml:space="preserve"> </w:t>
      </w:r>
      <w:r>
        <w:t>as</w:t>
      </w:r>
      <w:r w:rsidR="001A1F90">
        <w:t xml:space="preserve"> </w:t>
      </w:r>
      <w:r>
        <w:t>John</w:t>
      </w:r>
      <w:r w:rsidR="001A1F90">
        <w:t xml:space="preserve"> </w:t>
      </w:r>
      <w:r>
        <w:t>putting</w:t>
      </w:r>
      <w:r w:rsidR="001A1F90">
        <w:t xml:space="preserve"> </w:t>
      </w:r>
      <w:r>
        <w:t>his</w:t>
      </w:r>
      <w:r w:rsidR="001A1F90">
        <w:t xml:space="preserve"> </w:t>
      </w:r>
      <w:r>
        <w:t>hands</w:t>
      </w:r>
      <w:r w:rsidR="001A1F90">
        <w:t xml:space="preserve"> </w:t>
      </w:r>
      <w:r>
        <w:t>up</w:t>
      </w:r>
      <w:r w:rsidR="001A1F90">
        <w:t xml:space="preserve"> </w:t>
      </w:r>
      <w:r>
        <w:t>the</w:t>
      </w:r>
      <w:r w:rsidR="001A1F90">
        <w:t xml:space="preserve"> </w:t>
      </w:r>
      <w:r>
        <w:t>shorts</w:t>
      </w:r>
      <w:r w:rsidR="001A1F90">
        <w:t xml:space="preserve"> </w:t>
      </w:r>
      <w:r>
        <w:t>of</w:t>
      </w:r>
      <w:r w:rsidR="001A1F90">
        <w:t xml:space="preserve"> </w:t>
      </w:r>
      <w:r>
        <w:t>a</w:t>
      </w:r>
      <w:r w:rsidR="001A1F90">
        <w:t xml:space="preserve"> </w:t>
      </w:r>
      <w:r w:rsidR="00301CA9">
        <w:t>10-</w:t>
      </w:r>
      <w:r>
        <w:t>year</w:t>
      </w:r>
      <w:r w:rsidR="00301CA9">
        <w:t>-</w:t>
      </w:r>
      <w:r>
        <w:t>old</w:t>
      </w:r>
      <w:r w:rsidR="001A1F90">
        <w:t xml:space="preserve"> </w:t>
      </w:r>
      <w:r>
        <w:t>boy</w:t>
      </w:r>
      <w:r w:rsidR="001A1F90">
        <w:t xml:space="preserve"> </w:t>
      </w:r>
      <w:r>
        <w:t>at</w:t>
      </w:r>
      <w:r w:rsidR="001A1F90">
        <w:t xml:space="preserve"> </w:t>
      </w:r>
      <w:r>
        <w:t>a</w:t>
      </w:r>
      <w:r w:rsidR="001A1F90">
        <w:t xml:space="preserve"> </w:t>
      </w:r>
      <w:r>
        <w:t>festival,</w:t>
      </w:r>
      <w:r w:rsidR="001A1F90">
        <w:t xml:space="preserve"> </w:t>
      </w:r>
      <w:r>
        <w:t>sneaking</w:t>
      </w:r>
      <w:r w:rsidR="001A1F90">
        <w:t xml:space="preserve"> </w:t>
      </w:r>
      <w:r>
        <w:t>out</w:t>
      </w:r>
      <w:r w:rsidR="001A1F90">
        <w:t xml:space="preserve"> </w:t>
      </w:r>
      <w:r>
        <w:t>of</w:t>
      </w:r>
      <w:r w:rsidR="001A1F90">
        <w:t xml:space="preserve"> </w:t>
      </w:r>
      <w:r>
        <w:t>the</w:t>
      </w:r>
      <w:r w:rsidR="001A1F90">
        <w:t xml:space="preserve"> </w:t>
      </w:r>
      <w:r>
        <w:t>house</w:t>
      </w:r>
      <w:r w:rsidR="001A1F90">
        <w:t xml:space="preserve"> </w:t>
      </w:r>
      <w:r>
        <w:t>in</w:t>
      </w:r>
      <w:r w:rsidR="001A1F90">
        <w:t xml:space="preserve"> </w:t>
      </w:r>
      <w:r>
        <w:t>the</w:t>
      </w:r>
      <w:r w:rsidR="001A1F90">
        <w:t xml:space="preserve"> </w:t>
      </w:r>
      <w:r>
        <w:t>early</w:t>
      </w:r>
      <w:r w:rsidR="001A1F90">
        <w:t xml:space="preserve"> </w:t>
      </w:r>
      <w:r>
        <w:t>hours</w:t>
      </w:r>
      <w:r w:rsidR="001A1F90">
        <w:t xml:space="preserve"> </w:t>
      </w:r>
      <w:r>
        <w:t>and</w:t>
      </w:r>
      <w:r w:rsidR="001A1F90">
        <w:t xml:space="preserve"> </w:t>
      </w:r>
      <w:r>
        <w:t>peeping</w:t>
      </w:r>
      <w:r w:rsidR="001A1F90">
        <w:t xml:space="preserve"> </w:t>
      </w:r>
      <w:r>
        <w:t>through</w:t>
      </w:r>
      <w:r w:rsidR="001A1F90">
        <w:t xml:space="preserve"> </w:t>
      </w:r>
      <w:r>
        <w:t>a</w:t>
      </w:r>
      <w:r w:rsidR="001A1F90">
        <w:t xml:space="preserve"> </w:t>
      </w:r>
      <w:r w:rsidR="00301CA9">
        <w:t>five-</w:t>
      </w:r>
      <w:r>
        <w:t>year</w:t>
      </w:r>
      <w:r w:rsidR="00301CA9">
        <w:t>-</w:t>
      </w:r>
      <w:r>
        <w:t>old</w:t>
      </w:r>
      <w:r w:rsidR="001A1F90">
        <w:t xml:space="preserve"> </w:t>
      </w:r>
      <w:r>
        <w:t>male</w:t>
      </w:r>
      <w:r w:rsidR="001A1F90">
        <w:t xml:space="preserve"> </w:t>
      </w:r>
      <w:r>
        <w:t>neighbour’s</w:t>
      </w:r>
      <w:r w:rsidR="001A1F90">
        <w:t xml:space="preserve"> </w:t>
      </w:r>
      <w:r>
        <w:t>window</w:t>
      </w:r>
      <w:r w:rsidR="001A1F90">
        <w:t xml:space="preserve"> </w:t>
      </w:r>
      <w:r>
        <w:t>while</w:t>
      </w:r>
      <w:r w:rsidR="001A1F90">
        <w:t xml:space="preserve"> </w:t>
      </w:r>
      <w:r>
        <w:t>masturbating,</w:t>
      </w:r>
      <w:r w:rsidR="001A1F90">
        <w:t xml:space="preserve"> </w:t>
      </w:r>
      <w:r>
        <w:t>entering</w:t>
      </w:r>
      <w:r w:rsidR="001A1F90">
        <w:t xml:space="preserve"> </w:t>
      </w:r>
      <w:r>
        <w:t>the</w:t>
      </w:r>
      <w:r w:rsidR="001A1F90">
        <w:t xml:space="preserve"> </w:t>
      </w:r>
      <w:r>
        <w:t>men’s</w:t>
      </w:r>
      <w:r w:rsidR="001A1F90">
        <w:t xml:space="preserve"> </w:t>
      </w:r>
      <w:r>
        <w:t>toilet</w:t>
      </w:r>
      <w:r w:rsidR="001A1F90">
        <w:t xml:space="preserve"> </w:t>
      </w:r>
      <w:r>
        <w:t>while</w:t>
      </w:r>
      <w:r w:rsidR="001A1F90">
        <w:t xml:space="preserve"> </w:t>
      </w:r>
      <w:r>
        <w:t>his</w:t>
      </w:r>
      <w:r w:rsidR="001A1F90">
        <w:t xml:space="preserve"> </w:t>
      </w:r>
      <w:r>
        <w:t>carer</w:t>
      </w:r>
      <w:r w:rsidR="001A1F90">
        <w:t xml:space="preserve"> </w:t>
      </w:r>
      <w:r>
        <w:t>was</w:t>
      </w:r>
      <w:r w:rsidR="001A1F90">
        <w:t xml:space="preserve"> </w:t>
      </w:r>
      <w:r>
        <w:t>distracted</w:t>
      </w:r>
      <w:r w:rsidR="001A1F90">
        <w:t xml:space="preserve"> </w:t>
      </w:r>
      <w:r>
        <w:t>and</w:t>
      </w:r>
      <w:r w:rsidR="001A1F90">
        <w:t xml:space="preserve"> </w:t>
      </w:r>
      <w:r>
        <w:t>holding</w:t>
      </w:r>
      <w:r w:rsidR="001A1F90">
        <w:t xml:space="preserve"> </w:t>
      </w:r>
      <w:r>
        <w:t>the</w:t>
      </w:r>
      <w:r w:rsidR="001A1F90">
        <w:t xml:space="preserve"> </w:t>
      </w:r>
      <w:r>
        <w:t>toilet</w:t>
      </w:r>
      <w:r w:rsidR="001A1F90">
        <w:t xml:space="preserve"> </w:t>
      </w:r>
      <w:r>
        <w:t>door</w:t>
      </w:r>
      <w:r w:rsidR="001A1F90">
        <w:t xml:space="preserve"> </w:t>
      </w:r>
      <w:r>
        <w:t>shut</w:t>
      </w:r>
      <w:r w:rsidR="001A1F90">
        <w:t xml:space="preserve"> </w:t>
      </w:r>
      <w:r>
        <w:t>to</w:t>
      </w:r>
      <w:r w:rsidR="001A1F90">
        <w:t xml:space="preserve"> </w:t>
      </w:r>
      <w:r>
        <w:t>prevent</w:t>
      </w:r>
      <w:r w:rsidR="001A1F90">
        <w:t xml:space="preserve"> </w:t>
      </w:r>
      <w:r>
        <w:t>a</w:t>
      </w:r>
      <w:r w:rsidR="001A1F90">
        <w:t xml:space="preserve"> </w:t>
      </w:r>
      <w:r>
        <w:t>young</w:t>
      </w:r>
      <w:r w:rsidR="001A1F90">
        <w:t xml:space="preserve"> </w:t>
      </w:r>
      <w:r>
        <w:t>boy</w:t>
      </w:r>
      <w:r w:rsidR="001A1F90">
        <w:t xml:space="preserve"> </w:t>
      </w:r>
      <w:r>
        <w:t>leaving.</w:t>
      </w:r>
    </w:p>
    <w:p w14:paraId="5670CE92" w14:textId="4E46DD9E" w:rsidR="004946F1" w:rsidRDefault="004946F1" w:rsidP="00BD612C">
      <w:pPr>
        <w:pStyle w:val="DHHSbody"/>
      </w:pPr>
      <w:r>
        <w:t>John</w:t>
      </w:r>
      <w:r w:rsidR="001A1F90">
        <w:t xml:space="preserve"> </w:t>
      </w:r>
      <w:r>
        <w:t>was</w:t>
      </w:r>
      <w:r w:rsidR="001A1F90">
        <w:t xml:space="preserve"> </w:t>
      </w:r>
      <w:r>
        <w:t>described</w:t>
      </w:r>
      <w:r w:rsidR="001A1F90">
        <w:t xml:space="preserve"> </w:t>
      </w:r>
      <w:r>
        <w:t>as</w:t>
      </w:r>
      <w:r w:rsidR="001A1F90">
        <w:t xml:space="preserve"> </w:t>
      </w:r>
      <w:r w:rsidR="00301CA9">
        <w:t>‘</w:t>
      </w:r>
      <w:r>
        <w:t>moody</w:t>
      </w:r>
      <w:r w:rsidR="00301CA9">
        <w:t>’</w:t>
      </w:r>
      <w:r w:rsidR="001A1F90">
        <w:t xml:space="preserve"> </w:t>
      </w:r>
      <w:r>
        <w:t>but</w:t>
      </w:r>
      <w:r w:rsidR="001A1F90">
        <w:t xml:space="preserve"> </w:t>
      </w:r>
      <w:r>
        <w:t>had</w:t>
      </w:r>
      <w:r w:rsidR="001A1F90">
        <w:t xml:space="preserve"> </w:t>
      </w:r>
      <w:r>
        <w:t>no</w:t>
      </w:r>
      <w:r w:rsidR="001A1F90">
        <w:t xml:space="preserve"> </w:t>
      </w:r>
      <w:r>
        <w:t>diagnosable</w:t>
      </w:r>
      <w:r w:rsidR="001A1F90">
        <w:t xml:space="preserve"> </w:t>
      </w:r>
      <w:r>
        <w:t>mental</w:t>
      </w:r>
      <w:r w:rsidR="001A1F90">
        <w:t xml:space="preserve"> </w:t>
      </w:r>
      <w:r>
        <w:t>disorder.</w:t>
      </w:r>
      <w:r w:rsidR="001A1F90">
        <w:t xml:space="preserve"> </w:t>
      </w:r>
      <w:r>
        <w:t>Pharmacological</w:t>
      </w:r>
      <w:r w:rsidR="001A1F90">
        <w:t xml:space="preserve"> </w:t>
      </w:r>
      <w:r>
        <w:t>approaches</w:t>
      </w:r>
      <w:r w:rsidR="001A1F90">
        <w:t xml:space="preserve"> </w:t>
      </w:r>
      <w:r>
        <w:t>to</w:t>
      </w:r>
      <w:r w:rsidR="001A1F90">
        <w:t xml:space="preserve"> </w:t>
      </w:r>
      <w:r>
        <w:t>his</w:t>
      </w:r>
      <w:r w:rsidR="001A1F90">
        <w:t xml:space="preserve"> </w:t>
      </w:r>
      <w:r>
        <w:t>behavioural</w:t>
      </w:r>
      <w:r w:rsidR="001A1F90">
        <w:t xml:space="preserve"> </w:t>
      </w:r>
      <w:r>
        <w:t>problems</w:t>
      </w:r>
      <w:r w:rsidR="001A1F90">
        <w:t xml:space="preserve"> </w:t>
      </w:r>
      <w:r>
        <w:t>had</w:t>
      </w:r>
      <w:r w:rsidR="001A1F90">
        <w:t xml:space="preserve"> </w:t>
      </w:r>
      <w:r>
        <w:t>included</w:t>
      </w:r>
      <w:r w:rsidR="001A1F90">
        <w:t xml:space="preserve"> </w:t>
      </w:r>
      <w:r>
        <w:t>chlorpromazine</w:t>
      </w:r>
      <w:r w:rsidR="001A1F90">
        <w:t xml:space="preserve"> </w:t>
      </w:r>
      <w:r>
        <w:t>and</w:t>
      </w:r>
      <w:r w:rsidR="001A1F90">
        <w:t xml:space="preserve"> </w:t>
      </w:r>
      <w:r>
        <w:t>thioridazine</w:t>
      </w:r>
      <w:r w:rsidR="001A1F90">
        <w:t xml:space="preserve"> </w:t>
      </w:r>
      <w:r>
        <w:t>(poorly</w:t>
      </w:r>
      <w:r w:rsidR="001A1F90">
        <w:t xml:space="preserve"> </w:t>
      </w:r>
      <w:r>
        <w:t>tolerated</w:t>
      </w:r>
      <w:r w:rsidR="001A1F90">
        <w:t xml:space="preserve"> </w:t>
      </w:r>
      <w:r>
        <w:t>and</w:t>
      </w:r>
      <w:r w:rsidR="001A1F90">
        <w:t xml:space="preserve"> </w:t>
      </w:r>
      <w:r>
        <w:t>limited</w:t>
      </w:r>
      <w:r w:rsidR="001A1F90">
        <w:t xml:space="preserve"> </w:t>
      </w:r>
      <w:r>
        <w:t>efficacy),</w:t>
      </w:r>
      <w:r w:rsidR="001A1F90">
        <w:t xml:space="preserve"> </w:t>
      </w:r>
      <w:r>
        <w:t>and</w:t>
      </w:r>
      <w:r w:rsidR="001A1F90">
        <w:t xml:space="preserve"> </w:t>
      </w:r>
      <w:r>
        <w:t>the</w:t>
      </w:r>
      <w:r w:rsidR="001A1F90">
        <w:t xml:space="preserve"> </w:t>
      </w:r>
      <w:r>
        <w:t>current</w:t>
      </w:r>
      <w:r w:rsidR="001A1F90">
        <w:t xml:space="preserve"> </w:t>
      </w:r>
      <w:r>
        <w:t>regimen</w:t>
      </w:r>
      <w:r w:rsidR="001A1F90">
        <w:t xml:space="preserve"> </w:t>
      </w:r>
      <w:r>
        <w:t>of</w:t>
      </w:r>
      <w:r w:rsidR="001A1F90">
        <w:t xml:space="preserve"> </w:t>
      </w:r>
      <w:r>
        <w:t>risperidone</w:t>
      </w:r>
      <w:r w:rsidR="001A1F90">
        <w:t xml:space="preserve"> </w:t>
      </w:r>
      <w:r>
        <w:t>and</w:t>
      </w:r>
      <w:r w:rsidR="001A1F90">
        <w:t xml:space="preserve"> </w:t>
      </w:r>
      <w:r>
        <w:t>fluoxetine.</w:t>
      </w:r>
      <w:r w:rsidR="001A1F90">
        <w:t xml:space="preserve"> </w:t>
      </w:r>
      <w:r>
        <w:t>He</w:t>
      </w:r>
      <w:r w:rsidR="001A1F90">
        <w:t xml:space="preserve"> </w:t>
      </w:r>
      <w:r>
        <w:t>was</w:t>
      </w:r>
      <w:r w:rsidR="001A1F90">
        <w:t xml:space="preserve"> </w:t>
      </w:r>
      <w:r>
        <w:t>said</w:t>
      </w:r>
      <w:r w:rsidR="001A1F90">
        <w:t xml:space="preserve"> </w:t>
      </w:r>
      <w:r>
        <w:t>to</w:t>
      </w:r>
      <w:r w:rsidR="001A1F90">
        <w:t xml:space="preserve"> </w:t>
      </w:r>
      <w:r>
        <w:t>be</w:t>
      </w:r>
      <w:r w:rsidR="001A1F90">
        <w:t xml:space="preserve"> </w:t>
      </w:r>
      <w:r>
        <w:t>less</w:t>
      </w:r>
      <w:r w:rsidR="001A1F90">
        <w:t xml:space="preserve"> </w:t>
      </w:r>
      <w:r>
        <w:t>aggressive</w:t>
      </w:r>
      <w:r w:rsidR="001A1F90">
        <w:t xml:space="preserve"> </w:t>
      </w:r>
      <w:r>
        <w:t>on</w:t>
      </w:r>
      <w:r w:rsidR="001A1F90">
        <w:t xml:space="preserve"> </w:t>
      </w:r>
      <w:r>
        <w:t>risperidone</w:t>
      </w:r>
      <w:r w:rsidR="00A339DD">
        <w:t>,</w:t>
      </w:r>
      <w:r w:rsidR="001A1F90">
        <w:t xml:space="preserve"> </w:t>
      </w:r>
      <w:r>
        <w:t>but</w:t>
      </w:r>
      <w:r w:rsidR="001A1F90">
        <w:t xml:space="preserve"> </w:t>
      </w:r>
      <w:r>
        <w:t>there</w:t>
      </w:r>
      <w:r w:rsidR="001A1F90">
        <w:t xml:space="preserve"> </w:t>
      </w:r>
      <w:r>
        <w:t>was</w:t>
      </w:r>
      <w:r w:rsidR="001A1F90">
        <w:t xml:space="preserve"> </w:t>
      </w:r>
      <w:r>
        <w:t>no</w:t>
      </w:r>
      <w:r w:rsidR="001A1F90">
        <w:t xml:space="preserve"> </w:t>
      </w:r>
      <w:r>
        <w:t>evidence</w:t>
      </w:r>
      <w:r w:rsidR="001A1F90">
        <w:t xml:space="preserve"> </w:t>
      </w:r>
      <w:r>
        <w:t>this</w:t>
      </w:r>
      <w:r w:rsidR="001A1F90">
        <w:t xml:space="preserve"> </w:t>
      </w:r>
      <w:r>
        <w:t>medication</w:t>
      </w:r>
      <w:r w:rsidR="001A1F90">
        <w:t xml:space="preserve"> </w:t>
      </w:r>
      <w:r>
        <w:t>had</w:t>
      </w:r>
      <w:r w:rsidR="001A1F90">
        <w:t xml:space="preserve"> </w:t>
      </w:r>
      <w:r>
        <w:t>suppressed</w:t>
      </w:r>
      <w:r w:rsidR="001A1F90">
        <w:t xml:space="preserve"> </w:t>
      </w:r>
      <w:r>
        <w:t>his</w:t>
      </w:r>
      <w:r w:rsidR="001A1F90">
        <w:t xml:space="preserve"> </w:t>
      </w:r>
      <w:r>
        <w:t>sexual</w:t>
      </w:r>
      <w:r w:rsidR="001A1F90">
        <w:t xml:space="preserve"> </w:t>
      </w:r>
      <w:r>
        <w:t>behaviours.</w:t>
      </w:r>
      <w:r w:rsidR="001A1F90">
        <w:t xml:space="preserve"> </w:t>
      </w:r>
      <w:r>
        <w:t>There</w:t>
      </w:r>
      <w:r w:rsidR="001A1F90">
        <w:t xml:space="preserve"> </w:t>
      </w:r>
      <w:r>
        <w:t>was</w:t>
      </w:r>
      <w:r w:rsidR="001A1F90">
        <w:t xml:space="preserve"> </w:t>
      </w:r>
      <w:r>
        <w:t>no</w:t>
      </w:r>
      <w:r w:rsidR="001A1F90">
        <w:t xml:space="preserve"> </w:t>
      </w:r>
      <w:r>
        <w:t>significant</w:t>
      </w:r>
      <w:r w:rsidR="001A1F90">
        <w:t xml:space="preserve"> </w:t>
      </w:r>
      <w:r>
        <w:t>history</w:t>
      </w:r>
      <w:r w:rsidR="001A1F90">
        <w:t xml:space="preserve"> </w:t>
      </w:r>
      <w:r>
        <w:t>of</w:t>
      </w:r>
      <w:r w:rsidR="001A1F90">
        <w:t xml:space="preserve"> </w:t>
      </w:r>
      <w:r>
        <w:t>substance</w:t>
      </w:r>
      <w:r w:rsidR="001A1F90">
        <w:t xml:space="preserve"> </w:t>
      </w:r>
      <w:r>
        <w:t>abuse.</w:t>
      </w:r>
    </w:p>
    <w:p w14:paraId="40B197C6" w14:textId="5EEC28EC" w:rsidR="004946F1" w:rsidRDefault="004946F1" w:rsidP="00BD612C">
      <w:pPr>
        <w:pStyle w:val="DHHSbody"/>
      </w:pPr>
      <w:r>
        <w:t>John</w:t>
      </w:r>
      <w:r w:rsidR="001A1F90">
        <w:t xml:space="preserve"> </w:t>
      </w:r>
      <w:r>
        <w:t>was</w:t>
      </w:r>
      <w:r w:rsidR="001A1F90">
        <w:t xml:space="preserve"> </w:t>
      </w:r>
      <w:r>
        <w:t>illiterate</w:t>
      </w:r>
      <w:r w:rsidR="001A1F90">
        <w:t xml:space="preserve"> </w:t>
      </w:r>
      <w:r>
        <w:t>and</w:t>
      </w:r>
      <w:r w:rsidR="001A1F90">
        <w:t xml:space="preserve"> </w:t>
      </w:r>
      <w:r>
        <w:t>under</w:t>
      </w:r>
      <w:r w:rsidR="001A1F90">
        <w:t xml:space="preserve"> </w:t>
      </w:r>
      <w:r>
        <w:t>a</w:t>
      </w:r>
      <w:r w:rsidR="001A1F90">
        <w:t xml:space="preserve"> </w:t>
      </w:r>
      <w:r w:rsidR="00301CA9">
        <w:t>g</w:t>
      </w:r>
      <w:r>
        <w:t>uardianship</w:t>
      </w:r>
      <w:r w:rsidR="001A1F90">
        <w:t xml:space="preserve"> </w:t>
      </w:r>
      <w:r w:rsidR="00301CA9">
        <w:t>o</w:t>
      </w:r>
      <w:r>
        <w:t>rder.</w:t>
      </w:r>
      <w:r w:rsidR="001A1F90">
        <w:t xml:space="preserve"> </w:t>
      </w:r>
      <w:r>
        <w:t>Past</w:t>
      </w:r>
      <w:r w:rsidR="001A1F90">
        <w:t xml:space="preserve"> </w:t>
      </w:r>
      <w:r>
        <w:t>psychological</w:t>
      </w:r>
      <w:r w:rsidR="001A1F90">
        <w:t xml:space="preserve"> </w:t>
      </w:r>
      <w:r>
        <w:t>testing</w:t>
      </w:r>
      <w:r w:rsidR="001A1F90">
        <w:t xml:space="preserve"> </w:t>
      </w:r>
      <w:r>
        <w:t>had</w:t>
      </w:r>
      <w:r w:rsidR="001A1F90">
        <w:t xml:space="preserve"> </w:t>
      </w:r>
      <w:r>
        <w:t>shown</w:t>
      </w:r>
      <w:r w:rsidR="001A1F90">
        <w:t xml:space="preserve"> </w:t>
      </w:r>
      <w:r w:rsidR="00301CA9">
        <w:t>‘</w:t>
      </w:r>
      <w:r>
        <w:t>significant</w:t>
      </w:r>
      <w:r w:rsidR="001A1F90">
        <w:t xml:space="preserve"> </w:t>
      </w:r>
      <w:r>
        <w:t>limitations</w:t>
      </w:r>
      <w:r w:rsidR="001A1F90">
        <w:t xml:space="preserve"> </w:t>
      </w:r>
      <w:r>
        <w:t>in</w:t>
      </w:r>
      <w:r w:rsidR="001A1F90">
        <w:t xml:space="preserve"> </w:t>
      </w:r>
      <w:r>
        <w:t>his</w:t>
      </w:r>
      <w:r w:rsidR="001A1F90">
        <w:t xml:space="preserve"> </w:t>
      </w:r>
      <w:r>
        <w:t>planning</w:t>
      </w:r>
      <w:r w:rsidR="001A1F90">
        <w:t xml:space="preserve"> </w:t>
      </w:r>
      <w:r>
        <w:t>and</w:t>
      </w:r>
      <w:r w:rsidR="001A1F90">
        <w:t xml:space="preserve"> </w:t>
      </w:r>
      <w:r>
        <w:t>decision-making</w:t>
      </w:r>
      <w:r w:rsidR="001A1F90">
        <w:t xml:space="preserve"> </w:t>
      </w:r>
      <w:r>
        <w:t>abilities,</w:t>
      </w:r>
      <w:r w:rsidR="001A1F90">
        <w:t xml:space="preserve"> </w:t>
      </w:r>
      <w:r>
        <w:t>and</w:t>
      </w:r>
      <w:r w:rsidR="001A1F90">
        <w:t xml:space="preserve"> </w:t>
      </w:r>
      <w:r>
        <w:t>his</w:t>
      </w:r>
      <w:r w:rsidR="001A1F90">
        <w:t xml:space="preserve"> </w:t>
      </w:r>
      <w:r>
        <w:t>capacity</w:t>
      </w:r>
      <w:r w:rsidR="001A1F90">
        <w:t xml:space="preserve"> </w:t>
      </w:r>
      <w:r>
        <w:t>to</w:t>
      </w:r>
      <w:r w:rsidR="001A1F90">
        <w:t xml:space="preserve"> </w:t>
      </w:r>
      <w:r>
        <w:t>speculate</w:t>
      </w:r>
      <w:r w:rsidR="001A1F90">
        <w:t xml:space="preserve"> </w:t>
      </w:r>
      <w:r>
        <w:t>the</w:t>
      </w:r>
      <w:r w:rsidR="001A1F90">
        <w:t xml:space="preserve"> </w:t>
      </w:r>
      <w:r>
        <w:t>outcome</w:t>
      </w:r>
      <w:r w:rsidR="001A1F90">
        <w:t xml:space="preserve"> </w:t>
      </w:r>
      <w:r>
        <w:t>of</w:t>
      </w:r>
      <w:r w:rsidR="001A1F90">
        <w:t xml:space="preserve"> </w:t>
      </w:r>
      <w:r>
        <w:t>his</w:t>
      </w:r>
      <w:r w:rsidR="001A1F90">
        <w:t xml:space="preserve"> </w:t>
      </w:r>
      <w:r>
        <w:t>actions.</w:t>
      </w:r>
      <w:r w:rsidR="00301CA9">
        <w:t>’</w:t>
      </w:r>
      <w:r w:rsidR="001A1F90">
        <w:t xml:space="preserve"> </w:t>
      </w:r>
      <w:r>
        <w:t>Little</w:t>
      </w:r>
      <w:r w:rsidR="001A1F90">
        <w:t xml:space="preserve"> </w:t>
      </w:r>
      <w:r>
        <w:t>was</w:t>
      </w:r>
      <w:r w:rsidR="001A1F90">
        <w:t xml:space="preserve"> </w:t>
      </w:r>
      <w:r>
        <w:t>known</w:t>
      </w:r>
      <w:r w:rsidR="001A1F90">
        <w:t xml:space="preserve"> </w:t>
      </w:r>
      <w:r>
        <w:t>of</w:t>
      </w:r>
      <w:r w:rsidR="001A1F90">
        <w:t xml:space="preserve"> </w:t>
      </w:r>
      <w:r>
        <w:t>John’s</w:t>
      </w:r>
      <w:r w:rsidR="001A1F90">
        <w:t xml:space="preserve"> </w:t>
      </w:r>
      <w:r>
        <w:t>own</w:t>
      </w:r>
      <w:r w:rsidR="001A1F90">
        <w:t xml:space="preserve"> </w:t>
      </w:r>
      <w:r>
        <w:t>childhood,</w:t>
      </w:r>
      <w:r w:rsidR="001A1F90">
        <w:t xml:space="preserve"> </w:t>
      </w:r>
      <w:r>
        <w:t>but</w:t>
      </w:r>
      <w:r w:rsidR="001A1F90">
        <w:t xml:space="preserve"> </w:t>
      </w:r>
      <w:r>
        <w:t>there</w:t>
      </w:r>
      <w:r w:rsidR="001A1F90">
        <w:t xml:space="preserve"> </w:t>
      </w:r>
      <w:r>
        <w:t>were</w:t>
      </w:r>
      <w:r w:rsidR="001A1F90">
        <w:t xml:space="preserve"> </w:t>
      </w:r>
      <w:r>
        <w:t>references</w:t>
      </w:r>
      <w:r w:rsidR="001A1F90">
        <w:t xml:space="preserve"> </w:t>
      </w:r>
      <w:r>
        <w:t>to</w:t>
      </w:r>
      <w:r w:rsidR="001A1F90">
        <w:t xml:space="preserve"> </w:t>
      </w:r>
      <w:r>
        <w:t>being</w:t>
      </w:r>
      <w:r w:rsidR="001A1F90">
        <w:t xml:space="preserve"> </w:t>
      </w:r>
      <w:r>
        <w:t>sexually</w:t>
      </w:r>
      <w:r w:rsidR="001A1F90">
        <w:t xml:space="preserve"> </w:t>
      </w:r>
      <w:r>
        <w:t>victimised</w:t>
      </w:r>
      <w:r w:rsidR="001A1F90">
        <w:t xml:space="preserve"> </w:t>
      </w:r>
      <w:r>
        <w:t>at</w:t>
      </w:r>
      <w:r w:rsidR="001A1F90">
        <w:t xml:space="preserve"> </w:t>
      </w:r>
      <w:r>
        <w:t>around</w:t>
      </w:r>
      <w:r w:rsidR="001A1F90">
        <w:t xml:space="preserve"> </w:t>
      </w:r>
      <w:r>
        <w:t>the</w:t>
      </w:r>
      <w:r w:rsidR="001A1F90">
        <w:t xml:space="preserve"> </w:t>
      </w:r>
      <w:r>
        <w:t>age</w:t>
      </w:r>
      <w:r w:rsidR="001A1F90">
        <w:t xml:space="preserve"> </w:t>
      </w:r>
      <w:r>
        <w:t>of</w:t>
      </w:r>
      <w:r w:rsidR="001A1F90">
        <w:t xml:space="preserve"> </w:t>
      </w:r>
      <w:r>
        <w:t>eight</w:t>
      </w:r>
      <w:r w:rsidR="001A1F90">
        <w:t xml:space="preserve"> </w:t>
      </w:r>
      <w:r>
        <w:t>while</w:t>
      </w:r>
      <w:r w:rsidR="001A1F90">
        <w:t xml:space="preserve"> </w:t>
      </w:r>
      <w:r>
        <w:t>in</w:t>
      </w:r>
      <w:r w:rsidR="001A1F90">
        <w:t xml:space="preserve"> </w:t>
      </w:r>
      <w:r>
        <w:t>the</w:t>
      </w:r>
      <w:r w:rsidR="001A1F90">
        <w:t xml:space="preserve"> </w:t>
      </w:r>
      <w:r>
        <w:t>care</w:t>
      </w:r>
      <w:r w:rsidR="001A1F90">
        <w:t xml:space="preserve"> </w:t>
      </w:r>
      <w:r>
        <w:t>of</w:t>
      </w:r>
      <w:r w:rsidR="001A1F90">
        <w:t xml:space="preserve"> </w:t>
      </w:r>
      <w:r>
        <w:t>an</w:t>
      </w:r>
      <w:r w:rsidR="001A1F90">
        <w:t xml:space="preserve"> </w:t>
      </w:r>
      <w:r>
        <w:t>uncle.</w:t>
      </w:r>
      <w:r w:rsidR="001A1F90">
        <w:t xml:space="preserve"> </w:t>
      </w:r>
      <w:r>
        <w:t>John</w:t>
      </w:r>
      <w:r w:rsidR="001A1F90">
        <w:t xml:space="preserve"> </w:t>
      </w:r>
      <w:r>
        <w:t>favoured</w:t>
      </w:r>
      <w:r w:rsidR="001A1F90">
        <w:t xml:space="preserve"> </w:t>
      </w:r>
      <w:r>
        <w:t>television</w:t>
      </w:r>
      <w:r w:rsidR="001A1F90">
        <w:t xml:space="preserve"> </w:t>
      </w:r>
      <w:r>
        <w:t>shows</w:t>
      </w:r>
      <w:r w:rsidR="001A1F90">
        <w:t xml:space="preserve"> </w:t>
      </w:r>
      <w:r>
        <w:t>depicting</w:t>
      </w:r>
      <w:r w:rsidR="001A1F90">
        <w:t xml:space="preserve"> </w:t>
      </w:r>
      <w:r>
        <w:t>male</w:t>
      </w:r>
      <w:r w:rsidR="001A1F90">
        <w:t xml:space="preserve"> </w:t>
      </w:r>
      <w:r>
        <w:t>children</w:t>
      </w:r>
      <w:r w:rsidR="001A1F90">
        <w:t xml:space="preserve"> </w:t>
      </w:r>
      <w:r>
        <w:t>and</w:t>
      </w:r>
      <w:r w:rsidR="001A1F90">
        <w:t xml:space="preserve"> </w:t>
      </w:r>
      <w:r>
        <w:t>adolescents</w:t>
      </w:r>
      <w:r w:rsidR="001A1F90">
        <w:t xml:space="preserve"> </w:t>
      </w:r>
      <w:r>
        <w:t>and</w:t>
      </w:r>
      <w:r w:rsidR="001A1F90">
        <w:t xml:space="preserve"> </w:t>
      </w:r>
      <w:r>
        <w:t>he</w:t>
      </w:r>
      <w:r w:rsidR="001A1F90">
        <w:t xml:space="preserve"> </w:t>
      </w:r>
      <w:r>
        <w:t>also</w:t>
      </w:r>
      <w:r w:rsidR="001A1F90">
        <w:t xml:space="preserve"> </w:t>
      </w:r>
      <w:r>
        <w:t>accessed</w:t>
      </w:r>
      <w:r w:rsidR="001A1F90">
        <w:t xml:space="preserve"> </w:t>
      </w:r>
      <w:r>
        <w:t>pornography</w:t>
      </w:r>
      <w:r w:rsidR="001A1F90">
        <w:t xml:space="preserve"> </w:t>
      </w:r>
      <w:r>
        <w:t>(magazines</w:t>
      </w:r>
      <w:r w:rsidR="001A1F90">
        <w:t xml:space="preserve"> </w:t>
      </w:r>
      <w:r>
        <w:t>and</w:t>
      </w:r>
      <w:r w:rsidR="001A1F90">
        <w:t xml:space="preserve"> </w:t>
      </w:r>
      <w:r>
        <w:t>DVDs)</w:t>
      </w:r>
      <w:r w:rsidR="001A1F90">
        <w:t xml:space="preserve"> </w:t>
      </w:r>
      <w:r>
        <w:t>from</w:t>
      </w:r>
      <w:r w:rsidR="001A1F90">
        <w:t xml:space="preserve"> </w:t>
      </w:r>
      <w:r>
        <w:t>a</w:t>
      </w:r>
      <w:r w:rsidR="001A1F90">
        <w:t xml:space="preserve"> </w:t>
      </w:r>
      <w:r>
        <w:t>former</w:t>
      </w:r>
      <w:r w:rsidR="001A1F90">
        <w:t xml:space="preserve"> </w:t>
      </w:r>
      <w:r>
        <w:t>resident</w:t>
      </w:r>
      <w:r w:rsidR="00160CF1">
        <w:t>,</w:t>
      </w:r>
      <w:r w:rsidR="001A1F90">
        <w:t xml:space="preserve"> </w:t>
      </w:r>
      <w:r>
        <w:t>but</w:t>
      </w:r>
      <w:r w:rsidR="001A1F90">
        <w:t xml:space="preserve"> </w:t>
      </w:r>
      <w:r>
        <w:t>there</w:t>
      </w:r>
      <w:r w:rsidR="001A1F90">
        <w:t xml:space="preserve"> </w:t>
      </w:r>
      <w:r>
        <w:t>had</w:t>
      </w:r>
      <w:r w:rsidR="001A1F90">
        <w:t xml:space="preserve"> </w:t>
      </w:r>
      <w:r>
        <w:t>been</w:t>
      </w:r>
      <w:r w:rsidR="001A1F90">
        <w:t xml:space="preserve"> </w:t>
      </w:r>
      <w:r>
        <w:t>no</w:t>
      </w:r>
      <w:r w:rsidR="001A1F90">
        <w:t xml:space="preserve"> </w:t>
      </w:r>
      <w:r>
        <w:t>censorship</w:t>
      </w:r>
      <w:r w:rsidR="001A1F90">
        <w:t xml:space="preserve"> </w:t>
      </w:r>
      <w:r>
        <w:t>of</w:t>
      </w:r>
      <w:r w:rsidR="001A1F90">
        <w:t xml:space="preserve"> </w:t>
      </w:r>
      <w:r>
        <w:t>this</w:t>
      </w:r>
      <w:r w:rsidR="001A1F90">
        <w:t xml:space="preserve"> </w:t>
      </w:r>
      <w:r>
        <w:t>material</w:t>
      </w:r>
      <w:r w:rsidR="001A1F90">
        <w:t xml:space="preserve"> </w:t>
      </w:r>
      <w:r>
        <w:t>because</w:t>
      </w:r>
      <w:r w:rsidR="001A1F90">
        <w:t xml:space="preserve"> </w:t>
      </w:r>
      <w:r>
        <w:t>it</w:t>
      </w:r>
      <w:r w:rsidR="001A1F90">
        <w:t xml:space="preserve"> </w:t>
      </w:r>
      <w:r>
        <w:t>was</w:t>
      </w:r>
      <w:r w:rsidR="001A1F90">
        <w:t xml:space="preserve"> </w:t>
      </w:r>
      <w:r>
        <w:t>regarded</w:t>
      </w:r>
      <w:r w:rsidR="001A1F90">
        <w:t xml:space="preserve"> </w:t>
      </w:r>
      <w:r>
        <w:t>as</w:t>
      </w:r>
      <w:r w:rsidR="001A1F90">
        <w:t xml:space="preserve"> </w:t>
      </w:r>
      <w:r w:rsidR="00301CA9">
        <w:t>‘</w:t>
      </w:r>
      <w:r>
        <w:t>private</w:t>
      </w:r>
      <w:r w:rsidR="00301CA9">
        <w:t>’</w:t>
      </w:r>
      <w:r>
        <w:t>.</w:t>
      </w:r>
      <w:r w:rsidR="001A1F90">
        <w:t xml:space="preserve"> </w:t>
      </w:r>
      <w:r>
        <w:t>His</w:t>
      </w:r>
      <w:r w:rsidR="001A1F90">
        <w:t xml:space="preserve"> </w:t>
      </w:r>
      <w:r>
        <w:t>carers</w:t>
      </w:r>
      <w:r w:rsidR="001A1F90">
        <w:t xml:space="preserve"> </w:t>
      </w:r>
      <w:r>
        <w:t>had</w:t>
      </w:r>
      <w:r w:rsidR="001A1F90">
        <w:t xml:space="preserve"> </w:t>
      </w:r>
      <w:r>
        <w:t>seen</w:t>
      </w:r>
      <w:r w:rsidR="001A1F90">
        <w:t xml:space="preserve"> </w:t>
      </w:r>
      <w:r>
        <w:t>the</w:t>
      </w:r>
      <w:r w:rsidR="001A1F90">
        <w:t xml:space="preserve"> </w:t>
      </w:r>
      <w:r>
        <w:t>covers</w:t>
      </w:r>
      <w:r w:rsidR="001A1F90">
        <w:t xml:space="preserve"> </w:t>
      </w:r>
      <w:r>
        <w:t>of</w:t>
      </w:r>
      <w:r w:rsidR="001A1F90">
        <w:t xml:space="preserve"> </w:t>
      </w:r>
      <w:r>
        <w:t>some</w:t>
      </w:r>
      <w:r w:rsidR="001A1F90">
        <w:t xml:space="preserve"> </w:t>
      </w:r>
      <w:r>
        <w:t>of</w:t>
      </w:r>
      <w:r w:rsidR="001A1F90">
        <w:t xml:space="preserve"> </w:t>
      </w:r>
      <w:r>
        <w:t>these</w:t>
      </w:r>
      <w:r w:rsidR="001A1F90">
        <w:t xml:space="preserve"> </w:t>
      </w:r>
      <w:r>
        <w:t>magazines,</w:t>
      </w:r>
      <w:r w:rsidR="001A1F90">
        <w:t xml:space="preserve"> </w:t>
      </w:r>
      <w:r>
        <w:t>which</w:t>
      </w:r>
      <w:r w:rsidR="001A1F90">
        <w:t xml:space="preserve"> </w:t>
      </w:r>
      <w:r>
        <w:t>depicted</w:t>
      </w:r>
      <w:r w:rsidR="001A1F90">
        <w:t xml:space="preserve"> </w:t>
      </w:r>
      <w:r>
        <w:t>young</w:t>
      </w:r>
      <w:r w:rsidR="001A1F90">
        <w:t xml:space="preserve"> </w:t>
      </w:r>
      <w:r>
        <w:t>men.</w:t>
      </w:r>
      <w:r w:rsidR="001A1F90">
        <w:t xml:space="preserve"> </w:t>
      </w:r>
      <w:r>
        <w:t>John</w:t>
      </w:r>
      <w:r w:rsidR="001A1F90">
        <w:t xml:space="preserve"> </w:t>
      </w:r>
      <w:r>
        <w:t>viewed</w:t>
      </w:r>
      <w:r w:rsidR="001A1F90">
        <w:t xml:space="preserve"> </w:t>
      </w:r>
      <w:r>
        <w:t>this</w:t>
      </w:r>
      <w:r w:rsidR="001A1F90">
        <w:t xml:space="preserve"> </w:t>
      </w:r>
      <w:r>
        <w:t>material</w:t>
      </w:r>
      <w:r w:rsidR="001A1F90">
        <w:t xml:space="preserve"> </w:t>
      </w:r>
      <w:r>
        <w:t>in</w:t>
      </w:r>
      <w:r w:rsidR="001A1F90">
        <w:t xml:space="preserve"> </w:t>
      </w:r>
      <w:r>
        <w:t>his</w:t>
      </w:r>
      <w:r w:rsidR="001A1F90">
        <w:t xml:space="preserve"> </w:t>
      </w:r>
      <w:r>
        <w:t>room.</w:t>
      </w:r>
      <w:r w:rsidR="001A1F90">
        <w:t xml:space="preserve"> </w:t>
      </w:r>
      <w:r>
        <w:t>John</w:t>
      </w:r>
      <w:r w:rsidR="001A1F90">
        <w:t xml:space="preserve"> </w:t>
      </w:r>
      <w:r>
        <w:t>did</w:t>
      </w:r>
      <w:r w:rsidR="001A1F90">
        <w:t xml:space="preserve"> </w:t>
      </w:r>
      <w:r>
        <w:t>not</w:t>
      </w:r>
      <w:r w:rsidR="001A1F90">
        <w:t xml:space="preserve"> </w:t>
      </w:r>
      <w:r>
        <w:t>have</w:t>
      </w:r>
      <w:r w:rsidR="001A1F90">
        <w:t xml:space="preserve"> </w:t>
      </w:r>
      <w:r>
        <w:t>any</w:t>
      </w:r>
      <w:r w:rsidR="001A1F90">
        <w:t xml:space="preserve"> </w:t>
      </w:r>
      <w:r>
        <w:t>other</w:t>
      </w:r>
      <w:r w:rsidR="001A1F90">
        <w:t xml:space="preserve"> </w:t>
      </w:r>
      <w:r>
        <w:t>contact</w:t>
      </w:r>
      <w:r w:rsidR="001A1F90">
        <w:t xml:space="preserve"> </w:t>
      </w:r>
      <w:r>
        <w:t>with</w:t>
      </w:r>
      <w:r w:rsidR="001A1F90">
        <w:t xml:space="preserve"> </w:t>
      </w:r>
      <w:r>
        <w:t>children.</w:t>
      </w:r>
      <w:r w:rsidR="001A1F90">
        <w:t xml:space="preserve"> </w:t>
      </w:r>
      <w:r>
        <w:t>John</w:t>
      </w:r>
      <w:r w:rsidR="001A1F90">
        <w:t xml:space="preserve"> </w:t>
      </w:r>
      <w:r>
        <w:t>had</w:t>
      </w:r>
      <w:r w:rsidR="001A1F90">
        <w:t xml:space="preserve"> </w:t>
      </w:r>
      <w:r>
        <w:t>no</w:t>
      </w:r>
      <w:r w:rsidR="001A1F90">
        <w:t xml:space="preserve"> </w:t>
      </w:r>
      <w:r>
        <w:t>known</w:t>
      </w:r>
      <w:r w:rsidR="001A1F90">
        <w:t xml:space="preserve"> </w:t>
      </w:r>
      <w:r>
        <w:t>physical</w:t>
      </w:r>
      <w:r w:rsidR="001A1F90">
        <w:t xml:space="preserve"> </w:t>
      </w:r>
      <w:r>
        <w:t>health</w:t>
      </w:r>
      <w:r w:rsidR="001A1F90">
        <w:t xml:space="preserve"> </w:t>
      </w:r>
      <w:r>
        <w:t>issues.</w:t>
      </w:r>
    </w:p>
    <w:p w14:paraId="78184D82" w14:textId="4EE929D2" w:rsidR="004946F1" w:rsidRDefault="004946F1" w:rsidP="00BD612C">
      <w:pPr>
        <w:pStyle w:val="DHHSbody"/>
      </w:pPr>
      <w:r>
        <w:t>The</w:t>
      </w:r>
      <w:r w:rsidR="001A1F90">
        <w:t xml:space="preserve"> </w:t>
      </w:r>
      <w:r>
        <w:t>forensic</w:t>
      </w:r>
      <w:r w:rsidR="001A1F90">
        <w:t xml:space="preserve"> </w:t>
      </w:r>
      <w:r>
        <w:t>assessment</w:t>
      </w:r>
      <w:r w:rsidR="001A1F90">
        <w:t xml:space="preserve"> </w:t>
      </w:r>
      <w:r>
        <w:t>concluded</w:t>
      </w:r>
      <w:r w:rsidR="001A1F90">
        <w:t xml:space="preserve"> </w:t>
      </w:r>
      <w:r>
        <w:t>that</w:t>
      </w:r>
      <w:r w:rsidR="001A1F90">
        <w:t xml:space="preserve"> </w:t>
      </w:r>
      <w:r>
        <w:t>there</w:t>
      </w:r>
      <w:r w:rsidR="001A1F90">
        <w:t xml:space="preserve"> </w:t>
      </w:r>
      <w:r>
        <w:t>was</w:t>
      </w:r>
      <w:r w:rsidR="001A1F90">
        <w:t xml:space="preserve"> </w:t>
      </w:r>
      <w:r>
        <w:t>no</w:t>
      </w:r>
      <w:r w:rsidR="001A1F90">
        <w:t xml:space="preserve"> </w:t>
      </w:r>
      <w:r>
        <w:t>major</w:t>
      </w:r>
      <w:r w:rsidR="001A1F90">
        <w:t xml:space="preserve"> </w:t>
      </w:r>
      <w:r>
        <w:t>mental</w:t>
      </w:r>
      <w:r w:rsidR="001A1F90">
        <w:t xml:space="preserve"> </w:t>
      </w:r>
      <w:r>
        <w:t>illness.</w:t>
      </w:r>
      <w:r w:rsidR="001A1F90">
        <w:t xml:space="preserve"> </w:t>
      </w:r>
      <w:r>
        <w:t>There</w:t>
      </w:r>
      <w:r w:rsidR="001A1F90">
        <w:t xml:space="preserve"> </w:t>
      </w:r>
      <w:r>
        <w:t>was</w:t>
      </w:r>
      <w:r w:rsidR="001A1F90">
        <w:t xml:space="preserve"> </w:t>
      </w:r>
      <w:r>
        <w:t>some</w:t>
      </w:r>
      <w:r w:rsidR="001A1F90">
        <w:t xml:space="preserve"> </w:t>
      </w:r>
      <w:r>
        <w:t>indication</w:t>
      </w:r>
      <w:r w:rsidR="001A1F90">
        <w:t xml:space="preserve"> </w:t>
      </w:r>
      <w:r>
        <w:t>that</w:t>
      </w:r>
      <w:r w:rsidR="001A1F90">
        <w:t xml:space="preserve"> </w:t>
      </w:r>
      <w:r>
        <w:t>his</w:t>
      </w:r>
      <w:r w:rsidR="001A1F90">
        <w:t xml:space="preserve"> </w:t>
      </w:r>
      <w:r>
        <w:t>angry</w:t>
      </w:r>
      <w:r w:rsidR="001A1F90">
        <w:t xml:space="preserve"> </w:t>
      </w:r>
      <w:r>
        <w:t>outbursts</w:t>
      </w:r>
      <w:r w:rsidR="001A1F90">
        <w:t xml:space="preserve"> </w:t>
      </w:r>
      <w:r>
        <w:t>had</w:t>
      </w:r>
      <w:r w:rsidR="001A1F90">
        <w:t xml:space="preserve"> </w:t>
      </w:r>
      <w:r>
        <w:t>diminished</w:t>
      </w:r>
      <w:r w:rsidR="001A1F90">
        <w:t xml:space="preserve"> </w:t>
      </w:r>
      <w:r>
        <w:t>on</w:t>
      </w:r>
      <w:r w:rsidR="001A1F90">
        <w:t xml:space="preserve"> </w:t>
      </w:r>
      <w:r>
        <w:t>risperidone</w:t>
      </w:r>
      <w:r w:rsidR="001A1F90">
        <w:t xml:space="preserve"> </w:t>
      </w:r>
      <w:r>
        <w:t>though</w:t>
      </w:r>
      <w:r w:rsidR="001A1F90">
        <w:t xml:space="preserve"> </w:t>
      </w:r>
      <w:r>
        <w:t>other</w:t>
      </w:r>
      <w:r w:rsidR="001A1F90">
        <w:t xml:space="preserve"> </w:t>
      </w:r>
      <w:r>
        <w:t>factors,</w:t>
      </w:r>
      <w:r w:rsidR="001A1F90">
        <w:t xml:space="preserve"> </w:t>
      </w:r>
      <w:r>
        <w:t>particularly</w:t>
      </w:r>
      <w:r w:rsidR="001A1F90">
        <w:t xml:space="preserve"> </w:t>
      </w:r>
      <w:r>
        <w:t>environmental</w:t>
      </w:r>
      <w:r w:rsidR="001A1F90">
        <w:t xml:space="preserve"> </w:t>
      </w:r>
      <w:r>
        <w:t>changes,</w:t>
      </w:r>
      <w:r w:rsidR="001A1F90">
        <w:t xml:space="preserve"> </w:t>
      </w:r>
      <w:r>
        <w:t>may</w:t>
      </w:r>
      <w:r w:rsidR="001A1F90">
        <w:t xml:space="preserve"> </w:t>
      </w:r>
      <w:r>
        <w:t>have</w:t>
      </w:r>
      <w:r w:rsidR="001A1F90">
        <w:t xml:space="preserve"> </w:t>
      </w:r>
      <w:r>
        <w:t>contributed</w:t>
      </w:r>
      <w:r w:rsidR="001A1F90">
        <w:t xml:space="preserve"> </w:t>
      </w:r>
      <w:r>
        <w:t>to</w:t>
      </w:r>
      <w:r w:rsidR="001A1F90">
        <w:t xml:space="preserve"> </w:t>
      </w:r>
      <w:r>
        <w:t>his</w:t>
      </w:r>
      <w:r w:rsidR="001A1F90">
        <w:t xml:space="preserve"> </w:t>
      </w:r>
      <w:r>
        <w:t>improved</w:t>
      </w:r>
      <w:r w:rsidR="001A1F90">
        <w:t xml:space="preserve"> </w:t>
      </w:r>
      <w:r>
        <w:t>manageability.</w:t>
      </w:r>
      <w:r w:rsidR="001A1F90">
        <w:t xml:space="preserve"> </w:t>
      </w:r>
      <w:r>
        <w:t>There</w:t>
      </w:r>
      <w:r w:rsidR="001A1F90">
        <w:t xml:space="preserve"> </w:t>
      </w:r>
      <w:r>
        <w:t>was</w:t>
      </w:r>
      <w:r w:rsidR="001A1F90">
        <w:t xml:space="preserve"> </w:t>
      </w:r>
      <w:r>
        <w:t>no</w:t>
      </w:r>
      <w:r w:rsidR="001A1F90">
        <w:t xml:space="preserve"> </w:t>
      </w:r>
      <w:r>
        <w:t>clear</w:t>
      </w:r>
      <w:r w:rsidR="001A1F90">
        <w:t xml:space="preserve"> </w:t>
      </w:r>
      <w:r>
        <w:t>support</w:t>
      </w:r>
      <w:r w:rsidR="001A1F90">
        <w:t xml:space="preserve"> </w:t>
      </w:r>
      <w:r>
        <w:t>for</w:t>
      </w:r>
      <w:r w:rsidR="001A1F90">
        <w:t xml:space="preserve"> </w:t>
      </w:r>
      <w:r>
        <w:t>the</w:t>
      </w:r>
      <w:r w:rsidR="001A1F90">
        <w:t xml:space="preserve"> </w:t>
      </w:r>
      <w:r>
        <w:t>efficacy</w:t>
      </w:r>
      <w:r w:rsidR="001A1F90">
        <w:t xml:space="preserve"> </w:t>
      </w:r>
      <w:r>
        <w:t>of</w:t>
      </w:r>
      <w:r w:rsidR="001A1F90">
        <w:t xml:space="preserve"> </w:t>
      </w:r>
      <w:r>
        <w:t>fluoxetine.</w:t>
      </w:r>
      <w:r w:rsidR="001A1F90">
        <w:t xml:space="preserve"> </w:t>
      </w:r>
      <w:r>
        <w:t>The</w:t>
      </w:r>
      <w:r w:rsidR="001A1F90">
        <w:t xml:space="preserve"> </w:t>
      </w:r>
      <w:r>
        <w:t>interview,</w:t>
      </w:r>
      <w:r w:rsidR="001A1F90">
        <w:t xml:space="preserve"> </w:t>
      </w:r>
      <w:r>
        <w:t>criminal</w:t>
      </w:r>
      <w:r w:rsidR="001A1F90">
        <w:t xml:space="preserve"> </w:t>
      </w:r>
      <w:r>
        <w:t>record</w:t>
      </w:r>
      <w:r w:rsidR="001A1F90">
        <w:t xml:space="preserve"> </w:t>
      </w:r>
      <w:r>
        <w:t>and</w:t>
      </w:r>
      <w:r w:rsidR="001A1F90">
        <w:t xml:space="preserve"> </w:t>
      </w:r>
      <w:r>
        <w:t>observations</w:t>
      </w:r>
      <w:r w:rsidR="001A1F90">
        <w:t xml:space="preserve"> </w:t>
      </w:r>
      <w:r>
        <w:t>of</w:t>
      </w:r>
      <w:r w:rsidR="001A1F90">
        <w:t xml:space="preserve"> </w:t>
      </w:r>
      <w:r>
        <w:t>carers</w:t>
      </w:r>
      <w:r w:rsidR="001A1F90">
        <w:t xml:space="preserve"> </w:t>
      </w:r>
      <w:r>
        <w:t>provided</w:t>
      </w:r>
      <w:r w:rsidR="001A1F90">
        <w:t xml:space="preserve"> </w:t>
      </w:r>
      <w:r>
        <w:t>compelling</w:t>
      </w:r>
      <w:r w:rsidR="001A1F90">
        <w:t xml:space="preserve"> </w:t>
      </w:r>
      <w:r>
        <w:t>support</w:t>
      </w:r>
      <w:r w:rsidR="001A1F90">
        <w:t xml:space="preserve"> </w:t>
      </w:r>
      <w:r>
        <w:t>for</w:t>
      </w:r>
      <w:r w:rsidR="001A1F90">
        <w:t xml:space="preserve"> </w:t>
      </w:r>
      <w:r>
        <w:t>a</w:t>
      </w:r>
      <w:r w:rsidR="001A1F90">
        <w:t xml:space="preserve"> </w:t>
      </w:r>
      <w:r>
        <w:t>diagnosis</w:t>
      </w:r>
      <w:r w:rsidR="001A1F90">
        <w:t xml:space="preserve"> </w:t>
      </w:r>
      <w:r>
        <w:t>of</w:t>
      </w:r>
      <w:r w:rsidR="001A1F90">
        <w:t xml:space="preserve"> </w:t>
      </w:r>
      <w:r>
        <w:t>paraphilia</w:t>
      </w:r>
      <w:r w:rsidR="001A1F90">
        <w:t xml:space="preserve"> </w:t>
      </w:r>
      <w:r>
        <w:t>(paedophilia).</w:t>
      </w:r>
      <w:r w:rsidR="001A1F90">
        <w:t xml:space="preserve"> </w:t>
      </w:r>
      <w:r>
        <w:t>His</w:t>
      </w:r>
      <w:r w:rsidR="001A1F90">
        <w:t xml:space="preserve"> </w:t>
      </w:r>
      <w:r>
        <w:t>predominant</w:t>
      </w:r>
      <w:r w:rsidR="001A1F90">
        <w:t xml:space="preserve"> </w:t>
      </w:r>
      <w:r>
        <w:t>source</w:t>
      </w:r>
      <w:r w:rsidR="001A1F90">
        <w:t xml:space="preserve"> </w:t>
      </w:r>
      <w:r>
        <w:t>of</w:t>
      </w:r>
      <w:r w:rsidR="001A1F90">
        <w:t xml:space="preserve"> </w:t>
      </w:r>
      <w:r>
        <w:t>sexual</w:t>
      </w:r>
      <w:r w:rsidR="001A1F90">
        <w:t xml:space="preserve"> </w:t>
      </w:r>
      <w:r>
        <w:t>interest</w:t>
      </w:r>
      <w:r w:rsidR="001A1F90">
        <w:t xml:space="preserve"> </w:t>
      </w:r>
      <w:r>
        <w:t>and</w:t>
      </w:r>
      <w:r w:rsidR="001A1F90">
        <w:t xml:space="preserve"> </w:t>
      </w:r>
      <w:r>
        <w:t>arousal</w:t>
      </w:r>
      <w:r w:rsidR="001A1F90">
        <w:t xml:space="preserve"> </w:t>
      </w:r>
      <w:r>
        <w:t>based</w:t>
      </w:r>
      <w:r w:rsidR="001A1F90">
        <w:t xml:space="preserve"> </w:t>
      </w:r>
      <w:r>
        <w:t>on</w:t>
      </w:r>
      <w:r w:rsidR="001A1F90">
        <w:t xml:space="preserve"> </w:t>
      </w:r>
      <w:r>
        <w:t>official</w:t>
      </w:r>
      <w:r w:rsidR="001A1F90">
        <w:t xml:space="preserve"> </w:t>
      </w:r>
      <w:r>
        <w:t>and</w:t>
      </w:r>
      <w:r w:rsidR="001A1F90">
        <w:t xml:space="preserve"> </w:t>
      </w:r>
      <w:r>
        <w:t>unofficial</w:t>
      </w:r>
      <w:r w:rsidR="001A1F90">
        <w:t xml:space="preserve"> </w:t>
      </w:r>
      <w:r>
        <w:t>reports</w:t>
      </w:r>
      <w:r w:rsidR="001A1F90">
        <w:t xml:space="preserve"> </w:t>
      </w:r>
      <w:r>
        <w:t>appeared</w:t>
      </w:r>
      <w:r w:rsidR="001A1F90">
        <w:t xml:space="preserve"> </w:t>
      </w:r>
      <w:r>
        <w:t>to</w:t>
      </w:r>
      <w:r w:rsidR="001A1F90">
        <w:t xml:space="preserve"> </w:t>
      </w:r>
      <w:r>
        <w:t>be</w:t>
      </w:r>
      <w:r w:rsidR="001A1F90">
        <w:t xml:space="preserve"> </w:t>
      </w:r>
      <w:r>
        <w:t>male</w:t>
      </w:r>
      <w:r w:rsidR="001A1F90">
        <w:t xml:space="preserve"> </w:t>
      </w:r>
      <w:r>
        <w:t>children,</w:t>
      </w:r>
      <w:r w:rsidR="001A1F90">
        <w:t xml:space="preserve"> </w:t>
      </w:r>
      <w:r>
        <w:t>ranging</w:t>
      </w:r>
      <w:r w:rsidR="001A1F90">
        <w:t xml:space="preserve"> </w:t>
      </w:r>
      <w:r>
        <w:t>in</w:t>
      </w:r>
      <w:r w:rsidR="001A1F90">
        <w:t xml:space="preserve"> </w:t>
      </w:r>
      <w:r>
        <w:t>age</w:t>
      </w:r>
      <w:r w:rsidR="001A1F90">
        <w:t xml:space="preserve"> </w:t>
      </w:r>
      <w:r>
        <w:t>from</w:t>
      </w:r>
      <w:r w:rsidR="001A1F90">
        <w:t xml:space="preserve"> </w:t>
      </w:r>
      <w:r w:rsidR="00301CA9">
        <w:t xml:space="preserve">five to </w:t>
      </w:r>
      <w:r>
        <w:t>12</w:t>
      </w:r>
      <w:r w:rsidR="001A1F90">
        <w:t xml:space="preserve"> </w:t>
      </w:r>
      <w:r>
        <w:t>years.</w:t>
      </w:r>
      <w:r w:rsidR="001A1F90">
        <w:t xml:space="preserve"> </w:t>
      </w:r>
      <w:r>
        <w:t>He</w:t>
      </w:r>
      <w:r w:rsidR="001A1F90">
        <w:t xml:space="preserve"> </w:t>
      </w:r>
      <w:r>
        <w:t>had</w:t>
      </w:r>
      <w:r w:rsidR="001A1F90">
        <w:t xml:space="preserve"> </w:t>
      </w:r>
      <w:r>
        <w:t>repeatedly</w:t>
      </w:r>
      <w:r w:rsidR="001A1F90">
        <w:t xml:space="preserve"> </w:t>
      </w:r>
      <w:r>
        <w:t>acted</w:t>
      </w:r>
      <w:r w:rsidR="001A1F90">
        <w:t xml:space="preserve"> </w:t>
      </w:r>
      <w:r>
        <w:t>on</w:t>
      </w:r>
      <w:r w:rsidR="001A1F90">
        <w:t xml:space="preserve"> </w:t>
      </w:r>
      <w:r>
        <w:t>his</w:t>
      </w:r>
      <w:r w:rsidR="001A1F90">
        <w:t xml:space="preserve"> </w:t>
      </w:r>
      <w:r>
        <w:t>urges</w:t>
      </w:r>
      <w:r w:rsidR="001A1F90">
        <w:t xml:space="preserve"> </w:t>
      </w:r>
      <w:r>
        <w:t>from</w:t>
      </w:r>
      <w:r w:rsidR="001A1F90">
        <w:t xml:space="preserve"> </w:t>
      </w:r>
      <w:r>
        <w:t>the</w:t>
      </w:r>
      <w:r w:rsidR="001A1F90">
        <w:t xml:space="preserve"> </w:t>
      </w:r>
      <w:r>
        <w:t>age</w:t>
      </w:r>
      <w:r w:rsidR="001A1F90">
        <w:t xml:space="preserve"> </w:t>
      </w:r>
      <w:r>
        <w:t>of</w:t>
      </w:r>
      <w:r w:rsidR="001A1F90">
        <w:t xml:space="preserve"> </w:t>
      </w:r>
      <w:r>
        <w:t>16,</w:t>
      </w:r>
      <w:r w:rsidR="001A1F90">
        <w:t xml:space="preserve"> </w:t>
      </w:r>
      <w:r>
        <w:t>whenever</w:t>
      </w:r>
      <w:r w:rsidR="001A1F90">
        <w:t xml:space="preserve"> </w:t>
      </w:r>
      <w:r>
        <w:t>circumstances</w:t>
      </w:r>
      <w:r w:rsidR="001A1F90">
        <w:t xml:space="preserve"> </w:t>
      </w:r>
      <w:r>
        <w:t>made</w:t>
      </w:r>
      <w:r w:rsidR="001A1F90">
        <w:t xml:space="preserve"> </w:t>
      </w:r>
      <w:r>
        <w:t>it</w:t>
      </w:r>
      <w:r w:rsidR="001A1F90">
        <w:t xml:space="preserve"> </w:t>
      </w:r>
      <w:r>
        <w:t>possible.</w:t>
      </w:r>
      <w:r w:rsidR="001A1F90">
        <w:t xml:space="preserve"> </w:t>
      </w:r>
      <w:r>
        <w:t>His</w:t>
      </w:r>
      <w:r w:rsidR="001A1F90">
        <w:t xml:space="preserve"> </w:t>
      </w:r>
      <w:r>
        <w:t>offences</w:t>
      </w:r>
      <w:r w:rsidR="001A1F90">
        <w:t xml:space="preserve"> </w:t>
      </w:r>
      <w:r>
        <w:t>had</w:t>
      </w:r>
      <w:r w:rsidR="001A1F90">
        <w:t xml:space="preserve"> </w:t>
      </w:r>
      <w:r>
        <w:t>a</w:t>
      </w:r>
      <w:r w:rsidR="001A1F90">
        <w:t xml:space="preserve"> </w:t>
      </w:r>
      <w:r>
        <w:t>typically</w:t>
      </w:r>
      <w:r w:rsidR="001A1F90">
        <w:t xml:space="preserve"> </w:t>
      </w:r>
      <w:r>
        <w:t>opportunistic</w:t>
      </w:r>
      <w:r w:rsidR="001A1F90">
        <w:t xml:space="preserve"> </w:t>
      </w:r>
      <w:r>
        <w:t>pattern</w:t>
      </w:r>
      <w:r w:rsidR="00160CF1">
        <w:t>,</w:t>
      </w:r>
      <w:r w:rsidR="001A1F90">
        <w:t xml:space="preserve"> </w:t>
      </w:r>
      <w:r>
        <w:t>but</w:t>
      </w:r>
      <w:r w:rsidR="001A1F90">
        <w:t xml:space="preserve"> </w:t>
      </w:r>
      <w:r>
        <w:t>they</w:t>
      </w:r>
      <w:r w:rsidR="001A1F90">
        <w:t xml:space="preserve"> </w:t>
      </w:r>
      <w:r>
        <w:t>had</w:t>
      </w:r>
      <w:r w:rsidR="001A1F90">
        <w:t xml:space="preserve"> </w:t>
      </w:r>
      <w:r>
        <w:t>also</w:t>
      </w:r>
      <w:r w:rsidR="001A1F90">
        <w:t xml:space="preserve"> </w:t>
      </w:r>
      <w:r>
        <w:t>been</w:t>
      </w:r>
      <w:r w:rsidR="001A1F90">
        <w:t xml:space="preserve"> </w:t>
      </w:r>
      <w:r>
        <w:t>characterised</w:t>
      </w:r>
      <w:r w:rsidR="001A1F90">
        <w:t xml:space="preserve"> </w:t>
      </w:r>
      <w:r>
        <w:t>by</w:t>
      </w:r>
      <w:r w:rsidR="001A1F90">
        <w:t xml:space="preserve"> </w:t>
      </w:r>
      <w:r>
        <w:t>grooming</w:t>
      </w:r>
      <w:r w:rsidR="001A1F90">
        <w:t xml:space="preserve"> </w:t>
      </w:r>
      <w:r>
        <w:t>behaviours</w:t>
      </w:r>
      <w:r w:rsidR="001A1F90">
        <w:t xml:space="preserve"> </w:t>
      </w:r>
      <w:r>
        <w:t>and</w:t>
      </w:r>
      <w:r w:rsidR="001A1F90">
        <w:t xml:space="preserve"> </w:t>
      </w:r>
      <w:r>
        <w:t>efforts</w:t>
      </w:r>
      <w:r w:rsidR="001A1F90">
        <w:t xml:space="preserve"> </w:t>
      </w:r>
      <w:r>
        <w:t>to</w:t>
      </w:r>
      <w:r w:rsidR="001A1F90">
        <w:t xml:space="preserve"> </w:t>
      </w:r>
      <w:r>
        <w:t>conceal</w:t>
      </w:r>
      <w:r w:rsidR="001A1F90">
        <w:t xml:space="preserve"> </w:t>
      </w:r>
      <w:r>
        <w:t>his</w:t>
      </w:r>
      <w:r w:rsidR="001A1F90">
        <w:t xml:space="preserve"> </w:t>
      </w:r>
      <w:r>
        <w:t>activities.</w:t>
      </w:r>
      <w:r w:rsidR="001A1F90">
        <w:t xml:space="preserve"> </w:t>
      </w:r>
      <w:r>
        <w:t>He</w:t>
      </w:r>
      <w:r w:rsidR="001A1F90">
        <w:t xml:space="preserve"> </w:t>
      </w:r>
      <w:r>
        <w:t>had</w:t>
      </w:r>
      <w:r w:rsidR="001A1F90">
        <w:t xml:space="preserve"> </w:t>
      </w:r>
      <w:r>
        <w:t>consistently</w:t>
      </w:r>
      <w:r w:rsidR="001A1F90">
        <w:t xml:space="preserve"> </w:t>
      </w:r>
      <w:r>
        <w:t>denied</w:t>
      </w:r>
      <w:r w:rsidR="001A1F90">
        <w:t xml:space="preserve"> </w:t>
      </w:r>
      <w:r>
        <w:t>his</w:t>
      </w:r>
      <w:r w:rsidR="001A1F90">
        <w:t xml:space="preserve"> </w:t>
      </w:r>
      <w:r>
        <w:t>offending,</w:t>
      </w:r>
      <w:r w:rsidR="001A1F90">
        <w:t xml:space="preserve"> </w:t>
      </w:r>
      <w:r>
        <w:t>though</w:t>
      </w:r>
      <w:r w:rsidR="001A1F90">
        <w:t xml:space="preserve"> </w:t>
      </w:r>
      <w:r>
        <w:t>in</w:t>
      </w:r>
      <w:r w:rsidR="001A1F90">
        <w:t xml:space="preserve"> </w:t>
      </w:r>
      <w:r>
        <w:t>more</w:t>
      </w:r>
      <w:r w:rsidR="001A1F90">
        <w:t xml:space="preserve"> </w:t>
      </w:r>
      <w:r>
        <w:t>recent</w:t>
      </w:r>
      <w:r w:rsidR="001A1F90">
        <w:t xml:space="preserve"> </w:t>
      </w:r>
      <w:r>
        <w:t>times</w:t>
      </w:r>
      <w:r w:rsidR="001A1F90">
        <w:t xml:space="preserve"> </w:t>
      </w:r>
      <w:r>
        <w:t>he</w:t>
      </w:r>
      <w:r w:rsidR="001A1F90">
        <w:t xml:space="preserve"> </w:t>
      </w:r>
      <w:r>
        <w:t>had</w:t>
      </w:r>
      <w:r w:rsidR="001A1F90">
        <w:t xml:space="preserve"> </w:t>
      </w:r>
      <w:r>
        <w:t>established</w:t>
      </w:r>
      <w:r w:rsidR="001A1F90">
        <w:t xml:space="preserve"> </w:t>
      </w:r>
      <w:r>
        <w:t>sufficient</w:t>
      </w:r>
      <w:r w:rsidR="001A1F90">
        <w:t xml:space="preserve"> </w:t>
      </w:r>
      <w:r>
        <w:t>trust</w:t>
      </w:r>
      <w:r w:rsidR="001A1F90">
        <w:t xml:space="preserve"> </w:t>
      </w:r>
      <w:r>
        <w:t>in</w:t>
      </w:r>
      <w:r w:rsidR="001A1F90">
        <w:t xml:space="preserve"> </w:t>
      </w:r>
      <w:r>
        <w:t>his</w:t>
      </w:r>
      <w:r w:rsidR="001A1F90">
        <w:t xml:space="preserve"> </w:t>
      </w:r>
      <w:r>
        <w:t>male</w:t>
      </w:r>
      <w:r w:rsidR="001A1F90">
        <w:t xml:space="preserve"> </w:t>
      </w:r>
      <w:r>
        <w:t>carer</w:t>
      </w:r>
      <w:r w:rsidR="001A1F90">
        <w:t xml:space="preserve"> </w:t>
      </w:r>
      <w:r>
        <w:t>and</w:t>
      </w:r>
      <w:r w:rsidR="001A1F90">
        <w:t xml:space="preserve"> </w:t>
      </w:r>
      <w:r>
        <w:t>Disability</w:t>
      </w:r>
      <w:r w:rsidR="001A1F90">
        <w:t xml:space="preserve"> </w:t>
      </w:r>
      <w:r>
        <w:t>Services</w:t>
      </w:r>
      <w:r w:rsidR="001A1F90">
        <w:t xml:space="preserve"> </w:t>
      </w:r>
      <w:r>
        <w:t>psychologist</w:t>
      </w:r>
      <w:r w:rsidR="001A1F90">
        <w:t xml:space="preserve"> </w:t>
      </w:r>
      <w:r>
        <w:t>to</w:t>
      </w:r>
      <w:r w:rsidR="001A1F90">
        <w:t xml:space="preserve"> </w:t>
      </w:r>
      <w:r>
        <w:t>acknowledge</w:t>
      </w:r>
      <w:r w:rsidR="001A1F90">
        <w:t xml:space="preserve"> </w:t>
      </w:r>
      <w:r>
        <w:t>some</w:t>
      </w:r>
      <w:r w:rsidR="001A1F90">
        <w:t xml:space="preserve"> </w:t>
      </w:r>
      <w:r>
        <w:t>problems.</w:t>
      </w:r>
    </w:p>
    <w:p w14:paraId="57627879" w14:textId="1679E000" w:rsidR="004946F1" w:rsidRDefault="004946F1" w:rsidP="00BD612C">
      <w:pPr>
        <w:pStyle w:val="DHHSbody"/>
      </w:pPr>
      <w:r>
        <w:t>Past</w:t>
      </w:r>
      <w:r w:rsidR="001A1F90">
        <w:t xml:space="preserve"> </w:t>
      </w:r>
      <w:r>
        <w:t>attempts</w:t>
      </w:r>
      <w:r w:rsidR="001A1F90">
        <w:t xml:space="preserve"> </w:t>
      </w:r>
      <w:r>
        <w:t>to</w:t>
      </w:r>
      <w:r w:rsidR="001A1F90">
        <w:t xml:space="preserve"> </w:t>
      </w:r>
      <w:r>
        <w:t>control</w:t>
      </w:r>
      <w:r w:rsidR="001A1F90">
        <w:t xml:space="preserve"> </w:t>
      </w:r>
      <w:r>
        <w:t>John’s</w:t>
      </w:r>
      <w:r w:rsidR="001A1F90">
        <w:t xml:space="preserve"> </w:t>
      </w:r>
      <w:r>
        <w:t>sexual</w:t>
      </w:r>
      <w:r w:rsidR="001A1F90">
        <w:t xml:space="preserve"> </w:t>
      </w:r>
      <w:r>
        <w:t>urges</w:t>
      </w:r>
      <w:r w:rsidR="001A1F90">
        <w:t xml:space="preserve"> </w:t>
      </w:r>
      <w:r>
        <w:t>through</w:t>
      </w:r>
      <w:r w:rsidR="001A1F90">
        <w:t xml:space="preserve"> </w:t>
      </w:r>
      <w:r>
        <w:t>psychological</w:t>
      </w:r>
      <w:r w:rsidR="001A1F90">
        <w:t xml:space="preserve"> </w:t>
      </w:r>
      <w:r>
        <w:t>counselling,</w:t>
      </w:r>
      <w:r w:rsidR="001A1F90">
        <w:t xml:space="preserve"> </w:t>
      </w:r>
      <w:r>
        <w:t>antipsychotic</w:t>
      </w:r>
      <w:r w:rsidR="001A1F90">
        <w:t xml:space="preserve"> </w:t>
      </w:r>
      <w:r>
        <w:t>agents</w:t>
      </w:r>
      <w:r w:rsidR="001A1F90">
        <w:t xml:space="preserve"> </w:t>
      </w:r>
      <w:r>
        <w:t>and</w:t>
      </w:r>
      <w:r w:rsidR="001A1F90">
        <w:t xml:space="preserve"> </w:t>
      </w:r>
      <w:r>
        <w:t>serotonergic</w:t>
      </w:r>
      <w:r w:rsidR="001A1F90">
        <w:t xml:space="preserve"> </w:t>
      </w:r>
      <w:r>
        <w:t>antidepressants</w:t>
      </w:r>
      <w:r w:rsidR="001A1F90">
        <w:t xml:space="preserve"> </w:t>
      </w:r>
      <w:r>
        <w:t>had</w:t>
      </w:r>
      <w:r w:rsidR="001A1F90">
        <w:t xml:space="preserve"> </w:t>
      </w:r>
      <w:r>
        <w:t>not</w:t>
      </w:r>
      <w:r w:rsidR="001A1F90">
        <w:t xml:space="preserve"> </w:t>
      </w:r>
      <w:r>
        <w:t>ameliorated</w:t>
      </w:r>
      <w:r w:rsidR="001A1F90">
        <w:t xml:space="preserve"> </w:t>
      </w:r>
      <w:r>
        <w:t>the</w:t>
      </w:r>
      <w:r w:rsidR="001A1F90">
        <w:t xml:space="preserve"> </w:t>
      </w:r>
      <w:r>
        <w:t>problem.</w:t>
      </w:r>
      <w:r w:rsidR="001A1F90">
        <w:t xml:space="preserve"> </w:t>
      </w:r>
      <w:r>
        <w:t>Given</w:t>
      </w:r>
      <w:r w:rsidR="001A1F90">
        <w:t xml:space="preserve"> </w:t>
      </w:r>
      <w:r>
        <w:t>his</w:t>
      </w:r>
      <w:r w:rsidR="001A1F90">
        <w:t xml:space="preserve"> </w:t>
      </w:r>
      <w:r>
        <w:t>significant</w:t>
      </w:r>
      <w:r w:rsidR="001A1F90">
        <w:t xml:space="preserve"> </w:t>
      </w:r>
      <w:r>
        <w:t>offending</w:t>
      </w:r>
      <w:r w:rsidR="001A1F90">
        <w:t xml:space="preserve"> </w:t>
      </w:r>
      <w:r>
        <w:t>history,</w:t>
      </w:r>
      <w:r w:rsidR="001A1F90">
        <w:t xml:space="preserve"> </w:t>
      </w:r>
      <w:r>
        <w:t>the</w:t>
      </w:r>
      <w:r w:rsidR="001A1F90">
        <w:t xml:space="preserve"> </w:t>
      </w:r>
      <w:r>
        <w:t>high</w:t>
      </w:r>
      <w:r w:rsidR="001A1F90">
        <w:t xml:space="preserve"> </w:t>
      </w:r>
      <w:r>
        <w:t>risk</w:t>
      </w:r>
      <w:r w:rsidR="001A1F90">
        <w:t xml:space="preserve"> </w:t>
      </w:r>
      <w:r>
        <w:t>of</w:t>
      </w:r>
      <w:r w:rsidR="001A1F90">
        <w:t xml:space="preserve"> </w:t>
      </w:r>
      <w:r>
        <w:t>sexual</w:t>
      </w:r>
      <w:r w:rsidR="001A1F90">
        <w:t xml:space="preserve"> </w:t>
      </w:r>
      <w:r>
        <w:t>reoffending,</w:t>
      </w:r>
      <w:r w:rsidR="001A1F90">
        <w:t xml:space="preserve"> </w:t>
      </w:r>
      <w:r>
        <w:t>entrenched</w:t>
      </w:r>
      <w:r w:rsidR="001A1F90">
        <w:t xml:space="preserve"> </w:t>
      </w:r>
      <w:r>
        <w:t>cognitive</w:t>
      </w:r>
      <w:r w:rsidR="001A1F90">
        <w:t xml:space="preserve"> </w:t>
      </w:r>
      <w:r>
        <w:t>distortions</w:t>
      </w:r>
      <w:r w:rsidR="001A1F90">
        <w:t xml:space="preserve"> </w:t>
      </w:r>
      <w:r>
        <w:t>and</w:t>
      </w:r>
      <w:r w:rsidR="001A1F90">
        <w:t xml:space="preserve"> </w:t>
      </w:r>
      <w:r>
        <w:t>his</w:t>
      </w:r>
      <w:r w:rsidR="001A1F90">
        <w:t xml:space="preserve"> </w:t>
      </w:r>
      <w:r>
        <w:t>poor</w:t>
      </w:r>
      <w:r w:rsidR="001A1F90">
        <w:t xml:space="preserve"> </w:t>
      </w:r>
      <w:r>
        <w:t>executive</w:t>
      </w:r>
      <w:r w:rsidR="001A1F90">
        <w:t xml:space="preserve"> </w:t>
      </w:r>
      <w:r>
        <w:t>functioning,</w:t>
      </w:r>
      <w:r w:rsidR="001A1F90">
        <w:t xml:space="preserve"> </w:t>
      </w:r>
      <w:r>
        <w:t>it</w:t>
      </w:r>
      <w:r w:rsidR="001A1F90">
        <w:t xml:space="preserve"> </w:t>
      </w:r>
      <w:r>
        <w:t>was</w:t>
      </w:r>
      <w:r w:rsidR="001A1F90">
        <w:t xml:space="preserve"> </w:t>
      </w:r>
      <w:r>
        <w:t>considered</w:t>
      </w:r>
      <w:r w:rsidR="001A1F90">
        <w:t xml:space="preserve"> </w:t>
      </w:r>
      <w:r>
        <w:t>that</w:t>
      </w:r>
      <w:r w:rsidR="001A1F90">
        <w:t xml:space="preserve"> </w:t>
      </w:r>
      <w:r>
        <w:t>psychological</w:t>
      </w:r>
      <w:r w:rsidR="001A1F90">
        <w:t xml:space="preserve"> </w:t>
      </w:r>
      <w:r>
        <w:t>approaches</w:t>
      </w:r>
      <w:r w:rsidR="001A1F90">
        <w:t xml:space="preserve"> </w:t>
      </w:r>
      <w:r>
        <w:t>alone</w:t>
      </w:r>
      <w:r w:rsidR="001A1F90">
        <w:t xml:space="preserve"> </w:t>
      </w:r>
      <w:r>
        <w:t>were</w:t>
      </w:r>
      <w:r w:rsidR="001A1F90">
        <w:t xml:space="preserve"> </w:t>
      </w:r>
      <w:r>
        <w:t>unlikely</w:t>
      </w:r>
      <w:r w:rsidR="001A1F90">
        <w:t xml:space="preserve"> </w:t>
      </w:r>
      <w:r>
        <w:t>to</w:t>
      </w:r>
      <w:r w:rsidR="001A1F90">
        <w:t xml:space="preserve"> </w:t>
      </w:r>
      <w:r>
        <w:t>reduce</w:t>
      </w:r>
      <w:r w:rsidR="001A1F90">
        <w:t xml:space="preserve"> </w:t>
      </w:r>
      <w:r>
        <w:t>this</w:t>
      </w:r>
      <w:r w:rsidR="001A1F90">
        <w:t xml:space="preserve"> </w:t>
      </w:r>
      <w:r>
        <w:t>risk</w:t>
      </w:r>
      <w:r w:rsidR="001A1F90">
        <w:t xml:space="preserve"> </w:t>
      </w:r>
      <w:r>
        <w:t>and</w:t>
      </w:r>
      <w:r w:rsidR="001A1F90">
        <w:t xml:space="preserve"> </w:t>
      </w:r>
      <w:r>
        <w:t>that</w:t>
      </w:r>
      <w:r w:rsidR="001A1F90">
        <w:t xml:space="preserve"> </w:t>
      </w:r>
      <w:r w:rsidR="00160CF1">
        <w:t xml:space="preserve">John’s </w:t>
      </w:r>
      <w:r>
        <w:t>optimal</w:t>
      </w:r>
      <w:r w:rsidR="001A1F90">
        <w:t xml:space="preserve"> </w:t>
      </w:r>
      <w:r>
        <w:t>management</w:t>
      </w:r>
      <w:r w:rsidR="001A1F90">
        <w:t xml:space="preserve"> </w:t>
      </w:r>
      <w:r>
        <w:t>should</w:t>
      </w:r>
      <w:r w:rsidR="001A1F90">
        <w:t xml:space="preserve"> </w:t>
      </w:r>
      <w:r>
        <w:t>incorporate</w:t>
      </w:r>
      <w:r w:rsidR="001A1F90">
        <w:t xml:space="preserve"> </w:t>
      </w:r>
      <w:r>
        <w:t>psychological,</w:t>
      </w:r>
      <w:r w:rsidR="001A1F90">
        <w:t xml:space="preserve"> </w:t>
      </w:r>
      <w:r>
        <w:t>environmental</w:t>
      </w:r>
      <w:r w:rsidR="001A1F90">
        <w:t xml:space="preserve"> </w:t>
      </w:r>
      <w:r>
        <w:t>and</w:t>
      </w:r>
      <w:r w:rsidR="001A1F90">
        <w:t xml:space="preserve"> </w:t>
      </w:r>
      <w:r>
        <w:t>biological</w:t>
      </w:r>
      <w:r w:rsidR="001A1F90">
        <w:t xml:space="preserve"> </w:t>
      </w:r>
      <w:r>
        <w:t>components,</w:t>
      </w:r>
      <w:r w:rsidR="001A1F90">
        <w:t xml:space="preserve"> </w:t>
      </w:r>
      <w:r>
        <w:t>namely</w:t>
      </w:r>
      <w:r w:rsidR="001A1F90">
        <w:t xml:space="preserve"> </w:t>
      </w:r>
      <w:r>
        <w:t>hormonal</w:t>
      </w:r>
      <w:r w:rsidR="001A1F90">
        <w:t xml:space="preserve"> </w:t>
      </w:r>
      <w:r>
        <w:t>anti-libidinal</w:t>
      </w:r>
      <w:r w:rsidR="001A1F90">
        <w:t xml:space="preserve"> </w:t>
      </w:r>
      <w:r>
        <w:t>medication.</w:t>
      </w:r>
      <w:r w:rsidR="001A1F90">
        <w:t xml:space="preserve"> </w:t>
      </w:r>
      <w:r>
        <w:t>The</w:t>
      </w:r>
      <w:r w:rsidR="001A1F90">
        <w:t xml:space="preserve"> </w:t>
      </w:r>
      <w:r>
        <w:t>treating</w:t>
      </w:r>
      <w:r w:rsidR="001A1F90">
        <w:t xml:space="preserve"> </w:t>
      </w:r>
      <w:r>
        <w:t>mental</w:t>
      </w:r>
      <w:r w:rsidR="001A1F90">
        <w:t xml:space="preserve"> </w:t>
      </w:r>
      <w:r>
        <w:t>health</w:t>
      </w:r>
      <w:r w:rsidR="001A1F90">
        <w:t xml:space="preserve"> </w:t>
      </w:r>
      <w:r>
        <w:t>service</w:t>
      </w:r>
      <w:r w:rsidR="001A1F90">
        <w:t xml:space="preserve"> </w:t>
      </w:r>
      <w:r>
        <w:t>and</w:t>
      </w:r>
      <w:r w:rsidR="001A1F90">
        <w:t xml:space="preserve"> </w:t>
      </w:r>
      <w:r>
        <w:t>GP</w:t>
      </w:r>
      <w:r w:rsidR="001A1F90">
        <w:t xml:space="preserve"> </w:t>
      </w:r>
      <w:r>
        <w:t>accepted</w:t>
      </w:r>
      <w:r w:rsidR="001A1F90">
        <w:t xml:space="preserve"> </w:t>
      </w:r>
      <w:r>
        <w:t>this</w:t>
      </w:r>
      <w:r w:rsidR="001A1F90">
        <w:t xml:space="preserve"> </w:t>
      </w:r>
      <w:r>
        <w:t>advice</w:t>
      </w:r>
      <w:r w:rsidR="001A1F90">
        <w:t xml:space="preserve"> </w:t>
      </w:r>
      <w:r>
        <w:t>and</w:t>
      </w:r>
      <w:r w:rsidR="001A1F90">
        <w:t xml:space="preserve"> </w:t>
      </w:r>
      <w:r>
        <w:t>the</w:t>
      </w:r>
      <w:r w:rsidR="001A1F90">
        <w:t xml:space="preserve"> </w:t>
      </w:r>
      <w:r>
        <w:t>extensive</w:t>
      </w:r>
      <w:r w:rsidR="001A1F90">
        <w:t xml:space="preserve"> </w:t>
      </w:r>
      <w:r>
        <w:t>guidelines</w:t>
      </w:r>
      <w:r w:rsidR="001A1F90">
        <w:t xml:space="preserve"> </w:t>
      </w:r>
      <w:r>
        <w:t>provided.</w:t>
      </w:r>
      <w:r w:rsidR="001A1F90">
        <w:t xml:space="preserve"> </w:t>
      </w:r>
      <w:r>
        <w:t>Relevant</w:t>
      </w:r>
      <w:r w:rsidR="001A1F90">
        <w:t xml:space="preserve"> </w:t>
      </w:r>
      <w:r>
        <w:t>information</w:t>
      </w:r>
      <w:r w:rsidR="001A1F90">
        <w:t xml:space="preserve"> </w:t>
      </w:r>
      <w:r>
        <w:t>was</w:t>
      </w:r>
      <w:r w:rsidR="001A1F90">
        <w:t xml:space="preserve"> </w:t>
      </w:r>
      <w:r>
        <w:t>provided</w:t>
      </w:r>
      <w:r w:rsidR="001A1F90">
        <w:t xml:space="preserve"> </w:t>
      </w:r>
      <w:r>
        <w:t>to</w:t>
      </w:r>
      <w:r w:rsidR="001A1F90">
        <w:t xml:space="preserve"> </w:t>
      </w:r>
      <w:r>
        <w:t>John’s</w:t>
      </w:r>
      <w:r w:rsidR="001A1F90">
        <w:t xml:space="preserve"> </w:t>
      </w:r>
      <w:r>
        <w:t>guardian,</w:t>
      </w:r>
      <w:r w:rsidR="001A1F90">
        <w:t xml:space="preserve"> </w:t>
      </w:r>
      <w:r>
        <w:t>seeking</w:t>
      </w:r>
      <w:r w:rsidR="001A1F90">
        <w:t xml:space="preserve"> </w:t>
      </w:r>
      <w:r>
        <w:t>his</w:t>
      </w:r>
      <w:r w:rsidR="001A1F90">
        <w:t xml:space="preserve"> </w:t>
      </w:r>
      <w:r>
        <w:t>consent</w:t>
      </w:r>
      <w:r w:rsidR="001A1F90">
        <w:t xml:space="preserve"> </w:t>
      </w:r>
      <w:r>
        <w:t>to</w:t>
      </w:r>
      <w:r w:rsidR="001A1F90">
        <w:t xml:space="preserve"> </w:t>
      </w:r>
      <w:r w:rsidR="00160CF1">
        <w:t xml:space="preserve">begin </w:t>
      </w:r>
      <w:r>
        <w:t>treatment</w:t>
      </w:r>
      <w:r w:rsidR="001A1F90">
        <w:t xml:space="preserve"> </w:t>
      </w:r>
      <w:r>
        <w:t>(</w:t>
      </w:r>
      <w:r w:rsidR="002B53B9">
        <w:t>c</w:t>
      </w:r>
      <w:r>
        <w:t>yproterone</w:t>
      </w:r>
      <w:r w:rsidR="001A1F90">
        <w:t xml:space="preserve"> </w:t>
      </w:r>
      <w:r w:rsidR="002B53B9">
        <w:t>a</w:t>
      </w:r>
      <w:r>
        <w:t>cetate).</w:t>
      </w:r>
      <w:r w:rsidR="001A1F90">
        <w:t xml:space="preserve"> </w:t>
      </w:r>
      <w:r>
        <w:t>The</w:t>
      </w:r>
      <w:r w:rsidR="001A1F90">
        <w:t xml:space="preserve"> </w:t>
      </w:r>
      <w:r>
        <w:t>treatment</w:t>
      </w:r>
      <w:r w:rsidR="001A1F90">
        <w:t xml:space="preserve"> </w:t>
      </w:r>
      <w:r>
        <w:t>was</w:t>
      </w:r>
      <w:r w:rsidR="001A1F90">
        <w:t xml:space="preserve"> </w:t>
      </w:r>
      <w:r>
        <w:t>also</w:t>
      </w:r>
      <w:r w:rsidR="001A1F90">
        <w:t xml:space="preserve"> </w:t>
      </w:r>
      <w:r>
        <w:t>explained</w:t>
      </w:r>
      <w:r w:rsidR="001A1F90">
        <w:t xml:space="preserve"> </w:t>
      </w:r>
      <w:r>
        <w:t>to</w:t>
      </w:r>
      <w:r w:rsidR="001A1F90">
        <w:t xml:space="preserve"> </w:t>
      </w:r>
      <w:r>
        <w:t>John</w:t>
      </w:r>
      <w:r w:rsidR="001A1F90">
        <w:t xml:space="preserve"> </w:t>
      </w:r>
      <w:r>
        <w:t>in</w:t>
      </w:r>
      <w:r w:rsidR="001A1F90">
        <w:t xml:space="preserve"> </w:t>
      </w:r>
      <w:r>
        <w:t>simple</w:t>
      </w:r>
      <w:r w:rsidR="001A1F90">
        <w:t xml:space="preserve"> </w:t>
      </w:r>
      <w:r>
        <w:t>terms</w:t>
      </w:r>
      <w:r w:rsidR="001A1F90">
        <w:t xml:space="preserve"> </w:t>
      </w:r>
      <w:r>
        <w:t>and</w:t>
      </w:r>
      <w:r w:rsidR="001A1F90">
        <w:t xml:space="preserve"> </w:t>
      </w:r>
      <w:r>
        <w:t>he</w:t>
      </w:r>
      <w:r w:rsidR="001A1F90">
        <w:t xml:space="preserve"> </w:t>
      </w:r>
      <w:r>
        <w:t>was</w:t>
      </w:r>
      <w:r w:rsidR="001A1F90">
        <w:t xml:space="preserve"> </w:t>
      </w:r>
      <w:r>
        <w:t>amenable,</w:t>
      </w:r>
      <w:r w:rsidR="001A1F90">
        <w:t xml:space="preserve"> </w:t>
      </w:r>
      <w:r>
        <w:t>on</w:t>
      </w:r>
      <w:r w:rsidR="001A1F90">
        <w:t xml:space="preserve"> </w:t>
      </w:r>
      <w:r>
        <w:t>the</w:t>
      </w:r>
      <w:r w:rsidR="001A1F90">
        <w:t xml:space="preserve"> </w:t>
      </w:r>
      <w:r>
        <w:t>basis</w:t>
      </w:r>
      <w:r w:rsidR="001A1F90">
        <w:t xml:space="preserve"> </w:t>
      </w:r>
      <w:r>
        <w:t>that</w:t>
      </w:r>
      <w:r w:rsidR="001A1F90">
        <w:t xml:space="preserve"> </w:t>
      </w:r>
      <w:r>
        <w:t>he</w:t>
      </w:r>
      <w:r w:rsidR="001A1F90">
        <w:t xml:space="preserve"> </w:t>
      </w:r>
      <w:r>
        <w:t>might</w:t>
      </w:r>
      <w:r w:rsidR="001A1F90">
        <w:t xml:space="preserve"> </w:t>
      </w:r>
      <w:r>
        <w:t>in</w:t>
      </w:r>
      <w:r w:rsidR="001A1F90">
        <w:t xml:space="preserve"> </w:t>
      </w:r>
      <w:r>
        <w:t>future</w:t>
      </w:r>
      <w:r w:rsidR="001A1F90">
        <w:t xml:space="preserve"> </w:t>
      </w:r>
      <w:r>
        <w:t>be</w:t>
      </w:r>
      <w:r w:rsidR="001A1F90">
        <w:t xml:space="preserve"> </w:t>
      </w:r>
      <w:r>
        <w:t>able</w:t>
      </w:r>
      <w:r w:rsidR="001A1F90">
        <w:t xml:space="preserve"> </w:t>
      </w:r>
      <w:r>
        <w:t>to</w:t>
      </w:r>
      <w:r w:rsidR="001A1F90">
        <w:t xml:space="preserve"> </w:t>
      </w:r>
      <w:r>
        <w:t>cease</w:t>
      </w:r>
      <w:r w:rsidR="001A1F90">
        <w:t xml:space="preserve"> </w:t>
      </w:r>
      <w:r>
        <w:t>his</w:t>
      </w:r>
      <w:r w:rsidR="001A1F90">
        <w:t xml:space="preserve"> </w:t>
      </w:r>
      <w:r>
        <w:t>other</w:t>
      </w:r>
      <w:r w:rsidR="001A1F90">
        <w:t xml:space="preserve"> </w:t>
      </w:r>
      <w:r>
        <w:t>medication.</w:t>
      </w:r>
      <w:r w:rsidR="001A1F90">
        <w:t xml:space="preserve"> </w:t>
      </w:r>
      <w:r>
        <w:t>It</w:t>
      </w:r>
      <w:r w:rsidR="001A1F90">
        <w:t xml:space="preserve"> </w:t>
      </w:r>
      <w:r>
        <w:t>was</w:t>
      </w:r>
      <w:r w:rsidR="001A1F90">
        <w:t xml:space="preserve"> </w:t>
      </w:r>
      <w:r>
        <w:t>emphasised</w:t>
      </w:r>
      <w:r w:rsidR="001A1F90">
        <w:t xml:space="preserve"> </w:t>
      </w:r>
      <w:r>
        <w:t>that</w:t>
      </w:r>
      <w:r w:rsidR="001A1F90">
        <w:t xml:space="preserve"> </w:t>
      </w:r>
      <w:r>
        <w:t>psychological</w:t>
      </w:r>
      <w:r w:rsidR="001A1F90">
        <w:t xml:space="preserve"> </w:t>
      </w:r>
      <w:r>
        <w:t>counselling</w:t>
      </w:r>
      <w:r w:rsidR="001A1F90">
        <w:t xml:space="preserve"> </w:t>
      </w:r>
      <w:r>
        <w:t>should</w:t>
      </w:r>
      <w:r w:rsidR="001A1F90">
        <w:t xml:space="preserve"> </w:t>
      </w:r>
      <w:r>
        <w:t>continue</w:t>
      </w:r>
      <w:r w:rsidR="001A1F90">
        <w:t xml:space="preserve"> </w:t>
      </w:r>
      <w:r>
        <w:t>in</w:t>
      </w:r>
      <w:r w:rsidR="001A1F90">
        <w:t xml:space="preserve"> </w:t>
      </w:r>
      <w:r>
        <w:t>conjunction</w:t>
      </w:r>
      <w:r w:rsidR="001A1F90">
        <w:t xml:space="preserve"> </w:t>
      </w:r>
      <w:r>
        <w:t>with</w:t>
      </w:r>
      <w:r w:rsidR="001A1F90">
        <w:t xml:space="preserve"> </w:t>
      </w:r>
      <w:r>
        <w:t>biological</w:t>
      </w:r>
      <w:r w:rsidR="001A1F90">
        <w:t xml:space="preserve"> </w:t>
      </w:r>
      <w:r>
        <w:t>therapy,</w:t>
      </w:r>
      <w:r w:rsidR="001A1F90">
        <w:t xml:space="preserve"> </w:t>
      </w:r>
      <w:r>
        <w:t>and</w:t>
      </w:r>
      <w:r w:rsidR="001A1F90">
        <w:t xml:space="preserve"> </w:t>
      </w:r>
      <w:r>
        <w:t>that</w:t>
      </w:r>
      <w:r w:rsidR="001A1F90">
        <w:t xml:space="preserve"> </w:t>
      </w:r>
      <w:r>
        <w:t>the</w:t>
      </w:r>
      <w:r w:rsidR="001A1F90">
        <w:t xml:space="preserve"> </w:t>
      </w:r>
      <w:r>
        <w:t>current</w:t>
      </w:r>
      <w:r w:rsidR="001A1F90">
        <w:t xml:space="preserve"> </w:t>
      </w:r>
      <w:r>
        <w:t>environmental</w:t>
      </w:r>
      <w:r w:rsidR="001A1F90">
        <w:t xml:space="preserve"> </w:t>
      </w:r>
      <w:r>
        <w:t>controls</w:t>
      </w:r>
      <w:r w:rsidR="001A1F90">
        <w:t xml:space="preserve"> </w:t>
      </w:r>
      <w:r>
        <w:t>be</w:t>
      </w:r>
      <w:r w:rsidR="001A1F90">
        <w:t xml:space="preserve"> </w:t>
      </w:r>
      <w:r>
        <w:t>maintained.</w:t>
      </w:r>
      <w:r w:rsidR="001A1F90">
        <w:t xml:space="preserve"> </w:t>
      </w:r>
      <w:r>
        <w:t>Since</w:t>
      </w:r>
      <w:r w:rsidR="001A1F90">
        <w:t xml:space="preserve"> </w:t>
      </w:r>
      <w:r>
        <w:t>John</w:t>
      </w:r>
      <w:r w:rsidR="001A1F90">
        <w:t xml:space="preserve"> </w:t>
      </w:r>
      <w:r>
        <w:t>was</w:t>
      </w:r>
      <w:r w:rsidR="001A1F90">
        <w:t xml:space="preserve"> </w:t>
      </w:r>
      <w:r>
        <w:t>unlikely</w:t>
      </w:r>
      <w:r w:rsidR="001A1F90">
        <w:t xml:space="preserve"> </w:t>
      </w:r>
      <w:r>
        <w:t>to</w:t>
      </w:r>
      <w:r w:rsidR="001A1F90">
        <w:t xml:space="preserve"> </w:t>
      </w:r>
      <w:r>
        <w:t>reliably</w:t>
      </w:r>
      <w:r w:rsidR="001A1F90">
        <w:t xml:space="preserve"> </w:t>
      </w:r>
      <w:r>
        <w:t>self-report</w:t>
      </w:r>
      <w:r w:rsidR="001A1F90">
        <w:t xml:space="preserve"> </w:t>
      </w:r>
      <w:r>
        <w:t>his</w:t>
      </w:r>
      <w:r w:rsidR="001A1F90">
        <w:t xml:space="preserve"> </w:t>
      </w:r>
      <w:r>
        <w:t>sexual</w:t>
      </w:r>
      <w:r w:rsidR="001A1F90">
        <w:t xml:space="preserve"> </w:t>
      </w:r>
      <w:r>
        <w:t>thoughts,</w:t>
      </w:r>
      <w:r w:rsidR="001A1F90">
        <w:t xml:space="preserve"> </w:t>
      </w:r>
      <w:r>
        <w:t>urges</w:t>
      </w:r>
      <w:r w:rsidR="001A1F90">
        <w:t xml:space="preserve"> </w:t>
      </w:r>
      <w:r>
        <w:t>and</w:t>
      </w:r>
      <w:r w:rsidR="001A1F90">
        <w:t xml:space="preserve"> </w:t>
      </w:r>
      <w:r>
        <w:t>behaviours,</w:t>
      </w:r>
      <w:r w:rsidR="001A1F90">
        <w:t xml:space="preserve"> </w:t>
      </w:r>
      <w:r>
        <w:t>his</w:t>
      </w:r>
      <w:r w:rsidR="001A1F90">
        <w:t xml:space="preserve"> </w:t>
      </w:r>
      <w:r>
        <w:t>psychologist</w:t>
      </w:r>
      <w:r w:rsidR="001A1F90">
        <w:t xml:space="preserve"> </w:t>
      </w:r>
      <w:r>
        <w:t>agreed</w:t>
      </w:r>
      <w:r w:rsidR="001A1F90">
        <w:t xml:space="preserve"> </w:t>
      </w:r>
      <w:r>
        <w:t>to</w:t>
      </w:r>
      <w:r w:rsidR="001A1F90">
        <w:t xml:space="preserve"> </w:t>
      </w:r>
      <w:r>
        <w:t>develop</w:t>
      </w:r>
      <w:r w:rsidR="001A1F90">
        <w:t xml:space="preserve"> </w:t>
      </w:r>
      <w:r>
        <w:t>a</w:t>
      </w:r>
      <w:r w:rsidR="001A1F90">
        <w:t xml:space="preserve"> </w:t>
      </w:r>
      <w:r>
        <w:t>suitable</w:t>
      </w:r>
      <w:r w:rsidR="001A1F90">
        <w:t xml:space="preserve"> </w:t>
      </w:r>
      <w:r>
        <w:t>rating</w:t>
      </w:r>
      <w:r w:rsidR="001A1F90">
        <w:t xml:space="preserve"> </w:t>
      </w:r>
      <w:r>
        <w:t>scale</w:t>
      </w:r>
      <w:r w:rsidR="001A1F90">
        <w:t xml:space="preserve"> </w:t>
      </w:r>
      <w:r>
        <w:t>to</w:t>
      </w:r>
      <w:r w:rsidR="001A1F90">
        <w:t xml:space="preserve"> </w:t>
      </w:r>
      <w:r>
        <w:t>enable</w:t>
      </w:r>
      <w:r w:rsidR="001A1F90">
        <w:t xml:space="preserve"> </w:t>
      </w:r>
      <w:r>
        <w:t>his</w:t>
      </w:r>
      <w:r w:rsidR="001A1F90">
        <w:t xml:space="preserve"> </w:t>
      </w:r>
      <w:r>
        <w:t>carers</w:t>
      </w:r>
      <w:r w:rsidR="001A1F90">
        <w:t xml:space="preserve"> </w:t>
      </w:r>
      <w:r>
        <w:t>to</w:t>
      </w:r>
      <w:r w:rsidR="001A1F90">
        <w:t xml:space="preserve"> </w:t>
      </w:r>
      <w:r>
        <w:t>effectively</w:t>
      </w:r>
      <w:r w:rsidR="001A1F90">
        <w:t xml:space="preserve"> </w:t>
      </w:r>
      <w:r>
        <w:t>monitor</w:t>
      </w:r>
      <w:r w:rsidR="001A1F90">
        <w:t xml:space="preserve"> </w:t>
      </w:r>
      <w:r>
        <w:t>the</w:t>
      </w:r>
      <w:r w:rsidR="001A1F90">
        <w:t xml:space="preserve"> </w:t>
      </w:r>
      <w:r>
        <w:t>efficacy</w:t>
      </w:r>
      <w:r w:rsidR="001A1F90">
        <w:t xml:space="preserve"> </w:t>
      </w:r>
      <w:r>
        <w:t>of</w:t>
      </w:r>
      <w:r w:rsidR="001A1F90">
        <w:t xml:space="preserve"> </w:t>
      </w:r>
      <w:r>
        <w:t>treatment.</w:t>
      </w:r>
      <w:r w:rsidR="001A1F90">
        <w:t xml:space="preserve"> </w:t>
      </w:r>
      <w:r>
        <w:t>Baseline</w:t>
      </w:r>
      <w:r w:rsidR="001A1F90">
        <w:t xml:space="preserve"> </w:t>
      </w:r>
      <w:r>
        <w:t>blood</w:t>
      </w:r>
      <w:r w:rsidR="001A1F90">
        <w:t xml:space="preserve"> </w:t>
      </w:r>
      <w:r>
        <w:t>tests</w:t>
      </w:r>
      <w:r w:rsidR="001A1F90">
        <w:t xml:space="preserve"> </w:t>
      </w:r>
      <w:r>
        <w:t>and</w:t>
      </w:r>
      <w:r w:rsidR="001A1F90">
        <w:t xml:space="preserve"> </w:t>
      </w:r>
      <w:r>
        <w:t>physical</w:t>
      </w:r>
      <w:r w:rsidR="001A1F90">
        <w:t xml:space="preserve"> </w:t>
      </w:r>
      <w:r>
        <w:t>examination</w:t>
      </w:r>
      <w:r w:rsidR="001A1F90">
        <w:t xml:space="preserve"> </w:t>
      </w:r>
      <w:r>
        <w:t>were</w:t>
      </w:r>
      <w:r w:rsidR="001A1F90">
        <w:t xml:space="preserve"> </w:t>
      </w:r>
      <w:r>
        <w:t>conducted</w:t>
      </w:r>
      <w:r w:rsidR="001A1F90">
        <w:t xml:space="preserve"> </w:t>
      </w:r>
      <w:r>
        <w:t>in</w:t>
      </w:r>
      <w:r w:rsidR="001A1F90">
        <w:t xml:space="preserve"> </w:t>
      </w:r>
      <w:r>
        <w:t>June</w:t>
      </w:r>
      <w:r w:rsidR="001A1F90">
        <w:t xml:space="preserve"> </w:t>
      </w:r>
      <w:r>
        <w:t>2009,</w:t>
      </w:r>
      <w:r w:rsidR="001A1F90">
        <w:t xml:space="preserve"> </w:t>
      </w:r>
      <w:r>
        <w:t>in</w:t>
      </w:r>
      <w:r w:rsidR="001A1F90">
        <w:t xml:space="preserve"> </w:t>
      </w:r>
      <w:r>
        <w:t>anticipation</w:t>
      </w:r>
      <w:r w:rsidR="001A1F90">
        <w:t xml:space="preserve"> </w:t>
      </w:r>
      <w:r>
        <w:t>of</w:t>
      </w:r>
      <w:r w:rsidR="001A1F90">
        <w:t xml:space="preserve"> </w:t>
      </w:r>
      <w:r>
        <w:t>commencing</w:t>
      </w:r>
      <w:r w:rsidR="001A1F90">
        <w:t xml:space="preserve"> </w:t>
      </w:r>
      <w:r w:rsidR="002B53B9">
        <w:t>c</w:t>
      </w:r>
      <w:r>
        <w:t>yproterone</w:t>
      </w:r>
      <w:r w:rsidR="001A1F90">
        <w:t xml:space="preserve"> </w:t>
      </w:r>
      <w:r w:rsidR="002B53B9">
        <w:t>a</w:t>
      </w:r>
      <w:r>
        <w:t>cetate.</w:t>
      </w:r>
    </w:p>
    <w:p w14:paraId="77B4AAB9" w14:textId="4A186173" w:rsidR="004946F1" w:rsidRDefault="004946F1" w:rsidP="00BD612C">
      <w:pPr>
        <w:pStyle w:val="DHHSbody"/>
      </w:pPr>
      <w:r>
        <w:t>Disability</w:t>
      </w:r>
      <w:r w:rsidR="001A1F90">
        <w:t xml:space="preserve"> </w:t>
      </w:r>
      <w:r>
        <w:t>Services</w:t>
      </w:r>
      <w:r w:rsidR="001A1F90">
        <w:t xml:space="preserve"> </w:t>
      </w:r>
      <w:r>
        <w:t>and</w:t>
      </w:r>
      <w:r w:rsidR="001A1F90">
        <w:t xml:space="preserve"> </w:t>
      </w:r>
      <w:r>
        <w:t>the</w:t>
      </w:r>
      <w:r w:rsidR="001A1F90">
        <w:t xml:space="preserve"> </w:t>
      </w:r>
      <w:r>
        <w:t>Adult</w:t>
      </w:r>
      <w:r w:rsidR="001A1F90">
        <w:t xml:space="preserve"> </w:t>
      </w:r>
      <w:r>
        <w:t>Guardian</w:t>
      </w:r>
      <w:r w:rsidR="001A1F90">
        <w:t xml:space="preserve"> </w:t>
      </w:r>
      <w:r w:rsidR="00160CF1">
        <w:t xml:space="preserve">didn’t support </w:t>
      </w:r>
      <w:r>
        <w:t>anti-androgen</w:t>
      </w:r>
      <w:r w:rsidR="001A1F90">
        <w:t xml:space="preserve"> </w:t>
      </w:r>
      <w:r>
        <w:t>treatment</w:t>
      </w:r>
      <w:r w:rsidR="00160CF1">
        <w:t xml:space="preserve"> for John</w:t>
      </w:r>
      <w:r>
        <w:t>.</w:t>
      </w:r>
      <w:r w:rsidR="001A1F90">
        <w:t xml:space="preserve"> </w:t>
      </w:r>
      <w:r>
        <w:t>A</w:t>
      </w:r>
      <w:r w:rsidR="00160CF1">
        <w:t>n a</w:t>
      </w:r>
      <w:r>
        <w:t>pplication</w:t>
      </w:r>
      <w:r w:rsidR="001A1F90">
        <w:t xml:space="preserve"> </w:t>
      </w:r>
      <w:r>
        <w:t>was</w:t>
      </w:r>
      <w:r w:rsidR="001A1F90">
        <w:t xml:space="preserve"> </w:t>
      </w:r>
      <w:r>
        <w:t>made</w:t>
      </w:r>
      <w:r w:rsidR="001A1F90">
        <w:t xml:space="preserve"> </w:t>
      </w:r>
      <w:r>
        <w:t>to</w:t>
      </w:r>
      <w:r w:rsidR="001A1F90">
        <w:t xml:space="preserve"> </w:t>
      </w:r>
      <w:r>
        <w:t>appoint</w:t>
      </w:r>
      <w:r w:rsidR="001A1F90">
        <w:t xml:space="preserve"> </w:t>
      </w:r>
      <w:r>
        <w:t>a</w:t>
      </w:r>
      <w:r w:rsidR="001A1F90">
        <w:t xml:space="preserve"> </w:t>
      </w:r>
      <w:r w:rsidR="00160CF1">
        <w:t>g</w:t>
      </w:r>
      <w:r>
        <w:t>uardian</w:t>
      </w:r>
      <w:r w:rsidR="001A1F90">
        <w:t xml:space="preserve"> </w:t>
      </w:r>
      <w:r>
        <w:t>for</w:t>
      </w:r>
      <w:r w:rsidR="001A1F90">
        <w:t xml:space="preserve"> </w:t>
      </w:r>
      <w:r>
        <w:t>a</w:t>
      </w:r>
      <w:r w:rsidR="001A1F90">
        <w:t xml:space="preserve"> </w:t>
      </w:r>
      <w:r>
        <w:t>restrictive</w:t>
      </w:r>
      <w:r w:rsidR="001A1F90">
        <w:t xml:space="preserve"> </w:t>
      </w:r>
      <w:r>
        <w:t>practice,</w:t>
      </w:r>
      <w:r w:rsidR="001A1F90">
        <w:t xml:space="preserve"> </w:t>
      </w:r>
      <w:r>
        <w:t>and</w:t>
      </w:r>
      <w:r w:rsidR="001A1F90">
        <w:t xml:space="preserve"> </w:t>
      </w:r>
      <w:r>
        <w:t>that</w:t>
      </w:r>
      <w:r w:rsidR="001A1F90">
        <w:t xml:space="preserve"> </w:t>
      </w:r>
      <w:r>
        <w:t>guardian</w:t>
      </w:r>
      <w:r w:rsidR="001A1F90">
        <w:t xml:space="preserve"> </w:t>
      </w:r>
      <w:r>
        <w:t>took</w:t>
      </w:r>
      <w:r w:rsidR="001A1F90">
        <w:t xml:space="preserve"> </w:t>
      </w:r>
      <w:r>
        <w:t>months</w:t>
      </w:r>
      <w:r w:rsidR="001A1F90">
        <w:t xml:space="preserve"> </w:t>
      </w:r>
      <w:r>
        <w:t>to</w:t>
      </w:r>
      <w:r w:rsidR="001A1F90">
        <w:t xml:space="preserve"> </w:t>
      </w:r>
      <w:r>
        <w:t>respond</w:t>
      </w:r>
      <w:r w:rsidR="001A1F90">
        <w:t xml:space="preserve"> </w:t>
      </w:r>
      <w:r>
        <w:t>to</w:t>
      </w:r>
      <w:r w:rsidR="001A1F90">
        <w:t xml:space="preserve"> </w:t>
      </w:r>
      <w:r>
        <w:t>further</w:t>
      </w:r>
      <w:r w:rsidR="001A1F90">
        <w:t xml:space="preserve"> </w:t>
      </w:r>
      <w:r>
        <w:t>requests.</w:t>
      </w:r>
      <w:r w:rsidR="001A1F90">
        <w:t xml:space="preserve"> </w:t>
      </w:r>
      <w:r>
        <w:t>Protracted</w:t>
      </w:r>
      <w:r w:rsidR="001A1F90">
        <w:t xml:space="preserve"> </w:t>
      </w:r>
      <w:r>
        <w:t>hearings</w:t>
      </w:r>
      <w:r w:rsidR="001A1F90">
        <w:t xml:space="preserve"> </w:t>
      </w:r>
      <w:r>
        <w:t>ensued.</w:t>
      </w:r>
      <w:r w:rsidR="001A1F90">
        <w:t xml:space="preserve"> </w:t>
      </w:r>
      <w:r>
        <w:t>During</w:t>
      </w:r>
      <w:r w:rsidR="001A1F90">
        <w:t xml:space="preserve"> </w:t>
      </w:r>
      <w:r>
        <w:t>this</w:t>
      </w:r>
      <w:r w:rsidR="001A1F90">
        <w:t xml:space="preserve"> </w:t>
      </w:r>
      <w:r>
        <w:t>time,</w:t>
      </w:r>
      <w:r w:rsidR="001A1F90">
        <w:t xml:space="preserve"> </w:t>
      </w:r>
      <w:r>
        <w:t>the</w:t>
      </w:r>
      <w:r w:rsidR="001A1F90">
        <w:t xml:space="preserve"> </w:t>
      </w:r>
      <w:r>
        <w:t>mental</w:t>
      </w:r>
      <w:r w:rsidR="001A1F90">
        <w:t xml:space="preserve"> </w:t>
      </w:r>
      <w:r>
        <w:t>health</w:t>
      </w:r>
      <w:r w:rsidR="001A1F90">
        <w:t xml:space="preserve"> </w:t>
      </w:r>
      <w:r>
        <w:t>service</w:t>
      </w:r>
      <w:r w:rsidR="001A1F90">
        <w:t xml:space="preserve"> </w:t>
      </w:r>
      <w:r>
        <w:t>applied</w:t>
      </w:r>
      <w:r w:rsidR="001A1F90">
        <w:t xml:space="preserve"> </w:t>
      </w:r>
      <w:r>
        <w:t>to</w:t>
      </w:r>
      <w:r w:rsidR="001A1F90">
        <w:t xml:space="preserve"> </w:t>
      </w:r>
      <w:r>
        <w:t>the</w:t>
      </w:r>
      <w:r w:rsidR="001A1F90">
        <w:t xml:space="preserve"> </w:t>
      </w:r>
      <w:r>
        <w:t>Mental</w:t>
      </w:r>
      <w:r w:rsidR="001A1F90">
        <w:t xml:space="preserve"> </w:t>
      </w:r>
      <w:r>
        <w:t>Health</w:t>
      </w:r>
      <w:r w:rsidR="001A1F90">
        <w:t xml:space="preserve"> </w:t>
      </w:r>
      <w:r>
        <w:t>Review</w:t>
      </w:r>
      <w:r w:rsidR="001A1F90">
        <w:t xml:space="preserve"> </w:t>
      </w:r>
      <w:r>
        <w:t>Tribunal</w:t>
      </w:r>
      <w:r w:rsidR="001A1F90">
        <w:t xml:space="preserve"> </w:t>
      </w:r>
      <w:r>
        <w:t>(MHRT)</w:t>
      </w:r>
      <w:r w:rsidR="001A1F90">
        <w:t xml:space="preserve"> </w:t>
      </w:r>
      <w:r>
        <w:t>to</w:t>
      </w:r>
      <w:r w:rsidR="001A1F90">
        <w:t xml:space="preserve"> </w:t>
      </w:r>
      <w:r>
        <w:t>revoke</w:t>
      </w:r>
      <w:r w:rsidR="001A1F90">
        <w:t xml:space="preserve"> </w:t>
      </w:r>
      <w:r>
        <w:t>the</w:t>
      </w:r>
      <w:r w:rsidR="001A1F90">
        <w:t xml:space="preserve"> </w:t>
      </w:r>
      <w:r w:rsidR="00160CF1">
        <w:t>f</w:t>
      </w:r>
      <w:r>
        <w:t>orensic</w:t>
      </w:r>
      <w:r w:rsidR="001A1F90">
        <w:t xml:space="preserve"> </w:t>
      </w:r>
      <w:r w:rsidR="00160CF1">
        <w:t>o</w:t>
      </w:r>
      <w:r>
        <w:t>rder,</w:t>
      </w:r>
      <w:r w:rsidR="001A1F90">
        <w:t xml:space="preserve"> </w:t>
      </w:r>
      <w:r>
        <w:t>arguing</w:t>
      </w:r>
      <w:r w:rsidR="001A1F90">
        <w:t xml:space="preserve"> </w:t>
      </w:r>
      <w:r>
        <w:t>that</w:t>
      </w:r>
      <w:r w:rsidR="001A1F90">
        <w:t xml:space="preserve"> </w:t>
      </w:r>
      <w:r>
        <w:t>the</w:t>
      </w:r>
      <w:r w:rsidR="001A1F90">
        <w:t xml:space="preserve"> </w:t>
      </w:r>
      <w:r>
        <w:t>mental</w:t>
      </w:r>
      <w:r w:rsidR="001A1F90">
        <w:t xml:space="preserve"> </w:t>
      </w:r>
      <w:r>
        <w:t>health</w:t>
      </w:r>
      <w:r w:rsidR="001A1F90">
        <w:t xml:space="preserve"> </w:t>
      </w:r>
      <w:r>
        <w:t>service</w:t>
      </w:r>
      <w:r w:rsidR="001A1F90">
        <w:t xml:space="preserve"> </w:t>
      </w:r>
      <w:r>
        <w:t>was</w:t>
      </w:r>
      <w:r w:rsidR="001A1F90">
        <w:t xml:space="preserve"> </w:t>
      </w:r>
      <w:r>
        <w:t>not</w:t>
      </w:r>
      <w:r w:rsidR="001A1F90">
        <w:t xml:space="preserve"> </w:t>
      </w:r>
      <w:r>
        <w:t>providing</w:t>
      </w:r>
      <w:r w:rsidR="001A1F90">
        <w:t xml:space="preserve"> </w:t>
      </w:r>
      <w:r>
        <w:t>any</w:t>
      </w:r>
      <w:r w:rsidR="001A1F90">
        <w:t xml:space="preserve"> </w:t>
      </w:r>
      <w:r>
        <w:t>additional</w:t>
      </w:r>
      <w:r w:rsidR="001A1F90">
        <w:t xml:space="preserve"> </w:t>
      </w:r>
      <w:r>
        <w:t>assistance</w:t>
      </w:r>
      <w:r w:rsidR="001A1F90">
        <w:t xml:space="preserve"> </w:t>
      </w:r>
      <w:r>
        <w:t>and</w:t>
      </w:r>
      <w:r w:rsidR="001A1F90">
        <w:t xml:space="preserve"> </w:t>
      </w:r>
      <w:r>
        <w:t>that,</w:t>
      </w:r>
      <w:r w:rsidR="001A1F90">
        <w:t xml:space="preserve"> </w:t>
      </w:r>
      <w:r>
        <w:t>in</w:t>
      </w:r>
      <w:r w:rsidR="001A1F90">
        <w:t xml:space="preserve"> </w:t>
      </w:r>
      <w:r>
        <w:t>the</w:t>
      </w:r>
      <w:r w:rsidR="001A1F90">
        <w:t xml:space="preserve"> </w:t>
      </w:r>
      <w:r>
        <w:t>absence</w:t>
      </w:r>
      <w:r w:rsidR="001A1F90">
        <w:t xml:space="preserve"> </w:t>
      </w:r>
      <w:r>
        <w:t>of</w:t>
      </w:r>
      <w:r w:rsidR="001A1F90">
        <w:t xml:space="preserve"> </w:t>
      </w:r>
      <w:r>
        <w:t>hormone</w:t>
      </w:r>
      <w:r w:rsidR="001A1F90">
        <w:t xml:space="preserve"> </w:t>
      </w:r>
      <w:r>
        <w:t>treatment,</w:t>
      </w:r>
      <w:r w:rsidR="001A1F90">
        <w:t xml:space="preserve"> </w:t>
      </w:r>
      <w:r>
        <w:t>his</w:t>
      </w:r>
      <w:r w:rsidR="001A1F90">
        <w:t xml:space="preserve"> </w:t>
      </w:r>
      <w:r>
        <w:t>behavioural</w:t>
      </w:r>
      <w:r w:rsidR="001A1F90">
        <w:t xml:space="preserve"> </w:t>
      </w:r>
      <w:r>
        <w:t>problems</w:t>
      </w:r>
      <w:r w:rsidR="001A1F90">
        <w:t xml:space="preserve"> </w:t>
      </w:r>
      <w:r>
        <w:t>could</w:t>
      </w:r>
      <w:r w:rsidR="001A1F90">
        <w:t xml:space="preserve"> </w:t>
      </w:r>
      <w:r>
        <w:t>continue</w:t>
      </w:r>
      <w:r w:rsidR="001A1F90">
        <w:t xml:space="preserve"> </w:t>
      </w:r>
      <w:r>
        <w:t>to</w:t>
      </w:r>
      <w:r w:rsidR="001A1F90">
        <w:t xml:space="preserve"> </w:t>
      </w:r>
      <w:r>
        <w:t>be</w:t>
      </w:r>
      <w:r w:rsidR="001A1F90">
        <w:t xml:space="preserve"> </w:t>
      </w:r>
      <w:r>
        <w:t>managed</w:t>
      </w:r>
      <w:r w:rsidR="001A1F90">
        <w:t xml:space="preserve"> </w:t>
      </w:r>
      <w:r>
        <w:t>by</w:t>
      </w:r>
      <w:r w:rsidR="001A1F90">
        <w:t xml:space="preserve"> </w:t>
      </w:r>
      <w:r>
        <w:t>Disability</w:t>
      </w:r>
      <w:r w:rsidR="001A1F90">
        <w:t xml:space="preserve"> </w:t>
      </w:r>
      <w:r>
        <w:t>Services.</w:t>
      </w:r>
      <w:r w:rsidR="001A1F90">
        <w:t xml:space="preserve"> </w:t>
      </w:r>
      <w:r>
        <w:t>Unfortunately,</w:t>
      </w:r>
      <w:r w:rsidR="001A1F90">
        <w:t xml:space="preserve"> </w:t>
      </w:r>
      <w:r>
        <w:t>there</w:t>
      </w:r>
      <w:r w:rsidR="001A1F90">
        <w:t xml:space="preserve"> </w:t>
      </w:r>
      <w:r>
        <w:t>were</w:t>
      </w:r>
      <w:r w:rsidR="001A1F90">
        <w:t xml:space="preserve"> </w:t>
      </w:r>
      <w:r>
        <w:t>now</w:t>
      </w:r>
      <w:r w:rsidR="001A1F90">
        <w:t xml:space="preserve"> </w:t>
      </w:r>
      <w:r>
        <w:t>other</w:t>
      </w:r>
      <w:r w:rsidR="001A1F90">
        <w:t xml:space="preserve"> </w:t>
      </w:r>
      <w:r>
        <w:t>residents</w:t>
      </w:r>
      <w:r w:rsidR="001A1F90">
        <w:t xml:space="preserve"> </w:t>
      </w:r>
      <w:r>
        <w:t>living</w:t>
      </w:r>
      <w:r w:rsidR="001A1F90">
        <w:t xml:space="preserve"> </w:t>
      </w:r>
      <w:r>
        <w:t>with</w:t>
      </w:r>
      <w:r w:rsidR="001A1F90">
        <w:t xml:space="preserve"> </w:t>
      </w:r>
      <w:r>
        <w:t>John</w:t>
      </w:r>
      <w:r w:rsidR="001A1F90">
        <w:t xml:space="preserve"> </w:t>
      </w:r>
      <w:r>
        <w:t>(including</w:t>
      </w:r>
      <w:r w:rsidR="001A1F90">
        <w:t xml:space="preserve"> </w:t>
      </w:r>
      <w:r>
        <w:t>teenage</w:t>
      </w:r>
      <w:r w:rsidR="001A1F90">
        <w:t xml:space="preserve"> </w:t>
      </w:r>
      <w:r>
        <w:t>boys)</w:t>
      </w:r>
      <w:r w:rsidR="00160CF1">
        <w:t>,</w:t>
      </w:r>
      <w:r w:rsidR="001A1F90">
        <w:t xml:space="preserve"> </w:t>
      </w:r>
      <w:r>
        <w:t>and</w:t>
      </w:r>
      <w:r w:rsidR="001A1F90">
        <w:t xml:space="preserve"> </w:t>
      </w:r>
      <w:r>
        <w:t>he</w:t>
      </w:r>
      <w:r w:rsidR="001A1F90">
        <w:t xml:space="preserve"> </w:t>
      </w:r>
      <w:r>
        <w:t>was</w:t>
      </w:r>
      <w:r w:rsidR="001A1F90">
        <w:t xml:space="preserve"> </w:t>
      </w:r>
      <w:r>
        <w:t>absconding</w:t>
      </w:r>
      <w:r w:rsidR="001A1F90">
        <w:t xml:space="preserve"> </w:t>
      </w:r>
      <w:r>
        <w:t>frequently</w:t>
      </w:r>
      <w:r w:rsidR="001A1F90">
        <w:t xml:space="preserve"> </w:t>
      </w:r>
      <w:r>
        <w:t>from</w:t>
      </w:r>
      <w:r w:rsidR="001A1F90">
        <w:t xml:space="preserve"> </w:t>
      </w:r>
      <w:r>
        <w:t>the</w:t>
      </w:r>
      <w:r w:rsidR="001A1F90">
        <w:t xml:space="preserve"> </w:t>
      </w:r>
      <w:r>
        <w:t>property</w:t>
      </w:r>
      <w:r w:rsidR="001A1F90">
        <w:t xml:space="preserve"> </w:t>
      </w:r>
      <w:r>
        <w:t>and</w:t>
      </w:r>
      <w:r w:rsidR="001A1F90">
        <w:t xml:space="preserve"> </w:t>
      </w:r>
      <w:r>
        <w:t>having</w:t>
      </w:r>
      <w:r w:rsidR="001A1F90">
        <w:t xml:space="preserve"> </w:t>
      </w:r>
      <w:r>
        <w:t>to</w:t>
      </w:r>
      <w:r w:rsidR="001A1F90">
        <w:t xml:space="preserve"> </w:t>
      </w:r>
      <w:r>
        <w:t>be</w:t>
      </w:r>
      <w:r w:rsidR="001A1F90">
        <w:t xml:space="preserve"> </w:t>
      </w:r>
      <w:r>
        <w:t>readmitted</w:t>
      </w:r>
      <w:r w:rsidR="001A1F90">
        <w:t xml:space="preserve"> </w:t>
      </w:r>
      <w:r>
        <w:t>under</w:t>
      </w:r>
      <w:r w:rsidR="001A1F90">
        <w:t xml:space="preserve"> </w:t>
      </w:r>
      <w:r>
        <w:t>police</w:t>
      </w:r>
      <w:r w:rsidR="001A1F90">
        <w:t xml:space="preserve"> </w:t>
      </w:r>
      <w:r>
        <w:t>escort</w:t>
      </w:r>
      <w:r w:rsidR="001A1F90">
        <w:t xml:space="preserve"> </w:t>
      </w:r>
      <w:r>
        <w:t>to</w:t>
      </w:r>
      <w:r w:rsidR="001A1F90">
        <w:t xml:space="preserve"> </w:t>
      </w:r>
      <w:r>
        <w:t>hospital.</w:t>
      </w:r>
      <w:r w:rsidR="001A1F90">
        <w:t xml:space="preserve"> </w:t>
      </w:r>
      <w:r>
        <w:t>The</w:t>
      </w:r>
      <w:r w:rsidR="001A1F90">
        <w:t xml:space="preserve"> </w:t>
      </w:r>
      <w:r>
        <w:t>MHRT</w:t>
      </w:r>
      <w:r w:rsidR="001A1F90">
        <w:t xml:space="preserve"> </w:t>
      </w:r>
      <w:r>
        <w:t>upheld</w:t>
      </w:r>
      <w:r w:rsidR="001A1F90">
        <w:t xml:space="preserve"> </w:t>
      </w:r>
      <w:r>
        <w:t>the</w:t>
      </w:r>
      <w:r w:rsidR="001A1F90">
        <w:t xml:space="preserve"> </w:t>
      </w:r>
      <w:r w:rsidR="00160CF1">
        <w:t>f</w:t>
      </w:r>
      <w:r>
        <w:t>orensic</w:t>
      </w:r>
      <w:r w:rsidR="001A1F90">
        <w:t xml:space="preserve"> </w:t>
      </w:r>
      <w:r w:rsidR="00160CF1">
        <w:t>o</w:t>
      </w:r>
      <w:r>
        <w:t>rder</w:t>
      </w:r>
      <w:r w:rsidR="001A1F90">
        <w:t xml:space="preserve"> </w:t>
      </w:r>
      <w:r>
        <w:t>on</w:t>
      </w:r>
      <w:r w:rsidR="001A1F90">
        <w:t xml:space="preserve"> </w:t>
      </w:r>
      <w:r>
        <w:t>the</w:t>
      </w:r>
      <w:r w:rsidR="001A1F90">
        <w:t xml:space="preserve"> </w:t>
      </w:r>
      <w:r>
        <w:t>basis</w:t>
      </w:r>
      <w:r w:rsidR="001A1F90">
        <w:t xml:space="preserve"> </w:t>
      </w:r>
      <w:r>
        <w:t>that</w:t>
      </w:r>
      <w:r w:rsidR="001A1F90">
        <w:t xml:space="preserve"> </w:t>
      </w:r>
      <w:r>
        <w:t>Disability</w:t>
      </w:r>
      <w:r w:rsidR="001A1F90">
        <w:t xml:space="preserve"> </w:t>
      </w:r>
      <w:r>
        <w:t>Services</w:t>
      </w:r>
      <w:r w:rsidR="001A1F90">
        <w:t xml:space="preserve"> </w:t>
      </w:r>
      <w:r>
        <w:t>lacked</w:t>
      </w:r>
      <w:r w:rsidR="001A1F90">
        <w:t xml:space="preserve"> </w:t>
      </w:r>
      <w:r>
        <w:t>the</w:t>
      </w:r>
      <w:r w:rsidR="001A1F90">
        <w:t xml:space="preserve"> </w:t>
      </w:r>
      <w:r>
        <w:t>resources</w:t>
      </w:r>
      <w:r w:rsidR="001A1F90">
        <w:t xml:space="preserve"> </w:t>
      </w:r>
      <w:r>
        <w:t>to</w:t>
      </w:r>
      <w:r w:rsidR="001A1F90">
        <w:t xml:space="preserve"> </w:t>
      </w:r>
      <w:r>
        <w:t>manage</w:t>
      </w:r>
      <w:r w:rsidR="001A1F90">
        <w:t xml:space="preserve"> </w:t>
      </w:r>
      <w:r>
        <w:t>the</w:t>
      </w:r>
      <w:r w:rsidR="001A1F90">
        <w:t xml:space="preserve"> </w:t>
      </w:r>
      <w:r>
        <w:t>risk.</w:t>
      </w:r>
    </w:p>
    <w:p w14:paraId="69066335" w14:textId="01A8D99B" w:rsidR="004946F1" w:rsidRDefault="00160CF1" w:rsidP="00BD612C">
      <w:pPr>
        <w:pStyle w:val="DHHSbody"/>
      </w:pPr>
      <w:r>
        <w:t>The Adult Guardian finally approved a</w:t>
      </w:r>
      <w:r w:rsidR="004946F1">
        <w:t>nti-androgen</w:t>
      </w:r>
      <w:r w:rsidR="001A1F90">
        <w:t xml:space="preserve"> </w:t>
      </w:r>
      <w:r w:rsidR="004946F1">
        <w:t>treatment</w:t>
      </w:r>
      <w:r w:rsidR="001A1F90">
        <w:t xml:space="preserve"> </w:t>
      </w:r>
      <w:r w:rsidR="004946F1">
        <w:t>in</w:t>
      </w:r>
      <w:r w:rsidR="001A1F90">
        <w:t xml:space="preserve"> </w:t>
      </w:r>
      <w:r w:rsidR="004946F1">
        <w:t>2011.</w:t>
      </w:r>
      <w:r w:rsidR="001A1F90">
        <w:t xml:space="preserve"> </w:t>
      </w:r>
      <w:r w:rsidR="004946F1">
        <w:t>All</w:t>
      </w:r>
      <w:r w:rsidR="001A1F90">
        <w:t xml:space="preserve"> </w:t>
      </w:r>
      <w:r w:rsidR="004946F1">
        <w:t>baseline</w:t>
      </w:r>
      <w:r w:rsidR="001A1F90">
        <w:t xml:space="preserve"> </w:t>
      </w:r>
      <w:r w:rsidR="004946F1">
        <w:t>tests</w:t>
      </w:r>
      <w:r w:rsidR="001A1F90">
        <w:t xml:space="preserve"> </w:t>
      </w:r>
      <w:r w:rsidR="004946F1">
        <w:t>were</w:t>
      </w:r>
      <w:r w:rsidR="001A1F90">
        <w:t xml:space="preserve"> </w:t>
      </w:r>
      <w:r w:rsidR="004946F1">
        <w:t>repeated</w:t>
      </w:r>
      <w:r w:rsidR="001A1F90">
        <w:t xml:space="preserve"> </w:t>
      </w:r>
      <w:r w:rsidR="004946F1">
        <w:t>and</w:t>
      </w:r>
      <w:r w:rsidR="001A1F90">
        <w:t xml:space="preserve"> </w:t>
      </w:r>
      <w:r w:rsidR="004946F1">
        <w:t>the</w:t>
      </w:r>
      <w:r w:rsidR="001A1F90">
        <w:t xml:space="preserve"> </w:t>
      </w:r>
      <w:r w:rsidR="004946F1">
        <w:t>GP</w:t>
      </w:r>
      <w:r w:rsidR="001A1F90">
        <w:t xml:space="preserve"> </w:t>
      </w:r>
      <w:r w:rsidR="004946F1">
        <w:t>fully</w:t>
      </w:r>
      <w:r w:rsidR="001A1F90">
        <w:t xml:space="preserve"> </w:t>
      </w:r>
      <w:r w:rsidR="004946F1">
        <w:t>apprised.</w:t>
      </w:r>
      <w:r w:rsidR="001A1F90">
        <w:t xml:space="preserve"> </w:t>
      </w:r>
      <w:r w:rsidR="004946F1">
        <w:t>Since</w:t>
      </w:r>
      <w:r w:rsidR="001A1F90">
        <w:t xml:space="preserve"> </w:t>
      </w:r>
      <w:r w:rsidR="004946F1">
        <w:t>achieving</w:t>
      </w:r>
      <w:r w:rsidR="001A1F90">
        <w:t xml:space="preserve"> </w:t>
      </w:r>
      <w:r w:rsidR="004946F1">
        <w:t>effective</w:t>
      </w:r>
      <w:r w:rsidR="001A1F90">
        <w:t xml:space="preserve"> </w:t>
      </w:r>
      <w:r w:rsidR="004946F1">
        <w:t>levels</w:t>
      </w:r>
      <w:r w:rsidR="001A1F90">
        <w:t xml:space="preserve"> </w:t>
      </w:r>
      <w:r w:rsidR="004946F1">
        <w:t>of</w:t>
      </w:r>
      <w:r w:rsidR="001A1F90">
        <w:t xml:space="preserve"> </w:t>
      </w:r>
      <w:r w:rsidR="002B53B9">
        <w:t>c</w:t>
      </w:r>
      <w:r w:rsidR="004946F1">
        <w:t>yproterone</w:t>
      </w:r>
      <w:r w:rsidR="001A1F90">
        <w:t xml:space="preserve"> </w:t>
      </w:r>
      <w:r w:rsidR="002B53B9">
        <w:t>a</w:t>
      </w:r>
      <w:r w:rsidR="004946F1">
        <w:t>cetate</w:t>
      </w:r>
      <w:r w:rsidR="001A1F90">
        <w:t xml:space="preserve"> </w:t>
      </w:r>
      <w:r w:rsidR="004946F1">
        <w:t>John</w:t>
      </w:r>
      <w:r w:rsidR="001A1F90">
        <w:t xml:space="preserve"> </w:t>
      </w:r>
      <w:r w:rsidR="004946F1">
        <w:t>has</w:t>
      </w:r>
      <w:r w:rsidR="001A1F90">
        <w:t xml:space="preserve"> </w:t>
      </w:r>
      <w:r w:rsidR="004946F1">
        <w:t>reported</w:t>
      </w:r>
      <w:r w:rsidR="001A1F90">
        <w:t xml:space="preserve"> </w:t>
      </w:r>
      <w:r w:rsidR="004946F1">
        <w:t>a</w:t>
      </w:r>
      <w:r w:rsidR="001A1F90">
        <w:t xml:space="preserve"> </w:t>
      </w:r>
      <w:r w:rsidR="004946F1">
        <w:t>reduction</w:t>
      </w:r>
      <w:r w:rsidR="001A1F90">
        <w:t xml:space="preserve"> </w:t>
      </w:r>
      <w:r w:rsidR="004946F1">
        <w:t>in</w:t>
      </w:r>
      <w:r w:rsidR="001A1F90">
        <w:t xml:space="preserve"> </w:t>
      </w:r>
      <w:r w:rsidR="004946F1">
        <w:t>sexual</w:t>
      </w:r>
      <w:r w:rsidR="001A1F90">
        <w:t xml:space="preserve"> </w:t>
      </w:r>
      <w:r w:rsidR="004946F1">
        <w:t>thoughts,</w:t>
      </w:r>
      <w:r w:rsidR="001A1F90">
        <w:t xml:space="preserve"> </w:t>
      </w:r>
      <w:r w:rsidR="004946F1">
        <w:t>and</w:t>
      </w:r>
      <w:r w:rsidR="001A1F90">
        <w:t xml:space="preserve"> </w:t>
      </w:r>
      <w:r w:rsidR="004946F1">
        <w:t>there</w:t>
      </w:r>
      <w:r w:rsidR="001A1F90">
        <w:t xml:space="preserve"> </w:t>
      </w:r>
      <w:r w:rsidR="004946F1">
        <w:t>has</w:t>
      </w:r>
      <w:r w:rsidR="001A1F90">
        <w:t xml:space="preserve"> </w:t>
      </w:r>
      <w:r w:rsidR="004946F1">
        <w:t>been</w:t>
      </w:r>
      <w:r w:rsidR="001A1F90">
        <w:t xml:space="preserve"> </w:t>
      </w:r>
      <w:r w:rsidR="004946F1">
        <w:t>an</w:t>
      </w:r>
      <w:r w:rsidR="001A1F90">
        <w:t xml:space="preserve"> </w:t>
      </w:r>
      <w:r w:rsidR="004946F1">
        <w:t>observable</w:t>
      </w:r>
      <w:r w:rsidR="001A1F90">
        <w:t xml:space="preserve"> </w:t>
      </w:r>
      <w:r w:rsidR="004946F1">
        <w:t>decrease</w:t>
      </w:r>
      <w:r w:rsidR="001A1F90">
        <w:t xml:space="preserve"> </w:t>
      </w:r>
      <w:r w:rsidR="004946F1">
        <w:t>in</w:t>
      </w:r>
      <w:r w:rsidR="001A1F90">
        <w:t xml:space="preserve"> </w:t>
      </w:r>
      <w:r w:rsidR="004946F1">
        <w:t>his</w:t>
      </w:r>
      <w:r w:rsidR="001A1F90">
        <w:t xml:space="preserve"> </w:t>
      </w:r>
      <w:r w:rsidR="004946F1">
        <w:t>aggression</w:t>
      </w:r>
      <w:r w:rsidR="001A1F90">
        <w:t xml:space="preserve"> </w:t>
      </w:r>
      <w:r w:rsidR="004946F1">
        <w:t>and</w:t>
      </w:r>
      <w:r w:rsidR="001A1F90">
        <w:t xml:space="preserve"> </w:t>
      </w:r>
      <w:r w:rsidR="004946F1">
        <w:t>propensity</w:t>
      </w:r>
      <w:r w:rsidR="001A1F90">
        <w:t xml:space="preserve"> </w:t>
      </w:r>
      <w:r w:rsidR="004946F1">
        <w:t>to</w:t>
      </w:r>
      <w:r w:rsidR="001A1F90">
        <w:t xml:space="preserve"> </w:t>
      </w:r>
      <w:r w:rsidR="004946F1">
        <w:t>abscond.</w:t>
      </w:r>
      <w:r w:rsidR="001A1F90">
        <w:t xml:space="preserve"> </w:t>
      </w:r>
      <w:r w:rsidR="004946F1">
        <w:t>He</w:t>
      </w:r>
      <w:r w:rsidR="001A1F90">
        <w:t xml:space="preserve"> </w:t>
      </w:r>
      <w:r w:rsidR="004946F1">
        <w:t>has</w:t>
      </w:r>
      <w:r w:rsidR="001A1F90">
        <w:t xml:space="preserve"> </w:t>
      </w:r>
      <w:r w:rsidR="004946F1">
        <w:t>retained</w:t>
      </w:r>
      <w:r w:rsidR="001A1F90">
        <w:t xml:space="preserve"> </w:t>
      </w:r>
      <w:r w:rsidR="004946F1">
        <w:t>some</w:t>
      </w:r>
      <w:r w:rsidR="001A1F90">
        <w:t xml:space="preserve"> </w:t>
      </w:r>
      <w:r w:rsidR="004946F1">
        <w:t>sexual</w:t>
      </w:r>
      <w:r w:rsidR="001A1F90">
        <w:t xml:space="preserve"> </w:t>
      </w:r>
      <w:r w:rsidR="004946F1">
        <w:t>functioning.</w:t>
      </w:r>
      <w:r w:rsidR="001A1F90">
        <w:t xml:space="preserve"> </w:t>
      </w:r>
      <w:r w:rsidR="004946F1">
        <w:t>He</w:t>
      </w:r>
      <w:r w:rsidR="001A1F90">
        <w:t xml:space="preserve"> </w:t>
      </w:r>
      <w:r w:rsidR="004946F1">
        <w:t>engaged</w:t>
      </w:r>
      <w:r w:rsidR="001A1F90">
        <w:t xml:space="preserve"> </w:t>
      </w:r>
      <w:r w:rsidR="004946F1">
        <w:t>in</w:t>
      </w:r>
      <w:r w:rsidR="001A1F90">
        <w:t xml:space="preserve"> </w:t>
      </w:r>
      <w:r w:rsidR="004946F1">
        <w:t>counselling</w:t>
      </w:r>
      <w:r w:rsidR="001A1F90">
        <w:t xml:space="preserve"> </w:t>
      </w:r>
      <w:r w:rsidR="004946F1">
        <w:t>with</w:t>
      </w:r>
      <w:r w:rsidR="001A1F90">
        <w:t xml:space="preserve"> </w:t>
      </w:r>
      <w:r w:rsidR="004946F1">
        <w:t>a</w:t>
      </w:r>
      <w:r w:rsidR="001A1F90">
        <w:t xml:space="preserve"> </w:t>
      </w:r>
      <w:r w:rsidR="004946F1">
        <w:t>psychologist</w:t>
      </w:r>
      <w:r w:rsidR="001A1F90">
        <w:t xml:space="preserve"> </w:t>
      </w:r>
      <w:r w:rsidR="004946F1">
        <w:t>who</w:t>
      </w:r>
      <w:r w:rsidR="001A1F90">
        <w:t xml:space="preserve"> </w:t>
      </w:r>
      <w:r w:rsidR="004946F1">
        <w:t>specialises</w:t>
      </w:r>
      <w:r w:rsidR="001A1F90">
        <w:t xml:space="preserve"> </w:t>
      </w:r>
      <w:r w:rsidR="004946F1">
        <w:t>in</w:t>
      </w:r>
      <w:r w:rsidR="001A1F90">
        <w:t xml:space="preserve"> </w:t>
      </w:r>
      <w:r w:rsidR="004946F1">
        <w:t>sexual</w:t>
      </w:r>
      <w:r w:rsidR="001A1F90">
        <w:t xml:space="preserve"> </w:t>
      </w:r>
      <w:r w:rsidR="004946F1">
        <w:t>deviance,</w:t>
      </w:r>
      <w:r w:rsidR="001A1F90">
        <w:t xml:space="preserve"> </w:t>
      </w:r>
      <w:r w:rsidR="004946F1">
        <w:t>but</w:t>
      </w:r>
      <w:r w:rsidR="001A1F90">
        <w:t xml:space="preserve"> </w:t>
      </w:r>
      <w:r w:rsidR="004946F1">
        <w:t>funding</w:t>
      </w:r>
      <w:r w:rsidR="001A1F90">
        <w:t xml:space="preserve"> </w:t>
      </w:r>
      <w:r w:rsidR="004946F1">
        <w:t>for</w:t>
      </w:r>
      <w:r w:rsidR="001A1F90">
        <w:t xml:space="preserve"> </w:t>
      </w:r>
      <w:r w:rsidR="004946F1">
        <w:t>this</w:t>
      </w:r>
      <w:r w:rsidR="001A1F90">
        <w:t xml:space="preserve"> </w:t>
      </w:r>
      <w:r w:rsidR="004946F1">
        <w:t>evaporated.</w:t>
      </w:r>
      <w:r w:rsidR="001A1F90">
        <w:t xml:space="preserve"> </w:t>
      </w:r>
      <w:r w:rsidR="004946F1">
        <w:t>A</w:t>
      </w:r>
      <w:r w:rsidR="001A1F90">
        <w:t xml:space="preserve"> </w:t>
      </w:r>
      <w:r w:rsidR="004946F1">
        <w:t>recent</w:t>
      </w:r>
      <w:r w:rsidR="001A1F90">
        <w:t xml:space="preserve"> </w:t>
      </w:r>
      <w:r w:rsidR="004946F1">
        <w:t>assessment</w:t>
      </w:r>
      <w:r w:rsidR="001A1F90">
        <w:t xml:space="preserve"> </w:t>
      </w:r>
      <w:r w:rsidR="004946F1">
        <w:t>by</w:t>
      </w:r>
      <w:r w:rsidR="001A1F90">
        <w:t xml:space="preserve"> </w:t>
      </w:r>
      <w:r w:rsidR="004946F1">
        <w:t>a</w:t>
      </w:r>
      <w:r w:rsidR="001A1F90">
        <w:t xml:space="preserve"> </w:t>
      </w:r>
      <w:r w:rsidR="004946F1">
        <w:t>psychiatrist</w:t>
      </w:r>
      <w:r w:rsidR="001A1F90">
        <w:t xml:space="preserve"> </w:t>
      </w:r>
      <w:r w:rsidR="004946F1">
        <w:t>for</w:t>
      </w:r>
      <w:r w:rsidR="001A1F90">
        <w:t xml:space="preserve"> </w:t>
      </w:r>
      <w:r w:rsidR="004946F1">
        <w:t>Disability</w:t>
      </w:r>
      <w:r w:rsidR="001A1F90">
        <w:t xml:space="preserve"> </w:t>
      </w:r>
      <w:r w:rsidR="004946F1">
        <w:t>Services,</w:t>
      </w:r>
      <w:r w:rsidR="001A1F90">
        <w:t xml:space="preserve"> </w:t>
      </w:r>
      <w:r w:rsidR="004946F1">
        <w:t>while</w:t>
      </w:r>
      <w:r w:rsidR="001A1F90">
        <w:t xml:space="preserve"> </w:t>
      </w:r>
      <w:r w:rsidR="004946F1">
        <w:t>John</w:t>
      </w:r>
      <w:r w:rsidR="001A1F90">
        <w:t xml:space="preserve"> </w:t>
      </w:r>
      <w:r w:rsidR="004946F1">
        <w:t>was</w:t>
      </w:r>
      <w:r w:rsidR="001A1F90">
        <w:t xml:space="preserve"> </w:t>
      </w:r>
      <w:r w:rsidR="004946F1">
        <w:t>stable</w:t>
      </w:r>
      <w:r w:rsidR="001A1F90">
        <w:t xml:space="preserve"> </w:t>
      </w:r>
      <w:r w:rsidR="004946F1">
        <w:t>on</w:t>
      </w:r>
      <w:r w:rsidR="001A1F90">
        <w:t xml:space="preserve"> </w:t>
      </w:r>
      <w:r w:rsidR="004946F1">
        <w:t>anti-androgens,</w:t>
      </w:r>
      <w:r w:rsidR="001A1F90">
        <w:t xml:space="preserve"> </w:t>
      </w:r>
      <w:r w:rsidR="004946F1">
        <w:t>opined</w:t>
      </w:r>
      <w:r w:rsidR="001A1F90">
        <w:t xml:space="preserve"> </w:t>
      </w:r>
      <w:r w:rsidR="004946F1">
        <w:t>that</w:t>
      </w:r>
      <w:r w:rsidR="001A1F90">
        <w:t xml:space="preserve"> </w:t>
      </w:r>
      <w:r w:rsidR="004946F1">
        <w:t>there</w:t>
      </w:r>
      <w:r w:rsidR="001A1F90">
        <w:t xml:space="preserve"> </w:t>
      </w:r>
      <w:r w:rsidR="004946F1">
        <w:t>was</w:t>
      </w:r>
      <w:r w:rsidR="001A1F90">
        <w:t xml:space="preserve"> </w:t>
      </w:r>
      <w:r w:rsidR="004946F1">
        <w:t>no</w:t>
      </w:r>
      <w:r w:rsidR="001A1F90">
        <w:t xml:space="preserve"> </w:t>
      </w:r>
      <w:r w:rsidR="004946F1">
        <w:t>evidence</w:t>
      </w:r>
      <w:r w:rsidR="001A1F90">
        <w:t xml:space="preserve"> </w:t>
      </w:r>
      <w:r w:rsidR="004946F1">
        <w:t>that</w:t>
      </w:r>
      <w:r w:rsidR="001A1F90">
        <w:t xml:space="preserve"> </w:t>
      </w:r>
      <w:r w:rsidR="004946F1">
        <w:t>John</w:t>
      </w:r>
      <w:r w:rsidR="001A1F90">
        <w:t xml:space="preserve"> </w:t>
      </w:r>
      <w:r w:rsidR="004946F1">
        <w:t>was</w:t>
      </w:r>
      <w:r w:rsidR="001A1F90">
        <w:t xml:space="preserve"> </w:t>
      </w:r>
      <w:r w:rsidR="004946F1">
        <w:t>benefiting</w:t>
      </w:r>
      <w:r w:rsidR="001A1F90">
        <w:t xml:space="preserve"> </w:t>
      </w:r>
      <w:r w:rsidR="004946F1">
        <w:t>from</w:t>
      </w:r>
      <w:r w:rsidR="001A1F90">
        <w:t xml:space="preserve"> </w:t>
      </w:r>
      <w:r w:rsidR="004946F1">
        <w:t>hormonal</w:t>
      </w:r>
      <w:r w:rsidR="001A1F90">
        <w:t xml:space="preserve"> </w:t>
      </w:r>
      <w:r w:rsidR="004946F1">
        <w:t>treatment</w:t>
      </w:r>
      <w:r w:rsidR="001A1F90">
        <w:t xml:space="preserve"> </w:t>
      </w:r>
      <w:r w:rsidR="004946F1">
        <w:t>and</w:t>
      </w:r>
      <w:r w:rsidR="001A1F90">
        <w:t xml:space="preserve"> </w:t>
      </w:r>
      <w:r w:rsidR="00AB7C2D">
        <w:t xml:space="preserve">that </w:t>
      </w:r>
      <w:r w:rsidR="004946F1">
        <w:t>the</w:t>
      </w:r>
      <w:r w:rsidR="001A1F90">
        <w:t xml:space="preserve"> </w:t>
      </w:r>
      <w:r w:rsidR="002B53B9">
        <w:t>c</w:t>
      </w:r>
      <w:r w:rsidR="004946F1">
        <w:t>yproterone</w:t>
      </w:r>
      <w:r w:rsidR="001A1F90">
        <w:t xml:space="preserve"> </w:t>
      </w:r>
      <w:r w:rsidR="002B53B9">
        <w:t>a</w:t>
      </w:r>
      <w:r w:rsidR="004946F1">
        <w:t>cetate</w:t>
      </w:r>
      <w:r w:rsidR="001A1F90">
        <w:t xml:space="preserve"> </w:t>
      </w:r>
      <w:r w:rsidR="004946F1">
        <w:t>should</w:t>
      </w:r>
      <w:r w:rsidR="001A1F90">
        <w:t xml:space="preserve"> </w:t>
      </w:r>
      <w:r w:rsidR="004946F1">
        <w:t>be</w:t>
      </w:r>
      <w:r w:rsidR="001A1F90">
        <w:t xml:space="preserve"> </w:t>
      </w:r>
      <w:r w:rsidR="004946F1">
        <w:t>ceased.</w:t>
      </w:r>
      <w:r w:rsidR="001A1F90">
        <w:t xml:space="preserve"> </w:t>
      </w:r>
      <w:r w:rsidR="004946F1">
        <w:t>The</w:t>
      </w:r>
      <w:r w:rsidR="001A1F90">
        <w:t xml:space="preserve"> </w:t>
      </w:r>
      <w:r w:rsidR="004946F1">
        <w:t>Adult</w:t>
      </w:r>
      <w:r w:rsidR="001A1F90">
        <w:t xml:space="preserve"> </w:t>
      </w:r>
      <w:r w:rsidR="004946F1">
        <w:t>Guardian</w:t>
      </w:r>
      <w:r w:rsidR="001A1F90">
        <w:t xml:space="preserve"> </w:t>
      </w:r>
      <w:r w:rsidR="004946F1">
        <w:t>has</w:t>
      </w:r>
      <w:r w:rsidR="001A1F90">
        <w:t xml:space="preserve"> </w:t>
      </w:r>
      <w:r w:rsidR="004946F1">
        <w:t>accepted</w:t>
      </w:r>
      <w:r w:rsidR="001A1F90">
        <w:t xml:space="preserve"> </w:t>
      </w:r>
      <w:r w:rsidR="004946F1">
        <w:t>this</w:t>
      </w:r>
      <w:r w:rsidR="001A1F90">
        <w:t xml:space="preserve"> </w:t>
      </w:r>
      <w:r w:rsidR="004946F1">
        <w:t>opinion,</w:t>
      </w:r>
      <w:r w:rsidR="001A1F90">
        <w:t xml:space="preserve"> </w:t>
      </w:r>
      <w:r w:rsidR="004946F1">
        <w:t>although</w:t>
      </w:r>
      <w:r w:rsidR="001A1F90">
        <w:t xml:space="preserve"> </w:t>
      </w:r>
      <w:r w:rsidR="004946F1">
        <w:t>both</w:t>
      </w:r>
      <w:r w:rsidR="001A1F90">
        <w:t xml:space="preserve"> </w:t>
      </w:r>
      <w:r w:rsidR="004946F1">
        <w:t>the</w:t>
      </w:r>
      <w:r w:rsidR="001A1F90">
        <w:t xml:space="preserve"> </w:t>
      </w:r>
      <w:r w:rsidR="004946F1">
        <w:t>treating</w:t>
      </w:r>
      <w:r w:rsidR="001A1F90">
        <w:t xml:space="preserve"> </w:t>
      </w:r>
      <w:r w:rsidR="004946F1">
        <w:t>mental</w:t>
      </w:r>
      <w:r w:rsidR="001A1F90">
        <w:t xml:space="preserve"> </w:t>
      </w:r>
      <w:r w:rsidR="004946F1">
        <w:t>health</w:t>
      </w:r>
      <w:r w:rsidR="001A1F90">
        <w:t xml:space="preserve"> </w:t>
      </w:r>
      <w:r w:rsidR="004946F1">
        <w:t>service</w:t>
      </w:r>
      <w:r w:rsidR="001A1F90">
        <w:t xml:space="preserve"> </w:t>
      </w:r>
      <w:r w:rsidR="004946F1">
        <w:t>and</w:t>
      </w:r>
      <w:r w:rsidR="001A1F90">
        <w:t xml:space="preserve"> </w:t>
      </w:r>
      <w:r w:rsidR="004946F1">
        <w:t>expert</w:t>
      </w:r>
      <w:r w:rsidR="001A1F90">
        <w:t xml:space="preserve"> </w:t>
      </w:r>
      <w:r w:rsidR="004946F1">
        <w:t>psychiatrist</w:t>
      </w:r>
      <w:r w:rsidR="001A1F90">
        <w:t xml:space="preserve"> </w:t>
      </w:r>
      <w:r w:rsidR="004946F1">
        <w:t>have</w:t>
      </w:r>
      <w:r w:rsidR="001A1F90">
        <w:t xml:space="preserve"> </w:t>
      </w:r>
      <w:r w:rsidR="004946F1">
        <w:t>made</w:t>
      </w:r>
      <w:r w:rsidR="001A1F90">
        <w:t xml:space="preserve"> </w:t>
      </w:r>
      <w:r w:rsidR="004946F1">
        <w:t>contrary</w:t>
      </w:r>
      <w:r w:rsidR="001A1F90">
        <w:t xml:space="preserve"> </w:t>
      </w:r>
      <w:r w:rsidR="004946F1">
        <w:t>submissions.</w:t>
      </w:r>
      <w:r w:rsidR="001A1F90">
        <w:t xml:space="preserve"> </w:t>
      </w:r>
      <w:r w:rsidR="004946F1">
        <w:t>Disability</w:t>
      </w:r>
      <w:r w:rsidR="001A1F90">
        <w:t xml:space="preserve"> </w:t>
      </w:r>
      <w:r w:rsidR="004946F1">
        <w:t>Services</w:t>
      </w:r>
      <w:r w:rsidR="001A1F90">
        <w:t xml:space="preserve"> </w:t>
      </w:r>
      <w:r w:rsidR="004946F1">
        <w:t>continue</w:t>
      </w:r>
      <w:r w:rsidR="001A1F90">
        <w:t xml:space="preserve"> </w:t>
      </w:r>
      <w:r w:rsidR="004946F1">
        <w:t>to</w:t>
      </w:r>
      <w:r w:rsidR="001A1F90">
        <w:t xml:space="preserve"> </w:t>
      </w:r>
      <w:r w:rsidR="004946F1">
        <w:t>stress</w:t>
      </w:r>
      <w:r w:rsidR="001A1F90">
        <w:t xml:space="preserve"> </w:t>
      </w:r>
      <w:r w:rsidR="004946F1">
        <w:t>that</w:t>
      </w:r>
      <w:r w:rsidR="001A1F90">
        <w:t xml:space="preserve"> </w:t>
      </w:r>
      <w:r w:rsidR="004946F1">
        <w:t>it</w:t>
      </w:r>
      <w:r w:rsidR="001A1F90">
        <w:t xml:space="preserve"> </w:t>
      </w:r>
      <w:r w:rsidR="004946F1">
        <w:t>is</w:t>
      </w:r>
      <w:r w:rsidR="001A1F90">
        <w:t xml:space="preserve"> </w:t>
      </w:r>
      <w:r w:rsidR="004946F1">
        <w:t>not</w:t>
      </w:r>
      <w:r w:rsidR="001A1F90">
        <w:t xml:space="preserve"> </w:t>
      </w:r>
      <w:r w:rsidR="004946F1">
        <w:t>their</w:t>
      </w:r>
      <w:r w:rsidR="001A1F90">
        <w:t xml:space="preserve"> </w:t>
      </w:r>
      <w:r w:rsidR="004946F1">
        <w:t>responsibility</w:t>
      </w:r>
      <w:r w:rsidR="001A1F90">
        <w:t xml:space="preserve"> </w:t>
      </w:r>
      <w:r w:rsidR="004946F1">
        <w:t>to</w:t>
      </w:r>
      <w:r w:rsidR="001A1F90">
        <w:t xml:space="preserve"> </w:t>
      </w:r>
      <w:r w:rsidR="004946F1">
        <w:t>manage</w:t>
      </w:r>
      <w:r w:rsidR="001A1F90">
        <w:t xml:space="preserve"> </w:t>
      </w:r>
      <w:r w:rsidR="004946F1">
        <w:t>risk.</w:t>
      </w:r>
    </w:p>
    <w:p w14:paraId="3518C697" w14:textId="2DE50E4E" w:rsidR="004946F1" w:rsidRDefault="00AB7C2D" w:rsidP="00BD612C">
      <w:pPr>
        <w:pStyle w:val="DHHSbody"/>
      </w:pPr>
      <w:r>
        <w:t xml:space="preserve">John is </w:t>
      </w:r>
      <w:r w:rsidR="004946F1">
        <w:t>now</w:t>
      </w:r>
      <w:r w:rsidR="001A1F90">
        <w:t xml:space="preserve"> </w:t>
      </w:r>
      <w:r>
        <w:t xml:space="preserve">on </w:t>
      </w:r>
      <w:r w:rsidR="004946F1">
        <w:t>a</w:t>
      </w:r>
      <w:r w:rsidR="001A1F90">
        <w:t xml:space="preserve"> </w:t>
      </w:r>
      <w:r w:rsidR="004946F1">
        <w:t>slow</w:t>
      </w:r>
      <w:r w:rsidR="001A1F90">
        <w:t xml:space="preserve"> </w:t>
      </w:r>
      <w:r w:rsidR="004946F1">
        <w:t>taper</w:t>
      </w:r>
      <w:r w:rsidR="001A1F90">
        <w:t xml:space="preserve"> </w:t>
      </w:r>
      <w:r w:rsidR="004946F1">
        <w:t>of</w:t>
      </w:r>
      <w:r w:rsidR="001A1F90">
        <w:t xml:space="preserve"> </w:t>
      </w:r>
      <w:r w:rsidR="002B53B9">
        <w:t>c</w:t>
      </w:r>
      <w:r w:rsidR="004946F1">
        <w:t>yproterone</w:t>
      </w:r>
      <w:r w:rsidR="001A1F90">
        <w:t xml:space="preserve"> </w:t>
      </w:r>
      <w:r w:rsidR="002B53B9">
        <w:t>a</w:t>
      </w:r>
      <w:r w:rsidR="004946F1">
        <w:t>cetate</w:t>
      </w:r>
      <w:r w:rsidR="001A1F90">
        <w:t xml:space="preserve"> </w:t>
      </w:r>
      <w:r w:rsidR="004946F1">
        <w:t>–</w:t>
      </w:r>
      <w:r w:rsidR="001A1F90">
        <w:t xml:space="preserve"> </w:t>
      </w:r>
      <w:r w:rsidR="004946F1">
        <w:t>not</w:t>
      </w:r>
      <w:r w:rsidR="001A1F90">
        <w:t xml:space="preserve"> </w:t>
      </w:r>
      <w:r w:rsidR="004946F1">
        <w:t>necessary,</w:t>
      </w:r>
      <w:r w:rsidR="001A1F90">
        <w:t xml:space="preserve"> </w:t>
      </w:r>
      <w:r w:rsidR="004946F1">
        <w:t>but</w:t>
      </w:r>
      <w:r w:rsidR="001A1F90">
        <w:t xml:space="preserve"> </w:t>
      </w:r>
      <w:r w:rsidR="004946F1">
        <w:t>it</w:t>
      </w:r>
      <w:r w:rsidR="001A1F90">
        <w:t xml:space="preserve"> </w:t>
      </w:r>
      <w:r w:rsidR="004946F1">
        <w:t>will</w:t>
      </w:r>
      <w:r w:rsidR="001A1F90">
        <w:t xml:space="preserve"> </w:t>
      </w:r>
      <w:r>
        <w:t xml:space="preserve">hopefully </w:t>
      </w:r>
      <w:r w:rsidR="004946F1">
        <w:t>provide</w:t>
      </w:r>
      <w:r w:rsidR="001A1F90">
        <w:t xml:space="preserve"> </w:t>
      </w:r>
      <w:r w:rsidR="004946F1">
        <w:t>ample</w:t>
      </w:r>
      <w:r w:rsidR="001A1F90">
        <w:t xml:space="preserve"> </w:t>
      </w:r>
      <w:r w:rsidR="004946F1">
        <w:t>opportunity</w:t>
      </w:r>
      <w:r w:rsidR="001A1F90">
        <w:t xml:space="preserve"> </w:t>
      </w:r>
      <w:r w:rsidR="004946F1">
        <w:t>to</w:t>
      </w:r>
      <w:r w:rsidR="001A1F90">
        <w:t xml:space="preserve"> </w:t>
      </w:r>
      <w:r w:rsidR="004946F1">
        <w:t>detect</w:t>
      </w:r>
      <w:r w:rsidR="001A1F90">
        <w:t xml:space="preserve"> </w:t>
      </w:r>
      <w:r w:rsidR="004946F1">
        <w:t>any</w:t>
      </w:r>
      <w:r w:rsidR="001A1F90">
        <w:t xml:space="preserve"> </w:t>
      </w:r>
      <w:r w:rsidR="004946F1">
        <w:t>lapses.</w:t>
      </w:r>
      <w:r w:rsidR="001A1F90">
        <w:t xml:space="preserve"> </w:t>
      </w:r>
      <w:r w:rsidR="004946F1">
        <w:t>In</w:t>
      </w:r>
      <w:r w:rsidR="001A1F90">
        <w:t xml:space="preserve"> </w:t>
      </w:r>
      <w:r w:rsidR="004946F1">
        <w:t>the</w:t>
      </w:r>
      <w:r w:rsidR="001A1F90">
        <w:t xml:space="preserve"> </w:t>
      </w:r>
      <w:r w:rsidR="004946F1">
        <w:t>meantime,</w:t>
      </w:r>
      <w:r w:rsidR="001A1F90">
        <w:t xml:space="preserve"> </w:t>
      </w:r>
      <w:r w:rsidR="004946F1">
        <w:t>John</w:t>
      </w:r>
      <w:r w:rsidR="001A1F90">
        <w:t xml:space="preserve"> </w:t>
      </w:r>
      <w:r w:rsidR="004946F1">
        <w:t>continues</w:t>
      </w:r>
      <w:r w:rsidR="001A1F90">
        <w:t xml:space="preserve"> </w:t>
      </w:r>
      <w:r w:rsidR="004946F1">
        <w:t>to</w:t>
      </w:r>
      <w:r w:rsidR="001A1F90">
        <w:t xml:space="preserve"> </w:t>
      </w:r>
      <w:r w:rsidR="004946F1">
        <w:t>live</w:t>
      </w:r>
      <w:r w:rsidR="001A1F90">
        <w:t xml:space="preserve"> </w:t>
      </w:r>
      <w:r w:rsidR="004946F1">
        <w:t>in</w:t>
      </w:r>
      <w:r w:rsidR="001A1F90">
        <w:t xml:space="preserve"> </w:t>
      </w:r>
      <w:r w:rsidR="004946F1">
        <w:t>a</w:t>
      </w:r>
      <w:r w:rsidR="001A1F90">
        <w:t xml:space="preserve"> </w:t>
      </w:r>
      <w:r w:rsidR="004946F1">
        <w:t>restricted</w:t>
      </w:r>
      <w:r w:rsidR="001A1F90">
        <w:t xml:space="preserve"> </w:t>
      </w:r>
      <w:r w:rsidR="004946F1">
        <w:t>setting,</w:t>
      </w:r>
      <w:r w:rsidR="001A1F90">
        <w:t xml:space="preserve"> </w:t>
      </w:r>
      <w:r w:rsidR="004946F1">
        <w:t>on</w:t>
      </w:r>
      <w:r w:rsidR="001A1F90">
        <w:t xml:space="preserve"> </w:t>
      </w:r>
      <w:r w:rsidR="004946F1">
        <w:t>risperidone,</w:t>
      </w:r>
      <w:r w:rsidR="001A1F90">
        <w:t xml:space="preserve"> </w:t>
      </w:r>
      <w:r w:rsidR="004946F1">
        <w:t>and</w:t>
      </w:r>
      <w:r w:rsidR="001A1F90">
        <w:t xml:space="preserve"> </w:t>
      </w:r>
      <w:r w:rsidR="004946F1">
        <w:t>faces</w:t>
      </w:r>
      <w:r w:rsidR="001A1F90">
        <w:t xml:space="preserve"> </w:t>
      </w:r>
      <w:r w:rsidR="004946F1">
        <w:t>the</w:t>
      </w:r>
      <w:r w:rsidR="001A1F90">
        <w:t xml:space="preserve"> </w:t>
      </w:r>
      <w:r w:rsidR="004946F1">
        <w:t>prospect</w:t>
      </w:r>
      <w:r w:rsidR="001A1F90">
        <w:t xml:space="preserve"> </w:t>
      </w:r>
      <w:r w:rsidR="004946F1">
        <w:t>of</w:t>
      </w:r>
      <w:r w:rsidR="001A1F90">
        <w:t xml:space="preserve"> </w:t>
      </w:r>
      <w:r w:rsidR="004946F1">
        <w:t>renewed</w:t>
      </w:r>
      <w:r w:rsidR="001A1F90">
        <w:t xml:space="preserve"> </w:t>
      </w:r>
      <w:r w:rsidR="004946F1">
        <w:t>absconding</w:t>
      </w:r>
      <w:r w:rsidR="001A1F90">
        <w:t xml:space="preserve"> </w:t>
      </w:r>
      <w:r w:rsidR="004946F1">
        <w:t>and</w:t>
      </w:r>
      <w:r w:rsidR="001A1F90">
        <w:t xml:space="preserve"> </w:t>
      </w:r>
      <w:r w:rsidR="004946F1">
        <w:t>further</w:t>
      </w:r>
      <w:r w:rsidR="001A1F90">
        <w:t xml:space="preserve"> </w:t>
      </w:r>
      <w:r w:rsidR="004946F1">
        <w:t>readmissions</w:t>
      </w:r>
      <w:r w:rsidR="001A1F90">
        <w:t xml:space="preserve"> </w:t>
      </w:r>
      <w:r w:rsidR="004946F1">
        <w:t>to</w:t>
      </w:r>
      <w:r w:rsidR="001A1F90">
        <w:t xml:space="preserve"> </w:t>
      </w:r>
      <w:r w:rsidR="004946F1">
        <w:t>the</w:t>
      </w:r>
      <w:r w:rsidR="001A1F90">
        <w:t xml:space="preserve"> </w:t>
      </w:r>
      <w:r w:rsidR="004946F1">
        <w:t>high</w:t>
      </w:r>
      <w:r w:rsidR="001A1F90">
        <w:t xml:space="preserve"> </w:t>
      </w:r>
      <w:r w:rsidR="004946F1">
        <w:t>dependency</w:t>
      </w:r>
      <w:r w:rsidR="001A1F90">
        <w:t xml:space="preserve"> </w:t>
      </w:r>
      <w:r w:rsidR="004946F1">
        <w:t>unit.</w:t>
      </w:r>
    </w:p>
    <w:p w14:paraId="3C93B67E" w14:textId="77777777" w:rsidR="001A1F90" w:rsidRPr="001A1F90" w:rsidRDefault="001A1F90" w:rsidP="001A1F90">
      <w:pPr>
        <w:pStyle w:val="DHHSbody"/>
      </w:pPr>
      <w:r w:rsidRPr="001A1F90">
        <w:br w:type="page"/>
      </w:r>
    </w:p>
    <w:p w14:paraId="12875CA2" w14:textId="5057CEC6" w:rsidR="004946F1" w:rsidRDefault="00301CA9" w:rsidP="009B0E14">
      <w:pPr>
        <w:pStyle w:val="Heading1"/>
      </w:pPr>
      <w:bookmarkStart w:id="25" w:name="_Toc20225613"/>
      <w:r>
        <w:t>5</w:t>
      </w:r>
      <w:r w:rsidR="004946F1">
        <w:t>.</w:t>
      </w:r>
      <w:r w:rsidR="001A1F90">
        <w:t xml:space="preserve"> </w:t>
      </w:r>
      <w:r w:rsidR="004946F1">
        <w:t>Summary</w:t>
      </w:r>
      <w:r w:rsidR="001A1F90">
        <w:t xml:space="preserve"> </w:t>
      </w:r>
      <w:r w:rsidR="004946F1">
        <w:t>and</w:t>
      </w:r>
      <w:r w:rsidR="001A1F90">
        <w:t xml:space="preserve"> </w:t>
      </w:r>
      <w:r w:rsidR="004946F1">
        <w:t>recommendations</w:t>
      </w:r>
      <w:r w:rsidR="001A1F90">
        <w:t xml:space="preserve"> </w:t>
      </w:r>
      <w:r w:rsidR="004946F1">
        <w:t>arising</w:t>
      </w:r>
      <w:bookmarkEnd w:id="25"/>
    </w:p>
    <w:p w14:paraId="6DF97B28" w14:textId="50BC945A" w:rsidR="004946F1" w:rsidRDefault="004946F1" w:rsidP="00BD612C">
      <w:pPr>
        <w:pStyle w:val="DHHSbody"/>
      </w:pPr>
      <w:r>
        <w:t>Despite</w:t>
      </w:r>
      <w:r w:rsidR="001A1F90">
        <w:t xml:space="preserve"> </w:t>
      </w:r>
      <w:r>
        <w:t>continued</w:t>
      </w:r>
      <w:r w:rsidR="001A1F90">
        <w:t xml:space="preserve"> </w:t>
      </w:r>
      <w:r>
        <w:t>vocalisations</w:t>
      </w:r>
      <w:r w:rsidR="001A1F90">
        <w:t xml:space="preserve"> </w:t>
      </w:r>
      <w:r>
        <w:t>about</w:t>
      </w:r>
      <w:r w:rsidR="001A1F90">
        <w:t xml:space="preserve"> </w:t>
      </w:r>
      <w:r>
        <w:t>the</w:t>
      </w:r>
      <w:r w:rsidR="001A1F90">
        <w:t xml:space="preserve"> </w:t>
      </w:r>
      <w:r>
        <w:t>need</w:t>
      </w:r>
      <w:r w:rsidR="001A1F90">
        <w:t xml:space="preserve"> </w:t>
      </w:r>
      <w:r>
        <w:t>for</w:t>
      </w:r>
      <w:r w:rsidR="001A1F90">
        <w:t xml:space="preserve"> </w:t>
      </w:r>
      <w:r>
        <w:t>controlled</w:t>
      </w:r>
      <w:r w:rsidR="001A1F90">
        <w:t xml:space="preserve"> </w:t>
      </w:r>
      <w:r>
        <w:t>studies</w:t>
      </w:r>
      <w:r w:rsidR="001A1F90">
        <w:t xml:space="preserve"> </w:t>
      </w:r>
      <w:r>
        <w:t>with</w:t>
      </w:r>
      <w:r w:rsidR="001A1F90">
        <w:t xml:space="preserve"> </w:t>
      </w:r>
      <w:r>
        <w:t>transparent</w:t>
      </w:r>
      <w:r w:rsidR="001A1F90">
        <w:t xml:space="preserve"> </w:t>
      </w:r>
      <w:r>
        <w:t>inclusion</w:t>
      </w:r>
      <w:r w:rsidR="001A1F90">
        <w:t xml:space="preserve"> </w:t>
      </w:r>
      <w:r>
        <w:t>and</w:t>
      </w:r>
      <w:r w:rsidR="001A1F90">
        <w:t xml:space="preserve"> </w:t>
      </w:r>
      <w:r>
        <w:t>exclusion</w:t>
      </w:r>
      <w:r w:rsidR="001A1F90">
        <w:t xml:space="preserve"> </w:t>
      </w:r>
      <w:r>
        <w:t>criteria</w:t>
      </w:r>
      <w:r w:rsidR="000B301B">
        <w:t>,</w:t>
      </w:r>
      <w:r w:rsidR="001A1F90">
        <w:t xml:space="preserve"> </w:t>
      </w:r>
      <w:r>
        <w:t>and</w:t>
      </w:r>
      <w:r w:rsidR="001A1F90">
        <w:t xml:space="preserve"> </w:t>
      </w:r>
      <w:r>
        <w:t>more</w:t>
      </w:r>
      <w:r w:rsidR="001A1F90">
        <w:t xml:space="preserve"> </w:t>
      </w:r>
      <w:r>
        <w:t>robust,</w:t>
      </w:r>
      <w:r w:rsidR="001A1F90">
        <w:t xml:space="preserve"> </w:t>
      </w:r>
      <w:r>
        <w:t>long-term</w:t>
      </w:r>
      <w:r w:rsidR="001A1F90">
        <w:t xml:space="preserve"> </w:t>
      </w:r>
      <w:r>
        <w:t>follow-up,</w:t>
      </w:r>
      <w:r w:rsidR="001A1F90">
        <w:t xml:space="preserve"> </w:t>
      </w:r>
      <w:r>
        <w:t>such</w:t>
      </w:r>
      <w:r w:rsidR="001A1F90">
        <w:t xml:space="preserve"> </w:t>
      </w:r>
      <w:r>
        <w:t>rigorous</w:t>
      </w:r>
      <w:r w:rsidR="001A1F90">
        <w:t xml:space="preserve"> </w:t>
      </w:r>
      <w:r>
        <w:t>methodologies</w:t>
      </w:r>
      <w:r w:rsidR="001A1F90">
        <w:t xml:space="preserve"> </w:t>
      </w:r>
      <w:r>
        <w:t>remain</w:t>
      </w:r>
      <w:r w:rsidR="001A1F90">
        <w:t xml:space="preserve"> </w:t>
      </w:r>
      <w:r>
        <w:t>an</w:t>
      </w:r>
      <w:r w:rsidR="001A1F90">
        <w:t xml:space="preserve"> </w:t>
      </w:r>
      <w:r>
        <w:t>ideal</w:t>
      </w:r>
      <w:r w:rsidR="001A1F90">
        <w:t xml:space="preserve"> </w:t>
      </w:r>
      <w:r>
        <w:t>as</w:t>
      </w:r>
      <w:r w:rsidR="001A1F90">
        <w:t xml:space="preserve"> </w:t>
      </w:r>
      <w:r>
        <w:t>opposed</w:t>
      </w:r>
      <w:r w:rsidR="001A1F90">
        <w:t xml:space="preserve"> </w:t>
      </w:r>
      <w:r>
        <w:t>to</w:t>
      </w:r>
      <w:r w:rsidR="001A1F90">
        <w:t xml:space="preserve"> </w:t>
      </w:r>
      <w:r>
        <w:t>a</w:t>
      </w:r>
      <w:r w:rsidR="001A1F90">
        <w:t xml:space="preserve"> </w:t>
      </w:r>
      <w:r>
        <w:t>reality,</w:t>
      </w:r>
      <w:r w:rsidR="001A1F90">
        <w:t xml:space="preserve"> </w:t>
      </w:r>
      <w:r>
        <w:t>particularly</w:t>
      </w:r>
      <w:r w:rsidR="001A1F90">
        <w:t xml:space="preserve"> </w:t>
      </w:r>
      <w:r>
        <w:t>with</w:t>
      </w:r>
      <w:r w:rsidR="001A1F90">
        <w:t xml:space="preserve"> </w:t>
      </w:r>
      <w:r>
        <w:t>intellectually</w:t>
      </w:r>
      <w:r w:rsidR="001A1F90">
        <w:t xml:space="preserve"> </w:t>
      </w:r>
      <w:r>
        <w:t>disabled</w:t>
      </w:r>
      <w:r w:rsidR="001A1F90">
        <w:t xml:space="preserve"> </w:t>
      </w:r>
      <w:r>
        <w:t>sex</w:t>
      </w:r>
      <w:r w:rsidR="001A1F90">
        <w:t xml:space="preserve"> </w:t>
      </w:r>
      <w:r>
        <w:t>offenders.</w:t>
      </w:r>
      <w:r w:rsidR="001A1F90">
        <w:t xml:space="preserve"> </w:t>
      </w:r>
      <w:r>
        <w:t>In</w:t>
      </w:r>
      <w:r w:rsidR="001A1F90">
        <w:t xml:space="preserve"> </w:t>
      </w:r>
      <w:r>
        <w:t>such</w:t>
      </w:r>
      <w:r w:rsidR="001A1F90">
        <w:t xml:space="preserve"> </w:t>
      </w:r>
      <w:r>
        <w:t>instances,</w:t>
      </w:r>
      <w:r w:rsidR="001A1F90">
        <w:t xml:space="preserve"> </w:t>
      </w:r>
      <w:r>
        <w:t>and</w:t>
      </w:r>
      <w:r w:rsidR="001A1F90">
        <w:t xml:space="preserve"> </w:t>
      </w:r>
      <w:r>
        <w:t>as</w:t>
      </w:r>
      <w:r w:rsidR="001A1F90">
        <w:t xml:space="preserve"> </w:t>
      </w:r>
      <w:r>
        <w:t>recommended</w:t>
      </w:r>
      <w:r w:rsidR="001A1F90">
        <w:t xml:space="preserve"> </w:t>
      </w:r>
      <w:r>
        <w:t>by</w:t>
      </w:r>
      <w:r w:rsidR="001A1F90">
        <w:t xml:space="preserve"> </w:t>
      </w:r>
      <w:r>
        <w:t>Ashman</w:t>
      </w:r>
      <w:r w:rsidR="001A1F90">
        <w:t xml:space="preserve"> </w:t>
      </w:r>
      <w:r>
        <w:t>and</w:t>
      </w:r>
      <w:r w:rsidR="001A1F90">
        <w:t xml:space="preserve"> </w:t>
      </w:r>
      <w:r>
        <w:t>Duggan</w:t>
      </w:r>
      <w:r w:rsidR="001A1F90">
        <w:t xml:space="preserve"> </w:t>
      </w:r>
      <w:r>
        <w:t>(2008)</w:t>
      </w:r>
      <w:r w:rsidR="001A1F90">
        <w:t xml:space="preserve"> </w:t>
      </w:r>
      <w:r>
        <w:t>and</w:t>
      </w:r>
      <w:r w:rsidR="001A1F90">
        <w:t xml:space="preserve"> </w:t>
      </w:r>
      <w:r>
        <w:t>Dennis</w:t>
      </w:r>
      <w:r w:rsidR="001A1F90">
        <w:t xml:space="preserve"> </w:t>
      </w:r>
      <w:r>
        <w:t>and</w:t>
      </w:r>
      <w:r w:rsidR="001A1F90">
        <w:t xml:space="preserve"> </w:t>
      </w:r>
      <w:r>
        <w:t>colleagues</w:t>
      </w:r>
      <w:r w:rsidR="001A1F90">
        <w:t xml:space="preserve"> </w:t>
      </w:r>
      <w:r>
        <w:t>(2012),</w:t>
      </w:r>
      <w:r w:rsidR="001A1F90">
        <w:t xml:space="preserve"> </w:t>
      </w:r>
      <w:r>
        <w:t>we</w:t>
      </w:r>
      <w:r w:rsidR="001A1F90">
        <w:t xml:space="preserve"> </w:t>
      </w:r>
      <w:r>
        <w:t>are</w:t>
      </w:r>
      <w:r w:rsidR="001A1F90">
        <w:t xml:space="preserve"> </w:t>
      </w:r>
      <w:r>
        <w:t>forced</w:t>
      </w:r>
      <w:r w:rsidR="001A1F90">
        <w:t xml:space="preserve"> </w:t>
      </w:r>
      <w:r>
        <w:t>to</w:t>
      </w:r>
      <w:r w:rsidR="001A1F90">
        <w:t xml:space="preserve"> </w:t>
      </w:r>
      <w:r>
        <w:t>consider</w:t>
      </w:r>
      <w:r w:rsidR="001A1F90">
        <w:t xml:space="preserve"> </w:t>
      </w:r>
      <w:r>
        <w:t>what</w:t>
      </w:r>
      <w:r w:rsidR="001A1F90">
        <w:t xml:space="preserve"> </w:t>
      </w:r>
      <w:r>
        <w:t>evidence</w:t>
      </w:r>
      <w:r w:rsidR="001A1F90">
        <w:t xml:space="preserve"> </w:t>
      </w:r>
      <w:r>
        <w:t>there</w:t>
      </w:r>
      <w:r w:rsidR="001A1F90">
        <w:t xml:space="preserve"> </w:t>
      </w:r>
      <w:r>
        <w:t>is</w:t>
      </w:r>
      <w:r w:rsidR="001A1F90">
        <w:t xml:space="preserve"> </w:t>
      </w:r>
      <w:r>
        <w:t>that</w:t>
      </w:r>
      <w:r w:rsidR="001A1F90">
        <w:t xml:space="preserve"> </w:t>
      </w:r>
      <w:r>
        <w:t>is</w:t>
      </w:r>
      <w:r w:rsidR="001A1F90">
        <w:t xml:space="preserve"> </w:t>
      </w:r>
      <w:r>
        <w:t>available.</w:t>
      </w:r>
    </w:p>
    <w:p w14:paraId="16F6923D" w14:textId="358463E3" w:rsidR="004946F1" w:rsidRDefault="004946F1" w:rsidP="00BD612C">
      <w:pPr>
        <w:pStyle w:val="DHHSbody"/>
      </w:pPr>
      <w:r>
        <w:t>A</w:t>
      </w:r>
      <w:r w:rsidR="001A1F90">
        <w:t xml:space="preserve"> </w:t>
      </w:r>
      <w:r>
        <w:t>review</w:t>
      </w:r>
      <w:r w:rsidR="001A1F90">
        <w:t xml:space="preserve"> </w:t>
      </w:r>
      <w:r>
        <w:t>of</w:t>
      </w:r>
      <w:r w:rsidR="001A1F90">
        <w:t xml:space="preserve"> </w:t>
      </w:r>
      <w:r>
        <w:t>this</w:t>
      </w:r>
      <w:r w:rsidR="001A1F90">
        <w:t xml:space="preserve"> </w:t>
      </w:r>
      <w:r>
        <w:t>evidence</w:t>
      </w:r>
      <w:r w:rsidR="001A1F90">
        <w:t xml:space="preserve"> </w:t>
      </w:r>
      <w:r>
        <w:t>finds</w:t>
      </w:r>
      <w:r w:rsidR="001A1F90">
        <w:t xml:space="preserve"> </w:t>
      </w:r>
      <w:r>
        <w:t>two</w:t>
      </w:r>
      <w:r w:rsidR="001A1F90">
        <w:t xml:space="preserve"> </w:t>
      </w:r>
      <w:r>
        <w:t>distinctly</w:t>
      </w:r>
      <w:r w:rsidR="001A1F90">
        <w:t xml:space="preserve"> </w:t>
      </w:r>
      <w:r>
        <w:t>polarised</w:t>
      </w:r>
      <w:r w:rsidR="001A1F90">
        <w:t xml:space="preserve"> </w:t>
      </w:r>
      <w:r>
        <w:t>standpoints.</w:t>
      </w:r>
      <w:r w:rsidR="001A1F90">
        <w:t xml:space="preserve"> </w:t>
      </w:r>
      <w:r>
        <w:t>On</w:t>
      </w:r>
      <w:r w:rsidR="001A1F90">
        <w:t xml:space="preserve"> </w:t>
      </w:r>
      <w:r>
        <w:t>one</w:t>
      </w:r>
      <w:r w:rsidR="001A1F90">
        <w:t xml:space="preserve"> </w:t>
      </w:r>
      <w:r>
        <w:t>hand,</w:t>
      </w:r>
      <w:r w:rsidR="001A1F90">
        <w:t xml:space="preserve"> </w:t>
      </w:r>
      <w:r>
        <w:t>there</w:t>
      </w:r>
      <w:r w:rsidR="001A1F90">
        <w:t xml:space="preserve"> </w:t>
      </w:r>
      <w:r>
        <w:t>is</w:t>
      </w:r>
      <w:r w:rsidR="001A1F90">
        <w:t xml:space="preserve"> </w:t>
      </w:r>
      <w:r>
        <w:t>a</w:t>
      </w:r>
      <w:r w:rsidR="001A1F90">
        <w:t xml:space="preserve"> </w:t>
      </w:r>
      <w:r>
        <w:t>steadfast</w:t>
      </w:r>
      <w:r w:rsidR="001A1F90">
        <w:t xml:space="preserve"> </w:t>
      </w:r>
      <w:r>
        <w:t>and</w:t>
      </w:r>
      <w:r w:rsidR="001A1F90">
        <w:t xml:space="preserve"> </w:t>
      </w:r>
      <w:r>
        <w:t>accumulating</w:t>
      </w:r>
      <w:r w:rsidR="001A1F90">
        <w:t xml:space="preserve"> </w:t>
      </w:r>
      <w:r>
        <w:t>evidence</w:t>
      </w:r>
      <w:r w:rsidR="001A1F90">
        <w:t xml:space="preserve"> </w:t>
      </w:r>
      <w:r>
        <w:t>base</w:t>
      </w:r>
      <w:r w:rsidR="001A1F90">
        <w:t xml:space="preserve"> </w:t>
      </w:r>
      <w:r>
        <w:t>to</w:t>
      </w:r>
      <w:r w:rsidR="001A1F90">
        <w:t xml:space="preserve"> </w:t>
      </w:r>
      <w:r>
        <w:t>suggest</w:t>
      </w:r>
      <w:r w:rsidR="001A1F90">
        <w:t xml:space="preserve"> </w:t>
      </w:r>
      <w:r>
        <w:t>that</w:t>
      </w:r>
      <w:r w:rsidR="001A1F90">
        <w:t xml:space="preserve"> </w:t>
      </w:r>
      <w:r>
        <w:t>anti-libidinal</w:t>
      </w:r>
      <w:r w:rsidR="001A1F90">
        <w:t xml:space="preserve"> </w:t>
      </w:r>
      <w:r>
        <w:t>medications</w:t>
      </w:r>
      <w:r w:rsidR="001A1F90">
        <w:t xml:space="preserve"> </w:t>
      </w:r>
      <w:r>
        <w:t>should</w:t>
      </w:r>
      <w:r w:rsidR="001A1F90">
        <w:t xml:space="preserve"> </w:t>
      </w:r>
      <w:r>
        <w:t>not</w:t>
      </w:r>
      <w:r w:rsidR="001A1F90">
        <w:t xml:space="preserve"> </w:t>
      </w:r>
      <w:r>
        <w:t>be</w:t>
      </w:r>
      <w:r w:rsidR="001A1F90">
        <w:t xml:space="preserve"> </w:t>
      </w:r>
      <w:r>
        <w:t>prescribed,</w:t>
      </w:r>
      <w:r w:rsidR="001A1F90">
        <w:t xml:space="preserve"> </w:t>
      </w:r>
      <w:r>
        <w:t>especially</w:t>
      </w:r>
      <w:r w:rsidR="001A1F90">
        <w:t xml:space="preserve"> </w:t>
      </w:r>
      <w:r>
        <w:t>in</w:t>
      </w:r>
      <w:r w:rsidR="001A1F90">
        <w:t xml:space="preserve"> </w:t>
      </w:r>
      <w:r>
        <w:t>instances</w:t>
      </w:r>
      <w:r w:rsidR="001A1F90">
        <w:t xml:space="preserve"> </w:t>
      </w:r>
      <w:r>
        <w:t>where</w:t>
      </w:r>
      <w:r w:rsidR="001A1F90">
        <w:t xml:space="preserve"> </w:t>
      </w:r>
      <w:r>
        <w:t>informed</w:t>
      </w:r>
      <w:r w:rsidR="001A1F90">
        <w:t xml:space="preserve"> </w:t>
      </w:r>
      <w:r>
        <w:t>consent</w:t>
      </w:r>
      <w:r w:rsidR="001A1F90">
        <w:t xml:space="preserve"> </w:t>
      </w:r>
      <w:r>
        <w:t>cannot</w:t>
      </w:r>
      <w:r w:rsidR="001A1F90">
        <w:t xml:space="preserve"> </w:t>
      </w:r>
      <w:r>
        <w:t>be</w:t>
      </w:r>
      <w:r w:rsidR="001A1F90">
        <w:t xml:space="preserve"> </w:t>
      </w:r>
      <w:r>
        <w:t>established,</w:t>
      </w:r>
      <w:r w:rsidR="001A1F90">
        <w:t xml:space="preserve"> </w:t>
      </w:r>
      <w:r>
        <w:t>because</w:t>
      </w:r>
      <w:r w:rsidR="001A1F90">
        <w:t xml:space="preserve"> </w:t>
      </w:r>
      <w:r>
        <w:t>of</w:t>
      </w:r>
      <w:r w:rsidR="001A1F90">
        <w:t xml:space="preserve"> </w:t>
      </w:r>
      <w:r>
        <w:t>the</w:t>
      </w:r>
      <w:r w:rsidR="001A1F90">
        <w:t xml:space="preserve"> </w:t>
      </w:r>
      <w:r>
        <w:t>potentially</w:t>
      </w:r>
      <w:r w:rsidR="001A1F90">
        <w:t xml:space="preserve"> </w:t>
      </w:r>
      <w:r>
        <w:t>significant</w:t>
      </w:r>
      <w:r w:rsidR="001A1F90">
        <w:t xml:space="preserve"> </w:t>
      </w:r>
      <w:r>
        <w:t>and</w:t>
      </w:r>
      <w:r w:rsidR="001A1F90">
        <w:t xml:space="preserve"> </w:t>
      </w:r>
      <w:r w:rsidR="000B301B">
        <w:t>harmful</w:t>
      </w:r>
      <w:r w:rsidR="001A1F90">
        <w:t xml:space="preserve"> </w:t>
      </w:r>
      <w:r>
        <w:t>side</w:t>
      </w:r>
      <w:r w:rsidR="001A1F90">
        <w:t xml:space="preserve"> </w:t>
      </w:r>
      <w:r>
        <w:t>effects</w:t>
      </w:r>
      <w:r w:rsidR="001A1F90">
        <w:t xml:space="preserve"> </w:t>
      </w:r>
      <w:r>
        <w:t>that</w:t>
      </w:r>
      <w:r w:rsidR="001A1F90">
        <w:t xml:space="preserve"> </w:t>
      </w:r>
      <w:r>
        <w:t>can</w:t>
      </w:r>
      <w:r w:rsidR="001A1F90">
        <w:t xml:space="preserve"> </w:t>
      </w:r>
      <w:r>
        <w:t>be</w:t>
      </w:r>
      <w:r w:rsidR="001A1F90">
        <w:t xml:space="preserve"> </w:t>
      </w:r>
      <w:r>
        <w:t>experienced</w:t>
      </w:r>
      <w:r w:rsidR="001A1F90">
        <w:t xml:space="preserve"> </w:t>
      </w:r>
      <w:r>
        <w:t>and</w:t>
      </w:r>
      <w:r w:rsidR="001A1F90">
        <w:t xml:space="preserve"> </w:t>
      </w:r>
      <w:r>
        <w:t>the</w:t>
      </w:r>
      <w:r w:rsidR="001A1F90">
        <w:t xml:space="preserve"> </w:t>
      </w:r>
      <w:r>
        <w:t>lack</w:t>
      </w:r>
      <w:r w:rsidR="001A1F90">
        <w:t xml:space="preserve"> </w:t>
      </w:r>
      <w:r>
        <w:t>of</w:t>
      </w:r>
      <w:r w:rsidR="001A1F90">
        <w:t xml:space="preserve"> </w:t>
      </w:r>
      <w:r>
        <w:t>ability</w:t>
      </w:r>
      <w:r w:rsidR="001A1F90">
        <w:t xml:space="preserve"> </w:t>
      </w:r>
      <w:r>
        <w:t>of</w:t>
      </w:r>
      <w:r w:rsidR="001A1F90">
        <w:t xml:space="preserve"> </w:t>
      </w:r>
      <w:r>
        <w:t>some</w:t>
      </w:r>
      <w:r w:rsidR="001A1F90">
        <w:t xml:space="preserve"> </w:t>
      </w:r>
      <w:r>
        <w:t>of</w:t>
      </w:r>
      <w:r w:rsidR="001A1F90">
        <w:t xml:space="preserve"> </w:t>
      </w:r>
      <w:r>
        <w:t>those</w:t>
      </w:r>
      <w:r w:rsidR="001A1F90">
        <w:t xml:space="preserve"> </w:t>
      </w:r>
      <w:r>
        <w:t>affected</w:t>
      </w:r>
      <w:r w:rsidR="001A1F90">
        <w:t xml:space="preserve"> </w:t>
      </w:r>
      <w:r>
        <w:t>to</w:t>
      </w:r>
      <w:r w:rsidR="001A1F90">
        <w:t xml:space="preserve"> </w:t>
      </w:r>
      <w:r>
        <w:t>communicate</w:t>
      </w:r>
      <w:r w:rsidR="001A1F90">
        <w:t xml:space="preserve"> </w:t>
      </w:r>
      <w:r>
        <w:t>their</w:t>
      </w:r>
      <w:r w:rsidR="001A1F90">
        <w:t xml:space="preserve"> </w:t>
      </w:r>
      <w:r>
        <w:t>distress</w:t>
      </w:r>
      <w:r w:rsidR="001A1F90">
        <w:t xml:space="preserve"> </w:t>
      </w:r>
      <w:r>
        <w:t>and/or</w:t>
      </w:r>
      <w:r w:rsidR="001A1F90">
        <w:t xml:space="preserve"> </w:t>
      </w:r>
      <w:r>
        <w:t>discomfort.</w:t>
      </w:r>
      <w:r w:rsidR="001A1F90">
        <w:t xml:space="preserve"> </w:t>
      </w:r>
      <w:r>
        <w:t>One</w:t>
      </w:r>
      <w:r w:rsidR="001A1F90">
        <w:t xml:space="preserve"> </w:t>
      </w:r>
      <w:r>
        <w:t>the</w:t>
      </w:r>
      <w:r w:rsidR="001A1F90">
        <w:t xml:space="preserve"> </w:t>
      </w:r>
      <w:r>
        <w:t>other</w:t>
      </w:r>
      <w:r w:rsidR="001A1F90">
        <w:t xml:space="preserve"> </w:t>
      </w:r>
      <w:r>
        <w:t>hand,</w:t>
      </w:r>
      <w:r w:rsidR="001A1F90">
        <w:t xml:space="preserve"> </w:t>
      </w:r>
      <w:r>
        <w:t>there</w:t>
      </w:r>
      <w:r w:rsidR="001A1F90">
        <w:t xml:space="preserve"> </w:t>
      </w:r>
      <w:r>
        <w:t>are</w:t>
      </w:r>
      <w:r w:rsidR="001A1F90">
        <w:t xml:space="preserve"> </w:t>
      </w:r>
      <w:r>
        <w:t>a</w:t>
      </w:r>
      <w:r w:rsidR="001A1F90">
        <w:t xml:space="preserve"> </w:t>
      </w:r>
      <w:r>
        <w:t>number</w:t>
      </w:r>
      <w:r w:rsidR="001A1F90">
        <w:t xml:space="preserve"> </w:t>
      </w:r>
      <w:r>
        <w:t>of</w:t>
      </w:r>
      <w:r w:rsidR="001A1F90">
        <w:t xml:space="preserve"> </w:t>
      </w:r>
      <w:r>
        <w:t>case</w:t>
      </w:r>
      <w:r w:rsidR="001A1F90">
        <w:t xml:space="preserve"> </w:t>
      </w:r>
      <w:r>
        <w:t>studies</w:t>
      </w:r>
      <w:r w:rsidR="001A1F90">
        <w:t xml:space="preserve"> </w:t>
      </w:r>
      <w:r w:rsidR="000B301B">
        <w:t>that</w:t>
      </w:r>
      <w:r>
        <w:t>,</w:t>
      </w:r>
      <w:r w:rsidR="001A1F90">
        <w:t xml:space="preserve"> </w:t>
      </w:r>
      <w:r>
        <w:t>taken</w:t>
      </w:r>
      <w:r w:rsidR="001A1F90">
        <w:t xml:space="preserve"> </w:t>
      </w:r>
      <w:r>
        <w:t>altogether,</w:t>
      </w:r>
      <w:r w:rsidR="001A1F90">
        <w:t xml:space="preserve"> </w:t>
      </w:r>
      <w:r>
        <w:t>suggest</w:t>
      </w:r>
      <w:r w:rsidR="001A1F90">
        <w:t xml:space="preserve"> </w:t>
      </w:r>
      <w:r>
        <w:t>that</w:t>
      </w:r>
      <w:r w:rsidR="001A1F90">
        <w:t xml:space="preserve"> </w:t>
      </w:r>
      <w:r>
        <w:t>anti-libidinal</w:t>
      </w:r>
      <w:r w:rsidR="001A1F90">
        <w:t xml:space="preserve"> </w:t>
      </w:r>
      <w:r>
        <w:t>medications</w:t>
      </w:r>
      <w:r w:rsidR="001A1F90">
        <w:t xml:space="preserve"> </w:t>
      </w:r>
      <w:r>
        <w:t>have</w:t>
      </w:r>
      <w:r w:rsidR="001A1F90">
        <w:t xml:space="preserve"> </w:t>
      </w:r>
      <w:r>
        <w:t>a</w:t>
      </w:r>
      <w:r w:rsidR="001A1F90">
        <w:t xml:space="preserve"> </w:t>
      </w:r>
      <w:r>
        <w:t>role</w:t>
      </w:r>
      <w:r w:rsidR="001A1F90">
        <w:t xml:space="preserve"> </w:t>
      </w:r>
      <w:r w:rsidR="000B301B">
        <w:t>to</w:t>
      </w:r>
      <w:r w:rsidR="001A1F90">
        <w:t xml:space="preserve"> </w:t>
      </w:r>
      <w:r>
        <w:t>play</w:t>
      </w:r>
      <w:r w:rsidR="001A1F90">
        <w:t xml:space="preserve"> </w:t>
      </w:r>
      <w:r>
        <w:t>in</w:t>
      </w:r>
      <w:r w:rsidR="001A1F90">
        <w:t xml:space="preserve"> </w:t>
      </w:r>
      <w:r>
        <w:t>treat</w:t>
      </w:r>
      <w:r w:rsidR="000B301B">
        <w:t>ing</w:t>
      </w:r>
      <w:r w:rsidR="001A1F90">
        <w:t xml:space="preserve"> </w:t>
      </w:r>
      <w:r>
        <w:t>and</w:t>
      </w:r>
      <w:r w:rsidR="001A1F90">
        <w:t xml:space="preserve"> </w:t>
      </w:r>
      <w:r>
        <w:t>manag</w:t>
      </w:r>
      <w:r w:rsidR="000B301B">
        <w:t>ing</w:t>
      </w:r>
      <w:r w:rsidR="001A1F90">
        <w:t xml:space="preserve"> </w:t>
      </w:r>
      <w:r>
        <w:t>a</w:t>
      </w:r>
      <w:r w:rsidR="001A1F90">
        <w:t xml:space="preserve"> </w:t>
      </w:r>
      <w:r>
        <w:t>small</w:t>
      </w:r>
      <w:r w:rsidR="001A1F90">
        <w:t xml:space="preserve"> </w:t>
      </w:r>
      <w:r>
        <w:t>proportion</w:t>
      </w:r>
      <w:r w:rsidR="001A1F90">
        <w:t xml:space="preserve"> </w:t>
      </w:r>
      <w:r>
        <w:t>of</w:t>
      </w:r>
      <w:r w:rsidR="001A1F90">
        <w:t xml:space="preserve"> </w:t>
      </w:r>
      <w:r w:rsidR="000B301B">
        <w:t xml:space="preserve">people </w:t>
      </w:r>
      <w:r>
        <w:t>with</w:t>
      </w:r>
      <w:r w:rsidR="001A1F90">
        <w:t xml:space="preserve"> </w:t>
      </w:r>
      <w:r>
        <w:t>high</w:t>
      </w:r>
      <w:r w:rsidR="00232F0F">
        <w:t>-</w:t>
      </w:r>
      <w:r>
        <w:t>risk</w:t>
      </w:r>
      <w:r w:rsidR="001A1F90">
        <w:t xml:space="preserve"> </w:t>
      </w:r>
      <w:r>
        <w:t>sexually</w:t>
      </w:r>
      <w:r w:rsidR="001A1F90">
        <w:t xml:space="preserve"> </w:t>
      </w:r>
      <w:r w:rsidR="00C84854">
        <w:t>inappropriate</w:t>
      </w:r>
      <w:r w:rsidR="001A1F90">
        <w:t xml:space="preserve"> </w:t>
      </w:r>
      <w:r>
        <w:t>behaviours.</w:t>
      </w:r>
    </w:p>
    <w:p w14:paraId="0C54E66F" w14:textId="773960AB" w:rsidR="004946F1" w:rsidRDefault="004946F1" w:rsidP="00BD612C">
      <w:pPr>
        <w:pStyle w:val="DHHSbody"/>
      </w:pPr>
      <w:r>
        <w:t>Authors</w:t>
      </w:r>
      <w:r w:rsidR="001A1F90">
        <w:t xml:space="preserve"> </w:t>
      </w:r>
      <w:r>
        <w:t>assert</w:t>
      </w:r>
      <w:r w:rsidR="001A1F90">
        <w:t xml:space="preserve"> </w:t>
      </w:r>
      <w:r>
        <w:t>that</w:t>
      </w:r>
      <w:r w:rsidR="001A1F90">
        <w:t xml:space="preserve"> </w:t>
      </w:r>
      <w:r>
        <w:t>because</w:t>
      </w:r>
      <w:r w:rsidR="001A1F90">
        <w:t xml:space="preserve"> </w:t>
      </w:r>
      <w:r>
        <w:t>these</w:t>
      </w:r>
      <w:r w:rsidR="001A1F90">
        <w:t xml:space="preserve"> </w:t>
      </w:r>
      <w:r>
        <w:t>offenders</w:t>
      </w:r>
      <w:r w:rsidR="001A1F90">
        <w:t xml:space="preserve"> </w:t>
      </w:r>
      <w:r>
        <w:t>do</w:t>
      </w:r>
      <w:r w:rsidR="001A1F90">
        <w:t xml:space="preserve"> </w:t>
      </w:r>
      <w:r>
        <w:t>not</w:t>
      </w:r>
      <w:r w:rsidR="001A1F90">
        <w:t xml:space="preserve"> </w:t>
      </w:r>
      <w:r>
        <w:t>in</w:t>
      </w:r>
      <w:r w:rsidR="001A1F90">
        <w:t xml:space="preserve"> </w:t>
      </w:r>
      <w:r>
        <w:t>any</w:t>
      </w:r>
      <w:r w:rsidR="001A1F90">
        <w:t xml:space="preserve"> </w:t>
      </w:r>
      <w:r>
        <w:t>way</w:t>
      </w:r>
      <w:r w:rsidR="001A1F90">
        <w:t xml:space="preserve"> </w:t>
      </w:r>
      <w:r>
        <w:t>represent</w:t>
      </w:r>
      <w:r w:rsidR="001A1F90">
        <w:t xml:space="preserve"> </w:t>
      </w:r>
      <w:r>
        <w:t>a</w:t>
      </w:r>
      <w:r w:rsidR="001A1F90">
        <w:t xml:space="preserve"> </w:t>
      </w:r>
      <w:r>
        <w:t>homogenous</w:t>
      </w:r>
      <w:r w:rsidR="001A1F90">
        <w:t xml:space="preserve"> </w:t>
      </w:r>
      <w:r>
        <w:t>group,</w:t>
      </w:r>
      <w:r w:rsidR="001A1F90">
        <w:t xml:space="preserve"> </w:t>
      </w:r>
      <w:r>
        <w:t>there</w:t>
      </w:r>
      <w:r w:rsidR="001A1F90">
        <w:t xml:space="preserve"> </w:t>
      </w:r>
      <w:r>
        <w:t>is</w:t>
      </w:r>
      <w:r w:rsidR="001A1F90">
        <w:t xml:space="preserve"> </w:t>
      </w:r>
      <w:r>
        <w:t>little</w:t>
      </w:r>
      <w:r w:rsidR="001A1F90">
        <w:t xml:space="preserve"> </w:t>
      </w:r>
      <w:r>
        <w:t>if</w:t>
      </w:r>
      <w:r w:rsidR="001A1F90">
        <w:t xml:space="preserve"> </w:t>
      </w:r>
      <w:r>
        <w:t>any</w:t>
      </w:r>
      <w:r w:rsidR="001A1F90">
        <w:t xml:space="preserve"> </w:t>
      </w:r>
      <w:r>
        <w:t>chance</w:t>
      </w:r>
      <w:r w:rsidR="001A1F90">
        <w:t xml:space="preserve"> </w:t>
      </w:r>
      <w:r>
        <w:t>that</w:t>
      </w:r>
      <w:r w:rsidR="001A1F90">
        <w:t xml:space="preserve"> </w:t>
      </w:r>
      <w:r>
        <w:t>a</w:t>
      </w:r>
      <w:r w:rsidR="001A1F90">
        <w:t xml:space="preserve"> </w:t>
      </w:r>
      <w:r>
        <w:t>one</w:t>
      </w:r>
      <w:r w:rsidR="00251346">
        <w:t>-</w:t>
      </w:r>
      <w:r>
        <w:t>size</w:t>
      </w:r>
      <w:r w:rsidR="00251346">
        <w:t>-</w:t>
      </w:r>
      <w:r>
        <w:t>fits</w:t>
      </w:r>
      <w:r w:rsidR="00251346">
        <w:t>-</w:t>
      </w:r>
      <w:r>
        <w:t>all</w:t>
      </w:r>
      <w:r w:rsidR="001A1F90">
        <w:t xml:space="preserve"> </w:t>
      </w:r>
      <w:r>
        <w:t>approach</w:t>
      </w:r>
      <w:r w:rsidR="001A1F90">
        <w:t xml:space="preserve"> </w:t>
      </w:r>
      <w:r>
        <w:t>will</w:t>
      </w:r>
      <w:r w:rsidR="001A1F90">
        <w:t xml:space="preserve"> </w:t>
      </w:r>
      <w:r>
        <w:t>work</w:t>
      </w:r>
      <w:r w:rsidR="001A1F90">
        <w:t xml:space="preserve"> </w:t>
      </w:r>
      <w:r>
        <w:t>in</w:t>
      </w:r>
      <w:r w:rsidR="001A1F90">
        <w:t xml:space="preserve"> </w:t>
      </w:r>
      <w:r>
        <w:t>practice,</w:t>
      </w:r>
      <w:r w:rsidR="001A1F90">
        <w:t xml:space="preserve"> </w:t>
      </w:r>
      <w:r>
        <w:t>hence,</w:t>
      </w:r>
      <w:r w:rsidR="001A1F90">
        <w:t xml:space="preserve"> </w:t>
      </w:r>
      <w:r>
        <w:t>perhaps,</w:t>
      </w:r>
      <w:r w:rsidR="001A1F90">
        <w:t xml:space="preserve"> </w:t>
      </w:r>
      <w:r>
        <w:t>the</w:t>
      </w:r>
      <w:r w:rsidR="001A1F90">
        <w:t xml:space="preserve"> </w:t>
      </w:r>
      <w:r>
        <w:t>divergent</w:t>
      </w:r>
      <w:r w:rsidR="001A1F90">
        <w:t xml:space="preserve"> </w:t>
      </w:r>
      <w:r>
        <w:t>findings</w:t>
      </w:r>
      <w:r w:rsidR="001A1F90">
        <w:t xml:space="preserve"> </w:t>
      </w:r>
      <w:r>
        <w:t>found</w:t>
      </w:r>
      <w:r w:rsidR="001A1F90">
        <w:t xml:space="preserve"> </w:t>
      </w:r>
      <w:r>
        <w:t>in</w:t>
      </w:r>
      <w:r w:rsidR="001A1F90">
        <w:t xml:space="preserve"> </w:t>
      </w:r>
      <w:r>
        <w:t>the</w:t>
      </w:r>
      <w:r w:rsidR="001A1F90">
        <w:t xml:space="preserve"> </w:t>
      </w:r>
      <w:r>
        <w:t>available</w:t>
      </w:r>
      <w:r w:rsidR="001A1F90">
        <w:t xml:space="preserve"> </w:t>
      </w:r>
      <w:r>
        <w:t>literature.</w:t>
      </w:r>
      <w:r w:rsidR="001A1F90">
        <w:t xml:space="preserve"> </w:t>
      </w:r>
      <w:r>
        <w:t>The</w:t>
      </w:r>
      <w:r w:rsidR="001A1F90">
        <w:t xml:space="preserve"> </w:t>
      </w:r>
      <w:r>
        <w:t>greatest</w:t>
      </w:r>
      <w:r w:rsidR="001A1F90">
        <w:t xml:space="preserve"> </w:t>
      </w:r>
      <w:r>
        <w:t>successes</w:t>
      </w:r>
      <w:r w:rsidR="001A1F90">
        <w:t xml:space="preserve"> </w:t>
      </w:r>
      <w:r>
        <w:t>that</w:t>
      </w:r>
      <w:r w:rsidR="001A1F90">
        <w:t xml:space="preserve"> </w:t>
      </w:r>
      <w:r>
        <w:t>have</w:t>
      </w:r>
      <w:r w:rsidR="001A1F90">
        <w:t xml:space="preserve"> </w:t>
      </w:r>
      <w:r>
        <w:t>been</w:t>
      </w:r>
      <w:r w:rsidR="001A1F90">
        <w:t xml:space="preserve"> </w:t>
      </w:r>
      <w:r>
        <w:t>reported</w:t>
      </w:r>
      <w:r w:rsidR="001A1F90">
        <w:t xml:space="preserve"> </w:t>
      </w:r>
      <w:r>
        <w:t>in</w:t>
      </w:r>
      <w:r w:rsidR="001A1F90">
        <w:t xml:space="preserve"> </w:t>
      </w:r>
      <w:r>
        <w:t>the</w:t>
      </w:r>
      <w:r w:rsidR="001A1F90">
        <w:t xml:space="preserve"> </w:t>
      </w:r>
      <w:r>
        <w:t>literature</w:t>
      </w:r>
      <w:r w:rsidR="001A1F90">
        <w:t xml:space="preserve"> </w:t>
      </w:r>
      <w:r>
        <w:t>regarding</w:t>
      </w:r>
      <w:r w:rsidR="001A1F90">
        <w:t xml:space="preserve"> </w:t>
      </w:r>
      <w:r>
        <w:t>the</w:t>
      </w:r>
      <w:r w:rsidR="001A1F90">
        <w:t xml:space="preserve"> </w:t>
      </w:r>
      <w:r>
        <w:t>use</w:t>
      </w:r>
      <w:r w:rsidR="001A1F90">
        <w:t xml:space="preserve"> </w:t>
      </w:r>
      <w:r>
        <w:t>of</w:t>
      </w:r>
      <w:r w:rsidR="001A1F90">
        <w:t xml:space="preserve"> </w:t>
      </w:r>
      <w:r>
        <w:t>anti-libidinal</w:t>
      </w:r>
      <w:r w:rsidR="001A1F90">
        <w:t xml:space="preserve"> </w:t>
      </w:r>
      <w:r>
        <w:t>medications</w:t>
      </w:r>
      <w:r w:rsidR="001A1F90">
        <w:t xml:space="preserve"> </w:t>
      </w:r>
      <w:r>
        <w:t>have</w:t>
      </w:r>
      <w:r w:rsidR="001A1F90">
        <w:t xml:space="preserve"> </w:t>
      </w:r>
      <w:r>
        <w:t>consistently</w:t>
      </w:r>
      <w:r w:rsidR="001A1F90">
        <w:t xml:space="preserve"> </w:t>
      </w:r>
      <w:r>
        <w:t>been</w:t>
      </w:r>
      <w:r w:rsidR="001A1F90">
        <w:t xml:space="preserve"> </w:t>
      </w:r>
      <w:r>
        <w:t>found</w:t>
      </w:r>
      <w:r w:rsidR="001A1F90">
        <w:t xml:space="preserve"> </w:t>
      </w:r>
      <w:r>
        <w:t>in</w:t>
      </w:r>
      <w:r w:rsidR="001A1F90">
        <w:t xml:space="preserve"> </w:t>
      </w:r>
      <w:r>
        <w:t>situations</w:t>
      </w:r>
      <w:r w:rsidR="001A1F90">
        <w:t xml:space="preserve"> </w:t>
      </w:r>
      <w:r>
        <w:t>where</w:t>
      </w:r>
      <w:r w:rsidR="001A1F90">
        <w:t xml:space="preserve"> </w:t>
      </w:r>
      <w:r>
        <w:t>the</w:t>
      </w:r>
      <w:r w:rsidR="001A1F90">
        <w:t xml:space="preserve"> </w:t>
      </w:r>
      <w:r w:rsidR="00251346">
        <w:t xml:space="preserve">person </w:t>
      </w:r>
      <w:r>
        <w:t>receives</w:t>
      </w:r>
      <w:r w:rsidR="001A1F90">
        <w:t xml:space="preserve"> </w:t>
      </w:r>
      <w:r>
        <w:t>the</w:t>
      </w:r>
      <w:r w:rsidR="001A1F90">
        <w:t xml:space="preserve"> </w:t>
      </w:r>
      <w:r>
        <w:t>pharmacological</w:t>
      </w:r>
      <w:r w:rsidR="001A1F90">
        <w:t xml:space="preserve"> </w:t>
      </w:r>
      <w:r>
        <w:t>intervention</w:t>
      </w:r>
      <w:r w:rsidR="001A1F90">
        <w:t xml:space="preserve"> </w:t>
      </w:r>
      <w:r>
        <w:t>in</w:t>
      </w:r>
      <w:r w:rsidR="001A1F90">
        <w:t xml:space="preserve"> </w:t>
      </w:r>
      <w:r>
        <w:t>conjunction</w:t>
      </w:r>
      <w:r w:rsidR="001A1F90">
        <w:t xml:space="preserve"> </w:t>
      </w:r>
      <w:r>
        <w:t>with</w:t>
      </w:r>
      <w:r w:rsidR="001A1F90">
        <w:t xml:space="preserve"> </w:t>
      </w:r>
      <w:r>
        <w:t>psychotherapeutic</w:t>
      </w:r>
      <w:r w:rsidR="001A1F90">
        <w:t xml:space="preserve"> </w:t>
      </w:r>
      <w:r>
        <w:t>interventions,</w:t>
      </w:r>
      <w:r w:rsidR="001A1F90">
        <w:t xml:space="preserve"> </w:t>
      </w:r>
      <w:r>
        <w:t>utilised</w:t>
      </w:r>
      <w:r w:rsidR="001A1F90">
        <w:t xml:space="preserve"> </w:t>
      </w:r>
      <w:r>
        <w:t>among</w:t>
      </w:r>
      <w:r w:rsidR="001A1F90">
        <w:t xml:space="preserve"> </w:t>
      </w:r>
      <w:r>
        <w:t>those</w:t>
      </w:r>
      <w:r w:rsidR="001A1F90">
        <w:t xml:space="preserve"> </w:t>
      </w:r>
      <w:r>
        <w:t>who</w:t>
      </w:r>
      <w:r w:rsidR="001A1F90">
        <w:t xml:space="preserve"> </w:t>
      </w:r>
      <w:r>
        <w:t>are</w:t>
      </w:r>
      <w:r w:rsidR="001A1F90">
        <w:t xml:space="preserve"> </w:t>
      </w:r>
      <w:r>
        <w:t>motivated</w:t>
      </w:r>
      <w:r w:rsidR="001A1F90">
        <w:t xml:space="preserve"> </w:t>
      </w:r>
      <w:r>
        <w:t>to</w:t>
      </w:r>
      <w:r w:rsidR="001A1F90">
        <w:t xml:space="preserve"> </w:t>
      </w:r>
      <w:r>
        <w:t>change.</w:t>
      </w:r>
    </w:p>
    <w:p w14:paraId="3018F39C" w14:textId="0C0ACA4E" w:rsidR="004946F1" w:rsidRDefault="004946F1" w:rsidP="00BD612C">
      <w:pPr>
        <w:pStyle w:val="DHHSbody"/>
      </w:pPr>
      <w:r>
        <w:t>The</w:t>
      </w:r>
      <w:r w:rsidR="001A1F90">
        <w:t xml:space="preserve"> </w:t>
      </w:r>
      <w:r>
        <w:t>reported</w:t>
      </w:r>
      <w:r w:rsidR="001A1F90">
        <w:t xml:space="preserve"> </w:t>
      </w:r>
      <w:r>
        <w:t>rarity</w:t>
      </w:r>
      <w:r w:rsidR="001A1F90">
        <w:t xml:space="preserve"> </w:t>
      </w:r>
      <w:r>
        <w:t>of</w:t>
      </w:r>
      <w:r w:rsidR="001A1F90">
        <w:t xml:space="preserve"> </w:t>
      </w:r>
      <w:r>
        <w:t>use</w:t>
      </w:r>
      <w:r w:rsidR="001A1F90">
        <w:t xml:space="preserve"> </w:t>
      </w:r>
      <w:r>
        <w:t>of</w:t>
      </w:r>
      <w:r w:rsidR="001A1F90">
        <w:t xml:space="preserve"> </w:t>
      </w:r>
      <w:r>
        <w:t>anti-libidinal</w:t>
      </w:r>
      <w:r w:rsidR="001A1F90">
        <w:t xml:space="preserve"> </w:t>
      </w:r>
      <w:r>
        <w:t>medications</w:t>
      </w:r>
      <w:r w:rsidR="001A1F90">
        <w:t xml:space="preserve"> </w:t>
      </w:r>
      <w:r>
        <w:t>in</w:t>
      </w:r>
      <w:r w:rsidR="001A1F90">
        <w:t xml:space="preserve"> </w:t>
      </w:r>
      <w:r>
        <w:t>the</w:t>
      </w:r>
      <w:r w:rsidR="001A1F90">
        <w:t xml:space="preserve"> </w:t>
      </w:r>
      <w:r>
        <w:t>Australasian</w:t>
      </w:r>
      <w:r w:rsidR="001A1F90">
        <w:t xml:space="preserve"> </w:t>
      </w:r>
      <w:r>
        <w:t>context</w:t>
      </w:r>
      <w:r w:rsidR="001A1F90">
        <w:t xml:space="preserve"> </w:t>
      </w:r>
      <w:r>
        <w:t>points</w:t>
      </w:r>
      <w:r w:rsidR="001A1F90">
        <w:t xml:space="preserve"> </w:t>
      </w:r>
      <w:r>
        <w:t>firstly</w:t>
      </w:r>
      <w:r w:rsidR="001A1F90">
        <w:t xml:space="preserve"> </w:t>
      </w:r>
      <w:r>
        <w:t>to</w:t>
      </w:r>
      <w:r w:rsidR="001A1F90">
        <w:t xml:space="preserve"> </w:t>
      </w:r>
      <w:r>
        <w:t>the</w:t>
      </w:r>
      <w:r w:rsidR="001A1F90">
        <w:t xml:space="preserve"> </w:t>
      </w:r>
      <w:r>
        <w:t>size</w:t>
      </w:r>
      <w:r w:rsidR="001A1F90">
        <w:t xml:space="preserve"> </w:t>
      </w:r>
      <w:r>
        <w:t>and</w:t>
      </w:r>
      <w:r w:rsidR="001A1F90">
        <w:t xml:space="preserve"> </w:t>
      </w:r>
      <w:r>
        <w:t>focus</w:t>
      </w:r>
      <w:r w:rsidR="001A1F90">
        <w:t xml:space="preserve"> </w:t>
      </w:r>
      <w:r>
        <w:t>of</w:t>
      </w:r>
      <w:r w:rsidR="001A1F90">
        <w:t xml:space="preserve"> </w:t>
      </w:r>
      <w:r>
        <w:t>the</w:t>
      </w:r>
      <w:r w:rsidR="001A1F90">
        <w:t xml:space="preserve"> </w:t>
      </w:r>
      <w:r>
        <w:t>potential</w:t>
      </w:r>
      <w:r w:rsidR="001A1F90">
        <w:t xml:space="preserve"> </w:t>
      </w:r>
      <w:r>
        <w:t>target</w:t>
      </w:r>
      <w:r w:rsidR="001A1F90">
        <w:t xml:space="preserve"> </w:t>
      </w:r>
      <w:r>
        <w:t>group</w:t>
      </w:r>
      <w:r w:rsidR="001A1F90">
        <w:t xml:space="preserve"> </w:t>
      </w:r>
      <w:r>
        <w:t>of</w:t>
      </w:r>
      <w:r w:rsidR="001A1F90">
        <w:t xml:space="preserve"> </w:t>
      </w:r>
      <w:r>
        <w:t>interest</w:t>
      </w:r>
      <w:r w:rsidR="001A1F90">
        <w:t xml:space="preserve"> </w:t>
      </w:r>
      <w:r>
        <w:t>here</w:t>
      </w:r>
      <w:r w:rsidR="001A1F90">
        <w:t xml:space="preserve"> </w:t>
      </w:r>
      <w:r>
        <w:t>–</w:t>
      </w:r>
      <w:r w:rsidR="001A1F90">
        <w:t xml:space="preserve"> </w:t>
      </w:r>
      <w:r>
        <w:t>namely</w:t>
      </w:r>
      <w:r w:rsidR="001A1F90">
        <w:t xml:space="preserve"> </w:t>
      </w:r>
      <w:r>
        <w:t>those</w:t>
      </w:r>
      <w:r w:rsidR="001A1F90">
        <w:t xml:space="preserve"> </w:t>
      </w:r>
      <w:r w:rsidR="00251346">
        <w:t xml:space="preserve">people </w:t>
      </w:r>
      <w:r>
        <w:t>that</w:t>
      </w:r>
      <w:r w:rsidR="001A1F90">
        <w:t xml:space="preserve"> </w:t>
      </w:r>
      <w:r>
        <w:t>Bradford</w:t>
      </w:r>
      <w:r w:rsidR="001A1F90">
        <w:t xml:space="preserve"> </w:t>
      </w:r>
      <w:r>
        <w:t>(2000)</w:t>
      </w:r>
      <w:r w:rsidR="001A1F90">
        <w:t xml:space="preserve"> </w:t>
      </w:r>
      <w:r>
        <w:t>referred</w:t>
      </w:r>
      <w:r w:rsidR="001A1F90">
        <w:t xml:space="preserve"> </w:t>
      </w:r>
      <w:r>
        <w:t>to</w:t>
      </w:r>
      <w:r w:rsidR="001A1F90">
        <w:t xml:space="preserve"> </w:t>
      </w:r>
      <w:r>
        <w:t>as</w:t>
      </w:r>
      <w:r w:rsidR="001A1F90">
        <w:t xml:space="preserve"> </w:t>
      </w:r>
      <w:r>
        <w:t>the</w:t>
      </w:r>
      <w:r w:rsidR="001A1F90">
        <w:t xml:space="preserve"> </w:t>
      </w:r>
      <w:r>
        <w:t>most</w:t>
      </w:r>
      <w:r w:rsidR="001A1F90">
        <w:t xml:space="preserve"> </w:t>
      </w:r>
      <w:r>
        <w:t>‘seriously</w:t>
      </w:r>
      <w:r w:rsidR="001A1F90">
        <w:t xml:space="preserve"> </w:t>
      </w:r>
      <w:r>
        <w:t>sexually</w:t>
      </w:r>
      <w:r w:rsidR="001A1F90">
        <w:t xml:space="preserve"> </w:t>
      </w:r>
      <w:r w:rsidR="00C84854">
        <w:t>inappropriate</w:t>
      </w:r>
      <w:r>
        <w:t>’.</w:t>
      </w:r>
      <w:r w:rsidR="001A1F90">
        <w:t xml:space="preserve"> </w:t>
      </w:r>
      <w:r>
        <w:t>These</w:t>
      </w:r>
      <w:r w:rsidR="001A1F90">
        <w:t xml:space="preserve"> </w:t>
      </w:r>
      <w:r>
        <w:t>individuals</w:t>
      </w:r>
      <w:r w:rsidR="001A1F90">
        <w:t xml:space="preserve"> </w:t>
      </w:r>
      <w:r>
        <w:t>are</w:t>
      </w:r>
      <w:r w:rsidR="001A1F90">
        <w:t xml:space="preserve"> </w:t>
      </w:r>
      <w:r>
        <w:t>characterised</w:t>
      </w:r>
      <w:r w:rsidR="001A1F90">
        <w:t xml:space="preserve"> </w:t>
      </w:r>
      <w:r>
        <w:t>as</w:t>
      </w:r>
      <w:r w:rsidR="001A1F90">
        <w:t xml:space="preserve"> </w:t>
      </w:r>
      <w:r>
        <w:t>those</w:t>
      </w:r>
      <w:r w:rsidR="001A1F90">
        <w:t xml:space="preserve"> </w:t>
      </w:r>
      <w:r>
        <w:t>who</w:t>
      </w:r>
      <w:r w:rsidR="001A1F90">
        <w:t xml:space="preserve"> </w:t>
      </w:r>
      <w:r>
        <w:t>are</w:t>
      </w:r>
      <w:r w:rsidR="001A1F90">
        <w:t xml:space="preserve"> </w:t>
      </w:r>
      <w:r>
        <w:t>at</w:t>
      </w:r>
      <w:r w:rsidR="001A1F90">
        <w:t xml:space="preserve"> </w:t>
      </w:r>
      <w:r>
        <w:t>high</w:t>
      </w:r>
      <w:r w:rsidR="001A1F90">
        <w:t xml:space="preserve"> </w:t>
      </w:r>
      <w:r>
        <w:t>risk</w:t>
      </w:r>
      <w:r w:rsidR="001A1F90">
        <w:t xml:space="preserve"> </w:t>
      </w:r>
      <w:r>
        <w:t>of</w:t>
      </w:r>
      <w:r w:rsidR="001A1F90">
        <w:t xml:space="preserve"> </w:t>
      </w:r>
      <w:r>
        <w:t>sexual</w:t>
      </w:r>
      <w:r w:rsidR="001A1F90">
        <w:t xml:space="preserve"> </w:t>
      </w:r>
      <w:r>
        <w:t>offending</w:t>
      </w:r>
      <w:r w:rsidR="00251346">
        <w:t xml:space="preserve"> and</w:t>
      </w:r>
      <w:r w:rsidR="001A1F90">
        <w:t xml:space="preserve"> </w:t>
      </w:r>
      <w:r>
        <w:t>who</w:t>
      </w:r>
      <w:r w:rsidR="001A1F90">
        <w:t xml:space="preserve"> </w:t>
      </w:r>
      <w:r>
        <w:t>pose</w:t>
      </w:r>
      <w:r w:rsidR="001A1F90">
        <w:t xml:space="preserve"> </w:t>
      </w:r>
      <w:r>
        <w:t>an</w:t>
      </w:r>
      <w:r w:rsidR="001A1F90">
        <w:t xml:space="preserve"> </w:t>
      </w:r>
      <w:r>
        <w:t>immediate</w:t>
      </w:r>
      <w:r w:rsidR="001A1F90">
        <w:t xml:space="preserve"> </w:t>
      </w:r>
      <w:r>
        <w:t>and</w:t>
      </w:r>
      <w:r w:rsidR="001A1F90">
        <w:t xml:space="preserve"> </w:t>
      </w:r>
      <w:r>
        <w:t>significant</w:t>
      </w:r>
      <w:r w:rsidR="001A1F90">
        <w:t xml:space="preserve"> </w:t>
      </w:r>
      <w:r>
        <w:t>ongoing</w:t>
      </w:r>
      <w:r w:rsidR="001A1F90">
        <w:t xml:space="preserve"> </w:t>
      </w:r>
      <w:r>
        <w:t>risk</w:t>
      </w:r>
      <w:r w:rsidR="001A1F90">
        <w:t xml:space="preserve"> </w:t>
      </w:r>
      <w:r>
        <w:t>to</w:t>
      </w:r>
      <w:r w:rsidR="001A1F90">
        <w:t xml:space="preserve"> </w:t>
      </w:r>
      <w:r>
        <w:t>the</w:t>
      </w:r>
      <w:r w:rsidR="001A1F90">
        <w:t xml:space="preserve"> </w:t>
      </w:r>
      <w:r>
        <w:t>community.</w:t>
      </w:r>
    </w:p>
    <w:p w14:paraId="484685DB" w14:textId="5390D1C9" w:rsidR="004946F1" w:rsidRDefault="004946F1" w:rsidP="00BD612C">
      <w:pPr>
        <w:pStyle w:val="DHHSbody"/>
      </w:pPr>
      <w:r>
        <w:t>There</w:t>
      </w:r>
      <w:r w:rsidR="001A1F90">
        <w:t xml:space="preserve"> </w:t>
      </w:r>
      <w:r>
        <w:t>was</w:t>
      </w:r>
      <w:r w:rsidR="001A1F90">
        <w:t xml:space="preserve"> </w:t>
      </w:r>
      <w:r>
        <w:t>some</w:t>
      </w:r>
      <w:r w:rsidR="001A1F90">
        <w:t xml:space="preserve"> </w:t>
      </w:r>
      <w:r>
        <w:t>suggestion</w:t>
      </w:r>
      <w:r w:rsidR="001A1F90">
        <w:t xml:space="preserve"> </w:t>
      </w:r>
      <w:r>
        <w:t>from</w:t>
      </w:r>
      <w:r w:rsidR="001A1F90">
        <w:t xml:space="preserve"> </w:t>
      </w:r>
      <w:r>
        <w:t>the</w:t>
      </w:r>
      <w:r w:rsidR="001A1F90">
        <w:t xml:space="preserve"> </w:t>
      </w:r>
      <w:r>
        <w:t>respondents</w:t>
      </w:r>
      <w:r w:rsidR="001A1F90">
        <w:t xml:space="preserve"> </w:t>
      </w:r>
      <w:r>
        <w:t>surveyed</w:t>
      </w:r>
      <w:r w:rsidR="001A1F90">
        <w:t xml:space="preserve"> </w:t>
      </w:r>
      <w:r>
        <w:t>here</w:t>
      </w:r>
      <w:r w:rsidR="001A1F90">
        <w:t xml:space="preserve"> </w:t>
      </w:r>
      <w:r>
        <w:t>that</w:t>
      </w:r>
      <w:r w:rsidR="001A1F90">
        <w:t xml:space="preserve"> </w:t>
      </w:r>
      <w:r>
        <w:t>the</w:t>
      </w:r>
      <w:r w:rsidR="001A1F90">
        <w:t xml:space="preserve"> </w:t>
      </w:r>
      <w:r>
        <w:t>uncommon</w:t>
      </w:r>
      <w:r w:rsidR="001A1F90">
        <w:t xml:space="preserve"> </w:t>
      </w:r>
      <w:r>
        <w:t>use</w:t>
      </w:r>
      <w:r w:rsidR="001A1F90">
        <w:t xml:space="preserve"> </w:t>
      </w:r>
      <w:r>
        <w:t>of</w:t>
      </w:r>
      <w:r w:rsidR="001A1F90">
        <w:t xml:space="preserve"> </w:t>
      </w:r>
      <w:r>
        <w:t>anti-libidinal</w:t>
      </w:r>
      <w:r w:rsidR="001A1F90">
        <w:t xml:space="preserve"> </w:t>
      </w:r>
      <w:r>
        <w:t>medications</w:t>
      </w:r>
      <w:r w:rsidR="001A1F90">
        <w:t xml:space="preserve"> </w:t>
      </w:r>
      <w:r>
        <w:t>with</w:t>
      </w:r>
      <w:r w:rsidR="001A1F90">
        <w:t xml:space="preserve"> </w:t>
      </w:r>
      <w:r>
        <w:t>intellectually</w:t>
      </w:r>
      <w:r w:rsidR="001A1F90">
        <w:t xml:space="preserve"> </w:t>
      </w:r>
      <w:r>
        <w:t>disabled</w:t>
      </w:r>
      <w:r w:rsidR="001A1F90">
        <w:t xml:space="preserve"> </w:t>
      </w:r>
      <w:r>
        <w:t>sex</w:t>
      </w:r>
      <w:r w:rsidR="001A1F90">
        <w:t xml:space="preserve"> </w:t>
      </w:r>
      <w:r>
        <w:t>offenders</w:t>
      </w:r>
      <w:r w:rsidR="001A1F90">
        <w:t xml:space="preserve"> </w:t>
      </w:r>
      <w:r>
        <w:t>may</w:t>
      </w:r>
      <w:r w:rsidR="001A1F90">
        <w:t xml:space="preserve"> </w:t>
      </w:r>
      <w:r>
        <w:t>actually</w:t>
      </w:r>
      <w:r w:rsidR="001A1F90">
        <w:t xml:space="preserve"> </w:t>
      </w:r>
      <w:r>
        <w:t>reflect</w:t>
      </w:r>
      <w:r w:rsidR="001A1F90">
        <w:t xml:space="preserve"> </w:t>
      </w:r>
      <w:r>
        <w:t>a</w:t>
      </w:r>
      <w:r w:rsidR="001A1F90">
        <w:t xml:space="preserve"> </w:t>
      </w:r>
      <w:r>
        <w:t>broader</w:t>
      </w:r>
      <w:r w:rsidR="001A1F90">
        <w:t xml:space="preserve"> </w:t>
      </w:r>
      <w:r>
        <w:t>systematic</w:t>
      </w:r>
      <w:r w:rsidR="001A1F90">
        <w:t xml:space="preserve"> </w:t>
      </w:r>
      <w:r>
        <w:t>approach</w:t>
      </w:r>
      <w:r w:rsidR="001A1F90">
        <w:t xml:space="preserve"> </w:t>
      </w:r>
      <w:r>
        <w:t>whereby</w:t>
      </w:r>
      <w:r w:rsidR="001A1F90">
        <w:t xml:space="preserve"> </w:t>
      </w:r>
      <w:r>
        <w:t>the</w:t>
      </w:r>
      <w:r w:rsidR="001A1F90">
        <w:t xml:space="preserve"> </w:t>
      </w:r>
      <w:r>
        <w:t>potential</w:t>
      </w:r>
      <w:r w:rsidR="001A1F90">
        <w:t xml:space="preserve"> </w:t>
      </w:r>
      <w:r>
        <w:t>utility</w:t>
      </w:r>
      <w:r w:rsidR="001A1F90">
        <w:t xml:space="preserve"> </w:t>
      </w:r>
      <w:r>
        <w:t>of</w:t>
      </w:r>
      <w:r w:rsidR="001A1F90">
        <w:t xml:space="preserve"> </w:t>
      </w:r>
      <w:r>
        <w:t>these</w:t>
      </w:r>
      <w:r w:rsidR="001A1F90">
        <w:t xml:space="preserve"> </w:t>
      </w:r>
      <w:r>
        <w:t>treatments</w:t>
      </w:r>
      <w:r w:rsidR="001A1F90">
        <w:t xml:space="preserve"> </w:t>
      </w:r>
      <w:r>
        <w:t>with</w:t>
      </w:r>
      <w:r w:rsidR="001A1F90">
        <w:t xml:space="preserve"> </w:t>
      </w:r>
      <w:r>
        <w:t>some</w:t>
      </w:r>
      <w:r w:rsidR="001A1F90">
        <w:t xml:space="preserve"> </w:t>
      </w:r>
      <w:r>
        <w:t>offenders</w:t>
      </w:r>
      <w:r w:rsidR="001A1F90">
        <w:t xml:space="preserve"> </w:t>
      </w:r>
      <w:r>
        <w:t>are</w:t>
      </w:r>
      <w:r w:rsidR="001A1F90">
        <w:t xml:space="preserve"> </w:t>
      </w:r>
      <w:r>
        <w:t>under-utilised</w:t>
      </w:r>
      <w:r w:rsidR="001A1F90">
        <w:t xml:space="preserve"> </w:t>
      </w:r>
      <w:r>
        <w:t>in</w:t>
      </w:r>
      <w:r w:rsidR="001A1F90">
        <w:t xml:space="preserve"> </w:t>
      </w:r>
      <w:r>
        <w:t>favour</w:t>
      </w:r>
      <w:r w:rsidR="001A1F90">
        <w:t xml:space="preserve"> </w:t>
      </w:r>
      <w:r>
        <w:t>of</w:t>
      </w:r>
      <w:r w:rsidR="001A1F90">
        <w:t xml:space="preserve"> </w:t>
      </w:r>
      <w:r>
        <w:t>resorting</w:t>
      </w:r>
      <w:r w:rsidR="001A1F90">
        <w:t xml:space="preserve"> </w:t>
      </w:r>
      <w:r>
        <w:t>to</w:t>
      </w:r>
      <w:r w:rsidR="001A1F90">
        <w:t xml:space="preserve"> </w:t>
      </w:r>
      <w:r>
        <w:t>more</w:t>
      </w:r>
      <w:r w:rsidR="001A1F90">
        <w:t xml:space="preserve"> </w:t>
      </w:r>
      <w:r>
        <w:t>restrictive</w:t>
      </w:r>
      <w:r w:rsidR="001A1F90">
        <w:t xml:space="preserve"> </w:t>
      </w:r>
      <w:r>
        <w:t>environmental</w:t>
      </w:r>
      <w:r w:rsidR="001A1F90">
        <w:t xml:space="preserve"> </w:t>
      </w:r>
      <w:r>
        <w:t>management</w:t>
      </w:r>
      <w:r w:rsidR="001A1F90">
        <w:t xml:space="preserve"> </w:t>
      </w:r>
      <w:r>
        <w:t>strategies.</w:t>
      </w:r>
      <w:r w:rsidR="001A1F90">
        <w:t xml:space="preserve"> </w:t>
      </w:r>
      <w:r>
        <w:t>As</w:t>
      </w:r>
      <w:r w:rsidR="001A1F90">
        <w:t xml:space="preserve"> </w:t>
      </w:r>
      <w:r>
        <w:t>such,</w:t>
      </w:r>
      <w:r w:rsidR="001A1F90">
        <w:t xml:space="preserve"> </w:t>
      </w:r>
      <w:r>
        <w:t>the</w:t>
      </w:r>
      <w:r w:rsidR="001A1F90">
        <w:t xml:space="preserve"> </w:t>
      </w:r>
      <w:r>
        <w:t>vexed</w:t>
      </w:r>
      <w:r w:rsidR="001A1F90">
        <w:t xml:space="preserve"> </w:t>
      </w:r>
      <w:r>
        <w:t>question</w:t>
      </w:r>
      <w:r w:rsidR="001A1F90">
        <w:t xml:space="preserve"> </w:t>
      </w:r>
      <w:r>
        <w:t>about</w:t>
      </w:r>
      <w:r w:rsidR="001A1F90">
        <w:t xml:space="preserve"> </w:t>
      </w:r>
      <w:r>
        <w:t>whether</w:t>
      </w:r>
      <w:r w:rsidR="001A1F90">
        <w:t xml:space="preserve"> </w:t>
      </w:r>
      <w:r>
        <w:t>to</w:t>
      </w:r>
      <w:r w:rsidR="001A1F90">
        <w:t xml:space="preserve"> </w:t>
      </w:r>
      <w:r>
        <w:t>consider</w:t>
      </w:r>
      <w:r w:rsidR="001A1F90">
        <w:t xml:space="preserve"> </w:t>
      </w:r>
      <w:r>
        <w:t>trialling</w:t>
      </w:r>
      <w:r w:rsidR="001A1F90">
        <w:t xml:space="preserve"> </w:t>
      </w:r>
      <w:r>
        <w:t>anti-libidinal</w:t>
      </w:r>
      <w:r w:rsidR="001A1F90">
        <w:t xml:space="preserve"> </w:t>
      </w:r>
      <w:r>
        <w:t>medications</w:t>
      </w:r>
      <w:r w:rsidR="001A1F90">
        <w:t xml:space="preserve"> </w:t>
      </w:r>
      <w:r>
        <w:t>with</w:t>
      </w:r>
      <w:r w:rsidR="001A1F90">
        <w:t xml:space="preserve"> </w:t>
      </w:r>
      <w:r>
        <w:t>this</w:t>
      </w:r>
      <w:r w:rsidR="001A1F90">
        <w:t xml:space="preserve"> </w:t>
      </w:r>
      <w:r>
        <w:t>niche</w:t>
      </w:r>
      <w:r w:rsidR="001A1F90">
        <w:t xml:space="preserve"> </w:t>
      </w:r>
      <w:r>
        <w:t>target</w:t>
      </w:r>
      <w:r w:rsidR="001A1F90">
        <w:t xml:space="preserve"> </w:t>
      </w:r>
      <w:r>
        <w:t>population</w:t>
      </w:r>
      <w:r w:rsidR="001A1F90">
        <w:t xml:space="preserve"> </w:t>
      </w:r>
      <w:r>
        <w:t>essentially</w:t>
      </w:r>
      <w:r w:rsidR="001A1F90">
        <w:t xml:space="preserve"> </w:t>
      </w:r>
      <w:r>
        <w:t>boils</w:t>
      </w:r>
      <w:r w:rsidR="001A1F90">
        <w:t xml:space="preserve"> </w:t>
      </w:r>
      <w:r>
        <w:t>down</w:t>
      </w:r>
      <w:r w:rsidR="001A1F90">
        <w:t xml:space="preserve"> </w:t>
      </w:r>
      <w:r>
        <w:t>to</w:t>
      </w:r>
      <w:r w:rsidR="001A1F90">
        <w:t xml:space="preserve"> </w:t>
      </w:r>
      <w:r>
        <w:t>balancing</w:t>
      </w:r>
      <w:r w:rsidR="001A1F90">
        <w:t xml:space="preserve"> </w:t>
      </w:r>
      <w:r>
        <w:t>the</w:t>
      </w:r>
      <w:r w:rsidR="001A1F90">
        <w:t xml:space="preserve"> </w:t>
      </w:r>
      <w:r>
        <w:t>risks</w:t>
      </w:r>
      <w:r w:rsidR="001A1F90">
        <w:t xml:space="preserve"> </w:t>
      </w:r>
      <w:r>
        <w:t>and</w:t>
      </w:r>
      <w:r w:rsidR="001A1F90">
        <w:t xml:space="preserve"> </w:t>
      </w:r>
      <w:r>
        <w:t>benefits</w:t>
      </w:r>
      <w:r w:rsidR="001A1F90">
        <w:t xml:space="preserve"> </w:t>
      </w:r>
      <w:r>
        <w:t>of</w:t>
      </w:r>
      <w:r w:rsidR="001A1F90">
        <w:t xml:space="preserve"> </w:t>
      </w:r>
      <w:r>
        <w:t>two</w:t>
      </w:r>
      <w:r w:rsidR="001A1F90">
        <w:t xml:space="preserve"> </w:t>
      </w:r>
      <w:r>
        <w:t>options:</w:t>
      </w:r>
      <w:r w:rsidR="001A1F90">
        <w:t xml:space="preserve"> </w:t>
      </w:r>
      <w:r>
        <w:t>(1)</w:t>
      </w:r>
      <w:r w:rsidR="001A1F90">
        <w:t xml:space="preserve"> </w:t>
      </w:r>
      <w:r>
        <w:t>a</w:t>
      </w:r>
      <w:r w:rsidR="001A1F90">
        <w:t xml:space="preserve"> </w:t>
      </w:r>
      <w:r>
        <w:t>decision</w:t>
      </w:r>
      <w:r w:rsidR="001A1F90">
        <w:t xml:space="preserve"> </w:t>
      </w:r>
      <w:r>
        <w:t>to</w:t>
      </w:r>
      <w:r w:rsidR="001A1F90">
        <w:t xml:space="preserve"> </w:t>
      </w:r>
      <w:r>
        <w:t>not</w:t>
      </w:r>
      <w:r w:rsidR="001A1F90">
        <w:t xml:space="preserve"> </w:t>
      </w:r>
      <w:r>
        <w:t>prescribe</w:t>
      </w:r>
      <w:r w:rsidR="001A1F90">
        <w:t xml:space="preserve"> </w:t>
      </w:r>
      <w:r>
        <w:t>anti-libidinal</w:t>
      </w:r>
      <w:r w:rsidR="001A1F90">
        <w:t xml:space="preserve"> </w:t>
      </w:r>
      <w:r>
        <w:t>medications,</w:t>
      </w:r>
      <w:r w:rsidR="001A1F90">
        <w:t xml:space="preserve"> </w:t>
      </w:r>
      <w:r>
        <w:t>leading</w:t>
      </w:r>
      <w:r w:rsidR="001A1F90">
        <w:t xml:space="preserve"> </w:t>
      </w:r>
      <w:r>
        <w:t>to</w:t>
      </w:r>
      <w:r w:rsidR="001A1F90">
        <w:t xml:space="preserve"> </w:t>
      </w:r>
      <w:r>
        <w:t>a</w:t>
      </w:r>
      <w:r w:rsidR="001A1F90">
        <w:t xml:space="preserve"> </w:t>
      </w:r>
      <w:r>
        <w:t>sustained</w:t>
      </w:r>
      <w:r w:rsidR="001A1F90">
        <w:t xml:space="preserve"> </w:t>
      </w:r>
      <w:r>
        <w:t>period</w:t>
      </w:r>
      <w:r w:rsidR="001A1F90">
        <w:t xml:space="preserve"> </w:t>
      </w:r>
      <w:r>
        <w:t>where</w:t>
      </w:r>
      <w:r w:rsidR="001A1F90">
        <w:t xml:space="preserve"> </w:t>
      </w:r>
      <w:r>
        <w:t>liberty</w:t>
      </w:r>
      <w:r w:rsidR="001A1F90">
        <w:t xml:space="preserve"> </w:t>
      </w:r>
      <w:r>
        <w:t>is</w:t>
      </w:r>
      <w:r w:rsidR="001A1F90">
        <w:t xml:space="preserve"> </w:t>
      </w:r>
      <w:r>
        <w:t>deprived</w:t>
      </w:r>
      <w:r w:rsidR="001A1F90">
        <w:t xml:space="preserve"> </w:t>
      </w:r>
      <w:r>
        <w:t>through</w:t>
      </w:r>
      <w:r w:rsidR="001A1F90">
        <w:t xml:space="preserve"> </w:t>
      </w:r>
      <w:r>
        <w:t>containment</w:t>
      </w:r>
      <w:r w:rsidR="001A1F90">
        <w:t xml:space="preserve"> </w:t>
      </w:r>
      <w:r>
        <w:t>and</w:t>
      </w:r>
      <w:r w:rsidR="001A1F90">
        <w:t xml:space="preserve"> </w:t>
      </w:r>
      <w:r>
        <w:t>management</w:t>
      </w:r>
      <w:r w:rsidR="001A1F90">
        <w:t xml:space="preserve"> </w:t>
      </w:r>
      <w:r>
        <w:t>in</w:t>
      </w:r>
      <w:r w:rsidR="001A1F90">
        <w:t xml:space="preserve"> </w:t>
      </w:r>
      <w:r>
        <w:t>more</w:t>
      </w:r>
      <w:r w:rsidR="001A1F90">
        <w:t xml:space="preserve"> </w:t>
      </w:r>
      <w:r>
        <w:t>coercive,</w:t>
      </w:r>
      <w:r w:rsidR="001A1F90">
        <w:t xml:space="preserve"> </w:t>
      </w:r>
      <w:r>
        <w:t>restrictive</w:t>
      </w:r>
      <w:r w:rsidR="001A1F90">
        <w:t xml:space="preserve"> </w:t>
      </w:r>
      <w:r>
        <w:t>environments;</w:t>
      </w:r>
      <w:r w:rsidR="001A1F90">
        <w:t xml:space="preserve"> </w:t>
      </w:r>
      <w:r>
        <w:t>or</w:t>
      </w:r>
      <w:r w:rsidR="001A1F90">
        <w:t xml:space="preserve"> </w:t>
      </w:r>
      <w:r>
        <w:t>(2)</w:t>
      </w:r>
      <w:r w:rsidR="001A1F90">
        <w:t xml:space="preserve"> </w:t>
      </w:r>
      <w:r>
        <w:t>prescribing</w:t>
      </w:r>
      <w:r w:rsidR="001A1F90">
        <w:t xml:space="preserve"> </w:t>
      </w:r>
      <w:r>
        <w:t>anti-libidinal</w:t>
      </w:r>
      <w:r w:rsidR="001A1F90">
        <w:t xml:space="preserve"> </w:t>
      </w:r>
      <w:r>
        <w:t>medications</w:t>
      </w:r>
      <w:r w:rsidR="001A1F90">
        <w:t xml:space="preserve"> </w:t>
      </w:r>
      <w:r>
        <w:t>and</w:t>
      </w:r>
      <w:r w:rsidR="001A1F90">
        <w:t xml:space="preserve"> </w:t>
      </w:r>
      <w:r>
        <w:t>then</w:t>
      </w:r>
      <w:r w:rsidR="001A1F90">
        <w:t xml:space="preserve"> </w:t>
      </w:r>
      <w:r>
        <w:t>traversing</w:t>
      </w:r>
      <w:r w:rsidR="001A1F90">
        <w:t xml:space="preserve"> </w:t>
      </w:r>
      <w:r>
        <w:t>the</w:t>
      </w:r>
      <w:r w:rsidR="001A1F90">
        <w:t xml:space="preserve"> </w:t>
      </w:r>
      <w:r>
        <w:t>possibility</w:t>
      </w:r>
      <w:r w:rsidR="001A1F90">
        <w:t xml:space="preserve"> </w:t>
      </w:r>
      <w:r>
        <w:t>of</w:t>
      </w:r>
      <w:r w:rsidR="001A1F90">
        <w:t xml:space="preserve"> </w:t>
      </w:r>
      <w:r>
        <w:t>deleterious</w:t>
      </w:r>
      <w:r w:rsidR="001A1F90">
        <w:t xml:space="preserve"> </w:t>
      </w:r>
      <w:r>
        <w:t>and</w:t>
      </w:r>
      <w:r w:rsidR="001A1F90">
        <w:t xml:space="preserve"> </w:t>
      </w:r>
      <w:r>
        <w:t>distinctly</w:t>
      </w:r>
      <w:r w:rsidR="001A1F90">
        <w:t xml:space="preserve"> </w:t>
      </w:r>
      <w:r>
        <w:t>unpleasant</w:t>
      </w:r>
      <w:r w:rsidR="001A1F90">
        <w:t xml:space="preserve"> </w:t>
      </w:r>
      <w:r>
        <w:t>side</w:t>
      </w:r>
      <w:r w:rsidR="00251346">
        <w:t xml:space="preserve"> </w:t>
      </w:r>
      <w:r>
        <w:t>effects</w:t>
      </w:r>
      <w:r w:rsidR="001A1F90">
        <w:t xml:space="preserve"> </w:t>
      </w:r>
      <w:r>
        <w:t>but</w:t>
      </w:r>
      <w:r w:rsidR="001A1F90">
        <w:t xml:space="preserve"> </w:t>
      </w:r>
      <w:r>
        <w:t>potentially</w:t>
      </w:r>
      <w:r w:rsidR="001A1F90">
        <w:t xml:space="preserve"> </w:t>
      </w:r>
      <w:r>
        <w:t>being</w:t>
      </w:r>
      <w:r w:rsidR="001A1F90">
        <w:t xml:space="preserve"> </w:t>
      </w:r>
      <w:r>
        <w:t>able</w:t>
      </w:r>
      <w:r w:rsidR="001A1F90">
        <w:t xml:space="preserve"> </w:t>
      </w:r>
      <w:r>
        <w:t>to</w:t>
      </w:r>
      <w:r w:rsidR="001A1F90">
        <w:t xml:space="preserve"> </w:t>
      </w:r>
      <w:r>
        <w:t>have</w:t>
      </w:r>
      <w:r w:rsidR="001A1F90">
        <w:t xml:space="preserve"> </w:t>
      </w:r>
      <w:r>
        <w:t>greater</w:t>
      </w:r>
      <w:r w:rsidR="001A1F90">
        <w:t xml:space="preserve"> </w:t>
      </w:r>
      <w:r>
        <w:t>liberty</w:t>
      </w:r>
      <w:r w:rsidR="001A1F90">
        <w:t xml:space="preserve"> </w:t>
      </w:r>
      <w:r>
        <w:t>and</w:t>
      </w:r>
      <w:r w:rsidR="001A1F90">
        <w:t xml:space="preserve"> </w:t>
      </w:r>
      <w:r>
        <w:t>freedom</w:t>
      </w:r>
      <w:r w:rsidR="001A1F90">
        <w:t xml:space="preserve"> </w:t>
      </w:r>
      <w:r>
        <w:t>of</w:t>
      </w:r>
      <w:r w:rsidR="001A1F90">
        <w:t xml:space="preserve"> </w:t>
      </w:r>
      <w:r>
        <w:t>movement.</w:t>
      </w:r>
      <w:r w:rsidR="001A1F90">
        <w:t xml:space="preserve"> </w:t>
      </w:r>
      <w:r>
        <w:t>What</w:t>
      </w:r>
      <w:r w:rsidR="001A1F90">
        <w:t xml:space="preserve"> </w:t>
      </w:r>
      <w:r>
        <w:t>is</w:t>
      </w:r>
      <w:r w:rsidR="001A1F90">
        <w:t xml:space="preserve"> </w:t>
      </w:r>
      <w:r>
        <w:t>clear</w:t>
      </w:r>
      <w:r w:rsidR="001A1F90">
        <w:t xml:space="preserve"> </w:t>
      </w:r>
      <w:r>
        <w:t>is</w:t>
      </w:r>
      <w:r w:rsidR="001A1F90">
        <w:t xml:space="preserve"> </w:t>
      </w:r>
      <w:r>
        <w:t>that</w:t>
      </w:r>
      <w:r w:rsidR="001A1F90">
        <w:t xml:space="preserve"> </w:t>
      </w:r>
      <w:r>
        <w:t>informed</w:t>
      </w:r>
      <w:r w:rsidR="001A1F90">
        <w:t xml:space="preserve"> </w:t>
      </w:r>
      <w:r>
        <w:t>consent</w:t>
      </w:r>
      <w:r w:rsidR="001A1F90">
        <w:t xml:space="preserve"> </w:t>
      </w:r>
      <w:r>
        <w:t>is</w:t>
      </w:r>
      <w:r w:rsidR="001A1F90">
        <w:t xml:space="preserve"> </w:t>
      </w:r>
      <w:r>
        <w:t>of</w:t>
      </w:r>
      <w:r w:rsidR="001A1F90">
        <w:t xml:space="preserve"> </w:t>
      </w:r>
      <w:r>
        <w:t>paramount</w:t>
      </w:r>
      <w:r w:rsidR="001A1F90">
        <w:t xml:space="preserve"> </w:t>
      </w:r>
      <w:r>
        <w:t>and</w:t>
      </w:r>
      <w:r w:rsidR="001A1F90">
        <w:t xml:space="preserve"> </w:t>
      </w:r>
      <w:r>
        <w:t>central</w:t>
      </w:r>
      <w:r w:rsidR="001A1F90">
        <w:t xml:space="preserve"> </w:t>
      </w:r>
      <w:r>
        <w:t>importance</w:t>
      </w:r>
      <w:r w:rsidR="001A1F90">
        <w:t xml:space="preserve"> </w:t>
      </w:r>
      <w:r>
        <w:t>whichever</w:t>
      </w:r>
      <w:r w:rsidR="001A1F90">
        <w:t xml:space="preserve"> </w:t>
      </w:r>
      <w:r>
        <w:t>option</w:t>
      </w:r>
      <w:r w:rsidR="001A1F90">
        <w:t xml:space="preserve"> </w:t>
      </w:r>
      <w:r>
        <w:t>is</w:t>
      </w:r>
      <w:r w:rsidR="001A1F90">
        <w:t xml:space="preserve"> </w:t>
      </w:r>
      <w:r>
        <w:t>ultimately</w:t>
      </w:r>
      <w:r w:rsidR="001A1F90">
        <w:t xml:space="preserve"> </w:t>
      </w:r>
      <w:r>
        <w:t>decided.</w:t>
      </w:r>
    </w:p>
    <w:p w14:paraId="548A08C3" w14:textId="34D2DD09" w:rsidR="004946F1" w:rsidRDefault="004946F1" w:rsidP="00BD612C">
      <w:pPr>
        <w:pStyle w:val="DHHSbody"/>
      </w:pPr>
      <w:r>
        <w:t>The</w:t>
      </w:r>
      <w:r w:rsidR="001A1F90">
        <w:t xml:space="preserve"> </w:t>
      </w:r>
      <w:r>
        <w:t>WFSBP</w:t>
      </w:r>
      <w:r w:rsidR="001A1F90">
        <w:t xml:space="preserve"> </w:t>
      </w:r>
      <w:r>
        <w:t>guidelines</w:t>
      </w:r>
      <w:r w:rsidR="001A1F90">
        <w:t xml:space="preserve"> </w:t>
      </w:r>
      <w:r>
        <w:t>define</w:t>
      </w:r>
      <w:r w:rsidR="001A1F90">
        <w:t xml:space="preserve"> </w:t>
      </w:r>
      <w:r>
        <w:t>the</w:t>
      </w:r>
      <w:r w:rsidR="001A1F90">
        <w:t xml:space="preserve"> </w:t>
      </w:r>
      <w:r>
        <w:t>only</w:t>
      </w:r>
      <w:r w:rsidR="001A1F90">
        <w:t xml:space="preserve"> </w:t>
      </w:r>
      <w:r>
        <w:t>appropriate</w:t>
      </w:r>
      <w:r w:rsidR="001A1F90">
        <w:t xml:space="preserve"> </w:t>
      </w:r>
      <w:r>
        <w:t>target</w:t>
      </w:r>
      <w:r w:rsidR="001A1F90">
        <w:t xml:space="preserve"> </w:t>
      </w:r>
      <w:r>
        <w:t>group</w:t>
      </w:r>
      <w:r w:rsidR="001A1F90">
        <w:t xml:space="preserve"> </w:t>
      </w:r>
      <w:r>
        <w:t>for</w:t>
      </w:r>
      <w:r w:rsidR="001A1F90">
        <w:t xml:space="preserve"> </w:t>
      </w:r>
      <w:r>
        <w:t>anti-libidinal</w:t>
      </w:r>
      <w:r w:rsidR="001A1F90">
        <w:t xml:space="preserve"> </w:t>
      </w:r>
      <w:r>
        <w:t>medications</w:t>
      </w:r>
      <w:r w:rsidR="001A1F90">
        <w:t xml:space="preserve"> </w:t>
      </w:r>
      <w:r>
        <w:t>as</w:t>
      </w:r>
      <w:r w:rsidR="001A1F90">
        <w:t xml:space="preserve"> </w:t>
      </w:r>
      <w:r>
        <w:t>those</w:t>
      </w:r>
      <w:r w:rsidR="001A1F90">
        <w:t xml:space="preserve"> </w:t>
      </w:r>
      <w:r>
        <w:t>with</w:t>
      </w:r>
      <w:r w:rsidR="001A1F90">
        <w:t xml:space="preserve"> </w:t>
      </w:r>
      <w:r>
        <w:t>paraphilias</w:t>
      </w:r>
      <w:r w:rsidR="001A1F90">
        <w:t xml:space="preserve"> </w:t>
      </w:r>
      <w:r>
        <w:t>that</w:t>
      </w:r>
      <w:r w:rsidR="001A1F90">
        <w:t xml:space="preserve"> </w:t>
      </w:r>
      <w:r>
        <w:t>are</w:t>
      </w:r>
      <w:r w:rsidR="001A1F90">
        <w:t xml:space="preserve"> </w:t>
      </w:r>
      <w:r>
        <w:t>‘</w:t>
      </w:r>
      <w:r w:rsidRPr="00CA3986">
        <w:rPr>
          <w:rStyle w:val="Emphasis"/>
          <w:i w:val="0"/>
          <w:iCs w:val="0"/>
        </w:rPr>
        <w:t>characterised</w:t>
      </w:r>
      <w:r w:rsidR="001A1F90" w:rsidRPr="00CA3986">
        <w:rPr>
          <w:rStyle w:val="Emphasis"/>
          <w:i w:val="0"/>
          <w:iCs w:val="0"/>
        </w:rPr>
        <w:t xml:space="preserve"> </w:t>
      </w:r>
      <w:r w:rsidRPr="00CA3986">
        <w:rPr>
          <w:rStyle w:val="Emphasis"/>
          <w:i w:val="0"/>
          <w:iCs w:val="0"/>
        </w:rPr>
        <w:t>by</w:t>
      </w:r>
      <w:r w:rsidR="001A1F90" w:rsidRPr="00CA3986">
        <w:rPr>
          <w:rStyle w:val="Emphasis"/>
          <w:i w:val="0"/>
          <w:iCs w:val="0"/>
        </w:rPr>
        <w:t xml:space="preserve"> </w:t>
      </w:r>
      <w:r w:rsidRPr="00CA3986">
        <w:rPr>
          <w:rStyle w:val="Emphasis"/>
          <w:i w:val="0"/>
          <w:iCs w:val="0"/>
        </w:rPr>
        <w:t>intense</w:t>
      </w:r>
      <w:r w:rsidR="001A1F90" w:rsidRPr="00CA3986">
        <w:rPr>
          <w:rStyle w:val="Emphasis"/>
          <w:i w:val="0"/>
          <w:iCs w:val="0"/>
        </w:rPr>
        <w:t xml:space="preserve"> </w:t>
      </w:r>
      <w:r w:rsidRPr="00CA3986">
        <w:rPr>
          <w:rStyle w:val="Emphasis"/>
          <w:i w:val="0"/>
          <w:iCs w:val="0"/>
        </w:rPr>
        <w:t>and</w:t>
      </w:r>
      <w:r w:rsidR="001A1F90" w:rsidRPr="00CA3986">
        <w:rPr>
          <w:rStyle w:val="Emphasis"/>
          <w:i w:val="0"/>
          <w:iCs w:val="0"/>
        </w:rPr>
        <w:t xml:space="preserve"> </w:t>
      </w:r>
      <w:r w:rsidRPr="00CA3986">
        <w:rPr>
          <w:rStyle w:val="Emphasis"/>
          <w:i w:val="0"/>
          <w:iCs w:val="0"/>
        </w:rPr>
        <w:t>frequent</w:t>
      </w:r>
      <w:r w:rsidR="001A1F90" w:rsidRPr="00CA3986">
        <w:rPr>
          <w:rStyle w:val="Emphasis"/>
          <w:i w:val="0"/>
          <w:iCs w:val="0"/>
        </w:rPr>
        <w:t xml:space="preserve"> </w:t>
      </w:r>
      <w:r w:rsidR="00C84854">
        <w:rPr>
          <w:rStyle w:val="Emphasis"/>
          <w:i w:val="0"/>
          <w:iCs w:val="0"/>
        </w:rPr>
        <w:t>inappropriate</w:t>
      </w:r>
      <w:r w:rsidR="001A1F90" w:rsidRPr="00CA3986">
        <w:rPr>
          <w:rStyle w:val="Emphasis"/>
          <w:i w:val="0"/>
          <w:iCs w:val="0"/>
        </w:rPr>
        <w:t xml:space="preserve"> </w:t>
      </w:r>
      <w:r w:rsidRPr="00CA3986">
        <w:rPr>
          <w:rStyle w:val="Emphasis"/>
          <w:i w:val="0"/>
          <w:iCs w:val="0"/>
        </w:rPr>
        <w:t>sexual</w:t>
      </w:r>
      <w:r w:rsidR="001A1F90" w:rsidRPr="00CA3986">
        <w:rPr>
          <w:rStyle w:val="Emphasis"/>
          <w:i w:val="0"/>
          <w:iCs w:val="0"/>
        </w:rPr>
        <w:t xml:space="preserve"> </w:t>
      </w:r>
      <w:r w:rsidRPr="00CA3986">
        <w:rPr>
          <w:rStyle w:val="Emphasis"/>
          <w:i w:val="0"/>
          <w:iCs w:val="0"/>
        </w:rPr>
        <w:t>desire</w:t>
      </w:r>
      <w:r w:rsidR="001A1F90" w:rsidRPr="00CA3986">
        <w:rPr>
          <w:rStyle w:val="Emphasis"/>
          <w:i w:val="0"/>
          <w:iCs w:val="0"/>
        </w:rPr>
        <w:t xml:space="preserve"> </w:t>
      </w:r>
      <w:r w:rsidRPr="00CA3986">
        <w:rPr>
          <w:rStyle w:val="Emphasis"/>
          <w:i w:val="0"/>
          <w:iCs w:val="0"/>
        </w:rPr>
        <w:t>and</w:t>
      </w:r>
      <w:r w:rsidR="001A1F90" w:rsidRPr="00CA3986">
        <w:rPr>
          <w:rStyle w:val="Emphasis"/>
          <w:i w:val="0"/>
          <w:iCs w:val="0"/>
        </w:rPr>
        <w:t xml:space="preserve"> </w:t>
      </w:r>
      <w:r w:rsidRPr="00CA3986">
        <w:rPr>
          <w:rStyle w:val="Emphasis"/>
          <w:i w:val="0"/>
          <w:iCs w:val="0"/>
        </w:rPr>
        <w:t>sexual</w:t>
      </w:r>
      <w:r w:rsidR="001A1F90" w:rsidRPr="00CA3986">
        <w:rPr>
          <w:rStyle w:val="Emphasis"/>
          <w:i w:val="0"/>
          <w:iCs w:val="0"/>
        </w:rPr>
        <w:t xml:space="preserve"> </w:t>
      </w:r>
      <w:r w:rsidRPr="00CA3986">
        <w:rPr>
          <w:rStyle w:val="Emphasis"/>
          <w:i w:val="0"/>
          <w:iCs w:val="0"/>
        </w:rPr>
        <w:t>arousal</w:t>
      </w:r>
      <w:r w:rsidR="001A1F90" w:rsidRPr="00CA3986">
        <w:rPr>
          <w:rStyle w:val="Emphasis"/>
          <w:i w:val="0"/>
          <w:iCs w:val="0"/>
        </w:rPr>
        <w:t xml:space="preserve"> </w:t>
      </w:r>
      <w:r w:rsidRPr="00CA3986">
        <w:rPr>
          <w:rStyle w:val="Emphasis"/>
          <w:i w:val="0"/>
          <w:iCs w:val="0"/>
        </w:rPr>
        <w:t>which</w:t>
      </w:r>
      <w:r w:rsidR="001A1F90" w:rsidRPr="00CA3986">
        <w:rPr>
          <w:rStyle w:val="Emphasis"/>
          <w:i w:val="0"/>
          <w:iCs w:val="0"/>
        </w:rPr>
        <w:t xml:space="preserve"> </w:t>
      </w:r>
      <w:r w:rsidRPr="00CA3986">
        <w:rPr>
          <w:rStyle w:val="Emphasis"/>
          <w:i w:val="0"/>
          <w:iCs w:val="0"/>
        </w:rPr>
        <w:t>highly</w:t>
      </w:r>
      <w:r w:rsidR="001A1F90" w:rsidRPr="00CA3986">
        <w:rPr>
          <w:rStyle w:val="Emphasis"/>
          <w:i w:val="0"/>
          <w:iCs w:val="0"/>
        </w:rPr>
        <w:t xml:space="preserve"> </w:t>
      </w:r>
      <w:r w:rsidRPr="00CA3986">
        <w:rPr>
          <w:rStyle w:val="Emphasis"/>
          <w:i w:val="0"/>
          <w:iCs w:val="0"/>
        </w:rPr>
        <w:t>predispose</w:t>
      </w:r>
      <w:r w:rsidR="001A1F90" w:rsidRPr="00CA3986">
        <w:rPr>
          <w:rStyle w:val="Emphasis"/>
          <w:i w:val="0"/>
          <w:iCs w:val="0"/>
        </w:rPr>
        <w:t xml:space="preserve"> </w:t>
      </w:r>
      <w:r w:rsidRPr="00CA3986">
        <w:rPr>
          <w:rStyle w:val="Emphasis"/>
          <w:i w:val="0"/>
          <w:iCs w:val="0"/>
        </w:rPr>
        <w:t>the</w:t>
      </w:r>
      <w:r w:rsidR="001A1F90" w:rsidRPr="00CA3986">
        <w:rPr>
          <w:rStyle w:val="Emphasis"/>
          <w:i w:val="0"/>
          <w:iCs w:val="0"/>
        </w:rPr>
        <w:t xml:space="preserve"> </w:t>
      </w:r>
      <w:r w:rsidRPr="00CA3986">
        <w:rPr>
          <w:rStyle w:val="Emphasis"/>
          <w:i w:val="0"/>
          <w:iCs w:val="0"/>
        </w:rPr>
        <w:t>[client]</w:t>
      </w:r>
      <w:r w:rsidR="001A1F90" w:rsidRPr="00CA3986">
        <w:rPr>
          <w:rStyle w:val="Emphasis"/>
          <w:i w:val="0"/>
          <w:iCs w:val="0"/>
        </w:rPr>
        <w:t xml:space="preserve"> </w:t>
      </w:r>
      <w:r w:rsidRPr="00CA3986">
        <w:rPr>
          <w:rStyle w:val="Emphasis"/>
          <w:i w:val="0"/>
          <w:iCs w:val="0"/>
        </w:rPr>
        <w:t>to</w:t>
      </w:r>
      <w:r w:rsidR="001A1F90" w:rsidRPr="00CA3986">
        <w:rPr>
          <w:rStyle w:val="Emphasis"/>
          <w:i w:val="0"/>
          <w:iCs w:val="0"/>
        </w:rPr>
        <w:t xml:space="preserve"> </w:t>
      </w:r>
      <w:r w:rsidRPr="00CA3986">
        <w:rPr>
          <w:rStyle w:val="Emphasis"/>
          <w:i w:val="0"/>
          <w:iCs w:val="0"/>
        </w:rPr>
        <w:t>severe</w:t>
      </w:r>
      <w:r w:rsidR="001A1F90" w:rsidRPr="00CA3986">
        <w:rPr>
          <w:rStyle w:val="Emphasis"/>
          <w:i w:val="0"/>
          <w:iCs w:val="0"/>
        </w:rPr>
        <w:t xml:space="preserve"> </w:t>
      </w:r>
      <w:r w:rsidRPr="00CA3986">
        <w:rPr>
          <w:rStyle w:val="Emphasis"/>
          <w:i w:val="0"/>
          <w:iCs w:val="0"/>
        </w:rPr>
        <w:t>paraphiliac</w:t>
      </w:r>
      <w:r w:rsidR="001A1F90" w:rsidRPr="00CA3986">
        <w:rPr>
          <w:rStyle w:val="Emphasis"/>
          <w:i w:val="0"/>
          <w:iCs w:val="0"/>
        </w:rPr>
        <w:t xml:space="preserve"> </w:t>
      </w:r>
      <w:r w:rsidRPr="00CA3986">
        <w:rPr>
          <w:rStyle w:val="Emphasis"/>
          <w:i w:val="0"/>
          <w:iCs w:val="0"/>
        </w:rPr>
        <w:t>behaviour</w:t>
      </w:r>
      <w:r w:rsidR="001A1F90" w:rsidRPr="00CA3986">
        <w:rPr>
          <w:rStyle w:val="Emphasis"/>
          <w:i w:val="0"/>
          <w:iCs w:val="0"/>
        </w:rPr>
        <w:t xml:space="preserve"> </w:t>
      </w:r>
      <w:r w:rsidRPr="00CA3986">
        <w:rPr>
          <w:rStyle w:val="Emphasis"/>
          <w:i w:val="0"/>
          <w:iCs w:val="0"/>
        </w:rPr>
        <w:t>(such</w:t>
      </w:r>
      <w:r w:rsidR="001A1F90" w:rsidRPr="00CA3986">
        <w:rPr>
          <w:rStyle w:val="Emphasis"/>
          <w:i w:val="0"/>
          <w:iCs w:val="0"/>
        </w:rPr>
        <w:t xml:space="preserve"> </w:t>
      </w:r>
      <w:r w:rsidRPr="00CA3986">
        <w:rPr>
          <w:rStyle w:val="Emphasis"/>
          <w:i w:val="0"/>
          <w:iCs w:val="0"/>
        </w:rPr>
        <w:t>as</w:t>
      </w:r>
      <w:r w:rsidR="001A1F90" w:rsidRPr="00CA3986">
        <w:rPr>
          <w:rStyle w:val="Emphasis"/>
          <w:i w:val="0"/>
          <w:iCs w:val="0"/>
        </w:rPr>
        <w:t xml:space="preserve"> </w:t>
      </w:r>
      <w:r w:rsidRPr="00CA3986">
        <w:rPr>
          <w:rStyle w:val="Emphasis"/>
          <w:i w:val="0"/>
          <w:iCs w:val="0"/>
        </w:rPr>
        <w:t>paedophilia</w:t>
      </w:r>
      <w:r w:rsidR="001A1F90" w:rsidRPr="00CA3986">
        <w:rPr>
          <w:rStyle w:val="Emphasis"/>
          <w:i w:val="0"/>
          <w:iCs w:val="0"/>
        </w:rPr>
        <w:t xml:space="preserve"> </w:t>
      </w:r>
      <w:r w:rsidRPr="00CA3986">
        <w:rPr>
          <w:rStyle w:val="Emphasis"/>
          <w:i w:val="0"/>
          <w:iCs w:val="0"/>
        </w:rPr>
        <w:t>or</w:t>
      </w:r>
      <w:r w:rsidR="001A1F90" w:rsidRPr="00CA3986">
        <w:rPr>
          <w:rStyle w:val="Emphasis"/>
          <w:i w:val="0"/>
          <w:iCs w:val="0"/>
        </w:rPr>
        <w:t xml:space="preserve"> </w:t>
      </w:r>
      <w:r w:rsidRPr="00CA3986">
        <w:rPr>
          <w:rStyle w:val="Emphasis"/>
          <w:i w:val="0"/>
          <w:iCs w:val="0"/>
        </w:rPr>
        <w:t>serial</w:t>
      </w:r>
      <w:r w:rsidR="001A1F90" w:rsidRPr="00CA3986">
        <w:rPr>
          <w:rStyle w:val="Emphasis"/>
          <w:i w:val="0"/>
          <w:iCs w:val="0"/>
        </w:rPr>
        <w:t xml:space="preserve"> </w:t>
      </w:r>
      <w:r w:rsidRPr="00CA3986">
        <w:rPr>
          <w:rStyle w:val="Emphasis"/>
          <w:i w:val="0"/>
          <w:iCs w:val="0"/>
        </w:rPr>
        <w:t>rapes)</w:t>
      </w:r>
      <w:r w:rsidR="009068EB">
        <w:rPr>
          <w:rStyle w:val="Emphasis"/>
          <w:i w:val="0"/>
          <w:iCs w:val="0"/>
        </w:rPr>
        <w:t>’</w:t>
      </w:r>
      <w:r w:rsidRPr="00CA3986">
        <w:rPr>
          <w:i/>
        </w:rPr>
        <w:t>.</w:t>
      </w:r>
      <w:r w:rsidR="001A1F90" w:rsidRPr="00CA3986">
        <w:rPr>
          <w:i/>
        </w:rPr>
        <w:t xml:space="preserve"> </w:t>
      </w:r>
      <w:r>
        <w:t>The</w:t>
      </w:r>
      <w:r w:rsidR="001A1F90">
        <w:t xml:space="preserve"> </w:t>
      </w:r>
      <w:r>
        <w:t>respondents</w:t>
      </w:r>
      <w:r w:rsidR="001A1F90">
        <w:t xml:space="preserve"> </w:t>
      </w:r>
      <w:r>
        <w:t>surveyed</w:t>
      </w:r>
      <w:r w:rsidR="001A1F90">
        <w:t xml:space="preserve"> </w:t>
      </w:r>
      <w:r>
        <w:t>here</w:t>
      </w:r>
      <w:r w:rsidR="001A1F90">
        <w:t xml:space="preserve"> </w:t>
      </w:r>
      <w:r>
        <w:t>suggest</w:t>
      </w:r>
      <w:r w:rsidR="001A1F90">
        <w:t xml:space="preserve"> </w:t>
      </w:r>
      <w:r>
        <w:t>more</w:t>
      </w:r>
      <w:r w:rsidR="001A1F90">
        <w:t xml:space="preserve"> </w:t>
      </w:r>
      <w:r>
        <w:t>of</w:t>
      </w:r>
      <w:r w:rsidR="001A1F90">
        <w:t xml:space="preserve"> </w:t>
      </w:r>
      <w:r>
        <w:t>a</w:t>
      </w:r>
      <w:r w:rsidR="001A1F90">
        <w:t xml:space="preserve"> </w:t>
      </w:r>
      <w:r>
        <w:t>mixed</w:t>
      </w:r>
      <w:r w:rsidR="001A1F90">
        <w:t xml:space="preserve"> </w:t>
      </w:r>
      <w:r>
        <w:t>presentation</w:t>
      </w:r>
      <w:r w:rsidR="001A1F90">
        <w:t xml:space="preserve"> </w:t>
      </w:r>
      <w:r>
        <w:t>among</w:t>
      </w:r>
      <w:r w:rsidR="001A1F90">
        <w:t xml:space="preserve"> </w:t>
      </w:r>
      <w:r>
        <w:t>those</w:t>
      </w:r>
      <w:r w:rsidR="001A1F90">
        <w:t xml:space="preserve"> </w:t>
      </w:r>
      <w:r>
        <w:t>they</w:t>
      </w:r>
      <w:r w:rsidR="001A1F90">
        <w:t xml:space="preserve"> </w:t>
      </w:r>
      <w:r>
        <w:t>have</w:t>
      </w:r>
      <w:r w:rsidR="001A1F90">
        <w:t xml:space="preserve"> </w:t>
      </w:r>
      <w:r>
        <w:t>encountered</w:t>
      </w:r>
      <w:r w:rsidR="001A1F90">
        <w:t xml:space="preserve"> </w:t>
      </w:r>
      <w:r>
        <w:t>who</w:t>
      </w:r>
      <w:r w:rsidR="001A1F90">
        <w:t xml:space="preserve"> </w:t>
      </w:r>
      <w:r>
        <w:t>are</w:t>
      </w:r>
      <w:r w:rsidR="001A1F90">
        <w:t xml:space="preserve"> </w:t>
      </w:r>
      <w:r>
        <w:t>prescribed</w:t>
      </w:r>
      <w:r w:rsidR="001A1F90">
        <w:t xml:space="preserve"> </w:t>
      </w:r>
      <w:r>
        <w:t>these</w:t>
      </w:r>
      <w:r w:rsidR="001A1F90">
        <w:t xml:space="preserve"> </w:t>
      </w:r>
      <w:r>
        <w:t>medications.</w:t>
      </w:r>
      <w:r w:rsidR="001A1F90">
        <w:t xml:space="preserve"> </w:t>
      </w:r>
      <w:r>
        <w:t>They</w:t>
      </w:r>
      <w:r w:rsidR="001A1F90">
        <w:t xml:space="preserve"> </w:t>
      </w:r>
      <w:r>
        <w:t>highlight</w:t>
      </w:r>
      <w:r w:rsidR="001A1F90">
        <w:t xml:space="preserve"> </w:t>
      </w:r>
      <w:r>
        <w:t>individual</w:t>
      </w:r>
      <w:r w:rsidR="001A1F90">
        <w:t xml:space="preserve"> </w:t>
      </w:r>
      <w:r>
        <w:t>cases</w:t>
      </w:r>
      <w:r w:rsidR="001A1F90">
        <w:t xml:space="preserve"> </w:t>
      </w:r>
      <w:r>
        <w:t>where</w:t>
      </w:r>
      <w:r w:rsidR="001A1F90">
        <w:t xml:space="preserve"> </w:t>
      </w:r>
      <w:r>
        <w:t>the</w:t>
      </w:r>
      <w:r w:rsidR="001A1F90">
        <w:t xml:space="preserve"> </w:t>
      </w:r>
      <w:r>
        <w:t>use</w:t>
      </w:r>
      <w:r w:rsidR="001A1F90">
        <w:t xml:space="preserve"> </w:t>
      </w:r>
      <w:r>
        <w:t>of</w:t>
      </w:r>
      <w:r w:rsidR="001A1F90">
        <w:t xml:space="preserve"> </w:t>
      </w:r>
      <w:r>
        <w:t>anti-libidinal</w:t>
      </w:r>
      <w:r w:rsidR="001A1F90">
        <w:t xml:space="preserve"> </w:t>
      </w:r>
      <w:r>
        <w:t>medications</w:t>
      </w:r>
      <w:r w:rsidR="001A1F90">
        <w:t xml:space="preserve"> </w:t>
      </w:r>
      <w:r>
        <w:t>has</w:t>
      </w:r>
      <w:r w:rsidR="001A1F90">
        <w:t xml:space="preserve"> </w:t>
      </w:r>
      <w:r>
        <w:t>had</w:t>
      </w:r>
      <w:r w:rsidR="001A1F90">
        <w:t xml:space="preserve"> </w:t>
      </w:r>
      <w:r>
        <w:t>positive</w:t>
      </w:r>
      <w:r w:rsidR="001A1F90">
        <w:t xml:space="preserve"> </w:t>
      </w:r>
      <w:r>
        <w:t>benefit</w:t>
      </w:r>
      <w:r w:rsidR="001A1F90">
        <w:t xml:space="preserve"> </w:t>
      </w:r>
      <w:r>
        <w:t>as</w:t>
      </w:r>
      <w:r w:rsidR="001A1F90">
        <w:t xml:space="preserve"> </w:t>
      </w:r>
      <w:r>
        <w:t>well</w:t>
      </w:r>
      <w:r w:rsidR="001A1F90">
        <w:t xml:space="preserve"> </w:t>
      </w:r>
      <w:r>
        <w:t>as</w:t>
      </w:r>
      <w:r w:rsidR="001A1F90">
        <w:t xml:space="preserve"> </w:t>
      </w:r>
      <w:r>
        <w:t>cases</w:t>
      </w:r>
      <w:r w:rsidR="001A1F90">
        <w:t xml:space="preserve"> </w:t>
      </w:r>
      <w:r>
        <w:t>where</w:t>
      </w:r>
      <w:r w:rsidR="001A1F90">
        <w:t xml:space="preserve"> </w:t>
      </w:r>
      <w:r>
        <w:t>the</w:t>
      </w:r>
      <w:r w:rsidR="001A1F90">
        <w:t xml:space="preserve"> </w:t>
      </w:r>
      <w:r>
        <w:t>side</w:t>
      </w:r>
      <w:r w:rsidR="001A1F90">
        <w:t xml:space="preserve"> </w:t>
      </w:r>
      <w:r>
        <w:t>effects</w:t>
      </w:r>
      <w:r w:rsidR="001A1F90">
        <w:t xml:space="preserve"> </w:t>
      </w:r>
      <w:r>
        <w:t>and</w:t>
      </w:r>
      <w:r w:rsidR="00251346">
        <w:t>/</w:t>
      </w:r>
      <w:r>
        <w:t>or</w:t>
      </w:r>
      <w:r w:rsidR="001A1F90">
        <w:t xml:space="preserve"> </w:t>
      </w:r>
      <w:r>
        <w:t>poor</w:t>
      </w:r>
      <w:r w:rsidR="001A1F90">
        <w:t xml:space="preserve"> </w:t>
      </w:r>
      <w:r>
        <w:t>health</w:t>
      </w:r>
      <w:r w:rsidR="001A1F90">
        <w:t xml:space="preserve"> </w:t>
      </w:r>
      <w:r>
        <w:t>monitoring</w:t>
      </w:r>
      <w:r w:rsidR="001A1F90">
        <w:t xml:space="preserve"> </w:t>
      </w:r>
      <w:r>
        <w:t>and</w:t>
      </w:r>
      <w:r w:rsidR="001A1F90">
        <w:t xml:space="preserve"> </w:t>
      </w:r>
      <w:r>
        <w:t>review</w:t>
      </w:r>
      <w:r w:rsidR="001A1F90">
        <w:t xml:space="preserve"> </w:t>
      </w:r>
      <w:r>
        <w:t>have</w:t>
      </w:r>
      <w:r w:rsidR="001A1F90">
        <w:t xml:space="preserve"> </w:t>
      </w:r>
      <w:r>
        <w:t>been</w:t>
      </w:r>
      <w:r w:rsidR="001A1F90">
        <w:t xml:space="preserve"> </w:t>
      </w:r>
      <w:r>
        <w:t>highly</w:t>
      </w:r>
      <w:r w:rsidR="001A1F90">
        <w:t xml:space="preserve"> </w:t>
      </w:r>
      <w:r w:rsidR="00251346">
        <w:t xml:space="preserve">harmful </w:t>
      </w:r>
      <w:r>
        <w:t>to</w:t>
      </w:r>
      <w:r w:rsidR="001A1F90">
        <w:t xml:space="preserve"> </w:t>
      </w:r>
      <w:r>
        <w:t>the</w:t>
      </w:r>
      <w:r w:rsidR="001A1F90">
        <w:t xml:space="preserve"> </w:t>
      </w:r>
      <w:r w:rsidR="00251346">
        <w:t xml:space="preserve">patients </w:t>
      </w:r>
      <w:r>
        <w:t>involved.</w:t>
      </w:r>
      <w:r w:rsidR="001A1F90">
        <w:t xml:space="preserve"> </w:t>
      </w:r>
      <w:r>
        <w:t>If</w:t>
      </w:r>
      <w:r w:rsidR="001A1F90">
        <w:t xml:space="preserve"> </w:t>
      </w:r>
      <w:r>
        <w:t>hormonal</w:t>
      </w:r>
      <w:r w:rsidR="001A1F90">
        <w:t xml:space="preserve"> </w:t>
      </w:r>
      <w:r>
        <w:t>treatment</w:t>
      </w:r>
      <w:r w:rsidR="001A1F90">
        <w:t xml:space="preserve"> </w:t>
      </w:r>
      <w:r>
        <w:t>is</w:t>
      </w:r>
      <w:r w:rsidR="001A1F90">
        <w:t xml:space="preserve"> </w:t>
      </w:r>
      <w:r>
        <w:t>to</w:t>
      </w:r>
      <w:r w:rsidR="001A1F90">
        <w:t xml:space="preserve"> </w:t>
      </w:r>
      <w:r>
        <w:t>be</w:t>
      </w:r>
      <w:r w:rsidR="001A1F90">
        <w:t xml:space="preserve"> </w:t>
      </w:r>
      <w:r>
        <w:t>considered</w:t>
      </w:r>
      <w:r w:rsidR="001A1F90">
        <w:t xml:space="preserve"> </w:t>
      </w:r>
      <w:r>
        <w:t>as</w:t>
      </w:r>
      <w:r w:rsidR="001A1F90">
        <w:t xml:space="preserve"> </w:t>
      </w:r>
      <w:r>
        <w:t>a</w:t>
      </w:r>
      <w:r w:rsidR="001A1F90">
        <w:t xml:space="preserve"> </w:t>
      </w:r>
      <w:r>
        <w:t>treatment</w:t>
      </w:r>
      <w:r w:rsidR="001A1F90">
        <w:t xml:space="preserve"> </w:t>
      </w:r>
      <w:r>
        <w:t>option,</w:t>
      </w:r>
      <w:r w:rsidR="001A1F90">
        <w:t xml:space="preserve"> </w:t>
      </w:r>
      <w:r>
        <w:t>best</w:t>
      </w:r>
      <w:r w:rsidR="001A1F90">
        <w:t xml:space="preserve"> </w:t>
      </w:r>
      <w:r>
        <w:t>practice</w:t>
      </w:r>
      <w:r w:rsidR="001A1F90">
        <w:t xml:space="preserve"> </w:t>
      </w:r>
      <w:r>
        <w:t>indicates</w:t>
      </w:r>
      <w:r w:rsidR="001A1F90">
        <w:t xml:space="preserve"> </w:t>
      </w:r>
      <w:r>
        <w:t>that</w:t>
      </w:r>
      <w:r w:rsidR="001A1F90">
        <w:t xml:space="preserve"> </w:t>
      </w:r>
      <w:r>
        <w:t>treatment</w:t>
      </w:r>
      <w:r w:rsidR="001A1F90">
        <w:t xml:space="preserve"> </w:t>
      </w:r>
      <w:r>
        <w:t>should</w:t>
      </w:r>
      <w:r w:rsidR="001A1F90">
        <w:t xml:space="preserve"> </w:t>
      </w:r>
      <w:r>
        <w:t>be</w:t>
      </w:r>
      <w:r w:rsidR="001A1F90">
        <w:t xml:space="preserve"> </w:t>
      </w:r>
      <w:r>
        <w:t>closely</w:t>
      </w:r>
      <w:r w:rsidR="001A1F90">
        <w:t xml:space="preserve"> </w:t>
      </w:r>
      <w:r>
        <w:t>supervised</w:t>
      </w:r>
      <w:r w:rsidR="001A1F90">
        <w:t xml:space="preserve"> </w:t>
      </w:r>
      <w:r>
        <w:t>by</w:t>
      </w:r>
      <w:r w:rsidR="001A1F90">
        <w:t xml:space="preserve"> </w:t>
      </w:r>
      <w:r>
        <w:t>clinicians</w:t>
      </w:r>
      <w:r w:rsidR="001A1F90">
        <w:t xml:space="preserve"> </w:t>
      </w:r>
      <w:r>
        <w:t>with</w:t>
      </w:r>
      <w:r w:rsidR="001A1F90">
        <w:t xml:space="preserve"> </w:t>
      </w:r>
      <w:r>
        <w:t>requisite</w:t>
      </w:r>
      <w:r w:rsidR="001A1F90">
        <w:t xml:space="preserve"> </w:t>
      </w:r>
      <w:r>
        <w:t>expertise</w:t>
      </w:r>
      <w:r w:rsidR="001A1F90">
        <w:t xml:space="preserve"> </w:t>
      </w:r>
      <w:r>
        <w:t>and,</w:t>
      </w:r>
      <w:r w:rsidR="001A1F90">
        <w:t xml:space="preserve"> </w:t>
      </w:r>
      <w:r>
        <w:t>most</w:t>
      </w:r>
      <w:r w:rsidR="001A1F90">
        <w:t xml:space="preserve"> </w:t>
      </w:r>
      <w:r>
        <w:t>importantly,</w:t>
      </w:r>
      <w:r w:rsidR="001A1F90">
        <w:t xml:space="preserve"> </w:t>
      </w:r>
      <w:r>
        <w:t>that</w:t>
      </w:r>
      <w:r w:rsidR="001A1F90">
        <w:t xml:space="preserve"> </w:t>
      </w:r>
      <w:r>
        <w:t>treatment</w:t>
      </w:r>
      <w:r w:rsidR="001A1F90">
        <w:t xml:space="preserve"> </w:t>
      </w:r>
      <w:r>
        <w:t>should</w:t>
      </w:r>
      <w:r w:rsidR="001A1F90">
        <w:t xml:space="preserve"> </w:t>
      </w:r>
      <w:r>
        <w:t>be</w:t>
      </w:r>
      <w:r w:rsidR="001A1F90">
        <w:t xml:space="preserve"> </w:t>
      </w:r>
      <w:r>
        <w:t>administered</w:t>
      </w:r>
      <w:r w:rsidR="001A1F90">
        <w:t xml:space="preserve"> </w:t>
      </w:r>
      <w:r>
        <w:t>in</w:t>
      </w:r>
      <w:r w:rsidR="001A1F90">
        <w:t xml:space="preserve"> </w:t>
      </w:r>
      <w:r>
        <w:t>conjunction</w:t>
      </w:r>
      <w:r w:rsidR="001A1F90">
        <w:t xml:space="preserve"> </w:t>
      </w:r>
      <w:r>
        <w:t>with</w:t>
      </w:r>
      <w:r w:rsidR="001A1F90">
        <w:t xml:space="preserve"> </w:t>
      </w:r>
      <w:r>
        <w:t>psychotherapeutic</w:t>
      </w:r>
      <w:r w:rsidR="001A1F90">
        <w:t xml:space="preserve"> </w:t>
      </w:r>
      <w:r>
        <w:t>interventions.</w:t>
      </w:r>
      <w:r w:rsidR="001A1F90">
        <w:t xml:space="preserve"> </w:t>
      </w:r>
      <w:r>
        <w:t>This</w:t>
      </w:r>
      <w:r w:rsidR="001A1F90">
        <w:t xml:space="preserve"> </w:t>
      </w:r>
      <w:r>
        <w:t>leads</w:t>
      </w:r>
      <w:r w:rsidR="001A1F90">
        <w:t xml:space="preserve"> </w:t>
      </w:r>
      <w:r>
        <w:t>to</w:t>
      </w:r>
      <w:r w:rsidR="001A1F90">
        <w:t xml:space="preserve"> </w:t>
      </w:r>
      <w:r>
        <w:t>the</w:t>
      </w:r>
      <w:r w:rsidR="001A1F90">
        <w:t xml:space="preserve"> </w:t>
      </w:r>
      <w:r>
        <w:t>following</w:t>
      </w:r>
      <w:r w:rsidR="001A1F90">
        <w:t xml:space="preserve"> </w:t>
      </w:r>
      <w:r>
        <w:t>recommendations</w:t>
      </w:r>
      <w:r w:rsidR="00251346">
        <w:t>.</w:t>
      </w:r>
    </w:p>
    <w:p w14:paraId="4E7EF163" w14:textId="39FBD7E3" w:rsidR="004946F1" w:rsidRDefault="004946F1" w:rsidP="009B0E14">
      <w:pPr>
        <w:pStyle w:val="Heading2"/>
      </w:pPr>
      <w:bookmarkStart w:id="26" w:name="_Toc20225614"/>
      <w:r>
        <w:t>Recommendations</w:t>
      </w:r>
      <w:bookmarkEnd w:id="26"/>
    </w:p>
    <w:p w14:paraId="76FF46EB" w14:textId="00928A92" w:rsidR="004946F1" w:rsidRDefault="004946F1" w:rsidP="00BD612C">
      <w:pPr>
        <w:pStyle w:val="DHHSbullet1"/>
      </w:pPr>
      <w:r>
        <w:t>Anti-libidinal</w:t>
      </w:r>
      <w:r w:rsidR="001A1F90">
        <w:t xml:space="preserve"> </w:t>
      </w:r>
      <w:r>
        <w:t>medications</w:t>
      </w:r>
      <w:r w:rsidR="001A1F90">
        <w:t xml:space="preserve"> </w:t>
      </w:r>
      <w:r>
        <w:t>should</w:t>
      </w:r>
      <w:r w:rsidR="001A1F90">
        <w:t xml:space="preserve"> </w:t>
      </w:r>
      <w:r>
        <w:t>only</w:t>
      </w:r>
      <w:r w:rsidR="001A1F90">
        <w:t xml:space="preserve"> </w:t>
      </w:r>
      <w:r>
        <w:t>be</w:t>
      </w:r>
      <w:r w:rsidR="001A1F90">
        <w:t xml:space="preserve"> </w:t>
      </w:r>
      <w:r>
        <w:t>considered</w:t>
      </w:r>
      <w:r w:rsidR="001A1F90">
        <w:t xml:space="preserve"> </w:t>
      </w:r>
      <w:r>
        <w:t>for</w:t>
      </w:r>
      <w:r w:rsidR="001A1F90">
        <w:t xml:space="preserve"> </w:t>
      </w:r>
      <w:r>
        <w:t>the</w:t>
      </w:r>
      <w:r w:rsidR="001A1F90">
        <w:t xml:space="preserve"> </w:t>
      </w:r>
      <w:r>
        <w:t>small</w:t>
      </w:r>
      <w:r w:rsidR="001A1F90">
        <w:t xml:space="preserve"> </w:t>
      </w:r>
      <w:r>
        <w:t>population</w:t>
      </w:r>
      <w:r w:rsidR="001A1F90">
        <w:t xml:space="preserve"> </w:t>
      </w:r>
      <w:r>
        <w:t>of</w:t>
      </w:r>
      <w:r w:rsidR="001A1F90">
        <w:t xml:space="preserve"> </w:t>
      </w:r>
      <w:r>
        <w:t>sexual</w:t>
      </w:r>
      <w:r w:rsidR="001A1F90">
        <w:t xml:space="preserve"> </w:t>
      </w:r>
      <w:r>
        <w:t>offenders</w:t>
      </w:r>
      <w:r w:rsidR="001A1F90">
        <w:t xml:space="preserve"> </w:t>
      </w:r>
      <w:r>
        <w:t>for</w:t>
      </w:r>
      <w:r w:rsidR="001A1F90">
        <w:t xml:space="preserve"> </w:t>
      </w:r>
      <w:r>
        <w:t>whom</w:t>
      </w:r>
      <w:r w:rsidR="001A1F90">
        <w:t xml:space="preserve"> </w:t>
      </w:r>
      <w:r>
        <w:t>psychological</w:t>
      </w:r>
      <w:r w:rsidR="001A1F90">
        <w:t xml:space="preserve"> </w:t>
      </w:r>
      <w:r>
        <w:t>therapies</w:t>
      </w:r>
      <w:r w:rsidR="001A1F90">
        <w:t xml:space="preserve"> </w:t>
      </w:r>
      <w:r>
        <w:t>have</w:t>
      </w:r>
      <w:r w:rsidR="001A1F90">
        <w:t xml:space="preserve"> </w:t>
      </w:r>
      <w:r>
        <w:t>been</w:t>
      </w:r>
      <w:r w:rsidR="001A1F90">
        <w:t xml:space="preserve"> </w:t>
      </w:r>
      <w:r>
        <w:t>thoroughly</w:t>
      </w:r>
      <w:r w:rsidR="001A1F90">
        <w:t xml:space="preserve"> </w:t>
      </w:r>
      <w:r>
        <w:t>tried</w:t>
      </w:r>
      <w:r w:rsidR="001A1F90">
        <w:t xml:space="preserve"> </w:t>
      </w:r>
      <w:r>
        <w:t>and</w:t>
      </w:r>
      <w:r w:rsidR="001A1F90">
        <w:t xml:space="preserve"> </w:t>
      </w:r>
      <w:r>
        <w:t>tested</w:t>
      </w:r>
      <w:r w:rsidR="001A1F90">
        <w:t xml:space="preserve"> </w:t>
      </w:r>
      <w:r>
        <w:t>but</w:t>
      </w:r>
      <w:r w:rsidR="001A1F90">
        <w:t xml:space="preserve"> </w:t>
      </w:r>
      <w:r>
        <w:t>have</w:t>
      </w:r>
      <w:r w:rsidR="001A1F90">
        <w:t xml:space="preserve"> </w:t>
      </w:r>
      <w:r>
        <w:t>not</w:t>
      </w:r>
      <w:r w:rsidR="001A1F90">
        <w:t xml:space="preserve"> </w:t>
      </w:r>
      <w:r>
        <w:t>worked</w:t>
      </w:r>
      <w:r w:rsidR="001A1F90">
        <w:t xml:space="preserve"> </w:t>
      </w:r>
      <w:r>
        <w:t>and</w:t>
      </w:r>
      <w:r w:rsidR="001A1F90">
        <w:t xml:space="preserve"> </w:t>
      </w:r>
      <w:r>
        <w:t>where</w:t>
      </w:r>
      <w:r w:rsidR="001A1F90">
        <w:t xml:space="preserve"> </w:t>
      </w:r>
      <w:r>
        <w:t>the</w:t>
      </w:r>
      <w:r w:rsidR="001A1F90">
        <w:t xml:space="preserve"> </w:t>
      </w:r>
      <w:r>
        <w:t>risk</w:t>
      </w:r>
      <w:r w:rsidR="001A1F90">
        <w:t xml:space="preserve"> </w:t>
      </w:r>
      <w:r>
        <w:t>of</w:t>
      </w:r>
      <w:r w:rsidR="001A1F90">
        <w:t xml:space="preserve"> </w:t>
      </w:r>
      <w:r>
        <w:t>further</w:t>
      </w:r>
      <w:r w:rsidR="001A1F90">
        <w:t xml:space="preserve"> </w:t>
      </w:r>
      <w:r>
        <w:t>offending</w:t>
      </w:r>
      <w:r w:rsidR="001A1F90">
        <w:t xml:space="preserve"> </w:t>
      </w:r>
      <w:r>
        <w:t>presented</w:t>
      </w:r>
      <w:r w:rsidR="001A1F90">
        <w:t xml:space="preserve"> </w:t>
      </w:r>
      <w:r>
        <w:t>by</w:t>
      </w:r>
      <w:r w:rsidR="001A1F90">
        <w:t xml:space="preserve"> </w:t>
      </w:r>
      <w:r>
        <w:t>the</w:t>
      </w:r>
      <w:r w:rsidR="001A1F90">
        <w:t xml:space="preserve"> </w:t>
      </w:r>
      <w:r>
        <w:t>person</w:t>
      </w:r>
      <w:r w:rsidR="001A1F90">
        <w:t xml:space="preserve"> </w:t>
      </w:r>
      <w:r>
        <w:t>is</w:t>
      </w:r>
      <w:r w:rsidR="001A1F90">
        <w:t xml:space="preserve"> </w:t>
      </w:r>
      <w:r>
        <w:t>unacceptably</w:t>
      </w:r>
      <w:r w:rsidR="001A1F90">
        <w:t xml:space="preserve"> </w:t>
      </w:r>
      <w:r>
        <w:t>high.</w:t>
      </w:r>
    </w:p>
    <w:p w14:paraId="3A508B0D" w14:textId="11EDECAC" w:rsidR="004946F1" w:rsidRDefault="004946F1" w:rsidP="00BD612C">
      <w:pPr>
        <w:pStyle w:val="DHHSbullet1"/>
      </w:pPr>
      <w:r>
        <w:t>A</w:t>
      </w:r>
      <w:r w:rsidR="001A1F90">
        <w:t xml:space="preserve"> </w:t>
      </w:r>
      <w:r>
        <w:t>person’s</w:t>
      </w:r>
      <w:r w:rsidR="001A1F90">
        <w:t xml:space="preserve"> </w:t>
      </w:r>
      <w:r>
        <w:t>risk</w:t>
      </w:r>
      <w:r w:rsidR="001A1F90">
        <w:t xml:space="preserve"> </w:t>
      </w:r>
      <w:r>
        <w:t>of</w:t>
      </w:r>
      <w:r w:rsidR="001A1F90">
        <w:t xml:space="preserve"> </w:t>
      </w:r>
      <w:r>
        <w:t>sexually</w:t>
      </w:r>
      <w:r w:rsidR="001A1F90">
        <w:t xml:space="preserve"> </w:t>
      </w:r>
      <w:r>
        <w:t>violent</w:t>
      </w:r>
      <w:r w:rsidR="001A1F90">
        <w:t xml:space="preserve"> </w:t>
      </w:r>
      <w:r>
        <w:t>offending</w:t>
      </w:r>
      <w:r w:rsidR="001A1F90">
        <w:t xml:space="preserve"> </w:t>
      </w:r>
      <w:r>
        <w:t>should</w:t>
      </w:r>
      <w:r w:rsidR="001A1F90">
        <w:t xml:space="preserve"> </w:t>
      </w:r>
      <w:r>
        <w:t>be</w:t>
      </w:r>
      <w:r w:rsidR="001A1F90">
        <w:t xml:space="preserve"> </w:t>
      </w:r>
      <w:r>
        <w:t>ascertained</w:t>
      </w:r>
      <w:r w:rsidR="001A1F90">
        <w:t xml:space="preserve"> </w:t>
      </w:r>
      <w:r>
        <w:t>through</w:t>
      </w:r>
      <w:r w:rsidR="001A1F90">
        <w:t xml:space="preserve"> </w:t>
      </w:r>
      <w:r>
        <w:t>thorough</w:t>
      </w:r>
      <w:r w:rsidR="001A1F90">
        <w:t xml:space="preserve"> </w:t>
      </w:r>
      <w:r>
        <w:t>assessment,</w:t>
      </w:r>
      <w:r w:rsidR="001A1F90">
        <w:t xml:space="preserve"> </w:t>
      </w:r>
      <w:r>
        <w:t>by</w:t>
      </w:r>
      <w:r w:rsidR="001A1F90">
        <w:t xml:space="preserve"> </w:t>
      </w:r>
      <w:r>
        <w:t>trained</w:t>
      </w:r>
      <w:r w:rsidR="001A1F90">
        <w:t xml:space="preserve"> </w:t>
      </w:r>
      <w:r>
        <w:t>clinicians,</w:t>
      </w:r>
      <w:r w:rsidR="001A1F90">
        <w:t xml:space="preserve"> </w:t>
      </w:r>
      <w:r>
        <w:t>using</w:t>
      </w:r>
      <w:r w:rsidR="001A1F90">
        <w:t xml:space="preserve"> </w:t>
      </w:r>
      <w:r>
        <w:t>current</w:t>
      </w:r>
      <w:r w:rsidR="001A1F90">
        <w:t xml:space="preserve"> </w:t>
      </w:r>
      <w:r>
        <w:t>gold</w:t>
      </w:r>
      <w:r w:rsidR="001A1F90">
        <w:t xml:space="preserve"> </w:t>
      </w:r>
      <w:r>
        <w:t>standard</w:t>
      </w:r>
      <w:r w:rsidR="001A1F90">
        <w:t xml:space="preserve"> </w:t>
      </w:r>
      <w:r>
        <w:t>sexual</w:t>
      </w:r>
      <w:r w:rsidR="001A1F90">
        <w:t xml:space="preserve"> </w:t>
      </w:r>
      <w:r>
        <w:t>violence</w:t>
      </w:r>
      <w:r w:rsidR="001A1F90">
        <w:t xml:space="preserve"> </w:t>
      </w:r>
      <w:r>
        <w:t>risk</w:t>
      </w:r>
      <w:r w:rsidR="001A1F90">
        <w:t xml:space="preserve"> </w:t>
      </w:r>
      <w:r>
        <w:t>assessment</w:t>
      </w:r>
      <w:r w:rsidR="001A1F90">
        <w:t xml:space="preserve"> </w:t>
      </w:r>
      <w:r>
        <w:t>tools.</w:t>
      </w:r>
      <w:r w:rsidR="001A1F90">
        <w:t xml:space="preserve"> </w:t>
      </w:r>
      <w:r>
        <w:t>At</w:t>
      </w:r>
      <w:r w:rsidR="001A1F90">
        <w:t xml:space="preserve"> </w:t>
      </w:r>
      <w:r>
        <w:t>the</w:t>
      </w:r>
      <w:r w:rsidR="001A1F90">
        <w:t xml:space="preserve"> </w:t>
      </w:r>
      <w:r>
        <w:t>time</w:t>
      </w:r>
      <w:r w:rsidR="001A1F90">
        <w:t xml:space="preserve"> </w:t>
      </w:r>
      <w:r>
        <w:t>of</w:t>
      </w:r>
      <w:r w:rsidR="001A1F90">
        <w:t xml:space="preserve"> </w:t>
      </w:r>
      <w:r>
        <w:t>writing</w:t>
      </w:r>
      <w:r w:rsidR="001A1F90">
        <w:t xml:space="preserve"> </w:t>
      </w:r>
      <w:r>
        <w:t>these</w:t>
      </w:r>
      <w:r w:rsidR="001A1F90">
        <w:t xml:space="preserve"> </w:t>
      </w:r>
      <w:r>
        <w:t>would</w:t>
      </w:r>
      <w:r w:rsidR="001A1F90">
        <w:t xml:space="preserve"> </w:t>
      </w:r>
      <w:r>
        <w:t>arguably</w:t>
      </w:r>
      <w:r w:rsidR="001A1F90">
        <w:t xml:space="preserve"> </w:t>
      </w:r>
      <w:r>
        <w:t>include</w:t>
      </w:r>
      <w:r w:rsidR="001A1F90">
        <w:t xml:space="preserve"> </w:t>
      </w:r>
      <w:r>
        <w:t>the</w:t>
      </w:r>
      <w:r w:rsidR="001A1F90">
        <w:t xml:space="preserve"> </w:t>
      </w:r>
      <w:r>
        <w:t>SVR-20</w:t>
      </w:r>
      <w:r w:rsidR="001A1F90">
        <w:t xml:space="preserve"> </w:t>
      </w:r>
      <w:r>
        <w:t>and</w:t>
      </w:r>
      <w:r w:rsidR="001A1F90">
        <w:t xml:space="preserve"> </w:t>
      </w:r>
      <w:r w:rsidRPr="00CA3986">
        <w:rPr>
          <w:i/>
          <w:iCs/>
        </w:rPr>
        <w:t>Risk</w:t>
      </w:r>
      <w:r w:rsidR="001A1F90" w:rsidRPr="00CA3986">
        <w:rPr>
          <w:i/>
          <w:iCs/>
        </w:rPr>
        <w:t xml:space="preserve"> </w:t>
      </w:r>
      <w:r w:rsidRPr="00CA3986">
        <w:rPr>
          <w:i/>
          <w:iCs/>
        </w:rPr>
        <w:t>of</w:t>
      </w:r>
      <w:r w:rsidR="001A1F90" w:rsidRPr="00CA3986">
        <w:rPr>
          <w:i/>
          <w:iCs/>
        </w:rPr>
        <w:t xml:space="preserve"> </w:t>
      </w:r>
      <w:r w:rsidR="004B7B00">
        <w:rPr>
          <w:i/>
          <w:iCs/>
        </w:rPr>
        <w:t>s</w:t>
      </w:r>
      <w:r w:rsidRPr="00CA3986">
        <w:rPr>
          <w:i/>
          <w:iCs/>
        </w:rPr>
        <w:t>exual</w:t>
      </w:r>
      <w:r w:rsidR="001A1F90" w:rsidRPr="00CA3986">
        <w:rPr>
          <w:i/>
          <w:iCs/>
        </w:rPr>
        <w:t xml:space="preserve"> </w:t>
      </w:r>
      <w:r w:rsidR="004B7B00">
        <w:rPr>
          <w:i/>
          <w:iCs/>
        </w:rPr>
        <w:t>v</w:t>
      </w:r>
      <w:r w:rsidRPr="00CA3986">
        <w:rPr>
          <w:i/>
          <w:iCs/>
        </w:rPr>
        <w:t>iolence</w:t>
      </w:r>
      <w:r w:rsidR="001A1F90" w:rsidRPr="00CA3986">
        <w:rPr>
          <w:i/>
          <w:iCs/>
        </w:rPr>
        <w:t xml:space="preserve"> </w:t>
      </w:r>
      <w:r w:rsidR="004B7B00">
        <w:rPr>
          <w:i/>
          <w:iCs/>
        </w:rPr>
        <w:t>p</w:t>
      </w:r>
      <w:r w:rsidRPr="00CA3986">
        <w:rPr>
          <w:i/>
          <w:iCs/>
        </w:rPr>
        <w:t>rotocol</w:t>
      </w:r>
      <w:r w:rsidR="001A1F90">
        <w:t xml:space="preserve"> </w:t>
      </w:r>
      <w:r>
        <w:t>(RSVP).</w:t>
      </w:r>
      <w:r w:rsidR="001A1F90">
        <w:t xml:space="preserve"> </w:t>
      </w:r>
      <w:r>
        <w:t>These</w:t>
      </w:r>
      <w:r w:rsidR="001A1F90">
        <w:t xml:space="preserve"> </w:t>
      </w:r>
      <w:r>
        <w:t>risk</w:t>
      </w:r>
      <w:r w:rsidR="001A1F90">
        <w:t xml:space="preserve"> </w:t>
      </w:r>
      <w:r>
        <w:t>assessments</w:t>
      </w:r>
      <w:r w:rsidR="001A1F90">
        <w:t xml:space="preserve"> </w:t>
      </w:r>
      <w:r>
        <w:t>should</w:t>
      </w:r>
      <w:r w:rsidR="001A1F90">
        <w:t xml:space="preserve"> </w:t>
      </w:r>
      <w:r>
        <w:t>form</w:t>
      </w:r>
      <w:r w:rsidR="001A1F90">
        <w:t xml:space="preserve"> </w:t>
      </w:r>
      <w:r>
        <w:t>a</w:t>
      </w:r>
      <w:r w:rsidR="001A1F90">
        <w:t xml:space="preserve"> </w:t>
      </w:r>
      <w:r>
        <w:t>triangulation</w:t>
      </w:r>
      <w:r w:rsidR="001A1F90">
        <w:t xml:space="preserve"> </w:t>
      </w:r>
      <w:r>
        <w:t>with</w:t>
      </w:r>
      <w:r w:rsidR="001A1F90">
        <w:t xml:space="preserve"> </w:t>
      </w:r>
      <w:r>
        <w:t>self-report</w:t>
      </w:r>
      <w:r w:rsidR="001A1F90">
        <w:t xml:space="preserve"> </w:t>
      </w:r>
      <w:r>
        <w:t>and</w:t>
      </w:r>
      <w:r w:rsidR="001A1F90">
        <w:t xml:space="preserve"> </w:t>
      </w:r>
      <w:r>
        <w:t>collateral</w:t>
      </w:r>
      <w:r w:rsidR="001A1F90">
        <w:t xml:space="preserve"> </w:t>
      </w:r>
      <w:r>
        <w:t>information</w:t>
      </w:r>
      <w:r w:rsidR="001A1F90">
        <w:t xml:space="preserve"> </w:t>
      </w:r>
      <w:r>
        <w:t>to</w:t>
      </w:r>
      <w:r w:rsidR="001A1F90">
        <w:t xml:space="preserve"> </w:t>
      </w:r>
      <w:r>
        <w:t>provide</w:t>
      </w:r>
      <w:r w:rsidR="001A1F90">
        <w:t xml:space="preserve"> </w:t>
      </w:r>
      <w:r>
        <w:t>the</w:t>
      </w:r>
      <w:r w:rsidR="001A1F90">
        <w:t xml:space="preserve"> </w:t>
      </w:r>
      <w:r>
        <w:t>most</w:t>
      </w:r>
      <w:r w:rsidR="001A1F90">
        <w:t xml:space="preserve"> </w:t>
      </w:r>
      <w:r>
        <w:t>complete</w:t>
      </w:r>
      <w:r w:rsidR="001A1F90">
        <w:t xml:space="preserve"> </w:t>
      </w:r>
      <w:r>
        <w:t>assessment</w:t>
      </w:r>
      <w:r w:rsidR="001A1F90">
        <w:t xml:space="preserve"> </w:t>
      </w:r>
      <w:r>
        <w:t>of</w:t>
      </w:r>
      <w:r w:rsidR="001A1F90">
        <w:t xml:space="preserve"> </w:t>
      </w:r>
      <w:r>
        <w:t>the</w:t>
      </w:r>
      <w:r w:rsidR="001A1F90">
        <w:t xml:space="preserve"> </w:t>
      </w:r>
      <w:r>
        <w:t>person’s</w:t>
      </w:r>
      <w:r w:rsidR="001A1F90">
        <w:t xml:space="preserve"> </w:t>
      </w:r>
      <w:r>
        <w:t>risk.</w:t>
      </w:r>
    </w:p>
    <w:p w14:paraId="3EF337EE" w14:textId="12CC43A2" w:rsidR="004946F1" w:rsidRDefault="004946F1" w:rsidP="00BD612C">
      <w:pPr>
        <w:pStyle w:val="DHHSbullet1"/>
      </w:pPr>
      <w:r>
        <w:t>There</w:t>
      </w:r>
      <w:r w:rsidR="001A1F90">
        <w:t xml:space="preserve"> </w:t>
      </w:r>
      <w:r>
        <w:t>needs</w:t>
      </w:r>
      <w:r w:rsidR="001A1F90">
        <w:t xml:space="preserve"> </w:t>
      </w:r>
      <w:r>
        <w:t>to</w:t>
      </w:r>
      <w:r w:rsidR="001A1F90">
        <w:t xml:space="preserve"> </w:t>
      </w:r>
      <w:r>
        <w:t>be</w:t>
      </w:r>
      <w:r w:rsidR="001A1F90">
        <w:t xml:space="preserve"> </w:t>
      </w:r>
      <w:r>
        <w:t>further</w:t>
      </w:r>
      <w:r w:rsidR="001A1F90">
        <w:t xml:space="preserve"> </w:t>
      </w:r>
      <w:r>
        <w:t>expert</w:t>
      </w:r>
      <w:r w:rsidR="001A1F90">
        <w:t xml:space="preserve"> </w:t>
      </w:r>
      <w:r>
        <w:t>discussion</w:t>
      </w:r>
      <w:r w:rsidR="001A1F90">
        <w:t xml:space="preserve"> </w:t>
      </w:r>
      <w:r>
        <w:t>and</w:t>
      </w:r>
      <w:r w:rsidR="001A1F90">
        <w:t xml:space="preserve"> </w:t>
      </w:r>
      <w:r>
        <w:t>consultation</w:t>
      </w:r>
      <w:r w:rsidR="001A1F90">
        <w:t xml:space="preserve"> </w:t>
      </w:r>
      <w:r>
        <w:t>about</w:t>
      </w:r>
      <w:r w:rsidR="001A1F90">
        <w:t xml:space="preserve"> </w:t>
      </w:r>
      <w:r>
        <w:t>the</w:t>
      </w:r>
      <w:r w:rsidR="001A1F90">
        <w:t xml:space="preserve"> </w:t>
      </w:r>
      <w:r>
        <w:t>perceived</w:t>
      </w:r>
      <w:r w:rsidR="001A1F90">
        <w:t xml:space="preserve"> </w:t>
      </w:r>
      <w:r>
        <w:t>need</w:t>
      </w:r>
      <w:r w:rsidR="001A1F90">
        <w:t xml:space="preserve"> </w:t>
      </w:r>
      <w:r>
        <w:t>to</w:t>
      </w:r>
      <w:r w:rsidR="001A1F90">
        <w:t xml:space="preserve"> </w:t>
      </w:r>
      <w:r>
        <w:t>prescribe</w:t>
      </w:r>
      <w:r w:rsidR="001A1F90">
        <w:t xml:space="preserve"> </w:t>
      </w:r>
      <w:r>
        <w:t>these</w:t>
      </w:r>
      <w:r w:rsidR="001A1F90">
        <w:t xml:space="preserve"> </w:t>
      </w:r>
      <w:r>
        <w:t>medications</w:t>
      </w:r>
      <w:r w:rsidR="001A1F90">
        <w:t xml:space="preserve"> </w:t>
      </w:r>
      <w:r>
        <w:t>to</w:t>
      </w:r>
      <w:r w:rsidR="001A1F90">
        <w:t xml:space="preserve"> </w:t>
      </w:r>
      <w:r>
        <w:t>people</w:t>
      </w:r>
      <w:r w:rsidR="001A1F90">
        <w:t xml:space="preserve"> </w:t>
      </w:r>
      <w:r>
        <w:t>with</w:t>
      </w:r>
      <w:r w:rsidR="001A1F90">
        <w:t xml:space="preserve"> </w:t>
      </w:r>
      <w:r>
        <w:t>intellectual</w:t>
      </w:r>
      <w:r w:rsidR="001A1F90">
        <w:t xml:space="preserve"> </w:t>
      </w:r>
      <w:r>
        <w:t>disabilities</w:t>
      </w:r>
      <w:r w:rsidR="001A1F90">
        <w:t xml:space="preserve"> </w:t>
      </w:r>
      <w:r>
        <w:t>who</w:t>
      </w:r>
      <w:r w:rsidR="001A1F90">
        <w:t xml:space="preserve"> </w:t>
      </w:r>
      <w:r>
        <w:t>have</w:t>
      </w:r>
      <w:r w:rsidR="001A1F90">
        <w:t xml:space="preserve"> </w:t>
      </w:r>
      <w:r>
        <w:t>not</w:t>
      </w:r>
      <w:r w:rsidR="001A1F90">
        <w:t xml:space="preserve"> </w:t>
      </w:r>
      <w:r>
        <w:t>offended</w:t>
      </w:r>
      <w:r w:rsidR="001A1F90">
        <w:t xml:space="preserve"> </w:t>
      </w:r>
      <w:r>
        <w:t>but</w:t>
      </w:r>
      <w:r w:rsidR="001A1F90">
        <w:t xml:space="preserve"> </w:t>
      </w:r>
      <w:r>
        <w:t>who</w:t>
      </w:r>
      <w:r w:rsidR="001A1F90">
        <w:t xml:space="preserve"> </w:t>
      </w:r>
      <w:r>
        <w:t>may</w:t>
      </w:r>
      <w:r w:rsidR="001A1F90">
        <w:t xml:space="preserve"> </w:t>
      </w:r>
      <w:r>
        <w:t>be</w:t>
      </w:r>
      <w:r w:rsidR="001A1F90">
        <w:t xml:space="preserve"> </w:t>
      </w:r>
      <w:r>
        <w:t>at</w:t>
      </w:r>
      <w:r w:rsidR="001A1F90">
        <w:t xml:space="preserve"> </w:t>
      </w:r>
      <w:r>
        <w:t>risk</w:t>
      </w:r>
      <w:r w:rsidR="001A1F90">
        <w:t xml:space="preserve"> </w:t>
      </w:r>
      <w:r>
        <w:t>of</w:t>
      </w:r>
      <w:r w:rsidR="001A1F90">
        <w:t xml:space="preserve"> </w:t>
      </w:r>
      <w:r>
        <w:t>offending.</w:t>
      </w:r>
      <w:r w:rsidR="001A1F90">
        <w:t xml:space="preserve"> </w:t>
      </w:r>
      <w:r>
        <w:t>This</w:t>
      </w:r>
      <w:r w:rsidR="001A1F90">
        <w:t xml:space="preserve"> </w:t>
      </w:r>
      <w:r>
        <w:t>discussion</w:t>
      </w:r>
      <w:r w:rsidR="001A1F90">
        <w:t xml:space="preserve"> </w:t>
      </w:r>
      <w:r>
        <w:t>will</w:t>
      </w:r>
      <w:r w:rsidR="001A1F90">
        <w:t xml:space="preserve"> </w:t>
      </w:r>
      <w:r>
        <w:t>necessarily</w:t>
      </w:r>
      <w:r w:rsidR="001A1F90">
        <w:t xml:space="preserve"> </w:t>
      </w:r>
      <w:r>
        <w:t>be</w:t>
      </w:r>
      <w:r w:rsidR="001A1F90">
        <w:t xml:space="preserve"> </w:t>
      </w:r>
      <w:r>
        <w:t>guided</w:t>
      </w:r>
      <w:r w:rsidR="001A1F90">
        <w:t xml:space="preserve"> </w:t>
      </w:r>
      <w:r>
        <w:t>by</w:t>
      </w:r>
      <w:r w:rsidR="001A1F90">
        <w:t xml:space="preserve"> </w:t>
      </w:r>
      <w:r>
        <w:t>robust</w:t>
      </w:r>
      <w:r w:rsidR="001A1F90">
        <w:t xml:space="preserve"> </w:t>
      </w:r>
      <w:r>
        <w:t>structured</w:t>
      </w:r>
      <w:r w:rsidR="001A1F90">
        <w:t xml:space="preserve"> </w:t>
      </w:r>
      <w:r>
        <w:t>professional</w:t>
      </w:r>
      <w:r w:rsidR="001A1F90">
        <w:t xml:space="preserve"> </w:t>
      </w:r>
      <w:r>
        <w:t>judgement</w:t>
      </w:r>
      <w:r w:rsidR="001A1F90">
        <w:t xml:space="preserve"> </w:t>
      </w:r>
      <w:r>
        <w:t>assessments</w:t>
      </w:r>
      <w:r w:rsidR="001A1F90">
        <w:t xml:space="preserve"> </w:t>
      </w:r>
      <w:r>
        <w:t>of</w:t>
      </w:r>
      <w:r w:rsidR="001A1F90">
        <w:t xml:space="preserve"> </w:t>
      </w:r>
      <w:r>
        <w:t>risk</w:t>
      </w:r>
      <w:r w:rsidR="001A1F90">
        <w:t xml:space="preserve"> </w:t>
      </w:r>
      <w:r>
        <w:t>but</w:t>
      </w:r>
      <w:r w:rsidR="001A1F90">
        <w:t xml:space="preserve"> </w:t>
      </w:r>
      <w:r>
        <w:t>needs</w:t>
      </w:r>
      <w:r w:rsidR="001A1F90">
        <w:t xml:space="preserve"> </w:t>
      </w:r>
      <w:r>
        <w:t>to</w:t>
      </w:r>
      <w:r w:rsidR="001A1F90">
        <w:t xml:space="preserve"> </w:t>
      </w:r>
      <w:r>
        <w:t>include</w:t>
      </w:r>
      <w:r w:rsidR="001A1F90">
        <w:t xml:space="preserve"> </w:t>
      </w:r>
      <w:r>
        <w:t>a</w:t>
      </w:r>
      <w:r w:rsidR="001A1F90">
        <w:t xml:space="preserve"> </w:t>
      </w:r>
      <w:r>
        <w:t>detailed</w:t>
      </w:r>
      <w:r w:rsidR="001A1F90">
        <w:t xml:space="preserve"> </w:t>
      </w:r>
      <w:r>
        <w:t>consideration</w:t>
      </w:r>
      <w:r w:rsidR="001A1F90">
        <w:t xml:space="preserve"> </w:t>
      </w:r>
      <w:r>
        <w:t>that</w:t>
      </w:r>
      <w:r w:rsidR="001A1F90">
        <w:t xml:space="preserve"> </w:t>
      </w:r>
      <w:r>
        <w:t>clearly</w:t>
      </w:r>
      <w:r w:rsidR="001A1F90">
        <w:t xml:space="preserve"> </w:t>
      </w:r>
      <w:r>
        <w:t>differentiates</w:t>
      </w:r>
      <w:r w:rsidR="001A1F90">
        <w:t xml:space="preserve"> </w:t>
      </w:r>
      <w:r w:rsidR="00C84854">
        <w:t>inappropriate</w:t>
      </w:r>
      <w:r w:rsidR="001A1F90">
        <w:t xml:space="preserve"> </w:t>
      </w:r>
      <w:r>
        <w:t>sexual</w:t>
      </w:r>
      <w:r w:rsidR="001A1F90">
        <w:t xml:space="preserve"> </w:t>
      </w:r>
      <w:r>
        <w:t>behaviour</w:t>
      </w:r>
      <w:r w:rsidR="001A1F90">
        <w:t xml:space="preserve"> </w:t>
      </w:r>
      <w:r>
        <w:t>from</w:t>
      </w:r>
      <w:r w:rsidR="001A1F90">
        <w:t xml:space="preserve"> </w:t>
      </w:r>
      <w:r>
        <w:t>the</w:t>
      </w:r>
      <w:r w:rsidR="001A1F90">
        <w:t xml:space="preserve"> </w:t>
      </w:r>
      <w:r>
        <w:t>expression</w:t>
      </w:r>
      <w:r w:rsidR="001A1F90">
        <w:t xml:space="preserve"> </w:t>
      </w:r>
      <w:r>
        <w:t>of</w:t>
      </w:r>
      <w:r w:rsidR="001A1F90">
        <w:t xml:space="preserve"> </w:t>
      </w:r>
      <w:r>
        <w:t>what</w:t>
      </w:r>
      <w:r w:rsidR="001A1F90">
        <w:t xml:space="preserve"> </w:t>
      </w:r>
      <w:r>
        <w:t>amounts</w:t>
      </w:r>
      <w:r w:rsidR="001A1F90">
        <w:t xml:space="preserve"> </w:t>
      </w:r>
      <w:r>
        <w:t>to</w:t>
      </w:r>
      <w:r w:rsidR="001A1F90">
        <w:t xml:space="preserve"> </w:t>
      </w:r>
      <w:r>
        <w:t>normal</w:t>
      </w:r>
      <w:r w:rsidR="001A1F90">
        <w:t xml:space="preserve"> </w:t>
      </w:r>
      <w:r>
        <w:t>sexuality.</w:t>
      </w:r>
    </w:p>
    <w:p w14:paraId="13B586DF" w14:textId="64BCFB75" w:rsidR="004946F1" w:rsidRDefault="004946F1" w:rsidP="00BD612C">
      <w:pPr>
        <w:pStyle w:val="DHHSbullet1"/>
      </w:pPr>
      <w:r>
        <w:t>Where</w:t>
      </w:r>
      <w:r w:rsidR="001A1F90">
        <w:t xml:space="preserve"> </w:t>
      </w:r>
      <w:r>
        <w:t>anti-libidinal</w:t>
      </w:r>
      <w:r w:rsidR="001A1F90">
        <w:t xml:space="preserve"> </w:t>
      </w:r>
      <w:r>
        <w:t>medications</w:t>
      </w:r>
      <w:r w:rsidR="001A1F90">
        <w:t xml:space="preserve"> </w:t>
      </w:r>
      <w:r>
        <w:t>are</w:t>
      </w:r>
      <w:r w:rsidR="001A1F90">
        <w:t xml:space="preserve"> </w:t>
      </w:r>
      <w:r>
        <w:t>considered</w:t>
      </w:r>
      <w:r w:rsidR="001A1F90">
        <w:t xml:space="preserve"> </w:t>
      </w:r>
      <w:r>
        <w:t>as</w:t>
      </w:r>
      <w:r w:rsidR="001A1F90">
        <w:t xml:space="preserve"> </w:t>
      </w:r>
      <w:r>
        <w:t>a</w:t>
      </w:r>
      <w:r w:rsidR="001A1F90">
        <w:t xml:space="preserve"> </w:t>
      </w:r>
      <w:r>
        <w:t>treatment</w:t>
      </w:r>
      <w:r w:rsidR="001A1F90">
        <w:t xml:space="preserve"> </w:t>
      </w:r>
      <w:r>
        <w:t>option,</w:t>
      </w:r>
      <w:r w:rsidR="001A1F90">
        <w:t xml:space="preserve"> </w:t>
      </w:r>
      <w:r>
        <w:t>this</w:t>
      </w:r>
      <w:r w:rsidR="001A1F90">
        <w:t xml:space="preserve"> </w:t>
      </w:r>
      <w:r>
        <w:t>should</w:t>
      </w:r>
      <w:r w:rsidR="001A1F90">
        <w:t xml:space="preserve"> </w:t>
      </w:r>
      <w:r>
        <w:t>only</w:t>
      </w:r>
      <w:r w:rsidR="001A1F90">
        <w:t xml:space="preserve"> </w:t>
      </w:r>
      <w:r>
        <w:t>be</w:t>
      </w:r>
      <w:r w:rsidR="001A1F90">
        <w:t xml:space="preserve"> </w:t>
      </w:r>
      <w:r>
        <w:t>through</w:t>
      </w:r>
      <w:r w:rsidR="001A1F90">
        <w:t xml:space="preserve"> </w:t>
      </w:r>
      <w:r>
        <w:t>engag</w:t>
      </w:r>
      <w:r w:rsidR="004B7B00">
        <w:t>ing</w:t>
      </w:r>
      <w:r w:rsidR="001A1F90">
        <w:t xml:space="preserve"> </w:t>
      </w:r>
      <w:r>
        <w:t>a</w:t>
      </w:r>
      <w:r w:rsidR="001A1F90">
        <w:t xml:space="preserve"> </w:t>
      </w:r>
      <w:r>
        <w:t>specialist</w:t>
      </w:r>
      <w:r w:rsidR="001A1F90">
        <w:t xml:space="preserve"> </w:t>
      </w:r>
      <w:r>
        <w:t>forensic</w:t>
      </w:r>
      <w:r w:rsidR="001A1F90">
        <w:t xml:space="preserve"> </w:t>
      </w:r>
      <w:r>
        <w:t>psychiatrist</w:t>
      </w:r>
      <w:r w:rsidR="001A1F90">
        <w:t xml:space="preserve"> </w:t>
      </w:r>
      <w:r>
        <w:t>and</w:t>
      </w:r>
      <w:r w:rsidR="001A1F90">
        <w:t xml:space="preserve"> </w:t>
      </w:r>
      <w:r>
        <w:t>after</w:t>
      </w:r>
      <w:r w:rsidR="001A1F90">
        <w:t xml:space="preserve"> </w:t>
      </w:r>
      <w:r>
        <w:t>detailed</w:t>
      </w:r>
      <w:r w:rsidR="001A1F90">
        <w:t xml:space="preserve"> </w:t>
      </w:r>
      <w:r>
        <w:t>expert</w:t>
      </w:r>
      <w:r w:rsidR="001A1F90">
        <w:t xml:space="preserve"> </w:t>
      </w:r>
      <w:r>
        <w:t>assessment.</w:t>
      </w:r>
      <w:r w:rsidR="001A1F90">
        <w:t xml:space="preserve"> </w:t>
      </w:r>
      <w:r>
        <w:t>The</w:t>
      </w:r>
      <w:r w:rsidR="001A1F90">
        <w:t xml:space="preserve"> </w:t>
      </w:r>
      <w:r>
        <w:t>professional</w:t>
      </w:r>
      <w:r w:rsidR="001A1F90">
        <w:t xml:space="preserve"> </w:t>
      </w:r>
      <w:r>
        <w:t>with</w:t>
      </w:r>
      <w:r w:rsidR="001A1F90">
        <w:t xml:space="preserve"> </w:t>
      </w:r>
      <w:r>
        <w:t>this</w:t>
      </w:r>
      <w:r w:rsidR="001A1F90">
        <w:t xml:space="preserve"> </w:t>
      </w:r>
      <w:r>
        <w:t>expertise</w:t>
      </w:r>
      <w:r w:rsidR="001A1F90">
        <w:t xml:space="preserve"> </w:t>
      </w:r>
      <w:r>
        <w:t>should</w:t>
      </w:r>
      <w:r w:rsidR="001A1F90">
        <w:t xml:space="preserve"> </w:t>
      </w:r>
      <w:r>
        <w:t>provide</w:t>
      </w:r>
      <w:r w:rsidR="001A1F90">
        <w:t xml:space="preserve"> </w:t>
      </w:r>
      <w:r>
        <w:t>ongoing</w:t>
      </w:r>
      <w:r w:rsidR="001A1F90">
        <w:t xml:space="preserve"> </w:t>
      </w:r>
      <w:r>
        <w:t>monitoring</w:t>
      </w:r>
      <w:r w:rsidR="001A1F90">
        <w:t xml:space="preserve"> </w:t>
      </w:r>
      <w:r>
        <w:t>of</w:t>
      </w:r>
      <w:r w:rsidR="001A1F90">
        <w:t xml:space="preserve"> </w:t>
      </w:r>
      <w:r>
        <w:t>the</w:t>
      </w:r>
      <w:r w:rsidR="001A1F90">
        <w:t xml:space="preserve"> </w:t>
      </w:r>
      <w:r>
        <w:t>pharmacological</w:t>
      </w:r>
      <w:r w:rsidR="001A1F90">
        <w:t xml:space="preserve"> </w:t>
      </w:r>
      <w:r>
        <w:t>treatment</w:t>
      </w:r>
      <w:r w:rsidR="001A1F90">
        <w:t xml:space="preserve"> </w:t>
      </w:r>
      <w:r>
        <w:t>of</w:t>
      </w:r>
      <w:r w:rsidR="001A1F90">
        <w:t xml:space="preserve"> </w:t>
      </w:r>
      <w:r>
        <w:t>the</w:t>
      </w:r>
      <w:r w:rsidR="001A1F90">
        <w:t xml:space="preserve"> </w:t>
      </w:r>
      <w:r>
        <w:t>person’s</w:t>
      </w:r>
      <w:r w:rsidR="001A1F90">
        <w:t xml:space="preserve"> </w:t>
      </w:r>
      <w:r>
        <w:t>physical</w:t>
      </w:r>
      <w:r w:rsidR="001A1F90">
        <w:t xml:space="preserve"> </w:t>
      </w:r>
      <w:r>
        <w:t>and</w:t>
      </w:r>
      <w:r w:rsidR="001A1F90">
        <w:t xml:space="preserve"> </w:t>
      </w:r>
      <w:r>
        <w:t>mental</w:t>
      </w:r>
      <w:r w:rsidR="001A1F90">
        <w:t xml:space="preserve"> </w:t>
      </w:r>
      <w:r>
        <w:t>health</w:t>
      </w:r>
      <w:r w:rsidR="001A1F90">
        <w:t xml:space="preserve"> </w:t>
      </w:r>
      <w:r>
        <w:t>as</w:t>
      </w:r>
      <w:r w:rsidR="001A1F90">
        <w:t xml:space="preserve"> </w:t>
      </w:r>
      <w:r>
        <w:t>well</w:t>
      </w:r>
      <w:r w:rsidR="001A1F90">
        <w:t xml:space="preserve"> </w:t>
      </w:r>
      <w:r>
        <w:t>as</w:t>
      </w:r>
      <w:r w:rsidR="001A1F90">
        <w:t xml:space="preserve"> </w:t>
      </w:r>
      <w:r>
        <w:t>capturing</w:t>
      </w:r>
      <w:r w:rsidR="001A1F90">
        <w:t xml:space="preserve"> </w:t>
      </w:r>
      <w:r>
        <w:t>the</w:t>
      </w:r>
      <w:r w:rsidR="001A1F90">
        <w:t xml:space="preserve"> </w:t>
      </w:r>
      <w:r>
        <w:t>potentially</w:t>
      </w:r>
      <w:r w:rsidR="001A1F90">
        <w:t xml:space="preserve"> </w:t>
      </w:r>
      <w:r>
        <w:t>more</w:t>
      </w:r>
      <w:r w:rsidR="001A1F90">
        <w:t xml:space="preserve"> </w:t>
      </w:r>
      <w:r>
        <w:t>nuanced</w:t>
      </w:r>
      <w:r w:rsidR="001A1F90">
        <w:t xml:space="preserve"> </w:t>
      </w:r>
      <w:r>
        <w:t>changes</w:t>
      </w:r>
      <w:r w:rsidR="001A1F90">
        <w:t xml:space="preserve"> </w:t>
      </w:r>
      <w:r>
        <w:t>in</w:t>
      </w:r>
      <w:r w:rsidR="001A1F90">
        <w:t xml:space="preserve"> </w:t>
      </w:r>
      <w:r>
        <w:t>attitudinal</w:t>
      </w:r>
      <w:r w:rsidR="001A1F90">
        <w:t xml:space="preserve"> </w:t>
      </w:r>
      <w:r>
        <w:t>and</w:t>
      </w:r>
      <w:r w:rsidR="001A1F90">
        <w:t xml:space="preserve"> </w:t>
      </w:r>
      <w:r>
        <w:t>behavioural</w:t>
      </w:r>
      <w:r w:rsidR="001A1F90">
        <w:t xml:space="preserve"> </w:t>
      </w:r>
      <w:r>
        <w:t>change.</w:t>
      </w:r>
      <w:r w:rsidR="001A1F90">
        <w:t xml:space="preserve"> </w:t>
      </w:r>
      <w:r>
        <w:t>All</w:t>
      </w:r>
      <w:r w:rsidR="001A1F90">
        <w:t xml:space="preserve"> </w:t>
      </w:r>
      <w:r>
        <w:t>of</w:t>
      </w:r>
      <w:r w:rsidR="001A1F90">
        <w:t xml:space="preserve"> </w:t>
      </w:r>
      <w:r>
        <w:t>these</w:t>
      </w:r>
      <w:r w:rsidR="001A1F90">
        <w:t xml:space="preserve"> </w:t>
      </w:r>
      <w:r>
        <w:t>provide</w:t>
      </w:r>
      <w:r w:rsidR="001A1F90">
        <w:t xml:space="preserve"> </w:t>
      </w:r>
      <w:r>
        <w:t>some</w:t>
      </w:r>
      <w:r w:rsidR="001A1F90">
        <w:t xml:space="preserve"> </w:t>
      </w:r>
      <w:r>
        <w:t>indication</w:t>
      </w:r>
      <w:r w:rsidR="001A1F90">
        <w:t xml:space="preserve"> </w:t>
      </w:r>
      <w:r>
        <w:t>of</w:t>
      </w:r>
      <w:r w:rsidR="001A1F90">
        <w:t xml:space="preserve"> </w:t>
      </w:r>
      <w:r>
        <w:t>the</w:t>
      </w:r>
      <w:r w:rsidR="001A1F90">
        <w:t xml:space="preserve"> </w:t>
      </w:r>
      <w:r>
        <w:t>impact</w:t>
      </w:r>
      <w:r w:rsidR="001A1F90">
        <w:t xml:space="preserve"> </w:t>
      </w:r>
      <w:r>
        <w:t>of</w:t>
      </w:r>
      <w:r w:rsidR="001A1F90">
        <w:t xml:space="preserve"> </w:t>
      </w:r>
      <w:r>
        <w:t>the</w:t>
      </w:r>
      <w:r w:rsidR="001A1F90">
        <w:t xml:space="preserve"> </w:t>
      </w:r>
      <w:r>
        <w:t>treatment</w:t>
      </w:r>
      <w:r w:rsidR="001A1F90">
        <w:t xml:space="preserve"> </w:t>
      </w:r>
      <w:r>
        <w:t>on</w:t>
      </w:r>
      <w:r w:rsidR="001A1F90">
        <w:t xml:space="preserve"> </w:t>
      </w:r>
      <w:r>
        <w:t>the</w:t>
      </w:r>
      <w:r w:rsidR="001A1F90">
        <w:t xml:space="preserve"> </w:t>
      </w:r>
      <w:r>
        <w:t>person</w:t>
      </w:r>
      <w:r w:rsidR="001A1F90">
        <w:t xml:space="preserve"> </w:t>
      </w:r>
      <w:r>
        <w:t>and</w:t>
      </w:r>
      <w:r w:rsidR="001A1F90">
        <w:t xml:space="preserve"> </w:t>
      </w:r>
      <w:r>
        <w:t>of</w:t>
      </w:r>
      <w:r w:rsidR="001A1F90">
        <w:t xml:space="preserve"> </w:t>
      </w:r>
      <w:r>
        <w:t>their</w:t>
      </w:r>
      <w:r w:rsidR="001A1F90">
        <w:t xml:space="preserve"> </w:t>
      </w:r>
      <w:r>
        <w:t>risk.</w:t>
      </w:r>
    </w:p>
    <w:p w14:paraId="3603D195" w14:textId="20269CFF" w:rsidR="004946F1" w:rsidRDefault="004946F1" w:rsidP="00BD612C">
      <w:pPr>
        <w:pStyle w:val="DHHSbullet1"/>
      </w:pPr>
      <w:r>
        <w:t>There</w:t>
      </w:r>
      <w:r w:rsidR="001A1F90">
        <w:t xml:space="preserve"> </w:t>
      </w:r>
      <w:r>
        <w:t>needs</w:t>
      </w:r>
      <w:r w:rsidR="001A1F90">
        <w:t xml:space="preserve"> </w:t>
      </w:r>
      <w:r>
        <w:t>to</w:t>
      </w:r>
      <w:r w:rsidR="001A1F90">
        <w:t xml:space="preserve"> </w:t>
      </w:r>
      <w:r>
        <w:t>be</w:t>
      </w:r>
      <w:r w:rsidR="001A1F90">
        <w:t xml:space="preserve"> </w:t>
      </w:r>
      <w:r>
        <w:t>agreement</w:t>
      </w:r>
      <w:r w:rsidR="001A1F90">
        <w:t xml:space="preserve"> </w:t>
      </w:r>
      <w:r>
        <w:t>on</w:t>
      </w:r>
      <w:r w:rsidR="001A1F90">
        <w:t xml:space="preserve"> </w:t>
      </w:r>
      <w:r>
        <w:t>the</w:t>
      </w:r>
      <w:r w:rsidR="001A1F90">
        <w:t xml:space="preserve"> </w:t>
      </w:r>
      <w:r>
        <w:t>need</w:t>
      </w:r>
      <w:r w:rsidR="001A1F90">
        <w:t xml:space="preserve"> </w:t>
      </w:r>
      <w:r>
        <w:t>for</w:t>
      </w:r>
      <w:r w:rsidR="001A1F90">
        <w:t xml:space="preserve"> </w:t>
      </w:r>
      <w:r>
        <w:t>regular</w:t>
      </w:r>
      <w:r w:rsidR="001A1F90">
        <w:t xml:space="preserve"> </w:t>
      </w:r>
      <w:r>
        <w:t>follow-up</w:t>
      </w:r>
      <w:r w:rsidR="001A1F90">
        <w:t xml:space="preserve"> </w:t>
      </w:r>
      <w:r>
        <w:t>and</w:t>
      </w:r>
      <w:r w:rsidR="001A1F90">
        <w:t xml:space="preserve"> </w:t>
      </w:r>
      <w:r>
        <w:t>expert</w:t>
      </w:r>
      <w:r w:rsidR="001A1F90">
        <w:t xml:space="preserve"> </w:t>
      </w:r>
      <w:r>
        <w:t>clinical</w:t>
      </w:r>
      <w:r w:rsidR="001A1F90">
        <w:t xml:space="preserve"> </w:t>
      </w:r>
      <w:r>
        <w:t>review</w:t>
      </w:r>
      <w:r w:rsidR="001A1F90">
        <w:t xml:space="preserve"> </w:t>
      </w:r>
      <w:r>
        <w:t>of</w:t>
      </w:r>
      <w:r w:rsidR="001A1F90">
        <w:t xml:space="preserve"> </w:t>
      </w:r>
      <w:r>
        <w:t>the</w:t>
      </w:r>
      <w:r w:rsidR="001A1F90">
        <w:t xml:space="preserve"> </w:t>
      </w:r>
      <w:r>
        <w:t>treatment</w:t>
      </w:r>
      <w:r w:rsidR="001A1F90">
        <w:t xml:space="preserve"> </w:t>
      </w:r>
      <w:r>
        <w:t>response</w:t>
      </w:r>
      <w:r w:rsidR="001A1F90">
        <w:t xml:space="preserve"> </w:t>
      </w:r>
      <w:r>
        <w:t>and</w:t>
      </w:r>
      <w:r w:rsidR="001A1F90">
        <w:t xml:space="preserve"> </w:t>
      </w:r>
      <w:r>
        <w:t>side</w:t>
      </w:r>
      <w:r w:rsidR="001A1F90">
        <w:t xml:space="preserve"> </w:t>
      </w:r>
      <w:r>
        <w:t>effects</w:t>
      </w:r>
      <w:r w:rsidR="001A1F90">
        <w:t xml:space="preserve"> </w:t>
      </w:r>
      <w:r>
        <w:t>with</w:t>
      </w:r>
      <w:r w:rsidR="001A1F90">
        <w:t xml:space="preserve"> </w:t>
      </w:r>
      <w:r>
        <w:t>an</w:t>
      </w:r>
      <w:r w:rsidR="001A1F90">
        <w:t xml:space="preserve"> </w:t>
      </w:r>
      <w:r>
        <w:t>overarching</w:t>
      </w:r>
      <w:r w:rsidR="001A1F90">
        <w:t xml:space="preserve"> </w:t>
      </w:r>
      <w:r>
        <w:t>decision</w:t>
      </w:r>
      <w:r w:rsidR="001A1F90">
        <w:t xml:space="preserve"> </w:t>
      </w:r>
      <w:r>
        <w:t>made</w:t>
      </w:r>
      <w:r w:rsidR="001A1F90">
        <w:t xml:space="preserve"> </w:t>
      </w:r>
      <w:r>
        <w:t>with</w:t>
      </w:r>
      <w:r w:rsidR="001A1F90">
        <w:t xml:space="preserve"> </w:t>
      </w:r>
      <w:r>
        <w:t>respect</w:t>
      </w:r>
      <w:r w:rsidR="001A1F90">
        <w:t xml:space="preserve"> </w:t>
      </w:r>
      <w:r>
        <w:t>to</w:t>
      </w:r>
      <w:r w:rsidR="001A1F90">
        <w:t xml:space="preserve"> </w:t>
      </w:r>
      <w:r>
        <w:t>whether</w:t>
      </w:r>
      <w:r w:rsidR="001A1F90">
        <w:t xml:space="preserve"> </w:t>
      </w:r>
      <w:r>
        <w:t>benefits</w:t>
      </w:r>
      <w:r w:rsidR="001A1F90">
        <w:t xml:space="preserve"> </w:t>
      </w:r>
      <w:r>
        <w:t>of</w:t>
      </w:r>
      <w:r w:rsidR="001A1F90">
        <w:t xml:space="preserve"> </w:t>
      </w:r>
      <w:r>
        <w:t>continuing</w:t>
      </w:r>
      <w:r w:rsidR="001A1F90">
        <w:t xml:space="preserve"> </w:t>
      </w:r>
      <w:r>
        <w:t>with</w:t>
      </w:r>
      <w:r w:rsidR="001A1F90">
        <w:t xml:space="preserve"> </w:t>
      </w:r>
      <w:r>
        <w:t>the</w:t>
      </w:r>
      <w:r w:rsidR="001A1F90">
        <w:t xml:space="preserve"> </w:t>
      </w:r>
      <w:r>
        <w:t>anti-libidinal</w:t>
      </w:r>
      <w:r w:rsidR="001A1F90">
        <w:t xml:space="preserve"> </w:t>
      </w:r>
      <w:r>
        <w:t>medication</w:t>
      </w:r>
      <w:r w:rsidR="001A1F90">
        <w:t xml:space="preserve"> </w:t>
      </w:r>
      <w:r>
        <w:t>regime</w:t>
      </w:r>
      <w:r w:rsidR="004B7B00">
        <w:t>n</w:t>
      </w:r>
      <w:r w:rsidR="001A1F90">
        <w:t xml:space="preserve"> </w:t>
      </w:r>
      <w:r>
        <w:t>and</w:t>
      </w:r>
      <w:r w:rsidR="001A1F90">
        <w:t xml:space="preserve"> </w:t>
      </w:r>
      <w:r>
        <w:t>dose</w:t>
      </w:r>
      <w:r w:rsidR="001A1F90">
        <w:t xml:space="preserve"> </w:t>
      </w:r>
      <w:r>
        <w:t>outweigh</w:t>
      </w:r>
      <w:r w:rsidR="001A1F90">
        <w:t xml:space="preserve"> </w:t>
      </w:r>
      <w:r>
        <w:t>the</w:t>
      </w:r>
      <w:r w:rsidR="001A1F90">
        <w:t xml:space="preserve"> </w:t>
      </w:r>
      <w:r>
        <w:t>risks</w:t>
      </w:r>
      <w:r w:rsidR="001A1F90">
        <w:t xml:space="preserve"> </w:t>
      </w:r>
      <w:r>
        <w:t>associated</w:t>
      </w:r>
      <w:r w:rsidR="001A1F90">
        <w:t xml:space="preserve"> </w:t>
      </w:r>
      <w:r>
        <w:t>with</w:t>
      </w:r>
      <w:r w:rsidR="001A1F90">
        <w:t xml:space="preserve"> </w:t>
      </w:r>
      <w:r>
        <w:t>their</w:t>
      </w:r>
      <w:r w:rsidR="001A1F90">
        <w:t xml:space="preserve"> </w:t>
      </w:r>
      <w:r>
        <w:t>continued</w:t>
      </w:r>
      <w:r w:rsidR="001A1F90">
        <w:t xml:space="preserve"> </w:t>
      </w:r>
      <w:r>
        <w:t>use.</w:t>
      </w:r>
    </w:p>
    <w:p w14:paraId="4B8C204A" w14:textId="54ADEA60" w:rsidR="004946F1" w:rsidRDefault="004946F1" w:rsidP="00BD612C">
      <w:pPr>
        <w:pStyle w:val="DHHSbullet1"/>
      </w:pPr>
      <w:r>
        <w:t>The</w:t>
      </w:r>
      <w:r w:rsidR="001A1F90">
        <w:t xml:space="preserve"> </w:t>
      </w:r>
      <w:r>
        <w:t>use</w:t>
      </w:r>
      <w:r w:rsidR="001A1F90">
        <w:t xml:space="preserve"> </w:t>
      </w:r>
      <w:r>
        <w:t>of</w:t>
      </w:r>
      <w:r w:rsidR="001A1F90">
        <w:t xml:space="preserve"> </w:t>
      </w:r>
      <w:r>
        <w:t>anti-libidinal</w:t>
      </w:r>
      <w:r w:rsidR="001A1F90">
        <w:t xml:space="preserve"> </w:t>
      </w:r>
      <w:r>
        <w:t>treatments</w:t>
      </w:r>
      <w:r w:rsidR="001A1F90">
        <w:t xml:space="preserve"> </w:t>
      </w:r>
      <w:r>
        <w:t>should</w:t>
      </w:r>
      <w:r w:rsidR="001A1F90">
        <w:t xml:space="preserve"> </w:t>
      </w:r>
      <w:r>
        <w:t>only</w:t>
      </w:r>
      <w:r w:rsidR="001A1F90">
        <w:t xml:space="preserve"> </w:t>
      </w:r>
      <w:r>
        <w:t>be</w:t>
      </w:r>
      <w:r w:rsidR="001A1F90">
        <w:t xml:space="preserve"> </w:t>
      </w:r>
      <w:r>
        <w:t>considered</w:t>
      </w:r>
      <w:r w:rsidR="001A1F90">
        <w:t xml:space="preserve"> </w:t>
      </w:r>
      <w:r>
        <w:t>as</w:t>
      </w:r>
      <w:r w:rsidR="001A1F90">
        <w:t xml:space="preserve"> </w:t>
      </w:r>
      <w:r>
        <w:t>part</w:t>
      </w:r>
      <w:r w:rsidR="001A1F90">
        <w:t xml:space="preserve"> </w:t>
      </w:r>
      <w:r>
        <w:t>of</w:t>
      </w:r>
      <w:r w:rsidR="001A1F90">
        <w:t xml:space="preserve"> </w:t>
      </w:r>
      <w:r>
        <w:t>a</w:t>
      </w:r>
      <w:r w:rsidR="001A1F90">
        <w:t xml:space="preserve"> </w:t>
      </w:r>
      <w:r>
        <w:t>multifaceted</w:t>
      </w:r>
      <w:r w:rsidR="001A1F90">
        <w:t xml:space="preserve"> </w:t>
      </w:r>
      <w:r>
        <w:t>treatment</w:t>
      </w:r>
      <w:r w:rsidR="001A1F90">
        <w:t xml:space="preserve"> </w:t>
      </w:r>
      <w:r>
        <w:t>and</w:t>
      </w:r>
      <w:r w:rsidR="001A1F90">
        <w:t xml:space="preserve"> </w:t>
      </w:r>
      <w:r>
        <w:t>support</w:t>
      </w:r>
      <w:r w:rsidR="001A1F90">
        <w:t xml:space="preserve"> </w:t>
      </w:r>
      <w:r>
        <w:t>plan</w:t>
      </w:r>
      <w:r w:rsidR="001A1F90">
        <w:t xml:space="preserve"> </w:t>
      </w:r>
      <w:r>
        <w:t>that</w:t>
      </w:r>
      <w:r w:rsidR="001A1F90">
        <w:t xml:space="preserve"> </w:t>
      </w:r>
      <w:r>
        <w:t>comprise</w:t>
      </w:r>
      <w:r w:rsidR="004B7B00">
        <w:t>s</w:t>
      </w:r>
      <w:r w:rsidR="001A1F90">
        <w:t xml:space="preserve"> </w:t>
      </w:r>
      <w:r>
        <w:t>psychological,</w:t>
      </w:r>
      <w:r w:rsidR="001A1F90">
        <w:t xml:space="preserve"> </w:t>
      </w:r>
      <w:r>
        <w:t>environmental</w:t>
      </w:r>
      <w:r w:rsidR="001A1F90">
        <w:t xml:space="preserve"> </w:t>
      </w:r>
      <w:r>
        <w:t>and</w:t>
      </w:r>
      <w:r w:rsidR="001A1F90">
        <w:t xml:space="preserve"> </w:t>
      </w:r>
      <w:r>
        <w:t>biological</w:t>
      </w:r>
      <w:r w:rsidR="001A1F90">
        <w:t xml:space="preserve"> </w:t>
      </w:r>
      <w:r>
        <w:t>components.</w:t>
      </w:r>
    </w:p>
    <w:p w14:paraId="59BF8495" w14:textId="5CCEB7DE" w:rsidR="004946F1" w:rsidRDefault="004946F1" w:rsidP="00BD612C">
      <w:pPr>
        <w:pStyle w:val="DHHSbullet1"/>
      </w:pPr>
      <w:r>
        <w:t>Informed</w:t>
      </w:r>
      <w:r w:rsidR="001A1F90">
        <w:t xml:space="preserve"> </w:t>
      </w:r>
      <w:r>
        <w:t>consent</w:t>
      </w:r>
      <w:r w:rsidR="001A1F90">
        <w:t xml:space="preserve"> </w:t>
      </w:r>
      <w:r>
        <w:t>is</w:t>
      </w:r>
      <w:r w:rsidR="001A1F90">
        <w:t xml:space="preserve"> </w:t>
      </w:r>
      <w:r>
        <w:t>paramount</w:t>
      </w:r>
      <w:r w:rsidR="001A1F90">
        <w:t xml:space="preserve"> </w:t>
      </w:r>
      <w:r>
        <w:t>and</w:t>
      </w:r>
      <w:r w:rsidR="001A1F90">
        <w:t xml:space="preserve"> </w:t>
      </w:r>
      <w:r>
        <w:t>should</w:t>
      </w:r>
      <w:r w:rsidR="001A1F90">
        <w:t xml:space="preserve"> </w:t>
      </w:r>
      <w:r>
        <w:t>be</w:t>
      </w:r>
      <w:r w:rsidR="001A1F90">
        <w:t xml:space="preserve"> </w:t>
      </w:r>
      <w:r>
        <w:t>reaffirmed</w:t>
      </w:r>
      <w:r w:rsidR="001A1F90">
        <w:t xml:space="preserve"> </w:t>
      </w:r>
      <w:r>
        <w:t>at</w:t>
      </w:r>
      <w:r w:rsidR="001A1F90">
        <w:t xml:space="preserve"> </w:t>
      </w:r>
      <w:r>
        <w:t>every</w:t>
      </w:r>
      <w:r w:rsidR="001A1F90">
        <w:t xml:space="preserve"> </w:t>
      </w:r>
      <w:r>
        <w:t>review</w:t>
      </w:r>
      <w:r w:rsidR="001A1F90">
        <w:t xml:space="preserve"> </w:t>
      </w:r>
      <w:r>
        <w:t>meeting.</w:t>
      </w:r>
      <w:r w:rsidR="001A1F90">
        <w:t xml:space="preserve"> </w:t>
      </w:r>
      <w:r>
        <w:t>An</w:t>
      </w:r>
      <w:r w:rsidR="001A1F90">
        <w:t xml:space="preserve"> </w:t>
      </w:r>
      <w:r>
        <w:t>oral</w:t>
      </w:r>
      <w:r w:rsidR="001A1F90">
        <w:t xml:space="preserve"> </w:t>
      </w:r>
      <w:r>
        <w:t>checklist</w:t>
      </w:r>
      <w:r w:rsidR="001A1F90">
        <w:t xml:space="preserve"> </w:t>
      </w:r>
      <w:r>
        <w:t>approach</w:t>
      </w:r>
      <w:r w:rsidR="001A1F90">
        <w:t xml:space="preserve"> </w:t>
      </w:r>
      <w:r>
        <w:t>is</w:t>
      </w:r>
      <w:r w:rsidR="001A1F90">
        <w:t xml:space="preserve"> </w:t>
      </w:r>
      <w:r>
        <w:t>favoured</w:t>
      </w:r>
      <w:r w:rsidR="001A1F90">
        <w:t xml:space="preserve"> </w:t>
      </w:r>
      <w:r>
        <w:t>and</w:t>
      </w:r>
      <w:r w:rsidR="001A1F90">
        <w:t xml:space="preserve"> </w:t>
      </w:r>
      <w:r>
        <w:t>can</w:t>
      </w:r>
      <w:r w:rsidR="001A1F90">
        <w:t xml:space="preserve"> </w:t>
      </w:r>
      <w:r>
        <w:t>be</w:t>
      </w:r>
      <w:r w:rsidR="001A1F90">
        <w:t xml:space="preserve"> </w:t>
      </w:r>
      <w:r>
        <w:t>readily</w:t>
      </w:r>
      <w:r w:rsidR="001A1F90">
        <w:t xml:space="preserve"> </w:t>
      </w:r>
      <w:r>
        <w:t>adapted</w:t>
      </w:r>
      <w:r w:rsidR="001A1F90">
        <w:t xml:space="preserve"> </w:t>
      </w:r>
      <w:r>
        <w:t>to</w:t>
      </w:r>
      <w:r w:rsidR="001A1F90">
        <w:t xml:space="preserve"> </w:t>
      </w:r>
      <w:r>
        <w:t>the</w:t>
      </w:r>
      <w:r w:rsidR="001A1F90">
        <w:t xml:space="preserve"> </w:t>
      </w:r>
      <w:r>
        <w:t>specifics</w:t>
      </w:r>
      <w:r w:rsidR="001A1F90">
        <w:t xml:space="preserve"> </w:t>
      </w:r>
      <w:r>
        <w:t>of</w:t>
      </w:r>
      <w:r w:rsidR="001A1F90">
        <w:t xml:space="preserve"> </w:t>
      </w:r>
      <w:r>
        <w:t>the</w:t>
      </w:r>
      <w:r w:rsidR="001A1F90">
        <w:t xml:space="preserve"> </w:t>
      </w:r>
      <w:r>
        <w:t>multifaceted</w:t>
      </w:r>
      <w:r w:rsidR="001A1F90">
        <w:t xml:space="preserve"> </w:t>
      </w:r>
      <w:r>
        <w:t>treatment</w:t>
      </w:r>
      <w:r w:rsidR="001A1F90">
        <w:t xml:space="preserve"> </w:t>
      </w:r>
      <w:r>
        <w:t>plan</w:t>
      </w:r>
      <w:r w:rsidR="001A1F90">
        <w:t xml:space="preserve"> </w:t>
      </w:r>
      <w:r>
        <w:t>being</w:t>
      </w:r>
      <w:r w:rsidR="001A1F90">
        <w:t xml:space="preserve"> </w:t>
      </w:r>
      <w:r>
        <w:t>put</w:t>
      </w:r>
      <w:r w:rsidR="001A1F90">
        <w:t xml:space="preserve"> </w:t>
      </w:r>
      <w:r>
        <w:t>in</w:t>
      </w:r>
      <w:r w:rsidR="001A1F90">
        <w:t xml:space="preserve"> </w:t>
      </w:r>
      <w:r>
        <w:t>place.</w:t>
      </w:r>
      <w:r w:rsidR="001A1F90">
        <w:t xml:space="preserve"> </w:t>
      </w:r>
      <w:r>
        <w:t>Case</w:t>
      </w:r>
      <w:r w:rsidR="001A1F90">
        <w:t xml:space="preserve"> </w:t>
      </w:r>
      <w:r>
        <w:t>examples</w:t>
      </w:r>
      <w:r w:rsidR="001A1F90">
        <w:t xml:space="preserve"> </w:t>
      </w:r>
      <w:r>
        <w:t>provided</w:t>
      </w:r>
      <w:r w:rsidR="001A1F90">
        <w:t xml:space="preserve"> </w:t>
      </w:r>
      <w:r>
        <w:t>suggest</w:t>
      </w:r>
      <w:r w:rsidR="001A1F90">
        <w:t xml:space="preserve"> </w:t>
      </w:r>
      <w:r>
        <w:t>that</w:t>
      </w:r>
      <w:r w:rsidR="001A1F90">
        <w:t xml:space="preserve"> </w:t>
      </w:r>
      <w:r>
        <w:t>the</w:t>
      </w:r>
      <w:r w:rsidR="001A1F90">
        <w:t xml:space="preserve"> </w:t>
      </w:r>
      <w:r>
        <w:t>consenting</w:t>
      </w:r>
      <w:r w:rsidR="001A1F90">
        <w:t xml:space="preserve"> </w:t>
      </w:r>
      <w:r>
        <w:t>process,</w:t>
      </w:r>
      <w:r w:rsidR="001A1F90">
        <w:t xml:space="preserve"> </w:t>
      </w:r>
      <w:r>
        <w:t>and</w:t>
      </w:r>
      <w:r w:rsidR="001A1F90">
        <w:t xml:space="preserve"> </w:t>
      </w:r>
      <w:r>
        <w:t>judgements</w:t>
      </w:r>
      <w:r w:rsidR="001A1F90">
        <w:t xml:space="preserve"> </w:t>
      </w:r>
      <w:r>
        <w:t>of</w:t>
      </w:r>
      <w:r w:rsidR="001A1F90">
        <w:t xml:space="preserve"> </w:t>
      </w:r>
      <w:r>
        <w:t>capacity,</w:t>
      </w:r>
      <w:r w:rsidR="001A1F90">
        <w:t xml:space="preserve"> </w:t>
      </w:r>
      <w:r>
        <w:t>may</w:t>
      </w:r>
      <w:r w:rsidR="001A1F90">
        <w:t xml:space="preserve"> </w:t>
      </w:r>
      <w:r>
        <w:t>necessarily</w:t>
      </w:r>
      <w:r w:rsidR="001A1F90">
        <w:t xml:space="preserve"> </w:t>
      </w:r>
      <w:r>
        <w:t>take</w:t>
      </w:r>
      <w:r w:rsidR="001A1F90">
        <w:t xml:space="preserve"> </w:t>
      </w:r>
      <w:r>
        <w:t>place</w:t>
      </w:r>
      <w:r w:rsidR="001A1F90">
        <w:t xml:space="preserve"> </w:t>
      </w:r>
      <w:r>
        <w:t>over</w:t>
      </w:r>
      <w:r w:rsidR="001A1F90">
        <w:t xml:space="preserve"> </w:t>
      </w:r>
      <w:r>
        <w:t>a</w:t>
      </w:r>
      <w:r w:rsidR="001A1F90">
        <w:t xml:space="preserve"> </w:t>
      </w:r>
      <w:r>
        <w:t>number</w:t>
      </w:r>
      <w:r w:rsidR="001A1F90">
        <w:t xml:space="preserve"> </w:t>
      </w:r>
      <w:r>
        <w:t>of</w:t>
      </w:r>
      <w:r w:rsidR="001A1F90">
        <w:t xml:space="preserve"> </w:t>
      </w:r>
      <w:r>
        <w:t>meetings</w:t>
      </w:r>
      <w:r w:rsidR="001A1F90">
        <w:t xml:space="preserve"> </w:t>
      </w:r>
      <w:r>
        <w:t>over</w:t>
      </w:r>
      <w:r w:rsidR="001A1F90">
        <w:t xml:space="preserve"> </w:t>
      </w:r>
      <w:r>
        <w:t>time.</w:t>
      </w:r>
    </w:p>
    <w:p w14:paraId="234E2FD5" w14:textId="1D09DAB1" w:rsidR="004946F1" w:rsidRDefault="004946F1" w:rsidP="00BD612C">
      <w:pPr>
        <w:pStyle w:val="DHHSbullet1"/>
      </w:pPr>
      <w:r>
        <w:t>Medical</w:t>
      </w:r>
      <w:r w:rsidR="001A1F90">
        <w:t xml:space="preserve"> </w:t>
      </w:r>
      <w:r>
        <w:t>monitoring</w:t>
      </w:r>
      <w:r w:rsidR="001A1F90">
        <w:t xml:space="preserve"> </w:t>
      </w:r>
      <w:r>
        <w:t>(testosterone,</w:t>
      </w:r>
      <w:r w:rsidR="001A1F90">
        <w:t xml:space="preserve"> </w:t>
      </w:r>
      <w:r>
        <w:t>body</w:t>
      </w:r>
      <w:r w:rsidR="001A1F90">
        <w:t xml:space="preserve"> </w:t>
      </w:r>
      <w:r>
        <w:t>mass</w:t>
      </w:r>
      <w:r w:rsidR="001A1F90">
        <w:t xml:space="preserve"> </w:t>
      </w:r>
      <w:r>
        <w:t>index,</w:t>
      </w:r>
      <w:r w:rsidR="001A1F90">
        <w:t xml:space="preserve"> </w:t>
      </w:r>
      <w:r>
        <w:t>blood</w:t>
      </w:r>
      <w:r w:rsidR="001A1F90">
        <w:t xml:space="preserve"> </w:t>
      </w:r>
      <w:r>
        <w:t>pressure,</w:t>
      </w:r>
      <w:r w:rsidR="001A1F90">
        <w:t xml:space="preserve"> </w:t>
      </w:r>
      <w:r w:rsidR="00F107C2" w:rsidRPr="00CA3986">
        <w:t>luteinising hormone</w:t>
      </w:r>
      <w:r>
        <w:t>,</w:t>
      </w:r>
      <w:r w:rsidR="001A1F90">
        <w:t xml:space="preserve"> </w:t>
      </w:r>
      <w:r w:rsidR="00F107C2" w:rsidRPr="00CA3986">
        <w:t>full blood exam</w:t>
      </w:r>
      <w:r>
        <w:t>,</w:t>
      </w:r>
      <w:r w:rsidR="001A1F90">
        <w:t xml:space="preserve"> </w:t>
      </w:r>
      <w:r>
        <w:t>fasting</w:t>
      </w:r>
      <w:r w:rsidR="001A1F90">
        <w:t xml:space="preserve"> </w:t>
      </w:r>
      <w:r>
        <w:t>glucose</w:t>
      </w:r>
      <w:r w:rsidR="001A1F90">
        <w:t xml:space="preserve"> </w:t>
      </w:r>
      <w:r>
        <w:t>and</w:t>
      </w:r>
      <w:r w:rsidR="001A1F90">
        <w:t xml:space="preserve"> </w:t>
      </w:r>
      <w:r>
        <w:t>breast</w:t>
      </w:r>
      <w:r w:rsidR="001A1F90">
        <w:t xml:space="preserve"> </w:t>
      </w:r>
      <w:r>
        <w:t>examination)</w:t>
      </w:r>
      <w:r w:rsidR="001A1F90">
        <w:t xml:space="preserve"> </w:t>
      </w:r>
      <w:r>
        <w:t>should</w:t>
      </w:r>
      <w:r w:rsidR="001A1F90">
        <w:t xml:space="preserve"> </w:t>
      </w:r>
      <w:r>
        <w:t>be</w:t>
      </w:r>
      <w:r w:rsidR="001A1F90">
        <w:t xml:space="preserve"> </w:t>
      </w:r>
      <w:r>
        <w:t>at</w:t>
      </w:r>
      <w:r w:rsidR="001A1F90">
        <w:t xml:space="preserve"> </w:t>
      </w:r>
      <w:r>
        <w:t>least</w:t>
      </w:r>
      <w:r w:rsidR="001A1F90">
        <w:t xml:space="preserve"> </w:t>
      </w:r>
      <w:r>
        <w:t>every</w:t>
      </w:r>
      <w:r w:rsidR="001A1F90">
        <w:t xml:space="preserve"> </w:t>
      </w:r>
      <w:r w:rsidR="00F107C2">
        <w:t>six</w:t>
      </w:r>
      <w:r w:rsidR="001A1F90">
        <w:t xml:space="preserve"> </w:t>
      </w:r>
      <w:r>
        <w:t>months</w:t>
      </w:r>
      <w:r w:rsidR="00F107C2">
        <w:t>,</w:t>
      </w:r>
      <w:r w:rsidR="001A1F90">
        <w:t xml:space="preserve"> </w:t>
      </w:r>
      <w:r>
        <w:t>with</w:t>
      </w:r>
      <w:r w:rsidR="001A1F90">
        <w:t xml:space="preserve"> </w:t>
      </w:r>
      <w:r>
        <w:t>at</w:t>
      </w:r>
      <w:r w:rsidR="001A1F90">
        <w:t xml:space="preserve"> </w:t>
      </w:r>
      <w:r>
        <w:t>least</w:t>
      </w:r>
      <w:r w:rsidR="001A1F90">
        <w:t xml:space="preserve"> </w:t>
      </w:r>
      <w:r>
        <w:t>biannual</w:t>
      </w:r>
      <w:r w:rsidR="001A1F90">
        <w:t xml:space="preserve"> </w:t>
      </w:r>
      <w:r>
        <w:t>measurements</w:t>
      </w:r>
      <w:r w:rsidR="001A1F90">
        <w:t xml:space="preserve"> </w:t>
      </w:r>
      <w:r>
        <w:t>of</w:t>
      </w:r>
      <w:r w:rsidR="001A1F90">
        <w:t xml:space="preserve"> </w:t>
      </w:r>
      <w:r>
        <w:t>bone</w:t>
      </w:r>
      <w:r w:rsidR="001A1F90">
        <w:t xml:space="preserve"> </w:t>
      </w:r>
      <w:r>
        <w:t>mass</w:t>
      </w:r>
      <w:r w:rsidR="001A1F90">
        <w:t xml:space="preserve"> </w:t>
      </w:r>
      <w:r>
        <w:t>density.</w:t>
      </w:r>
      <w:r w:rsidR="001A1F90">
        <w:t xml:space="preserve"> </w:t>
      </w:r>
      <w:r>
        <w:t>Much</w:t>
      </w:r>
      <w:r w:rsidR="001A1F90">
        <w:t xml:space="preserve"> </w:t>
      </w:r>
      <w:r>
        <w:t>more</w:t>
      </w:r>
      <w:r w:rsidR="001A1F90">
        <w:t xml:space="preserve"> </w:t>
      </w:r>
      <w:r>
        <w:t>regular</w:t>
      </w:r>
      <w:r w:rsidR="001A1F90">
        <w:t xml:space="preserve"> </w:t>
      </w:r>
      <w:r>
        <w:t>testing</w:t>
      </w:r>
      <w:r w:rsidR="001A1F90">
        <w:t xml:space="preserve"> </w:t>
      </w:r>
      <w:r>
        <w:t>is</w:t>
      </w:r>
      <w:r w:rsidR="001A1F90">
        <w:t xml:space="preserve"> </w:t>
      </w:r>
      <w:r>
        <w:t>required</w:t>
      </w:r>
      <w:r w:rsidR="001A1F90">
        <w:t xml:space="preserve"> </w:t>
      </w:r>
      <w:r>
        <w:t>where</w:t>
      </w:r>
      <w:r w:rsidR="001A1F90">
        <w:t xml:space="preserve"> </w:t>
      </w:r>
      <w:r>
        <w:t>clinically</w:t>
      </w:r>
      <w:r w:rsidR="001A1F90">
        <w:t xml:space="preserve"> </w:t>
      </w:r>
      <w:r>
        <w:t>indicated</w:t>
      </w:r>
      <w:r w:rsidR="001A1F90">
        <w:t xml:space="preserve"> </w:t>
      </w:r>
      <w:r>
        <w:t>through</w:t>
      </w:r>
      <w:r w:rsidR="001A1F90">
        <w:t xml:space="preserve"> </w:t>
      </w:r>
      <w:r>
        <w:t>the</w:t>
      </w:r>
      <w:r w:rsidR="001A1F90">
        <w:t xml:space="preserve"> </w:t>
      </w:r>
      <w:r>
        <w:t>presence</w:t>
      </w:r>
      <w:r w:rsidR="001A1F90">
        <w:t xml:space="preserve"> </w:t>
      </w:r>
      <w:r>
        <w:t>of</w:t>
      </w:r>
      <w:r w:rsidR="001A1F90">
        <w:t xml:space="preserve"> </w:t>
      </w:r>
      <w:r>
        <w:t>measurable/reported</w:t>
      </w:r>
      <w:r w:rsidR="001A1F90">
        <w:t xml:space="preserve"> </w:t>
      </w:r>
      <w:r>
        <w:t>side</w:t>
      </w:r>
      <w:r w:rsidR="00F107C2">
        <w:t xml:space="preserve"> </w:t>
      </w:r>
      <w:r>
        <w:t>effects</w:t>
      </w:r>
      <w:r w:rsidR="001A1F90">
        <w:t xml:space="preserve"> </w:t>
      </w:r>
      <w:r>
        <w:t>(</w:t>
      </w:r>
      <w:r w:rsidR="00F550F1">
        <w:t>for example</w:t>
      </w:r>
      <w:r>
        <w:t>,</w:t>
      </w:r>
      <w:r w:rsidR="001A1F90">
        <w:t xml:space="preserve"> </w:t>
      </w:r>
      <w:r>
        <w:t>possible</w:t>
      </w:r>
      <w:r w:rsidR="001A1F90">
        <w:t xml:space="preserve"> </w:t>
      </w:r>
      <w:r>
        <w:t>indicators</w:t>
      </w:r>
      <w:r w:rsidR="001A1F90">
        <w:t xml:space="preserve"> </w:t>
      </w:r>
      <w:r>
        <w:t>of</w:t>
      </w:r>
      <w:r w:rsidR="001A1F90">
        <w:t xml:space="preserve"> </w:t>
      </w:r>
      <w:r>
        <w:t>jaundice</w:t>
      </w:r>
      <w:r w:rsidR="001A1F90">
        <w:t xml:space="preserve"> </w:t>
      </w:r>
      <w:r>
        <w:t>or</w:t>
      </w:r>
      <w:r w:rsidR="001A1F90">
        <w:t xml:space="preserve"> </w:t>
      </w:r>
      <w:r>
        <w:t>diabetes).</w:t>
      </w:r>
    </w:p>
    <w:p w14:paraId="098DC0D8" w14:textId="0717FA3B" w:rsidR="004946F1" w:rsidRDefault="004946F1" w:rsidP="00BD612C">
      <w:pPr>
        <w:pStyle w:val="DHHSbullet1"/>
      </w:pPr>
      <w:r>
        <w:t>Where</w:t>
      </w:r>
      <w:r w:rsidR="001A1F90">
        <w:t xml:space="preserve"> </w:t>
      </w:r>
      <w:r>
        <w:t>anti-libidinal</w:t>
      </w:r>
      <w:r w:rsidR="001A1F90">
        <w:t xml:space="preserve"> </w:t>
      </w:r>
      <w:r>
        <w:t>medications</w:t>
      </w:r>
      <w:r w:rsidR="001A1F90">
        <w:t xml:space="preserve"> </w:t>
      </w:r>
      <w:r>
        <w:t>are</w:t>
      </w:r>
      <w:r w:rsidR="001A1F90">
        <w:t xml:space="preserve"> </w:t>
      </w:r>
      <w:r>
        <w:t>prescribed,</w:t>
      </w:r>
      <w:r w:rsidR="001A1F90">
        <w:t xml:space="preserve"> </w:t>
      </w:r>
      <w:r>
        <w:t>additional</w:t>
      </w:r>
      <w:r w:rsidR="001A1F90">
        <w:t xml:space="preserve"> </w:t>
      </w:r>
      <w:r w:rsidR="00F107C2">
        <w:t>c</w:t>
      </w:r>
      <w:r>
        <w:t>alcium</w:t>
      </w:r>
      <w:r w:rsidR="001A1F90">
        <w:t xml:space="preserve"> </w:t>
      </w:r>
      <w:r>
        <w:t>and</w:t>
      </w:r>
      <w:r w:rsidR="001A1F90">
        <w:t xml:space="preserve"> </w:t>
      </w:r>
      <w:r w:rsidR="00F107C2">
        <w:t>v</w:t>
      </w:r>
      <w:r>
        <w:t>itamin</w:t>
      </w:r>
      <w:r w:rsidR="001A1F90">
        <w:t xml:space="preserve"> </w:t>
      </w:r>
      <w:r>
        <w:t>D</w:t>
      </w:r>
      <w:r w:rsidR="001A1F90">
        <w:t xml:space="preserve"> </w:t>
      </w:r>
      <w:r>
        <w:t>supplements</w:t>
      </w:r>
      <w:r w:rsidR="001A1F90">
        <w:t xml:space="preserve"> </w:t>
      </w:r>
      <w:r>
        <w:t>should</w:t>
      </w:r>
      <w:r w:rsidR="001A1F90">
        <w:t xml:space="preserve"> </w:t>
      </w:r>
      <w:r>
        <w:t>be</w:t>
      </w:r>
      <w:r w:rsidR="001A1F90">
        <w:t xml:space="preserve"> </w:t>
      </w:r>
      <w:r>
        <w:t>prescribed</w:t>
      </w:r>
      <w:r w:rsidR="001A1F90">
        <w:t xml:space="preserve"> </w:t>
      </w:r>
      <w:r>
        <w:t>routinely.</w:t>
      </w:r>
    </w:p>
    <w:p w14:paraId="1E2BD65E" w14:textId="289F6F14" w:rsidR="004946F1" w:rsidRDefault="004946F1" w:rsidP="00BD612C">
      <w:pPr>
        <w:pStyle w:val="DHHSbullet1"/>
      </w:pPr>
      <w:r>
        <w:t>While</w:t>
      </w:r>
      <w:r w:rsidR="001A1F90">
        <w:t xml:space="preserve"> </w:t>
      </w:r>
      <w:r>
        <w:t>not</w:t>
      </w:r>
      <w:r w:rsidR="001A1F90">
        <w:t xml:space="preserve"> </w:t>
      </w:r>
      <w:r>
        <w:t>specifically</w:t>
      </w:r>
      <w:r w:rsidR="001A1F90">
        <w:t xml:space="preserve"> </w:t>
      </w:r>
      <w:r>
        <w:t>recommended</w:t>
      </w:r>
      <w:r w:rsidR="001A1F90">
        <w:t xml:space="preserve"> </w:t>
      </w:r>
      <w:r>
        <w:t>by</w:t>
      </w:r>
      <w:r w:rsidR="001A1F90">
        <w:t xml:space="preserve"> </w:t>
      </w:r>
      <w:r>
        <w:t>the</w:t>
      </w:r>
      <w:r w:rsidR="001A1F90">
        <w:t xml:space="preserve"> </w:t>
      </w:r>
      <w:r>
        <w:t>experts,</w:t>
      </w:r>
      <w:r w:rsidR="001A1F90">
        <w:t xml:space="preserve"> </w:t>
      </w:r>
      <w:r>
        <w:t>it</w:t>
      </w:r>
      <w:r w:rsidR="001A1F90">
        <w:t xml:space="preserve"> </w:t>
      </w:r>
      <w:r>
        <w:t>is</w:t>
      </w:r>
      <w:r w:rsidR="001A1F90">
        <w:t xml:space="preserve"> </w:t>
      </w:r>
      <w:r>
        <w:t>further</w:t>
      </w:r>
      <w:r w:rsidR="001A1F90">
        <w:t xml:space="preserve"> </w:t>
      </w:r>
      <w:r>
        <w:t>proposed</w:t>
      </w:r>
      <w:r w:rsidR="001A1F90">
        <w:t xml:space="preserve"> </w:t>
      </w:r>
      <w:r>
        <w:t>that</w:t>
      </w:r>
      <w:r w:rsidR="001A1F90">
        <w:t xml:space="preserve"> </w:t>
      </w:r>
      <w:r>
        <w:t>prescribers</w:t>
      </w:r>
      <w:r w:rsidR="001A1F90">
        <w:t xml:space="preserve"> </w:t>
      </w:r>
      <w:r>
        <w:t>in</w:t>
      </w:r>
      <w:r w:rsidR="001A1F90">
        <w:t xml:space="preserve"> </w:t>
      </w:r>
      <w:r>
        <w:t>each</w:t>
      </w:r>
      <w:r w:rsidR="001A1F90">
        <w:t xml:space="preserve"> </w:t>
      </w:r>
      <w:r>
        <w:t>jurisdiction</w:t>
      </w:r>
      <w:r w:rsidR="001A1F90">
        <w:t xml:space="preserve"> </w:t>
      </w:r>
      <w:r>
        <w:t>sign</w:t>
      </w:r>
      <w:r w:rsidR="001A1F90">
        <w:t xml:space="preserve"> </w:t>
      </w:r>
      <w:r>
        <w:t>a</w:t>
      </w:r>
      <w:r w:rsidR="001A1F90">
        <w:t xml:space="preserve"> </w:t>
      </w:r>
      <w:r w:rsidR="00F107C2">
        <w:t>m</w:t>
      </w:r>
      <w:r>
        <w:t>emorandum</w:t>
      </w:r>
      <w:r w:rsidR="001A1F90">
        <w:t xml:space="preserve"> </w:t>
      </w:r>
      <w:r>
        <w:t>of</w:t>
      </w:r>
      <w:r w:rsidR="001A1F90">
        <w:t xml:space="preserve"> </w:t>
      </w:r>
      <w:r w:rsidR="00F107C2">
        <w:t>u</w:t>
      </w:r>
      <w:r>
        <w:t>nderstanding</w:t>
      </w:r>
      <w:r w:rsidR="001A1F90">
        <w:t xml:space="preserve"> </w:t>
      </w:r>
      <w:r>
        <w:t>regarding</w:t>
      </w:r>
      <w:r w:rsidR="001A1F90">
        <w:t xml:space="preserve"> </w:t>
      </w:r>
      <w:r>
        <w:t>adherence</w:t>
      </w:r>
      <w:r w:rsidR="001A1F90">
        <w:t xml:space="preserve"> </w:t>
      </w:r>
      <w:r>
        <w:t>to</w:t>
      </w:r>
      <w:r w:rsidR="001A1F90">
        <w:t xml:space="preserve"> </w:t>
      </w:r>
      <w:r>
        <w:t>the</w:t>
      </w:r>
      <w:r w:rsidR="001A1F90">
        <w:t xml:space="preserve"> </w:t>
      </w:r>
      <w:r>
        <w:t>guidelines</w:t>
      </w:r>
      <w:r w:rsidR="00F107C2">
        <w:t>.</w:t>
      </w:r>
      <w:r w:rsidR="001A1F90">
        <w:t xml:space="preserve"> </w:t>
      </w:r>
      <w:r w:rsidR="00F107C2">
        <w:t>A</w:t>
      </w:r>
      <w:r>
        <w:t>ppended</w:t>
      </w:r>
      <w:r w:rsidR="001A1F90">
        <w:t xml:space="preserve"> </w:t>
      </w:r>
      <w:r>
        <w:t>to</w:t>
      </w:r>
      <w:r w:rsidR="001A1F90">
        <w:t xml:space="preserve"> </w:t>
      </w:r>
      <w:r>
        <w:t>this</w:t>
      </w:r>
      <w:r w:rsidR="001A1F90">
        <w:t xml:space="preserve"> </w:t>
      </w:r>
      <w:r>
        <w:t>should</w:t>
      </w:r>
      <w:r w:rsidR="001A1F90">
        <w:t xml:space="preserve"> </w:t>
      </w:r>
      <w:r>
        <w:t>be</w:t>
      </w:r>
      <w:r w:rsidR="001A1F90">
        <w:t xml:space="preserve"> </w:t>
      </w:r>
      <w:r>
        <w:t>a</w:t>
      </w:r>
      <w:r w:rsidR="001A1F90">
        <w:t xml:space="preserve"> </w:t>
      </w:r>
      <w:r>
        <w:t>copy</w:t>
      </w:r>
      <w:r w:rsidR="001A1F90">
        <w:t xml:space="preserve"> </w:t>
      </w:r>
      <w:r>
        <w:t>of</w:t>
      </w:r>
      <w:r w:rsidR="001A1F90">
        <w:t xml:space="preserve"> </w:t>
      </w:r>
      <w:r>
        <w:t>the</w:t>
      </w:r>
      <w:r w:rsidR="001A1F90">
        <w:t xml:space="preserve"> </w:t>
      </w:r>
      <w:r>
        <w:t>guideline</w:t>
      </w:r>
      <w:r w:rsidR="001A1F90">
        <w:t xml:space="preserve"> </w:t>
      </w:r>
      <w:r>
        <w:t>with</w:t>
      </w:r>
      <w:r w:rsidR="001A1F90">
        <w:t xml:space="preserve"> </w:t>
      </w:r>
      <w:r>
        <w:t>any</w:t>
      </w:r>
      <w:r w:rsidR="001A1F90">
        <w:t xml:space="preserve"> </w:t>
      </w:r>
      <w:r>
        <w:t>jurisdiction</w:t>
      </w:r>
      <w:r w:rsidR="00F107C2">
        <w:t>-</w:t>
      </w:r>
      <w:r>
        <w:t>specific</w:t>
      </w:r>
      <w:r w:rsidR="001A1F90">
        <w:t xml:space="preserve"> </w:t>
      </w:r>
      <w:r>
        <w:t>considerations.</w:t>
      </w:r>
    </w:p>
    <w:p w14:paraId="3DD18B56" w14:textId="359106C9" w:rsidR="001A1F90" w:rsidRPr="001A1F90" w:rsidRDefault="001A1F90" w:rsidP="001A1F90">
      <w:pPr>
        <w:pStyle w:val="DHHSbody"/>
      </w:pPr>
      <w:r w:rsidRPr="001A1F90">
        <w:br w:type="page"/>
      </w:r>
    </w:p>
    <w:p w14:paraId="2EFA4315" w14:textId="44CEA404" w:rsidR="004946F1" w:rsidRPr="00092256" w:rsidRDefault="004946F1" w:rsidP="009B0E14">
      <w:pPr>
        <w:pStyle w:val="Heading1"/>
      </w:pPr>
      <w:bookmarkStart w:id="27" w:name="_Toc20225615"/>
      <w:r w:rsidRPr="00092256">
        <w:t>Appendix</w:t>
      </w:r>
      <w:r w:rsidR="00B22AC9">
        <w:t xml:space="preserve">: </w:t>
      </w:r>
      <w:r w:rsidR="00B22AC9" w:rsidRPr="00B22AC9">
        <w:t>Forensicare clinical guidelines for prescription and monitoring of anti-libidinal medication</w:t>
      </w:r>
      <w:bookmarkEnd w:id="27"/>
    </w:p>
    <w:p w14:paraId="728A4D97" w14:textId="7C9B457B" w:rsidR="004946F1" w:rsidRDefault="004946F1" w:rsidP="00320B21">
      <w:pPr>
        <w:pStyle w:val="DHHSbody"/>
      </w:pPr>
      <w:r>
        <w:t>Made</w:t>
      </w:r>
      <w:r w:rsidR="001A1F90">
        <w:t xml:space="preserve"> </w:t>
      </w:r>
      <w:r>
        <w:t>available</w:t>
      </w:r>
      <w:r w:rsidR="001A1F90">
        <w:t xml:space="preserve"> </w:t>
      </w:r>
      <w:r>
        <w:t>by</w:t>
      </w:r>
      <w:r w:rsidR="001A1F90">
        <w:t xml:space="preserve"> </w:t>
      </w:r>
      <w:r>
        <w:t>Dr</w:t>
      </w:r>
      <w:r w:rsidR="001A1F90">
        <w:t xml:space="preserve"> </w:t>
      </w:r>
      <w:r>
        <w:t>Danny</w:t>
      </w:r>
      <w:r w:rsidR="001A1F90">
        <w:t xml:space="preserve"> </w:t>
      </w:r>
      <w:r>
        <w:t>Sullivan,</w:t>
      </w:r>
      <w:r w:rsidR="001A1F90">
        <w:t xml:space="preserve"> </w:t>
      </w:r>
      <w:r>
        <w:t>23</w:t>
      </w:r>
      <w:r w:rsidR="001A1F90">
        <w:t xml:space="preserve"> </w:t>
      </w:r>
      <w:r>
        <w:t>January</w:t>
      </w:r>
      <w:r w:rsidR="001A1F90">
        <w:t xml:space="preserve"> </w:t>
      </w:r>
      <w:r>
        <w:t>2013</w:t>
      </w:r>
    </w:p>
    <w:p w14:paraId="3CE3085F" w14:textId="77777777" w:rsidR="004946F1" w:rsidRDefault="004946F1" w:rsidP="001C10C1">
      <w:pPr>
        <w:pStyle w:val="Heading2"/>
      </w:pPr>
      <w:bookmarkStart w:id="28" w:name="_Toc20225616"/>
      <w:r>
        <w:t>Background</w:t>
      </w:r>
      <w:bookmarkEnd w:id="28"/>
    </w:p>
    <w:p w14:paraId="6CC4E9E5" w14:textId="5FCEF36F" w:rsidR="004946F1" w:rsidRDefault="004946F1" w:rsidP="00BD612C">
      <w:pPr>
        <w:pStyle w:val="DHHSbody"/>
      </w:pPr>
      <w:r>
        <w:t>These</w:t>
      </w:r>
      <w:r w:rsidR="001A1F90">
        <w:t xml:space="preserve"> </w:t>
      </w:r>
      <w:r>
        <w:t>guidelines</w:t>
      </w:r>
      <w:r w:rsidR="001A1F90">
        <w:t xml:space="preserve"> </w:t>
      </w:r>
      <w:r>
        <w:t>have</w:t>
      </w:r>
      <w:r w:rsidR="001A1F90">
        <w:t xml:space="preserve"> </w:t>
      </w:r>
      <w:r>
        <w:t>been</w:t>
      </w:r>
      <w:r w:rsidR="001A1F90">
        <w:t xml:space="preserve"> </w:t>
      </w:r>
      <w:r>
        <w:t>developed</w:t>
      </w:r>
      <w:r w:rsidR="001A1F90">
        <w:t xml:space="preserve"> </w:t>
      </w:r>
      <w:r>
        <w:t>by</w:t>
      </w:r>
      <w:r w:rsidR="001A1F90">
        <w:t xml:space="preserve"> </w:t>
      </w:r>
      <w:r>
        <w:t>reference</w:t>
      </w:r>
      <w:r w:rsidR="001A1F90">
        <w:t xml:space="preserve"> </w:t>
      </w:r>
      <w:r>
        <w:t>to</w:t>
      </w:r>
      <w:r w:rsidR="001A1F90">
        <w:t xml:space="preserve"> </w:t>
      </w:r>
      <w:r>
        <w:t>the</w:t>
      </w:r>
      <w:r w:rsidR="001A1F90">
        <w:t xml:space="preserve"> </w:t>
      </w:r>
      <w:r>
        <w:t>recent</w:t>
      </w:r>
      <w:r w:rsidR="001A1F90">
        <w:t xml:space="preserve"> </w:t>
      </w:r>
      <w:r>
        <w:t>2010</w:t>
      </w:r>
      <w:r w:rsidR="001A1F90">
        <w:t xml:space="preserve"> </w:t>
      </w:r>
      <w:r>
        <w:t>World</w:t>
      </w:r>
      <w:r w:rsidR="001A1F90">
        <w:t xml:space="preserve"> </w:t>
      </w:r>
      <w:r>
        <w:t>Federation</w:t>
      </w:r>
      <w:r w:rsidR="001A1F90">
        <w:t xml:space="preserve"> </w:t>
      </w:r>
      <w:r>
        <w:t>of</w:t>
      </w:r>
      <w:r w:rsidR="001A1F90">
        <w:t xml:space="preserve"> </w:t>
      </w:r>
      <w:r>
        <w:t>Societies</w:t>
      </w:r>
      <w:r w:rsidR="001A1F90">
        <w:t xml:space="preserve"> </w:t>
      </w:r>
      <w:r>
        <w:t>of</w:t>
      </w:r>
      <w:r w:rsidR="001A1F90">
        <w:t xml:space="preserve"> </w:t>
      </w:r>
      <w:r>
        <w:t>Biological</w:t>
      </w:r>
      <w:r w:rsidR="001A1F90">
        <w:t xml:space="preserve"> </w:t>
      </w:r>
      <w:r>
        <w:t>Psychiatry</w:t>
      </w:r>
      <w:r w:rsidR="001A1F90">
        <w:t xml:space="preserve"> </w:t>
      </w:r>
      <w:r w:rsidRPr="00CA3986">
        <w:rPr>
          <w:i/>
          <w:iCs/>
        </w:rPr>
        <w:t>Guidelines</w:t>
      </w:r>
      <w:r w:rsidR="001A1F90" w:rsidRPr="00CA3986">
        <w:rPr>
          <w:i/>
          <w:iCs/>
        </w:rPr>
        <w:t xml:space="preserve"> </w:t>
      </w:r>
      <w:r w:rsidRPr="00CA3986">
        <w:rPr>
          <w:i/>
          <w:iCs/>
        </w:rPr>
        <w:t>for</w:t>
      </w:r>
      <w:r w:rsidR="001A1F90" w:rsidRPr="00CA3986">
        <w:rPr>
          <w:i/>
          <w:iCs/>
        </w:rPr>
        <w:t xml:space="preserve"> </w:t>
      </w:r>
      <w:r w:rsidRPr="00CA3986">
        <w:rPr>
          <w:i/>
          <w:iCs/>
        </w:rPr>
        <w:t>the</w:t>
      </w:r>
      <w:r w:rsidR="001A1F90" w:rsidRPr="00CA3986">
        <w:rPr>
          <w:i/>
          <w:iCs/>
        </w:rPr>
        <w:t xml:space="preserve"> </w:t>
      </w:r>
      <w:r w:rsidRPr="00CA3986">
        <w:rPr>
          <w:i/>
          <w:iCs/>
        </w:rPr>
        <w:t>biological</w:t>
      </w:r>
      <w:r w:rsidR="001A1F90" w:rsidRPr="00CA3986">
        <w:rPr>
          <w:i/>
          <w:iCs/>
        </w:rPr>
        <w:t xml:space="preserve"> </w:t>
      </w:r>
      <w:r w:rsidRPr="00CA3986">
        <w:rPr>
          <w:i/>
          <w:iCs/>
        </w:rPr>
        <w:t>treatment</w:t>
      </w:r>
      <w:r w:rsidR="001A1F90" w:rsidRPr="00CA3986">
        <w:rPr>
          <w:i/>
          <w:iCs/>
        </w:rPr>
        <w:t xml:space="preserve"> </w:t>
      </w:r>
      <w:r w:rsidRPr="00CA3986">
        <w:rPr>
          <w:i/>
          <w:iCs/>
        </w:rPr>
        <w:t>of</w:t>
      </w:r>
      <w:r w:rsidR="001A1F90" w:rsidRPr="00CA3986">
        <w:rPr>
          <w:i/>
          <w:iCs/>
        </w:rPr>
        <w:t xml:space="preserve"> </w:t>
      </w:r>
      <w:r w:rsidRPr="00CA3986">
        <w:rPr>
          <w:i/>
          <w:iCs/>
        </w:rPr>
        <w:t>paraphilias</w:t>
      </w:r>
      <w:r>
        <w:t>.</w:t>
      </w:r>
    </w:p>
    <w:p w14:paraId="594DD7AC" w14:textId="77777777" w:rsidR="004946F1" w:rsidRDefault="004946F1" w:rsidP="001C10C1">
      <w:pPr>
        <w:pStyle w:val="Heading2"/>
      </w:pPr>
      <w:bookmarkStart w:id="29" w:name="_Toc20225617"/>
      <w:r>
        <w:t>Rationale</w:t>
      </w:r>
      <w:bookmarkEnd w:id="29"/>
    </w:p>
    <w:p w14:paraId="1A57C777" w14:textId="5D19DBFE" w:rsidR="004946F1" w:rsidRDefault="004946F1" w:rsidP="00BD612C">
      <w:pPr>
        <w:pStyle w:val="DHHSbody"/>
      </w:pPr>
      <w:r>
        <w:t>Anti-libidinal</w:t>
      </w:r>
      <w:r w:rsidR="001A1F90">
        <w:t xml:space="preserve"> </w:t>
      </w:r>
      <w:r>
        <w:t>medications</w:t>
      </w:r>
      <w:r w:rsidR="001A1F90">
        <w:t xml:space="preserve"> </w:t>
      </w:r>
      <w:r>
        <w:t>may</w:t>
      </w:r>
      <w:r w:rsidR="001A1F90">
        <w:t xml:space="preserve"> </w:t>
      </w:r>
      <w:r>
        <w:t>reduce</w:t>
      </w:r>
      <w:r w:rsidR="001A1F90">
        <w:t xml:space="preserve"> </w:t>
      </w:r>
      <w:r>
        <w:t>sexual</w:t>
      </w:r>
      <w:r w:rsidR="001A1F90">
        <w:t xml:space="preserve"> </w:t>
      </w:r>
      <w:r>
        <w:t>drive</w:t>
      </w:r>
      <w:r w:rsidR="001A1F90">
        <w:t xml:space="preserve"> </w:t>
      </w:r>
      <w:r>
        <w:t>effectively.</w:t>
      </w:r>
      <w:r w:rsidR="001A1F90">
        <w:t xml:space="preserve"> </w:t>
      </w:r>
      <w:r>
        <w:t>In</w:t>
      </w:r>
      <w:r w:rsidR="001A1F90">
        <w:t xml:space="preserve"> </w:t>
      </w:r>
      <w:r>
        <w:t>populations</w:t>
      </w:r>
      <w:r w:rsidR="001A1F90">
        <w:t xml:space="preserve"> </w:t>
      </w:r>
      <w:r>
        <w:t>of</w:t>
      </w:r>
      <w:r w:rsidR="001A1F90">
        <w:t xml:space="preserve"> </w:t>
      </w:r>
      <w:r>
        <w:t>those</w:t>
      </w:r>
      <w:r w:rsidR="001A1F90">
        <w:t xml:space="preserve"> </w:t>
      </w:r>
      <w:r>
        <w:t>at</w:t>
      </w:r>
      <w:r w:rsidR="001A1F90">
        <w:t xml:space="preserve"> </w:t>
      </w:r>
      <w:r>
        <w:t>risk</w:t>
      </w:r>
      <w:r w:rsidR="001A1F90">
        <w:t xml:space="preserve"> </w:t>
      </w:r>
      <w:r>
        <w:t>of</w:t>
      </w:r>
      <w:r w:rsidR="001A1F90">
        <w:t xml:space="preserve"> </w:t>
      </w:r>
      <w:r>
        <w:t>sexual</w:t>
      </w:r>
      <w:r w:rsidR="001A1F90">
        <w:t xml:space="preserve"> </w:t>
      </w:r>
      <w:r>
        <w:t>offending,</w:t>
      </w:r>
      <w:r w:rsidR="001A1F90">
        <w:t xml:space="preserve"> </w:t>
      </w:r>
      <w:r>
        <w:t>prescription</w:t>
      </w:r>
      <w:r w:rsidR="001A1F90">
        <w:t xml:space="preserve"> </w:t>
      </w:r>
      <w:r>
        <w:t>is</w:t>
      </w:r>
      <w:r w:rsidR="001A1F90">
        <w:t xml:space="preserve"> </w:t>
      </w:r>
      <w:r>
        <w:t>premised</w:t>
      </w:r>
      <w:r w:rsidR="001A1F90">
        <w:t xml:space="preserve"> </w:t>
      </w:r>
      <w:r>
        <w:t>upon</w:t>
      </w:r>
      <w:r w:rsidR="001A1F90">
        <w:t xml:space="preserve"> </w:t>
      </w:r>
      <w:r>
        <w:t>the</w:t>
      </w:r>
      <w:r w:rsidR="001A1F90">
        <w:t xml:space="preserve"> </w:t>
      </w:r>
      <w:r>
        <w:t>clinical</w:t>
      </w:r>
      <w:r w:rsidR="001A1F90">
        <w:t xml:space="preserve"> </w:t>
      </w:r>
      <w:r>
        <w:t>assessment</w:t>
      </w:r>
      <w:r w:rsidR="001A1F90">
        <w:t xml:space="preserve"> </w:t>
      </w:r>
      <w:r>
        <w:t>that</w:t>
      </w:r>
      <w:r w:rsidR="001A1F90">
        <w:t xml:space="preserve"> </w:t>
      </w:r>
      <w:r>
        <w:t>offending</w:t>
      </w:r>
      <w:r w:rsidR="001A1F90">
        <w:t xml:space="preserve"> </w:t>
      </w:r>
      <w:r>
        <w:t>is</w:t>
      </w:r>
      <w:r w:rsidR="001A1F90">
        <w:t xml:space="preserve"> </w:t>
      </w:r>
      <w:r>
        <w:t>driven</w:t>
      </w:r>
      <w:r w:rsidR="001A1F90">
        <w:t xml:space="preserve"> </w:t>
      </w:r>
      <w:r>
        <w:t>by</w:t>
      </w:r>
      <w:r w:rsidR="001A1F90">
        <w:t xml:space="preserve"> </w:t>
      </w:r>
      <w:r>
        <w:t>high</w:t>
      </w:r>
      <w:r w:rsidR="001A1F90">
        <w:t xml:space="preserve"> </w:t>
      </w:r>
      <w:r>
        <w:t>libido</w:t>
      </w:r>
      <w:r w:rsidR="001A1F90">
        <w:t xml:space="preserve"> </w:t>
      </w:r>
      <w:r>
        <w:t>or</w:t>
      </w:r>
      <w:r w:rsidR="001A1F90">
        <w:t xml:space="preserve"> </w:t>
      </w:r>
      <w:r>
        <w:t>compulsive</w:t>
      </w:r>
      <w:r w:rsidR="001A1F90">
        <w:t xml:space="preserve"> </w:t>
      </w:r>
      <w:r>
        <w:t>behaviour</w:t>
      </w:r>
      <w:r w:rsidR="001A1F90">
        <w:t xml:space="preserve"> </w:t>
      </w:r>
      <w:r>
        <w:t>and</w:t>
      </w:r>
      <w:r w:rsidR="001A1F90">
        <w:t xml:space="preserve"> </w:t>
      </w:r>
      <w:r>
        <w:t>it</w:t>
      </w:r>
      <w:r w:rsidR="001A1F90">
        <w:t xml:space="preserve"> </w:t>
      </w:r>
      <w:r>
        <w:t>may</w:t>
      </w:r>
      <w:r w:rsidR="001A1F90">
        <w:t xml:space="preserve"> </w:t>
      </w:r>
      <w:r>
        <w:t>decrease</w:t>
      </w:r>
      <w:r w:rsidR="001A1F90">
        <w:t xml:space="preserve"> </w:t>
      </w:r>
      <w:r>
        <w:t>the</w:t>
      </w:r>
      <w:r w:rsidR="001A1F90">
        <w:t xml:space="preserve"> </w:t>
      </w:r>
      <w:r>
        <w:t>level</w:t>
      </w:r>
      <w:r w:rsidR="001A1F90">
        <w:t xml:space="preserve"> </w:t>
      </w:r>
      <w:r>
        <w:t>of</w:t>
      </w:r>
      <w:r w:rsidR="001A1F90">
        <w:t xml:space="preserve"> </w:t>
      </w:r>
      <w:r>
        <w:t>distress</w:t>
      </w:r>
      <w:r w:rsidR="001A1F90">
        <w:t xml:space="preserve"> </w:t>
      </w:r>
      <w:r>
        <w:t>of</w:t>
      </w:r>
      <w:r w:rsidR="001A1F90">
        <w:t xml:space="preserve"> </w:t>
      </w:r>
      <w:r>
        <w:t>the</w:t>
      </w:r>
      <w:r w:rsidR="001A1F90">
        <w:t xml:space="preserve"> </w:t>
      </w:r>
      <w:r>
        <w:t>paraphilic</w:t>
      </w:r>
      <w:r w:rsidR="001A1F90">
        <w:t xml:space="preserve"> </w:t>
      </w:r>
      <w:r w:rsidR="00C84854">
        <w:t>subject or</w:t>
      </w:r>
      <w:r w:rsidR="001A1F90">
        <w:t xml:space="preserve"> </w:t>
      </w:r>
      <w:r>
        <w:t>is</w:t>
      </w:r>
      <w:r w:rsidR="001A1F90">
        <w:t xml:space="preserve"> </w:t>
      </w:r>
      <w:r>
        <w:t>of</w:t>
      </w:r>
      <w:r w:rsidR="001A1F90">
        <w:t xml:space="preserve"> </w:t>
      </w:r>
      <w:r>
        <w:t>high</w:t>
      </w:r>
      <w:r w:rsidR="001A1F90">
        <w:t xml:space="preserve"> </w:t>
      </w:r>
      <w:r>
        <w:t>risk</w:t>
      </w:r>
      <w:r w:rsidR="001A1F90">
        <w:t xml:space="preserve"> </w:t>
      </w:r>
      <w:r>
        <w:t>and</w:t>
      </w:r>
      <w:r w:rsidR="001A1F90">
        <w:t xml:space="preserve"> </w:t>
      </w:r>
      <w:r>
        <w:t>likelihood</w:t>
      </w:r>
      <w:r w:rsidR="001A1F90">
        <w:t xml:space="preserve"> </w:t>
      </w:r>
      <w:r>
        <w:t>of</w:t>
      </w:r>
      <w:r w:rsidR="001A1F90">
        <w:t xml:space="preserve"> </w:t>
      </w:r>
      <w:r>
        <w:t>significant</w:t>
      </w:r>
      <w:r w:rsidR="001A1F90">
        <w:t xml:space="preserve"> </w:t>
      </w:r>
      <w:r>
        <w:t>harm</w:t>
      </w:r>
      <w:r w:rsidR="001A1F90">
        <w:t xml:space="preserve"> </w:t>
      </w:r>
      <w:r>
        <w:t>to</w:t>
      </w:r>
      <w:r w:rsidR="001A1F90">
        <w:t xml:space="preserve"> </w:t>
      </w:r>
      <w:r>
        <w:t>others.</w:t>
      </w:r>
    </w:p>
    <w:p w14:paraId="348BDBE0" w14:textId="77777777" w:rsidR="004946F1" w:rsidRDefault="004946F1" w:rsidP="001C10C1">
      <w:pPr>
        <w:pStyle w:val="Heading2"/>
      </w:pPr>
      <w:bookmarkStart w:id="30" w:name="_Toc20225618"/>
      <w:r>
        <w:t>Consent</w:t>
      </w:r>
      <w:bookmarkEnd w:id="30"/>
    </w:p>
    <w:p w14:paraId="747EEA54" w14:textId="45811808" w:rsidR="004946F1" w:rsidRDefault="004946F1" w:rsidP="00BD612C">
      <w:pPr>
        <w:pStyle w:val="DHHSbody"/>
      </w:pPr>
      <w:r>
        <w:t>Specific</w:t>
      </w:r>
      <w:r w:rsidR="001A1F90">
        <w:t xml:space="preserve"> </w:t>
      </w:r>
      <w:r>
        <w:t>attention</w:t>
      </w:r>
      <w:r w:rsidR="001A1F90">
        <w:t xml:space="preserve"> </w:t>
      </w:r>
      <w:r>
        <w:t>must</w:t>
      </w:r>
      <w:r w:rsidR="001A1F90">
        <w:t xml:space="preserve"> </w:t>
      </w:r>
      <w:r>
        <w:t>be</w:t>
      </w:r>
      <w:r w:rsidR="001A1F90">
        <w:t xml:space="preserve"> </w:t>
      </w:r>
      <w:r>
        <w:t>given</w:t>
      </w:r>
      <w:r w:rsidR="001A1F90">
        <w:t xml:space="preserve"> </w:t>
      </w:r>
      <w:r>
        <w:t>to</w:t>
      </w:r>
      <w:r w:rsidR="001A1F90">
        <w:t xml:space="preserve"> </w:t>
      </w:r>
      <w:r>
        <w:t>informed</w:t>
      </w:r>
      <w:r w:rsidR="001A1F90">
        <w:t xml:space="preserve"> </w:t>
      </w:r>
      <w:r>
        <w:t>consent,</w:t>
      </w:r>
      <w:r w:rsidR="001A1F90">
        <w:t xml:space="preserve"> </w:t>
      </w:r>
      <w:r>
        <w:t>covering</w:t>
      </w:r>
      <w:r w:rsidR="001A1F90">
        <w:t xml:space="preserve"> </w:t>
      </w:r>
      <w:r>
        <w:t>risks</w:t>
      </w:r>
      <w:r w:rsidR="001A1F90">
        <w:t xml:space="preserve"> </w:t>
      </w:r>
      <w:r>
        <w:t>and</w:t>
      </w:r>
      <w:r w:rsidR="001A1F90">
        <w:t xml:space="preserve"> </w:t>
      </w:r>
      <w:r>
        <w:t>benefits,</w:t>
      </w:r>
      <w:r w:rsidR="001A1F90">
        <w:t xml:space="preserve"> </w:t>
      </w:r>
      <w:r>
        <w:t>and</w:t>
      </w:r>
      <w:r w:rsidR="001A1F90">
        <w:t xml:space="preserve"> </w:t>
      </w:r>
      <w:r>
        <w:t>noting</w:t>
      </w:r>
      <w:r w:rsidR="001A1F90">
        <w:t xml:space="preserve"> </w:t>
      </w:r>
      <w:r>
        <w:t>that</w:t>
      </w:r>
      <w:r w:rsidR="001A1F90">
        <w:t xml:space="preserve"> </w:t>
      </w:r>
      <w:r>
        <w:t>except</w:t>
      </w:r>
      <w:r w:rsidR="001A1F90">
        <w:t xml:space="preserve"> </w:t>
      </w:r>
      <w:r>
        <w:t>for</w:t>
      </w:r>
      <w:r w:rsidR="001A1F90">
        <w:t xml:space="preserve"> </w:t>
      </w:r>
      <w:r>
        <w:t>cyproterone,</w:t>
      </w:r>
      <w:r w:rsidR="001A1F90">
        <w:t xml:space="preserve"> </w:t>
      </w:r>
      <w:r>
        <w:t>these</w:t>
      </w:r>
      <w:r w:rsidR="001A1F90">
        <w:t xml:space="preserve"> </w:t>
      </w:r>
      <w:r>
        <w:t>are</w:t>
      </w:r>
      <w:r w:rsidR="001A1F90">
        <w:t xml:space="preserve"> </w:t>
      </w:r>
      <w:r>
        <w:t>off-label</w:t>
      </w:r>
      <w:r w:rsidR="001A1F90">
        <w:t xml:space="preserve"> </w:t>
      </w:r>
      <w:r>
        <w:t>indications.</w:t>
      </w:r>
      <w:r w:rsidR="001A1F90">
        <w:t xml:space="preserve"> </w:t>
      </w:r>
      <w:r>
        <w:t>A</w:t>
      </w:r>
      <w:r w:rsidR="001A1F90">
        <w:t xml:space="preserve"> </w:t>
      </w:r>
      <w:r>
        <w:t>signed</w:t>
      </w:r>
      <w:r w:rsidR="001A1F90">
        <w:t xml:space="preserve"> </w:t>
      </w:r>
      <w:r>
        <w:t>consent</w:t>
      </w:r>
      <w:r w:rsidR="001A1F90">
        <w:t xml:space="preserve"> </w:t>
      </w:r>
      <w:r>
        <w:t>form</w:t>
      </w:r>
      <w:r w:rsidR="001A1F90">
        <w:t xml:space="preserve"> </w:t>
      </w:r>
      <w:r>
        <w:t>should</w:t>
      </w:r>
      <w:r w:rsidR="001A1F90">
        <w:t xml:space="preserve"> </w:t>
      </w:r>
      <w:r>
        <w:t>be</w:t>
      </w:r>
      <w:r w:rsidR="001A1F90">
        <w:t xml:space="preserve"> </w:t>
      </w:r>
      <w:r>
        <w:t>placed</w:t>
      </w:r>
      <w:r w:rsidR="001A1F90">
        <w:t xml:space="preserve"> </w:t>
      </w:r>
      <w:r>
        <w:t>in</w:t>
      </w:r>
      <w:r w:rsidR="001A1F90">
        <w:t xml:space="preserve"> </w:t>
      </w:r>
      <w:r>
        <w:t>the</w:t>
      </w:r>
      <w:r w:rsidR="001A1F90">
        <w:t xml:space="preserve"> </w:t>
      </w:r>
      <w:r>
        <w:t>file.</w:t>
      </w:r>
      <w:r w:rsidR="001A1F90">
        <w:t xml:space="preserve"> </w:t>
      </w:r>
      <w:r>
        <w:t>There</w:t>
      </w:r>
      <w:r w:rsidR="001A1F90">
        <w:t xml:space="preserve"> </w:t>
      </w:r>
      <w:r>
        <w:t>will</w:t>
      </w:r>
      <w:r w:rsidR="001A1F90">
        <w:t xml:space="preserve"> </w:t>
      </w:r>
      <w:r>
        <w:t>be</w:t>
      </w:r>
      <w:r w:rsidR="001A1F90">
        <w:t xml:space="preserve"> </w:t>
      </w:r>
      <w:r>
        <w:t>rare</w:t>
      </w:r>
      <w:r w:rsidR="001A1F90">
        <w:t xml:space="preserve"> </w:t>
      </w:r>
      <w:r>
        <w:t>situations</w:t>
      </w:r>
      <w:r w:rsidR="001A1F90">
        <w:t xml:space="preserve"> </w:t>
      </w:r>
      <w:r>
        <w:t>in</w:t>
      </w:r>
      <w:r w:rsidR="001A1F90">
        <w:t xml:space="preserve"> </w:t>
      </w:r>
      <w:r>
        <w:t>which</w:t>
      </w:r>
      <w:r w:rsidR="001A1F90">
        <w:t xml:space="preserve"> </w:t>
      </w:r>
      <w:r>
        <w:t>anti-libidinal</w:t>
      </w:r>
      <w:r w:rsidR="001A1F90">
        <w:t xml:space="preserve"> </w:t>
      </w:r>
      <w:r>
        <w:t>medications</w:t>
      </w:r>
      <w:r w:rsidR="001A1F90">
        <w:t xml:space="preserve"> </w:t>
      </w:r>
      <w:r>
        <w:t>are</w:t>
      </w:r>
      <w:r w:rsidR="001A1F90">
        <w:t xml:space="preserve"> </w:t>
      </w:r>
      <w:r>
        <w:t>prescribed</w:t>
      </w:r>
      <w:r w:rsidR="001A1F90">
        <w:t xml:space="preserve"> </w:t>
      </w:r>
      <w:r>
        <w:t>to</w:t>
      </w:r>
      <w:r w:rsidR="001A1F90">
        <w:t xml:space="preserve"> </w:t>
      </w:r>
      <w:r>
        <w:t>patients</w:t>
      </w:r>
      <w:r w:rsidR="001A1F90">
        <w:t xml:space="preserve"> </w:t>
      </w:r>
      <w:r>
        <w:t>without</w:t>
      </w:r>
      <w:r w:rsidR="001A1F90">
        <w:t xml:space="preserve"> </w:t>
      </w:r>
      <w:r>
        <w:t>consent;</w:t>
      </w:r>
      <w:r w:rsidR="001A1F90">
        <w:t xml:space="preserve"> </w:t>
      </w:r>
      <w:r>
        <w:t>a</w:t>
      </w:r>
      <w:r w:rsidR="001A1F90">
        <w:t xml:space="preserve"> </w:t>
      </w:r>
      <w:r>
        <w:t>reason</w:t>
      </w:r>
      <w:r w:rsidR="001A1F90">
        <w:t xml:space="preserve"> </w:t>
      </w:r>
      <w:r>
        <w:t>for</w:t>
      </w:r>
      <w:r w:rsidR="001A1F90">
        <w:t xml:space="preserve"> </w:t>
      </w:r>
      <w:r>
        <w:t>this</w:t>
      </w:r>
      <w:r w:rsidR="001A1F90">
        <w:t xml:space="preserve"> </w:t>
      </w:r>
      <w:r>
        <w:t>should</w:t>
      </w:r>
      <w:r w:rsidR="001A1F90">
        <w:t xml:space="preserve"> </w:t>
      </w:r>
      <w:r>
        <w:t>be</w:t>
      </w:r>
      <w:r w:rsidR="001A1F90">
        <w:t xml:space="preserve"> </w:t>
      </w:r>
      <w:r>
        <w:t>clearly</w:t>
      </w:r>
      <w:r w:rsidR="001A1F90">
        <w:t xml:space="preserve"> </w:t>
      </w:r>
      <w:r>
        <w:t>stated</w:t>
      </w:r>
      <w:r w:rsidR="001A1F90">
        <w:t xml:space="preserve"> </w:t>
      </w:r>
      <w:r>
        <w:t>and</w:t>
      </w:r>
      <w:r w:rsidR="001A1F90">
        <w:t xml:space="preserve"> </w:t>
      </w:r>
      <w:r>
        <w:t>will</w:t>
      </w:r>
      <w:r w:rsidR="001A1F90">
        <w:t xml:space="preserve"> </w:t>
      </w:r>
      <w:r>
        <w:t>require</w:t>
      </w:r>
      <w:r w:rsidR="001A1F90">
        <w:t xml:space="preserve"> </w:t>
      </w:r>
      <w:r>
        <w:t>some</w:t>
      </w:r>
      <w:r w:rsidR="001A1F90">
        <w:t xml:space="preserve"> </w:t>
      </w:r>
      <w:r>
        <w:t>form</w:t>
      </w:r>
      <w:r w:rsidR="001A1F90">
        <w:t xml:space="preserve"> </w:t>
      </w:r>
      <w:r>
        <w:t>of</w:t>
      </w:r>
      <w:r w:rsidR="001A1F90">
        <w:t xml:space="preserve"> </w:t>
      </w:r>
      <w:r>
        <w:t>proxy</w:t>
      </w:r>
      <w:r w:rsidR="001A1F90">
        <w:t xml:space="preserve"> </w:t>
      </w:r>
      <w:r>
        <w:t>consent</w:t>
      </w:r>
      <w:r w:rsidR="001A1F90">
        <w:t xml:space="preserve"> </w:t>
      </w:r>
      <w:r>
        <w:t>or</w:t>
      </w:r>
      <w:r w:rsidR="001A1F90">
        <w:t xml:space="preserve"> </w:t>
      </w:r>
      <w:r>
        <w:t>legal</w:t>
      </w:r>
      <w:r w:rsidR="001A1F90">
        <w:t xml:space="preserve"> </w:t>
      </w:r>
      <w:r>
        <w:t>justification.</w:t>
      </w:r>
    </w:p>
    <w:p w14:paraId="43F07D12" w14:textId="3557D79A" w:rsidR="004946F1" w:rsidRDefault="004946F1" w:rsidP="001C10C1">
      <w:pPr>
        <w:pStyle w:val="Heading2"/>
      </w:pPr>
      <w:bookmarkStart w:id="31" w:name="_Toc20225619"/>
      <w:r>
        <w:t>General</w:t>
      </w:r>
      <w:r w:rsidR="001A1F90">
        <w:t xml:space="preserve"> </w:t>
      </w:r>
      <w:r w:rsidR="00320B21">
        <w:t>p</w:t>
      </w:r>
      <w:r>
        <w:t>rinciples</w:t>
      </w:r>
      <w:r w:rsidR="001A1F90">
        <w:t xml:space="preserve"> </w:t>
      </w:r>
      <w:r>
        <w:t>of</w:t>
      </w:r>
      <w:r w:rsidR="001A1F90">
        <w:t xml:space="preserve"> </w:t>
      </w:r>
      <w:r w:rsidR="00320B21">
        <w:t>p</w:t>
      </w:r>
      <w:r>
        <w:t>rescribing</w:t>
      </w:r>
      <w:bookmarkEnd w:id="31"/>
    </w:p>
    <w:p w14:paraId="7BFAEC62" w14:textId="50D56ABB" w:rsidR="004946F1" w:rsidRDefault="004946F1" w:rsidP="00BD612C">
      <w:pPr>
        <w:pStyle w:val="DHHSbody"/>
      </w:pPr>
      <w:r>
        <w:t>The</w:t>
      </w:r>
      <w:r w:rsidR="001A1F90">
        <w:t xml:space="preserve"> </w:t>
      </w:r>
      <w:r>
        <w:t>least</w:t>
      </w:r>
      <w:r w:rsidR="001A1F90">
        <w:t xml:space="preserve"> </w:t>
      </w:r>
      <w:r>
        <w:t>intrusive</w:t>
      </w:r>
      <w:r w:rsidR="001A1F90">
        <w:t xml:space="preserve"> </w:t>
      </w:r>
      <w:r>
        <w:t>treatment</w:t>
      </w:r>
      <w:r w:rsidR="001A1F90">
        <w:t xml:space="preserve"> </w:t>
      </w:r>
      <w:r>
        <w:t>should</w:t>
      </w:r>
      <w:r w:rsidR="001A1F90">
        <w:t xml:space="preserve"> </w:t>
      </w:r>
      <w:r>
        <w:t>be</w:t>
      </w:r>
      <w:r w:rsidR="001A1F90">
        <w:t xml:space="preserve"> </w:t>
      </w:r>
      <w:r>
        <w:t>given</w:t>
      </w:r>
      <w:r w:rsidR="001A1F90">
        <w:t xml:space="preserve"> </w:t>
      </w:r>
      <w:r>
        <w:t>priority.</w:t>
      </w:r>
    </w:p>
    <w:p w14:paraId="644B6B6D" w14:textId="6CC42B66" w:rsidR="004946F1" w:rsidRDefault="004946F1" w:rsidP="00BD612C">
      <w:pPr>
        <w:pStyle w:val="DHHSbody"/>
      </w:pPr>
      <w:r>
        <w:t>Information</w:t>
      </w:r>
      <w:r w:rsidR="001A1F90">
        <w:t xml:space="preserve"> </w:t>
      </w:r>
      <w:r>
        <w:t>about</w:t>
      </w:r>
      <w:r w:rsidR="001A1F90">
        <w:t xml:space="preserve"> </w:t>
      </w:r>
      <w:r>
        <w:t>potential</w:t>
      </w:r>
      <w:r w:rsidR="001A1F90">
        <w:t xml:space="preserve"> </w:t>
      </w:r>
      <w:r>
        <w:t>cardiac</w:t>
      </w:r>
      <w:r w:rsidR="001A1F90">
        <w:t xml:space="preserve"> </w:t>
      </w:r>
      <w:r>
        <w:t>side</w:t>
      </w:r>
      <w:r w:rsidR="00B12E64">
        <w:t xml:space="preserve"> </w:t>
      </w:r>
      <w:r>
        <w:t>effects</w:t>
      </w:r>
      <w:r w:rsidR="001A1F90">
        <w:t xml:space="preserve"> </w:t>
      </w:r>
      <w:r>
        <w:t>should</w:t>
      </w:r>
      <w:r w:rsidR="001A1F90">
        <w:t xml:space="preserve"> </w:t>
      </w:r>
      <w:r>
        <w:t>be</w:t>
      </w:r>
      <w:r w:rsidR="001A1F90">
        <w:t xml:space="preserve"> </w:t>
      </w:r>
      <w:r>
        <w:t>forwarded</w:t>
      </w:r>
      <w:r w:rsidR="001A1F90">
        <w:t xml:space="preserve"> </w:t>
      </w:r>
      <w:r>
        <w:t>to</w:t>
      </w:r>
      <w:r w:rsidR="001A1F90">
        <w:t xml:space="preserve"> </w:t>
      </w:r>
      <w:r>
        <w:t>the</w:t>
      </w:r>
      <w:r w:rsidR="001A1F90">
        <w:t xml:space="preserve"> </w:t>
      </w:r>
      <w:r w:rsidR="00B12E64">
        <w:t>g</w:t>
      </w:r>
      <w:r>
        <w:t>eneral</w:t>
      </w:r>
      <w:r w:rsidR="001A1F90">
        <w:t xml:space="preserve"> </w:t>
      </w:r>
      <w:r w:rsidR="00B12E64">
        <w:t>p</w:t>
      </w:r>
      <w:r>
        <w:t>ractitioner.</w:t>
      </w:r>
    </w:p>
    <w:p w14:paraId="3C65304E" w14:textId="271D9979" w:rsidR="004946F1" w:rsidRDefault="004946F1" w:rsidP="00BD612C">
      <w:pPr>
        <w:pStyle w:val="DHHSbody"/>
      </w:pPr>
      <w:r>
        <w:t>It</w:t>
      </w:r>
      <w:r w:rsidR="001A1F90">
        <w:t xml:space="preserve"> </w:t>
      </w:r>
      <w:r>
        <w:t>is</w:t>
      </w:r>
      <w:r w:rsidR="001A1F90">
        <w:t xml:space="preserve"> </w:t>
      </w:r>
      <w:r>
        <w:t>recommended</w:t>
      </w:r>
      <w:r w:rsidR="001A1F90">
        <w:t xml:space="preserve"> </w:t>
      </w:r>
      <w:r>
        <w:t>that</w:t>
      </w:r>
      <w:r w:rsidR="001A1F90">
        <w:t xml:space="preserve"> </w:t>
      </w:r>
      <w:r>
        <w:t>these</w:t>
      </w:r>
      <w:r w:rsidR="001A1F90">
        <w:t xml:space="preserve"> </w:t>
      </w:r>
      <w:r>
        <w:t>medications</w:t>
      </w:r>
      <w:r w:rsidR="001A1F90">
        <w:t xml:space="preserve"> </w:t>
      </w:r>
      <w:r>
        <w:t>are</w:t>
      </w:r>
      <w:r w:rsidR="001A1F90">
        <w:t xml:space="preserve"> </w:t>
      </w:r>
      <w:r>
        <w:t>prescribed</w:t>
      </w:r>
      <w:r w:rsidR="001A1F90">
        <w:t xml:space="preserve"> </w:t>
      </w:r>
      <w:r>
        <w:t>in</w:t>
      </w:r>
      <w:r w:rsidR="001A1F90">
        <w:t xml:space="preserve"> </w:t>
      </w:r>
      <w:r>
        <w:t>conjunction</w:t>
      </w:r>
      <w:r w:rsidR="001A1F90">
        <w:t xml:space="preserve"> </w:t>
      </w:r>
      <w:r>
        <w:t>with</w:t>
      </w:r>
      <w:r w:rsidR="001A1F90">
        <w:t xml:space="preserve"> </w:t>
      </w:r>
      <w:r>
        <w:t>engagement</w:t>
      </w:r>
      <w:r w:rsidR="001A1F90">
        <w:t xml:space="preserve"> </w:t>
      </w:r>
      <w:r>
        <w:t>in</w:t>
      </w:r>
      <w:r w:rsidR="001A1F90">
        <w:t xml:space="preserve"> </w:t>
      </w:r>
      <w:r>
        <w:t>psychological</w:t>
      </w:r>
      <w:r w:rsidR="001A1F90">
        <w:t xml:space="preserve"> </w:t>
      </w:r>
      <w:r>
        <w:t>treatment.</w:t>
      </w:r>
    </w:p>
    <w:p w14:paraId="10FAF5E8" w14:textId="22434200" w:rsidR="004946F1" w:rsidRDefault="004946F1" w:rsidP="00BD612C">
      <w:pPr>
        <w:pStyle w:val="DHHSbody"/>
      </w:pPr>
      <w:r>
        <w:t>All</w:t>
      </w:r>
      <w:r w:rsidR="001A1F90">
        <w:t xml:space="preserve"> </w:t>
      </w:r>
      <w:r>
        <w:t>patients</w:t>
      </w:r>
      <w:r w:rsidR="001A1F90">
        <w:t xml:space="preserve"> </w:t>
      </w:r>
      <w:r>
        <w:t>prescribed</w:t>
      </w:r>
      <w:r w:rsidR="001A1F90">
        <w:t xml:space="preserve"> </w:t>
      </w:r>
      <w:r>
        <w:t>anti-libidinal</w:t>
      </w:r>
      <w:r w:rsidR="001A1F90">
        <w:t xml:space="preserve"> </w:t>
      </w:r>
      <w:r>
        <w:t>medications</w:t>
      </w:r>
      <w:r w:rsidR="001A1F90">
        <w:t xml:space="preserve"> </w:t>
      </w:r>
      <w:r>
        <w:t>should</w:t>
      </w:r>
      <w:r w:rsidR="001A1F90">
        <w:t xml:space="preserve"> </w:t>
      </w:r>
      <w:r>
        <w:t>be</w:t>
      </w:r>
      <w:r w:rsidR="001A1F90">
        <w:t xml:space="preserve"> </w:t>
      </w:r>
      <w:r>
        <w:t>discussed</w:t>
      </w:r>
      <w:r w:rsidR="001A1F90">
        <w:t xml:space="preserve"> </w:t>
      </w:r>
      <w:r>
        <w:t>regularly</w:t>
      </w:r>
      <w:r w:rsidR="001A1F90">
        <w:t xml:space="preserve"> </w:t>
      </w:r>
      <w:r>
        <w:t>at</w:t>
      </w:r>
      <w:r w:rsidR="001A1F90">
        <w:t xml:space="preserve"> </w:t>
      </w:r>
      <w:r>
        <w:t>the</w:t>
      </w:r>
      <w:r w:rsidR="001A1F90">
        <w:t xml:space="preserve"> </w:t>
      </w:r>
      <w:r>
        <w:t>PBP</w:t>
      </w:r>
      <w:r w:rsidR="001A1F90">
        <w:t xml:space="preserve"> </w:t>
      </w:r>
      <w:r>
        <w:t>quarterly</w:t>
      </w:r>
      <w:r w:rsidR="001A1F90">
        <w:t xml:space="preserve"> </w:t>
      </w:r>
      <w:r>
        <w:t>anti-libidinal</w:t>
      </w:r>
      <w:r w:rsidR="001A1F90">
        <w:t xml:space="preserve"> </w:t>
      </w:r>
      <w:r>
        <w:t>peer</w:t>
      </w:r>
      <w:r w:rsidR="001A1F90">
        <w:t xml:space="preserve"> </w:t>
      </w:r>
      <w:r>
        <w:t>review.</w:t>
      </w:r>
    </w:p>
    <w:p w14:paraId="06B88965" w14:textId="646606FC" w:rsidR="004946F1" w:rsidRDefault="004946F1" w:rsidP="00BD612C">
      <w:pPr>
        <w:pStyle w:val="DHHSbody"/>
      </w:pPr>
      <w:r>
        <w:t>Anti-androgen</w:t>
      </w:r>
      <w:r w:rsidR="001A1F90">
        <w:t xml:space="preserve"> </w:t>
      </w:r>
      <w:r>
        <w:t>medications</w:t>
      </w:r>
      <w:r w:rsidR="001A1F90">
        <w:t xml:space="preserve"> </w:t>
      </w:r>
      <w:r>
        <w:t>and</w:t>
      </w:r>
      <w:r w:rsidR="001A1F90">
        <w:t xml:space="preserve"> </w:t>
      </w:r>
      <w:r>
        <w:t>GnRH</w:t>
      </w:r>
      <w:r w:rsidR="001A1F90">
        <w:t xml:space="preserve"> </w:t>
      </w:r>
      <w:r>
        <w:t>analogues</w:t>
      </w:r>
      <w:r w:rsidR="001A1F90">
        <w:t xml:space="preserve"> </w:t>
      </w:r>
      <w:r>
        <w:t>must</w:t>
      </w:r>
      <w:r w:rsidR="001A1F90">
        <w:t xml:space="preserve"> </w:t>
      </w:r>
      <w:r>
        <w:t>not</w:t>
      </w:r>
      <w:r w:rsidR="001A1F90">
        <w:t xml:space="preserve"> </w:t>
      </w:r>
      <w:r>
        <w:t>be</w:t>
      </w:r>
      <w:r w:rsidR="001A1F90">
        <w:t xml:space="preserve"> </w:t>
      </w:r>
      <w:r>
        <w:t>used</w:t>
      </w:r>
      <w:r w:rsidR="001A1F90">
        <w:t xml:space="preserve"> </w:t>
      </w:r>
      <w:r>
        <w:t>before</w:t>
      </w:r>
      <w:r w:rsidR="001A1F90">
        <w:t xml:space="preserve"> </w:t>
      </w:r>
      <w:r>
        <w:t>puberty</w:t>
      </w:r>
      <w:r w:rsidR="001A1F90">
        <w:t xml:space="preserve"> </w:t>
      </w:r>
      <w:r>
        <w:t>and</w:t>
      </w:r>
      <w:r w:rsidR="001A1F90">
        <w:t xml:space="preserve"> </w:t>
      </w:r>
      <w:r>
        <w:t>bone</w:t>
      </w:r>
      <w:r w:rsidR="001A1F90">
        <w:t xml:space="preserve"> </w:t>
      </w:r>
      <w:r>
        <w:t>growth</w:t>
      </w:r>
      <w:r w:rsidR="001A1F90">
        <w:t xml:space="preserve"> </w:t>
      </w:r>
      <w:r>
        <w:t>are</w:t>
      </w:r>
      <w:r w:rsidR="001A1F90">
        <w:t xml:space="preserve"> </w:t>
      </w:r>
      <w:r>
        <w:t>completed.</w:t>
      </w:r>
    </w:p>
    <w:p w14:paraId="707B9F6F" w14:textId="184D219B" w:rsidR="004946F1" w:rsidRDefault="004946F1" w:rsidP="00BD612C">
      <w:pPr>
        <w:pStyle w:val="DHHSbody"/>
      </w:pPr>
      <w:r>
        <w:t>All</w:t>
      </w:r>
      <w:r w:rsidR="001A1F90">
        <w:t xml:space="preserve"> </w:t>
      </w:r>
      <w:r>
        <w:t>patients</w:t>
      </w:r>
      <w:r w:rsidR="001A1F90">
        <w:t xml:space="preserve"> </w:t>
      </w:r>
      <w:r>
        <w:t>(unless</w:t>
      </w:r>
      <w:r w:rsidR="001A1F90">
        <w:t xml:space="preserve"> </w:t>
      </w:r>
      <w:r>
        <w:t>contraindicated)</w:t>
      </w:r>
      <w:r w:rsidR="001A1F90">
        <w:t xml:space="preserve"> </w:t>
      </w:r>
      <w:r>
        <w:t>should</w:t>
      </w:r>
      <w:r w:rsidR="001A1F90">
        <w:t xml:space="preserve"> </w:t>
      </w:r>
      <w:r>
        <w:t>be</w:t>
      </w:r>
      <w:r w:rsidR="001A1F90">
        <w:t xml:space="preserve"> </w:t>
      </w:r>
      <w:r>
        <w:t>commenced</w:t>
      </w:r>
      <w:r w:rsidR="001A1F90">
        <w:t xml:space="preserve"> </w:t>
      </w:r>
      <w:r>
        <w:t>on</w:t>
      </w:r>
      <w:r w:rsidR="001A1F90">
        <w:t xml:space="preserve"> </w:t>
      </w:r>
      <w:r>
        <w:t>calcium</w:t>
      </w:r>
      <w:r w:rsidR="001A1F90">
        <w:t xml:space="preserve"> </w:t>
      </w:r>
      <w:r>
        <w:t>and</w:t>
      </w:r>
      <w:r w:rsidR="001A1F90">
        <w:t xml:space="preserve"> </w:t>
      </w:r>
      <w:r w:rsidR="00B12E64">
        <w:t>v</w:t>
      </w:r>
      <w:r>
        <w:t>itamin</w:t>
      </w:r>
      <w:r w:rsidR="001A1F90">
        <w:t xml:space="preserve"> </w:t>
      </w:r>
      <w:r>
        <w:t>D</w:t>
      </w:r>
      <w:r w:rsidR="001A1F90">
        <w:t xml:space="preserve"> </w:t>
      </w:r>
      <w:r>
        <w:t>supplements,</w:t>
      </w:r>
      <w:r w:rsidR="001A1F90">
        <w:t xml:space="preserve"> </w:t>
      </w:r>
      <w:r w:rsidR="00F550F1">
        <w:t>for example</w:t>
      </w:r>
      <w:r w:rsidR="00B12E64">
        <w:t>,</w:t>
      </w:r>
      <w:r w:rsidR="001A1F90">
        <w:t xml:space="preserve"> </w:t>
      </w:r>
      <w:r w:rsidRPr="004B4157">
        <w:rPr>
          <w:rStyle w:val="Strong"/>
        </w:rPr>
        <w:t>Ostelin</w:t>
      </w:r>
      <w:r w:rsidR="001A1F90">
        <w:rPr>
          <w:rStyle w:val="Strong"/>
        </w:rPr>
        <w:t xml:space="preserve"> </w:t>
      </w:r>
      <w:r w:rsidR="00B12E64">
        <w:rPr>
          <w:rStyle w:val="Strong"/>
        </w:rPr>
        <w:t>v</w:t>
      </w:r>
      <w:r w:rsidRPr="004B4157">
        <w:rPr>
          <w:rStyle w:val="Strong"/>
        </w:rPr>
        <w:t>itamin</w:t>
      </w:r>
      <w:r w:rsidR="001A1F90">
        <w:rPr>
          <w:rStyle w:val="Strong"/>
        </w:rPr>
        <w:t xml:space="preserve"> </w:t>
      </w:r>
      <w:r w:rsidRPr="004B4157">
        <w:rPr>
          <w:rStyle w:val="Strong"/>
        </w:rPr>
        <w:t>D</w:t>
      </w:r>
      <w:r w:rsidR="001A1F90">
        <w:rPr>
          <w:rStyle w:val="Strong"/>
        </w:rPr>
        <w:t xml:space="preserve"> </w:t>
      </w:r>
      <w:r w:rsidRPr="004B4157">
        <w:rPr>
          <w:rStyle w:val="Strong"/>
        </w:rPr>
        <w:t>plus</w:t>
      </w:r>
      <w:r w:rsidR="001A1F90">
        <w:rPr>
          <w:rStyle w:val="Strong"/>
        </w:rPr>
        <w:t xml:space="preserve"> </w:t>
      </w:r>
      <w:r w:rsidRPr="004B4157">
        <w:rPr>
          <w:rStyle w:val="Strong"/>
        </w:rPr>
        <w:t>calcium</w:t>
      </w:r>
      <w:r w:rsidR="00B12E64">
        <w:t xml:space="preserve">, </w:t>
      </w:r>
      <w:r>
        <w:t>and</w:t>
      </w:r>
      <w:r w:rsidR="001A1F90">
        <w:t xml:space="preserve"> </w:t>
      </w:r>
      <w:r>
        <w:t>all</w:t>
      </w:r>
      <w:r w:rsidR="001A1F90">
        <w:t xml:space="preserve"> </w:t>
      </w:r>
      <w:r>
        <w:t>patients</w:t>
      </w:r>
      <w:r w:rsidR="001A1F90">
        <w:t xml:space="preserve"> </w:t>
      </w:r>
      <w:r>
        <w:t>should</w:t>
      </w:r>
      <w:r w:rsidR="001A1F90">
        <w:t xml:space="preserve"> </w:t>
      </w:r>
      <w:r>
        <w:t>be</w:t>
      </w:r>
      <w:r w:rsidR="001A1F90">
        <w:t xml:space="preserve"> </w:t>
      </w:r>
      <w:r>
        <w:t>advised</w:t>
      </w:r>
      <w:r w:rsidR="001A1F90">
        <w:t xml:space="preserve"> </w:t>
      </w:r>
      <w:r>
        <w:t>to</w:t>
      </w:r>
      <w:r w:rsidR="001A1F90">
        <w:t xml:space="preserve"> </w:t>
      </w:r>
      <w:r>
        <w:t>abstain</w:t>
      </w:r>
      <w:r w:rsidR="001A1F90">
        <w:t xml:space="preserve"> </w:t>
      </w:r>
      <w:r>
        <w:t>from</w:t>
      </w:r>
      <w:r w:rsidR="001A1F90">
        <w:t xml:space="preserve"> </w:t>
      </w:r>
      <w:r>
        <w:t>smoking</w:t>
      </w:r>
      <w:r w:rsidR="001A1F90">
        <w:t xml:space="preserve"> </w:t>
      </w:r>
      <w:r>
        <w:t>and</w:t>
      </w:r>
      <w:r w:rsidR="001A1F90">
        <w:t xml:space="preserve"> </w:t>
      </w:r>
      <w:r>
        <w:t>excessive</w:t>
      </w:r>
      <w:r w:rsidR="001A1F90">
        <w:t xml:space="preserve"> </w:t>
      </w:r>
      <w:r>
        <w:t>alcohol</w:t>
      </w:r>
      <w:r w:rsidR="001A1F90">
        <w:t xml:space="preserve"> </w:t>
      </w:r>
      <w:r>
        <w:t>use.</w:t>
      </w:r>
      <w:r w:rsidR="001A1F90">
        <w:t xml:space="preserve"> </w:t>
      </w:r>
      <w:r>
        <w:t>In</w:t>
      </w:r>
      <w:r w:rsidR="001A1F90">
        <w:t xml:space="preserve"> </w:t>
      </w:r>
      <w:r>
        <w:t>some</w:t>
      </w:r>
      <w:r w:rsidR="001A1F90">
        <w:t xml:space="preserve"> </w:t>
      </w:r>
      <w:r>
        <w:t>patients,</w:t>
      </w:r>
      <w:r w:rsidR="001A1F90">
        <w:t xml:space="preserve"> </w:t>
      </w:r>
      <w:r>
        <w:t>bisphosphonate</w:t>
      </w:r>
      <w:r w:rsidR="001A1F90">
        <w:t xml:space="preserve"> </w:t>
      </w:r>
      <w:r>
        <w:t>prescription</w:t>
      </w:r>
      <w:r w:rsidR="001A1F90">
        <w:t xml:space="preserve"> </w:t>
      </w:r>
      <w:r>
        <w:t>may</w:t>
      </w:r>
      <w:r w:rsidR="001A1F90">
        <w:t xml:space="preserve"> </w:t>
      </w:r>
      <w:r>
        <w:t>be</w:t>
      </w:r>
      <w:r w:rsidR="001A1F90">
        <w:t xml:space="preserve"> </w:t>
      </w:r>
      <w:r>
        <w:t>warranted</w:t>
      </w:r>
      <w:r w:rsidR="00B12E64">
        <w:t>.</w:t>
      </w:r>
      <w:r w:rsidR="001A1F90">
        <w:t xml:space="preserve"> </w:t>
      </w:r>
      <w:r w:rsidR="00B12E64">
        <w:t>I</w:t>
      </w:r>
      <w:r>
        <w:t>f</w:t>
      </w:r>
      <w:r w:rsidR="001A1F90">
        <w:t xml:space="preserve"> </w:t>
      </w:r>
      <w:r>
        <w:t>uncertain,</w:t>
      </w:r>
      <w:r w:rsidR="001A1F90">
        <w:t xml:space="preserve"> </w:t>
      </w:r>
      <w:r>
        <w:t>endocrinology</w:t>
      </w:r>
      <w:r w:rsidR="001A1F90">
        <w:t xml:space="preserve"> </w:t>
      </w:r>
      <w:r>
        <w:t>consultation</w:t>
      </w:r>
      <w:r w:rsidR="001A1F90">
        <w:t xml:space="preserve"> </w:t>
      </w:r>
      <w:r>
        <w:t>should</w:t>
      </w:r>
      <w:r w:rsidR="001A1F90">
        <w:t xml:space="preserve"> </w:t>
      </w:r>
      <w:r>
        <w:t>be</w:t>
      </w:r>
      <w:r w:rsidR="001A1F90">
        <w:t xml:space="preserve"> </w:t>
      </w:r>
      <w:r>
        <w:t>sought.</w:t>
      </w:r>
    </w:p>
    <w:p w14:paraId="51A06AEC" w14:textId="13475A02" w:rsidR="004946F1" w:rsidRDefault="004946F1" w:rsidP="00BD612C">
      <w:pPr>
        <w:pStyle w:val="DHHSbody"/>
      </w:pPr>
      <w:r>
        <w:t>Consideration</w:t>
      </w:r>
      <w:r w:rsidR="001A1F90">
        <w:t xml:space="preserve"> </w:t>
      </w:r>
      <w:r>
        <w:t>should</w:t>
      </w:r>
      <w:r w:rsidR="001A1F90">
        <w:t xml:space="preserve"> </w:t>
      </w:r>
      <w:r>
        <w:t>be</w:t>
      </w:r>
      <w:r w:rsidR="001A1F90">
        <w:t xml:space="preserve"> </w:t>
      </w:r>
      <w:r>
        <w:t>made</w:t>
      </w:r>
      <w:r w:rsidR="001A1F90">
        <w:t xml:space="preserve"> </w:t>
      </w:r>
      <w:r>
        <w:t>of</w:t>
      </w:r>
      <w:r w:rsidR="001A1F90">
        <w:t xml:space="preserve"> </w:t>
      </w:r>
      <w:r>
        <w:t>an</w:t>
      </w:r>
      <w:r w:rsidR="001A1F90">
        <w:t xml:space="preserve"> </w:t>
      </w:r>
      <w:r>
        <w:t>initial</w:t>
      </w:r>
      <w:r w:rsidR="001A1F90">
        <w:t xml:space="preserve"> </w:t>
      </w:r>
      <w:r>
        <w:t>trial</w:t>
      </w:r>
      <w:r w:rsidR="001A1F90">
        <w:t xml:space="preserve"> </w:t>
      </w:r>
      <w:r>
        <w:t>of</w:t>
      </w:r>
      <w:r w:rsidR="001A1F90">
        <w:t xml:space="preserve"> </w:t>
      </w:r>
      <w:r>
        <w:t>SSRI</w:t>
      </w:r>
      <w:r w:rsidR="00B12E64">
        <w:t>,</w:t>
      </w:r>
      <w:r w:rsidR="001A1F90">
        <w:t xml:space="preserve"> </w:t>
      </w:r>
      <w:r>
        <w:t>especially</w:t>
      </w:r>
      <w:r w:rsidR="001A1F90">
        <w:t xml:space="preserve"> </w:t>
      </w:r>
      <w:r>
        <w:t>in:</w:t>
      </w:r>
    </w:p>
    <w:p w14:paraId="1232B47B" w14:textId="620EE7DC" w:rsidR="004946F1" w:rsidRDefault="00B12E64" w:rsidP="00BD612C">
      <w:pPr>
        <w:pStyle w:val="DHHSbullet1"/>
      </w:pPr>
      <w:r>
        <w:t>N</w:t>
      </w:r>
      <w:r w:rsidR="004946F1">
        <w:t>on</w:t>
      </w:r>
      <w:r>
        <w:t>-</w:t>
      </w:r>
      <w:r w:rsidR="004946F1">
        <w:t>high-risk</w:t>
      </w:r>
      <w:r w:rsidR="001A1F90">
        <w:t xml:space="preserve"> </w:t>
      </w:r>
      <w:r w:rsidR="004946F1">
        <w:t>cases</w:t>
      </w:r>
    </w:p>
    <w:p w14:paraId="3E4296DE" w14:textId="51ECC86F" w:rsidR="004946F1" w:rsidRDefault="004946F1" w:rsidP="00BD612C">
      <w:pPr>
        <w:pStyle w:val="DHHSbullet1"/>
      </w:pPr>
      <w:r>
        <w:t>adolescents</w:t>
      </w:r>
    </w:p>
    <w:p w14:paraId="1BA2A7BB" w14:textId="5C44571C" w:rsidR="004946F1" w:rsidRDefault="004946F1" w:rsidP="00BD612C">
      <w:pPr>
        <w:pStyle w:val="DHHSbullet1"/>
      </w:pPr>
      <w:r>
        <w:t>those</w:t>
      </w:r>
      <w:r w:rsidR="001A1F90">
        <w:t xml:space="preserve"> </w:t>
      </w:r>
      <w:r>
        <w:t>with</w:t>
      </w:r>
      <w:r w:rsidR="001A1F90">
        <w:t xml:space="preserve"> </w:t>
      </w:r>
      <w:r>
        <w:t>depression,</w:t>
      </w:r>
      <w:r w:rsidR="001A1F90">
        <w:t xml:space="preserve"> </w:t>
      </w:r>
      <w:r>
        <w:t>anxiety</w:t>
      </w:r>
      <w:r w:rsidR="001A1F90">
        <w:t xml:space="preserve"> </w:t>
      </w:r>
      <w:r>
        <w:t>or</w:t>
      </w:r>
      <w:r w:rsidR="001A1F90">
        <w:t xml:space="preserve"> </w:t>
      </w:r>
      <w:r>
        <w:t>obsessive</w:t>
      </w:r>
      <w:r w:rsidR="001A1F90">
        <w:t xml:space="preserve"> </w:t>
      </w:r>
      <w:r>
        <w:t>features</w:t>
      </w:r>
      <w:r w:rsidR="00B12E64">
        <w:t>.</w:t>
      </w:r>
    </w:p>
    <w:p w14:paraId="4A0965AF" w14:textId="27690C13" w:rsidR="004946F1" w:rsidRDefault="004946F1" w:rsidP="00CA3986">
      <w:pPr>
        <w:pStyle w:val="DHHSbodyafterbullets"/>
      </w:pPr>
      <w:r>
        <w:t>The</w:t>
      </w:r>
      <w:r w:rsidR="001A1F90">
        <w:t xml:space="preserve"> </w:t>
      </w:r>
      <w:r>
        <w:t>development</w:t>
      </w:r>
      <w:r w:rsidR="001A1F90">
        <w:t xml:space="preserve"> </w:t>
      </w:r>
      <w:r>
        <w:t>of</w:t>
      </w:r>
      <w:r w:rsidR="001A1F90">
        <w:t xml:space="preserve"> </w:t>
      </w:r>
      <w:r>
        <w:t>adverse</w:t>
      </w:r>
      <w:r w:rsidR="001A1F90">
        <w:t xml:space="preserve"> </w:t>
      </w:r>
      <w:r>
        <w:t>effects</w:t>
      </w:r>
      <w:r w:rsidR="001A1F90">
        <w:t xml:space="preserve"> </w:t>
      </w:r>
      <w:r>
        <w:t>may</w:t>
      </w:r>
      <w:r w:rsidR="001A1F90">
        <w:t xml:space="preserve"> </w:t>
      </w:r>
      <w:r>
        <w:t>not</w:t>
      </w:r>
      <w:r w:rsidR="001A1F90">
        <w:t xml:space="preserve"> </w:t>
      </w:r>
      <w:r>
        <w:t>warrant</w:t>
      </w:r>
      <w:r w:rsidR="001A1F90">
        <w:t xml:space="preserve"> </w:t>
      </w:r>
      <w:r>
        <w:t>discontinuation</w:t>
      </w:r>
      <w:r w:rsidR="00B12E64">
        <w:t>,</w:t>
      </w:r>
      <w:r w:rsidR="001A1F90">
        <w:t xml:space="preserve"> </w:t>
      </w:r>
      <w:r>
        <w:t>but</w:t>
      </w:r>
      <w:r w:rsidR="001A1F90">
        <w:t xml:space="preserve"> </w:t>
      </w:r>
      <w:r>
        <w:t>in</w:t>
      </w:r>
      <w:r w:rsidR="001A1F90">
        <w:t xml:space="preserve"> </w:t>
      </w:r>
      <w:r>
        <w:t>individual</w:t>
      </w:r>
      <w:r w:rsidR="001A1F90">
        <w:t xml:space="preserve"> </w:t>
      </w:r>
      <w:r>
        <w:t>cases</w:t>
      </w:r>
      <w:r w:rsidR="001A1F90">
        <w:t xml:space="preserve"> </w:t>
      </w:r>
      <w:r>
        <w:t>reconsideration</w:t>
      </w:r>
      <w:r w:rsidR="001A1F90">
        <w:t xml:space="preserve"> </w:t>
      </w:r>
      <w:r>
        <w:t>of</w:t>
      </w:r>
      <w:r w:rsidR="001A1F90">
        <w:t xml:space="preserve"> </w:t>
      </w:r>
      <w:r>
        <w:t>risks</w:t>
      </w:r>
      <w:r w:rsidR="001A1F90">
        <w:t xml:space="preserve"> </w:t>
      </w:r>
      <w:r>
        <w:t>and</w:t>
      </w:r>
      <w:r w:rsidR="001A1F90">
        <w:t xml:space="preserve"> </w:t>
      </w:r>
      <w:r>
        <w:t>benefits</w:t>
      </w:r>
      <w:r w:rsidR="001A1F90">
        <w:t xml:space="preserve"> </w:t>
      </w:r>
      <w:r>
        <w:t>is</w:t>
      </w:r>
      <w:r w:rsidR="001A1F90">
        <w:t xml:space="preserve"> </w:t>
      </w:r>
      <w:r>
        <w:t>indicated,</w:t>
      </w:r>
      <w:r w:rsidR="001A1F90">
        <w:t xml:space="preserve"> </w:t>
      </w:r>
      <w:r>
        <w:t>along</w:t>
      </w:r>
      <w:r w:rsidR="001A1F90">
        <w:t xml:space="preserve"> </w:t>
      </w:r>
      <w:r>
        <w:t>with</w:t>
      </w:r>
      <w:r w:rsidR="001A1F90">
        <w:t xml:space="preserve"> </w:t>
      </w:r>
      <w:r>
        <w:t>increased</w:t>
      </w:r>
      <w:r w:rsidR="001A1F90">
        <w:t xml:space="preserve"> </w:t>
      </w:r>
      <w:r>
        <w:t>monitoring</w:t>
      </w:r>
      <w:r w:rsidR="001A1F90">
        <w:t xml:space="preserve"> </w:t>
      </w:r>
      <w:r>
        <w:t>and,</w:t>
      </w:r>
      <w:r w:rsidR="001A1F90">
        <w:t xml:space="preserve"> </w:t>
      </w:r>
      <w:r>
        <w:t>if</w:t>
      </w:r>
      <w:r w:rsidR="001A1F90">
        <w:t xml:space="preserve"> </w:t>
      </w:r>
      <w:r>
        <w:t>necessary,</w:t>
      </w:r>
      <w:r w:rsidR="001A1F90">
        <w:t xml:space="preserve"> </w:t>
      </w:r>
      <w:r>
        <w:t>specialist</w:t>
      </w:r>
      <w:r w:rsidR="001A1F90">
        <w:t xml:space="preserve"> </w:t>
      </w:r>
      <w:r>
        <w:t>or</w:t>
      </w:r>
      <w:r w:rsidR="001A1F90">
        <w:t xml:space="preserve"> </w:t>
      </w:r>
      <w:r>
        <w:t>GP</w:t>
      </w:r>
      <w:r w:rsidR="001A1F90">
        <w:t xml:space="preserve"> </w:t>
      </w:r>
      <w:r>
        <w:t>consultation</w:t>
      </w:r>
      <w:r w:rsidR="001A1F90">
        <w:t xml:space="preserve"> </w:t>
      </w:r>
      <w:r>
        <w:t>for</w:t>
      </w:r>
      <w:r w:rsidR="001A1F90">
        <w:t xml:space="preserve"> </w:t>
      </w:r>
      <w:r>
        <w:t>advice.</w:t>
      </w:r>
    </w:p>
    <w:p w14:paraId="658EBF9E" w14:textId="7177B46C" w:rsidR="004946F1" w:rsidRDefault="004946F1" w:rsidP="001C10C1">
      <w:pPr>
        <w:pStyle w:val="Heading2"/>
      </w:pPr>
      <w:bookmarkStart w:id="32" w:name="_Toc20225620"/>
      <w:r>
        <w:t>Duration</w:t>
      </w:r>
      <w:r w:rsidR="001A1F90">
        <w:t xml:space="preserve"> </w:t>
      </w:r>
      <w:r>
        <w:t>of</w:t>
      </w:r>
      <w:r w:rsidR="001A1F90">
        <w:t xml:space="preserve"> </w:t>
      </w:r>
      <w:r w:rsidR="00320B21">
        <w:t>t</w:t>
      </w:r>
      <w:r>
        <w:t>reatment</w:t>
      </w:r>
      <w:bookmarkEnd w:id="32"/>
    </w:p>
    <w:p w14:paraId="3059F075" w14:textId="71432CE2" w:rsidR="004946F1" w:rsidRDefault="004946F1" w:rsidP="00BD612C">
      <w:pPr>
        <w:pStyle w:val="DHHSbody"/>
      </w:pPr>
      <w:r>
        <w:t>According</w:t>
      </w:r>
      <w:r w:rsidR="001A1F90">
        <w:t xml:space="preserve"> </w:t>
      </w:r>
      <w:r>
        <w:t>to</w:t>
      </w:r>
      <w:r w:rsidR="001A1F90">
        <w:t xml:space="preserve"> </w:t>
      </w:r>
      <w:r>
        <w:t>the</w:t>
      </w:r>
      <w:r w:rsidR="001A1F90">
        <w:t xml:space="preserve"> </w:t>
      </w:r>
      <w:r>
        <w:t>great</w:t>
      </w:r>
      <w:r w:rsidR="001A1F90">
        <w:t xml:space="preserve"> </w:t>
      </w:r>
      <w:r>
        <w:t>majority</w:t>
      </w:r>
      <w:r w:rsidR="001A1F90">
        <w:t xml:space="preserve"> </w:t>
      </w:r>
      <w:r>
        <w:t>of</w:t>
      </w:r>
      <w:r w:rsidR="001A1F90">
        <w:t xml:space="preserve"> </w:t>
      </w:r>
      <w:r>
        <w:t>authors,</w:t>
      </w:r>
      <w:r w:rsidR="001A1F90">
        <w:t xml:space="preserve"> </w:t>
      </w:r>
      <w:r>
        <w:t>a</w:t>
      </w:r>
      <w:r w:rsidR="001A1F90">
        <w:t xml:space="preserve"> </w:t>
      </w:r>
      <w:r>
        <w:t>minimal</w:t>
      </w:r>
      <w:r w:rsidR="001A1F90">
        <w:t xml:space="preserve"> </w:t>
      </w:r>
      <w:r>
        <w:t>duration</w:t>
      </w:r>
      <w:r w:rsidR="001A1F90">
        <w:t xml:space="preserve"> </w:t>
      </w:r>
      <w:r>
        <w:t>of</w:t>
      </w:r>
      <w:r w:rsidR="001A1F90">
        <w:t xml:space="preserve"> </w:t>
      </w:r>
      <w:r>
        <w:t>treatment</w:t>
      </w:r>
      <w:r w:rsidR="001A1F90">
        <w:t xml:space="preserve"> </w:t>
      </w:r>
      <w:r>
        <w:t>of</w:t>
      </w:r>
      <w:r w:rsidR="001A1F90">
        <w:t xml:space="preserve"> </w:t>
      </w:r>
      <w:r w:rsidR="00B12E64">
        <w:t>three to five</w:t>
      </w:r>
      <w:r w:rsidR="001A1F90">
        <w:t xml:space="preserve"> </w:t>
      </w:r>
      <w:r>
        <w:t>years</w:t>
      </w:r>
      <w:r w:rsidR="001A1F90">
        <w:t xml:space="preserve"> </w:t>
      </w:r>
      <w:r>
        <w:t>for</w:t>
      </w:r>
      <w:r w:rsidR="001A1F90">
        <w:t xml:space="preserve"> </w:t>
      </w:r>
      <w:r>
        <w:t>severe</w:t>
      </w:r>
      <w:r w:rsidR="001A1F90">
        <w:t xml:space="preserve"> </w:t>
      </w:r>
      <w:r>
        <w:t>paraphilia</w:t>
      </w:r>
      <w:r w:rsidR="001A1F90">
        <w:t xml:space="preserve"> </w:t>
      </w:r>
      <w:r>
        <w:t>with</w:t>
      </w:r>
      <w:r w:rsidR="001A1F90">
        <w:t xml:space="preserve"> </w:t>
      </w:r>
      <w:r>
        <w:t>a</w:t>
      </w:r>
      <w:r w:rsidR="001A1F90">
        <w:t xml:space="preserve"> </w:t>
      </w:r>
      <w:r>
        <w:t>high</w:t>
      </w:r>
      <w:r w:rsidR="001A1F90">
        <w:t xml:space="preserve"> </w:t>
      </w:r>
      <w:r>
        <w:t>risk</w:t>
      </w:r>
      <w:r w:rsidR="001A1F90">
        <w:t xml:space="preserve"> </w:t>
      </w:r>
      <w:r>
        <w:t>of</w:t>
      </w:r>
      <w:r w:rsidR="001A1F90">
        <w:t xml:space="preserve"> </w:t>
      </w:r>
      <w:r>
        <w:t>sexual</w:t>
      </w:r>
      <w:r w:rsidR="001A1F90">
        <w:t xml:space="preserve"> </w:t>
      </w:r>
      <w:r>
        <w:t>violence</w:t>
      </w:r>
      <w:r w:rsidR="001A1F90">
        <w:t xml:space="preserve"> </w:t>
      </w:r>
      <w:r>
        <w:t>is</w:t>
      </w:r>
      <w:r w:rsidR="001A1F90">
        <w:t xml:space="preserve"> </w:t>
      </w:r>
      <w:r>
        <w:t>necessary.</w:t>
      </w:r>
      <w:r w:rsidR="001A1F90">
        <w:t xml:space="preserve"> </w:t>
      </w:r>
      <w:r>
        <w:t>Hormonal</w:t>
      </w:r>
      <w:r w:rsidR="001A1F90">
        <w:t xml:space="preserve"> </w:t>
      </w:r>
      <w:r>
        <w:t>treatment</w:t>
      </w:r>
      <w:r w:rsidR="001A1F90">
        <w:t xml:space="preserve"> </w:t>
      </w:r>
      <w:r>
        <w:t>must</w:t>
      </w:r>
      <w:r w:rsidR="001A1F90">
        <w:t xml:space="preserve"> </w:t>
      </w:r>
      <w:r>
        <w:t>not</w:t>
      </w:r>
      <w:r w:rsidR="001A1F90">
        <w:t xml:space="preserve"> </w:t>
      </w:r>
      <w:r>
        <w:t>be</w:t>
      </w:r>
      <w:r w:rsidR="001A1F90">
        <w:t xml:space="preserve"> </w:t>
      </w:r>
      <w:r>
        <w:t>abruptly</w:t>
      </w:r>
      <w:r w:rsidR="001A1F90">
        <w:t xml:space="preserve"> </w:t>
      </w:r>
      <w:r>
        <w:t>stopped.</w:t>
      </w:r>
      <w:r w:rsidR="001A1F90">
        <w:t xml:space="preserve"> </w:t>
      </w:r>
      <w:r>
        <w:t>In</w:t>
      </w:r>
      <w:r w:rsidR="001A1F90">
        <w:t xml:space="preserve"> </w:t>
      </w:r>
      <w:r>
        <w:t>cases</w:t>
      </w:r>
      <w:r w:rsidR="001A1F90">
        <w:t xml:space="preserve"> </w:t>
      </w:r>
      <w:r>
        <w:t>of</w:t>
      </w:r>
      <w:r w:rsidR="001A1F90">
        <w:t xml:space="preserve"> </w:t>
      </w:r>
      <w:r>
        <w:t>mild</w:t>
      </w:r>
      <w:r w:rsidR="001A1F90">
        <w:t xml:space="preserve"> </w:t>
      </w:r>
      <w:r>
        <w:t>paraphilia,</w:t>
      </w:r>
      <w:r w:rsidR="001A1F90">
        <w:t xml:space="preserve"> </w:t>
      </w:r>
      <w:r>
        <w:t>a</w:t>
      </w:r>
      <w:r w:rsidR="001A1F90">
        <w:t xml:space="preserve"> </w:t>
      </w:r>
      <w:r>
        <w:t>treatment</w:t>
      </w:r>
      <w:r w:rsidR="001A1F90">
        <w:t xml:space="preserve"> </w:t>
      </w:r>
      <w:r>
        <w:t>of</w:t>
      </w:r>
      <w:r w:rsidR="001A1F90">
        <w:t xml:space="preserve"> </w:t>
      </w:r>
      <w:r>
        <w:t>at</w:t>
      </w:r>
      <w:r w:rsidR="001A1F90">
        <w:t xml:space="preserve"> </w:t>
      </w:r>
      <w:r>
        <w:t>least</w:t>
      </w:r>
      <w:r w:rsidR="001A1F90">
        <w:t xml:space="preserve"> </w:t>
      </w:r>
      <w:r>
        <w:t>two</w:t>
      </w:r>
      <w:r w:rsidR="001A1F90">
        <w:t xml:space="preserve"> </w:t>
      </w:r>
      <w:r>
        <w:t>years</w:t>
      </w:r>
      <w:r w:rsidR="001A1F90">
        <w:t xml:space="preserve"> </w:t>
      </w:r>
      <w:r>
        <w:t>might</w:t>
      </w:r>
      <w:r w:rsidR="001A1F90">
        <w:t xml:space="preserve"> </w:t>
      </w:r>
      <w:r>
        <w:t>be</w:t>
      </w:r>
      <w:r w:rsidR="001A1F90">
        <w:t xml:space="preserve"> </w:t>
      </w:r>
      <w:r>
        <w:t>used,</w:t>
      </w:r>
      <w:r w:rsidR="001A1F90">
        <w:t xml:space="preserve"> </w:t>
      </w:r>
      <w:r>
        <w:t>after</w:t>
      </w:r>
      <w:r w:rsidR="001A1F90">
        <w:t xml:space="preserve"> </w:t>
      </w:r>
      <w:r>
        <w:t>which</w:t>
      </w:r>
      <w:r w:rsidR="001A1F90">
        <w:t xml:space="preserve"> </w:t>
      </w:r>
      <w:r>
        <w:t>the</w:t>
      </w:r>
      <w:r w:rsidR="001A1F90">
        <w:t xml:space="preserve"> </w:t>
      </w:r>
      <w:r>
        <w:t>patient</w:t>
      </w:r>
      <w:r w:rsidR="001A1F90">
        <w:t xml:space="preserve"> </w:t>
      </w:r>
      <w:r>
        <w:t>must</w:t>
      </w:r>
      <w:r w:rsidR="001A1F90">
        <w:t xml:space="preserve"> </w:t>
      </w:r>
      <w:r>
        <w:t>be</w:t>
      </w:r>
      <w:r w:rsidR="001A1F90">
        <w:t xml:space="preserve"> </w:t>
      </w:r>
      <w:r>
        <w:t>carefully</w:t>
      </w:r>
      <w:r w:rsidR="001A1F90">
        <w:t xml:space="preserve"> </w:t>
      </w:r>
      <w:r>
        <w:t>followed</w:t>
      </w:r>
      <w:r w:rsidR="001A1F90">
        <w:t xml:space="preserve"> </w:t>
      </w:r>
      <w:r>
        <w:t>up</w:t>
      </w:r>
      <w:r w:rsidR="001A1F90">
        <w:t xml:space="preserve"> </w:t>
      </w:r>
      <w:r>
        <w:t>in</w:t>
      </w:r>
      <w:r w:rsidR="001A1F90">
        <w:t xml:space="preserve"> </w:t>
      </w:r>
      <w:r>
        <w:t>case</w:t>
      </w:r>
      <w:r w:rsidR="001A1F90">
        <w:t xml:space="preserve"> </w:t>
      </w:r>
      <w:r>
        <w:t>of</w:t>
      </w:r>
      <w:r w:rsidR="001A1F90">
        <w:t xml:space="preserve"> </w:t>
      </w:r>
      <w:r>
        <w:t>treatment</w:t>
      </w:r>
      <w:r w:rsidR="001A1F90">
        <w:t xml:space="preserve"> </w:t>
      </w:r>
      <w:r>
        <w:t>interruption.</w:t>
      </w:r>
      <w:r w:rsidR="001A1F90">
        <w:t xml:space="preserve"> </w:t>
      </w:r>
      <w:r>
        <w:t>Treatment</w:t>
      </w:r>
      <w:r w:rsidR="001A1F90">
        <w:t xml:space="preserve"> </w:t>
      </w:r>
      <w:r>
        <w:t>must</w:t>
      </w:r>
      <w:r w:rsidR="001A1F90">
        <w:t xml:space="preserve"> </w:t>
      </w:r>
      <w:r>
        <w:t>be</w:t>
      </w:r>
      <w:r w:rsidR="001A1F90">
        <w:t xml:space="preserve"> </w:t>
      </w:r>
      <w:r>
        <w:t>resumed</w:t>
      </w:r>
      <w:r w:rsidR="001A1F90">
        <w:t xml:space="preserve"> </w:t>
      </w:r>
      <w:r>
        <w:t>in</w:t>
      </w:r>
      <w:r w:rsidR="001A1F90">
        <w:t xml:space="preserve"> </w:t>
      </w:r>
      <w:r>
        <w:t>cases</w:t>
      </w:r>
      <w:r w:rsidR="001A1F90">
        <w:t xml:space="preserve"> </w:t>
      </w:r>
      <w:r>
        <w:t>of</w:t>
      </w:r>
      <w:r w:rsidR="001A1F90">
        <w:t xml:space="preserve"> </w:t>
      </w:r>
      <w:r>
        <w:t>recurrence</w:t>
      </w:r>
      <w:r w:rsidR="001A1F90">
        <w:t xml:space="preserve"> </w:t>
      </w:r>
      <w:r>
        <w:t>of</w:t>
      </w:r>
      <w:r w:rsidR="001A1F90">
        <w:t xml:space="preserve"> </w:t>
      </w:r>
      <w:r>
        <w:t>paraphilic</w:t>
      </w:r>
      <w:r w:rsidR="001A1F90">
        <w:t xml:space="preserve"> </w:t>
      </w:r>
      <w:r>
        <w:t>sexual</w:t>
      </w:r>
      <w:r w:rsidR="001A1F90">
        <w:t xml:space="preserve"> </w:t>
      </w:r>
      <w:r>
        <w:t>behaviour.</w:t>
      </w:r>
    </w:p>
    <w:p w14:paraId="056A8D1A" w14:textId="77777777" w:rsidR="004946F1" w:rsidRDefault="004946F1" w:rsidP="001C10C1">
      <w:pPr>
        <w:pStyle w:val="Heading2"/>
      </w:pPr>
      <w:bookmarkStart w:id="33" w:name="_Toc20225621"/>
      <w:r>
        <w:t>Dosages</w:t>
      </w:r>
      <w:bookmarkEnd w:id="33"/>
    </w:p>
    <w:p w14:paraId="63B3D4B1" w14:textId="47EB23EA" w:rsidR="004946F1" w:rsidRDefault="004946F1" w:rsidP="00BD612C">
      <w:pPr>
        <w:pStyle w:val="DHHSbody"/>
      </w:pPr>
      <w:r>
        <w:t>For</w:t>
      </w:r>
      <w:r w:rsidR="001A1F90">
        <w:t xml:space="preserve"> </w:t>
      </w:r>
      <w:r w:rsidRPr="004B4157">
        <w:rPr>
          <w:rStyle w:val="Strong"/>
        </w:rPr>
        <w:t>cyproterone</w:t>
      </w:r>
      <w:r w:rsidR="001A1F90">
        <w:rPr>
          <w:rStyle w:val="Strong"/>
        </w:rPr>
        <w:t xml:space="preserve"> </w:t>
      </w:r>
      <w:r w:rsidRPr="004B4157">
        <w:rPr>
          <w:rStyle w:val="Strong"/>
        </w:rPr>
        <w:t>acetate</w:t>
      </w:r>
      <w:r w:rsidR="001A1F90">
        <w:t xml:space="preserve"> </w:t>
      </w:r>
      <w:r>
        <w:t>(CPA,</w:t>
      </w:r>
      <w:r w:rsidR="001A1F90">
        <w:t xml:space="preserve"> </w:t>
      </w:r>
      <w:r w:rsidR="002B53B9">
        <w:t>c</w:t>
      </w:r>
      <w:r>
        <w:t>yproterone</w:t>
      </w:r>
      <w:r w:rsidR="001A1F90">
        <w:t xml:space="preserve"> </w:t>
      </w:r>
      <w:r w:rsidR="002B53B9">
        <w:t>a</w:t>
      </w:r>
      <w:r>
        <w:t>cetate)</w:t>
      </w:r>
    </w:p>
    <w:p w14:paraId="04F377A0" w14:textId="15301C04" w:rsidR="004946F1" w:rsidRDefault="004946F1" w:rsidP="00BD612C">
      <w:pPr>
        <w:pStyle w:val="DHHSbullet1"/>
      </w:pPr>
      <w:r>
        <w:t>50</w:t>
      </w:r>
      <w:r w:rsidR="003A6965">
        <w:t xml:space="preserve"> </w:t>
      </w:r>
      <w:r>
        <w:t>mg</w:t>
      </w:r>
      <w:r w:rsidR="001A1F90">
        <w:t xml:space="preserve"> </w:t>
      </w:r>
      <w:r>
        <w:t>BD</w:t>
      </w:r>
      <w:r w:rsidR="001A1F90">
        <w:t xml:space="preserve"> </w:t>
      </w:r>
      <w:r>
        <w:t>PO</w:t>
      </w:r>
      <w:r w:rsidR="001A1F90">
        <w:t xml:space="preserve"> </w:t>
      </w:r>
      <w:r>
        <w:t>–</w:t>
      </w:r>
      <w:r w:rsidR="001A1F90">
        <w:t xml:space="preserve"> </w:t>
      </w:r>
      <w:r>
        <w:t>increase</w:t>
      </w:r>
      <w:r w:rsidR="001A1F90">
        <w:t xml:space="preserve"> </w:t>
      </w:r>
      <w:r>
        <w:t>as</w:t>
      </w:r>
      <w:r w:rsidR="001A1F90">
        <w:t xml:space="preserve"> </w:t>
      </w:r>
      <w:r>
        <w:t>indicated</w:t>
      </w:r>
      <w:r w:rsidR="001A1F90">
        <w:t xml:space="preserve"> </w:t>
      </w:r>
      <w:r>
        <w:t>to</w:t>
      </w:r>
      <w:r w:rsidR="001A1F90">
        <w:t xml:space="preserve"> </w:t>
      </w:r>
      <w:r>
        <w:t>a</w:t>
      </w:r>
      <w:r w:rsidR="001A1F90">
        <w:t xml:space="preserve"> </w:t>
      </w:r>
      <w:r>
        <w:t>maximum</w:t>
      </w:r>
      <w:r w:rsidR="001A1F90">
        <w:t xml:space="preserve"> </w:t>
      </w:r>
      <w:r>
        <w:t>of</w:t>
      </w:r>
      <w:r w:rsidR="001A1F90">
        <w:t xml:space="preserve"> </w:t>
      </w:r>
      <w:r>
        <w:t>300</w:t>
      </w:r>
      <w:r w:rsidR="002B53B9">
        <w:t xml:space="preserve"> </w:t>
      </w:r>
      <w:r>
        <w:t>mg</w:t>
      </w:r>
      <w:r w:rsidR="001A1F90">
        <w:t xml:space="preserve"> </w:t>
      </w:r>
      <w:r>
        <w:t>PO</w:t>
      </w:r>
      <w:r w:rsidR="001A1F90">
        <w:t xml:space="preserve"> </w:t>
      </w:r>
      <w:r>
        <w:t>daily</w:t>
      </w:r>
    </w:p>
    <w:p w14:paraId="0B40E921" w14:textId="69F7C199" w:rsidR="004946F1" w:rsidRDefault="004946F1" w:rsidP="00320B21">
      <w:pPr>
        <w:pStyle w:val="DHHSbodyafterbullets"/>
      </w:pPr>
      <w:r>
        <w:t>For</w:t>
      </w:r>
      <w:r w:rsidR="001A1F90">
        <w:t xml:space="preserve"> </w:t>
      </w:r>
      <w:r w:rsidRPr="004B4157">
        <w:rPr>
          <w:rStyle w:val="Strong"/>
        </w:rPr>
        <w:t>leuprorelin</w:t>
      </w:r>
      <w:r w:rsidR="001A1F90">
        <w:rPr>
          <w:rStyle w:val="Strong"/>
        </w:rPr>
        <w:t xml:space="preserve"> </w:t>
      </w:r>
      <w:r w:rsidRPr="004B4157">
        <w:rPr>
          <w:rStyle w:val="Strong"/>
        </w:rPr>
        <w:t>acetate</w:t>
      </w:r>
      <w:r w:rsidR="001A1F90">
        <w:t xml:space="preserve"> </w:t>
      </w:r>
      <w:r>
        <w:t>(LEU,</w:t>
      </w:r>
      <w:r w:rsidR="001A1F90">
        <w:t xml:space="preserve"> </w:t>
      </w:r>
      <w:r>
        <w:t>Lucrin)</w:t>
      </w:r>
    </w:p>
    <w:p w14:paraId="543C4CB6" w14:textId="54391243" w:rsidR="004946F1" w:rsidRDefault="004946F1" w:rsidP="00BD612C">
      <w:pPr>
        <w:pStyle w:val="DHHSbullet1"/>
      </w:pPr>
      <w:r>
        <w:t>3.75–7.5</w:t>
      </w:r>
      <w:r w:rsidR="003A6965">
        <w:t xml:space="preserve"> </w:t>
      </w:r>
      <w:r>
        <w:t>mg</w:t>
      </w:r>
      <w:r w:rsidR="001A1F90">
        <w:t xml:space="preserve"> </w:t>
      </w:r>
      <w:r>
        <w:t>IMI</w:t>
      </w:r>
      <w:r w:rsidR="001A1F90">
        <w:t xml:space="preserve"> </w:t>
      </w:r>
      <w:r>
        <w:t>monthly,</w:t>
      </w:r>
      <w:r w:rsidR="001A1F90">
        <w:t xml:space="preserve"> </w:t>
      </w:r>
      <w:r>
        <w:t>11.5</w:t>
      </w:r>
      <w:r w:rsidR="002B53B9">
        <w:t xml:space="preserve"> </w:t>
      </w:r>
      <w:r>
        <w:t>mg</w:t>
      </w:r>
      <w:r w:rsidR="001A1F90">
        <w:t xml:space="preserve"> </w:t>
      </w:r>
      <w:r>
        <w:t>IMI</w:t>
      </w:r>
      <w:r w:rsidR="001A1F90">
        <w:t xml:space="preserve"> </w:t>
      </w:r>
      <w:r w:rsidR="003A6965">
        <w:t>three-</w:t>
      </w:r>
      <w:r>
        <w:t>monthly</w:t>
      </w:r>
      <w:r w:rsidR="003A6965">
        <w:t xml:space="preserve"> </w:t>
      </w:r>
      <w:r>
        <w:t>–</w:t>
      </w:r>
      <w:r w:rsidR="001A1F90">
        <w:t xml:space="preserve"> </w:t>
      </w:r>
      <w:r>
        <w:t>concomitant</w:t>
      </w:r>
      <w:r w:rsidR="001A1F90">
        <w:t xml:space="preserve"> </w:t>
      </w:r>
      <w:r>
        <w:t>treatment</w:t>
      </w:r>
      <w:r w:rsidR="001A1F90">
        <w:t xml:space="preserve"> </w:t>
      </w:r>
      <w:r>
        <w:t>with</w:t>
      </w:r>
      <w:r w:rsidR="001A1F90">
        <w:t xml:space="preserve"> </w:t>
      </w:r>
      <w:r>
        <w:t>CPA</w:t>
      </w:r>
      <w:r w:rsidR="001A1F90">
        <w:t xml:space="preserve"> </w:t>
      </w:r>
      <w:r>
        <w:t>100</w:t>
      </w:r>
      <w:r w:rsidR="002B53B9">
        <w:t xml:space="preserve"> </w:t>
      </w:r>
      <w:r>
        <w:t>mg</w:t>
      </w:r>
      <w:r w:rsidR="001A1F90">
        <w:t xml:space="preserve"> </w:t>
      </w:r>
      <w:r>
        <w:t>daily</w:t>
      </w:r>
      <w:r w:rsidR="001A1F90">
        <w:t xml:space="preserve"> </w:t>
      </w:r>
      <w:r>
        <w:t>is</w:t>
      </w:r>
      <w:r w:rsidR="001A1F90">
        <w:t xml:space="preserve"> </w:t>
      </w:r>
      <w:r>
        <w:t>essential</w:t>
      </w:r>
      <w:r w:rsidR="001A1F90">
        <w:t xml:space="preserve"> </w:t>
      </w:r>
      <w:r>
        <w:t>for</w:t>
      </w:r>
      <w:r w:rsidR="001A1F90">
        <w:t xml:space="preserve"> </w:t>
      </w:r>
      <w:r>
        <w:t>the</w:t>
      </w:r>
      <w:r w:rsidR="001A1F90">
        <w:t xml:space="preserve"> </w:t>
      </w:r>
      <w:r>
        <w:t>first</w:t>
      </w:r>
      <w:r w:rsidR="001A1F90">
        <w:t xml:space="preserve"> </w:t>
      </w:r>
      <w:r w:rsidR="003A6965">
        <w:t xml:space="preserve">two to three </w:t>
      </w:r>
      <w:r>
        <w:t>weeks,</w:t>
      </w:r>
      <w:r w:rsidR="001A1F90">
        <w:t xml:space="preserve"> </w:t>
      </w:r>
      <w:r>
        <w:t>which</w:t>
      </w:r>
      <w:r w:rsidR="001A1F90">
        <w:t xml:space="preserve"> </w:t>
      </w:r>
      <w:r>
        <w:t>should</w:t>
      </w:r>
      <w:r w:rsidR="001A1F90">
        <w:t xml:space="preserve"> </w:t>
      </w:r>
      <w:r>
        <w:t>be</w:t>
      </w:r>
      <w:r w:rsidR="001A1F90">
        <w:t xml:space="preserve"> </w:t>
      </w:r>
      <w:r>
        <w:t>supervised</w:t>
      </w:r>
      <w:r w:rsidR="001A1F90">
        <w:t xml:space="preserve"> </w:t>
      </w:r>
      <w:r>
        <w:t>or</w:t>
      </w:r>
      <w:r w:rsidR="001A1F90">
        <w:t xml:space="preserve"> </w:t>
      </w:r>
      <w:r>
        <w:t>monitored</w:t>
      </w:r>
      <w:r w:rsidR="001A1F90">
        <w:t xml:space="preserve"> </w:t>
      </w:r>
      <w:r>
        <w:t>closely</w:t>
      </w:r>
      <w:r w:rsidR="001A1F90">
        <w:t xml:space="preserve"> </w:t>
      </w:r>
      <w:r>
        <w:t>(to</w:t>
      </w:r>
      <w:r w:rsidR="001A1F90">
        <w:t xml:space="preserve"> </w:t>
      </w:r>
      <w:r>
        <w:t>prevent</w:t>
      </w:r>
      <w:r w:rsidR="001A1F90">
        <w:t xml:space="preserve"> </w:t>
      </w:r>
      <w:r>
        <w:t>testosterone</w:t>
      </w:r>
      <w:r w:rsidR="001A1F90">
        <w:t xml:space="preserve"> </w:t>
      </w:r>
      <w:r>
        <w:t>‘flare’)</w:t>
      </w:r>
    </w:p>
    <w:p w14:paraId="2857C506" w14:textId="2C7E766C" w:rsidR="004946F1" w:rsidRDefault="004946F1" w:rsidP="00320B21">
      <w:pPr>
        <w:pStyle w:val="DHHSbodyafterbullets"/>
      </w:pPr>
      <w:r>
        <w:t>For</w:t>
      </w:r>
      <w:r w:rsidR="001A1F90">
        <w:t xml:space="preserve"> </w:t>
      </w:r>
      <w:r w:rsidRPr="004B4157">
        <w:rPr>
          <w:rStyle w:val="Strong"/>
        </w:rPr>
        <w:t>medroxyprogesterone</w:t>
      </w:r>
      <w:r w:rsidR="001A1F90">
        <w:rPr>
          <w:rStyle w:val="Strong"/>
        </w:rPr>
        <w:t xml:space="preserve"> </w:t>
      </w:r>
      <w:r w:rsidRPr="004B4157">
        <w:rPr>
          <w:rStyle w:val="Strong"/>
        </w:rPr>
        <w:t>acetate</w:t>
      </w:r>
      <w:r w:rsidR="001A1F90">
        <w:t xml:space="preserve"> </w:t>
      </w:r>
      <w:r>
        <w:t>(MPA,</w:t>
      </w:r>
      <w:r w:rsidR="001A1F90">
        <w:t xml:space="preserve"> </w:t>
      </w:r>
      <w:r>
        <w:t>Depo</w:t>
      </w:r>
      <w:r w:rsidR="002B53B9">
        <w:t xml:space="preserve"> </w:t>
      </w:r>
      <w:r>
        <w:t>Provera)</w:t>
      </w:r>
    </w:p>
    <w:p w14:paraId="4A2E4807" w14:textId="7CBAF3F0" w:rsidR="004946F1" w:rsidRDefault="004946F1" w:rsidP="00BD612C">
      <w:pPr>
        <w:pStyle w:val="DHHSbullet1"/>
      </w:pPr>
      <w:r>
        <w:t>150</w:t>
      </w:r>
      <w:r w:rsidR="002B53B9">
        <w:t xml:space="preserve"> </w:t>
      </w:r>
      <w:r>
        <w:t>mg</w:t>
      </w:r>
      <w:r w:rsidR="001A1F90">
        <w:t xml:space="preserve"> </w:t>
      </w:r>
      <w:r>
        <w:t>IMI</w:t>
      </w:r>
      <w:r w:rsidR="001A1F90">
        <w:t xml:space="preserve"> </w:t>
      </w:r>
      <w:r>
        <w:t>fortnightly</w:t>
      </w:r>
      <w:r w:rsidR="001A1F90">
        <w:t xml:space="preserve"> </w:t>
      </w:r>
      <w:r>
        <w:t>–</w:t>
      </w:r>
      <w:r w:rsidR="001A1F90">
        <w:t xml:space="preserve"> </w:t>
      </w:r>
      <w:r>
        <w:t>increase</w:t>
      </w:r>
      <w:r w:rsidR="001A1F90">
        <w:t xml:space="preserve"> </w:t>
      </w:r>
      <w:r>
        <w:t>as</w:t>
      </w:r>
      <w:r w:rsidR="001A1F90">
        <w:t xml:space="preserve"> </w:t>
      </w:r>
      <w:r>
        <w:t>indicated</w:t>
      </w:r>
      <w:r w:rsidR="001A1F90">
        <w:t xml:space="preserve"> </w:t>
      </w:r>
      <w:r>
        <w:t>to</w:t>
      </w:r>
      <w:r w:rsidR="001A1F90">
        <w:t xml:space="preserve"> </w:t>
      </w:r>
      <w:r>
        <w:t>a</w:t>
      </w:r>
      <w:r w:rsidR="001A1F90">
        <w:t xml:space="preserve"> </w:t>
      </w:r>
      <w:r>
        <w:t>maximum</w:t>
      </w:r>
      <w:r w:rsidR="001A1F90">
        <w:t xml:space="preserve"> </w:t>
      </w:r>
      <w:r>
        <w:t>of</w:t>
      </w:r>
      <w:r w:rsidR="001A1F90">
        <w:t xml:space="preserve"> </w:t>
      </w:r>
      <w:r>
        <w:t>500</w:t>
      </w:r>
      <w:r w:rsidR="002B53B9">
        <w:t xml:space="preserve"> </w:t>
      </w:r>
      <w:r>
        <w:t>mg</w:t>
      </w:r>
      <w:r w:rsidR="001A1F90">
        <w:t xml:space="preserve"> </w:t>
      </w:r>
      <w:r>
        <w:t>IMI</w:t>
      </w:r>
      <w:r w:rsidR="001A1F90">
        <w:t xml:space="preserve"> </w:t>
      </w:r>
      <w:r>
        <w:t>fortnightly</w:t>
      </w:r>
    </w:p>
    <w:p w14:paraId="6C8E0E01" w14:textId="22B29047" w:rsidR="004946F1" w:rsidRDefault="004946F1" w:rsidP="001C10C1">
      <w:pPr>
        <w:pStyle w:val="Heading2"/>
      </w:pPr>
      <w:bookmarkStart w:id="34" w:name="_Toc20225622"/>
      <w:r>
        <w:t>Baseline</w:t>
      </w:r>
      <w:r w:rsidR="001A1F90">
        <w:t xml:space="preserve"> </w:t>
      </w:r>
      <w:r w:rsidR="00092256">
        <w:t>m</w:t>
      </w:r>
      <w:r>
        <w:t>onitoring</w:t>
      </w:r>
      <w:bookmarkEnd w:id="34"/>
    </w:p>
    <w:p w14:paraId="20BC37EC" w14:textId="7425FCD9" w:rsidR="004946F1" w:rsidRDefault="004946F1" w:rsidP="00BD612C">
      <w:pPr>
        <w:pStyle w:val="DHHSbody"/>
      </w:pPr>
      <w:r>
        <w:t>Consider</w:t>
      </w:r>
      <w:r w:rsidR="001A1F90">
        <w:t xml:space="preserve"> </w:t>
      </w:r>
      <w:r>
        <w:t>history</w:t>
      </w:r>
      <w:r w:rsidR="001A1F90">
        <w:t xml:space="preserve"> </w:t>
      </w:r>
      <w:r>
        <w:t>of</w:t>
      </w:r>
      <w:r w:rsidR="001A1F90">
        <w:t xml:space="preserve"> </w:t>
      </w:r>
      <w:r>
        <w:t>epilepsy,</w:t>
      </w:r>
      <w:r w:rsidR="001A1F90">
        <w:t xml:space="preserve"> </w:t>
      </w:r>
      <w:r>
        <w:t>diabetes,</w:t>
      </w:r>
      <w:r w:rsidR="001A1F90">
        <w:t xml:space="preserve"> </w:t>
      </w:r>
      <w:r>
        <w:t>severe</w:t>
      </w:r>
      <w:r w:rsidR="001A1F90">
        <w:t xml:space="preserve"> </w:t>
      </w:r>
      <w:r>
        <w:t>hypertension,</w:t>
      </w:r>
      <w:r w:rsidR="001A1F90">
        <w:t xml:space="preserve"> </w:t>
      </w:r>
      <w:r>
        <w:t>hepatic</w:t>
      </w:r>
      <w:r w:rsidR="001A1F90">
        <w:t xml:space="preserve"> </w:t>
      </w:r>
      <w:r>
        <w:t>or</w:t>
      </w:r>
      <w:r w:rsidR="001A1F90">
        <w:t xml:space="preserve"> </w:t>
      </w:r>
      <w:r>
        <w:t>renal</w:t>
      </w:r>
      <w:r w:rsidR="001A1F90">
        <w:t xml:space="preserve"> </w:t>
      </w:r>
      <w:r>
        <w:t>disease,</w:t>
      </w:r>
      <w:r w:rsidR="001A1F90">
        <w:t xml:space="preserve"> </w:t>
      </w:r>
      <w:r>
        <w:t>prior</w:t>
      </w:r>
      <w:r w:rsidR="001A1F90">
        <w:t xml:space="preserve"> </w:t>
      </w:r>
      <w:r>
        <w:t>fractures,</w:t>
      </w:r>
      <w:r w:rsidR="001A1F90">
        <w:t xml:space="preserve"> </w:t>
      </w:r>
      <w:r>
        <w:t>active</w:t>
      </w:r>
      <w:r w:rsidR="001A1F90">
        <w:t xml:space="preserve"> </w:t>
      </w:r>
      <w:r>
        <w:t>pituitary</w:t>
      </w:r>
      <w:r w:rsidR="001A1F90">
        <w:t xml:space="preserve"> </w:t>
      </w:r>
      <w:r>
        <w:t>pathology,</w:t>
      </w:r>
      <w:r w:rsidR="001A1F90">
        <w:t xml:space="preserve"> </w:t>
      </w:r>
      <w:r>
        <w:t>family</w:t>
      </w:r>
      <w:r w:rsidR="001A1F90">
        <w:t xml:space="preserve"> </w:t>
      </w:r>
      <w:r>
        <w:t>and</w:t>
      </w:r>
      <w:r w:rsidR="001A1F90">
        <w:t xml:space="preserve"> </w:t>
      </w:r>
      <w:r>
        <w:t>personal</w:t>
      </w:r>
      <w:r w:rsidR="001A1F90">
        <w:t xml:space="preserve"> </w:t>
      </w:r>
      <w:r>
        <w:t>history</w:t>
      </w:r>
      <w:r w:rsidR="001A1F90">
        <w:t xml:space="preserve"> </w:t>
      </w:r>
      <w:r>
        <w:t>of</w:t>
      </w:r>
      <w:r w:rsidR="001A1F90">
        <w:t xml:space="preserve"> </w:t>
      </w:r>
      <w:r>
        <w:t>cardiovascular</w:t>
      </w:r>
      <w:r w:rsidR="001A1F90">
        <w:t xml:space="preserve"> </w:t>
      </w:r>
      <w:r>
        <w:t>events</w:t>
      </w:r>
      <w:r w:rsidR="001A1F90">
        <w:t xml:space="preserve"> </w:t>
      </w:r>
      <w:r>
        <w:t>or</w:t>
      </w:r>
      <w:r w:rsidR="001A1F90">
        <w:t xml:space="preserve"> </w:t>
      </w:r>
      <w:r>
        <w:t>osteoporosis,</w:t>
      </w:r>
      <w:r w:rsidR="001A1F90">
        <w:t xml:space="preserve"> </w:t>
      </w:r>
      <w:r>
        <w:t>psychosis,</w:t>
      </w:r>
      <w:r w:rsidR="001A1F90">
        <w:t xml:space="preserve"> </w:t>
      </w:r>
      <w:r>
        <w:t>severe</w:t>
      </w:r>
      <w:r w:rsidR="001A1F90">
        <w:t xml:space="preserve"> </w:t>
      </w:r>
      <w:r>
        <w:t>depression,</w:t>
      </w:r>
      <w:r w:rsidR="001A1F90">
        <w:t xml:space="preserve"> </w:t>
      </w:r>
      <w:r>
        <w:t>alcohol</w:t>
      </w:r>
      <w:r w:rsidR="001A1F90">
        <w:t xml:space="preserve"> </w:t>
      </w:r>
      <w:r>
        <w:t>and</w:t>
      </w:r>
      <w:r w:rsidR="001A1F90">
        <w:t xml:space="preserve"> </w:t>
      </w:r>
      <w:r>
        <w:t>tobacco</w:t>
      </w:r>
      <w:r w:rsidR="001A1F90">
        <w:t xml:space="preserve"> </w:t>
      </w:r>
      <w:r>
        <w:t>consumption</w:t>
      </w:r>
      <w:r w:rsidR="001A1F90">
        <w:t xml:space="preserve"> </w:t>
      </w:r>
      <w:r>
        <w:t>or</w:t>
      </w:r>
      <w:r w:rsidR="001A1F90">
        <w:t xml:space="preserve"> </w:t>
      </w:r>
      <w:r>
        <w:t>allergy</w:t>
      </w:r>
      <w:r w:rsidR="001A1F90">
        <w:t xml:space="preserve"> </w:t>
      </w:r>
      <w:r>
        <w:t>to</w:t>
      </w:r>
      <w:r w:rsidR="001A1F90">
        <w:t xml:space="preserve"> </w:t>
      </w:r>
      <w:r>
        <w:t>hormonal</w:t>
      </w:r>
      <w:r w:rsidR="001A1F90">
        <w:t xml:space="preserve"> </w:t>
      </w:r>
      <w:r>
        <w:t>treatment.</w:t>
      </w:r>
    </w:p>
    <w:p w14:paraId="6FBA2070" w14:textId="433760D3" w:rsidR="004946F1" w:rsidRDefault="004946F1" w:rsidP="00BD612C">
      <w:pPr>
        <w:pStyle w:val="DHHSbullet1"/>
      </w:pPr>
      <w:r>
        <w:t>Weight,</w:t>
      </w:r>
      <w:r w:rsidR="001A1F90">
        <w:t xml:space="preserve"> </w:t>
      </w:r>
      <w:r>
        <w:t>BP,</w:t>
      </w:r>
      <w:r w:rsidR="001A1F90">
        <w:t xml:space="preserve"> </w:t>
      </w:r>
      <w:r>
        <w:t>ECG,</w:t>
      </w:r>
      <w:r w:rsidR="001A1F90">
        <w:t xml:space="preserve"> </w:t>
      </w:r>
      <w:r>
        <w:t>fasting</w:t>
      </w:r>
      <w:r w:rsidR="001A1F90">
        <w:t xml:space="preserve"> </w:t>
      </w:r>
      <w:r>
        <w:t>glucose</w:t>
      </w:r>
      <w:r w:rsidR="001A1F90">
        <w:t xml:space="preserve"> </w:t>
      </w:r>
      <w:r>
        <w:t>and</w:t>
      </w:r>
      <w:r w:rsidR="001A1F90">
        <w:t xml:space="preserve"> </w:t>
      </w:r>
      <w:r>
        <w:t>lipid</w:t>
      </w:r>
      <w:r w:rsidR="001A1F90">
        <w:t xml:space="preserve"> </w:t>
      </w:r>
      <w:r>
        <w:t>profile</w:t>
      </w:r>
    </w:p>
    <w:p w14:paraId="527B625F" w14:textId="4F999D85" w:rsidR="004946F1" w:rsidRDefault="004946F1" w:rsidP="00BD612C">
      <w:pPr>
        <w:pStyle w:val="DHHSbullet1"/>
      </w:pPr>
      <w:r>
        <w:t>DEXA</w:t>
      </w:r>
      <w:r w:rsidR="001A1F90">
        <w:t xml:space="preserve"> </w:t>
      </w:r>
      <w:r>
        <w:t>scan</w:t>
      </w:r>
      <w:r w:rsidR="001A1F90">
        <w:t xml:space="preserve"> </w:t>
      </w:r>
      <w:r>
        <w:t>(bone</w:t>
      </w:r>
      <w:r w:rsidR="001A1F90">
        <w:t xml:space="preserve"> </w:t>
      </w:r>
      <w:r>
        <w:t>densitometry)</w:t>
      </w:r>
    </w:p>
    <w:p w14:paraId="6279AFC0" w14:textId="56DEA330" w:rsidR="004946F1" w:rsidRDefault="004946F1" w:rsidP="00BD612C">
      <w:pPr>
        <w:pStyle w:val="DHHSbullet1"/>
      </w:pPr>
      <w:r>
        <w:t>FBE,</w:t>
      </w:r>
      <w:r w:rsidR="001A1F90">
        <w:t xml:space="preserve"> </w:t>
      </w:r>
      <w:r>
        <w:t>CUE,</w:t>
      </w:r>
      <w:r w:rsidR="001A1F90">
        <w:t xml:space="preserve"> </w:t>
      </w:r>
      <w:r>
        <w:t>LFT</w:t>
      </w:r>
    </w:p>
    <w:p w14:paraId="71583F66" w14:textId="1B7CAB96" w:rsidR="004946F1" w:rsidRDefault="004946F1" w:rsidP="00BD612C">
      <w:pPr>
        <w:pStyle w:val="DHHSbullet1"/>
      </w:pPr>
      <w:r>
        <w:t>Clotting</w:t>
      </w:r>
      <w:r w:rsidR="001A1F90">
        <w:t xml:space="preserve"> </w:t>
      </w:r>
      <w:r>
        <w:t>profile</w:t>
      </w:r>
    </w:p>
    <w:p w14:paraId="61852669" w14:textId="0A91DE29" w:rsidR="004946F1" w:rsidRDefault="004946F1" w:rsidP="00BD612C">
      <w:pPr>
        <w:pStyle w:val="DHHSbullet1"/>
      </w:pPr>
      <w:r>
        <w:t>CaPO4,</w:t>
      </w:r>
      <w:r w:rsidR="001A1F90">
        <w:t xml:space="preserve"> </w:t>
      </w:r>
      <w:r w:rsidR="002B53B9">
        <w:t>v</w:t>
      </w:r>
      <w:r>
        <w:t>itamin</w:t>
      </w:r>
      <w:r w:rsidR="001A1F90">
        <w:t xml:space="preserve"> </w:t>
      </w:r>
      <w:r>
        <w:t>D</w:t>
      </w:r>
    </w:p>
    <w:p w14:paraId="4C1F7BCF" w14:textId="7954C973" w:rsidR="004946F1" w:rsidRDefault="004946F1" w:rsidP="00BD612C">
      <w:pPr>
        <w:pStyle w:val="DHHSbullet1"/>
      </w:pPr>
      <w:r>
        <w:t>Serum</w:t>
      </w:r>
      <w:r w:rsidR="001A1F90">
        <w:t xml:space="preserve"> </w:t>
      </w:r>
      <w:r>
        <w:t>testosterone,</w:t>
      </w:r>
      <w:r w:rsidR="001A1F90">
        <w:t xml:space="preserve"> </w:t>
      </w:r>
      <w:r>
        <w:t>LH,</w:t>
      </w:r>
      <w:r w:rsidR="001A1F90">
        <w:t xml:space="preserve"> </w:t>
      </w:r>
      <w:r>
        <w:t>FSH,</w:t>
      </w:r>
      <w:r w:rsidR="001A1F90">
        <w:t xml:space="preserve"> </w:t>
      </w:r>
      <w:r>
        <w:t>prolactin</w:t>
      </w:r>
    </w:p>
    <w:p w14:paraId="6EDDA317" w14:textId="469E7B12" w:rsidR="004946F1" w:rsidRDefault="004946F1" w:rsidP="001C10C1">
      <w:pPr>
        <w:pStyle w:val="Heading2"/>
      </w:pPr>
      <w:bookmarkStart w:id="35" w:name="_Toc20225623"/>
      <w:r>
        <w:t>Further</w:t>
      </w:r>
      <w:r w:rsidR="001A1F90">
        <w:t xml:space="preserve"> </w:t>
      </w:r>
      <w:r>
        <w:t>monitoring</w:t>
      </w:r>
      <w:bookmarkEnd w:id="35"/>
    </w:p>
    <w:p w14:paraId="47C6A2F7" w14:textId="190484F7" w:rsidR="004946F1" w:rsidRDefault="004946F1" w:rsidP="00BD612C">
      <w:pPr>
        <w:pStyle w:val="DHHSbullet1"/>
      </w:pPr>
      <w:r>
        <w:t>FBE,</w:t>
      </w:r>
      <w:r w:rsidR="001A1F90">
        <w:t xml:space="preserve"> </w:t>
      </w:r>
      <w:r>
        <w:t>CUE,</w:t>
      </w:r>
      <w:r w:rsidR="001A1F90">
        <w:t xml:space="preserve"> </w:t>
      </w:r>
      <w:r>
        <w:t>LFT,</w:t>
      </w:r>
      <w:r w:rsidR="001A1F90">
        <w:t xml:space="preserve"> </w:t>
      </w:r>
      <w:r>
        <w:t>testosterone</w:t>
      </w:r>
      <w:r w:rsidR="001A1F90">
        <w:t xml:space="preserve"> </w:t>
      </w:r>
      <w:r>
        <w:t>monthly</w:t>
      </w:r>
      <w:r w:rsidR="001A1F90">
        <w:t xml:space="preserve"> </w:t>
      </w:r>
      <w:r>
        <w:t>for</w:t>
      </w:r>
      <w:r w:rsidR="001A1F90">
        <w:t xml:space="preserve"> </w:t>
      </w:r>
      <w:r>
        <w:t>first</w:t>
      </w:r>
      <w:r w:rsidR="001A1F90">
        <w:t xml:space="preserve"> </w:t>
      </w:r>
      <w:r>
        <w:t>four</w:t>
      </w:r>
      <w:r w:rsidR="001A1F90">
        <w:t xml:space="preserve"> </w:t>
      </w:r>
      <w:r>
        <w:t>months,</w:t>
      </w:r>
      <w:r w:rsidR="001A1F90">
        <w:t xml:space="preserve"> </w:t>
      </w:r>
      <w:r>
        <w:t>then</w:t>
      </w:r>
      <w:r w:rsidR="001A1F90">
        <w:t xml:space="preserve"> </w:t>
      </w:r>
      <w:r>
        <w:t>every</w:t>
      </w:r>
      <w:r w:rsidR="001A1F90">
        <w:t xml:space="preserve"> </w:t>
      </w:r>
      <w:r w:rsidR="003A6965">
        <w:t>six</w:t>
      </w:r>
      <w:r w:rsidR="001A1F90">
        <w:t xml:space="preserve"> </w:t>
      </w:r>
      <w:r>
        <w:t>months</w:t>
      </w:r>
    </w:p>
    <w:p w14:paraId="2A66B014" w14:textId="5D6DC8CD" w:rsidR="004946F1" w:rsidRDefault="004946F1" w:rsidP="00BD612C">
      <w:pPr>
        <w:pStyle w:val="DHHSbullet1"/>
      </w:pPr>
      <w:r>
        <w:t>Weight,</w:t>
      </w:r>
      <w:r w:rsidR="001A1F90">
        <w:t xml:space="preserve"> </w:t>
      </w:r>
      <w:r>
        <w:t>BP,</w:t>
      </w:r>
      <w:r w:rsidR="001A1F90">
        <w:t xml:space="preserve"> </w:t>
      </w:r>
      <w:r>
        <w:t>glucose,</w:t>
      </w:r>
      <w:r w:rsidR="001A1F90">
        <w:t xml:space="preserve"> </w:t>
      </w:r>
      <w:r>
        <w:t>lipid</w:t>
      </w:r>
      <w:r w:rsidR="001A1F90">
        <w:t xml:space="preserve"> </w:t>
      </w:r>
      <w:r>
        <w:t>profile,</w:t>
      </w:r>
      <w:r w:rsidR="001A1F90">
        <w:t xml:space="preserve"> </w:t>
      </w:r>
      <w:r>
        <w:t>at</w:t>
      </w:r>
      <w:r w:rsidR="001A1F90">
        <w:t xml:space="preserve"> </w:t>
      </w:r>
      <w:r w:rsidR="003A6965">
        <w:t>three</w:t>
      </w:r>
      <w:r w:rsidR="001A1F90">
        <w:t xml:space="preserve"> </w:t>
      </w:r>
      <w:r>
        <w:t>months</w:t>
      </w:r>
    </w:p>
    <w:p w14:paraId="407DBAA5" w14:textId="57BD4ED7" w:rsidR="004946F1" w:rsidRDefault="004946F1" w:rsidP="00BD612C">
      <w:pPr>
        <w:pStyle w:val="DHHSbullet1"/>
      </w:pPr>
      <w:r>
        <w:t>Weight,</w:t>
      </w:r>
      <w:r w:rsidR="001A1F90">
        <w:t xml:space="preserve"> </w:t>
      </w:r>
      <w:r>
        <w:t>BP,</w:t>
      </w:r>
      <w:r w:rsidR="001A1F90">
        <w:t xml:space="preserve"> </w:t>
      </w:r>
      <w:r>
        <w:t>glucose,</w:t>
      </w:r>
      <w:r w:rsidR="001A1F90">
        <w:t xml:space="preserve"> </w:t>
      </w:r>
      <w:r>
        <w:t>lipid</w:t>
      </w:r>
      <w:r w:rsidR="001A1F90">
        <w:t xml:space="preserve"> </w:t>
      </w:r>
      <w:r>
        <w:t>profile,</w:t>
      </w:r>
      <w:r w:rsidR="001A1F90">
        <w:t xml:space="preserve"> </w:t>
      </w:r>
      <w:r>
        <w:t>CaPO4,</w:t>
      </w:r>
      <w:r w:rsidR="001A1F90">
        <w:t xml:space="preserve"> </w:t>
      </w:r>
      <w:r>
        <w:t>FSH,</w:t>
      </w:r>
      <w:r w:rsidR="001A1F90">
        <w:t xml:space="preserve"> </w:t>
      </w:r>
      <w:r>
        <w:t>LH</w:t>
      </w:r>
      <w:r w:rsidR="001A1F90">
        <w:t xml:space="preserve"> </w:t>
      </w:r>
      <w:r>
        <w:t>every</w:t>
      </w:r>
      <w:r w:rsidR="001A1F90">
        <w:t xml:space="preserve"> </w:t>
      </w:r>
      <w:r w:rsidR="003A6965">
        <w:t>six</w:t>
      </w:r>
      <w:r w:rsidR="001A1F90">
        <w:t xml:space="preserve"> </w:t>
      </w:r>
      <w:r>
        <w:t>months</w:t>
      </w:r>
    </w:p>
    <w:p w14:paraId="326E1B71" w14:textId="0BFCAD61" w:rsidR="004946F1" w:rsidRDefault="004946F1" w:rsidP="00BD612C">
      <w:pPr>
        <w:pStyle w:val="DHHSbullet1"/>
      </w:pPr>
      <w:r>
        <w:t>DEXA</w:t>
      </w:r>
      <w:r w:rsidR="001A1F90">
        <w:t xml:space="preserve"> </w:t>
      </w:r>
      <w:r>
        <w:t>scan</w:t>
      </w:r>
      <w:r w:rsidR="001A1F90">
        <w:t xml:space="preserve"> </w:t>
      </w:r>
      <w:r>
        <w:t>every</w:t>
      </w:r>
      <w:r w:rsidR="001A1F90">
        <w:t xml:space="preserve"> </w:t>
      </w:r>
      <w:r>
        <w:t>two</w:t>
      </w:r>
      <w:r w:rsidR="001A1F90">
        <w:t xml:space="preserve"> </w:t>
      </w:r>
      <w:r>
        <w:t>years</w:t>
      </w:r>
      <w:r w:rsidR="001A1F90">
        <w:t xml:space="preserve"> </w:t>
      </w:r>
      <w:r>
        <w:t>(yearly</w:t>
      </w:r>
      <w:r w:rsidR="001A1F90">
        <w:t xml:space="preserve"> </w:t>
      </w:r>
      <w:r>
        <w:t>with</w:t>
      </w:r>
      <w:r w:rsidR="001A1F90">
        <w:t xml:space="preserve"> </w:t>
      </w:r>
      <w:r>
        <w:t>MPA,</w:t>
      </w:r>
      <w:r w:rsidR="001A1F90">
        <w:t xml:space="preserve"> </w:t>
      </w:r>
      <w:r>
        <w:t>if</w:t>
      </w:r>
      <w:r w:rsidR="001A1F90">
        <w:t xml:space="preserve"> </w:t>
      </w:r>
      <w:r>
        <w:t>over</w:t>
      </w:r>
      <w:r w:rsidR="001A1F90">
        <w:t xml:space="preserve"> </w:t>
      </w:r>
      <w:r>
        <w:t>50</w:t>
      </w:r>
      <w:r w:rsidR="001A1F90">
        <w:t xml:space="preserve"> </w:t>
      </w:r>
      <w:r>
        <w:t>or</w:t>
      </w:r>
      <w:r w:rsidR="001A1F90">
        <w:t xml:space="preserve"> </w:t>
      </w:r>
      <w:r>
        <w:t>if</w:t>
      </w:r>
      <w:r w:rsidR="001A1F90">
        <w:t xml:space="preserve"> </w:t>
      </w:r>
      <w:r>
        <w:t>of</w:t>
      </w:r>
      <w:r w:rsidR="001A1F90">
        <w:t xml:space="preserve"> </w:t>
      </w:r>
      <w:r>
        <w:t>concern)</w:t>
      </w:r>
    </w:p>
    <w:p w14:paraId="451F8D2D" w14:textId="6E6D9D1D" w:rsidR="004946F1" w:rsidRDefault="004946F1" w:rsidP="00320B21">
      <w:pPr>
        <w:pStyle w:val="DHHSbodyafterbullets"/>
      </w:pPr>
      <w:r>
        <w:t>Monitor</w:t>
      </w:r>
      <w:r w:rsidR="001A1F90">
        <w:t xml:space="preserve"> </w:t>
      </w:r>
      <w:r>
        <w:t>for</w:t>
      </w:r>
      <w:r w:rsidR="001A1F90">
        <w:t xml:space="preserve"> </w:t>
      </w:r>
      <w:r>
        <w:t>risk</w:t>
      </w:r>
      <w:r w:rsidR="001A1F90">
        <w:t xml:space="preserve"> </w:t>
      </w:r>
      <w:r>
        <w:t>of</w:t>
      </w:r>
      <w:r w:rsidR="001A1F90">
        <w:t xml:space="preserve"> </w:t>
      </w:r>
      <w:r>
        <w:t>sexual</w:t>
      </w:r>
      <w:r w:rsidR="001A1F90">
        <w:t xml:space="preserve"> </w:t>
      </w:r>
      <w:r>
        <w:t>offending,</w:t>
      </w:r>
      <w:r w:rsidR="001A1F90">
        <w:t xml:space="preserve"> </w:t>
      </w:r>
      <w:r>
        <w:t>paraphilic</w:t>
      </w:r>
      <w:r w:rsidR="001A1F90">
        <w:t xml:space="preserve"> </w:t>
      </w:r>
      <w:r>
        <w:t>and</w:t>
      </w:r>
      <w:r w:rsidR="001A1F90">
        <w:t xml:space="preserve"> </w:t>
      </w:r>
      <w:r>
        <w:t>non-paraphilic</w:t>
      </w:r>
      <w:r w:rsidR="001A1F90">
        <w:t xml:space="preserve"> </w:t>
      </w:r>
      <w:r>
        <w:t>sexual</w:t>
      </w:r>
      <w:r w:rsidR="001A1F90">
        <w:t xml:space="preserve"> </w:t>
      </w:r>
      <w:r>
        <w:t>activity</w:t>
      </w:r>
      <w:r w:rsidR="001A1F90">
        <w:t xml:space="preserve"> </w:t>
      </w:r>
      <w:r>
        <w:t>and</w:t>
      </w:r>
      <w:r w:rsidR="001A1F90">
        <w:t xml:space="preserve"> </w:t>
      </w:r>
      <w:r>
        <w:t>fantasies</w:t>
      </w:r>
      <w:r w:rsidR="001A1F90">
        <w:t xml:space="preserve"> </w:t>
      </w:r>
      <w:r>
        <w:t>(nature,</w:t>
      </w:r>
      <w:r w:rsidR="001A1F90">
        <w:t xml:space="preserve"> </w:t>
      </w:r>
      <w:r>
        <w:t>intensity</w:t>
      </w:r>
      <w:r w:rsidR="001A1F90">
        <w:t xml:space="preserve"> </w:t>
      </w:r>
      <w:r>
        <w:t>and</w:t>
      </w:r>
      <w:r w:rsidR="001A1F90">
        <w:t xml:space="preserve"> </w:t>
      </w:r>
      <w:r>
        <w:t>frequency)</w:t>
      </w:r>
      <w:r w:rsidR="003A6965">
        <w:t>,</w:t>
      </w:r>
      <w:r w:rsidR="001A1F90">
        <w:t xml:space="preserve"> </w:t>
      </w:r>
      <w:r>
        <w:t>emergence</w:t>
      </w:r>
      <w:r w:rsidR="001A1F90">
        <w:t xml:space="preserve"> </w:t>
      </w:r>
      <w:r>
        <w:t>of</w:t>
      </w:r>
      <w:r w:rsidR="001A1F90">
        <w:t xml:space="preserve"> </w:t>
      </w:r>
      <w:r>
        <w:t>depressive</w:t>
      </w:r>
      <w:r w:rsidR="001A1F90">
        <w:t xml:space="preserve"> </w:t>
      </w:r>
      <w:r>
        <w:t>symptoms,</w:t>
      </w:r>
      <w:r w:rsidR="001A1F90">
        <w:t xml:space="preserve"> </w:t>
      </w:r>
      <w:r>
        <w:t>emotional</w:t>
      </w:r>
      <w:r w:rsidR="001A1F90">
        <w:t xml:space="preserve"> </w:t>
      </w:r>
      <w:r>
        <w:t>disturbance,</w:t>
      </w:r>
      <w:r w:rsidR="001A1F90">
        <w:t xml:space="preserve"> </w:t>
      </w:r>
      <w:r>
        <w:t>cardiac</w:t>
      </w:r>
      <w:r w:rsidR="001A1F90">
        <w:t xml:space="preserve"> </w:t>
      </w:r>
      <w:r>
        <w:t>symptoms,</w:t>
      </w:r>
      <w:r w:rsidR="001A1F90">
        <w:t xml:space="preserve"> </w:t>
      </w:r>
      <w:r>
        <w:t>thromboembolism,</w:t>
      </w:r>
      <w:r w:rsidR="001A1F90">
        <w:t xml:space="preserve"> </w:t>
      </w:r>
      <w:r>
        <w:t>feminisation</w:t>
      </w:r>
      <w:r w:rsidR="001A1F90">
        <w:t xml:space="preserve"> </w:t>
      </w:r>
      <w:r>
        <w:t>effects</w:t>
      </w:r>
      <w:r w:rsidR="001A1F90">
        <w:t xml:space="preserve"> </w:t>
      </w:r>
      <w:r w:rsidR="00F550F1">
        <w:t>for example</w:t>
      </w:r>
      <w:r w:rsidR="001A1F90">
        <w:t xml:space="preserve"> </w:t>
      </w:r>
      <w:r>
        <w:t>breast</w:t>
      </w:r>
      <w:r w:rsidR="001A1F90">
        <w:t xml:space="preserve"> </w:t>
      </w:r>
      <w:r>
        <w:t>changes</w:t>
      </w:r>
      <w:r w:rsidR="001A1F90">
        <w:t xml:space="preserve"> </w:t>
      </w:r>
      <w:r w:rsidR="003A6965">
        <w:t xml:space="preserve">every one to three </w:t>
      </w:r>
      <w:r>
        <w:t>month</w:t>
      </w:r>
      <w:r w:rsidR="003A6965">
        <w:t>s</w:t>
      </w:r>
      <w:r>
        <w:t>.</w:t>
      </w:r>
    </w:p>
    <w:p w14:paraId="095EC65F" w14:textId="77777777" w:rsidR="00320B21" w:rsidRPr="00CD0313" w:rsidRDefault="00320B21" w:rsidP="00CD0313">
      <w:pPr>
        <w:pStyle w:val="DHHSbody"/>
      </w:pPr>
      <w:r w:rsidRPr="00CD0313">
        <w:br w:type="page"/>
      </w:r>
    </w:p>
    <w:p w14:paraId="6677C9FE" w14:textId="18517E16" w:rsidR="004946F1" w:rsidRDefault="004946F1" w:rsidP="00F550F1">
      <w:pPr>
        <w:pStyle w:val="Heading1"/>
      </w:pPr>
      <w:bookmarkStart w:id="36" w:name="_Toc20225624"/>
      <w:r>
        <w:t>References</w:t>
      </w:r>
      <w:bookmarkEnd w:id="36"/>
    </w:p>
    <w:p w14:paraId="09D66077" w14:textId="07F53E74" w:rsidR="00F550F1" w:rsidRDefault="00F550F1" w:rsidP="00F550F1">
      <w:pPr>
        <w:pStyle w:val="DHHSbody"/>
      </w:pPr>
      <w:r>
        <w:t>Adi, Y., Ashcroft, D., Browne, K., Beech, A., Fry-Smith, A., &amp; Hyde, C</w:t>
      </w:r>
      <w:r w:rsidR="00E07BA9">
        <w:t>.</w:t>
      </w:r>
      <w:r>
        <w:t xml:space="preserve"> (2002). Clinical effectiveness and cost-consequences of selective serotonin reuptake inhibitors in the treatment of sexual offenders. </w:t>
      </w:r>
      <w:r w:rsidRPr="004B4157">
        <w:rPr>
          <w:rStyle w:val="Emphasis"/>
        </w:rPr>
        <w:t>Health</w:t>
      </w:r>
      <w:r>
        <w:rPr>
          <w:rStyle w:val="Emphasis"/>
        </w:rPr>
        <w:t xml:space="preserve"> </w:t>
      </w:r>
      <w:r w:rsidRPr="004B4157">
        <w:rPr>
          <w:rStyle w:val="Emphasis"/>
        </w:rPr>
        <w:t>Technology</w:t>
      </w:r>
      <w:r>
        <w:rPr>
          <w:rStyle w:val="Emphasis"/>
        </w:rPr>
        <w:t xml:space="preserve"> </w:t>
      </w:r>
      <w:r w:rsidRPr="004B4157">
        <w:rPr>
          <w:rStyle w:val="Emphasis"/>
        </w:rPr>
        <w:t>Assessment</w:t>
      </w:r>
      <w:r>
        <w:t>, 6(28); 1</w:t>
      </w:r>
      <w:r w:rsidR="00E07BA9">
        <w:t>–</w:t>
      </w:r>
      <w:r>
        <w:t>67.</w:t>
      </w:r>
    </w:p>
    <w:p w14:paraId="003F60EB" w14:textId="66000670" w:rsidR="00F550F1" w:rsidRPr="004B4157" w:rsidRDefault="00F550F1" w:rsidP="00F550F1">
      <w:pPr>
        <w:pStyle w:val="DHHSbody"/>
        <w:rPr>
          <w:rStyle w:val="Emphasis"/>
        </w:rPr>
      </w:pPr>
      <w:r>
        <w:t>Ashman, L., &amp; Duggan, L. (2008). Interventions for learning disabled sex offenders.</w:t>
      </w:r>
      <w:r w:rsidRPr="00CA3986">
        <w:rPr>
          <w:i/>
          <w:iCs/>
        </w:rPr>
        <w:t xml:space="preserve"> </w:t>
      </w:r>
      <w:hyperlink r:id="rId18" w:history="1">
        <w:r w:rsidRPr="00CA3986">
          <w:rPr>
            <w:i/>
            <w:iCs/>
          </w:rPr>
          <w:t>Cochrane Database of Systematic Reviews</w:t>
        </w:r>
      </w:hyperlink>
      <w:r w:rsidR="00E07BA9">
        <w:t>,</w:t>
      </w:r>
      <w:r w:rsidRPr="00CA3986">
        <w:rPr>
          <w:rStyle w:val="Emphasis"/>
          <w:i w:val="0"/>
          <w:iCs w:val="0"/>
        </w:rPr>
        <w:t xml:space="preserve"> (1)</w:t>
      </w:r>
      <w:r w:rsidR="00E07BA9">
        <w:rPr>
          <w:rStyle w:val="Emphasis"/>
          <w:i w:val="0"/>
          <w:iCs w:val="0"/>
        </w:rPr>
        <w:t xml:space="preserve">; </w:t>
      </w:r>
      <w:r w:rsidRPr="00CA3986">
        <w:rPr>
          <w:rStyle w:val="Emphasis"/>
          <w:i w:val="0"/>
          <w:iCs w:val="0"/>
        </w:rPr>
        <w:t>CD003682.</w:t>
      </w:r>
    </w:p>
    <w:p w14:paraId="1A75C6E1" w14:textId="3E93A997" w:rsidR="00F550F1" w:rsidRDefault="00F550F1" w:rsidP="00F550F1">
      <w:pPr>
        <w:pStyle w:val="DHHSbody"/>
      </w:pPr>
      <w:r w:rsidRPr="00CA3986">
        <w:rPr>
          <w:rStyle w:val="Emphasis"/>
          <w:i w:val="0"/>
          <w:iCs w:val="0"/>
        </w:rPr>
        <w:t>Bancroft, J. (1989).</w:t>
      </w:r>
      <w:r>
        <w:rPr>
          <w:rStyle w:val="Emphasis"/>
        </w:rPr>
        <w:t xml:space="preserve"> </w:t>
      </w:r>
      <w:r w:rsidRPr="00CA3986">
        <w:rPr>
          <w:rStyle w:val="Emphasis"/>
          <w:i w:val="0"/>
          <w:iCs w:val="0"/>
        </w:rPr>
        <w:t>The biological basis of human sexuality. In</w:t>
      </w:r>
      <w:r w:rsidR="00E07BA9">
        <w:rPr>
          <w:rStyle w:val="Emphasis"/>
          <w:i w:val="0"/>
          <w:iCs w:val="0"/>
        </w:rPr>
        <w:t>:</w:t>
      </w:r>
      <w:r w:rsidRPr="00CA3986">
        <w:rPr>
          <w:rStyle w:val="Emphasis"/>
          <w:i w:val="0"/>
          <w:iCs w:val="0"/>
        </w:rPr>
        <w:t xml:space="preserve"> J Bancroft [</w:t>
      </w:r>
      <w:r w:rsidR="00E07BA9">
        <w:rPr>
          <w:rStyle w:val="Emphasis"/>
          <w:i w:val="0"/>
          <w:iCs w:val="0"/>
        </w:rPr>
        <w:t>e</w:t>
      </w:r>
      <w:r w:rsidRPr="00CA3986">
        <w:rPr>
          <w:rStyle w:val="Emphasis"/>
          <w:i w:val="0"/>
          <w:iCs w:val="0"/>
        </w:rPr>
        <w:t>d.],</w:t>
      </w:r>
      <w:r>
        <w:rPr>
          <w:rStyle w:val="Emphasis"/>
        </w:rPr>
        <w:t xml:space="preserve"> </w:t>
      </w:r>
      <w:r w:rsidRPr="004B4157">
        <w:rPr>
          <w:rStyle w:val="Emphasis"/>
        </w:rPr>
        <w:t>Human</w:t>
      </w:r>
      <w:r>
        <w:rPr>
          <w:rStyle w:val="Emphasis"/>
        </w:rPr>
        <w:t xml:space="preserve"> </w:t>
      </w:r>
      <w:r w:rsidRPr="004B4157">
        <w:rPr>
          <w:rStyle w:val="Emphasis"/>
        </w:rPr>
        <w:t>sexuality</w:t>
      </w:r>
      <w:r>
        <w:rPr>
          <w:rStyle w:val="Emphasis"/>
        </w:rPr>
        <w:t xml:space="preserve"> </w:t>
      </w:r>
      <w:r w:rsidRPr="004B4157">
        <w:rPr>
          <w:rStyle w:val="Emphasis"/>
        </w:rPr>
        <w:t>and</w:t>
      </w:r>
      <w:r>
        <w:rPr>
          <w:rStyle w:val="Emphasis"/>
        </w:rPr>
        <w:t xml:space="preserve"> </w:t>
      </w:r>
      <w:r w:rsidRPr="004B4157">
        <w:rPr>
          <w:rStyle w:val="Emphasis"/>
        </w:rPr>
        <w:t>its</w:t>
      </w:r>
      <w:r>
        <w:rPr>
          <w:rStyle w:val="Emphasis"/>
        </w:rPr>
        <w:t xml:space="preserve"> </w:t>
      </w:r>
      <w:r w:rsidRPr="004B4157">
        <w:rPr>
          <w:rStyle w:val="Emphasis"/>
        </w:rPr>
        <w:t>problems</w:t>
      </w:r>
      <w:r>
        <w:t>. (pp. 12</w:t>
      </w:r>
      <w:r w:rsidR="000A6614">
        <w:t>–</w:t>
      </w:r>
      <w:r>
        <w:t>127). Edinburgh: Church Livingstone.</w:t>
      </w:r>
    </w:p>
    <w:p w14:paraId="6C02F02F" w14:textId="77777777" w:rsidR="00CD0313" w:rsidRDefault="00F550F1" w:rsidP="00F550F1">
      <w:pPr>
        <w:pStyle w:val="DHHSbody"/>
      </w:pPr>
      <w:r>
        <w:t xml:space="preserve">Berkowitz, C.D. (2010). Sex offender registration: </w:t>
      </w:r>
      <w:r w:rsidR="00E07BA9">
        <w:t>b</w:t>
      </w:r>
      <w:r>
        <w:t xml:space="preserve">alancing the rights of the individual with the public good – A commentary on Comartin, Kernsmith and Miles (2010). </w:t>
      </w:r>
      <w:r w:rsidRPr="004B4157">
        <w:rPr>
          <w:rStyle w:val="Emphasis"/>
        </w:rPr>
        <w:t>Journal</w:t>
      </w:r>
      <w:r>
        <w:rPr>
          <w:rStyle w:val="Emphasis"/>
        </w:rPr>
        <w:t xml:space="preserve"> </w:t>
      </w:r>
      <w:r w:rsidRPr="004B4157">
        <w:rPr>
          <w:rStyle w:val="Emphasis"/>
        </w:rPr>
        <w:t>of</w:t>
      </w:r>
      <w:r>
        <w:rPr>
          <w:rStyle w:val="Emphasis"/>
        </w:rPr>
        <w:t xml:space="preserve"> </w:t>
      </w:r>
      <w:r w:rsidRPr="004B4157">
        <w:rPr>
          <w:rStyle w:val="Emphasis"/>
        </w:rPr>
        <w:t>Child</w:t>
      </w:r>
      <w:r>
        <w:rPr>
          <w:rStyle w:val="Emphasis"/>
        </w:rPr>
        <w:t xml:space="preserve"> </w:t>
      </w:r>
      <w:r w:rsidRPr="004B4157">
        <w:rPr>
          <w:rStyle w:val="Emphasis"/>
        </w:rPr>
        <w:t>Sexual</w:t>
      </w:r>
      <w:r>
        <w:rPr>
          <w:rStyle w:val="Emphasis"/>
        </w:rPr>
        <w:t xml:space="preserve"> </w:t>
      </w:r>
      <w:r w:rsidRPr="004B4157">
        <w:rPr>
          <w:rStyle w:val="Emphasis"/>
        </w:rPr>
        <w:t>Abuse</w:t>
      </w:r>
      <w:r>
        <w:t>, 19; 226</w:t>
      </w:r>
      <w:r w:rsidR="000A6614">
        <w:t>–</w:t>
      </w:r>
      <w:r>
        <w:t>230.</w:t>
      </w:r>
    </w:p>
    <w:p w14:paraId="5366286A" w14:textId="17DF4912" w:rsidR="00F550F1" w:rsidRDefault="00F550F1" w:rsidP="00F550F1">
      <w:pPr>
        <w:pStyle w:val="DHHSbody"/>
      </w:pPr>
      <w:r>
        <w:t xml:space="preserve">Berlin, F.S. (1994). The case for castration, part 2. </w:t>
      </w:r>
      <w:r w:rsidRPr="004B4157">
        <w:rPr>
          <w:rStyle w:val="Emphasis"/>
        </w:rPr>
        <w:t>Washington</w:t>
      </w:r>
      <w:r>
        <w:rPr>
          <w:rStyle w:val="Emphasis"/>
        </w:rPr>
        <w:t xml:space="preserve"> </w:t>
      </w:r>
      <w:r w:rsidRPr="004B4157">
        <w:rPr>
          <w:rStyle w:val="Emphasis"/>
        </w:rPr>
        <w:t>Monthly,</w:t>
      </w:r>
      <w:r>
        <w:t xml:space="preserve"> 26; 28.</w:t>
      </w:r>
    </w:p>
    <w:p w14:paraId="11294E51" w14:textId="36D18E50" w:rsidR="00F550F1" w:rsidRDefault="00F550F1" w:rsidP="00F550F1">
      <w:pPr>
        <w:pStyle w:val="DHHSbody"/>
      </w:pPr>
      <w:r>
        <w:t xml:space="preserve">Birgden, A., &amp; Cuculo, H. (2011). The treatment of sex offenders: </w:t>
      </w:r>
      <w:r w:rsidR="00CF293A">
        <w:t>e</w:t>
      </w:r>
      <w:r>
        <w:t xml:space="preserve">vidence, ethics and human rights. </w:t>
      </w:r>
      <w:r w:rsidRPr="004B4157">
        <w:rPr>
          <w:rStyle w:val="Emphasis"/>
        </w:rPr>
        <w:t>Sexual</w:t>
      </w:r>
      <w:r>
        <w:rPr>
          <w:rStyle w:val="Emphasis"/>
        </w:rPr>
        <w:t xml:space="preserve"> </w:t>
      </w:r>
      <w:r w:rsidRPr="004B4157">
        <w:rPr>
          <w:rStyle w:val="Emphasis"/>
        </w:rPr>
        <w:t>Abuse:</w:t>
      </w:r>
      <w:r>
        <w:rPr>
          <w:rStyle w:val="Emphasis"/>
        </w:rPr>
        <w:t xml:space="preserve"> </w:t>
      </w:r>
      <w:r w:rsidRPr="004B4157">
        <w:rPr>
          <w:rStyle w:val="Emphasis"/>
        </w:rPr>
        <w:t>A</w:t>
      </w:r>
      <w:r>
        <w:rPr>
          <w:rStyle w:val="Emphasis"/>
        </w:rPr>
        <w:t xml:space="preserve"> </w:t>
      </w:r>
      <w:r w:rsidRPr="004B4157">
        <w:rPr>
          <w:rStyle w:val="Emphasis"/>
        </w:rPr>
        <w:t>Journal</w:t>
      </w:r>
      <w:r>
        <w:rPr>
          <w:rStyle w:val="Emphasis"/>
        </w:rPr>
        <w:t xml:space="preserve"> </w:t>
      </w:r>
      <w:r w:rsidRPr="004B4157">
        <w:rPr>
          <w:rStyle w:val="Emphasis"/>
        </w:rPr>
        <w:t>of</w:t>
      </w:r>
      <w:r>
        <w:rPr>
          <w:rStyle w:val="Emphasis"/>
        </w:rPr>
        <w:t xml:space="preserve"> </w:t>
      </w:r>
      <w:r w:rsidRPr="004B4157">
        <w:rPr>
          <w:rStyle w:val="Emphasis"/>
        </w:rPr>
        <w:t>Research</w:t>
      </w:r>
      <w:r>
        <w:rPr>
          <w:rStyle w:val="Emphasis"/>
        </w:rPr>
        <w:t xml:space="preserve"> </w:t>
      </w:r>
      <w:r w:rsidRPr="004B4157">
        <w:rPr>
          <w:rStyle w:val="Emphasis"/>
        </w:rPr>
        <w:t>and</w:t>
      </w:r>
      <w:r>
        <w:rPr>
          <w:rStyle w:val="Emphasis"/>
        </w:rPr>
        <w:t xml:space="preserve"> </w:t>
      </w:r>
      <w:r w:rsidRPr="004B4157">
        <w:rPr>
          <w:rStyle w:val="Emphasis"/>
        </w:rPr>
        <w:t>Treatment</w:t>
      </w:r>
      <w:r>
        <w:t>, 23; 295</w:t>
      </w:r>
      <w:r w:rsidR="000A6614">
        <w:t>–</w:t>
      </w:r>
      <w:r>
        <w:t>313.</w:t>
      </w:r>
    </w:p>
    <w:p w14:paraId="78AE2ACD" w14:textId="47DD8A91" w:rsidR="00F550F1" w:rsidRDefault="00F550F1" w:rsidP="00F550F1">
      <w:pPr>
        <w:pStyle w:val="DHHSbody"/>
      </w:pPr>
      <w:r>
        <w:t xml:space="preserve">Black, N., Brazier, J., Fitzpatrick, R., &amp; Reeves, B. (1998). </w:t>
      </w:r>
      <w:r w:rsidRPr="004B4157">
        <w:rPr>
          <w:rStyle w:val="Emphasis"/>
        </w:rPr>
        <w:t>Health</w:t>
      </w:r>
      <w:r w:rsidR="00CF293A">
        <w:rPr>
          <w:rStyle w:val="Emphasis"/>
        </w:rPr>
        <w:t xml:space="preserve"> </w:t>
      </w:r>
      <w:r w:rsidR="00CF293A" w:rsidRPr="004B4157">
        <w:rPr>
          <w:rStyle w:val="Emphasis"/>
        </w:rPr>
        <w:t>services</w:t>
      </w:r>
      <w:r w:rsidR="00CF293A">
        <w:rPr>
          <w:rStyle w:val="Emphasis"/>
        </w:rPr>
        <w:t xml:space="preserve"> </w:t>
      </w:r>
      <w:r w:rsidR="00CF293A" w:rsidRPr="004B4157">
        <w:rPr>
          <w:rStyle w:val="Emphasis"/>
        </w:rPr>
        <w:t>research</w:t>
      </w:r>
      <w:r w:rsidR="00CF293A">
        <w:rPr>
          <w:rStyle w:val="Emphasis"/>
        </w:rPr>
        <w:t xml:space="preserve"> </w:t>
      </w:r>
      <w:r w:rsidR="00CF293A" w:rsidRPr="004B4157">
        <w:rPr>
          <w:rStyle w:val="Emphasis"/>
        </w:rPr>
        <w:t>methods:</w:t>
      </w:r>
      <w:r w:rsidR="00CF293A">
        <w:rPr>
          <w:rStyle w:val="Emphasis"/>
        </w:rPr>
        <w:t xml:space="preserve"> </w:t>
      </w:r>
      <w:r w:rsidR="00CF293A" w:rsidRPr="004B4157">
        <w:rPr>
          <w:rStyle w:val="Emphasis"/>
        </w:rPr>
        <w:t>a</w:t>
      </w:r>
      <w:r w:rsidR="00CF293A">
        <w:rPr>
          <w:rStyle w:val="Emphasis"/>
        </w:rPr>
        <w:t xml:space="preserve"> </w:t>
      </w:r>
      <w:r w:rsidR="00CF293A" w:rsidRPr="004B4157">
        <w:rPr>
          <w:rStyle w:val="Emphasis"/>
        </w:rPr>
        <w:t>guide</w:t>
      </w:r>
      <w:r w:rsidR="00CF293A">
        <w:rPr>
          <w:rStyle w:val="Emphasis"/>
        </w:rPr>
        <w:t xml:space="preserve"> </w:t>
      </w:r>
      <w:r w:rsidR="00CF293A" w:rsidRPr="004B4157">
        <w:rPr>
          <w:rStyle w:val="Emphasis"/>
        </w:rPr>
        <w:t>to</w:t>
      </w:r>
      <w:r w:rsidR="00CF293A">
        <w:rPr>
          <w:rStyle w:val="Emphasis"/>
        </w:rPr>
        <w:t xml:space="preserve"> </w:t>
      </w:r>
      <w:r w:rsidR="00CF293A" w:rsidRPr="004B4157">
        <w:rPr>
          <w:rStyle w:val="Emphasis"/>
        </w:rPr>
        <w:t>best</w:t>
      </w:r>
      <w:r w:rsidR="00CF293A">
        <w:rPr>
          <w:rStyle w:val="Emphasis"/>
        </w:rPr>
        <w:t xml:space="preserve"> </w:t>
      </w:r>
      <w:r w:rsidR="00CF293A" w:rsidRPr="004B4157">
        <w:rPr>
          <w:rStyle w:val="Emphasis"/>
        </w:rPr>
        <w:t>practice</w:t>
      </w:r>
      <w:r w:rsidRPr="004B4157">
        <w:rPr>
          <w:rStyle w:val="Emphasis"/>
        </w:rPr>
        <w:t>.</w:t>
      </w:r>
      <w:r>
        <w:t xml:space="preserve"> London: BMJ Books.</w:t>
      </w:r>
    </w:p>
    <w:p w14:paraId="4CACEF36" w14:textId="5471B5EF" w:rsidR="00F550F1" w:rsidRDefault="00F550F1" w:rsidP="00F550F1">
      <w:pPr>
        <w:pStyle w:val="DHHSbody"/>
      </w:pPr>
      <w:r>
        <w:t>Bradford, J., &amp; Pawlak, A. (1993). Double-blind placebo crossover study of cyproterone acetate in the treatment of paraphilias</w:t>
      </w:r>
      <w:r w:rsidR="00CF293A">
        <w:t>,</w:t>
      </w:r>
      <w:r>
        <w:t xml:space="preserve"> </w:t>
      </w:r>
      <w:r w:rsidRPr="004B4157">
        <w:rPr>
          <w:rStyle w:val="Emphasis"/>
        </w:rPr>
        <w:t>Archives</w:t>
      </w:r>
      <w:r>
        <w:rPr>
          <w:rStyle w:val="Emphasis"/>
        </w:rPr>
        <w:t xml:space="preserve"> </w:t>
      </w:r>
      <w:r w:rsidRPr="004B4157">
        <w:rPr>
          <w:rStyle w:val="Emphasis"/>
        </w:rPr>
        <w:t>of</w:t>
      </w:r>
      <w:r>
        <w:rPr>
          <w:rStyle w:val="Emphasis"/>
        </w:rPr>
        <w:t xml:space="preserve"> </w:t>
      </w:r>
      <w:r w:rsidRPr="004B4157">
        <w:rPr>
          <w:rStyle w:val="Emphasis"/>
        </w:rPr>
        <w:t>Sexual</w:t>
      </w:r>
      <w:r>
        <w:rPr>
          <w:rStyle w:val="Emphasis"/>
        </w:rPr>
        <w:t xml:space="preserve"> </w:t>
      </w:r>
      <w:r w:rsidRPr="004B4157">
        <w:rPr>
          <w:rStyle w:val="Emphasis"/>
        </w:rPr>
        <w:t>Behavior</w:t>
      </w:r>
      <w:r>
        <w:t>, 22; 383</w:t>
      </w:r>
      <w:r w:rsidR="000A6614">
        <w:t>–</w:t>
      </w:r>
      <w:r>
        <w:t>402.</w:t>
      </w:r>
    </w:p>
    <w:p w14:paraId="506187E8" w14:textId="77777777" w:rsidR="00CD0313" w:rsidRDefault="00F550F1" w:rsidP="00F550F1">
      <w:pPr>
        <w:pStyle w:val="DHHSbody"/>
      </w:pPr>
      <w:r>
        <w:t xml:space="preserve">Bradford, J.M.W. (2000). The treatment of sexual deviation using a pharmacological approach. </w:t>
      </w:r>
      <w:r w:rsidRPr="004B4157">
        <w:rPr>
          <w:rStyle w:val="Emphasis"/>
        </w:rPr>
        <w:t>Journal</w:t>
      </w:r>
      <w:r>
        <w:rPr>
          <w:rStyle w:val="Emphasis"/>
        </w:rPr>
        <w:t xml:space="preserve"> </w:t>
      </w:r>
      <w:r w:rsidRPr="004B4157">
        <w:rPr>
          <w:rStyle w:val="Emphasis"/>
        </w:rPr>
        <w:t>of</w:t>
      </w:r>
      <w:r>
        <w:rPr>
          <w:rStyle w:val="Emphasis"/>
        </w:rPr>
        <w:t xml:space="preserve"> </w:t>
      </w:r>
      <w:r w:rsidRPr="004B4157">
        <w:rPr>
          <w:rStyle w:val="Emphasis"/>
        </w:rPr>
        <w:t>Sex</w:t>
      </w:r>
      <w:r>
        <w:rPr>
          <w:rStyle w:val="Emphasis"/>
        </w:rPr>
        <w:t xml:space="preserve"> </w:t>
      </w:r>
      <w:r w:rsidRPr="004B4157">
        <w:rPr>
          <w:rStyle w:val="Emphasis"/>
        </w:rPr>
        <w:t>Research,</w:t>
      </w:r>
      <w:r>
        <w:t xml:space="preserve"> 3; 248</w:t>
      </w:r>
      <w:r w:rsidR="000A6614">
        <w:t>–</w:t>
      </w:r>
      <w:r>
        <w:t>257.</w:t>
      </w:r>
    </w:p>
    <w:p w14:paraId="3EBA8E2D" w14:textId="6FE8C885" w:rsidR="00F550F1" w:rsidRDefault="00F550F1" w:rsidP="00F550F1">
      <w:pPr>
        <w:pStyle w:val="DHHSbody"/>
      </w:pPr>
      <w:r>
        <w:t>Briken, P., &amp; Kafka, M.P. (2007). Pharmacological treatments for paraphilic and sexual offenders</w:t>
      </w:r>
      <w:r w:rsidR="00CF293A">
        <w:t>.</w:t>
      </w:r>
      <w:r>
        <w:t xml:space="preserve"> </w:t>
      </w:r>
      <w:r w:rsidRPr="004B4157">
        <w:rPr>
          <w:rStyle w:val="Emphasis"/>
        </w:rPr>
        <w:t>Current</w:t>
      </w:r>
      <w:r>
        <w:rPr>
          <w:rStyle w:val="Emphasis"/>
        </w:rPr>
        <w:t xml:space="preserve"> </w:t>
      </w:r>
      <w:r w:rsidRPr="004B4157">
        <w:rPr>
          <w:rStyle w:val="Emphasis"/>
        </w:rPr>
        <w:t>Opinion</w:t>
      </w:r>
      <w:r>
        <w:rPr>
          <w:rStyle w:val="Emphasis"/>
        </w:rPr>
        <w:t xml:space="preserve"> </w:t>
      </w:r>
      <w:r w:rsidRPr="004B4157">
        <w:rPr>
          <w:rStyle w:val="Emphasis"/>
        </w:rPr>
        <w:t>in</w:t>
      </w:r>
      <w:r>
        <w:rPr>
          <w:rStyle w:val="Emphasis"/>
        </w:rPr>
        <w:t xml:space="preserve"> </w:t>
      </w:r>
      <w:r w:rsidRPr="004B4157">
        <w:rPr>
          <w:rStyle w:val="Emphasis"/>
        </w:rPr>
        <w:t>Psychiatry,</w:t>
      </w:r>
      <w:r>
        <w:rPr>
          <w:rStyle w:val="Emphasis"/>
        </w:rPr>
        <w:t xml:space="preserve"> </w:t>
      </w:r>
      <w:r>
        <w:t>20; 609</w:t>
      </w:r>
      <w:r w:rsidR="000A6614">
        <w:t>–</w:t>
      </w:r>
      <w:r>
        <w:t>613.</w:t>
      </w:r>
    </w:p>
    <w:p w14:paraId="15ED2DBD" w14:textId="6D656573" w:rsidR="00F550F1" w:rsidRDefault="00F550F1" w:rsidP="00F550F1">
      <w:pPr>
        <w:pStyle w:val="DHHSbody"/>
      </w:pPr>
      <w:r>
        <w:t xml:space="preserve">Carlson, G., Taylor, M., &amp; Wilson, J. (2000). Sterilisation, drugs which suppress sexual drive, and young men who have intellectual disability. </w:t>
      </w:r>
      <w:r w:rsidRPr="004B4157">
        <w:rPr>
          <w:rStyle w:val="Emphasis"/>
        </w:rPr>
        <w:t>Journal</w:t>
      </w:r>
      <w:r>
        <w:rPr>
          <w:rStyle w:val="Emphasis"/>
        </w:rPr>
        <w:t xml:space="preserve"> </w:t>
      </w:r>
      <w:r w:rsidRPr="004B4157">
        <w:rPr>
          <w:rStyle w:val="Emphasis"/>
        </w:rPr>
        <w:t>of</w:t>
      </w:r>
      <w:r>
        <w:rPr>
          <w:rStyle w:val="Emphasis"/>
        </w:rPr>
        <w:t xml:space="preserve"> </w:t>
      </w:r>
      <w:r w:rsidRPr="004B4157">
        <w:rPr>
          <w:rStyle w:val="Emphasis"/>
        </w:rPr>
        <w:t>Intellectual</w:t>
      </w:r>
      <w:r>
        <w:rPr>
          <w:rStyle w:val="Emphasis"/>
        </w:rPr>
        <w:t xml:space="preserve"> </w:t>
      </w:r>
      <w:r w:rsidRPr="004B4157">
        <w:rPr>
          <w:rStyle w:val="Emphasis"/>
        </w:rPr>
        <w:t>and</w:t>
      </w:r>
      <w:r>
        <w:rPr>
          <w:rStyle w:val="Emphasis"/>
        </w:rPr>
        <w:t xml:space="preserve"> </w:t>
      </w:r>
      <w:r w:rsidRPr="004B4157">
        <w:rPr>
          <w:rStyle w:val="Emphasis"/>
        </w:rPr>
        <w:t>Developmental</w:t>
      </w:r>
      <w:r>
        <w:rPr>
          <w:rStyle w:val="Emphasis"/>
        </w:rPr>
        <w:t xml:space="preserve"> </w:t>
      </w:r>
      <w:r w:rsidRPr="004B4157">
        <w:rPr>
          <w:rStyle w:val="Emphasis"/>
        </w:rPr>
        <w:t>Disability,</w:t>
      </w:r>
      <w:r>
        <w:t xml:space="preserve"> 25(2); 91</w:t>
      </w:r>
      <w:r w:rsidR="000A6614">
        <w:t>–</w:t>
      </w:r>
      <w:r>
        <w:t>104.</w:t>
      </w:r>
    </w:p>
    <w:p w14:paraId="470079E3" w14:textId="09575663" w:rsidR="00F550F1" w:rsidRDefault="00F550F1" w:rsidP="00F550F1">
      <w:pPr>
        <w:pStyle w:val="DHHSbody"/>
      </w:pPr>
      <w:r>
        <w:t xml:space="preserve">Clarke, D.J. (1989). Anti-libidinal drugs and mental retardation: </w:t>
      </w:r>
      <w:r w:rsidR="000A6614">
        <w:t>a</w:t>
      </w:r>
      <w:r>
        <w:t xml:space="preserve"> review. </w:t>
      </w:r>
      <w:r w:rsidRPr="004B4157">
        <w:rPr>
          <w:rStyle w:val="Emphasis"/>
        </w:rPr>
        <w:t>Medicine,</w:t>
      </w:r>
      <w:r>
        <w:rPr>
          <w:rStyle w:val="Emphasis"/>
        </w:rPr>
        <w:t xml:space="preserve"> </w:t>
      </w:r>
      <w:r w:rsidRPr="004B4157">
        <w:rPr>
          <w:rStyle w:val="Emphasis"/>
        </w:rPr>
        <w:t>Science</w:t>
      </w:r>
      <w:r>
        <w:rPr>
          <w:rStyle w:val="Emphasis"/>
        </w:rPr>
        <w:t xml:space="preserve"> </w:t>
      </w:r>
      <w:r w:rsidRPr="004B4157">
        <w:rPr>
          <w:rStyle w:val="Emphasis"/>
        </w:rPr>
        <w:t>and</w:t>
      </w:r>
      <w:r>
        <w:rPr>
          <w:rStyle w:val="Emphasis"/>
        </w:rPr>
        <w:t xml:space="preserve"> </w:t>
      </w:r>
      <w:r w:rsidRPr="004B4157">
        <w:rPr>
          <w:rStyle w:val="Emphasis"/>
        </w:rPr>
        <w:t>the</w:t>
      </w:r>
      <w:r>
        <w:rPr>
          <w:rStyle w:val="Emphasis"/>
        </w:rPr>
        <w:t xml:space="preserve"> </w:t>
      </w:r>
      <w:r w:rsidRPr="004B4157">
        <w:rPr>
          <w:rStyle w:val="Emphasis"/>
        </w:rPr>
        <w:t>Law</w:t>
      </w:r>
      <w:r>
        <w:t>, 29; 136</w:t>
      </w:r>
      <w:r w:rsidR="000A6614">
        <w:t>–</w:t>
      </w:r>
      <w:r>
        <w:t>146.</w:t>
      </w:r>
    </w:p>
    <w:p w14:paraId="7850C537" w14:textId="03EB9921" w:rsidR="00F550F1" w:rsidRDefault="00F550F1" w:rsidP="00F550F1">
      <w:pPr>
        <w:pStyle w:val="DHHSbody"/>
      </w:pPr>
      <w:r>
        <w:t xml:space="preserve">Cooper, A. (1981). A placebo controlled trial of </w:t>
      </w:r>
      <w:r w:rsidR="002B53B9">
        <w:t>c</w:t>
      </w:r>
      <w:r>
        <w:t xml:space="preserve">yproterone acetate in </w:t>
      </w:r>
      <w:r w:rsidR="00C84854">
        <w:t>inappropriate</w:t>
      </w:r>
      <w:r>
        <w:t xml:space="preserve"> hypersexuality. </w:t>
      </w:r>
      <w:r w:rsidRPr="004B4157">
        <w:rPr>
          <w:rStyle w:val="Emphasis"/>
        </w:rPr>
        <w:t>Comprehensive</w:t>
      </w:r>
      <w:r>
        <w:rPr>
          <w:rStyle w:val="Emphasis"/>
        </w:rPr>
        <w:t xml:space="preserve"> </w:t>
      </w:r>
      <w:r w:rsidRPr="004B4157">
        <w:rPr>
          <w:rStyle w:val="Emphasis"/>
        </w:rPr>
        <w:t>Psychiatry</w:t>
      </w:r>
      <w:r>
        <w:t>, 22; 458</w:t>
      </w:r>
      <w:r w:rsidR="000A6614">
        <w:t>–</w:t>
      </w:r>
      <w:r>
        <w:t>465.</w:t>
      </w:r>
    </w:p>
    <w:p w14:paraId="4DAAC152" w14:textId="264168EA" w:rsidR="00F550F1" w:rsidRDefault="00F550F1" w:rsidP="00F550F1">
      <w:pPr>
        <w:pStyle w:val="DHHSbody"/>
      </w:pPr>
      <w:r>
        <w:t xml:space="preserve">Cooper, A.J. (1995). Review of the role of two anti-libidinal drugs in the treatment of sex offenders with mental retardation. </w:t>
      </w:r>
      <w:r w:rsidRPr="004B4157">
        <w:rPr>
          <w:rStyle w:val="Emphasis"/>
        </w:rPr>
        <w:t>Mental</w:t>
      </w:r>
      <w:r>
        <w:rPr>
          <w:rStyle w:val="Emphasis"/>
        </w:rPr>
        <w:t xml:space="preserve"> </w:t>
      </w:r>
      <w:r w:rsidRPr="004B4157">
        <w:rPr>
          <w:rStyle w:val="Emphasis"/>
        </w:rPr>
        <w:t>Retardation</w:t>
      </w:r>
      <w:r>
        <w:t>, 33; 42</w:t>
      </w:r>
      <w:r w:rsidR="000A6614">
        <w:t>–</w:t>
      </w:r>
      <w:r>
        <w:t>28.</w:t>
      </w:r>
    </w:p>
    <w:p w14:paraId="2AC747D3" w14:textId="7ED695A7" w:rsidR="00F550F1" w:rsidRDefault="00F550F1" w:rsidP="00F550F1">
      <w:pPr>
        <w:pStyle w:val="DHHSbody"/>
      </w:pPr>
      <w:r>
        <w:t>Craig, L. A., I. Stringer, et al. (2006). Treating sexual offenders with learning disabilities in the community</w:t>
      </w:r>
      <w:r w:rsidR="00CF293A">
        <w:t>: a</w:t>
      </w:r>
      <w:r>
        <w:t xml:space="preserve"> critical review. </w:t>
      </w:r>
      <w:r w:rsidRPr="004B4157">
        <w:rPr>
          <w:rStyle w:val="Emphasis"/>
        </w:rPr>
        <w:t>International</w:t>
      </w:r>
      <w:r>
        <w:rPr>
          <w:rStyle w:val="Emphasis"/>
        </w:rPr>
        <w:t xml:space="preserve"> </w:t>
      </w:r>
      <w:r w:rsidRPr="004B4157">
        <w:rPr>
          <w:rStyle w:val="Emphasis"/>
        </w:rPr>
        <w:t>Journal</w:t>
      </w:r>
      <w:r>
        <w:rPr>
          <w:rStyle w:val="Emphasis"/>
        </w:rPr>
        <w:t xml:space="preserve"> </w:t>
      </w:r>
      <w:r w:rsidRPr="004B4157">
        <w:rPr>
          <w:rStyle w:val="Emphasis"/>
        </w:rPr>
        <w:t>of</w:t>
      </w:r>
      <w:r>
        <w:rPr>
          <w:rStyle w:val="Emphasis"/>
        </w:rPr>
        <w:t xml:space="preserve"> </w:t>
      </w:r>
      <w:r w:rsidRPr="004B4157">
        <w:rPr>
          <w:rStyle w:val="Emphasis"/>
        </w:rPr>
        <w:t>Offender</w:t>
      </w:r>
      <w:r>
        <w:rPr>
          <w:rStyle w:val="Emphasis"/>
        </w:rPr>
        <w:t xml:space="preserve"> </w:t>
      </w:r>
      <w:r w:rsidRPr="004B4157">
        <w:rPr>
          <w:rStyle w:val="Emphasis"/>
        </w:rPr>
        <w:t>Therapy</w:t>
      </w:r>
      <w:r>
        <w:rPr>
          <w:rStyle w:val="Emphasis"/>
        </w:rPr>
        <w:t xml:space="preserve"> </w:t>
      </w:r>
      <w:r w:rsidRPr="004B4157">
        <w:rPr>
          <w:rStyle w:val="Emphasis"/>
        </w:rPr>
        <w:t>and</w:t>
      </w:r>
      <w:r>
        <w:rPr>
          <w:rStyle w:val="Emphasis"/>
        </w:rPr>
        <w:t xml:space="preserve"> </w:t>
      </w:r>
      <w:r w:rsidRPr="004B4157">
        <w:rPr>
          <w:rStyle w:val="Emphasis"/>
        </w:rPr>
        <w:t>Comparative</w:t>
      </w:r>
      <w:r>
        <w:rPr>
          <w:rStyle w:val="Emphasis"/>
        </w:rPr>
        <w:t xml:space="preserve"> </w:t>
      </w:r>
      <w:r w:rsidRPr="004B4157">
        <w:rPr>
          <w:rStyle w:val="Emphasis"/>
        </w:rPr>
        <w:t>Criminology,</w:t>
      </w:r>
      <w:r>
        <w:t xml:space="preserve"> 50: 369</w:t>
      </w:r>
      <w:r w:rsidR="000A6614">
        <w:t>–</w:t>
      </w:r>
      <w:r>
        <w:t>390.</w:t>
      </w:r>
    </w:p>
    <w:p w14:paraId="3A1B25BF" w14:textId="319D85C8" w:rsidR="00F550F1" w:rsidRDefault="00F550F1" w:rsidP="00F550F1">
      <w:pPr>
        <w:pStyle w:val="DHHSbody"/>
      </w:pPr>
      <w:r>
        <w:t xml:space="preserve">Craissati, J. (2004). </w:t>
      </w:r>
      <w:r w:rsidRPr="004B4157">
        <w:rPr>
          <w:rStyle w:val="Emphasis"/>
        </w:rPr>
        <w:t>Managing</w:t>
      </w:r>
      <w:r>
        <w:rPr>
          <w:rStyle w:val="Emphasis"/>
        </w:rPr>
        <w:t xml:space="preserve"> </w:t>
      </w:r>
      <w:r w:rsidR="000A6614" w:rsidRPr="004B4157">
        <w:rPr>
          <w:rStyle w:val="Emphasis"/>
        </w:rPr>
        <w:t>high</w:t>
      </w:r>
      <w:r w:rsidR="000A6614">
        <w:rPr>
          <w:rStyle w:val="Emphasis"/>
        </w:rPr>
        <w:t xml:space="preserve"> </w:t>
      </w:r>
      <w:r w:rsidR="000A6614" w:rsidRPr="004B4157">
        <w:rPr>
          <w:rStyle w:val="Emphasis"/>
        </w:rPr>
        <w:t>risk</w:t>
      </w:r>
      <w:r w:rsidR="000A6614">
        <w:rPr>
          <w:rStyle w:val="Emphasis"/>
        </w:rPr>
        <w:t xml:space="preserve"> </w:t>
      </w:r>
      <w:r w:rsidR="000A6614" w:rsidRPr="004B4157">
        <w:rPr>
          <w:rStyle w:val="Emphasis"/>
        </w:rPr>
        <w:t>sex</w:t>
      </w:r>
      <w:r w:rsidR="000A6614">
        <w:rPr>
          <w:rStyle w:val="Emphasis"/>
        </w:rPr>
        <w:t xml:space="preserve"> </w:t>
      </w:r>
      <w:r w:rsidR="000A6614" w:rsidRPr="004B4157">
        <w:rPr>
          <w:rStyle w:val="Emphasis"/>
        </w:rPr>
        <w:t>offenders</w:t>
      </w:r>
      <w:r w:rsidR="000A6614">
        <w:rPr>
          <w:rStyle w:val="Emphasis"/>
        </w:rPr>
        <w:t xml:space="preserve"> </w:t>
      </w:r>
      <w:r w:rsidR="000A6614" w:rsidRPr="004B4157">
        <w:rPr>
          <w:rStyle w:val="Emphasis"/>
        </w:rPr>
        <w:t>in</w:t>
      </w:r>
      <w:r w:rsidR="000A6614">
        <w:rPr>
          <w:rStyle w:val="Emphasis"/>
        </w:rPr>
        <w:t xml:space="preserve"> </w:t>
      </w:r>
      <w:r w:rsidR="000A6614" w:rsidRPr="004B4157">
        <w:rPr>
          <w:rStyle w:val="Emphasis"/>
        </w:rPr>
        <w:t>the</w:t>
      </w:r>
      <w:r w:rsidR="000A6614">
        <w:rPr>
          <w:rStyle w:val="Emphasis"/>
        </w:rPr>
        <w:t xml:space="preserve"> </w:t>
      </w:r>
      <w:r w:rsidR="000A6614" w:rsidRPr="004B4157">
        <w:rPr>
          <w:rStyle w:val="Emphasis"/>
        </w:rPr>
        <w:t>community.</w:t>
      </w:r>
      <w:r w:rsidR="000A6614">
        <w:rPr>
          <w:rStyle w:val="Emphasis"/>
        </w:rPr>
        <w:t xml:space="preserve"> </w:t>
      </w:r>
      <w:r w:rsidR="000A6614" w:rsidRPr="004B4157">
        <w:rPr>
          <w:rStyle w:val="Emphasis"/>
        </w:rPr>
        <w:t>a</w:t>
      </w:r>
      <w:r w:rsidR="000A6614">
        <w:rPr>
          <w:rStyle w:val="Emphasis"/>
        </w:rPr>
        <w:t xml:space="preserve"> </w:t>
      </w:r>
      <w:r w:rsidR="000A6614" w:rsidRPr="004B4157">
        <w:rPr>
          <w:rStyle w:val="Emphasis"/>
        </w:rPr>
        <w:t>psychological</w:t>
      </w:r>
      <w:r w:rsidR="000A6614">
        <w:rPr>
          <w:rStyle w:val="Emphasis"/>
        </w:rPr>
        <w:t xml:space="preserve"> </w:t>
      </w:r>
      <w:r w:rsidR="000A6614" w:rsidRPr="004B4157">
        <w:rPr>
          <w:rStyle w:val="Emphasis"/>
        </w:rPr>
        <w:t>approach</w:t>
      </w:r>
      <w:r w:rsidR="000A6614">
        <w:t xml:space="preserve">. </w:t>
      </w:r>
      <w:r>
        <w:t>New York: Routledge.</w:t>
      </w:r>
    </w:p>
    <w:p w14:paraId="652C439E" w14:textId="77777777" w:rsidR="00CD0313" w:rsidRDefault="00F550F1" w:rsidP="00F550F1">
      <w:pPr>
        <w:pStyle w:val="DHHSbody"/>
      </w:pPr>
      <w:r>
        <w:t xml:space="preserve">Dennis, J.A., Khan, O., Ferriter, M., Huband, N., Powney, M.J., &amp; Duggan, C. (2012). Psychological interventions for adults who have sexually offended or are at risk of offending. </w:t>
      </w:r>
      <w:r w:rsidRPr="00CA3986">
        <w:rPr>
          <w:i/>
          <w:iCs/>
        </w:rPr>
        <w:t>Cochrane Database of Systematic Reviews</w:t>
      </w:r>
      <w:r w:rsidR="000A6614" w:rsidRPr="00CA3986">
        <w:t>,</w:t>
      </w:r>
      <w:r>
        <w:t xml:space="preserve"> 12. Art. No.: CD007507.</w:t>
      </w:r>
    </w:p>
    <w:p w14:paraId="63E05A35" w14:textId="48A7B735" w:rsidR="00F550F1" w:rsidRDefault="00F550F1" w:rsidP="00F550F1">
      <w:pPr>
        <w:pStyle w:val="DHHSbody"/>
      </w:pPr>
      <w:r>
        <w:t xml:space="preserve">Fong, T. W. (2006). Understanding and managing compulsive sexual behaviors. </w:t>
      </w:r>
      <w:r w:rsidRPr="004B4157">
        <w:rPr>
          <w:rStyle w:val="Emphasis"/>
        </w:rPr>
        <w:t>Psychiatry</w:t>
      </w:r>
      <w:r>
        <w:t>,</w:t>
      </w:r>
      <w:r>
        <w:rPr>
          <w:rStyle w:val="Emphasis"/>
        </w:rPr>
        <w:t xml:space="preserve"> </w:t>
      </w:r>
      <w:r>
        <w:t>3; 51</w:t>
      </w:r>
      <w:r w:rsidR="000A6614">
        <w:t>–</w:t>
      </w:r>
      <w:r>
        <w:t>58.</w:t>
      </w:r>
    </w:p>
    <w:p w14:paraId="30F19C90" w14:textId="7AF04D21" w:rsidR="00F550F1" w:rsidRDefault="00F550F1" w:rsidP="00F550F1">
      <w:pPr>
        <w:pStyle w:val="DHHSbody"/>
      </w:pPr>
      <w:r>
        <w:t xml:space="preserve">Gijs, L., &amp; Gooren, L. (1996). Hormonal and psychopharmacological interventions in the treatment of paraphilias. </w:t>
      </w:r>
      <w:r w:rsidRPr="004B4157">
        <w:rPr>
          <w:rStyle w:val="Emphasis"/>
        </w:rPr>
        <w:t>The</w:t>
      </w:r>
      <w:r>
        <w:rPr>
          <w:rStyle w:val="Emphasis"/>
        </w:rPr>
        <w:t xml:space="preserve"> </w:t>
      </w:r>
      <w:r w:rsidRPr="004B4157">
        <w:rPr>
          <w:rStyle w:val="Emphasis"/>
        </w:rPr>
        <w:t>Journal</w:t>
      </w:r>
      <w:r>
        <w:rPr>
          <w:rStyle w:val="Emphasis"/>
        </w:rPr>
        <w:t xml:space="preserve"> </w:t>
      </w:r>
      <w:r w:rsidRPr="004B4157">
        <w:rPr>
          <w:rStyle w:val="Emphasis"/>
        </w:rPr>
        <w:t>of</w:t>
      </w:r>
      <w:r>
        <w:rPr>
          <w:rStyle w:val="Emphasis"/>
        </w:rPr>
        <w:t xml:space="preserve"> </w:t>
      </w:r>
      <w:r w:rsidRPr="004B4157">
        <w:rPr>
          <w:rStyle w:val="Emphasis"/>
        </w:rPr>
        <w:t>Sex</w:t>
      </w:r>
      <w:r>
        <w:rPr>
          <w:rStyle w:val="Emphasis"/>
        </w:rPr>
        <w:t xml:space="preserve"> </w:t>
      </w:r>
      <w:r w:rsidRPr="004B4157">
        <w:rPr>
          <w:rStyle w:val="Emphasis"/>
        </w:rPr>
        <w:t>Research</w:t>
      </w:r>
      <w:r>
        <w:t>, 33; 273</w:t>
      </w:r>
      <w:r w:rsidR="000A6614">
        <w:t>–</w:t>
      </w:r>
      <w:r>
        <w:t>290.</w:t>
      </w:r>
    </w:p>
    <w:p w14:paraId="40101D13" w14:textId="511CEDE0" w:rsidR="00F550F1" w:rsidRDefault="00F550F1" w:rsidP="00F550F1">
      <w:pPr>
        <w:pStyle w:val="DHHSbody"/>
      </w:pPr>
      <w:r>
        <w:t>Glaser, W. (2003). Integrating pharmacological treatments. In</w:t>
      </w:r>
      <w:r w:rsidR="00E07BA9">
        <w:t>:</w:t>
      </w:r>
      <w:r>
        <w:t xml:space="preserve"> T Ward</w:t>
      </w:r>
      <w:r w:rsidR="00E07BA9">
        <w:t>,</w:t>
      </w:r>
      <w:r>
        <w:t xml:space="preserve"> DR Laws &amp; SM Hudson [</w:t>
      </w:r>
      <w:r w:rsidR="00E07BA9">
        <w:t>e</w:t>
      </w:r>
      <w:r>
        <w:t xml:space="preserve">ds] </w:t>
      </w:r>
      <w:r w:rsidRPr="004B4157">
        <w:rPr>
          <w:rStyle w:val="Emphasis"/>
        </w:rPr>
        <w:t>Sexual</w:t>
      </w:r>
      <w:r w:rsidR="00E07BA9">
        <w:rPr>
          <w:rStyle w:val="Emphasis"/>
        </w:rPr>
        <w:t xml:space="preserve"> </w:t>
      </w:r>
      <w:r w:rsidR="00E07BA9" w:rsidRPr="004B4157">
        <w:rPr>
          <w:rStyle w:val="Emphasis"/>
        </w:rPr>
        <w:t>deviance:</w:t>
      </w:r>
      <w:r w:rsidR="00E07BA9">
        <w:rPr>
          <w:rStyle w:val="Emphasis"/>
        </w:rPr>
        <w:t xml:space="preserve"> </w:t>
      </w:r>
      <w:r w:rsidR="00E07BA9" w:rsidRPr="004B4157">
        <w:rPr>
          <w:rStyle w:val="Emphasis"/>
        </w:rPr>
        <w:t>issues</w:t>
      </w:r>
      <w:r w:rsidR="00E07BA9">
        <w:rPr>
          <w:rStyle w:val="Emphasis"/>
        </w:rPr>
        <w:t xml:space="preserve"> </w:t>
      </w:r>
      <w:r w:rsidR="00E07BA9" w:rsidRPr="004B4157">
        <w:rPr>
          <w:rStyle w:val="Emphasis"/>
        </w:rPr>
        <w:t>and</w:t>
      </w:r>
      <w:r w:rsidR="00E07BA9">
        <w:rPr>
          <w:rStyle w:val="Emphasis"/>
        </w:rPr>
        <w:t xml:space="preserve"> </w:t>
      </w:r>
      <w:r w:rsidR="00E07BA9" w:rsidRPr="004B4157">
        <w:rPr>
          <w:rStyle w:val="Emphasis"/>
        </w:rPr>
        <w:t>controversies</w:t>
      </w:r>
      <w:r w:rsidR="00E07BA9">
        <w:t xml:space="preserve"> </w:t>
      </w:r>
      <w:r>
        <w:t>(pp. 201</w:t>
      </w:r>
      <w:r w:rsidR="00F8664A">
        <w:t>–</w:t>
      </w:r>
      <w:r>
        <w:t>212). London: Sage Publications.</w:t>
      </w:r>
    </w:p>
    <w:p w14:paraId="453836CC" w14:textId="3FB35EED" w:rsidR="00F550F1" w:rsidRDefault="00F550F1" w:rsidP="00F550F1">
      <w:pPr>
        <w:pStyle w:val="DHHSbody"/>
      </w:pPr>
      <w:r>
        <w:t xml:space="preserve">Glaser, W. (2011). Paternalism and the good lives model of sex offender rehabilitation. </w:t>
      </w:r>
      <w:r w:rsidRPr="004B4157">
        <w:rPr>
          <w:rStyle w:val="Emphasis"/>
        </w:rPr>
        <w:t>Sexual</w:t>
      </w:r>
      <w:r>
        <w:rPr>
          <w:rStyle w:val="Emphasis"/>
        </w:rPr>
        <w:t xml:space="preserve"> </w:t>
      </w:r>
      <w:r w:rsidRPr="004B4157">
        <w:rPr>
          <w:rStyle w:val="Emphasis"/>
        </w:rPr>
        <w:t>Abuse:</w:t>
      </w:r>
      <w:r>
        <w:rPr>
          <w:rStyle w:val="Emphasis"/>
        </w:rPr>
        <w:t xml:space="preserve"> </w:t>
      </w:r>
      <w:r w:rsidRPr="004B4157">
        <w:rPr>
          <w:rStyle w:val="Emphasis"/>
        </w:rPr>
        <w:t>A</w:t>
      </w:r>
      <w:r>
        <w:rPr>
          <w:rStyle w:val="Emphasis"/>
        </w:rPr>
        <w:t xml:space="preserve"> </w:t>
      </w:r>
      <w:r w:rsidRPr="004B4157">
        <w:rPr>
          <w:rStyle w:val="Emphasis"/>
        </w:rPr>
        <w:t>Journal</w:t>
      </w:r>
      <w:r>
        <w:rPr>
          <w:rStyle w:val="Emphasis"/>
        </w:rPr>
        <w:t xml:space="preserve"> </w:t>
      </w:r>
      <w:r w:rsidRPr="004B4157">
        <w:rPr>
          <w:rStyle w:val="Emphasis"/>
        </w:rPr>
        <w:t>of</w:t>
      </w:r>
      <w:r>
        <w:rPr>
          <w:rStyle w:val="Emphasis"/>
        </w:rPr>
        <w:t xml:space="preserve"> </w:t>
      </w:r>
      <w:r w:rsidRPr="004B4157">
        <w:rPr>
          <w:rStyle w:val="Emphasis"/>
        </w:rPr>
        <w:t>Research</w:t>
      </w:r>
      <w:r>
        <w:rPr>
          <w:rStyle w:val="Emphasis"/>
        </w:rPr>
        <w:t xml:space="preserve"> </w:t>
      </w:r>
      <w:r w:rsidRPr="004B4157">
        <w:rPr>
          <w:rStyle w:val="Emphasis"/>
        </w:rPr>
        <w:t>and</w:t>
      </w:r>
      <w:r>
        <w:rPr>
          <w:rStyle w:val="Emphasis"/>
        </w:rPr>
        <w:t xml:space="preserve"> </w:t>
      </w:r>
      <w:r w:rsidRPr="004B4157">
        <w:rPr>
          <w:rStyle w:val="Emphasis"/>
        </w:rPr>
        <w:t>Treatment,</w:t>
      </w:r>
      <w:r>
        <w:t xml:space="preserve"> 23; 329</w:t>
      </w:r>
      <w:r w:rsidR="00F8664A">
        <w:t>–</w:t>
      </w:r>
      <w:r>
        <w:t>345.</w:t>
      </w:r>
    </w:p>
    <w:p w14:paraId="189B023C" w14:textId="38CEC243" w:rsidR="00F550F1" w:rsidRDefault="00F550F1" w:rsidP="00F550F1">
      <w:pPr>
        <w:pStyle w:val="DHHSbody"/>
      </w:pPr>
      <w:r>
        <w:t xml:space="preserve">Gooren, L.J. (2011). Ethical and medical considerations of androgen deprivation treatment of sex offenders. </w:t>
      </w:r>
      <w:r w:rsidRPr="004B4157">
        <w:rPr>
          <w:rStyle w:val="Emphasis"/>
        </w:rPr>
        <w:t>Journal</w:t>
      </w:r>
      <w:r>
        <w:rPr>
          <w:rStyle w:val="Emphasis"/>
        </w:rPr>
        <w:t xml:space="preserve"> </w:t>
      </w:r>
      <w:r w:rsidRPr="004B4157">
        <w:rPr>
          <w:rStyle w:val="Emphasis"/>
        </w:rPr>
        <w:t>of</w:t>
      </w:r>
      <w:r>
        <w:rPr>
          <w:rStyle w:val="Emphasis"/>
        </w:rPr>
        <w:t xml:space="preserve"> </w:t>
      </w:r>
      <w:r w:rsidRPr="004B4157">
        <w:rPr>
          <w:rStyle w:val="Emphasis"/>
        </w:rPr>
        <w:t>Clinical</w:t>
      </w:r>
      <w:r>
        <w:rPr>
          <w:rStyle w:val="Emphasis"/>
        </w:rPr>
        <w:t xml:space="preserve"> </w:t>
      </w:r>
      <w:r w:rsidRPr="004B4157">
        <w:rPr>
          <w:rStyle w:val="Emphasis"/>
        </w:rPr>
        <w:t>Endocrinology</w:t>
      </w:r>
      <w:r>
        <w:rPr>
          <w:rStyle w:val="Emphasis"/>
        </w:rPr>
        <w:t xml:space="preserve"> </w:t>
      </w:r>
      <w:r w:rsidRPr="004B4157">
        <w:rPr>
          <w:rStyle w:val="Emphasis"/>
        </w:rPr>
        <w:t>and</w:t>
      </w:r>
      <w:r>
        <w:rPr>
          <w:rStyle w:val="Emphasis"/>
        </w:rPr>
        <w:t xml:space="preserve"> </w:t>
      </w:r>
      <w:r w:rsidRPr="004B4157">
        <w:rPr>
          <w:rStyle w:val="Emphasis"/>
        </w:rPr>
        <w:t>Metabolism,</w:t>
      </w:r>
      <w:r>
        <w:t xml:space="preserve"> 96; 3628</w:t>
      </w:r>
      <w:r w:rsidR="00F8664A">
        <w:t>–</w:t>
      </w:r>
      <w:r>
        <w:t>3637.</w:t>
      </w:r>
    </w:p>
    <w:p w14:paraId="0DB16E46" w14:textId="6EFF4D64" w:rsidR="00F550F1" w:rsidRDefault="00F550F1" w:rsidP="00F550F1">
      <w:pPr>
        <w:pStyle w:val="DHHSbody"/>
      </w:pPr>
      <w:r>
        <w:t xml:space="preserve">Grossman, L.S., Martis, B., &amp; Fichtner, C.G. (1999). Are sex offenders treatable? A research overview. </w:t>
      </w:r>
      <w:r w:rsidRPr="004B4157">
        <w:rPr>
          <w:rStyle w:val="Emphasis"/>
        </w:rPr>
        <w:t>Psychiatric</w:t>
      </w:r>
      <w:r>
        <w:rPr>
          <w:rStyle w:val="Emphasis"/>
        </w:rPr>
        <w:t xml:space="preserve"> </w:t>
      </w:r>
      <w:r w:rsidRPr="004B4157">
        <w:rPr>
          <w:rStyle w:val="Emphasis"/>
        </w:rPr>
        <w:t>Services,</w:t>
      </w:r>
      <w:r>
        <w:t xml:space="preserve"> 50; 349</w:t>
      </w:r>
      <w:r w:rsidR="00F8664A">
        <w:t>–</w:t>
      </w:r>
      <w:r>
        <w:t>361.</w:t>
      </w:r>
    </w:p>
    <w:p w14:paraId="6AE028ED" w14:textId="5348F95A" w:rsidR="00F550F1" w:rsidRDefault="00F550F1" w:rsidP="00F550F1">
      <w:pPr>
        <w:pStyle w:val="DHHSbody"/>
      </w:pPr>
      <w:r>
        <w:t xml:space="preserve">Grossman, M., Hamilton, E.J., Gilfillan, C., Bolton, D., Joon, D.L., &amp; Zajac, J.D. (2011). Bone and metabolic health in patients with non-matastic prostrate cancer who are receiving androgen deprivation therapy. Management guidelines on behalf of the Endocrine Society of Australia, the Australian and New Zealand Bone and Mineral Society, and the Urological Society of Australia and New Zealand. </w:t>
      </w:r>
      <w:r w:rsidRPr="004B4157">
        <w:rPr>
          <w:rStyle w:val="Emphasis"/>
        </w:rPr>
        <w:t>Medical</w:t>
      </w:r>
      <w:r>
        <w:rPr>
          <w:rStyle w:val="Emphasis"/>
        </w:rPr>
        <w:t xml:space="preserve"> </w:t>
      </w:r>
      <w:r w:rsidRPr="004B4157">
        <w:rPr>
          <w:rStyle w:val="Emphasis"/>
        </w:rPr>
        <w:t>Journal</w:t>
      </w:r>
      <w:r>
        <w:rPr>
          <w:rStyle w:val="Emphasis"/>
        </w:rPr>
        <w:t xml:space="preserve"> </w:t>
      </w:r>
      <w:r w:rsidRPr="004B4157">
        <w:rPr>
          <w:rStyle w:val="Emphasis"/>
        </w:rPr>
        <w:t>of</w:t>
      </w:r>
      <w:r>
        <w:rPr>
          <w:rStyle w:val="Emphasis"/>
        </w:rPr>
        <w:t xml:space="preserve"> </w:t>
      </w:r>
      <w:r w:rsidRPr="004B4157">
        <w:rPr>
          <w:rStyle w:val="Emphasis"/>
        </w:rPr>
        <w:t>Australia</w:t>
      </w:r>
      <w:r>
        <w:t>, 194; 301</w:t>
      </w:r>
      <w:r w:rsidR="00F8664A">
        <w:t>–</w:t>
      </w:r>
      <w:r>
        <w:t>306.</w:t>
      </w:r>
    </w:p>
    <w:p w14:paraId="022BA754" w14:textId="77777777" w:rsidR="00CD0313" w:rsidRDefault="00F550F1" w:rsidP="00F550F1">
      <w:pPr>
        <w:pStyle w:val="DHHSbody"/>
      </w:pPr>
      <w:r>
        <w:t xml:space="preserve">Gumber, R., Gangavati, S., &amp; Bhaumik, S. (2011). Anti-libidinals – </w:t>
      </w:r>
      <w:r w:rsidR="00DD6EA2">
        <w:t>c</w:t>
      </w:r>
      <w:r>
        <w:t xml:space="preserve">ure or curse? Long-term use of anti-libidinal medication in adult patients with learning disability. </w:t>
      </w:r>
      <w:r w:rsidRPr="004B4157">
        <w:rPr>
          <w:rStyle w:val="Emphasis"/>
        </w:rPr>
        <w:t>British</w:t>
      </w:r>
      <w:r>
        <w:rPr>
          <w:rStyle w:val="Emphasis"/>
        </w:rPr>
        <w:t xml:space="preserve"> </w:t>
      </w:r>
      <w:r w:rsidRPr="004B4157">
        <w:rPr>
          <w:rStyle w:val="Emphasis"/>
        </w:rPr>
        <w:t>Journal</w:t>
      </w:r>
      <w:r>
        <w:rPr>
          <w:rStyle w:val="Emphasis"/>
        </w:rPr>
        <w:t xml:space="preserve"> </w:t>
      </w:r>
      <w:r w:rsidRPr="004B4157">
        <w:rPr>
          <w:rStyle w:val="Emphasis"/>
        </w:rPr>
        <w:t>of</w:t>
      </w:r>
      <w:r>
        <w:rPr>
          <w:rStyle w:val="Emphasis"/>
        </w:rPr>
        <w:t xml:space="preserve"> </w:t>
      </w:r>
      <w:r w:rsidRPr="004B4157">
        <w:rPr>
          <w:rStyle w:val="Emphasis"/>
        </w:rPr>
        <w:t>Developmental</w:t>
      </w:r>
      <w:r>
        <w:rPr>
          <w:rStyle w:val="Emphasis"/>
        </w:rPr>
        <w:t xml:space="preserve"> </w:t>
      </w:r>
      <w:r w:rsidRPr="004B4157">
        <w:rPr>
          <w:rStyle w:val="Emphasis"/>
        </w:rPr>
        <w:t>Disabilities</w:t>
      </w:r>
      <w:r>
        <w:t>, 57; 81–90.</w:t>
      </w:r>
    </w:p>
    <w:p w14:paraId="6D118C27" w14:textId="6E2AFCA8" w:rsidR="00F550F1" w:rsidRDefault="00F550F1" w:rsidP="00F550F1">
      <w:pPr>
        <w:pStyle w:val="DHHSbody"/>
      </w:pPr>
      <w:r>
        <w:t xml:space="preserve">Gunn, J. (2000). Future directions for treatment in forensic psychiatry. </w:t>
      </w:r>
      <w:r w:rsidRPr="004B4157">
        <w:rPr>
          <w:rStyle w:val="Emphasis"/>
        </w:rPr>
        <w:t>British</w:t>
      </w:r>
      <w:r>
        <w:rPr>
          <w:rStyle w:val="Emphasis"/>
        </w:rPr>
        <w:t xml:space="preserve"> </w:t>
      </w:r>
      <w:r w:rsidRPr="004B4157">
        <w:rPr>
          <w:rStyle w:val="Emphasis"/>
        </w:rPr>
        <w:t>Journal</w:t>
      </w:r>
      <w:r>
        <w:rPr>
          <w:rStyle w:val="Emphasis"/>
        </w:rPr>
        <w:t xml:space="preserve"> </w:t>
      </w:r>
      <w:r w:rsidRPr="004B4157">
        <w:rPr>
          <w:rStyle w:val="Emphasis"/>
        </w:rPr>
        <w:t>of</w:t>
      </w:r>
      <w:r>
        <w:rPr>
          <w:rStyle w:val="Emphasis"/>
        </w:rPr>
        <w:t xml:space="preserve"> </w:t>
      </w:r>
      <w:r w:rsidRPr="004B4157">
        <w:rPr>
          <w:rStyle w:val="Emphasis"/>
        </w:rPr>
        <w:t>Psychiatry</w:t>
      </w:r>
      <w:r>
        <w:t>, 176; 332</w:t>
      </w:r>
      <w:r w:rsidR="00F8664A">
        <w:t>–</w:t>
      </w:r>
      <w:r>
        <w:t>338.</w:t>
      </w:r>
    </w:p>
    <w:p w14:paraId="553A937A" w14:textId="77777777" w:rsidR="00F550F1" w:rsidRDefault="00F550F1" w:rsidP="00F550F1">
      <w:pPr>
        <w:pStyle w:val="DHHSbody"/>
      </w:pPr>
      <w:r>
        <w:t xml:space="preserve">Hanson, R.K., Gordon, A., Harris, A.J.R., Marques, J.K., Murphy, W.D., Quinsey, V.L., &amp; Seto, M.C. (2002). First report of the collaborative outcome data project on the effectiveness of psychological treatment of sex offenders. </w:t>
      </w:r>
      <w:r w:rsidRPr="004B4157">
        <w:rPr>
          <w:rStyle w:val="Emphasis"/>
        </w:rPr>
        <w:t>Sexual</w:t>
      </w:r>
      <w:r>
        <w:rPr>
          <w:rStyle w:val="Emphasis"/>
        </w:rPr>
        <w:t xml:space="preserve"> </w:t>
      </w:r>
      <w:r w:rsidRPr="004B4157">
        <w:rPr>
          <w:rStyle w:val="Emphasis"/>
        </w:rPr>
        <w:t>Abuse:</w:t>
      </w:r>
      <w:r>
        <w:rPr>
          <w:rStyle w:val="Emphasis"/>
        </w:rPr>
        <w:t xml:space="preserve"> </w:t>
      </w:r>
      <w:r w:rsidRPr="004B4157">
        <w:rPr>
          <w:rStyle w:val="Emphasis"/>
        </w:rPr>
        <w:t>A</w:t>
      </w:r>
      <w:r>
        <w:rPr>
          <w:rStyle w:val="Emphasis"/>
        </w:rPr>
        <w:t xml:space="preserve"> </w:t>
      </w:r>
      <w:r w:rsidRPr="004B4157">
        <w:rPr>
          <w:rStyle w:val="Emphasis"/>
        </w:rPr>
        <w:t>Journal</w:t>
      </w:r>
      <w:r>
        <w:rPr>
          <w:rStyle w:val="Emphasis"/>
        </w:rPr>
        <w:t xml:space="preserve"> </w:t>
      </w:r>
      <w:r w:rsidRPr="004B4157">
        <w:rPr>
          <w:rStyle w:val="Emphasis"/>
        </w:rPr>
        <w:t>of</w:t>
      </w:r>
      <w:r>
        <w:rPr>
          <w:rStyle w:val="Emphasis"/>
        </w:rPr>
        <w:t xml:space="preserve"> </w:t>
      </w:r>
      <w:r w:rsidRPr="004B4157">
        <w:rPr>
          <w:rStyle w:val="Emphasis"/>
        </w:rPr>
        <w:t>Research</w:t>
      </w:r>
      <w:r>
        <w:rPr>
          <w:rStyle w:val="Emphasis"/>
        </w:rPr>
        <w:t xml:space="preserve"> </w:t>
      </w:r>
      <w:r w:rsidRPr="004B4157">
        <w:rPr>
          <w:rStyle w:val="Emphasis"/>
        </w:rPr>
        <w:t>and</w:t>
      </w:r>
      <w:r>
        <w:rPr>
          <w:rStyle w:val="Emphasis"/>
        </w:rPr>
        <w:t xml:space="preserve"> </w:t>
      </w:r>
      <w:r w:rsidRPr="004B4157">
        <w:rPr>
          <w:rStyle w:val="Emphasis"/>
        </w:rPr>
        <w:t>Treatment</w:t>
      </w:r>
      <w:r>
        <w:t>, 14; 169–195.</w:t>
      </w:r>
    </w:p>
    <w:p w14:paraId="43388AF5" w14:textId="77777777" w:rsidR="00F550F1" w:rsidRDefault="00F550F1" w:rsidP="00F550F1">
      <w:pPr>
        <w:pStyle w:val="DHHSbody"/>
      </w:pPr>
      <w:r>
        <w:t xml:space="preserve">Harrison, K. (2007). The high risk sex offender strategy in England and Wales: Is chemical castration an option? </w:t>
      </w:r>
      <w:r w:rsidRPr="004B4157">
        <w:rPr>
          <w:rStyle w:val="Emphasis"/>
        </w:rPr>
        <w:t>The</w:t>
      </w:r>
      <w:r>
        <w:rPr>
          <w:rStyle w:val="Emphasis"/>
        </w:rPr>
        <w:t xml:space="preserve"> </w:t>
      </w:r>
      <w:r w:rsidRPr="004B4157">
        <w:rPr>
          <w:rStyle w:val="Emphasis"/>
        </w:rPr>
        <w:t>Howard</w:t>
      </w:r>
      <w:r>
        <w:rPr>
          <w:rStyle w:val="Emphasis"/>
        </w:rPr>
        <w:t xml:space="preserve"> </w:t>
      </w:r>
      <w:r w:rsidRPr="004B4157">
        <w:rPr>
          <w:rStyle w:val="Emphasis"/>
        </w:rPr>
        <w:t>Journal,</w:t>
      </w:r>
      <w:r>
        <w:t xml:space="preserve"> 46; 16–31.</w:t>
      </w:r>
    </w:p>
    <w:p w14:paraId="6B37B876" w14:textId="77777777" w:rsidR="00F550F1" w:rsidRDefault="00F550F1" w:rsidP="00F550F1">
      <w:pPr>
        <w:pStyle w:val="DHHSbody"/>
      </w:pPr>
      <w:r>
        <w:t xml:space="preserve">Hayes, S. (1991). Sex offenders. </w:t>
      </w:r>
      <w:r w:rsidRPr="004B4157">
        <w:rPr>
          <w:rStyle w:val="Emphasis"/>
        </w:rPr>
        <w:t>Australia</w:t>
      </w:r>
      <w:r>
        <w:rPr>
          <w:rStyle w:val="Emphasis"/>
        </w:rPr>
        <w:t xml:space="preserve"> </w:t>
      </w:r>
      <w:r w:rsidRPr="004B4157">
        <w:rPr>
          <w:rStyle w:val="Emphasis"/>
        </w:rPr>
        <w:t>and</w:t>
      </w:r>
      <w:r>
        <w:rPr>
          <w:rStyle w:val="Emphasis"/>
        </w:rPr>
        <w:t xml:space="preserve"> </w:t>
      </w:r>
      <w:r w:rsidRPr="004B4157">
        <w:rPr>
          <w:rStyle w:val="Emphasis"/>
        </w:rPr>
        <w:t>New</w:t>
      </w:r>
      <w:r>
        <w:rPr>
          <w:rStyle w:val="Emphasis"/>
        </w:rPr>
        <w:t xml:space="preserve"> </w:t>
      </w:r>
      <w:r w:rsidRPr="004B4157">
        <w:rPr>
          <w:rStyle w:val="Emphasis"/>
        </w:rPr>
        <w:t>Zealand</w:t>
      </w:r>
      <w:r>
        <w:rPr>
          <w:rStyle w:val="Emphasis"/>
        </w:rPr>
        <w:t xml:space="preserve"> </w:t>
      </w:r>
      <w:r w:rsidRPr="004B4157">
        <w:rPr>
          <w:rStyle w:val="Emphasis"/>
        </w:rPr>
        <w:t>Journal</w:t>
      </w:r>
      <w:r>
        <w:rPr>
          <w:rStyle w:val="Emphasis"/>
        </w:rPr>
        <w:t xml:space="preserve"> </w:t>
      </w:r>
      <w:r w:rsidRPr="004B4157">
        <w:rPr>
          <w:rStyle w:val="Emphasis"/>
        </w:rPr>
        <w:t>of</w:t>
      </w:r>
      <w:r>
        <w:rPr>
          <w:rStyle w:val="Emphasis"/>
        </w:rPr>
        <w:t xml:space="preserve"> </w:t>
      </w:r>
      <w:r w:rsidRPr="004B4157">
        <w:rPr>
          <w:rStyle w:val="Emphasis"/>
        </w:rPr>
        <w:t>Intellectual</w:t>
      </w:r>
      <w:r>
        <w:rPr>
          <w:rStyle w:val="Emphasis"/>
        </w:rPr>
        <w:t xml:space="preserve"> </w:t>
      </w:r>
      <w:r w:rsidRPr="004B4157">
        <w:rPr>
          <w:rStyle w:val="Emphasis"/>
        </w:rPr>
        <w:t>Disabilities,</w:t>
      </w:r>
      <w:r>
        <w:t xml:space="preserve"> 17; 221–227.</w:t>
      </w:r>
    </w:p>
    <w:p w14:paraId="53AC7071" w14:textId="704826E0" w:rsidR="00F550F1" w:rsidRDefault="00F550F1" w:rsidP="00F550F1">
      <w:pPr>
        <w:pStyle w:val="DHHSbody"/>
      </w:pPr>
      <w:r>
        <w:t>Hayes, S. (2004). Pathway</w:t>
      </w:r>
      <w:r w:rsidR="00F8664A">
        <w:t>s for offenders with intellectual disability</w:t>
      </w:r>
      <w:r>
        <w:t>. In</w:t>
      </w:r>
      <w:r w:rsidR="00F8664A">
        <w:t>:</w:t>
      </w:r>
      <w:r>
        <w:t xml:space="preserve"> N Bouras &amp; G Holt [</w:t>
      </w:r>
      <w:r w:rsidR="00F8664A">
        <w:t>e</w:t>
      </w:r>
      <w:r>
        <w:t xml:space="preserve">ds]. </w:t>
      </w:r>
      <w:r w:rsidRPr="004B4157">
        <w:rPr>
          <w:rStyle w:val="Emphasis"/>
        </w:rPr>
        <w:t>Psychiatric</w:t>
      </w:r>
      <w:r>
        <w:rPr>
          <w:rStyle w:val="Emphasis"/>
        </w:rPr>
        <w:t xml:space="preserve"> </w:t>
      </w:r>
      <w:r w:rsidRPr="004B4157">
        <w:rPr>
          <w:rStyle w:val="Emphasis"/>
        </w:rPr>
        <w:t>and</w:t>
      </w:r>
      <w:r>
        <w:rPr>
          <w:rStyle w:val="Emphasis"/>
        </w:rPr>
        <w:t xml:space="preserve"> </w:t>
      </w:r>
      <w:r w:rsidR="00F8664A" w:rsidRPr="004B4157">
        <w:rPr>
          <w:rStyle w:val="Emphasis"/>
        </w:rPr>
        <w:t>behavioural</w:t>
      </w:r>
      <w:r w:rsidR="00F8664A">
        <w:rPr>
          <w:rStyle w:val="Emphasis"/>
        </w:rPr>
        <w:t xml:space="preserve"> </w:t>
      </w:r>
      <w:r w:rsidR="00F8664A" w:rsidRPr="004B4157">
        <w:rPr>
          <w:rStyle w:val="Emphasis"/>
        </w:rPr>
        <w:t>disorders</w:t>
      </w:r>
      <w:r w:rsidR="00F8664A">
        <w:rPr>
          <w:rStyle w:val="Emphasis"/>
        </w:rPr>
        <w:t xml:space="preserve"> </w:t>
      </w:r>
      <w:r w:rsidR="00F8664A" w:rsidRPr="004B4157">
        <w:rPr>
          <w:rStyle w:val="Emphasis"/>
        </w:rPr>
        <w:t>in</w:t>
      </w:r>
      <w:r w:rsidR="00F8664A">
        <w:rPr>
          <w:rStyle w:val="Emphasis"/>
        </w:rPr>
        <w:t xml:space="preserve"> </w:t>
      </w:r>
      <w:r w:rsidR="00F8664A" w:rsidRPr="004B4157">
        <w:rPr>
          <w:rStyle w:val="Emphasis"/>
        </w:rPr>
        <w:t>intellectual</w:t>
      </w:r>
      <w:r w:rsidR="00F8664A">
        <w:rPr>
          <w:rStyle w:val="Emphasis"/>
        </w:rPr>
        <w:t xml:space="preserve"> </w:t>
      </w:r>
      <w:r w:rsidR="00F8664A" w:rsidRPr="004B4157">
        <w:rPr>
          <w:rStyle w:val="Emphasis"/>
        </w:rPr>
        <w:t>and</w:t>
      </w:r>
      <w:r w:rsidR="00F8664A">
        <w:rPr>
          <w:rStyle w:val="Emphasis"/>
        </w:rPr>
        <w:t xml:space="preserve"> </w:t>
      </w:r>
      <w:r w:rsidR="00F8664A" w:rsidRPr="004B4157">
        <w:rPr>
          <w:rStyle w:val="Emphasis"/>
        </w:rPr>
        <w:t>developmental</w:t>
      </w:r>
      <w:r w:rsidR="00F8664A">
        <w:rPr>
          <w:rStyle w:val="Emphasis"/>
        </w:rPr>
        <w:t xml:space="preserve"> </w:t>
      </w:r>
      <w:r w:rsidR="00F8664A" w:rsidRPr="004B4157">
        <w:rPr>
          <w:rStyle w:val="Emphasis"/>
        </w:rPr>
        <w:t>disabilities</w:t>
      </w:r>
      <w:r w:rsidRPr="004B4157">
        <w:rPr>
          <w:rStyle w:val="Emphasis"/>
        </w:rPr>
        <w:t>.</w:t>
      </w:r>
      <w:r>
        <w:t xml:space="preserve"> Chapter 4. pp. 67–89.</w:t>
      </w:r>
    </w:p>
    <w:p w14:paraId="5339D354" w14:textId="568E3E74" w:rsidR="00C84854" w:rsidRDefault="00F550F1" w:rsidP="00F550F1">
      <w:pPr>
        <w:pStyle w:val="DHHSbody"/>
        <w:rPr>
          <w:noProof/>
        </w:rPr>
      </w:pPr>
      <w:r>
        <w:t xml:space="preserve">Hayes, S., Barbouttis, F., &amp; Hayes, C. (2002). </w:t>
      </w:r>
      <w:r w:rsidRPr="004B4157">
        <w:rPr>
          <w:rStyle w:val="Emphasis"/>
        </w:rPr>
        <w:t>Anti-libidinal</w:t>
      </w:r>
      <w:r>
        <w:rPr>
          <w:rStyle w:val="Emphasis"/>
        </w:rPr>
        <w:t xml:space="preserve"> </w:t>
      </w:r>
      <w:r w:rsidRPr="004B4157">
        <w:rPr>
          <w:rStyle w:val="Emphasis"/>
        </w:rPr>
        <w:t>medication</w:t>
      </w:r>
      <w:r>
        <w:rPr>
          <w:rStyle w:val="Emphasis"/>
        </w:rPr>
        <w:t xml:space="preserve"> </w:t>
      </w:r>
      <w:r w:rsidRPr="004B4157">
        <w:rPr>
          <w:rStyle w:val="Emphasis"/>
        </w:rPr>
        <w:t>and</w:t>
      </w:r>
      <w:r>
        <w:rPr>
          <w:rStyle w:val="Emphasis"/>
        </w:rPr>
        <w:t xml:space="preserve"> </w:t>
      </w:r>
      <w:r w:rsidRPr="004B4157">
        <w:rPr>
          <w:rStyle w:val="Emphasis"/>
        </w:rPr>
        <w:t>people</w:t>
      </w:r>
      <w:r>
        <w:rPr>
          <w:rStyle w:val="Emphasis"/>
        </w:rPr>
        <w:t xml:space="preserve"> </w:t>
      </w:r>
      <w:r w:rsidRPr="004B4157">
        <w:rPr>
          <w:rStyle w:val="Emphasis"/>
        </w:rPr>
        <w:t>with</w:t>
      </w:r>
      <w:r>
        <w:rPr>
          <w:rStyle w:val="Emphasis"/>
        </w:rPr>
        <w:t xml:space="preserve"> </w:t>
      </w:r>
      <w:r w:rsidRPr="004B4157">
        <w:rPr>
          <w:rStyle w:val="Emphasis"/>
        </w:rPr>
        <w:t>disabilities</w:t>
      </w:r>
      <w:r>
        <w:rPr>
          <w:rStyle w:val="Emphasis"/>
        </w:rPr>
        <w:t xml:space="preserve"> </w:t>
      </w:r>
      <w:r w:rsidRPr="004B4157">
        <w:rPr>
          <w:rStyle w:val="Emphasis"/>
        </w:rPr>
        <w:t>–</w:t>
      </w:r>
      <w:r>
        <w:rPr>
          <w:rStyle w:val="Emphasis"/>
        </w:rPr>
        <w:t xml:space="preserve"> </w:t>
      </w:r>
      <w:r w:rsidRPr="004B4157">
        <w:rPr>
          <w:rStyle w:val="Emphasis"/>
        </w:rPr>
        <w:t>long-term</w:t>
      </w:r>
      <w:r>
        <w:rPr>
          <w:rStyle w:val="Emphasis"/>
        </w:rPr>
        <w:t xml:space="preserve"> </w:t>
      </w:r>
      <w:r w:rsidRPr="004B4157">
        <w:rPr>
          <w:rStyle w:val="Emphasis"/>
        </w:rPr>
        <w:t>follow-up</w:t>
      </w:r>
      <w:r>
        <w:rPr>
          <w:rStyle w:val="Emphasis"/>
        </w:rPr>
        <w:t xml:space="preserve"> </w:t>
      </w:r>
      <w:r w:rsidRPr="004B4157">
        <w:rPr>
          <w:rStyle w:val="Emphasis"/>
        </w:rPr>
        <w:t>of</w:t>
      </w:r>
      <w:r>
        <w:rPr>
          <w:rStyle w:val="Emphasis"/>
        </w:rPr>
        <w:t xml:space="preserve"> </w:t>
      </w:r>
      <w:r w:rsidRPr="004B4157">
        <w:rPr>
          <w:rStyle w:val="Emphasis"/>
        </w:rPr>
        <w:t>outcomes</w:t>
      </w:r>
      <w:r>
        <w:rPr>
          <w:rStyle w:val="Emphasis"/>
        </w:rPr>
        <w:t xml:space="preserve"> </w:t>
      </w:r>
      <w:r w:rsidRPr="004B4157">
        <w:rPr>
          <w:rStyle w:val="Emphasis"/>
        </w:rPr>
        <w:t>following</w:t>
      </w:r>
      <w:r>
        <w:rPr>
          <w:rStyle w:val="Emphasis"/>
        </w:rPr>
        <w:t xml:space="preserve"> </w:t>
      </w:r>
      <w:r w:rsidRPr="004B4157">
        <w:rPr>
          <w:rStyle w:val="Emphasis"/>
        </w:rPr>
        <w:t>third</w:t>
      </w:r>
      <w:r>
        <w:rPr>
          <w:rStyle w:val="Emphasis"/>
        </w:rPr>
        <w:t xml:space="preserve"> </w:t>
      </w:r>
      <w:r w:rsidRPr="004B4157">
        <w:rPr>
          <w:rStyle w:val="Emphasis"/>
        </w:rPr>
        <w:t>party</w:t>
      </w:r>
      <w:r>
        <w:rPr>
          <w:rStyle w:val="Emphasis"/>
        </w:rPr>
        <w:t xml:space="preserve"> </w:t>
      </w:r>
      <w:r w:rsidRPr="004B4157">
        <w:rPr>
          <w:rStyle w:val="Emphasis"/>
        </w:rPr>
        <w:t>consent</w:t>
      </w:r>
      <w:r>
        <w:rPr>
          <w:rStyle w:val="Emphasis"/>
        </w:rPr>
        <w:t xml:space="preserve"> </w:t>
      </w:r>
      <w:r w:rsidRPr="004B4157">
        <w:rPr>
          <w:rStyle w:val="Emphasis"/>
        </w:rPr>
        <w:t>to</w:t>
      </w:r>
      <w:r>
        <w:rPr>
          <w:rStyle w:val="Emphasis"/>
        </w:rPr>
        <w:t xml:space="preserve"> </w:t>
      </w:r>
      <w:r w:rsidRPr="004B4157">
        <w:rPr>
          <w:rStyle w:val="Emphasis"/>
        </w:rPr>
        <w:t>medication</w:t>
      </w:r>
      <w:r>
        <w:rPr>
          <w:rStyle w:val="Emphasis"/>
        </w:rPr>
        <w:t xml:space="preserve"> </w:t>
      </w:r>
      <w:r w:rsidRPr="004B4157">
        <w:rPr>
          <w:rStyle w:val="Emphasis"/>
        </w:rPr>
        <w:t>for</w:t>
      </w:r>
      <w:r>
        <w:rPr>
          <w:rStyle w:val="Emphasis"/>
        </w:rPr>
        <w:t xml:space="preserve"> </w:t>
      </w:r>
      <w:r w:rsidRPr="004B4157">
        <w:rPr>
          <w:rStyle w:val="Emphasis"/>
        </w:rPr>
        <w:t>problematic</w:t>
      </w:r>
      <w:r>
        <w:rPr>
          <w:rStyle w:val="Emphasis"/>
        </w:rPr>
        <w:t xml:space="preserve"> </w:t>
      </w:r>
      <w:r w:rsidRPr="004B4157">
        <w:rPr>
          <w:rStyle w:val="Emphasis"/>
        </w:rPr>
        <w:t>sexual</w:t>
      </w:r>
      <w:r>
        <w:rPr>
          <w:rStyle w:val="Emphasis"/>
        </w:rPr>
        <w:t xml:space="preserve"> </w:t>
      </w:r>
      <w:r w:rsidRPr="004B4157">
        <w:rPr>
          <w:rStyle w:val="Emphasis"/>
        </w:rPr>
        <w:t>behaviour.</w:t>
      </w:r>
      <w:r>
        <w:rPr>
          <w:rStyle w:val="Emphasis"/>
        </w:rPr>
        <w:t xml:space="preserve"> </w:t>
      </w:r>
      <w:r>
        <w:t>Criminology Research Council Report CRC 38/00–01. Canberra: Criminology Research Council.</w:t>
      </w:r>
    </w:p>
    <w:p w14:paraId="7162D8E5" w14:textId="02ECD87D" w:rsidR="00F550F1" w:rsidRDefault="00F550F1" w:rsidP="00F550F1">
      <w:pPr>
        <w:pStyle w:val="DHHSbody"/>
      </w:pPr>
      <w:r>
        <w:t xml:space="preserve">Hill A, Briken P, Kraus C, Strohm K, Berner W. (2003) Differential pharmacological treatment of paraphilias and sex offenders. </w:t>
      </w:r>
      <w:r w:rsidR="00F8664A" w:rsidRPr="00CA3986">
        <w:rPr>
          <w:rStyle w:val="Emphasis"/>
        </w:rPr>
        <w:t>International Journal of Offender Therapy and Comparative Criminology</w:t>
      </w:r>
      <w:r w:rsidR="00F8664A">
        <w:rPr>
          <w:rStyle w:val="Emphasis"/>
          <w:i w:val="0"/>
          <w:iCs w:val="0"/>
        </w:rPr>
        <w:t>,</w:t>
      </w:r>
      <w:r>
        <w:t xml:space="preserve"> 47(4)</w:t>
      </w:r>
      <w:r w:rsidR="00F8664A">
        <w:t xml:space="preserve">; </w:t>
      </w:r>
      <w:r>
        <w:t>407–421.</w:t>
      </w:r>
    </w:p>
    <w:p w14:paraId="2755113C" w14:textId="77777777" w:rsidR="00F550F1" w:rsidRDefault="00F550F1" w:rsidP="00F550F1">
      <w:pPr>
        <w:pStyle w:val="DHHSbody"/>
      </w:pPr>
      <w:r>
        <w:t xml:space="preserve">Hucker, S., Langevin, R., &amp; Bain, J. (1988). A double blind trial of sex drive reducing medication in pedophiles. </w:t>
      </w:r>
      <w:r w:rsidRPr="004B4157">
        <w:rPr>
          <w:rStyle w:val="Emphasis"/>
        </w:rPr>
        <w:t>Annals</w:t>
      </w:r>
      <w:r>
        <w:rPr>
          <w:rStyle w:val="Emphasis"/>
        </w:rPr>
        <w:t xml:space="preserve"> </w:t>
      </w:r>
      <w:r w:rsidRPr="004B4157">
        <w:rPr>
          <w:rStyle w:val="Emphasis"/>
        </w:rPr>
        <w:t>of</w:t>
      </w:r>
      <w:r>
        <w:rPr>
          <w:rStyle w:val="Emphasis"/>
        </w:rPr>
        <w:t xml:space="preserve"> </w:t>
      </w:r>
      <w:r w:rsidRPr="004B4157">
        <w:rPr>
          <w:rStyle w:val="Emphasis"/>
        </w:rPr>
        <w:t>Sex</w:t>
      </w:r>
      <w:r>
        <w:rPr>
          <w:rStyle w:val="Emphasis"/>
        </w:rPr>
        <w:t xml:space="preserve"> </w:t>
      </w:r>
      <w:r w:rsidRPr="004B4157">
        <w:rPr>
          <w:rStyle w:val="Emphasis"/>
        </w:rPr>
        <w:t>Research</w:t>
      </w:r>
      <w:r>
        <w:t>, 1; 227–242.</w:t>
      </w:r>
    </w:p>
    <w:p w14:paraId="3DF16D1E" w14:textId="77777777" w:rsidR="00CD0313" w:rsidRDefault="00F550F1" w:rsidP="00F550F1">
      <w:pPr>
        <w:pStyle w:val="DHHSbody"/>
      </w:pPr>
      <w:r>
        <w:t xml:space="preserve">Janicki, M.P., Davidson, P.W., Henderson, C.M., McCallon, P., Taets, J.D., Force, L.T., Sulkes, S.B., Frangenberg, E., &amp; Ladrigan, P.M. (2002). Health characteristics and health services utilisation in older adults with intellectual disability living in community residences. </w:t>
      </w:r>
      <w:r w:rsidRPr="004B4157">
        <w:rPr>
          <w:rStyle w:val="Emphasis"/>
        </w:rPr>
        <w:t>Journal</w:t>
      </w:r>
      <w:r>
        <w:rPr>
          <w:rStyle w:val="Emphasis"/>
        </w:rPr>
        <w:t xml:space="preserve"> </w:t>
      </w:r>
      <w:r w:rsidRPr="004B4157">
        <w:rPr>
          <w:rStyle w:val="Emphasis"/>
        </w:rPr>
        <w:t>of</w:t>
      </w:r>
      <w:r>
        <w:rPr>
          <w:rStyle w:val="Emphasis"/>
        </w:rPr>
        <w:t xml:space="preserve"> </w:t>
      </w:r>
      <w:r w:rsidRPr="004B4157">
        <w:rPr>
          <w:rStyle w:val="Emphasis"/>
        </w:rPr>
        <w:t>Intellectual</w:t>
      </w:r>
      <w:r>
        <w:rPr>
          <w:rStyle w:val="Emphasis"/>
        </w:rPr>
        <w:t xml:space="preserve"> </w:t>
      </w:r>
      <w:r w:rsidRPr="004B4157">
        <w:rPr>
          <w:rStyle w:val="Emphasis"/>
        </w:rPr>
        <w:t>Disability</w:t>
      </w:r>
      <w:r>
        <w:rPr>
          <w:rStyle w:val="Emphasis"/>
        </w:rPr>
        <w:t xml:space="preserve"> </w:t>
      </w:r>
      <w:r w:rsidRPr="004B4157">
        <w:rPr>
          <w:rStyle w:val="Emphasis"/>
        </w:rPr>
        <w:t>Research,</w:t>
      </w:r>
      <w:r>
        <w:t xml:space="preserve"> 46; 287–298.</w:t>
      </w:r>
    </w:p>
    <w:p w14:paraId="0DF9B707" w14:textId="5FBF0360" w:rsidR="00F550F1" w:rsidRDefault="00F550F1" w:rsidP="00F550F1">
      <w:pPr>
        <w:pStyle w:val="DHHSbody"/>
      </w:pPr>
      <w:r>
        <w:t xml:space="preserve">Khan, O., Ferriter, M., Huband, N., &amp; Smailagic, N. (2009). Pharmacological interventions for those who have sexually offended or are at risk of offending (Protocol). </w:t>
      </w:r>
      <w:r w:rsidRPr="004B4157">
        <w:rPr>
          <w:rStyle w:val="Emphasis"/>
        </w:rPr>
        <w:t>Cochrane</w:t>
      </w:r>
      <w:r>
        <w:rPr>
          <w:rStyle w:val="Emphasis"/>
        </w:rPr>
        <w:t xml:space="preserve"> </w:t>
      </w:r>
      <w:r w:rsidRPr="004B4157">
        <w:rPr>
          <w:rStyle w:val="Emphasis"/>
        </w:rPr>
        <w:t>Database</w:t>
      </w:r>
      <w:r>
        <w:rPr>
          <w:rStyle w:val="Emphasis"/>
        </w:rPr>
        <w:t xml:space="preserve"> </w:t>
      </w:r>
      <w:r w:rsidRPr="004B4157">
        <w:rPr>
          <w:rStyle w:val="Emphasis"/>
        </w:rPr>
        <w:t>of</w:t>
      </w:r>
      <w:r>
        <w:rPr>
          <w:rStyle w:val="Emphasis"/>
        </w:rPr>
        <w:t xml:space="preserve"> </w:t>
      </w:r>
      <w:r w:rsidRPr="004B4157">
        <w:rPr>
          <w:rStyle w:val="Emphasis"/>
        </w:rPr>
        <w:t>Systematic</w:t>
      </w:r>
      <w:r>
        <w:rPr>
          <w:rStyle w:val="Emphasis"/>
        </w:rPr>
        <w:t xml:space="preserve"> </w:t>
      </w:r>
      <w:r w:rsidRPr="004B4157">
        <w:rPr>
          <w:rStyle w:val="Emphasis"/>
        </w:rPr>
        <w:t>Reviews</w:t>
      </w:r>
      <w:r>
        <w:t xml:space="preserve"> 2009, 3</w:t>
      </w:r>
      <w:r w:rsidR="00F8664A">
        <w:t>,</w:t>
      </w:r>
      <w:r>
        <w:t xml:space="preserve"> Art. No.: CD007989. </w:t>
      </w:r>
    </w:p>
    <w:p w14:paraId="3FEF4B5A" w14:textId="0E955239" w:rsidR="00F550F1" w:rsidRDefault="00F550F1" w:rsidP="00F550F1">
      <w:pPr>
        <w:pStyle w:val="DHHSbody"/>
      </w:pPr>
      <w:r>
        <w:t>King, B. (2007). Psychopharmacology in intellectual disabilities. In</w:t>
      </w:r>
      <w:r w:rsidR="00F8664A">
        <w:t>:</w:t>
      </w:r>
      <w:r>
        <w:t xml:space="preserve"> N Bouras &amp; G Holt [</w:t>
      </w:r>
      <w:r w:rsidR="00DD6EA2">
        <w:t>e</w:t>
      </w:r>
      <w:r>
        <w:t xml:space="preserve">ds]. </w:t>
      </w:r>
      <w:r w:rsidRPr="004B4157">
        <w:rPr>
          <w:rStyle w:val="Emphasis"/>
        </w:rPr>
        <w:t>Psychiatric</w:t>
      </w:r>
      <w:r>
        <w:rPr>
          <w:rStyle w:val="Emphasis"/>
        </w:rPr>
        <w:t xml:space="preserve"> </w:t>
      </w:r>
      <w:r w:rsidRPr="004B4157">
        <w:rPr>
          <w:rStyle w:val="Emphasis"/>
        </w:rPr>
        <w:t>and</w:t>
      </w:r>
      <w:r>
        <w:rPr>
          <w:rStyle w:val="Emphasis"/>
        </w:rPr>
        <w:t xml:space="preserve"> </w:t>
      </w:r>
      <w:r w:rsidRPr="004B4157">
        <w:rPr>
          <w:rStyle w:val="Emphasis"/>
        </w:rPr>
        <w:t>behavioural</w:t>
      </w:r>
      <w:r>
        <w:rPr>
          <w:rStyle w:val="Emphasis"/>
        </w:rPr>
        <w:t xml:space="preserve"> </w:t>
      </w:r>
      <w:r w:rsidR="00F8664A" w:rsidRPr="004B4157">
        <w:rPr>
          <w:rStyle w:val="Emphasis"/>
        </w:rPr>
        <w:t>disorders</w:t>
      </w:r>
      <w:r w:rsidR="00F8664A">
        <w:rPr>
          <w:rStyle w:val="Emphasis"/>
        </w:rPr>
        <w:t xml:space="preserve"> </w:t>
      </w:r>
      <w:r w:rsidR="00F8664A" w:rsidRPr="004B4157">
        <w:rPr>
          <w:rStyle w:val="Emphasis"/>
        </w:rPr>
        <w:t>in</w:t>
      </w:r>
      <w:r w:rsidR="00F8664A">
        <w:rPr>
          <w:rStyle w:val="Emphasis"/>
        </w:rPr>
        <w:t xml:space="preserve"> </w:t>
      </w:r>
      <w:r w:rsidR="00F8664A" w:rsidRPr="004B4157">
        <w:rPr>
          <w:rStyle w:val="Emphasis"/>
        </w:rPr>
        <w:t>intellectual</w:t>
      </w:r>
      <w:r w:rsidR="00F8664A">
        <w:rPr>
          <w:rStyle w:val="Emphasis"/>
        </w:rPr>
        <w:t xml:space="preserve"> </w:t>
      </w:r>
      <w:r w:rsidR="00F8664A" w:rsidRPr="004B4157">
        <w:rPr>
          <w:rStyle w:val="Emphasis"/>
        </w:rPr>
        <w:t>and</w:t>
      </w:r>
      <w:r w:rsidR="00F8664A">
        <w:rPr>
          <w:rStyle w:val="Emphasis"/>
        </w:rPr>
        <w:t xml:space="preserve"> </w:t>
      </w:r>
      <w:r w:rsidR="00F8664A" w:rsidRPr="004B4157">
        <w:rPr>
          <w:rStyle w:val="Emphasis"/>
        </w:rPr>
        <w:t>developmental</w:t>
      </w:r>
      <w:r w:rsidR="00F8664A">
        <w:rPr>
          <w:rStyle w:val="Emphasis"/>
        </w:rPr>
        <w:t xml:space="preserve"> </w:t>
      </w:r>
      <w:r w:rsidR="00F8664A" w:rsidRPr="004B4157">
        <w:rPr>
          <w:rStyle w:val="Emphasis"/>
        </w:rPr>
        <w:t>disabilities</w:t>
      </w:r>
      <w:r w:rsidRPr="004B4157">
        <w:rPr>
          <w:rStyle w:val="Emphasis"/>
        </w:rPr>
        <w:t>.</w:t>
      </w:r>
      <w:r>
        <w:t xml:space="preserve"> Chapter 19. pp. 310–329.</w:t>
      </w:r>
    </w:p>
    <w:p w14:paraId="5A2AA44B" w14:textId="75BB9C48" w:rsidR="00F550F1" w:rsidRDefault="00F550F1" w:rsidP="00F550F1">
      <w:pPr>
        <w:pStyle w:val="DHHSbody"/>
      </w:pPr>
      <w:r>
        <w:t xml:space="preserve">Krueger, R.B., &amp; Kaplan, M.S. (2001). Depot-Leuprolide </w:t>
      </w:r>
      <w:r w:rsidR="00DD6EA2">
        <w:t>a</w:t>
      </w:r>
      <w:r>
        <w:t xml:space="preserve">cetate for treatment of paraphilias: </w:t>
      </w:r>
      <w:r w:rsidR="00DD6EA2">
        <w:t>a</w:t>
      </w:r>
      <w:r>
        <w:t xml:space="preserve"> report of twelve cases. </w:t>
      </w:r>
      <w:r w:rsidRPr="004B4157">
        <w:rPr>
          <w:rStyle w:val="Emphasis"/>
        </w:rPr>
        <w:t>Archives</w:t>
      </w:r>
      <w:r>
        <w:rPr>
          <w:rStyle w:val="Emphasis"/>
        </w:rPr>
        <w:t xml:space="preserve"> </w:t>
      </w:r>
      <w:r w:rsidRPr="004B4157">
        <w:rPr>
          <w:rStyle w:val="Emphasis"/>
        </w:rPr>
        <w:t>of</w:t>
      </w:r>
      <w:r>
        <w:rPr>
          <w:rStyle w:val="Emphasis"/>
        </w:rPr>
        <w:t xml:space="preserve"> </w:t>
      </w:r>
      <w:r w:rsidRPr="004B4157">
        <w:rPr>
          <w:rStyle w:val="Emphasis"/>
        </w:rPr>
        <w:t>Sexual</w:t>
      </w:r>
      <w:r>
        <w:rPr>
          <w:rStyle w:val="Emphasis"/>
        </w:rPr>
        <w:t xml:space="preserve"> </w:t>
      </w:r>
      <w:r w:rsidRPr="004B4157">
        <w:rPr>
          <w:rStyle w:val="Emphasis"/>
        </w:rPr>
        <w:t>Behaviour</w:t>
      </w:r>
      <w:r>
        <w:t>, 30; 409–422.</w:t>
      </w:r>
    </w:p>
    <w:p w14:paraId="30EDC0F7" w14:textId="77777777" w:rsidR="00F550F1" w:rsidRDefault="00F550F1" w:rsidP="00F550F1">
      <w:pPr>
        <w:pStyle w:val="DHHSbody"/>
      </w:pPr>
      <w:r>
        <w:t xml:space="preserve">Lambrick, F. &amp; Glaser, W. (2004). Sex offenders with an intellectual disability. </w:t>
      </w:r>
      <w:r w:rsidRPr="004B4157">
        <w:rPr>
          <w:rStyle w:val="Emphasis"/>
        </w:rPr>
        <w:t>Sexual</w:t>
      </w:r>
      <w:r>
        <w:rPr>
          <w:rStyle w:val="Emphasis"/>
        </w:rPr>
        <w:t xml:space="preserve"> </w:t>
      </w:r>
      <w:r w:rsidRPr="004B4157">
        <w:rPr>
          <w:rStyle w:val="Emphasis"/>
        </w:rPr>
        <w:t>Abuse:</w:t>
      </w:r>
      <w:r>
        <w:rPr>
          <w:rStyle w:val="Emphasis"/>
        </w:rPr>
        <w:t xml:space="preserve"> </w:t>
      </w:r>
      <w:r w:rsidRPr="004B4157">
        <w:rPr>
          <w:rStyle w:val="Emphasis"/>
        </w:rPr>
        <w:t>A</w:t>
      </w:r>
      <w:r>
        <w:rPr>
          <w:rStyle w:val="Emphasis"/>
        </w:rPr>
        <w:t xml:space="preserve"> </w:t>
      </w:r>
      <w:r w:rsidRPr="004B4157">
        <w:rPr>
          <w:rStyle w:val="Emphasis"/>
        </w:rPr>
        <w:t>Journal</w:t>
      </w:r>
      <w:r>
        <w:rPr>
          <w:rStyle w:val="Emphasis"/>
        </w:rPr>
        <w:t xml:space="preserve"> </w:t>
      </w:r>
      <w:r w:rsidRPr="004B4157">
        <w:rPr>
          <w:rStyle w:val="Emphasis"/>
        </w:rPr>
        <w:t>of</w:t>
      </w:r>
      <w:r>
        <w:rPr>
          <w:rStyle w:val="Emphasis"/>
        </w:rPr>
        <w:t xml:space="preserve"> </w:t>
      </w:r>
      <w:r w:rsidRPr="004B4157">
        <w:rPr>
          <w:rStyle w:val="Emphasis"/>
        </w:rPr>
        <w:t>Research</w:t>
      </w:r>
      <w:r>
        <w:rPr>
          <w:rStyle w:val="Emphasis"/>
        </w:rPr>
        <w:t xml:space="preserve"> </w:t>
      </w:r>
      <w:r w:rsidRPr="004B4157">
        <w:rPr>
          <w:rStyle w:val="Emphasis"/>
        </w:rPr>
        <w:t>and</w:t>
      </w:r>
      <w:r>
        <w:rPr>
          <w:rStyle w:val="Emphasis"/>
        </w:rPr>
        <w:t xml:space="preserve"> </w:t>
      </w:r>
      <w:r w:rsidRPr="004B4157">
        <w:rPr>
          <w:rStyle w:val="Emphasis"/>
        </w:rPr>
        <w:t>Treatment</w:t>
      </w:r>
      <w:r>
        <w:t>, 16; 381–392.</w:t>
      </w:r>
    </w:p>
    <w:p w14:paraId="2C1096E7" w14:textId="77777777" w:rsidR="00F550F1" w:rsidRDefault="00F550F1" w:rsidP="00F550F1">
      <w:pPr>
        <w:pStyle w:val="DHHSbody"/>
      </w:pPr>
      <w:r>
        <w:t xml:space="preserve">Laschet, U., &amp; Laschet, L. (1975). Antiandrogens in the treatment of sexual deviations of men. </w:t>
      </w:r>
      <w:r w:rsidRPr="004B4157">
        <w:rPr>
          <w:rStyle w:val="Emphasis"/>
        </w:rPr>
        <w:t>Journal</w:t>
      </w:r>
      <w:r>
        <w:rPr>
          <w:rStyle w:val="Emphasis"/>
        </w:rPr>
        <w:t xml:space="preserve"> </w:t>
      </w:r>
      <w:r w:rsidRPr="004B4157">
        <w:rPr>
          <w:rStyle w:val="Emphasis"/>
        </w:rPr>
        <w:t>of</w:t>
      </w:r>
      <w:r>
        <w:rPr>
          <w:rStyle w:val="Emphasis"/>
        </w:rPr>
        <w:t xml:space="preserve"> </w:t>
      </w:r>
      <w:r w:rsidRPr="004B4157">
        <w:rPr>
          <w:rStyle w:val="Emphasis"/>
        </w:rPr>
        <w:t>Steroid</w:t>
      </w:r>
      <w:r>
        <w:rPr>
          <w:rStyle w:val="Emphasis"/>
        </w:rPr>
        <w:t xml:space="preserve"> </w:t>
      </w:r>
      <w:r w:rsidRPr="004B4157">
        <w:rPr>
          <w:rStyle w:val="Emphasis"/>
        </w:rPr>
        <w:t>Biochemistry</w:t>
      </w:r>
      <w:r>
        <w:t>, 6; 821–826.</w:t>
      </w:r>
    </w:p>
    <w:p w14:paraId="365713CA" w14:textId="77777777" w:rsidR="00CD0313" w:rsidRDefault="00F550F1" w:rsidP="00F550F1">
      <w:pPr>
        <w:pStyle w:val="DHHSbody"/>
      </w:pPr>
      <w:r>
        <w:t xml:space="preserve">Lee, J.Y., &amp; Chu, K.S. (2013) Chemical castration for sexual offenders: </w:t>
      </w:r>
      <w:r w:rsidR="00DD6EA2">
        <w:t>p</w:t>
      </w:r>
      <w:r>
        <w:t>hysicians</w:t>
      </w:r>
      <w:r w:rsidR="00DD6EA2">
        <w:t>’</w:t>
      </w:r>
      <w:r>
        <w:t xml:space="preserve"> views. </w:t>
      </w:r>
      <w:r w:rsidRPr="004B4157">
        <w:rPr>
          <w:rStyle w:val="Emphasis"/>
        </w:rPr>
        <w:t>Journal</w:t>
      </w:r>
      <w:r>
        <w:rPr>
          <w:rStyle w:val="Emphasis"/>
        </w:rPr>
        <w:t xml:space="preserve"> </w:t>
      </w:r>
      <w:r w:rsidRPr="004B4157">
        <w:rPr>
          <w:rStyle w:val="Emphasis"/>
        </w:rPr>
        <w:t>of</w:t>
      </w:r>
      <w:r>
        <w:rPr>
          <w:rStyle w:val="Emphasis"/>
        </w:rPr>
        <w:t xml:space="preserve"> </w:t>
      </w:r>
      <w:r w:rsidRPr="004B4157">
        <w:rPr>
          <w:rStyle w:val="Emphasis"/>
        </w:rPr>
        <w:t>Korean</w:t>
      </w:r>
      <w:r>
        <w:rPr>
          <w:rStyle w:val="Emphasis"/>
        </w:rPr>
        <w:t xml:space="preserve"> </w:t>
      </w:r>
      <w:r w:rsidRPr="004B4157">
        <w:rPr>
          <w:rStyle w:val="Emphasis"/>
        </w:rPr>
        <w:t>Medical</w:t>
      </w:r>
      <w:r>
        <w:rPr>
          <w:rStyle w:val="Emphasis"/>
        </w:rPr>
        <w:t xml:space="preserve"> </w:t>
      </w:r>
      <w:r w:rsidRPr="004B4157">
        <w:rPr>
          <w:rStyle w:val="Emphasis"/>
        </w:rPr>
        <w:t>Science,</w:t>
      </w:r>
      <w:r>
        <w:t xml:space="preserve"> 28; 171–172.</w:t>
      </w:r>
    </w:p>
    <w:p w14:paraId="00EC8850" w14:textId="77777777" w:rsidR="00CD0313" w:rsidRDefault="00F550F1" w:rsidP="00F550F1">
      <w:pPr>
        <w:pStyle w:val="DHHSbody"/>
      </w:pPr>
      <w:r>
        <w:t xml:space="preserve">Levenson, J.S. (2011). </w:t>
      </w:r>
      <w:r w:rsidR="00301CA9">
        <w:t>‘</w:t>
      </w:r>
      <w:r>
        <w:t>But I didn’t do it!</w:t>
      </w:r>
      <w:r w:rsidR="00301CA9">
        <w:t>’</w:t>
      </w:r>
      <w:r>
        <w:t xml:space="preserve">: Ethical treatment of sex offenders in denial. </w:t>
      </w:r>
      <w:r w:rsidRPr="004B4157">
        <w:rPr>
          <w:rStyle w:val="Emphasis"/>
        </w:rPr>
        <w:t>Sexual</w:t>
      </w:r>
      <w:r>
        <w:rPr>
          <w:rStyle w:val="Emphasis"/>
        </w:rPr>
        <w:t xml:space="preserve"> </w:t>
      </w:r>
      <w:r w:rsidRPr="004B4157">
        <w:rPr>
          <w:rStyle w:val="Emphasis"/>
        </w:rPr>
        <w:t>Abuse</w:t>
      </w:r>
      <w:r w:rsidR="00DD6EA2">
        <w:rPr>
          <w:rStyle w:val="Emphasis"/>
        </w:rPr>
        <w:t>:</w:t>
      </w:r>
      <w:r>
        <w:rPr>
          <w:rStyle w:val="Emphasis"/>
        </w:rPr>
        <w:t xml:space="preserve"> </w:t>
      </w:r>
      <w:r w:rsidRPr="004B4157">
        <w:rPr>
          <w:rStyle w:val="Emphasis"/>
        </w:rPr>
        <w:t>A</w:t>
      </w:r>
      <w:r>
        <w:rPr>
          <w:rStyle w:val="Emphasis"/>
        </w:rPr>
        <w:t xml:space="preserve"> </w:t>
      </w:r>
      <w:r w:rsidRPr="004B4157">
        <w:rPr>
          <w:rStyle w:val="Emphasis"/>
        </w:rPr>
        <w:t>Journal</w:t>
      </w:r>
      <w:r>
        <w:rPr>
          <w:rStyle w:val="Emphasis"/>
        </w:rPr>
        <w:t xml:space="preserve"> </w:t>
      </w:r>
      <w:r w:rsidRPr="004B4157">
        <w:rPr>
          <w:rStyle w:val="Emphasis"/>
        </w:rPr>
        <w:t>of</w:t>
      </w:r>
      <w:r>
        <w:rPr>
          <w:rStyle w:val="Emphasis"/>
        </w:rPr>
        <w:t xml:space="preserve"> </w:t>
      </w:r>
      <w:r w:rsidRPr="004B4157">
        <w:rPr>
          <w:rStyle w:val="Emphasis"/>
        </w:rPr>
        <w:t>Research</w:t>
      </w:r>
      <w:r>
        <w:rPr>
          <w:rStyle w:val="Emphasis"/>
        </w:rPr>
        <w:t xml:space="preserve"> </w:t>
      </w:r>
      <w:r w:rsidRPr="004B4157">
        <w:rPr>
          <w:rStyle w:val="Emphasis"/>
        </w:rPr>
        <w:t>and</w:t>
      </w:r>
      <w:r>
        <w:rPr>
          <w:rStyle w:val="Emphasis"/>
        </w:rPr>
        <w:t xml:space="preserve"> </w:t>
      </w:r>
      <w:r w:rsidRPr="004B4157">
        <w:rPr>
          <w:rStyle w:val="Emphasis"/>
        </w:rPr>
        <w:t>Treatment,</w:t>
      </w:r>
      <w:r>
        <w:t xml:space="preserve"> 23; 346–364.</w:t>
      </w:r>
    </w:p>
    <w:p w14:paraId="3F687D68" w14:textId="459F076C" w:rsidR="00F550F1" w:rsidRDefault="00F550F1" w:rsidP="00F550F1">
      <w:pPr>
        <w:pStyle w:val="DHHSbody"/>
      </w:pPr>
      <w:r>
        <w:t xml:space="preserve">Levenson, J.S., Macgowan, M.J., Morin, J.W., &amp; Cotter, L.P. (2009). Perceptions of sex offenders about treatment: Satisfaction and engagement in group therapy. </w:t>
      </w:r>
      <w:r w:rsidRPr="00CA3986">
        <w:rPr>
          <w:i/>
          <w:iCs/>
        </w:rPr>
        <w:t>Sexual Abuse:</w:t>
      </w:r>
      <w:r>
        <w:t xml:space="preserve"> </w:t>
      </w:r>
      <w:r w:rsidRPr="004B4157">
        <w:rPr>
          <w:rStyle w:val="Emphasis"/>
        </w:rPr>
        <w:t>A</w:t>
      </w:r>
      <w:r>
        <w:rPr>
          <w:rStyle w:val="Emphasis"/>
        </w:rPr>
        <w:t xml:space="preserve"> </w:t>
      </w:r>
      <w:r w:rsidRPr="004B4157">
        <w:rPr>
          <w:rStyle w:val="Emphasis"/>
        </w:rPr>
        <w:t>Journal</w:t>
      </w:r>
      <w:r>
        <w:rPr>
          <w:rStyle w:val="Emphasis"/>
        </w:rPr>
        <w:t xml:space="preserve"> </w:t>
      </w:r>
      <w:r w:rsidRPr="004B4157">
        <w:rPr>
          <w:rStyle w:val="Emphasis"/>
        </w:rPr>
        <w:t>of</w:t>
      </w:r>
      <w:r>
        <w:rPr>
          <w:rStyle w:val="Emphasis"/>
        </w:rPr>
        <w:t xml:space="preserve"> </w:t>
      </w:r>
      <w:r w:rsidRPr="004B4157">
        <w:rPr>
          <w:rStyle w:val="Emphasis"/>
        </w:rPr>
        <w:t>Research</w:t>
      </w:r>
      <w:r>
        <w:rPr>
          <w:rStyle w:val="Emphasis"/>
        </w:rPr>
        <w:t xml:space="preserve"> </w:t>
      </w:r>
      <w:r w:rsidRPr="004B4157">
        <w:rPr>
          <w:rStyle w:val="Emphasis"/>
        </w:rPr>
        <w:t>and</w:t>
      </w:r>
      <w:r>
        <w:rPr>
          <w:rStyle w:val="Emphasis"/>
        </w:rPr>
        <w:t xml:space="preserve"> </w:t>
      </w:r>
      <w:r w:rsidRPr="004B4157">
        <w:rPr>
          <w:rStyle w:val="Emphasis"/>
        </w:rPr>
        <w:t>Treatment</w:t>
      </w:r>
      <w:r>
        <w:t>, 21; 35–56.</w:t>
      </w:r>
    </w:p>
    <w:p w14:paraId="269FD10E" w14:textId="7361A8FE" w:rsidR="00F550F1" w:rsidRDefault="00F550F1" w:rsidP="00F550F1">
      <w:pPr>
        <w:pStyle w:val="DHHSbody"/>
      </w:pPr>
      <w:r>
        <w:t>Lindsay, W.R</w:t>
      </w:r>
      <w:r w:rsidR="00DD6EA2">
        <w:t>.</w:t>
      </w:r>
      <w:r>
        <w:t xml:space="preserve"> (2004). Sex offenders: Conceptualisation of the issues, services, treatment and management. In</w:t>
      </w:r>
      <w:r w:rsidR="00DD6EA2">
        <w:t>:</w:t>
      </w:r>
      <w:r>
        <w:t xml:space="preserve"> WR Lindsay, JL Taylor &amp; P Sturmey [</w:t>
      </w:r>
      <w:r w:rsidR="00DD6EA2">
        <w:t>e</w:t>
      </w:r>
      <w:r>
        <w:t xml:space="preserve">ds] </w:t>
      </w:r>
      <w:r w:rsidRPr="004B4157">
        <w:rPr>
          <w:rStyle w:val="Emphasis"/>
        </w:rPr>
        <w:t>Offenders</w:t>
      </w:r>
      <w:r>
        <w:rPr>
          <w:rStyle w:val="Emphasis"/>
        </w:rPr>
        <w:t xml:space="preserve"> </w:t>
      </w:r>
      <w:r w:rsidRPr="004B4157">
        <w:rPr>
          <w:rStyle w:val="Emphasis"/>
        </w:rPr>
        <w:t>with</w:t>
      </w:r>
      <w:r>
        <w:rPr>
          <w:rStyle w:val="Emphasis"/>
        </w:rPr>
        <w:t xml:space="preserve"> </w:t>
      </w:r>
      <w:r w:rsidR="00DD6EA2" w:rsidRPr="004B4157">
        <w:rPr>
          <w:rStyle w:val="Emphasis"/>
        </w:rPr>
        <w:t>developmental</w:t>
      </w:r>
      <w:r w:rsidR="00DD6EA2">
        <w:rPr>
          <w:rStyle w:val="Emphasis"/>
        </w:rPr>
        <w:t xml:space="preserve"> </w:t>
      </w:r>
      <w:r w:rsidR="00DD6EA2" w:rsidRPr="004B4157">
        <w:rPr>
          <w:rStyle w:val="Emphasis"/>
        </w:rPr>
        <w:t>disabilities</w:t>
      </w:r>
      <w:r>
        <w:t>. Chapter 9. pp. 163–185.</w:t>
      </w:r>
    </w:p>
    <w:p w14:paraId="5C23CA7E" w14:textId="049D0513" w:rsidR="00F550F1" w:rsidRDefault="00F550F1" w:rsidP="00F550F1">
      <w:pPr>
        <w:pStyle w:val="DHHSbody"/>
      </w:pPr>
      <w:r>
        <w:t xml:space="preserve">Linstone, H., &amp; Turoff, H. (1975). </w:t>
      </w:r>
      <w:r w:rsidRPr="004B4157">
        <w:rPr>
          <w:rStyle w:val="Emphasis"/>
        </w:rPr>
        <w:t>The</w:t>
      </w:r>
      <w:r>
        <w:rPr>
          <w:rStyle w:val="Emphasis"/>
        </w:rPr>
        <w:t xml:space="preserve"> </w:t>
      </w:r>
      <w:r w:rsidRPr="004B4157">
        <w:rPr>
          <w:rStyle w:val="Emphasis"/>
        </w:rPr>
        <w:t>Delphi</w:t>
      </w:r>
      <w:r>
        <w:rPr>
          <w:rStyle w:val="Emphasis"/>
        </w:rPr>
        <w:t xml:space="preserve"> </w:t>
      </w:r>
      <w:r w:rsidRPr="004B4157">
        <w:rPr>
          <w:rStyle w:val="Emphasis"/>
        </w:rPr>
        <w:t>method:</w:t>
      </w:r>
      <w:r>
        <w:rPr>
          <w:rStyle w:val="Emphasis"/>
        </w:rPr>
        <w:t xml:space="preserve"> </w:t>
      </w:r>
      <w:r w:rsidR="00E07BA9">
        <w:rPr>
          <w:rStyle w:val="Emphasis"/>
        </w:rPr>
        <w:t>t</w:t>
      </w:r>
      <w:r w:rsidRPr="004B4157">
        <w:rPr>
          <w:rStyle w:val="Emphasis"/>
        </w:rPr>
        <w:t>echniques</w:t>
      </w:r>
      <w:r>
        <w:rPr>
          <w:rStyle w:val="Emphasis"/>
        </w:rPr>
        <w:t xml:space="preserve"> </w:t>
      </w:r>
      <w:r w:rsidRPr="004B4157">
        <w:rPr>
          <w:rStyle w:val="Emphasis"/>
        </w:rPr>
        <w:t>and</w:t>
      </w:r>
      <w:r>
        <w:rPr>
          <w:rStyle w:val="Emphasis"/>
        </w:rPr>
        <w:t xml:space="preserve"> </w:t>
      </w:r>
      <w:r w:rsidRPr="004B4157">
        <w:rPr>
          <w:rStyle w:val="Emphasis"/>
        </w:rPr>
        <w:t>applications.</w:t>
      </w:r>
      <w:r>
        <w:t xml:space="preserve"> Reading: Addison-Wesley.</w:t>
      </w:r>
    </w:p>
    <w:p w14:paraId="641C3DC1" w14:textId="16D8537E" w:rsidR="00F550F1" w:rsidRDefault="00F550F1" w:rsidP="00F550F1">
      <w:pPr>
        <w:pStyle w:val="DHHSbody"/>
        <w:rPr>
          <w:spacing w:val="-2"/>
        </w:rPr>
      </w:pPr>
      <w:r>
        <w:t xml:space="preserve">Losel, F., &amp; Schmucker, M. (2005). The effectiveness </w:t>
      </w:r>
      <w:r>
        <w:rPr>
          <w:spacing w:val="-2"/>
        </w:rPr>
        <w:t>of treatment for sex offenders:</w:t>
      </w:r>
      <w:r w:rsidRPr="00006D2F">
        <w:rPr>
          <w:iCs/>
          <w:spacing w:val="-2"/>
        </w:rPr>
        <w:t xml:space="preserve"> </w:t>
      </w:r>
      <w:r w:rsidR="00E07BA9">
        <w:rPr>
          <w:rStyle w:val="Emphasis"/>
          <w:i w:val="0"/>
        </w:rPr>
        <w:t>a</w:t>
      </w:r>
      <w:r w:rsidRPr="00CA3986">
        <w:rPr>
          <w:rStyle w:val="Emphasis"/>
          <w:i w:val="0"/>
        </w:rPr>
        <w:t xml:space="preserve"> comprehensive meta-analysis.</w:t>
      </w:r>
      <w:r>
        <w:rPr>
          <w:rStyle w:val="Emphasis"/>
        </w:rPr>
        <w:t xml:space="preserve"> </w:t>
      </w:r>
      <w:r w:rsidRPr="004B4157">
        <w:rPr>
          <w:rStyle w:val="Emphasis"/>
        </w:rPr>
        <w:t>Journal</w:t>
      </w:r>
      <w:r>
        <w:rPr>
          <w:rStyle w:val="Emphasis"/>
        </w:rPr>
        <w:t xml:space="preserve"> </w:t>
      </w:r>
      <w:r w:rsidRPr="004B4157">
        <w:rPr>
          <w:rStyle w:val="Emphasis"/>
        </w:rPr>
        <w:t>of</w:t>
      </w:r>
      <w:r>
        <w:rPr>
          <w:rStyle w:val="Emphasis"/>
        </w:rPr>
        <w:t xml:space="preserve"> </w:t>
      </w:r>
      <w:r w:rsidRPr="004B4157">
        <w:rPr>
          <w:rStyle w:val="Emphasis"/>
        </w:rPr>
        <w:t>Experimental</w:t>
      </w:r>
      <w:r>
        <w:rPr>
          <w:rStyle w:val="Emphasis"/>
        </w:rPr>
        <w:t xml:space="preserve"> </w:t>
      </w:r>
      <w:r w:rsidRPr="004B4157">
        <w:rPr>
          <w:rStyle w:val="Emphasis"/>
        </w:rPr>
        <w:t>Criminology</w:t>
      </w:r>
      <w:r>
        <w:rPr>
          <w:spacing w:val="-2"/>
        </w:rPr>
        <w:t>, 1; 117–146.</w:t>
      </w:r>
    </w:p>
    <w:p w14:paraId="2A7A0A3A" w14:textId="0407B4FC" w:rsidR="00F550F1" w:rsidRDefault="00F550F1" w:rsidP="00F550F1">
      <w:pPr>
        <w:pStyle w:val="DHHSbody"/>
      </w:pPr>
      <w:r>
        <w:t xml:space="preserve">Murphy, G., Powell, </w:t>
      </w:r>
      <w:r w:rsidR="00B51707">
        <w:t xml:space="preserve">S. </w:t>
      </w:r>
      <w:r>
        <w:t xml:space="preserve">et al. (2007). Cognitive-behavioural treatment for men with intellectual disabilities and sexually abusive behaviour: a pilot study. </w:t>
      </w:r>
      <w:r w:rsidRPr="004B4157">
        <w:rPr>
          <w:rStyle w:val="Emphasis"/>
        </w:rPr>
        <w:t>Journal</w:t>
      </w:r>
      <w:r>
        <w:rPr>
          <w:rStyle w:val="Emphasis"/>
        </w:rPr>
        <w:t xml:space="preserve"> </w:t>
      </w:r>
      <w:r w:rsidRPr="004B4157">
        <w:rPr>
          <w:rStyle w:val="Emphasis"/>
        </w:rPr>
        <w:t>of</w:t>
      </w:r>
      <w:r>
        <w:rPr>
          <w:rStyle w:val="Emphasis"/>
        </w:rPr>
        <w:t xml:space="preserve"> </w:t>
      </w:r>
      <w:r w:rsidRPr="004B4157">
        <w:rPr>
          <w:rStyle w:val="Emphasis"/>
        </w:rPr>
        <w:t>Intellectual</w:t>
      </w:r>
      <w:r>
        <w:rPr>
          <w:rStyle w:val="Emphasis"/>
        </w:rPr>
        <w:t xml:space="preserve"> </w:t>
      </w:r>
      <w:r w:rsidRPr="004B4157">
        <w:rPr>
          <w:rStyle w:val="Emphasis"/>
        </w:rPr>
        <w:t>Disability</w:t>
      </w:r>
      <w:r>
        <w:rPr>
          <w:rStyle w:val="Emphasis"/>
        </w:rPr>
        <w:t xml:space="preserve"> </w:t>
      </w:r>
      <w:r w:rsidRPr="004B4157">
        <w:rPr>
          <w:rStyle w:val="Emphasis"/>
        </w:rPr>
        <w:t>Research</w:t>
      </w:r>
      <w:r>
        <w:t>, 51; 902–912.</w:t>
      </w:r>
    </w:p>
    <w:p w14:paraId="26E7293D" w14:textId="20F47BBB" w:rsidR="00F550F1" w:rsidRDefault="00F550F1" w:rsidP="00F550F1">
      <w:pPr>
        <w:pStyle w:val="DHHSbody"/>
      </w:pPr>
      <w:r>
        <w:t xml:space="preserve">Prentky, R.A. (1997). Arousal reduction in sexual offenders: A review of antiandrogen interventions. </w:t>
      </w:r>
      <w:r w:rsidRPr="004B4157">
        <w:rPr>
          <w:rStyle w:val="Emphasis"/>
        </w:rPr>
        <w:t>Sexual</w:t>
      </w:r>
      <w:r>
        <w:rPr>
          <w:rStyle w:val="Emphasis"/>
        </w:rPr>
        <w:t xml:space="preserve"> </w:t>
      </w:r>
      <w:r w:rsidRPr="004B4157">
        <w:rPr>
          <w:rStyle w:val="Emphasis"/>
        </w:rPr>
        <w:t>Abuse:</w:t>
      </w:r>
      <w:r>
        <w:rPr>
          <w:rStyle w:val="Emphasis"/>
        </w:rPr>
        <w:t xml:space="preserve"> </w:t>
      </w:r>
      <w:r w:rsidRPr="004B4157">
        <w:rPr>
          <w:rStyle w:val="Emphasis"/>
        </w:rPr>
        <w:t>A</w:t>
      </w:r>
      <w:r>
        <w:rPr>
          <w:rStyle w:val="Emphasis"/>
        </w:rPr>
        <w:t xml:space="preserve"> </w:t>
      </w:r>
      <w:r w:rsidRPr="004B4157">
        <w:rPr>
          <w:rStyle w:val="Emphasis"/>
        </w:rPr>
        <w:t>Journal</w:t>
      </w:r>
      <w:r>
        <w:rPr>
          <w:rStyle w:val="Emphasis"/>
        </w:rPr>
        <w:t xml:space="preserve"> </w:t>
      </w:r>
      <w:r w:rsidRPr="004B4157">
        <w:rPr>
          <w:rStyle w:val="Emphasis"/>
        </w:rPr>
        <w:t>of</w:t>
      </w:r>
      <w:r>
        <w:rPr>
          <w:rStyle w:val="Emphasis"/>
        </w:rPr>
        <w:t xml:space="preserve"> </w:t>
      </w:r>
      <w:r w:rsidRPr="004B4157">
        <w:rPr>
          <w:rStyle w:val="Emphasis"/>
        </w:rPr>
        <w:t>Research</w:t>
      </w:r>
      <w:r>
        <w:rPr>
          <w:rStyle w:val="Emphasis"/>
        </w:rPr>
        <w:t xml:space="preserve"> </w:t>
      </w:r>
      <w:r w:rsidRPr="004B4157">
        <w:rPr>
          <w:rStyle w:val="Emphasis"/>
        </w:rPr>
        <w:t>and</w:t>
      </w:r>
      <w:r>
        <w:rPr>
          <w:rStyle w:val="Emphasis"/>
        </w:rPr>
        <w:t xml:space="preserve"> </w:t>
      </w:r>
      <w:r w:rsidRPr="004B4157">
        <w:rPr>
          <w:rStyle w:val="Emphasis"/>
        </w:rPr>
        <w:t>Treatment</w:t>
      </w:r>
      <w:r>
        <w:t>, 9; 335–347.</w:t>
      </w:r>
    </w:p>
    <w:p w14:paraId="0D25DEA8" w14:textId="77777777" w:rsidR="00F550F1" w:rsidRDefault="00F550F1" w:rsidP="00F550F1">
      <w:pPr>
        <w:pStyle w:val="DHHSbody"/>
      </w:pPr>
      <w:r>
        <w:t xml:space="preserve">Rainey, B., &amp; Harrison, K. (2008). Pharmacotherapy and human rights in sex offenders: best of friends or unlikely bedfellows? </w:t>
      </w:r>
      <w:r w:rsidRPr="004B4157">
        <w:rPr>
          <w:rStyle w:val="Emphasis"/>
        </w:rPr>
        <w:t>Sex</w:t>
      </w:r>
      <w:r>
        <w:rPr>
          <w:rStyle w:val="Emphasis"/>
        </w:rPr>
        <w:t xml:space="preserve"> </w:t>
      </w:r>
      <w:r w:rsidRPr="004B4157">
        <w:rPr>
          <w:rStyle w:val="Emphasis"/>
        </w:rPr>
        <w:t>Offender</w:t>
      </w:r>
      <w:r>
        <w:rPr>
          <w:rStyle w:val="Emphasis"/>
        </w:rPr>
        <w:t xml:space="preserve"> </w:t>
      </w:r>
      <w:r w:rsidRPr="004B4157">
        <w:rPr>
          <w:rStyle w:val="Emphasis"/>
        </w:rPr>
        <w:t>Treatment,</w:t>
      </w:r>
      <w:r>
        <w:rPr>
          <w:rStyle w:val="Emphasis"/>
        </w:rPr>
        <w:t xml:space="preserve"> </w:t>
      </w:r>
      <w:r>
        <w:t>3(2); 1–10.</w:t>
      </w:r>
    </w:p>
    <w:p w14:paraId="00DB902D" w14:textId="74CB1648" w:rsidR="00F550F1" w:rsidRDefault="00F550F1" w:rsidP="007A665D">
      <w:pPr>
        <w:pStyle w:val="DHHSbody"/>
      </w:pPr>
      <w:r>
        <w:t>Reilly DR, Delva NJ, Hudson RW.</w:t>
      </w:r>
      <w:r w:rsidR="008711C3">
        <w:t xml:space="preserve"> </w:t>
      </w:r>
      <w:r w:rsidR="00E07BA9">
        <w:t xml:space="preserve">(2000). </w:t>
      </w:r>
      <w:r>
        <w:t>Prot</w:t>
      </w:r>
      <w:r w:rsidR="00DD6EA2">
        <w:t>ocols for the use of cyproterone, medroxyprogesterone, and leuprolide in the treatment of paraphilia</w:t>
      </w:r>
      <w:r>
        <w:t xml:space="preserve">. </w:t>
      </w:r>
      <w:r w:rsidRPr="004B4157">
        <w:rPr>
          <w:rStyle w:val="Emphasis"/>
        </w:rPr>
        <w:t>Canadian</w:t>
      </w:r>
      <w:r>
        <w:rPr>
          <w:rStyle w:val="Emphasis"/>
        </w:rPr>
        <w:t xml:space="preserve"> </w:t>
      </w:r>
      <w:r w:rsidRPr="004B4157">
        <w:rPr>
          <w:rStyle w:val="Emphasis"/>
        </w:rPr>
        <w:t>Journal</w:t>
      </w:r>
      <w:r>
        <w:rPr>
          <w:rStyle w:val="Emphasis"/>
        </w:rPr>
        <w:t xml:space="preserve"> </w:t>
      </w:r>
      <w:r w:rsidRPr="004B4157">
        <w:rPr>
          <w:rStyle w:val="Emphasis"/>
        </w:rPr>
        <w:t>of</w:t>
      </w:r>
      <w:r>
        <w:rPr>
          <w:rStyle w:val="Emphasis"/>
        </w:rPr>
        <w:t xml:space="preserve"> </w:t>
      </w:r>
      <w:r w:rsidRPr="004B4157">
        <w:rPr>
          <w:rStyle w:val="Emphasis"/>
        </w:rPr>
        <w:t>Psychiatry</w:t>
      </w:r>
      <w:r w:rsidR="00DD6EA2">
        <w:rPr>
          <w:i/>
          <w:iCs/>
        </w:rPr>
        <w:t>,</w:t>
      </w:r>
      <w:r>
        <w:t xml:space="preserve"> 45</w:t>
      </w:r>
      <w:r w:rsidR="00E07BA9">
        <w:t xml:space="preserve">; </w:t>
      </w:r>
      <w:r>
        <w:t>559–563.</w:t>
      </w:r>
    </w:p>
    <w:p w14:paraId="0AF87ED8" w14:textId="77777777" w:rsidR="00F550F1" w:rsidRDefault="00F550F1" w:rsidP="00F550F1">
      <w:pPr>
        <w:pStyle w:val="DHHSbody"/>
      </w:pPr>
      <w:r>
        <w:t xml:space="preserve">Rice, M., &amp; Harris, G. (2011). Is androgen deprivation therapy treatment effective in the treatment of sexual offenders? </w:t>
      </w:r>
      <w:r w:rsidRPr="004B4157">
        <w:rPr>
          <w:rStyle w:val="Emphasis"/>
        </w:rPr>
        <w:t>Psychology,</w:t>
      </w:r>
      <w:r>
        <w:rPr>
          <w:rStyle w:val="Emphasis"/>
        </w:rPr>
        <w:t xml:space="preserve"> </w:t>
      </w:r>
      <w:r w:rsidRPr="004B4157">
        <w:rPr>
          <w:rStyle w:val="Emphasis"/>
        </w:rPr>
        <w:t>Public</w:t>
      </w:r>
      <w:r>
        <w:rPr>
          <w:rStyle w:val="Emphasis"/>
        </w:rPr>
        <w:t xml:space="preserve"> </w:t>
      </w:r>
      <w:r w:rsidRPr="004B4157">
        <w:rPr>
          <w:rStyle w:val="Emphasis"/>
        </w:rPr>
        <w:t>Policy,</w:t>
      </w:r>
      <w:r>
        <w:rPr>
          <w:rStyle w:val="Emphasis"/>
        </w:rPr>
        <w:t xml:space="preserve"> </w:t>
      </w:r>
      <w:r w:rsidRPr="004B4157">
        <w:rPr>
          <w:rStyle w:val="Emphasis"/>
        </w:rPr>
        <w:t>and</w:t>
      </w:r>
      <w:r>
        <w:rPr>
          <w:rStyle w:val="Emphasis"/>
        </w:rPr>
        <w:t xml:space="preserve"> </w:t>
      </w:r>
      <w:r w:rsidRPr="004B4157">
        <w:rPr>
          <w:rStyle w:val="Emphasis"/>
        </w:rPr>
        <w:t>Law</w:t>
      </w:r>
      <w:r>
        <w:t>, 17; 315–322.</w:t>
      </w:r>
    </w:p>
    <w:p w14:paraId="7A26E1CB" w14:textId="77777777" w:rsidR="00F550F1" w:rsidRDefault="00F550F1" w:rsidP="00F550F1">
      <w:pPr>
        <w:pStyle w:val="DHHSbody"/>
      </w:pPr>
      <w:r>
        <w:t xml:space="preserve">Rice, M.E., &amp; Harris, G.T. (2003). The size and sign of treatment effects in sex offender therapy. </w:t>
      </w:r>
      <w:r w:rsidRPr="004B4157">
        <w:rPr>
          <w:rStyle w:val="Emphasis"/>
        </w:rPr>
        <w:t>Annals</w:t>
      </w:r>
      <w:r>
        <w:rPr>
          <w:rStyle w:val="Emphasis"/>
        </w:rPr>
        <w:t xml:space="preserve"> </w:t>
      </w:r>
      <w:r w:rsidRPr="004B4157">
        <w:rPr>
          <w:rStyle w:val="Emphasis"/>
        </w:rPr>
        <w:t>of</w:t>
      </w:r>
      <w:r>
        <w:rPr>
          <w:rStyle w:val="Emphasis"/>
        </w:rPr>
        <w:t xml:space="preserve"> </w:t>
      </w:r>
      <w:r w:rsidRPr="004B4157">
        <w:rPr>
          <w:rStyle w:val="Emphasis"/>
        </w:rPr>
        <w:t>the</w:t>
      </w:r>
      <w:r>
        <w:rPr>
          <w:rStyle w:val="Emphasis"/>
        </w:rPr>
        <w:t xml:space="preserve"> </w:t>
      </w:r>
      <w:r w:rsidRPr="004B4157">
        <w:rPr>
          <w:rStyle w:val="Emphasis"/>
        </w:rPr>
        <w:t>New</w:t>
      </w:r>
      <w:r>
        <w:rPr>
          <w:rStyle w:val="Emphasis"/>
        </w:rPr>
        <w:t xml:space="preserve"> </w:t>
      </w:r>
      <w:r w:rsidRPr="004B4157">
        <w:rPr>
          <w:rStyle w:val="Emphasis"/>
        </w:rPr>
        <w:t>York</w:t>
      </w:r>
      <w:r>
        <w:rPr>
          <w:rStyle w:val="Emphasis"/>
        </w:rPr>
        <w:t xml:space="preserve"> </w:t>
      </w:r>
      <w:r w:rsidRPr="004B4157">
        <w:rPr>
          <w:rStyle w:val="Emphasis"/>
        </w:rPr>
        <w:t>Academy</w:t>
      </w:r>
      <w:r>
        <w:rPr>
          <w:rStyle w:val="Emphasis"/>
        </w:rPr>
        <w:t xml:space="preserve"> </w:t>
      </w:r>
      <w:r w:rsidRPr="004B4157">
        <w:rPr>
          <w:rStyle w:val="Emphasis"/>
        </w:rPr>
        <w:t>of</w:t>
      </w:r>
      <w:r>
        <w:rPr>
          <w:rStyle w:val="Emphasis"/>
        </w:rPr>
        <w:t xml:space="preserve"> </w:t>
      </w:r>
      <w:r w:rsidRPr="004B4157">
        <w:rPr>
          <w:rStyle w:val="Emphasis"/>
        </w:rPr>
        <w:t>Sciences,</w:t>
      </w:r>
      <w:r>
        <w:t xml:space="preserve"> 989; 428–440.</w:t>
      </w:r>
    </w:p>
    <w:p w14:paraId="40B11896" w14:textId="7CBF2E36" w:rsidR="00F550F1" w:rsidRDefault="00F550F1" w:rsidP="00F550F1">
      <w:pPr>
        <w:pStyle w:val="DHHSbody"/>
      </w:pPr>
      <w:r>
        <w:t>Sajith, S. G.,</w:t>
      </w:r>
      <w:r w:rsidR="000A663E">
        <w:t xml:space="preserve"> </w:t>
      </w:r>
      <w:r>
        <w:t xml:space="preserve">Morgan, C., &amp; Clarke, D. (2008). Pharmacological management of inappropriate sexual behaviours: a review of its evidence, rationale and scope in relation to men with intellectual disabilities. </w:t>
      </w:r>
      <w:r w:rsidRPr="004B4157">
        <w:rPr>
          <w:rStyle w:val="Emphasis"/>
        </w:rPr>
        <w:t>Journal</w:t>
      </w:r>
      <w:r>
        <w:rPr>
          <w:rStyle w:val="Emphasis"/>
        </w:rPr>
        <w:t xml:space="preserve"> </w:t>
      </w:r>
      <w:r w:rsidRPr="004B4157">
        <w:rPr>
          <w:rStyle w:val="Emphasis"/>
        </w:rPr>
        <w:t>of</w:t>
      </w:r>
      <w:r>
        <w:rPr>
          <w:rStyle w:val="Emphasis"/>
        </w:rPr>
        <w:t xml:space="preserve"> </w:t>
      </w:r>
      <w:r w:rsidRPr="004B4157">
        <w:rPr>
          <w:rStyle w:val="Emphasis"/>
        </w:rPr>
        <w:t>Intellectual</w:t>
      </w:r>
      <w:r>
        <w:rPr>
          <w:rStyle w:val="Emphasis"/>
        </w:rPr>
        <w:t xml:space="preserve"> </w:t>
      </w:r>
      <w:r w:rsidRPr="004B4157">
        <w:rPr>
          <w:rStyle w:val="Emphasis"/>
        </w:rPr>
        <w:t>Disability</w:t>
      </w:r>
      <w:r>
        <w:rPr>
          <w:rStyle w:val="Emphasis"/>
        </w:rPr>
        <w:t xml:space="preserve"> </w:t>
      </w:r>
      <w:r w:rsidRPr="004B4157">
        <w:rPr>
          <w:rStyle w:val="Emphasis"/>
        </w:rPr>
        <w:t>Research</w:t>
      </w:r>
      <w:r>
        <w:t>, 52; 1078–1090.</w:t>
      </w:r>
    </w:p>
    <w:p w14:paraId="65090C54" w14:textId="4E73CB47" w:rsidR="00F550F1" w:rsidRDefault="00F550F1" w:rsidP="007A665D">
      <w:pPr>
        <w:pStyle w:val="DHHSbody"/>
      </w:pPr>
      <w:r>
        <w:t>Saleh</w:t>
      </w:r>
      <w:r w:rsidR="0012541C">
        <w:t>,</w:t>
      </w:r>
      <w:r>
        <w:t xml:space="preserve"> F</w:t>
      </w:r>
      <w:r w:rsidR="0012541C">
        <w:t>.</w:t>
      </w:r>
      <w:r>
        <w:t>M.</w:t>
      </w:r>
      <w:r w:rsidR="0012541C">
        <w:t>, &amp;</w:t>
      </w:r>
      <w:r>
        <w:t xml:space="preserve"> Berlin</w:t>
      </w:r>
      <w:r w:rsidR="0012541C">
        <w:t>,</w:t>
      </w:r>
      <w:r>
        <w:t xml:space="preserve"> F</w:t>
      </w:r>
      <w:r w:rsidR="0012541C">
        <w:t>.</w:t>
      </w:r>
      <w:r>
        <w:t xml:space="preserve">S. </w:t>
      </w:r>
      <w:r w:rsidR="00E07BA9">
        <w:t xml:space="preserve">(2003). </w:t>
      </w:r>
      <w:r>
        <w:t xml:space="preserve">Sex hormones, neurotransmitters, and psychopharmacological treatments in men with paraphilic disorders. </w:t>
      </w:r>
      <w:r w:rsidRPr="004B4157">
        <w:rPr>
          <w:rStyle w:val="Emphasis"/>
        </w:rPr>
        <w:t>Journal</w:t>
      </w:r>
      <w:r>
        <w:rPr>
          <w:rStyle w:val="Emphasis"/>
        </w:rPr>
        <w:t xml:space="preserve"> </w:t>
      </w:r>
      <w:r w:rsidRPr="004B4157">
        <w:rPr>
          <w:rStyle w:val="Emphasis"/>
        </w:rPr>
        <w:t>of</w:t>
      </w:r>
      <w:r>
        <w:rPr>
          <w:rStyle w:val="Emphasis"/>
        </w:rPr>
        <w:t xml:space="preserve"> </w:t>
      </w:r>
      <w:r w:rsidRPr="004B4157">
        <w:rPr>
          <w:rStyle w:val="Emphasis"/>
        </w:rPr>
        <w:t>Child</w:t>
      </w:r>
      <w:r>
        <w:rPr>
          <w:rStyle w:val="Emphasis"/>
        </w:rPr>
        <w:t xml:space="preserve"> </w:t>
      </w:r>
      <w:r w:rsidRPr="004B4157">
        <w:rPr>
          <w:rStyle w:val="Emphasis"/>
        </w:rPr>
        <w:t>Sexual</w:t>
      </w:r>
      <w:r>
        <w:rPr>
          <w:rStyle w:val="Emphasis"/>
        </w:rPr>
        <w:t xml:space="preserve"> </w:t>
      </w:r>
      <w:r w:rsidRPr="004B4157">
        <w:rPr>
          <w:rStyle w:val="Emphasis"/>
        </w:rPr>
        <w:t>Abuse</w:t>
      </w:r>
      <w:r w:rsidR="00E07BA9">
        <w:t>,</w:t>
      </w:r>
      <w:r>
        <w:t xml:space="preserve"> 12</w:t>
      </w:r>
      <w:r w:rsidR="00E07BA9">
        <w:t xml:space="preserve">; </w:t>
      </w:r>
      <w:r>
        <w:t>233–</w:t>
      </w:r>
      <w:r w:rsidR="00E07BA9">
        <w:t>2</w:t>
      </w:r>
      <w:r>
        <w:t>53.</w:t>
      </w:r>
    </w:p>
    <w:p w14:paraId="272AEA8D" w14:textId="5FB2C8B5" w:rsidR="00F550F1" w:rsidRDefault="00F550F1" w:rsidP="007A665D">
      <w:pPr>
        <w:pStyle w:val="DHHSbody"/>
      </w:pPr>
      <w:r>
        <w:t>Saleh</w:t>
      </w:r>
      <w:r w:rsidR="00E07BA9">
        <w:t>,</w:t>
      </w:r>
      <w:r>
        <w:t xml:space="preserve"> F</w:t>
      </w:r>
      <w:r w:rsidR="00E07BA9">
        <w:t>.</w:t>
      </w:r>
      <w:r>
        <w:t>M.</w:t>
      </w:r>
      <w:r w:rsidR="00E07BA9">
        <w:t>,</w:t>
      </w:r>
      <w:r>
        <w:t xml:space="preserve"> Guidry</w:t>
      </w:r>
      <w:r w:rsidR="00E07BA9">
        <w:t>,</w:t>
      </w:r>
      <w:r>
        <w:t xml:space="preserve"> L</w:t>
      </w:r>
      <w:r w:rsidR="00E07BA9">
        <w:t>.</w:t>
      </w:r>
      <w:r>
        <w:t xml:space="preserve">L. </w:t>
      </w:r>
      <w:r w:rsidR="00E07BA9">
        <w:t xml:space="preserve">(2003). </w:t>
      </w:r>
      <w:r>
        <w:t>Psychosocial and biological treatment considerations for the paraphilic and nonparaphilic sex offender.</w:t>
      </w:r>
      <w:r w:rsidR="00E07BA9">
        <w:t xml:space="preserve"> </w:t>
      </w:r>
      <w:r w:rsidRPr="004B4157">
        <w:rPr>
          <w:rStyle w:val="Emphasis"/>
        </w:rPr>
        <w:t>Journal</w:t>
      </w:r>
      <w:r>
        <w:rPr>
          <w:rStyle w:val="Emphasis"/>
        </w:rPr>
        <w:t xml:space="preserve"> </w:t>
      </w:r>
      <w:r w:rsidRPr="004B4157">
        <w:rPr>
          <w:rStyle w:val="Emphasis"/>
        </w:rPr>
        <w:t>of</w:t>
      </w:r>
      <w:r>
        <w:rPr>
          <w:rStyle w:val="Emphasis"/>
        </w:rPr>
        <w:t xml:space="preserve"> </w:t>
      </w:r>
      <w:r w:rsidRPr="004B4157">
        <w:rPr>
          <w:rStyle w:val="Emphasis"/>
        </w:rPr>
        <w:t>the</w:t>
      </w:r>
      <w:r>
        <w:rPr>
          <w:rStyle w:val="Emphasis"/>
        </w:rPr>
        <w:t xml:space="preserve"> </w:t>
      </w:r>
      <w:r w:rsidRPr="004B4157">
        <w:rPr>
          <w:rStyle w:val="Emphasis"/>
        </w:rPr>
        <w:t>American</w:t>
      </w:r>
      <w:r>
        <w:rPr>
          <w:rStyle w:val="Emphasis"/>
        </w:rPr>
        <w:t xml:space="preserve"> </w:t>
      </w:r>
      <w:r w:rsidRPr="004B4157">
        <w:rPr>
          <w:rStyle w:val="Emphasis"/>
        </w:rPr>
        <w:t>Academy</w:t>
      </w:r>
      <w:r>
        <w:rPr>
          <w:rStyle w:val="Emphasis"/>
        </w:rPr>
        <w:t xml:space="preserve"> </w:t>
      </w:r>
      <w:r w:rsidRPr="004B4157">
        <w:rPr>
          <w:rStyle w:val="Emphasis"/>
        </w:rPr>
        <w:t>of</w:t>
      </w:r>
      <w:r>
        <w:rPr>
          <w:rStyle w:val="Emphasis"/>
        </w:rPr>
        <w:t xml:space="preserve"> </w:t>
      </w:r>
      <w:r w:rsidRPr="004B4157">
        <w:rPr>
          <w:rStyle w:val="Emphasis"/>
        </w:rPr>
        <w:t>Psychiatry</w:t>
      </w:r>
      <w:r>
        <w:rPr>
          <w:rStyle w:val="Emphasis"/>
        </w:rPr>
        <w:t xml:space="preserve"> </w:t>
      </w:r>
      <w:r w:rsidRPr="004B4157">
        <w:rPr>
          <w:rStyle w:val="Emphasis"/>
        </w:rPr>
        <w:t>&amp;</w:t>
      </w:r>
      <w:r>
        <w:rPr>
          <w:rStyle w:val="Emphasis"/>
        </w:rPr>
        <w:t xml:space="preserve"> </w:t>
      </w:r>
      <w:r w:rsidRPr="004B4157">
        <w:rPr>
          <w:rStyle w:val="Emphasis"/>
        </w:rPr>
        <w:t>the</w:t>
      </w:r>
      <w:r>
        <w:rPr>
          <w:rStyle w:val="Emphasis"/>
        </w:rPr>
        <w:t xml:space="preserve"> </w:t>
      </w:r>
      <w:r w:rsidRPr="004B4157">
        <w:rPr>
          <w:rStyle w:val="Emphasis"/>
        </w:rPr>
        <w:t>Law</w:t>
      </w:r>
      <w:r w:rsidR="00E07BA9">
        <w:t xml:space="preserve">, </w:t>
      </w:r>
      <w:r>
        <w:t>31</w:t>
      </w:r>
      <w:r w:rsidR="00E07BA9">
        <w:t>,</w:t>
      </w:r>
      <w:r>
        <w:t xml:space="preserve"> 486–</w:t>
      </w:r>
      <w:r w:rsidR="00E07BA9">
        <w:t>4</w:t>
      </w:r>
      <w:r>
        <w:t>93.</w:t>
      </w:r>
    </w:p>
    <w:p w14:paraId="70E4E5F5" w14:textId="77777777" w:rsidR="00CD0313" w:rsidRDefault="00F550F1" w:rsidP="00F550F1">
      <w:pPr>
        <w:pStyle w:val="DHHSbody"/>
      </w:pPr>
      <w:r>
        <w:t xml:space="preserve">Schulz, K.F., Altman, D.G., &amp; Moher, D. (2010). CONSORT 2010 </w:t>
      </w:r>
      <w:r w:rsidR="00E07BA9">
        <w:t>s</w:t>
      </w:r>
      <w:r>
        <w:t xml:space="preserve">tatement: </w:t>
      </w:r>
      <w:r w:rsidR="00E07BA9">
        <w:t>u</w:t>
      </w:r>
      <w:r>
        <w:t xml:space="preserve">pdated guidelines for reporting parallel group randomised controlled trials. </w:t>
      </w:r>
      <w:r w:rsidRPr="00CA3986">
        <w:rPr>
          <w:i/>
          <w:iCs/>
        </w:rPr>
        <w:t>B</w:t>
      </w:r>
      <w:r w:rsidRPr="004B4157">
        <w:rPr>
          <w:rStyle w:val="Emphasis"/>
        </w:rPr>
        <w:t>ritish</w:t>
      </w:r>
      <w:r>
        <w:rPr>
          <w:rStyle w:val="Emphasis"/>
        </w:rPr>
        <w:t xml:space="preserve"> </w:t>
      </w:r>
      <w:r w:rsidRPr="004B4157">
        <w:rPr>
          <w:rStyle w:val="Emphasis"/>
        </w:rPr>
        <w:t>Medical</w:t>
      </w:r>
      <w:r>
        <w:rPr>
          <w:rStyle w:val="Emphasis"/>
        </w:rPr>
        <w:t xml:space="preserve"> </w:t>
      </w:r>
      <w:r w:rsidRPr="004B4157">
        <w:rPr>
          <w:rStyle w:val="Emphasis"/>
        </w:rPr>
        <w:t>Journal</w:t>
      </w:r>
      <w:r w:rsidR="00E07BA9">
        <w:rPr>
          <w:rStyle w:val="Emphasis"/>
          <w:i w:val="0"/>
          <w:iCs w:val="0"/>
        </w:rPr>
        <w:t>,</w:t>
      </w:r>
      <w:r>
        <w:rPr>
          <w:rStyle w:val="Emphasis"/>
        </w:rPr>
        <w:t xml:space="preserve"> </w:t>
      </w:r>
      <w:r>
        <w:t>340</w:t>
      </w:r>
      <w:r w:rsidR="00E07BA9">
        <w:t xml:space="preserve">; </w:t>
      </w:r>
      <w:r>
        <w:t>c332.</w:t>
      </w:r>
    </w:p>
    <w:p w14:paraId="070BE144" w14:textId="0D3622E2" w:rsidR="00F550F1" w:rsidRDefault="00F550F1" w:rsidP="00F550F1">
      <w:pPr>
        <w:pStyle w:val="DHHSbody"/>
      </w:pPr>
      <w:r>
        <w:t xml:space="preserve">Slade, M., Powell, R., Rosen, A., &amp; Strathdee, G. (2008). Threshold Assessment Grid (TAG): The development of a valid and brief scale to assess the severity of mental illness. </w:t>
      </w:r>
      <w:r w:rsidRPr="004B4157">
        <w:rPr>
          <w:rStyle w:val="Emphasis"/>
        </w:rPr>
        <w:t>Social</w:t>
      </w:r>
      <w:r>
        <w:rPr>
          <w:rStyle w:val="Emphasis"/>
        </w:rPr>
        <w:t xml:space="preserve"> </w:t>
      </w:r>
      <w:r w:rsidRPr="004B4157">
        <w:rPr>
          <w:rStyle w:val="Emphasis"/>
        </w:rPr>
        <w:t>Psychiatry</w:t>
      </w:r>
      <w:r>
        <w:rPr>
          <w:rStyle w:val="Emphasis"/>
        </w:rPr>
        <w:t xml:space="preserve"> </w:t>
      </w:r>
      <w:r w:rsidRPr="004B4157">
        <w:rPr>
          <w:rStyle w:val="Emphasis"/>
        </w:rPr>
        <w:t>&amp;</w:t>
      </w:r>
      <w:r>
        <w:rPr>
          <w:rStyle w:val="Emphasis"/>
        </w:rPr>
        <w:t xml:space="preserve"> </w:t>
      </w:r>
      <w:r w:rsidRPr="004B4157">
        <w:rPr>
          <w:rStyle w:val="Emphasis"/>
        </w:rPr>
        <w:t>Psychiatric</w:t>
      </w:r>
      <w:r>
        <w:rPr>
          <w:rStyle w:val="Emphasis"/>
        </w:rPr>
        <w:t xml:space="preserve"> </w:t>
      </w:r>
      <w:r w:rsidRPr="004B4157">
        <w:rPr>
          <w:rStyle w:val="Emphasis"/>
        </w:rPr>
        <w:t>Epidemiology</w:t>
      </w:r>
      <w:r>
        <w:t>, 35; 78–85.</w:t>
      </w:r>
    </w:p>
    <w:p w14:paraId="6DCD9317" w14:textId="2A03EB0E" w:rsidR="00F550F1" w:rsidRDefault="00F550F1" w:rsidP="00F550F1">
      <w:pPr>
        <w:pStyle w:val="DHHSbody"/>
      </w:pPr>
      <w:r>
        <w:t xml:space="preserve">Spalding, L.H. (1998). </w:t>
      </w:r>
      <w:hyperlink r:id="rId19" w:history="1">
        <w:r w:rsidRPr="00B65C83">
          <w:rPr>
            <w:rStyle w:val="Hyperlink"/>
          </w:rPr>
          <w:t>Florida’s 1997 chemical castration law: A return to the Dark Ages</w:t>
        </w:r>
      </w:hyperlink>
      <w:r>
        <w:t xml:space="preserve">. </w:t>
      </w:r>
      <w:r w:rsidRPr="004B4157">
        <w:rPr>
          <w:rStyle w:val="Emphasis"/>
        </w:rPr>
        <w:t>Florida</w:t>
      </w:r>
      <w:r>
        <w:rPr>
          <w:rStyle w:val="Emphasis"/>
        </w:rPr>
        <w:t xml:space="preserve"> </w:t>
      </w:r>
      <w:r w:rsidRPr="004B4157">
        <w:rPr>
          <w:rStyle w:val="Emphasis"/>
        </w:rPr>
        <w:t>State</w:t>
      </w:r>
      <w:r>
        <w:rPr>
          <w:rStyle w:val="Emphasis"/>
        </w:rPr>
        <w:t xml:space="preserve"> </w:t>
      </w:r>
      <w:r w:rsidRPr="004B4157">
        <w:rPr>
          <w:rStyle w:val="Emphasis"/>
        </w:rPr>
        <w:t>University</w:t>
      </w:r>
      <w:r>
        <w:rPr>
          <w:rStyle w:val="Emphasis"/>
        </w:rPr>
        <w:t xml:space="preserve"> </w:t>
      </w:r>
      <w:r w:rsidRPr="004B4157">
        <w:rPr>
          <w:rStyle w:val="Emphasis"/>
        </w:rPr>
        <w:t>Law</w:t>
      </w:r>
      <w:r>
        <w:rPr>
          <w:rStyle w:val="Emphasis"/>
        </w:rPr>
        <w:t xml:space="preserve"> </w:t>
      </w:r>
      <w:r w:rsidRPr="004B4157">
        <w:rPr>
          <w:rStyle w:val="Emphasis"/>
        </w:rPr>
        <w:t>Review</w:t>
      </w:r>
      <w:r>
        <w:t xml:space="preserve">. </w:t>
      </w:r>
      <w:r w:rsidR="00B65C83">
        <w:t>&lt;</w:t>
      </w:r>
      <w:r w:rsidR="00B800ED" w:rsidRPr="00092256">
        <w:t>https://ir.law.fsu.edu/cgi/viewcontent.cgi?article=2458&amp;context=lr</w:t>
      </w:r>
      <w:r w:rsidR="00B65C83">
        <w:t>&gt;</w:t>
      </w:r>
      <w:r w:rsidR="00B800ED">
        <w:t xml:space="preserve"> </w:t>
      </w:r>
      <w:r>
        <w:t xml:space="preserve">(last accessed </w:t>
      </w:r>
      <w:r w:rsidR="00B800ED">
        <w:t>23 September 2019</w:t>
      </w:r>
      <w:r>
        <w:t>).</w:t>
      </w:r>
    </w:p>
    <w:p w14:paraId="0290CBB3" w14:textId="77777777" w:rsidR="00F550F1" w:rsidRDefault="00F550F1" w:rsidP="00F550F1">
      <w:pPr>
        <w:pStyle w:val="DHHSbody"/>
      </w:pPr>
      <w:r>
        <w:t xml:space="preserve">Thibaut, F., Cordier, B., &amp; Kuhn, J.M. (1996). Gonadotrophin hormone releasing hormone agonist in cases of severe paraphilia: A lifetime treatment? </w:t>
      </w:r>
      <w:r w:rsidRPr="004B4157">
        <w:rPr>
          <w:rStyle w:val="Emphasis"/>
        </w:rPr>
        <w:t>Psychoneuroendocrinology,</w:t>
      </w:r>
      <w:r>
        <w:t xml:space="preserve"> 21; 411–419.</w:t>
      </w:r>
    </w:p>
    <w:p w14:paraId="36022B20" w14:textId="2E38A2D8" w:rsidR="00F550F1" w:rsidRDefault="00F550F1" w:rsidP="00F550F1">
      <w:pPr>
        <w:pStyle w:val="DHHSbody"/>
      </w:pPr>
      <w:r>
        <w:t xml:space="preserve">Thibaut, F., De Law Barra, F., Gordon, H., Cosyns, P., Bradford, J.M.W., &amp; the WFSBP Task Force on Sexual Disorders. (2010). The World Federation of Societies of Biological Psychiatry (WFSBP) Guidelines for the biological treatment of paraphilias. </w:t>
      </w:r>
      <w:r w:rsidRPr="00CA3986">
        <w:rPr>
          <w:i/>
          <w:iCs/>
        </w:rPr>
        <w:t>T</w:t>
      </w:r>
      <w:r w:rsidRPr="004B4157">
        <w:rPr>
          <w:rStyle w:val="Emphasis"/>
        </w:rPr>
        <w:t>he</w:t>
      </w:r>
      <w:r>
        <w:rPr>
          <w:rStyle w:val="Emphasis"/>
        </w:rPr>
        <w:t xml:space="preserve"> </w:t>
      </w:r>
      <w:r w:rsidRPr="004B4157">
        <w:rPr>
          <w:rStyle w:val="Emphasis"/>
        </w:rPr>
        <w:t>World</w:t>
      </w:r>
      <w:r>
        <w:rPr>
          <w:rStyle w:val="Emphasis"/>
        </w:rPr>
        <w:t xml:space="preserve"> </w:t>
      </w:r>
      <w:r w:rsidRPr="004B4157">
        <w:rPr>
          <w:rStyle w:val="Emphasis"/>
        </w:rPr>
        <w:t>Journal</w:t>
      </w:r>
      <w:r>
        <w:rPr>
          <w:rStyle w:val="Emphasis"/>
        </w:rPr>
        <w:t xml:space="preserve"> </w:t>
      </w:r>
      <w:r w:rsidRPr="004B4157">
        <w:rPr>
          <w:rStyle w:val="Emphasis"/>
        </w:rPr>
        <w:t>of</w:t>
      </w:r>
      <w:r>
        <w:rPr>
          <w:rStyle w:val="Emphasis"/>
        </w:rPr>
        <w:t xml:space="preserve"> </w:t>
      </w:r>
      <w:r w:rsidRPr="004B4157">
        <w:rPr>
          <w:rStyle w:val="Emphasis"/>
        </w:rPr>
        <w:t>Biological</w:t>
      </w:r>
      <w:r>
        <w:rPr>
          <w:rStyle w:val="Emphasis"/>
        </w:rPr>
        <w:t xml:space="preserve"> </w:t>
      </w:r>
      <w:r w:rsidRPr="004B4157">
        <w:rPr>
          <w:rStyle w:val="Emphasis"/>
        </w:rPr>
        <w:t>Psychiatry</w:t>
      </w:r>
      <w:r>
        <w:t>, 11; 604–655.</w:t>
      </w:r>
    </w:p>
    <w:p w14:paraId="0C3D28A9" w14:textId="70036E75" w:rsidR="00F550F1" w:rsidRDefault="00F550F1" w:rsidP="00F550F1">
      <w:pPr>
        <w:pStyle w:val="DHHSbody"/>
      </w:pPr>
      <w:r>
        <w:t xml:space="preserve">Thompson, D. </w:t>
      </w:r>
      <w:r w:rsidR="00E07BA9">
        <w:t xml:space="preserve">&amp; </w:t>
      </w:r>
      <w:r>
        <w:t>Brown</w:t>
      </w:r>
      <w:r w:rsidR="00E07BA9">
        <w:t>, H.</w:t>
      </w:r>
      <w:r>
        <w:t xml:space="preserve"> (1997). Men with intellectual disabilities who sexually abuse: </w:t>
      </w:r>
      <w:r w:rsidR="00E07BA9">
        <w:t>a</w:t>
      </w:r>
      <w:r>
        <w:t xml:space="preserve"> review of the literature. </w:t>
      </w:r>
      <w:r w:rsidRPr="004B4157">
        <w:rPr>
          <w:rStyle w:val="Emphasis"/>
        </w:rPr>
        <w:t>Journal</w:t>
      </w:r>
      <w:r>
        <w:rPr>
          <w:rStyle w:val="Emphasis"/>
        </w:rPr>
        <w:t xml:space="preserve"> </w:t>
      </w:r>
      <w:r w:rsidRPr="004B4157">
        <w:rPr>
          <w:rStyle w:val="Emphasis"/>
        </w:rPr>
        <w:t>of</w:t>
      </w:r>
      <w:r>
        <w:rPr>
          <w:rStyle w:val="Emphasis"/>
        </w:rPr>
        <w:t xml:space="preserve"> </w:t>
      </w:r>
      <w:r w:rsidRPr="004B4157">
        <w:rPr>
          <w:rStyle w:val="Emphasis"/>
        </w:rPr>
        <w:t>Applied</w:t>
      </w:r>
      <w:r>
        <w:rPr>
          <w:rStyle w:val="Emphasis"/>
        </w:rPr>
        <w:t xml:space="preserve"> </w:t>
      </w:r>
      <w:r w:rsidRPr="004B4157">
        <w:rPr>
          <w:rStyle w:val="Emphasis"/>
        </w:rPr>
        <w:t>Research</w:t>
      </w:r>
      <w:r>
        <w:rPr>
          <w:rStyle w:val="Emphasis"/>
        </w:rPr>
        <w:t xml:space="preserve"> </w:t>
      </w:r>
      <w:r w:rsidRPr="004B4157">
        <w:rPr>
          <w:rStyle w:val="Emphasis"/>
        </w:rPr>
        <w:t>in</w:t>
      </w:r>
      <w:r>
        <w:rPr>
          <w:rStyle w:val="Emphasis"/>
        </w:rPr>
        <w:t xml:space="preserve"> </w:t>
      </w:r>
      <w:r w:rsidRPr="004B4157">
        <w:rPr>
          <w:rStyle w:val="Emphasis"/>
        </w:rPr>
        <w:t>Intellectual</w:t>
      </w:r>
      <w:r>
        <w:rPr>
          <w:rStyle w:val="Emphasis"/>
        </w:rPr>
        <w:t xml:space="preserve"> </w:t>
      </w:r>
      <w:r w:rsidRPr="004B4157">
        <w:rPr>
          <w:rStyle w:val="Emphasis"/>
        </w:rPr>
        <w:t>Disabilities</w:t>
      </w:r>
      <w:r>
        <w:t>, 10; 140–158.</w:t>
      </w:r>
    </w:p>
    <w:p w14:paraId="214D8EDF" w14:textId="0AFA900F" w:rsidR="00F550F1" w:rsidRDefault="00F550F1" w:rsidP="00F550F1">
      <w:pPr>
        <w:pStyle w:val="DHHSbody"/>
      </w:pPr>
      <w:r>
        <w:t>Ward, T., Gannon, T.A., &amp; Birgden, A. (2007). Human rights and the treatment of sex offenders.</w:t>
      </w:r>
      <w:r>
        <w:rPr>
          <w:rStyle w:val="Emphasis"/>
        </w:rPr>
        <w:t xml:space="preserve"> </w:t>
      </w:r>
      <w:r w:rsidRPr="004B4157">
        <w:rPr>
          <w:rStyle w:val="Emphasis"/>
        </w:rPr>
        <w:t>Sexual</w:t>
      </w:r>
      <w:r>
        <w:rPr>
          <w:rStyle w:val="Emphasis"/>
        </w:rPr>
        <w:t xml:space="preserve"> </w:t>
      </w:r>
      <w:r w:rsidRPr="004B4157">
        <w:rPr>
          <w:rStyle w:val="Emphasis"/>
        </w:rPr>
        <w:t>Abuse:</w:t>
      </w:r>
      <w:r>
        <w:rPr>
          <w:rStyle w:val="Emphasis"/>
        </w:rPr>
        <w:t xml:space="preserve"> </w:t>
      </w:r>
      <w:r w:rsidRPr="004B4157">
        <w:rPr>
          <w:rStyle w:val="Emphasis"/>
        </w:rPr>
        <w:t>A</w:t>
      </w:r>
      <w:r>
        <w:rPr>
          <w:rStyle w:val="Emphasis"/>
        </w:rPr>
        <w:t xml:space="preserve"> </w:t>
      </w:r>
      <w:r w:rsidRPr="004B4157">
        <w:rPr>
          <w:rStyle w:val="Emphasis"/>
        </w:rPr>
        <w:t>Journal</w:t>
      </w:r>
      <w:r>
        <w:rPr>
          <w:rStyle w:val="Emphasis"/>
        </w:rPr>
        <w:t xml:space="preserve"> </w:t>
      </w:r>
      <w:r w:rsidRPr="004B4157">
        <w:rPr>
          <w:rStyle w:val="Emphasis"/>
        </w:rPr>
        <w:t>of</w:t>
      </w:r>
      <w:r>
        <w:rPr>
          <w:rStyle w:val="Emphasis"/>
        </w:rPr>
        <w:t xml:space="preserve"> </w:t>
      </w:r>
      <w:r w:rsidRPr="004B4157">
        <w:rPr>
          <w:rStyle w:val="Emphasis"/>
        </w:rPr>
        <w:t>Research</w:t>
      </w:r>
      <w:r>
        <w:rPr>
          <w:rStyle w:val="Emphasis"/>
        </w:rPr>
        <w:t xml:space="preserve"> </w:t>
      </w:r>
      <w:r w:rsidRPr="004B4157">
        <w:rPr>
          <w:rStyle w:val="Emphasis"/>
        </w:rPr>
        <w:t>and</w:t>
      </w:r>
      <w:r>
        <w:rPr>
          <w:rStyle w:val="Emphasis"/>
        </w:rPr>
        <w:t xml:space="preserve"> </w:t>
      </w:r>
      <w:r w:rsidRPr="004B4157">
        <w:rPr>
          <w:rStyle w:val="Emphasis"/>
        </w:rPr>
        <w:t>Treatment,</w:t>
      </w:r>
      <w:r>
        <w:t xml:space="preserve"> 19; 195–216.</w:t>
      </w:r>
    </w:p>
    <w:p w14:paraId="376ED2AF" w14:textId="77777777" w:rsidR="00F550F1" w:rsidRDefault="00F550F1" w:rsidP="00F550F1">
      <w:pPr>
        <w:pStyle w:val="DHHSbody"/>
      </w:pPr>
      <w:r>
        <w:t xml:space="preserve">Weiss, P. (1999). Assessment and treatment of sex offenders in the Czech Republic and in Eastern Europe. </w:t>
      </w:r>
      <w:r w:rsidRPr="004B4157">
        <w:rPr>
          <w:rStyle w:val="Emphasis"/>
        </w:rPr>
        <w:t>Journal</w:t>
      </w:r>
      <w:r>
        <w:rPr>
          <w:rStyle w:val="Emphasis"/>
        </w:rPr>
        <w:t xml:space="preserve"> </w:t>
      </w:r>
      <w:r w:rsidRPr="004B4157">
        <w:rPr>
          <w:rStyle w:val="Emphasis"/>
        </w:rPr>
        <w:t>of</w:t>
      </w:r>
      <w:r>
        <w:rPr>
          <w:rStyle w:val="Emphasis"/>
        </w:rPr>
        <w:t xml:space="preserve"> </w:t>
      </w:r>
      <w:r w:rsidRPr="004B4157">
        <w:rPr>
          <w:rStyle w:val="Emphasis"/>
        </w:rPr>
        <w:t>Interpersonal</w:t>
      </w:r>
      <w:r>
        <w:rPr>
          <w:rStyle w:val="Emphasis"/>
        </w:rPr>
        <w:t xml:space="preserve"> </w:t>
      </w:r>
      <w:r w:rsidRPr="004B4157">
        <w:rPr>
          <w:rStyle w:val="Emphasis"/>
        </w:rPr>
        <w:t>Violence,</w:t>
      </w:r>
      <w:r>
        <w:t xml:space="preserve"> 14(4); 411–421.</w:t>
      </w:r>
    </w:p>
    <w:p w14:paraId="69B0B498" w14:textId="6C27877F" w:rsidR="00F550F1" w:rsidRPr="00CA3986" w:rsidRDefault="00F550F1" w:rsidP="007A665D">
      <w:pPr>
        <w:pStyle w:val="DHHSbody"/>
      </w:pPr>
      <w:r>
        <w:t>Whisman, M.A. (1990). The efficacy of booster maintenance sessions in behaviour therapy</w:t>
      </w:r>
      <w:r w:rsidR="00E07BA9">
        <w:t>:</w:t>
      </w:r>
      <w:r>
        <w:t xml:space="preserve"> </w:t>
      </w:r>
      <w:r w:rsidR="00E07BA9">
        <w:t>r</w:t>
      </w:r>
      <w:r>
        <w:t xml:space="preserve">eview and methodological critique. </w:t>
      </w:r>
      <w:r w:rsidRPr="004B4157">
        <w:rPr>
          <w:rStyle w:val="Emphasis"/>
        </w:rPr>
        <w:t>Clinical</w:t>
      </w:r>
      <w:r>
        <w:rPr>
          <w:rStyle w:val="Emphasis"/>
        </w:rPr>
        <w:t xml:space="preserve"> </w:t>
      </w:r>
      <w:r w:rsidRPr="004B4157">
        <w:rPr>
          <w:rStyle w:val="Emphasis"/>
        </w:rPr>
        <w:t>Psychology</w:t>
      </w:r>
      <w:r>
        <w:rPr>
          <w:rStyle w:val="Emphasis"/>
        </w:rPr>
        <w:t xml:space="preserve"> </w:t>
      </w:r>
      <w:r w:rsidRPr="004B4157">
        <w:rPr>
          <w:rStyle w:val="Emphasis"/>
        </w:rPr>
        <w:t>Review,</w:t>
      </w:r>
      <w:r>
        <w:t xml:space="preserve"> 10 (2); 155–170.</w:t>
      </w:r>
    </w:p>
    <w:sectPr w:rsidR="00F550F1" w:rsidRPr="00CA3986" w:rsidSect="00CD0313">
      <w:footerReference w:type="even" r:id="rId20"/>
      <w:footerReference w:type="default" r:id="rId21"/>
      <w:pgSz w:w="11906" w:h="16838"/>
      <w:pgMar w:top="1701" w:right="1304" w:bottom="1134" w:left="1304" w:header="454" w:footer="51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133D1F" w14:textId="77777777" w:rsidR="00B65C83" w:rsidRDefault="00B65C83">
      <w:r>
        <w:separator/>
      </w:r>
    </w:p>
  </w:endnote>
  <w:endnote w:type="continuationSeparator" w:id="0">
    <w:p w14:paraId="0AB3F93A" w14:textId="77777777" w:rsidR="00B65C83" w:rsidRDefault="00B65C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Lucida Grande">
    <w:charset w:val="00"/>
    <w:family w:val="auto"/>
    <w:pitch w:val="variable"/>
    <w:sig w:usb0="E1000AEF"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NeueLTStd-Lt">
    <w:altName w:val="Arial"/>
    <w:panose1 w:val="00000000000000000000"/>
    <w:charset w:val="4D"/>
    <w:family w:val="auto"/>
    <w:notTrueType/>
    <w:pitch w:val="default"/>
    <w:sig w:usb0="00000003" w:usb1="00000000" w:usb2="00000000" w:usb3="00000000" w:csb0="00000001" w:csb1="00000000"/>
  </w:font>
  <w:font w:name="DaxOT-Regular">
    <w:altName w:val="Calibri"/>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18E084" w14:textId="16F94306" w:rsidR="00B65C83" w:rsidRDefault="00B65C83" w:rsidP="00913A29">
    <w:pPr>
      <w:pStyle w:val="DHHSfooter"/>
    </w:pPr>
    <w:r>
      <w:t xml:space="preserve">Page </w:t>
    </w:r>
    <w:r w:rsidRPr="00913A29">
      <w:fldChar w:fldCharType="begin"/>
    </w:r>
    <w:r w:rsidRPr="00913A29">
      <w:instrText xml:space="preserve"> PAGE   \* MERGEFORMAT </w:instrText>
    </w:r>
    <w:r w:rsidRPr="00913A29">
      <w:fldChar w:fldCharType="separate"/>
    </w:r>
    <w:r>
      <w:t>8</w:t>
    </w:r>
    <w:r w:rsidRPr="00913A29">
      <w:rPr>
        <w:noProof/>
      </w:rPr>
      <w:fldChar w:fldCharType="end"/>
    </w:r>
    <w:r>
      <w:rPr>
        <w:noProof/>
      </w:rPr>
      <w:ptab w:relativeTo="margin" w:alignment="right" w:leader="none"/>
    </w:r>
    <w:r w:rsidRPr="00913A29">
      <w:t>Anti-libidinal medication use in people with intellectual disability who sexually offend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B4B5D2" w14:textId="45BE13B2" w:rsidR="00B65C83" w:rsidRDefault="00B65C83" w:rsidP="00913A29">
    <w:pPr>
      <w:pStyle w:val="DHHSfooter"/>
    </w:pPr>
    <w:r w:rsidRPr="00913A29">
      <w:t>Anti-libidinal medication use in people with intellectual disability who sexually offend</w:t>
    </w:r>
    <w:r>
      <w:ptab w:relativeTo="margin" w:alignment="right" w:leader="none"/>
    </w:r>
    <w:r>
      <w:t xml:space="preserve">Page </w:t>
    </w:r>
    <w:r w:rsidRPr="00913A29">
      <w:fldChar w:fldCharType="begin"/>
    </w:r>
    <w:r w:rsidRPr="00913A29">
      <w:instrText xml:space="preserve"> PAGE   \* MERGEFORMAT </w:instrText>
    </w:r>
    <w:r w:rsidRPr="00913A29">
      <w:fldChar w:fldCharType="separate"/>
    </w:r>
    <w:r w:rsidRPr="00913A29">
      <w:rPr>
        <w:noProof/>
      </w:rPr>
      <w:t>1</w:t>
    </w:r>
    <w:r w:rsidRPr="00913A29">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31E77A" w14:textId="77777777" w:rsidR="00B65C83" w:rsidRDefault="00B65C83">
      <w:r>
        <w:separator/>
      </w:r>
    </w:p>
  </w:footnote>
  <w:footnote w:type="continuationSeparator" w:id="0">
    <w:p w14:paraId="07B8F0B2" w14:textId="77777777" w:rsidR="00B65C83" w:rsidRDefault="00B65C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AD2E30"/>
    <w:multiLevelType w:val="multilevel"/>
    <w:tmpl w:val="4A1477D0"/>
    <w:styleLink w:val="ZZNumbersloweralpha"/>
    <w:lvl w:ilvl="0">
      <w:start w:val="1"/>
      <w:numFmt w:val="lowerLetter"/>
      <w:pStyle w:val="DHHSnumberloweralpha"/>
      <w:lvlText w:val="(%1)"/>
      <w:lvlJc w:val="left"/>
      <w:pPr>
        <w:tabs>
          <w:tab w:val="num" w:pos="397"/>
        </w:tabs>
        <w:ind w:left="397" w:hanging="397"/>
      </w:pPr>
      <w:rPr>
        <w:rFonts w:hint="default"/>
      </w:rPr>
    </w:lvl>
    <w:lvl w:ilvl="1">
      <w:start w:val="1"/>
      <w:numFmt w:val="lowerLetter"/>
      <w:pStyle w:val="DHHS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19F21E86"/>
    <w:multiLevelType w:val="multilevel"/>
    <w:tmpl w:val="4DAAF9DC"/>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 w15:restartNumberingAfterBreak="0">
    <w:nsid w:val="2B7D0561"/>
    <w:multiLevelType w:val="multilevel"/>
    <w:tmpl w:val="4DAAF9DC"/>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3" w15:restartNumberingAfterBreak="0">
    <w:nsid w:val="37B96CDA"/>
    <w:multiLevelType w:val="multilevel"/>
    <w:tmpl w:val="ACFE2276"/>
    <w:lvl w:ilvl="0">
      <w:start w:val="1"/>
      <w:numFmt w:val="decimal"/>
      <w:pStyle w:val="DHHSnumberdigit"/>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4" w15:restartNumberingAfterBreak="0">
    <w:nsid w:val="3E6C68D4"/>
    <w:multiLevelType w:val="multilevel"/>
    <w:tmpl w:val="1376D9DC"/>
    <w:styleLink w:val="ZZNumbersdigit"/>
    <w:lvl w:ilvl="0">
      <w:start w:val="1"/>
      <w:numFmt w:val="decimal"/>
      <w:lvlText w:val="%1."/>
      <w:lvlJc w:val="left"/>
      <w:pPr>
        <w:tabs>
          <w:tab w:val="num" w:pos="397"/>
        </w:tabs>
        <w:ind w:left="397" w:hanging="397"/>
      </w:pPr>
      <w:rPr>
        <w:rFonts w:hint="default"/>
      </w:rPr>
    </w:lvl>
    <w:lvl w:ilvl="1">
      <w:start w:val="1"/>
      <w:numFmt w:val="decimal"/>
      <w:pStyle w:val="DHHSnumberdigitindent"/>
      <w:lvlText w:val="%2."/>
      <w:lvlJc w:val="left"/>
      <w:pPr>
        <w:tabs>
          <w:tab w:val="num" w:pos="794"/>
        </w:tabs>
        <w:ind w:left="794" w:hanging="397"/>
      </w:pPr>
      <w:rPr>
        <w:rFonts w:hint="default"/>
      </w:rPr>
    </w:lvl>
    <w:lvl w:ilvl="2">
      <w:start w:val="1"/>
      <w:numFmt w:val="bullet"/>
      <w:lvlRestart w:val="0"/>
      <w:pStyle w:val="DHHSbulletafternumbers1"/>
      <w:lvlText w:val="•"/>
      <w:lvlJc w:val="left"/>
      <w:pPr>
        <w:ind w:left="794" w:hanging="397"/>
      </w:pPr>
      <w:rPr>
        <w:rFonts w:ascii="Calibri" w:hAnsi="Calibri" w:hint="default"/>
        <w:color w:val="auto"/>
      </w:rPr>
    </w:lvl>
    <w:lvl w:ilvl="3">
      <w:start w:val="1"/>
      <w:numFmt w:val="bullet"/>
      <w:lvlRestart w:val="0"/>
      <w:pStyle w:val="DHHS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5" w15:restartNumberingAfterBreak="0">
    <w:nsid w:val="3EC54A41"/>
    <w:multiLevelType w:val="multilevel"/>
    <w:tmpl w:val="46940C74"/>
    <w:styleLink w:val="ZZNumberslowerroman"/>
    <w:lvl w:ilvl="0">
      <w:start w:val="1"/>
      <w:numFmt w:val="lowerRoman"/>
      <w:pStyle w:val="DHHSnumberlowerroman"/>
      <w:lvlText w:val="(%1)"/>
      <w:lvlJc w:val="left"/>
      <w:pPr>
        <w:tabs>
          <w:tab w:val="num" w:pos="397"/>
        </w:tabs>
        <w:ind w:left="397" w:hanging="397"/>
      </w:pPr>
      <w:rPr>
        <w:rFonts w:hint="default"/>
      </w:rPr>
    </w:lvl>
    <w:lvl w:ilvl="1">
      <w:start w:val="1"/>
      <w:numFmt w:val="lowerRoman"/>
      <w:pStyle w:val="DHHS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6" w15:restartNumberingAfterBreak="0">
    <w:nsid w:val="541611C2"/>
    <w:multiLevelType w:val="multilevel"/>
    <w:tmpl w:val="96B4DF56"/>
    <w:styleLink w:val="ZZTablebullets"/>
    <w:lvl w:ilvl="0">
      <w:start w:val="1"/>
      <w:numFmt w:val="bullet"/>
      <w:pStyle w:val="DHHStablebullet1"/>
      <w:lvlText w:val="•"/>
      <w:lvlJc w:val="left"/>
      <w:pPr>
        <w:ind w:left="227" w:hanging="227"/>
      </w:pPr>
      <w:rPr>
        <w:rFonts w:ascii="Calibri" w:hAnsi="Calibri" w:hint="default"/>
      </w:rPr>
    </w:lvl>
    <w:lvl w:ilvl="1">
      <w:start w:val="1"/>
      <w:numFmt w:val="bullet"/>
      <w:lvlRestart w:val="0"/>
      <w:pStyle w:val="DHHS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7" w15:restartNumberingAfterBreak="0">
    <w:nsid w:val="54BA1E5A"/>
    <w:multiLevelType w:val="multilevel"/>
    <w:tmpl w:val="F1AE3C58"/>
    <w:styleLink w:val="ZZBullets"/>
    <w:lvl w:ilvl="0">
      <w:start w:val="1"/>
      <w:numFmt w:val="bullet"/>
      <w:pStyle w:val="DHHSbullet1"/>
      <w:lvlText w:val="•"/>
      <w:lvlJc w:val="left"/>
      <w:pPr>
        <w:ind w:left="284" w:hanging="284"/>
      </w:pPr>
      <w:rPr>
        <w:rFonts w:ascii="Calibri" w:hAnsi="Calibri" w:hint="default"/>
      </w:rPr>
    </w:lvl>
    <w:lvl w:ilvl="1">
      <w:start w:val="1"/>
      <w:numFmt w:val="bullet"/>
      <w:lvlRestart w:val="0"/>
      <w:pStyle w:val="DHHS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8" w15:restartNumberingAfterBreak="0">
    <w:nsid w:val="6309259F"/>
    <w:multiLevelType w:val="multilevel"/>
    <w:tmpl w:val="866C5A8E"/>
    <w:styleLink w:val="ZZQuotebullets"/>
    <w:lvl w:ilvl="0">
      <w:start w:val="1"/>
      <w:numFmt w:val="bullet"/>
      <w:pStyle w:val="DHHSquotebullet1"/>
      <w:lvlText w:val="•"/>
      <w:lvlJc w:val="left"/>
      <w:pPr>
        <w:ind w:left="680" w:hanging="283"/>
      </w:pPr>
      <w:rPr>
        <w:rFonts w:ascii="Calibri" w:hAnsi="Calibri" w:hint="default"/>
        <w:color w:val="auto"/>
      </w:rPr>
    </w:lvl>
    <w:lvl w:ilvl="1">
      <w:start w:val="1"/>
      <w:numFmt w:val="bullet"/>
      <w:lvlRestart w:val="0"/>
      <w:pStyle w:val="DHHS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9" w15:restartNumberingAfterBreak="0">
    <w:nsid w:val="7A3D3AFC"/>
    <w:multiLevelType w:val="hybridMultilevel"/>
    <w:tmpl w:val="7F740EE6"/>
    <w:lvl w:ilvl="0" w:tplc="4B300028">
      <w:start w:val="1"/>
      <w:numFmt w:val="bullet"/>
      <w:lvlText w:val="•"/>
      <w:lvlJc w:val="left"/>
      <w:pPr>
        <w:ind w:left="284" w:hanging="284"/>
      </w:pPr>
      <w:rPr>
        <w:rFonts w:ascii="Times New Roman" w:hAnsi="Times New Roman" w:hint="default"/>
        <w:b w:val="0"/>
        <w:i w:val="0"/>
        <w:color w:val="auto"/>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7"/>
  </w:num>
  <w:num w:numId="17">
    <w:abstractNumId w:val="4"/>
  </w:num>
  <w:num w:numId="18">
    <w:abstractNumId w:val="4"/>
  </w:num>
  <w:num w:numId="19">
    <w:abstractNumId w:val="3"/>
  </w:num>
  <w:num w:numId="20">
    <w:abstractNumId w:val="0"/>
  </w:num>
  <w:num w:numId="21">
    <w:abstractNumId w:val="4"/>
  </w:num>
  <w:num w:numId="22">
    <w:abstractNumId w:val="0"/>
  </w:num>
  <w:num w:numId="23">
    <w:abstractNumId w:val="5"/>
  </w:num>
  <w:num w:numId="24">
    <w:abstractNumId w:val="5"/>
  </w:num>
  <w:num w:numId="25">
    <w:abstractNumId w:val="8"/>
  </w:num>
  <w:num w:numId="26">
    <w:abstractNumId w:val="8"/>
  </w:num>
  <w:num w:numId="27">
    <w:abstractNumId w:val="6"/>
  </w:num>
  <w:num w:numId="28">
    <w:abstractNumId w:val="6"/>
  </w:num>
  <w:num w:numId="29">
    <w:abstractNumId w:val="7"/>
  </w:num>
  <w:num w:numId="30">
    <w:abstractNumId w:val="4"/>
  </w:num>
  <w:num w:numId="31">
    <w:abstractNumId w:val="0"/>
  </w:num>
  <w:num w:numId="32">
    <w:abstractNumId w:val="8"/>
  </w:num>
  <w:num w:numId="33">
    <w:abstractNumId w:val="5"/>
  </w:num>
  <w:num w:numId="34">
    <w:abstractNumId w:val="6"/>
  </w:num>
  <w:num w:numId="3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evenAndOddHeaders/>
  <w:drawingGridHorizontalSpacing w:val="181"/>
  <w:drawingGridVerticalSpacing w:val="181"/>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B4B"/>
    <w:rsid w:val="00002990"/>
    <w:rsid w:val="000048AC"/>
    <w:rsid w:val="00006D2F"/>
    <w:rsid w:val="00014FC4"/>
    <w:rsid w:val="00020AAB"/>
    <w:rsid w:val="000223A4"/>
    <w:rsid w:val="00022E60"/>
    <w:rsid w:val="00026C19"/>
    <w:rsid w:val="00031263"/>
    <w:rsid w:val="000429EE"/>
    <w:rsid w:val="0005587D"/>
    <w:rsid w:val="00060E93"/>
    <w:rsid w:val="00064936"/>
    <w:rsid w:val="00070699"/>
    <w:rsid w:val="000734F8"/>
    <w:rsid w:val="000736B8"/>
    <w:rsid w:val="000817CB"/>
    <w:rsid w:val="000873EF"/>
    <w:rsid w:val="00092256"/>
    <w:rsid w:val="000A1282"/>
    <w:rsid w:val="000A1344"/>
    <w:rsid w:val="000A6614"/>
    <w:rsid w:val="000A663E"/>
    <w:rsid w:val="000B301B"/>
    <w:rsid w:val="000B3792"/>
    <w:rsid w:val="000B48BF"/>
    <w:rsid w:val="000C6242"/>
    <w:rsid w:val="000C68DB"/>
    <w:rsid w:val="000D2C32"/>
    <w:rsid w:val="000E6F72"/>
    <w:rsid w:val="000F0478"/>
    <w:rsid w:val="000F0A50"/>
    <w:rsid w:val="00103D5E"/>
    <w:rsid w:val="00104EA7"/>
    <w:rsid w:val="00105FAD"/>
    <w:rsid w:val="0011155B"/>
    <w:rsid w:val="00111A6A"/>
    <w:rsid w:val="00121BF1"/>
    <w:rsid w:val="0012541C"/>
    <w:rsid w:val="00127A8B"/>
    <w:rsid w:val="00134BE5"/>
    <w:rsid w:val="00137C54"/>
    <w:rsid w:val="001412D1"/>
    <w:rsid w:val="001423E3"/>
    <w:rsid w:val="001475EA"/>
    <w:rsid w:val="001504F5"/>
    <w:rsid w:val="001517BD"/>
    <w:rsid w:val="00160CF1"/>
    <w:rsid w:val="0016163D"/>
    <w:rsid w:val="0017248D"/>
    <w:rsid w:val="001734AB"/>
    <w:rsid w:val="00173626"/>
    <w:rsid w:val="0017614A"/>
    <w:rsid w:val="0018177B"/>
    <w:rsid w:val="001817CD"/>
    <w:rsid w:val="0018235E"/>
    <w:rsid w:val="001834B7"/>
    <w:rsid w:val="0018768C"/>
    <w:rsid w:val="00192BA0"/>
    <w:rsid w:val="00197303"/>
    <w:rsid w:val="001A17EA"/>
    <w:rsid w:val="001A1D17"/>
    <w:rsid w:val="001A1F90"/>
    <w:rsid w:val="001A22AA"/>
    <w:rsid w:val="001A7A18"/>
    <w:rsid w:val="001B1565"/>
    <w:rsid w:val="001B166D"/>
    <w:rsid w:val="001B28B5"/>
    <w:rsid w:val="001B2975"/>
    <w:rsid w:val="001B30BE"/>
    <w:rsid w:val="001B372E"/>
    <w:rsid w:val="001C08A9"/>
    <w:rsid w:val="001C10C1"/>
    <w:rsid w:val="001C121A"/>
    <w:rsid w:val="001C122D"/>
    <w:rsid w:val="001D2A82"/>
    <w:rsid w:val="001D569B"/>
    <w:rsid w:val="001E0EA3"/>
    <w:rsid w:val="001E3F3D"/>
    <w:rsid w:val="001E4995"/>
    <w:rsid w:val="001E7A42"/>
    <w:rsid w:val="001F09DC"/>
    <w:rsid w:val="001F18FC"/>
    <w:rsid w:val="001F43E6"/>
    <w:rsid w:val="00213772"/>
    <w:rsid w:val="00215D68"/>
    <w:rsid w:val="00220749"/>
    <w:rsid w:val="0022422C"/>
    <w:rsid w:val="0022724E"/>
    <w:rsid w:val="00230666"/>
    <w:rsid w:val="00231153"/>
    <w:rsid w:val="0023252E"/>
    <w:rsid w:val="00232F0F"/>
    <w:rsid w:val="00241C31"/>
    <w:rsid w:val="00251346"/>
    <w:rsid w:val="00256E7C"/>
    <w:rsid w:val="002679D5"/>
    <w:rsid w:val="002714FD"/>
    <w:rsid w:val="00275F94"/>
    <w:rsid w:val="00277D12"/>
    <w:rsid w:val="002805F0"/>
    <w:rsid w:val="00281B9C"/>
    <w:rsid w:val="00283E42"/>
    <w:rsid w:val="00284C9B"/>
    <w:rsid w:val="002A141B"/>
    <w:rsid w:val="002A26B6"/>
    <w:rsid w:val="002A6A4E"/>
    <w:rsid w:val="002B53B9"/>
    <w:rsid w:val="002B5A85"/>
    <w:rsid w:val="002B63A7"/>
    <w:rsid w:val="002C5543"/>
    <w:rsid w:val="002D0F7F"/>
    <w:rsid w:val="002E0198"/>
    <w:rsid w:val="002E1D7C"/>
    <w:rsid w:val="002F0E5E"/>
    <w:rsid w:val="002F449B"/>
    <w:rsid w:val="002F4D86"/>
    <w:rsid w:val="002F5D69"/>
    <w:rsid w:val="002F7C77"/>
    <w:rsid w:val="00300CB3"/>
    <w:rsid w:val="00301CA9"/>
    <w:rsid w:val="0030394B"/>
    <w:rsid w:val="003072C6"/>
    <w:rsid w:val="00310D8E"/>
    <w:rsid w:val="003113F9"/>
    <w:rsid w:val="00315678"/>
    <w:rsid w:val="00315BBD"/>
    <w:rsid w:val="0031753A"/>
    <w:rsid w:val="00320293"/>
    <w:rsid w:val="00320B21"/>
    <w:rsid w:val="00322CC2"/>
    <w:rsid w:val="003271DC"/>
    <w:rsid w:val="00332FA0"/>
    <w:rsid w:val="00334B54"/>
    <w:rsid w:val="00336F79"/>
    <w:rsid w:val="0033739E"/>
    <w:rsid w:val="00343733"/>
    <w:rsid w:val="00355886"/>
    <w:rsid w:val="00356814"/>
    <w:rsid w:val="00370496"/>
    <w:rsid w:val="003741AD"/>
    <w:rsid w:val="0038019F"/>
    <w:rsid w:val="00382071"/>
    <w:rsid w:val="00383793"/>
    <w:rsid w:val="003847E1"/>
    <w:rsid w:val="003A2F25"/>
    <w:rsid w:val="003A6965"/>
    <w:rsid w:val="003B2807"/>
    <w:rsid w:val="003C1A21"/>
    <w:rsid w:val="003C5CB4"/>
    <w:rsid w:val="003C68F2"/>
    <w:rsid w:val="003D58B8"/>
    <w:rsid w:val="003D5CFB"/>
    <w:rsid w:val="003E2636"/>
    <w:rsid w:val="003E2E12"/>
    <w:rsid w:val="003F39CE"/>
    <w:rsid w:val="003F5143"/>
    <w:rsid w:val="00401108"/>
    <w:rsid w:val="00402927"/>
    <w:rsid w:val="00407993"/>
    <w:rsid w:val="00410AFD"/>
    <w:rsid w:val="00411833"/>
    <w:rsid w:val="00412F64"/>
    <w:rsid w:val="00417BEB"/>
    <w:rsid w:val="00417CC6"/>
    <w:rsid w:val="004324FF"/>
    <w:rsid w:val="00432A55"/>
    <w:rsid w:val="004372B7"/>
    <w:rsid w:val="0044260A"/>
    <w:rsid w:val="00444D82"/>
    <w:rsid w:val="004564C6"/>
    <w:rsid w:val="00460F0F"/>
    <w:rsid w:val="004610CC"/>
    <w:rsid w:val="00461D3E"/>
    <w:rsid w:val="00465464"/>
    <w:rsid w:val="00465E87"/>
    <w:rsid w:val="0047786A"/>
    <w:rsid w:val="00477A65"/>
    <w:rsid w:val="00482DB3"/>
    <w:rsid w:val="004946F1"/>
    <w:rsid w:val="004A0236"/>
    <w:rsid w:val="004A369A"/>
    <w:rsid w:val="004A3B3E"/>
    <w:rsid w:val="004B4157"/>
    <w:rsid w:val="004B64C3"/>
    <w:rsid w:val="004B7B00"/>
    <w:rsid w:val="004C5777"/>
    <w:rsid w:val="004D0173"/>
    <w:rsid w:val="004D1056"/>
    <w:rsid w:val="004D2B7B"/>
    <w:rsid w:val="004D3577"/>
    <w:rsid w:val="004E1EDE"/>
    <w:rsid w:val="004E21E2"/>
    <w:rsid w:val="004E293F"/>
    <w:rsid w:val="004E380D"/>
    <w:rsid w:val="004E7673"/>
    <w:rsid w:val="004E7922"/>
    <w:rsid w:val="004F0DFC"/>
    <w:rsid w:val="004F3441"/>
    <w:rsid w:val="004F41B2"/>
    <w:rsid w:val="004F4AFC"/>
    <w:rsid w:val="004F52A5"/>
    <w:rsid w:val="004F7626"/>
    <w:rsid w:val="00500C8C"/>
    <w:rsid w:val="00501375"/>
    <w:rsid w:val="00501D3B"/>
    <w:rsid w:val="005022C9"/>
    <w:rsid w:val="00502B8F"/>
    <w:rsid w:val="0050779D"/>
    <w:rsid w:val="00513824"/>
    <w:rsid w:val="005139EA"/>
    <w:rsid w:val="00520BBB"/>
    <w:rsid w:val="00524310"/>
    <w:rsid w:val="00525456"/>
    <w:rsid w:val="005266B8"/>
    <w:rsid w:val="00530452"/>
    <w:rsid w:val="00532236"/>
    <w:rsid w:val="005338EA"/>
    <w:rsid w:val="00541DFE"/>
    <w:rsid w:val="00543E6C"/>
    <w:rsid w:val="00544184"/>
    <w:rsid w:val="00551789"/>
    <w:rsid w:val="00551874"/>
    <w:rsid w:val="00553F68"/>
    <w:rsid w:val="005552FD"/>
    <w:rsid w:val="005600E5"/>
    <w:rsid w:val="00564E8F"/>
    <w:rsid w:val="005728A4"/>
    <w:rsid w:val="005763FC"/>
    <w:rsid w:val="00576EB4"/>
    <w:rsid w:val="00577B30"/>
    <w:rsid w:val="00582768"/>
    <w:rsid w:val="00583461"/>
    <w:rsid w:val="005856A4"/>
    <w:rsid w:val="00590730"/>
    <w:rsid w:val="00593846"/>
    <w:rsid w:val="00594350"/>
    <w:rsid w:val="005A3051"/>
    <w:rsid w:val="005A53FE"/>
    <w:rsid w:val="005B7D22"/>
    <w:rsid w:val="005C029E"/>
    <w:rsid w:val="005E085D"/>
    <w:rsid w:val="005E3FA7"/>
    <w:rsid w:val="005E7963"/>
    <w:rsid w:val="005F218C"/>
    <w:rsid w:val="005F4523"/>
    <w:rsid w:val="00601D4D"/>
    <w:rsid w:val="006021B4"/>
    <w:rsid w:val="006034A2"/>
    <w:rsid w:val="00605B5B"/>
    <w:rsid w:val="006062D8"/>
    <w:rsid w:val="00606827"/>
    <w:rsid w:val="00606C23"/>
    <w:rsid w:val="00620262"/>
    <w:rsid w:val="00621B4C"/>
    <w:rsid w:val="00627C52"/>
    <w:rsid w:val="00630937"/>
    <w:rsid w:val="0063249C"/>
    <w:rsid w:val="00653B84"/>
    <w:rsid w:val="00653E0D"/>
    <w:rsid w:val="006554F9"/>
    <w:rsid w:val="006865C8"/>
    <w:rsid w:val="00686B48"/>
    <w:rsid w:val="00687038"/>
    <w:rsid w:val="0068714E"/>
    <w:rsid w:val="006872F5"/>
    <w:rsid w:val="006929F7"/>
    <w:rsid w:val="0069374A"/>
    <w:rsid w:val="00694AB8"/>
    <w:rsid w:val="00695EF7"/>
    <w:rsid w:val="0069699D"/>
    <w:rsid w:val="006B2C51"/>
    <w:rsid w:val="006B6361"/>
    <w:rsid w:val="006D24CE"/>
    <w:rsid w:val="006D360C"/>
    <w:rsid w:val="006D5548"/>
    <w:rsid w:val="006D585C"/>
    <w:rsid w:val="006D5AC9"/>
    <w:rsid w:val="006D66ED"/>
    <w:rsid w:val="006E786B"/>
    <w:rsid w:val="006F3E0E"/>
    <w:rsid w:val="007002B1"/>
    <w:rsid w:val="00704EB7"/>
    <w:rsid w:val="00705742"/>
    <w:rsid w:val="007104FE"/>
    <w:rsid w:val="00710B72"/>
    <w:rsid w:val="00711B0C"/>
    <w:rsid w:val="007121A2"/>
    <w:rsid w:val="007133A6"/>
    <w:rsid w:val="00713981"/>
    <w:rsid w:val="007176D6"/>
    <w:rsid w:val="00727D54"/>
    <w:rsid w:val="00731EF2"/>
    <w:rsid w:val="007344C5"/>
    <w:rsid w:val="00734959"/>
    <w:rsid w:val="00734C98"/>
    <w:rsid w:val="00735137"/>
    <w:rsid w:val="0073520D"/>
    <w:rsid w:val="00774E0D"/>
    <w:rsid w:val="00780226"/>
    <w:rsid w:val="00781AB4"/>
    <w:rsid w:val="007923B7"/>
    <w:rsid w:val="00792616"/>
    <w:rsid w:val="007926BB"/>
    <w:rsid w:val="0079344C"/>
    <w:rsid w:val="007968AE"/>
    <w:rsid w:val="007A0283"/>
    <w:rsid w:val="007A665D"/>
    <w:rsid w:val="007B5E4A"/>
    <w:rsid w:val="007C02C7"/>
    <w:rsid w:val="007C21EE"/>
    <w:rsid w:val="007D3A2E"/>
    <w:rsid w:val="007D6652"/>
    <w:rsid w:val="007E343D"/>
    <w:rsid w:val="007F4383"/>
    <w:rsid w:val="007F5858"/>
    <w:rsid w:val="007F6862"/>
    <w:rsid w:val="00801601"/>
    <w:rsid w:val="0080169A"/>
    <w:rsid w:val="008036A7"/>
    <w:rsid w:val="00810991"/>
    <w:rsid w:val="00814A9B"/>
    <w:rsid w:val="00814F66"/>
    <w:rsid w:val="00817C9E"/>
    <w:rsid w:val="008205AF"/>
    <w:rsid w:val="008225E5"/>
    <w:rsid w:val="00831053"/>
    <w:rsid w:val="008314D2"/>
    <w:rsid w:val="0083254D"/>
    <w:rsid w:val="00836249"/>
    <w:rsid w:val="00836F00"/>
    <w:rsid w:val="00846192"/>
    <w:rsid w:val="00850806"/>
    <w:rsid w:val="00856A1B"/>
    <w:rsid w:val="008621C3"/>
    <w:rsid w:val="00865486"/>
    <w:rsid w:val="008669BE"/>
    <w:rsid w:val="008711C3"/>
    <w:rsid w:val="00876275"/>
    <w:rsid w:val="00882B99"/>
    <w:rsid w:val="00886121"/>
    <w:rsid w:val="008A295B"/>
    <w:rsid w:val="008A5001"/>
    <w:rsid w:val="008A5B97"/>
    <w:rsid w:val="008A6604"/>
    <w:rsid w:val="008A78A4"/>
    <w:rsid w:val="008B1C73"/>
    <w:rsid w:val="008B5482"/>
    <w:rsid w:val="008B7A09"/>
    <w:rsid w:val="008C006C"/>
    <w:rsid w:val="008C11F4"/>
    <w:rsid w:val="008C2BEC"/>
    <w:rsid w:val="008C6523"/>
    <w:rsid w:val="008C6D0E"/>
    <w:rsid w:val="008D09D2"/>
    <w:rsid w:val="008D39C5"/>
    <w:rsid w:val="008E1D89"/>
    <w:rsid w:val="008E3E3E"/>
    <w:rsid w:val="008F5F87"/>
    <w:rsid w:val="008F6E1A"/>
    <w:rsid w:val="00900A34"/>
    <w:rsid w:val="00906132"/>
    <w:rsid w:val="009068EB"/>
    <w:rsid w:val="00907073"/>
    <w:rsid w:val="00913A29"/>
    <w:rsid w:val="009208F5"/>
    <w:rsid w:val="00927D51"/>
    <w:rsid w:val="00932272"/>
    <w:rsid w:val="00932862"/>
    <w:rsid w:val="00935D60"/>
    <w:rsid w:val="009447BB"/>
    <w:rsid w:val="00944C48"/>
    <w:rsid w:val="00946335"/>
    <w:rsid w:val="009513C4"/>
    <w:rsid w:val="00955E55"/>
    <w:rsid w:val="00962200"/>
    <w:rsid w:val="00966F54"/>
    <w:rsid w:val="00975E61"/>
    <w:rsid w:val="00976E31"/>
    <w:rsid w:val="00977C63"/>
    <w:rsid w:val="00980087"/>
    <w:rsid w:val="00980C0B"/>
    <w:rsid w:val="00981881"/>
    <w:rsid w:val="0098524F"/>
    <w:rsid w:val="00987ABE"/>
    <w:rsid w:val="009906C7"/>
    <w:rsid w:val="009963CD"/>
    <w:rsid w:val="009B0E14"/>
    <w:rsid w:val="009B266D"/>
    <w:rsid w:val="009B5CBF"/>
    <w:rsid w:val="009C184A"/>
    <w:rsid w:val="009C2CA5"/>
    <w:rsid w:val="009C44F3"/>
    <w:rsid w:val="009C5020"/>
    <w:rsid w:val="009D3E45"/>
    <w:rsid w:val="009D4AA8"/>
    <w:rsid w:val="009E4235"/>
    <w:rsid w:val="009F351F"/>
    <w:rsid w:val="009F3F89"/>
    <w:rsid w:val="009F480E"/>
    <w:rsid w:val="00A022A2"/>
    <w:rsid w:val="00A02D15"/>
    <w:rsid w:val="00A035C6"/>
    <w:rsid w:val="00A11403"/>
    <w:rsid w:val="00A26B0D"/>
    <w:rsid w:val="00A339DD"/>
    <w:rsid w:val="00A3735A"/>
    <w:rsid w:val="00A42F1B"/>
    <w:rsid w:val="00A44EBE"/>
    <w:rsid w:val="00A546BC"/>
    <w:rsid w:val="00A55989"/>
    <w:rsid w:val="00A5694A"/>
    <w:rsid w:val="00A63DA4"/>
    <w:rsid w:val="00A716BC"/>
    <w:rsid w:val="00A73A66"/>
    <w:rsid w:val="00A758E4"/>
    <w:rsid w:val="00A75CD5"/>
    <w:rsid w:val="00A763D5"/>
    <w:rsid w:val="00A83DF3"/>
    <w:rsid w:val="00A85915"/>
    <w:rsid w:val="00A86270"/>
    <w:rsid w:val="00A952AB"/>
    <w:rsid w:val="00A9783D"/>
    <w:rsid w:val="00A978D3"/>
    <w:rsid w:val="00AA45E6"/>
    <w:rsid w:val="00AA5A37"/>
    <w:rsid w:val="00AB489C"/>
    <w:rsid w:val="00AB50C1"/>
    <w:rsid w:val="00AB6936"/>
    <w:rsid w:val="00AB7C2D"/>
    <w:rsid w:val="00AC0C3B"/>
    <w:rsid w:val="00AC2D63"/>
    <w:rsid w:val="00AD03D8"/>
    <w:rsid w:val="00AD0711"/>
    <w:rsid w:val="00AD704E"/>
    <w:rsid w:val="00AE02AA"/>
    <w:rsid w:val="00AE5FE0"/>
    <w:rsid w:val="00AE60B7"/>
    <w:rsid w:val="00AF2AB7"/>
    <w:rsid w:val="00AF2B1C"/>
    <w:rsid w:val="00AF4D3F"/>
    <w:rsid w:val="00B0300B"/>
    <w:rsid w:val="00B05457"/>
    <w:rsid w:val="00B057F5"/>
    <w:rsid w:val="00B10644"/>
    <w:rsid w:val="00B126CB"/>
    <w:rsid w:val="00B128A0"/>
    <w:rsid w:val="00B12E64"/>
    <w:rsid w:val="00B15447"/>
    <w:rsid w:val="00B20240"/>
    <w:rsid w:val="00B22AC9"/>
    <w:rsid w:val="00B23074"/>
    <w:rsid w:val="00B23281"/>
    <w:rsid w:val="00B27571"/>
    <w:rsid w:val="00B4164B"/>
    <w:rsid w:val="00B51084"/>
    <w:rsid w:val="00B51707"/>
    <w:rsid w:val="00B5409A"/>
    <w:rsid w:val="00B55574"/>
    <w:rsid w:val="00B6525D"/>
    <w:rsid w:val="00B65ABA"/>
    <w:rsid w:val="00B65C83"/>
    <w:rsid w:val="00B67097"/>
    <w:rsid w:val="00B6790F"/>
    <w:rsid w:val="00B71B3B"/>
    <w:rsid w:val="00B73F4D"/>
    <w:rsid w:val="00B800ED"/>
    <w:rsid w:val="00B84E8C"/>
    <w:rsid w:val="00B853DB"/>
    <w:rsid w:val="00B87022"/>
    <w:rsid w:val="00B87D61"/>
    <w:rsid w:val="00B93948"/>
    <w:rsid w:val="00BA327A"/>
    <w:rsid w:val="00BA4BC7"/>
    <w:rsid w:val="00BA55B7"/>
    <w:rsid w:val="00BA5E47"/>
    <w:rsid w:val="00BA7D57"/>
    <w:rsid w:val="00BB156E"/>
    <w:rsid w:val="00BB3330"/>
    <w:rsid w:val="00BB47D7"/>
    <w:rsid w:val="00BB4A62"/>
    <w:rsid w:val="00BB7A44"/>
    <w:rsid w:val="00BC01C1"/>
    <w:rsid w:val="00BC45A1"/>
    <w:rsid w:val="00BC5A34"/>
    <w:rsid w:val="00BD17F5"/>
    <w:rsid w:val="00BD4AA6"/>
    <w:rsid w:val="00BD612C"/>
    <w:rsid w:val="00BD6E05"/>
    <w:rsid w:val="00BE54D0"/>
    <w:rsid w:val="00BF6B6C"/>
    <w:rsid w:val="00BF7251"/>
    <w:rsid w:val="00BF7F28"/>
    <w:rsid w:val="00C0084E"/>
    <w:rsid w:val="00C01909"/>
    <w:rsid w:val="00C05787"/>
    <w:rsid w:val="00C11871"/>
    <w:rsid w:val="00C13059"/>
    <w:rsid w:val="00C156D4"/>
    <w:rsid w:val="00C167A3"/>
    <w:rsid w:val="00C2181C"/>
    <w:rsid w:val="00C2657D"/>
    <w:rsid w:val="00C26A87"/>
    <w:rsid w:val="00C3409A"/>
    <w:rsid w:val="00C3745D"/>
    <w:rsid w:val="00C416E1"/>
    <w:rsid w:val="00C47BF8"/>
    <w:rsid w:val="00C51B1C"/>
    <w:rsid w:val="00C53DCE"/>
    <w:rsid w:val="00C655F2"/>
    <w:rsid w:val="00C65B4C"/>
    <w:rsid w:val="00C65B61"/>
    <w:rsid w:val="00C70E53"/>
    <w:rsid w:val="00C72979"/>
    <w:rsid w:val="00C81529"/>
    <w:rsid w:val="00C81BA6"/>
    <w:rsid w:val="00C8377C"/>
    <w:rsid w:val="00C84854"/>
    <w:rsid w:val="00C877CD"/>
    <w:rsid w:val="00C902E9"/>
    <w:rsid w:val="00C908B7"/>
    <w:rsid w:val="00C91D81"/>
    <w:rsid w:val="00C92A42"/>
    <w:rsid w:val="00CA18F2"/>
    <w:rsid w:val="00CA3986"/>
    <w:rsid w:val="00CA4871"/>
    <w:rsid w:val="00CA6722"/>
    <w:rsid w:val="00CA6D4E"/>
    <w:rsid w:val="00CA7B4B"/>
    <w:rsid w:val="00CB36A8"/>
    <w:rsid w:val="00CB48A3"/>
    <w:rsid w:val="00CB4FC7"/>
    <w:rsid w:val="00CC139A"/>
    <w:rsid w:val="00CC1E7A"/>
    <w:rsid w:val="00CC4F64"/>
    <w:rsid w:val="00CD0313"/>
    <w:rsid w:val="00CD058C"/>
    <w:rsid w:val="00CD3B98"/>
    <w:rsid w:val="00CD4216"/>
    <w:rsid w:val="00CD518C"/>
    <w:rsid w:val="00CD733F"/>
    <w:rsid w:val="00CD7C65"/>
    <w:rsid w:val="00CE0942"/>
    <w:rsid w:val="00CE7CA5"/>
    <w:rsid w:val="00CF1D81"/>
    <w:rsid w:val="00CF293A"/>
    <w:rsid w:val="00CF2DC9"/>
    <w:rsid w:val="00CF51E4"/>
    <w:rsid w:val="00CF7CB6"/>
    <w:rsid w:val="00D00609"/>
    <w:rsid w:val="00D311AB"/>
    <w:rsid w:val="00D32290"/>
    <w:rsid w:val="00D325A8"/>
    <w:rsid w:val="00D442AD"/>
    <w:rsid w:val="00D5618A"/>
    <w:rsid w:val="00D5784B"/>
    <w:rsid w:val="00D63EFB"/>
    <w:rsid w:val="00D658AF"/>
    <w:rsid w:val="00D70A79"/>
    <w:rsid w:val="00D83DE9"/>
    <w:rsid w:val="00D8450D"/>
    <w:rsid w:val="00D95AF9"/>
    <w:rsid w:val="00DA09C9"/>
    <w:rsid w:val="00DA1822"/>
    <w:rsid w:val="00DB5E1F"/>
    <w:rsid w:val="00DC19D8"/>
    <w:rsid w:val="00DC2613"/>
    <w:rsid w:val="00DC4512"/>
    <w:rsid w:val="00DD3691"/>
    <w:rsid w:val="00DD4B55"/>
    <w:rsid w:val="00DD6EA2"/>
    <w:rsid w:val="00DE1E90"/>
    <w:rsid w:val="00DE24E6"/>
    <w:rsid w:val="00DE5C8A"/>
    <w:rsid w:val="00DE7B07"/>
    <w:rsid w:val="00DF07AD"/>
    <w:rsid w:val="00DF2A58"/>
    <w:rsid w:val="00DF3364"/>
    <w:rsid w:val="00DF6FCA"/>
    <w:rsid w:val="00E055BB"/>
    <w:rsid w:val="00E07BA9"/>
    <w:rsid w:val="00E11988"/>
    <w:rsid w:val="00E15DA9"/>
    <w:rsid w:val="00E2095D"/>
    <w:rsid w:val="00E262E5"/>
    <w:rsid w:val="00E30414"/>
    <w:rsid w:val="00E30DAD"/>
    <w:rsid w:val="00E37DA7"/>
    <w:rsid w:val="00E40769"/>
    <w:rsid w:val="00E42507"/>
    <w:rsid w:val="00E42E8B"/>
    <w:rsid w:val="00E44C49"/>
    <w:rsid w:val="00E45BCF"/>
    <w:rsid w:val="00E4680F"/>
    <w:rsid w:val="00E60F12"/>
    <w:rsid w:val="00E645ED"/>
    <w:rsid w:val="00E652FB"/>
    <w:rsid w:val="00E66C20"/>
    <w:rsid w:val="00E71C46"/>
    <w:rsid w:val="00E731B7"/>
    <w:rsid w:val="00E75ED2"/>
    <w:rsid w:val="00E8280C"/>
    <w:rsid w:val="00E83E4C"/>
    <w:rsid w:val="00E841E5"/>
    <w:rsid w:val="00E91933"/>
    <w:rsid w:val="00E92A81"/>
    <w:rsid w:val="00E969B1"/>
    <w:rsid w:val="00E96F53"/>
    <w:rsid w:val="00EA44EB"/>
    <w:rsid w:val="00EA5728"/>
    <w:rsid w:val="00EB6552"/>
    <w:rsid w:val="00EC18E6"/>
    <w:rsid w:val="00EC1984"/>
    <w:rsid w:val="00EC234C"/>
    <w:rsid w:val="00ED3529"/>
    <w:rsid w:val="00ED4D17"/>
    <w:rsid w:val="00EE6CD3"/>
    <w:rsid w:val="00EF20D7"/>
    <w:rsid w:val="00EF3419"/>
    <w:rsid w:val="00F0119C"/>
    <w:rsid w:val="00F02BDB"/>
    <w:rsid w:val="00F0441B"/>
    <w:rsid w:val="00F0515C"/>
    <w:rsid w:val="00F07623"/>
    <w:rsid w:val="00F07D0B"/>
    <w:rsid w:val="00F107C2"/>
    <w:rsid w:val="00F2073E"/>
    <w:rsid w:val="00F3136B"/>
    <w:rsid w:val="00F314F1"/>
    <w:rsid w:val="00F327EA"/>
    <w:rsid w:val="00F33641"/>
    <w:rsid w:val="00F42842"/>
    <w:rsid w:val="00F43EE0"/>
    <w:rsid w:val="00F46E40"/>
    <w:rsid w:val="00F4760A"/>
    <w:rsid w:val="00F529FE"/>
    <w:rsid w:val="00F52B8E"/>
    <w:rsid w:val="00F53CFD"/>
    <w:rsid w:val="00F54AF5"/>
    <w:rsid w:val="00F550F1"/>
    <w:rsid w:val="00F557E3"/>
    <w:rsid w:val="00F61E78"/>
    <w:rsid w:val="00F635C5"/>
    <w:rsid w:val="00F736E3"/>
    <w:rsid w:val="00F767E8"/>
    <w:rsid w:val="00F84C1A"/>
    <w:rsid w:val="00F8664A"/>
    <w:rsid w:val="00F86A3F"/>
    <w:rsid w:val="00F91297"/>
    <w:rsid w:val="00F9133B"/>
    <w:rsid w:val="00F941E4"/>
    <w:rsid w:val="00F97730"/>
    <w:rsid w:val="00FB32A4"/>
    <w:rsid w:val="00FB594D"/>
    <w:rsid w:val="00FC49BB"/>
    <w:rsid w:val="00FD616B"/>
    <w:rsid w:val="00FE367F"/>
    <w:rsid w:val="00FF29DC"/>
    <w:rsid w:val="00FF401C"/>
  </w:rsids>
  <m:mathPr>
    <m:mathFont m:val="Cambria Math"/>
    <m:brkBin m:val="before"/>
    <m:brkBinSub m:val="--"/>
    <m:smallFrac m:val="0"/>
    <m:dispDef m:val="0"/>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14:docId w14:val="735A9F81"/>
  <w15:docId w15:val="{1A208732-3697-448D-A67F-B7809FF8D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5">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B126CB"/>
    <w:rPr>
      <w:rFonts w:ascii="Cambria" w:hAnsi="Cambria"/>
      <w:lang w:eastAsia="en-US"/>
    </w:rPr>
  </w:style>
  <w:style w:type="paragraph" w:styleId="Heading1">
    <w:name w:val="heading 1"/>
    <w:next w:val="DHHSbody"/>
    <w:link w:val="Heading1Char"/>
    <w:uiPriority w:val="1"/>
    <w:qFormat/>
    <w:rsid w:val="00CD0313"/>
    <w:pPr>
      <w:keepNext/>
      <w:keepLines/>
      <w:spacing w:before="520" w:after="440" w:line="440" w:lineRule="atLeast"/>
      <w:outlineLvl w:val="0"/>
    </w:pPr>
    <w:rPr>
      <w:rFonts w:ascii="Arial" w:hAnsi="Arial"/>
      <w:bCs/>
      <w:color w:val="201547"/>
      <w:sz w:val="44"/>
      <w:szCs w:val="44"/>
      <w:lang w:eastAsia="en-US"/>
    </w:rPr>
  </w:style>
  <w:style w:type="paragraph" w:styleId="Heading2">
    <w:name w:val="heading 2"/>
    <w:next w:val="DHHSbody"/>
    <w:link w:val="Heading2Char"/>
    <w:uiPriority w:val="1"/>
    <w:qFormat/>
    <w:rsid w:val="00CD0313"/>
    <w:pPr>
      <w:keepNext/>
      <w:keepLines/>
      <w:spacing w:before="240" w:after="90" w:line="320" w:lineRule="atLeast"/>
      <w:outlineLvl w:val="1"/>
    </w:pPr>
    <w:rPr>
      <w:rFonts w:ascii="Arial" w:hAnsi="Arial"/>
      <w:b/>
      <w:color w:val="201547"/>
      <w:sz w:val="28"/>
      <w:szCs w:val="28"/>
      <w:lang w:eastAsia="en-US"/>
    </w:rPr>
  </w:style>
  <w:style w:type="paragraph" w:styleId="Heading3">
    <w:name w:val="heading 3"/>
    <w:next w:val="DHHSbody"/>
    <w:link w:val="Heading3Char"/>
    <w:uiPriority w:val="1"/>
    <w:qFormat/>
    <w:rsid w:val="00FB594D"/>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DHHSbody"/>
    <w:link w:val="Heading4Char"/>
    <w:uiPriority w:val="1"/>
    <w:qFormat/>
    <w:rsid w:val="00EE6CD3"/>
    <w:pPr>
      <w:keepNext/>
      <w:keepLines/>
      <w:spacing w:before="240" w:after="120" w:line="240" w:lineRule="atLeast"/>
      <w:outlineLvl w:val="3"/>
    </w:pPr>
    <w:rPr>
      <w:rFonts w:ascii="Arial" w:eastAsia="MS Mincho" w:hAnsi="Arial"/>
      <w:b/>
      <w:bCs/>
      <w:lang w:eastAsia="en-US"/>
    </w:rPr>
  </w:style>
  <w:style w:type="paragraph" w:styleId="Heading5">
    <w:name w:val="heading 5"/>
    <w:next w:val="DHHSbody"/>
    <w:link w:val="Heading5Char"/>
    <w:uiPriority w:val="9"/>
    <w:qFormat/>
    <w:rsid w:val="005B7D22"/>
    <w:pPr>
      <w:keepNext/>
      <w:keepLines/>
      <w:suppressAutoHyphens/>
      <w:spacing w:before="240" w:after="120" w:line="240" w:lineRule="atLeast"/>
      <w:outlineLvl w:val="4"/>
    </w:pPr>
    <w:rPr>
      <w:rFonts w:ascii="Arial" w:eastAsia="MS Mincho" w:hAnsi="Arial"/>
      <w:b/>
      <w:bCs/>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CD0313"/>
    <w:rPr>
      <w:rFonts w:ascii="Arial" w:hAnsi="Arial"/>
      <w:bCs/>
      <w:color w:val="201547"/>
      <w:sz w:val="44"/>
      <w:szCs w:val="44"/>
      <w:lang w:eastAsia="en-US"/>
    </w:rPr>
  </w:style>
  <w:style w:type="character" w:customStyle="1" w:styleId="Heading2Char">
    <w:name w:val="Heading 2 Char"/>
    <w:link w:val="Heading2"/>
    <w:uiPriority w:val="1"/>
    <w:rsid w:val="00CD0313"/>
    <w:rPr>
      <w:rFonts w:ascii="Arial" w:hAnsi="Arial"/>
      <w:b/>
      <w:color w:val="201547"/>
      <w:sz w:val="28"/>
      <w:szCs w:val="28"/>
      <w:lang w:eastAsia="en-US"/>
    </w:rPr>
  </w:style>
  <w:style w:type="character" w:customStyle="1" w:styleId="Heading3Char">
    <w:name w:val="Heading 3 Char"/>
    <w:link w:val="Heading3"/>
    <w:uiPriority w:val="1"/>
    <w:rsid w:val="00FB594D"/>
    <w:rPr>
      <w:rFonts w:ascii="Arial" w:eastAsia="MS Gothic" w:hAnsi="Arial" w:cs="Times New Roman"/>
      <w:b/>
      <w:bCs/>
      <w:sz w:val="24"/>
      <w:szCs w:val="26"/>
    </w:rPr>
  </w:style>
  <w:style w:type="character" w:customStyle="1" w:styleId="Heading4Char">
    <w:name w:val="Heading 4 Char"/>
    <w:link w:val="Heading4"/>
    <w:uiPriority w:val="1"/>
    <w:rsid w:val="00EE6CD3"/>
    <w:rPr>
      <w:rFonts w:ascii="Arial" w:eastAsia="MS Mincho" w:hAnsi="Arial" w:cs="Times New Roman"/>
      <w:b/>
      <w:bCs/>
    </w:rPr>
  </w:style>
  <w:style w:type="paragraph" w:styleId="Header">
    <w:name w:val="header"/>
    <w:basedOn w:val="DHHSheader"/>
    <w:uiPriority w:val="98"/>
    <w:rsid w:val="004E380D"/>
  </w:style>
  <w:style w:type="paragraph" w:styleId="Footer">
    <w:name w:val="footer"/>
    <w:basedOn w:val="DHHSfooter"/>
    <w:uiPriority w:val="98"/>
    <w:rsid w:val="0031753A"/>
  </w:style>
  <w:style w:type="character" w:styleId="FollowedHyperlink">
    <w:name w:val="FollowedHyperlink"/>
    <w:uiPriority w:val="99"/>
    <w:rsid w:val="007F6862"/>
    <w:rPr>
      <w:color w:val="87189D"/>
      <w:u w:val="dotted"/>
    </w:rPr>
  </w:style>
  <w:style w:type="paragraph" w:customStyle="1" w:styleId="DHHStabletext6pt">
    <w:name w:val="DHHS table text + 6pt"/>
    <w:basedOn w:val="DHHStabletext"/>
    <w:rsid w:val="00E91933"/>
    <w:pPr>
      <w:spacing w:after="120"/>
    </w:pPr>
  </w:style>
  <w:style w:type="paragraph" w:styleId="Subtitle">
    <w:name w:val="Subtitle"/>
    <w:basedOn w:val="Normal"/>
    <w:next w:val="Normal"/>
    <w:link w:val="SubtitleChar"/>
    <w:uiPriority w:val="11"/>
    <w:semiHidden/>
    <w:qFormat/>
    <w:rsid w:val="00E71C46"/>
    <w:pPr>
      <w:spacing w:after="60"/>
      <w:jc w:val="center"/>
    </w:pPr>
    <w:rPr>
      <w:rFonts w:ascii="Calibri Light" w:hAnsi="Calibri Light"/>
      <w:sz w:val="24"/>
      <w:szCs w:val="24"/>
    </w:rPr>
  </w:style>
  <w:style w:type="paragraph" w:styleId="EndnoteText">
    <w:name w:val="endnote text"/>
    <w:basedOn w:val="Normal"/>
    <w:semiHidden/>
    <w:rsid w:val="00EA6F2B"/>
    <w:rPr>
      <w:sz w:val="24"/>
      <w:szCs w:val="24"/>
    </w:rPr>
  </w:style>
  <w:style w:type="character" w:styleId="EndnoteReference">
    <w:name w:val="endnote reference"/>
    <w:aliases w:val="Endnote Text Char"/>
    <w:semiHidden/>
    <w:rsid w:val="00923608"/>
    <w:rPr>
      <w:rFonts w:ascii="Arial" w:hAnsi="Arial"/>
      <w:sz w:val="20"/>
      <w:vertAlign w:val="superscript"/>
    </w:rPr>
  </w:style>
  <w:style w:type="table" w:styleId="TableGrid">
    <w:name w:val="Table Grid"/>
    <w:basedOn w:val="TableNormal"/>
    <w:rsid w:val="00B87022"/>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vAlign w:val="bottom"/>
      </w:tcPr>
    </w:tblStylePr>
  </w:style>
  <w:style w:type="character" w:styleId="PageNumber">
    <w:name w:val="page number"/>
    <w:basedOn w:val="DefaultParagraphFont"/>
    <w:semiHidden/>
    <w:rsid w:val="00DA7946"/>
  </w:style>
  <w:style w:type="paragraph" w:customStyle="1" w:styleId="DHHSreportsubtitle">
    <w:name w:val="DHHS report subtitle"/>
    <w:basedOn w:val="Normal"/>
    <w:uiPriority w:val="4"/>
    <w:rsid w:val="00630937"/>
    <w:pPr>
      <w:spacing w:after="120" w:line="380" w:lineRule="atLeast"/>
    </w:pPr>
    <w:rPr>
      <w:rFonts w:ascii="Arial" w:hAnsi="Arial"/>
      <w:color w:val="000000"/>
      <w:sz w:val="30"/>
      <w:szCs w:val="30"/>
    </w:rPr>
  </w:style>
  <w:style w:type="character" w:styleId="FootnoteReference">
    <w:name w:val="footnote reference"/>
    <w:uiPriority w:val="8"/>
    <w:rsid w:val="00D869F2"/>
    <w:rPr>
      <w:vertAlign w:val="superscript"/>
    </w:rPr>
  </w:style>
  <w:style w:type="paragraph" w:customStyle="1" w:styleId="DHHSreportmaintitle">
    <w:name w:val="DHHS report main title"/>
    <w:uiPriority w:val="4"/>
    <w:rsid w:val="00CD0313"/>
    <w:pPr>
      <w:keepLines/>
      <w:spacing w:after="240" w:line="580" w:lineRule="atLeast"/>
    </w:pPr>
    <w:rPr>
      <w:rFonts w:ascii="Arial" w:hAnsi="Arial"/>
      <w:color w:val="201547"/>
      <w:sz w:val="50"/>
      <w:szCs w:val="24"/>
      <w:lang w:eastAsia="en-US"/>
    </w:rPr>
  </w:style>
  <w:style w:type="paragraph" w:styleId="FootnoteText">
    <w:name w:val="footnote text"/>
    <w:basedOn w:val="Normal"/>
    <w:uiPriority w:val="8"/>
    <w:rsid w:val="003072C6"/>
    <w:pPr>
      <w:spacing w:before="60" w:after="60" w:line="200" w:lineRule="atLeast"/>
    </w:pPr>
    <w:rPr>
      <w:rFonts w:ascii="Arial" w:eastAsia="MS Gothic" w:hAnsi="Arial" w:cs="Arial"/>
      <w:sz w:val="16"/>
      <w:szCs w:val="16"/>
    </w:rPr>
  </w:style>
  <w:style w:type="paragraph" w:styleId="TOC1">
    <w:name w:val="toc 1"/>
    <w:basedOn w:val="Normal"/>
    <w:next w:val="Normal"/>
    <w:uiPriority w:val="39"/>
    <w:rsid w:val="001C10C1"/>
    <w:pPr>
      <w:keepNext/>
      <w:keepLines/>
      <w:tabs>
        <w:tab w:val="right" w:leader="dot" w:pos="9299"/>
      </w:tabs>
      <w:spacing w:before="240" w:after="60" w:line="270" w:lineRule="atLeast"/>
    </w:pPr>
    <w:rPr>
      <w:rFonts w:ascii="Arial" w:hAnsi="Arial"/>
      <w:b/>
      <w:noProof/>
    </w:rPr>
  </w:style>
  <w:style w:type="paragraph" w:styleId="TOC2">
    <w:name w:val="toc 2"/>
    <w:basedOn w:val="Normal"/>
    <w:next w:val="Normal"/>
    <w:uiPriority w:val="39"/>
    <w:rsid w:val="00DF6FCA"/>
    <w:pPr>
      <w:keepNext/>
      <w:tabs>
        <w:tab w:val="right" w:leader="dot" w:pos="9299"/>
      </w:tabs>
      <w:spacing w:after="80" w:line="270" w:lineRule="atLeast"/>
    </w:pPr>
    <w:rPr>
      <w:rFonts w:ascii="Arial" w:hAnsi="Arial"/>
      <w:noProof/>
    </w:rPr>
  </w:style>
  <w:style w:type="paragraph" w:styleId="TOC3">
    <w:name w:val="toc 3"/>
    <w:basedOn w:val="Normal"/>
    <w:next w:val="Normal"/>
    <w:uiPriority w:val="39"/>
    <w:rsid w:val="00DE7B07"/>
    <w:pPr>
      <w:keepLines/>
      <w:tabs>
        <w:tab w:val="right" w:leader="dot" w:pos="9299"/>
      </w:tabs>
      <w:spacing w:after="60" w:line="270" w:lineRule="atLeast"/>
      <w:ind w:left="284"/>
    </w:pPr>
    <w:rPr>
      <w:rFonts w:ascii="Arial" w:hAnsi="Arial" w:cs="Arial"/>
    </w:rPr>
  </w:style>
  <w:style w:type="paragraph" w:styleId="TOC4">
    <w:name w:val="toc 4"/>
    <w:basedOn w:val="TOC3"/>
    <w:uiPriority w:val="39"/>
    <w:rsid w:val="00B126CB"/>
    <w:pPr>
      <w:ind w:left="567"/>
    </w:pPr>
  </w:style>
  <w:style w:type="paragraph" w:styleId="TOC5">
    <w:name w:val="toc 5"/>
    <w:basedOn w:val="TOC4"/>
    <w:rsid w:val="00B126CB"/>
    <w:pPr>
      <w:ind w:left="851"/>
    </w:pPr>
  </w:style>
  <w:style w:type="paragraph" w:styleId="TOC6">
    <w:name w:val="toc 6"/>
    <w:basedOn w:val="Normal"/>
    <w:next w:val="Normal"/>
    <w:autoRedefine/>
    <w:semiHidden/>
    <w:rsid w:val="00862D33"/>
    <w:pPr>
      <w:ind w:left="1000"/>
    </w:pPr>
  </w:style>
  <w:style w:type="paragraph" w:styleId="TOC7">
    <w:name w:val="toc 7"/>
    <w:basedOn w:val="Normal"/>
    <w:next w:val="Normal"/>
    <w:autoRedefine/>
    <w:semiHidden/>
    <w:rsid w:val="00862D33"/>
    <w:pPr>
      <w:ind w:left="1200"/>
    </w:pPr>
  </w:style>
  <w:style w:type="paragraph" w:styleId="TOC8">
    <w:name w:val="toc 8"/>
    <w:basedOn w:val="Normal"/>
    <w:next w:val="Normal"/>
    <w:autoRedefine/>
    <w:semiHidden/>
    <w:rsid w:val="00862D33"/>
    <w:pPr>
      <w:ind w:left="1400"/>
    </w:pPr>
  </w:style>
  <w:style w:type="paragraph" w:styleId="TOC9">
    <w:name w:val="toc 9"/>
    <w:basedOn w:val="Normal"/>
    <w:next w:val="Normal"/>
    <w:autoRedefine/>
    <w:semiHidden/>
    <w:rsid w:val="00862D33"/>
    <w:pPr>
      <w:ind w:left="1600"/>
    </w:pPr>
  </w:style>
  <w:style w:type="paragraph" w:customStyle="1" w:styleId="DHHSreportmaintitlewhite">
    <w:name w:val="DHHS report main title white"/>
    <w:uiPriority w:val="4"/>
    <w:rsid w:val="00E91933"/>
    <w:pPr>
      <w:keepLines/>
      <w:spacing w:after="240" w:line="580" w:lineRule="atLeast"/>
    </w:pPr>
    <w:rPr>
      <w:rFonts w:ascii="Arial" w:hAnsi="Arial"/>
      <w:bCs/>
      <w:color w:val="FFFFFF"/>
      <w:sz w:val="50"/>
      <w:szCs w:val="50"/>
      <w:lang w:eastAsia="en-US"/>
    </w:rPr>
  </w:style>
  <w:style w:type="paragraph" w:customStyle="1" w:styleId="DHHSreportsubtitlewhite">
    <w:name w:val="DHHS report subtitle white"/>
    <w:uiPriority w:val="4"/>
    <w:rsid w:val="00CD0313"/>
    <w:pPr>
      <w:spacing w:after="200" w:line="380" w:lineRule="atLeast"/>
    </w:pPr>
    <w:rPr>
      <w:rFonts w:ascii="Arial" w:hAnsi="Arial"/>
      <w:bCs/>
      <w:color w:val="FFFFFF"/>
      <w:sz w:val="30"/>
      <w:szCs w:val="30"/>
      <w:lang w:eastAsia="en-US"/>
    </w:rPr>
  </w:style>
  <w:style w:type="paragraph" w:customStyle="1" w:styleId="Coverinstructions">
    <w:name w:val="Cover instructions"/>
    <w:rsid w:val="001A7E04"/>
    <w:pPr>
      <w:spacing w:after="200" w:line="320" w:lineRule="atLeast"/>
    </w:pPr>
    <w:rPr>
      <w:rFonts w:ascii="Arial" w:hAnsi="Arial"/>
      <w:color w:val="FFFFFF"/>
      <w:sz w:val="24"/>
      <w:lang w:eastAsia="en-US"/>
    </w:rPr>
  </w:style>
  <w:style w:type="character" w:customStyle="1" w:styleId="Heading5Char">
    <w:name w:val="Heading 5 Char"/>
    <w:link w:val="Heading5"/>
    <w:uiPriority w:val="9"/>
    <w:rsid w:val="005B7D22"/>
    <w:rPr>
      <w:rFonts w:ascii="Arial" w:eastAsia="MS Mincho" w:hAnsi="Arial"/>
      <w:b/>
      <w:bCs/>
      <w:i/>
    </w:rPr>
  </w:style>
  <w:style w:type="paragraph" w:styleId="DocumentMap">
    <w:name w:val="Document Map"/>
    <w:basedOn w:val="Normal"/>
    <w:link w:val="DocumentMapChar"/>
    <w:uiPriority w:val="99"/>
    <w:semiHidden/>
    <w:unhideWhenUsed/>
    <w:rsid w:val="001E0EA3"/>
    <w:rPr>
      <w:rFonts w:ascii="Lucida Grande" w:hAnsi="Lucida Grande" w:cs="Lucida Grande"/>
      <w:sz w:val="24"/>
      <w:szCs w:val="24"/>
    </w:rPr>
  </w:style>
  <w:style w:type="character" w:customStyle="1" w:styleId="DocumentMapChar">
    <w:name w:val="Document Map Char"/>
    <w:link w:val="DocumentMap"/>
    <w:uiPriority w:val="99"/>
    <w:semiHidden/>
    <w:rsid w:val="001E0EA3"/>
    <w:rPr>
      <w:rFonts w:ascii="Lucida Grande" w:hAnsi="Lucida Grande" w:cs="Lucida Grande"/>
      <w:sz w:val="24"/>
      <w:szCs w:val="24"/>
    </w:rPr>
  </w:style>
  <w:style w:type="character" w:styleId="Hyperlink">
    <w:name w:val="Hyperlink"/>
    <w:uiPriority w:val="99"/>
    <w:rsid w:val="007F6862"/>
    <w:rPr>
      <w:color w:val="0072CE"/>
      <w:u w:val="dotted"/>
    </w:rPr>
  </w:style>
  <w:style w:type="paragraph" w:customStyle="1" w:styleId="DHHSbody">
    <w:name w:val="DHHS body"/>
    <w:qFormat/>
    <w:rsid w:val="00E30414"/>
    <w:pPr>
      <w:spacing w:after="120" w:line="270" w:lineRule="atLeast"/>
    </w:pPr>
    <w:rPr>
      <w:rFonts w:ascii="Arial" w:eastAsia="Times" w:hAnsi="Arial"/>
      <w:lang w:eastAsia="en-US"/>
    </w:rPr>
  </w:style>
  <w:style w:type="paragraph" w:customStyle="1" w:styleId="DHHSbullet1">
    <w:name w:val="DHHS bullet 1"/>
    <w:basedOn w:val="DHHSbody"/>
    <w:qFormat/>
    <w:rsid w:val="007F5858"/>
    <w:pPr>
      <w:numPr>
        <w:numId w:val="2"/>
      </w:numPr>
      <w:spacing w:after="40"/>
    </w:pPr>
  </w:style>
  <w:style w:type="paragraph" w:customStyle="1" w:styleId="DHHSnumberloweralpha">
    <w:name w:val="DHHS number lower alpha"/>
    <w:basedOn w:val="DHHSbody"/>
    <w:uiPriority w:val="3"/>
    <w:rsid w:val="008669BE"/>
    <w:pPr>
      <w:numPr>
        <w:numId w:val="31"/>
      </w:numPr>
    </w:pPr>
  </w:style>
  <w:style w:type="paragraph" w:customStyle="1" w:styleId="DHHSnumberloweralphaindent">
    <w:name w:val="DHHS number lower alpha indent"/>
    <w:basedOn w:val="DHHSbody"/>
    <w:uiPriority w:val="3"/>
    <w:rsid w:val="008669BE"/>
    <w:pPr>
      <w:numPr>
        <w:ilvl w:val="1"/>
        <w:numId w:val="31"/>
      </w:numPr>
    </w:pPr>
  </w:style>
  <w:style w:type="paragraph" w:customStyle="1" w:styleId="DHHStablefigurenote">
    <w:name w:val="DHHS table/figure note"/>
    <w:uiPriority w:val="4"/>
    <w:rsid w:val="008A5B97"/>
    <w:pPr>
      <w:spacing w:before="60" w:after="60" w:line="240" w:lineRule="exact"/>
    </w:pPr>
    <w:rPr>
      <w:rFonts w:ascii="Arial" w:hAnsi="Arial"/>
      <w:sz w:val="18"/>
      <w:lang w:eastAsia="en-US"/>
    </w:rPr>
  </w:style>
  <w:style w:type="paragraph" w:customStyle="1" w:styleId="DHHStabletext">
    <w:name w:val="DHHS table text"/>
    <w:uiPriority w:val="3"/>
    <w:qFormat/>
    <w:rsid w:val="00E30414"/>
    <w:pPr>
      <w:spacing w:before="80" w:after="60"/>
    </w:pPr>
    <w:rPr>
      <w:rFonts w:ascii="Arial" w:hAnsi="Arial"/>
      <w:lang w:eastAsia="en-US"/>
    </w:rPr>
  </w:style>
  <w:style w:type="paragraph" w:customStyle="1" w:styleId="DHHStablecaption">
    <w:name w:val="DHHS table caption"/>
    <w:next w:val="DHHSbody"/>
    <w:uiPriority w:val="3"/>
    <w:qFormat/>
    <w:rsid w:val="004E21E2"/>
    <w:pPr>
      <w:keepNext/>
      <w:keepLines/>
      <w:spacing w:before="240" w:after="120" w:line="240" w:lineRule="atLeast"/>
    </w:pPr>
    <w:rPr>
      <w:rFonts w:ascii="Arial" w:hAnsi="Arial"/>
      <w:b/>
      <w:lang w:eastAsia="en-US"/>
    </w:rPr>
  </w:style>
  <w:style w:type="paragraph" w:customStyle="1" w:styleId="DHHSfigurecaption">
    <w:name w:val="DHHS figure caption"/>
    <w:next w:val="DHHSbody"/>
    <w:rsid w:val="00E91933"/>
    <w:pPr>
      <w:keepNext/>
      <w:keepLines/>
      <w:spacing w:before="240" w:after="120"/>
    </w:pPr>
    <w:rPr>
      <w:rFonts w:ascii="Arial" w:hAnsi="Arial"/>
      <w:b/>
      <w:lang w:eastAsia="en-US"/>
    </w:rPr>
  </w:style>
  <w:style w:type="paragraph" w:customStyle="1" w:styleId="DHHSfooter">
    <w:name w:val="DHHS footer"/>
    <w:uiPriority w:val="11"/>
    <w:rsid w:val="00E969B1"/>
    <w:pPr>
      <w:tabs>
        <w:tab w:val="right" w:pos="9299"/>
      </w:tabs>
    </w:pPr>
    <w:rPr>
      <w:rFonts w:ascii="Arial" w:hAnsi="Arial" w:cs="Arial"/>
      <w:sz w:val="18"/>
      <w:szCs w:val="18"/>
      <w:lang w:eastAsia="en-US"/>
    </w:rPr>
  </w:style>
  <w:style w:type="paragraph" w:customStyle="1" w:styleId="DHHSbullet2">
    <w:name w:val="DHHS bullet 2"/>
    <w:basedOn w:val="DHHSbody"/>
    <w:uiPriority w:val="2"/>
    <w:qFormat/>
    <w:rsid w:val="007F5858"/>
    <w:pPr>
      <w:numPr>
        <w:ilvl w:val="1"/>
        <w:numId w:val="2"/>
      </w:numPr>
      <w:spacing w:after="40"/>
    </w:pPr>
  </w:style>
  <w:style w:type="paragraph" w:customStyle="1" w:styleId="DHHSheader">
    <w:name w:val="DHHS header"/>
    <w:basedOn w:val="DHHSfooter"/>
    <w:uiPriority w:val="11"/>
    <w:rsid w:val="00E969B1"/>
  </w:style>
  <w:style w:type="character" w:styleId="Strong">
    <w:name w:val="Strong"/>
    <w:uiPriority w:val="22"/>
    <w:qFormat/>
    <w:rsid w:val="00DC19D8"/>
    <w:rPr>
      <w:b/>
      <w:bCs/>
    </w:rPr>
  </w:style>
  <w:style w:type="paragraph" w:customStyle="1" w:styleId="DHHSnumberdigit">
    <w:name w:val="DHHS number digit"/>
    <w:basedOn w:val="DHHSbody"/>
    <w:uiPriority w:val="2"/>
    <w:rsid w:val="008669BE"/>
    <w:pPr>
      <w:numPr>
        <w:numId w:val="19"/>
      </w:numPr>
    </w:pPr>
  </w:style>
  <w:style w:type="paragraph" w:customStyle="1" w:styleId="DHHStablecolhead">
    <w:name w:val="DHHS table col head"/>
    <w:uiPriority w:val="3"/>
    <w:qFormat/>
    <w:rsid w:val="00CD0313"/>
    <w:pPr>
      <w:spacing w:before="80" w:after="60"/>
    </w:pPr>
    <w:rPr>
      <w:rFonts w:ascii="Arial" w:hAnsi="Arial"/>
      <w:b/>
      <w:color w:val="201547"/>
      <w:lang w:eastAsia="en-US"/>
    </w:rPr>
  </w:style>
  <w:style w:type="paragraph" w:customStyle="1" w:styleId="DHHSbodyaftertablefigure">
    <w:name w:val="DHHS body after table/figure"/>
    <w:basedOn w:val="DHHSbody"/>
    <w:next w:val="DHHSbody"/>
    <w:rsid w:val="00876275"/>
    <w:pPr>
      <w:spacing w:before="240"/>
    </w:pPr>
  </w:style>
  <w:style w:type="paragraph" w:customStyle="1" w:styleId="DHHSTOCheadingreport">
    <w:name w:val="DHHS TOC heading report"/>
    <w:basedOn w:val="Heading1"/>
    <w:link w:val="DHHSTOCheadingreportChar"/>
    <w:uiPriority w:val="5"/>
    <w:rsid w:val="00CD0313"/>
    <w:pPr>
      <w:spacing w:before="0"/>
      <w:outlineLvl w:val="9"/>
    </w:pPr>
  </w:style>
  <w:style w:type="character" w:customStyle="1" w:styleId="DHHSTOCheadingreportChar">
    <w:name w:val="DHHS TOC heading report Char"/>
    <w:link w:val="DHHSTOCheadingreport"/>
    <w:uiPriority w:val="5"/>
    <w:rsid w:val="00CD0313"/>
    <w:rPr>
      <w:rFonts w:ascii="Arial" w:hAnsi="Arial"/>
      <w:bCs/>
      <w:color w:val="201547"/>
      <w:sz w:val="44"/>
      <w:szCs w:val="44"/>
      <w:lang w:eastAsia="en-US"/>
    </w:rPr>
  </w:style>
  <w:style w:type="paragraph" w:customStyle="1" w:styleId="DHHSaccessibilitypara">
    <w:name w:val="DHHS accessibility para"/>
    <w:uiPriority w:val="8"/>
    <w:rsid w:val="000A1344"/>
    <w:pPr>
      <w:spacing w:before="600" w:after="300" w:line="300" w:lineRule="atLeast"/>
    </w:pPr>
    <w:rPr>
      <w:rFonts w:ascii="Arial" w:eastAsia="Times" w:hAnsi="Arial"/>
      <w:sz w:val="24"/>
      <w:szCs w:val="19"/>
      <w:lang w:eastAsia="en-US"/>
    </w:rPr>
  </w:style>
  <w:style w:type="paragraph" w:customStyle="1" w:styleId="DHHSbodynospace">
    <w:name w:val="DHHS body no space"/>
    <w:basedOn w:val="DHHSbody"/>
    <w:uiPriority w:val="3"/>
    <w:qFormat/>
    <w:rsid w:val="00CA6D4E"/>
    <w:pPr>
      <w:spacing w:after="0"/>
    </w:pPr>
  </w:style>
  <w:style w:type="paragraph" w:customStyle="1" w:styleId="DHHSquote">
    <w:name w:val="DHHS quote"/>
    <w:basedOn w:val="DHHSbody"/>
    <w:uiPriority w:val="4"/>
    <w:rsid w:val="00E75ED2"/>
    <w:pPr>
      <w:ind w:left="397"/>
    </w:pPr>
    <w:rPr>
      <w:szCs w:val="18"/>
    </w:rPr>
  </w:style>
  <w:style w:type="numbering" w:customStyle="1" w:styleId="ZZBullets">
    <w:name w:val="ZZ Bullets"/>
    <w:rsid w:val="007F5858"/>
    <w:pPr>
      <w:numPr>
        <w:numId w:val="2"/>
      </w:numPr>
    </w:pPr>
  </w:style>
  <w:style w:type="paragraph" w:customStyle="1" w:styleId="DHHSnumberlowerroman">
    <w:name w:val="DHHS number lower roman"/>
    <w:basedOn w:val="DHHSbody"/>
    <w:uiPriority w:val="3"/>
    <w:rsid w:val="008669BE"/>
    <w:pPr>
      <w:numPr>
        <w:numId w:val="33"/>
      </w:numPr>
    </w:pPr>
  </w:style>
  <w:style w:type="paragraph" w:customStyle="1" w:styleId="DHHSnumberlowerromanindent">
    <w:name w:val="DHHS number lower roman indent"/>
    <w:basedOn w:val="DHHSbody"/>
    <w:uiPriority w:val="3"/>
    <w:rsid w:val="008669BE"/>
    <w:pPr>
      <w:numPr>
        <w:ilvl w:val="1"/>
        <w:numId w:val="33"/>
      </w:numPr>
    </w:pPr>
  </w:style>
  <w:style w:type="paragraph" w:customStyle="1" w:styleId="DHHSnumberdigitindent">
    <w:name w:val="DHHS number digit indent"/>
    <w:basedOn w:val="DHHSnumberloweralphaindent"/>
    <w:uiPriority w:val="3"/>
    <w:rsid w:val="008669BE"/>
    <w:pPr>
      <w:numPr>
        <w:numId w:val="30"/>
      </w:numPr>
    </w:pPr>
  </w:style>
  <w:style w:type="character" w:customStyle="1" w:styleId="SubtitleChar">
    <w:name w:val="Subtitle Char"/>
    <w:link w:val="Subtitle"/>
    <w:uiPriority w:val="11"/>
    <w:semiHidden/>
    <w:rsid w:val="00E71C46"/>
    <w:rPr>
      <w:rFonts w:ascii="Calibri Light" w:eastAsia="Times New Roman" w:hAnsi="Calibri Light" w:cs="Times New Roman"/>
      <w:sz w:val="24"/>
      <w:szCs w:val="24"/>
      <w:lang w:eastAsia="en-US"/>
    </w:rPr>
  </w:style>
  <w:style w:type="paragraph" w:styleId="Title">
    <w:name w:val="Title"/>
    <w:basedOn w:val="Normal"/>
    <w:next w:val="Normal"/>
    <w:link w:val="TitleChar"/>
    <w:uiPriority w:val="10"/>
    <w:semiHidden/>
    <w:qFormat/>
    <w:rsid w:val="00E71C46"/>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E71C46"/>
    <w:rPr>
      <w:rFonts w:ascii="Calibri Light" w:eastAsia="Times New Roman" w:hAnsi="Calibri Light" w:cs="Times New Roman"/>
      <w:b/>
      <w:bCs/>
      <w:kern w:val="28"/>
      <w:sz w:val="32"/>
      <w:szCs w:val="32"/>
      <w:lang w:eastAsia="en-US"/>
    </w:rPr>
  </w:style>
  <w:style w:type="paragraph" w:customStyle="1" w:styleId="DHHSbodyafterbullets">
    <w:name w:val="DHHS body after bullets"/>
    <w:basedOn w:val="DHHSbody"/>
    <w:uiPriority w:val="11"/>
    <w:rsid w:val="008669BE"/>
    <w:pPr>
      <w:spacing w:before="120"/>
    </w:pPr>
  </w:style>
  <w:style w:type="paragraph" w:customStyle="1" w:styleId="DHHSbulletafternumbers1">
    <w:name w:val="DHHS bullet after numbers 1"/>
    <w:basedOn w:val="DHHSbody"/>
    <w:uiPriority w:val="4"/>
    <w:rsid w:val="008669BE"/>
    <w:pPr>
      <w:numPr>
        <w:ilvl w:val="2"/>
        <w:numId w:val="30"/>
      </w:numPr>
    </w:pPr>
  </w:style>
  <w:style w:type="paragraph" w:customStyle="1" w:styleId="DHHSbulletafternumbers2">
    <w:name w:val="DHHS bullet after numbers 2"/>
    <w:basedOn w:val="DHHSbody"/>
    <w:rsid w:val="008669BE"/>
    <w:pPr>
      <w:numPr>
        <w:ilvl w:val="3"/>
        <w:numId w:val="30"/>
      </w:numPr>
    </w:pPr>
  </w:style>
  <w:style w:type="paragraph" w:customStyle="1" w:styleId="DHHSquotebullet1">
    <w:name w:val="DHHS quote bullet 1"/>
    <w:basedOn w:val="DHHSquote"/>
    <w:rsid w:val="008669BE"/>
    <w:pPr>
      <w:numPr>
        <w:numId w:val="32"/>
      </w:numPr>
    </w:pPr>
  </w:style>
  <w:style w:type="paragraph" w:customStyle="1" w:styleId="DHHSquotebullet2">
    <w:name w:val="DHHS quote bullet 2"/>
    <w:basedOn w:val="DHHSquote"/>
    <w:rsid w:val="008669BE"/>
    <w:pPr>
      <w:numPr>
        <w:ilvl w:val="1"/>
        <w:numId w:val="32"/>
      </w:numPr>
    </w:pPr>
  </w:style>
  <w:style w:type="paragraph" w:customStyle="1" w:styleId="DHHStablebullet1">
    <w:name w:val="DHHS table bullet 1"/>
    <w:basedOn w:val="DHHStabletext"/>
    <w:uiPriority w:val="3"/>
    <w:qFormat/>
    <w:rsid w:val="008669BE"/>
    <w:pPr>
      <w:numPr>
        <w:numId w:val="34"/>
      </w:numPr>
    </w:pPr>
  </w:style>
  <w:style w:type="paragraph" w:customStyle="1" w:styleId="DHHStablebullet2">
    <w:name w:val="DHHS table bullet 2"/>
    <w:basedOn w:val="DHHStabletext"/>
    <w:uiPriority w:val="11"/>
    <w:rsid w:val="008669BE"/>
    <w:pPr>
      <w:numPr>
        <w:ilvl w:val="1"/>
        <w:numId w:val="34"/>
      </w:numPr>
    </w:pPr>
  </w:style>
  <w:style w:type="numbering" w:customStyle="1" w:styleId="ZZNumbersdigit">
    <w:name w:val="ZZ Numbers digit"/>
    <w:rsid w:val="008669BE"/>
    <w:pPr>
      <w:numPr>
        <w:numId w:val="17"/>
      </w:numPr>
    </w:pPr>
  </w:style>
  <w:style w:type="numbering" w:customStyle="1" w:styleId="ZZNumbersloweralpha">
    <w:name w:val="ZZ Numbers lower alpha"/>
    <w:basedOn w:val="NoList"/>
    <w:rsid w:val="008669BE"/>
    <w:pPr>
      <w:numPr>
        <w:numId w:val="20"/>
      </w:numPr>
    </w:pPr>
  </w:style>
  <w:style w:type="numbering" w:customStyle="1" w:styleId="ZZQuotebullets">
    <w:name w:val="ZZ Quote bullets"/>
    <w:basedOn w:val="ZZNumbersdigit"/>
    <w:rsid w:val="008669BE"/>
    <w:pPr>
      <w:numPr>
        <w:numId w:val="25"/>
      </w:numPr>
    </w:pPr>
  </w:style>
  <w:style w:type="numbering" w:customStyle="1" w:styleId="ZZNumberslowerroman">
    <w:name w:val="ZZ Numbers lower roman"/>
    <w:basedOn w:val="ZZQuotebullets"/>
    <w:rsid w:val="008669BE"/>
    <w:pPr>
      <w:numPr>
        <w:numId w:val="23"/>
      </w:numPr>
    </w:pPr>
  </w:style>
  <w:style w:type="numbering" w:customStyle="1" w:styleId="ZZTablebullets">
    <w:name w:val="ZZ Table bullets"/>
    <w:basedOn w:val="NoList"/>
    <w:rsid w:val="008669BE"/>
    <w:pPr>
      <w:numPr>
        <w:numId w:val="27"/>
      </w:numPr>
    </w:pPr>
  </w:style>
  <w:style w:type="paragraph" w:customStyle="1" w:styleId="DHHSbodylargespace">
    <w:name w:val="DHHS body large space"/>
    <w:basedOn w:val="DHHSbody"/>
    <w:rsid w:val="00C3409A"/>
    <w:pPr>
      <w:spacing w:after="240"/>
    </w:pPr>
  </w:style>
  <w:style w:type="character" w:styleId="Emphasis">
    <w:name w:val="Emphasis"/>
    <w:basedOn w:val="DefaultParagraphFont"/>
    <w:uiPriority w:val="20"/>
    <w:rsid w:val="004B4157"/>
    <w:rPr>
      <w:i/>
      <w:iCs/>
    </w:rPr>
  </w:style>
  <w:style w:type="table" w:customStyle="1" w:styleId="SPhighlighttable">
    <w:name w:val="SP highlight table"/>
    <w:basedOn w:val="TableNormal"/>
    <w:uiPriority w:val="99"/>
    <w:rsid w:val="00B22AC9"/>
    <w:tblPr>
      <w:tblCellMar>
        <w:top w:w="170" w:type="dxa"/>
        <w:left w:w="170" w:type="dxa"/>
        <w:bottom w:w="170" w:type="dxa"/>
        <w:right w:w="170" w:type="dxa"/>
      </w:tblCellMar>
    </w:tblPr>
    <w:tcPr>
      <w:shd w:val="clear" w:color="auto" w:fill="F1E3F3"/>
    </w:tcPr>
  </w:style>
  <w:style w:type="paragraph" w:styleId="Revision">
    <w:name w:val="Revision"/>
    <w:hidden/>
    <w:uiPriority w:val="71"/>
    <w:rsid w:val="00370496"/>
    <w:rPr>
      <w:rFonts w:ascii="Cambria" w:hAnsi="Cambria"/>
      <w:lang w:eastAsia="en-US"/>
    </w:rPr>
  </w:style>
  <w:style w:type="character" w:styleId="CommentReference">
    <w:name w:val="annotation reference"/>
    <w:basedOn w:val="DefaultParagraphFont"/>
    <w:uiPriority w:val="99"/>
    <w:semiHidden/>
    <w:unhideWhenUsed/>
    <w:rsid w:val="00370496"/>
    <w:rPr>
      <w:sz w:val="16"/>
      <w:szCs w:val="16"/>
    </w:rPr>
  </w:style>
  <w:style w:type="paragraph" w:styleId="CommentText">
    <w:name w:val="annotation text"/>
    <w:basedOn w:val="Normal"/>
    <w:link w:val="CommentTextChar"/>
    <w:uiPriority w:val="99"/>
    <w:unhideWhenUsed/>
    <w:rsid w:val="00370496"/>
  </w:style>
  <w:style w:type="character" w:customStyle="1" w:styleId="CommentTextChar">
    <w:name w:val="Comment Text Char"/>
    <w:basedOn w:val="DefaultParagraphFont"/>
    <w:link w:val="CommentText"/>
    <w:uiPriority w:val="99"/>
    <w:rsid w:val="00370496"/>
    <w:rPr>
      <w:rFonts w:ascii="Cambria" w:hAnsi="Cambria"/>
      <w:lang w:eastAsia="en-US"/>
    </w:rPr>
  </w:style>
  <w:style w:type="paragraph" w:styleId="CommentSubject">
    <w:name w:val="annotation subject"/>
    <w:basedOn w:val="CommentText"/>
    <w:next w:val="CommentText"/>
    <w:link w:val="CommentSubjectChar"/>
    <w:uiPriority w:val="99"/>
    <w:semiHidden/>
    <w:unhideWhenUsed/>
    <w:rsid w:val="00370496"/>
    <w:rPr>
      <w:b/>
      <w:bCs/>
    </w:rPr>
  </w:style>
  <w:style w:type="character" w:customStyle="1" w:styleId="CommentSubjectChar">
    <w:name w:val="Comment Subject Char"/>
    <w:basedOn w:val="CommentTextChar"/>
    <w:link w:val="CommentSubject"/>
    <w:uiPriority w:val="99"/>
    <w:semiHidden/>
    <w:rsid w:val="00370496"/>
    <w:rPr>
      <w:rFonts w:ascii="Cambria" w:hAnsi="Cambria"/>
      <w:b/>
      <w:bCs/>
      <w:lang w:eastAsia="en-US"/>
    </w:rPr>
  </w:style>
  <w:style w:type="paragraph" w:styleId="BalloonText">
    <w:name w:val="Balloon Text"/>
    <w:basedOn w:val="Normal"/>
    <w:link w:val="BalloonTextChar"/>
    <w:uiPriority w:val="99"/>
    <w:semiHidden/>
    <w:unhideWhenUsed/>
    <w:rsid w:val="0037049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049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0922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2857175">
      <w:bodyDiv w:val="1"/>
      <w:marLeft w:val="0"/>
      <w:marRight w:val="0"/>
      <w:marTop w:val="0"/>
      <w:marBottom w:val="0"/>
      <w:divBdr>
        <w:top w:val="none" w:sz="0" w:space="0" w:color="auto"/>
        <w:left w:val="none" w:sz="0" w:space="0" w:color="auto"/>
        <w:bottom w:val="none" w:sz="0" w:space="0" w:color="auto"/>
        <w:right w:val="none" w:sz="0" w:space="0" w:color="auto"/>
      </w:divBdr>
    </w:div>
    <w:div w:id="1073744267">
      <w:bodyDiv w:val="1"/>
      <w:marLeft w:val="0"/>
      <w:marRight w:val="0"/>
      <w:marTop w:val="0"/>
      <w:marBottom w:val="0"/>
      <w:divBdr>
        <w:top w:val="none" w:sz="0" w:space="0" w:color="auto"/>
        <w:left w:val="none" w:sz="0" w:space="0" w:color="auto"/>
        <w:bottom w:val="none" w:sz="0" w:space="0" w:color="auto"/>
        <w:right w:val="none" w:sz="0" w:space="0" w:color="auto"/>
      </w:divBdr>
    </w:div>
    <w:div w:id="1800145942">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ictorianseniorpractitioner@dhhs.vic.gov.au" TargetMode="External"/><Relationship Id="rId18" Type="http://schemas.openxmlformats.org/officeDocument/2006/relationships/hyperlink" Target="http://www.ncbi.nlm.nih.gov/pubmed/18254027"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hyperlink" Target="http://www.consort-statement.org" TargetMode="External"/><Relationship Id="rId2" Type="http://schemas.openxmlformats.org/officeDocument/2006/relationships/customXml" Target="../customXml/item2.xml"/><Relationship Id="rId16" Type="http://schemas.openxmlformats.org/officeDocument/2006/relationships/image" Target="media/image4.ti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image" Target="media/image3.jp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ir.law.fsu.edu/cgi/viewcontent.cgi?article=2458&amp;context=l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hhs.vic.gov.au/victorian-senior-practitioner"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AB9227BDA72A841A328ACE03A14D44C" ma:contentTypeVersion="5" ma:contentTypeDescription="Create a new document." ma:contentTypeScope="" ma:versionID="06fcfe0b8a79491420c5b3e6210943db">
  <xsd:schema xmlns:xsd="http://www.w3.org/2001/XMLSchema" xmlns:xs="http://www.w3.org/2001/XMLSchema" xmlns:p="http://schemas.microsoft.com/office/2006/metadata/properties" xmlns:ns3="69a24d05-8f10-4e8b-bf82-9510008edfab" xmlns:ns4="121d6862-b0a5-4313-91c6-3119f5326797" targetNamespace="http://schemas.microsoft.com/office/2006/metadata/properties" ma:root="true" ma:fieldsID="75e106cf9ce792c2be9f850a4b1bb514" ns3:_="" ns4:_="">
    <xsd:import namespace="69a24d05-8f10-4e8b-bf82-9510008edfab"/>
    <xsd:import namespace="121d6862-b0a5-4313-91c6-3119f532679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a24d05-8f10-4e8b-bf82-9510008edf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21d6862-b0a5-4313-91c6-3119f532679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15B82A-6AD2-410E-8BD4-246DB1CBED1B}">
  <ds:schemaRefs>
    <ds:schemaRef ds:uri="http://schemas.microsoft.com/office/2006/documentManagement/types"/>
    <ds:schemaRef ds:uri="http://purl.org/dc/elements/1.1/"/>
    <ds:schemaRef ds:uri="http://schemas.microsoft.com/office/2006/metadata/properties"/>
    <ds:schemaRef ds:uri="69a24d05-8f10-4e8b-bf82-9510008edfab"/>
    <ds:schemaRef ds:uri="http://purl.org/dc/terms/"/>
    <ds:schemaRef ds:uri="http://schemas.openxmlformats.org/package/2006/metadata/core-properties"/>
    <ds:schemaRef ds:uri="121d6862-b0a5-4313-91c6-3119f5326797"/>
    <ds:schemaRef ds:uri="http://purl.org/dc/dcmitype/"/>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AEE1C34F-EB72-4D20-9E63-D3F146A17F4A}">
  <ds:schemaRefs>
    <ds:schemaRef ds:uri="http://schemas.microsoft.com/sharepoint/v3/contenttype/forms"/>
  </ds:schemaRefs>
</ds:datastoreItem>
</file>

<file path=customXml/itemProps3.xml><?xml version="1.0" encoding="utf-8"?>
<ds:datastoreItem xmlns:ds="http://schemas.openxmlformats.org/officeDocument/2006/customXml" ds:itemID="{24D3D373-6AD2-47D8-9951-F29A0B456E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a24d05-8f10-4e8b-bf82-9510008edfab"/>
    <ds:schemaRef ds:uri="121d6862-b0a5-4313-91c6-3119f53267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15A0B36-7233-4E16-AC74-DE8D4FB666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14350</Words>
  <Characters>81798</Characters>
  <Application>Microsoft Office Word</Application>
  <DocSecurity>4</DocSecurity>
  <Lines>681</Lines>
  <Paragraphs>191</Paragraphs>
  <ScaleCrop>false</ScaleCrop>
  <HeadingPairs>
    <vt:vector size="2" baseType="variant">
      <vt:variant>
        <vt:lpstr>Title</vt:lpstr>
      </vt:variant>
      <vt:variant>
        <vt:i4>1</vt:i4>
      </vt:variant>
    </vt:vector>
  </HeadingPairs>
  <TitlesOfParts>
    <vt:vector size="1" baseType="lpstr">
      <vt:lpstr>Anti-libidinal medication use in people with intellectual disability who sexually offend</vt:lpstr>
    </vt:vector>
  </TitlesOfParts>
  <Company>Department of Health and Human Services</Company>
  <LinksUpToDate>false</LinksUpToDate>
  <CharactersWithSpaces>95957</CharactersWithSpaces>
  <SharedDoc>false</SharedDoc>
  <HyperlinkBase/>
  <HLinks>
    <vt:vector size="66" baseType="variant">
      <vt:variant>
        <vt:i4>7864376</vt:i4>
      </vt:variant>
      <vt:variant>
        <vt:i4>54</vt:i4>
      </vt:variant>
      <vt:variant>
        <vt:i4>0</vt:i4>
      </vt:variant>
      <vt:variant>
        <vt:i4>5</vt:i4>
      </vt:variant>
      <vt:variant>
        <vt:lpwstr>https://intranet.dhhs.vic.gov.au/templates-our-visual-style</vt:lpwstr>
      </vt:variant>
      <vt:variant>
        <vt:lpwstr/>
      </vt:variant>
      <vt:variant>
        <vt:i4>1048626</vt:i4>
      </vt:variant>
      <vt:variant>
        <vt:i4>47</vt:i4>
      </vt:variant>
      <vt:variant>
        <vt:i4>0</vt:i4>
      </vt:variant>
      <vt:variant>
        <vt:i4>5</vt:i4>
      </vt:variant>
      <vt:variant>
        <vt:lpwstr/>
      </vt:variant>
      <vt:variant>
        <vt:lpwstr>_Toc442704404</vt:lpwstr>
      </vt:variant>
      <vt:variant>
        <vt:i4>1048626</vt:i4>
      </vt:variant>
      <vt:variant>
        <vt:i4>41</vt:i4>
      </vt:variant>
      <vt:variant>
        <vt:i4>0</vt:i4>
      </vt:variant>
      <vt:variant>
        <vt:i4>5</vt:i4>
      </vt:variant>
      <vt:variant>
        <vt:lpwstr/>
      </vt:variant>
      <vt:variant>
        <vt:lpwstr>_Toc442704403</vt:lpwstr>
      </vt:variant>
      <vt:variant>
        <vt:i4>1048626</vt:i4>
      </vt:variant>
      <vt:variant>
        <vt:i4>35</vt:i4>
      </vt:variant>
      <vt:variant>
        <vt:i4>0</vt:i4>
      </vt:variant>
      <vt:variant>
        <vt:i4>5</vt:i4>
      </vt:variant>
      <vt:variant>
        <vt:lpwstr/>
      </vt:variant>
      <vt:variant>
        <vt:lpwstr>_Toc442704402</vt:lpwstr>
      </vt:variant>
      <vt:variant>
        <vt:i4>1048626</vt:i4>
      </vt:variant>
      <vt:variant>
        <vt:i4>29</vt:i4>
      </vt:variant>
      <vt:variant>
        <vt:i4>0</vt:i4>
      </vt:variant>
      <vt:variant>
        <vt:i4>5</vt:i4>
      </vt:variant>
      <vt:variant>
        <vt:lpwstr/>
      </vt:variant>
      <vt:variant>
        <vt:lpwstr>_Toc442704401</vt:lpwstr>
      </vt:variant>
      <vt:variant>
        <vt:i4>1048626</vt:i4>
      </vt:variant>
      <vt:variant>
        <vt:i4>23</vt:i4>
      </vt:variant>
      <vt:variant>
        <vt:i4>0</vt:i4>
      </vt:variant>
      <vt:variant>
        <vt:i4>5</vt:i4>
      </vt:variant>
      <vt:variant>
        <vt:lpwstr/>
      </vt:variant>
      <vt:variant>
        <vt:lpwstr>_Toc442704400</vt:lpwstr>
      </vt:variant>
      <vt:variant>
        <vt:i4>1638453</vt:i4>
      </vt:variant>
      <vt:variant>
        <vt:i4>17</vt:i4>
      </vt:variant>
      <vt:variant>
        <vt:i4>0</vt:i4>
      </vt:variant>
      <vt:variant>
        <vt:i4>5</vt:i4>
      </vt:variant>
      <vt:variant>
        <vt:lpwstr/>
      </vt:variant>
      <vt:variant>
        <vt:lpwstr>_Toc442704399</vt:lpwstr>
      </vt:variant>
      <vt:variant>
        <vt:i4>1638453</vt:i4>
      </vt:variant>
      <vt:variant>
        <vt:i4>11</vt:i4>
      </vt:variant>
      <vt:variant>
        <vt:i4>0</vt:i4>
      </vt:variant>
      <vt:variant>
        <vt:i4>5</vt:i4>
      </vt:variant>
      <vt:variant>
        <vt:lpwstr/>
      </vt:variant>
      <vt:variant>
        <vt:lpwstr>_Toc442704398</vt:lpwstr>
      </vt:variant>
      <vt:variant>
        <vt:i4>7602296</vt:i4>
      </vt:variant>
      <vt:variant>
        <vt:i4>6</vt:i4>
      </vt:variant>
      <vt:variant>
        <vt:i4>0</vt:i4>
      </vt:variant>
      <vt:variant>
        <vt:i4>5</vt:i4>
      </vt:variant>
      <vt:variant>
        <vt:lpwstr>https://intranet.dhhs.vic.gov.au/graphic-design-process</vt:lpwstr>
      </vt:variant>
      <vt:variant>
        <vt:lpwstr/>
      </vt:variant>
      <vt:variant>
        <vt:i4>7209064</vt:i4>
      </vt:variant>
      <vt:variant>
        <vt:i4>3</vt:i4>
      </vt:variant>
      <vt:variant>
        <vt:i4>0</vt:i4>
      </vt:variant>
      <vt:variant>
        <vt:i4>5</vt:i4>
      </vt:variant>
      <vt:variant>
        <vt:lpwstr>https://intranet.dhhs.vic.gov.au/print-and-distribute-communications-materials</vt:lpwstr>
      </vt:variant>
      <vt:variant>
        <vt:lpwstr/>
      </vt:variant>
      <vt:variant>
        <vt:i4>7143443</vt:i4>
      </vt:variant>
      <vt:variant>
        <vt:i4>0</vt:i4>
      </vt:variant>
      <vt:variant>
        <vt:i4>0</vt:i4>
      </vt:variant>
      <vt:variant>
        <vt:i4>5</vt:i4>
      </vt:variant>
      <vt:variant>
        <vt:lpwstr>http://library.intranet.vic.gov.au/client/en_AU/vglsweb-depi/?rm=ISBN0%7C%7C%7C1%7C%7C%7C0%7C%7C%7Ctrue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Anti-libidinal medication use in people with intellectual disability who sexually offend</dc:title>
  <dc:subject>Anti-libidinal medication use in people with intellectual disability who sexually offend</dc:subject>
  <dc:creator>Victorian Senior Practitioner</dc:creator>
  <cp:keywords>anti-libidinal medication, intellectual disability, sexual offending, Senior Practitioner</cp:keywords>
  <cp:lastModifiedBy>Alice York (DHHS)</cp:lastModifiedBy>
  <cp:revision>2</cp:revision>
  <cp:lastPrinted>2019-11-27T02:12:00Z</cp:lastPrinted>
  <dcterms:created xsi:type="dcterms:W3CDTF">2019-12-02T03:27:00Z</dcterms:created>
  <dcterms:modified xsi:type="dcterms:W3CDTF">2019-12-02T03:27:00Z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0x0101000AB9227BDA72A841A328ACE03A14D44C</vt:lpwstr>
  </property>
</Properties>
</file>